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7FF3" w:rsidR="00562915" w:rsidP="005D1DD4" w:rsidRDefault="00EC0D4A" w14:paraId="6A28318D" w14:textId="58F1155B">
      <w:pPr>
        <w:pStyle w:val="Title"/>
        <w:jc w:val="right"/>
        <w:rPr>
          <w:sz w:val="28"/>
        </w:rPr>
      </w:pPr>
      <w:r>
        <w:rPr>
          <w:sz w:val="28"/>
        </w:rPr>
        <w:t>March 5</w:t>
      </w:r>
      <w:r w:rsidR="00227D06">
        <w:rPr>
          <w:sz w:val="28"/>
        </w:rPr>
        <w:t>,</w:t>
      </w:r>
      <w:r w:rsidR="002B5969">
        <w:rPr>
          <w:sz w:val="28"/>
        </w:rPr>
        <w:t xml:space="preserve"> </w:t>
      </w:r>
      <w:r w:rsidR="00227D06">
        <w:rPr>
          <w:sz w:val="28"/>
        </w:rPr>
        <w:t>2018</w:t>
      </w:r>
    </w:p>
    <w:p w:rsidR="00647FF3" w:rsidP="005D1DD4" w:rsidRDefault="00647FF3" w14:paraId="2301D6AD" w14:textId="77777777">
      <w:pPr>
        <w:pStyle w:val="Title"/>
        <w:jc w:val="right"/>
      </w:pPr>
    </w:p>
    <w:p w:rsidR="00562915" w:rsidP="00562915" w:rsidRDefault="00562915" w14:paraId="18956645"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36811A1E"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11D3BB75" w14:textId="77777777">
      <w:pPr>
        <w:tabs>
          <w:tab w:val="left" w:pos="-720"/>
        </w:tabs>
        <w:suppressAutoHyphens/>
        <w:rPr>
          <w:rFonts w:ascii="Times New Roman" w:hAnsi="Times New Roman" w:cs="Times New Roman"/>
          <w:b/>
          <w:sz w:val="24"/>
          <w:szCs w:val="24"/>
        </w:rPr>
      </w:pPr>
    </w:p>
    <w:p w:rsidRPr="00B92B09" w:rsidR="00562915" w:rsidP="00562915" w:rsidRDefault="00562915" w14:paraId="02CB20B8"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OMB Control Number:  1660</w:t>
      </w:r>
      <w:r w:rsidR="00C37017">
        <w:rPr>
          <w:rFonts w:ascii="Times New Roman" w:hAnsi="Times New Roman" w:cs="Times New Roman"/>
          <w:b/>
          <w:sz w:val="28"/>
          <w:szCs w:val="28"/>
        </w:rPr>
        <w:t>–</w:t>
      </w:r>
      <w:r w:rsidR="00FC7F63">
        <w:rPr>
          <w:rFonts w:ascii="Times New Roman" w:hAnsi="Times New Roman" w:cs="Times New Roman"/>
          <w:b/>
          <w:sz w:val="28"/>
          <w:szCs w:val="28"/>
        </w:rPr>
        <w:t>00</w:t>
      </w:r>
      <w:r w:rsidR="006D3538">
        <w:rPr>
          <w:rFonts w:ascii="Times New Roman" w:hAnsi="Times New Roman" w:cs="Times New Roman"/>
          <w:b/>
          <w:sz w:val="28"/>
          <w:szCs w:val="28"/>
        </w:rPr>
        <w:t>40</w:t>
      </w:r>
    </w:p>
    <w:p w:rsidRPr="00B92B09" w:rsidR="00562915" w:rsidP="00562915" w:rsidRDefault="00562915" w14:paraId="45B2E293"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6D3538">
        <w:rPr>
          <w:rFonts w:ascii="Times New Roman" w:hAnsi="Times New Roman" w:cs="Times New Roman"/>
          <w:b/>
          <w:sz w:val="28"/>
          <w:szCs w:val="28"/>
        </w:rPr>
        <w:t>Standard</w:t>
      </w:r>
      <w:r w:rsidR="001859B4">
        <w:rPr>
          <w:rFonts w:ascii="Times New Roman" w:hAnsi="Times New Roman" w:cs="Times New Roman"/>
          <w:b/>
          <w:sz w:val="28"/>
          <w:szCs w:val="28"/>
        </w:rPr>
        <w:t xml:space="preserve"> Flood Hazard Determination Form</w:t>
      </w:r>
    </w:p>
    <w:p w:rsidR="00562915" w:rsidP="00562915" w:rsidRDefault="00562915" w14:paraId="7AAAEFED"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Pr="006D3538" w:rsidR="006D3538">
        <w:rPr>
          <w:rFonts w:ascii="Times New Roman" w:hAnsi="Times New Roman" w:cs="Times New Roman"/>
          <w:b/>
          <w:sz w:val="28"/>
          <w:szCs w:val="28"/>
        </w:rPr>
        <w:t xml:space="preserve">FEMA Form </w:t>
      </w:r>
      <w:r w:rsidR="00FE17B6">
        <w:rPr>
          <w:rFonts w:ascii="Times New Roman" w:hAnsi="Times New Roman" w:cs="Times New Roman"/>
          <w:b/>
          <w:bCs/>
          <w:sz w:val="28"/>
          <w:szCs w:val="28"/>
        </w:rPr>
        <w:t>086-0-32</w:t>
      </w:r>
    </w:p>
    <w:p w:rsidR="00562915" w:rsidP="00B92B09" w:rsidRDefault="00562915" w14:paraId="0AC355BB" w14:textId="77777777">
      <w:pPr>
        <w:pStyle w:val="Heading1"/>
        <w:rPr>
          <w:szCs w:val="28"/>
        </w:rPr>
      </w:pPr>
      <w:r w:rsidRPr="00B92B09">
        <w:rPr>
          <w:szCs w:val="28"/>
        </w:rPr>
        <w:t>General Instructions</w:t>
      </w:r>
    </w:p>
    <w:p w:rsidRPr="00B92B09" w:rsidR="00B92B09" w:rsidP="00B92B09" w:rsidRDefault="00B92B09" w14:paraId="02BC9984" w14:textId="77777777">
      <w:pPr>
        <w:spacing w:after="0" w:line="240" w:lineRule="auto"/>
      </w:pPr>
    </w:p>
    <w:p w:rsidRPr="006625E7" w:rsidR="00562915" w:rsidP="00B92B09" w:rsidRDefault="00562915" w14:paraId="185A015F"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w:t>
      </w:r>
      <w:r w:rsidR="00A54DFD">
        <w:rPr>
          <w:rFonts w:ascii="Times New Roman" w:hAnsi="Times New Roman" w:cs="Times New Roman"/>
          <w:sz w:val="24"/>
          <w:szCs w:val="24"/>
        </w:rPr>
        <w:t>ect to any request for approval.</w:t>
      </w:r>
    </w:p>
    <w:p w:rsidR="00B92B09" w:rsidP="00562915" w:rsidRDefault="00B92B09" w14:paraId="4FF357A1" w14:textId="77777777">
      <w:pPr>
        <w:pStyle w:val="Heading1"/>
        <w:rPr>
          <w:szCs w:val="28"/>
        </w:rPr>
      </w:pPr>
    </w:p>
    <w:p w:rsidRPr="00B92B09" w:rsidR="00562915" w:rsidP="00B92B09" w:rsidRDefault="00562915" w14:paraId="45759C38" w14:textId="77777777">
      <w:pPr>
        <w:pStyle w:val="Heading1"/>
        <w:rPr>
          <w:szCs w:val="28"/>
        </w:rPr>
      </w:pPr>
      <w:r w:rsidRPr="00B92B09">
        <w:rPr>
          <w:szCs w:val="28"/>
        </w:rPr>
        <w:t>Specific Instructions</w:t>
      </w:r>
    </w:p>
    <w:p w:rsidRPr="00B92B09" w:rsidR="00562915" w:rsidP="00B92B09" w:rsidRDefault="00562915" w14:paraId="4BF6FD4A"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5D5FDDC4" w14:textId="77777777">
      <w:pPr>
        <w:pStyle w:val="Heading1"/>
        <w:rPr>
          <w:szCs w:val="28"/>
        </w:rPr>
      </w:pPr>
      <w:r w:rsidRPr="00B92B09">
        <w:rPr>
          <w:szCs w:val="28"/>
        </w:rPr>
        <w:t>A.  Justification</w:t>
      </w:r>
    </w:p>
    <w:p w:rsidRPr="00B92B09" w:rsidR="00562915" w:rsidP="00B92B09" w:rsidRDefault="00562915" w14:paraId="41CB98E5" w14:textId="77777777">
      <w:pPr>
        <w:spacing w:after="0" w:line="240" w:lineRule="auto"/>
        <w:rPr>
          <w:rFonts w:ascii="Times New Roman" w:hAnsi="Times New Roman" w:cs="Times New Roman"/>
          <w:sz w:val="28"/>
          <w:szCs w:val="28"/>
        </w:rPr>
      </w:pPr>
    </w:p>
    <w:p w:rsidRPr="006625E7" w:rsidR="00562915" w:rsidP="00562915" w:rsidRDefault="00562915" w14:paraId="3AB56A39"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5CB8EF29"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5974F4" w:rsidP="00562915" w:rsidRDefault="005974F4" w14:paraId="7FB8F953" w14:textId="177E9A79">
      <w:pPr>
        <w:rPr>
          <w:rFonts w:ascii="Times New Roman" w:hAnsi="Times New Roman"/>
          <w:sz w:val="24"/>
        </w:rPr>
      </w:pPr>
      <w:r>
        <w:rPr>
          <w:rFonts w:ascii="Times New Roman" w:hAnsi="Times New Roman"/>
          <w:sz w:val="24"/>
        </w:rPr>
        <w:t xml:space="preserve">Section 1365 of the National Flood Insurance Act of 1968 (NFIA) (42 U.S.C. 4104b), as added by Section 528 of the </w:t>
      </w:r>
      <w:r w:rsidRPr="00146C4E">
        <w:rPr>
          <w:rFonts w:ascii="Times New Roman" w:hAnsi="Times New Roman"/>
          <w:sz w:val="24"/>
        </w:rPr>
        <w:t>National Flood Insurance Reform Act of 1994</w:t>
      </w:r>
      <w:r>
        <w:rPr>
          <w:rFonts w:ascii="Times New Roman" w:hAnsi="Times New Roman"/>
          <w:sz w:val="24"/>
        </w:rPr>
        <w:t xml:space="preserve"> (Public Law 103-325, title V),</w:t>
      </w:r>
      <w:r w:rsidRPr="00EB6368">
        <w:rPr>
          <w:rFonts w:ascii="Times New Roman" w:hAnsi="Times New Roman"/>
          <w:sz w:val="24"/>
        </w:rPr>
        <w:t xml:space="preserve"> requires that FEMA develop a standard hazard determination form for recording the determination of whether a structure is located within an identified Special Flood Hazard Area and whether flood insurance is available.  </w:t>
      </w:r>
      <w:r>
        <w:rPr>
          <w:rFonts w:ascii="Times New Roman" w:hAnsi="Times New Roman"/>
          <w:sz w:val="24"/>
        </w:rPr>
        <w:t>R</w:t>
      </w:r>
      <w:r w:rsidRPr="00EB6368">
        <w:rPr>
          <w:rFonts w:ascii="Times New Roman" w:hAnsi="Times New Roman"/>
          <w:sz w:val="24"/>
        </w:rPr>
        <w:t>egulated lending institutions, federal agency lenders, the Federal National Mortgage Association, the Federal Home Loan Mortgage Corporation, and the Government National Mortgage Association</w:t>
      </w:r>
      <w:r>
        <w:rPr>
          <w:rFonts w:ascii="Times New Roman" w:hAnsi="Times New Roman"/>
          <w:sz w:val="24"/>
        </w:rPr>
        <w:t xml:space="preserve"> must complete this form</w:t>
      </w:r>
      <w:r w:rsidRPr="00EB6368">
        <w:rPr>
          <w:rFonts w:ascii="Times New Roman" w:hAnsi="Times New Roman"/>
          <w:sz w:val="24"/>
        </w:rPr>
        <w:t xml:space="preserve"> for any loan made, increased, extended, renewed or purchased by these entities.  The requirement for federally regulated lending institutions to determine whether a building or mobile home securing a loan is located in an area </w:t>
      </w:r>
      <w:r w:rsidRPr="00EB6368">
        <w:rPr>
          <w:rFonts w:ascii="Times New Roman" w:hAnsi="Times New Roman"/>
          <w:sz w:val="24"/>
        </w:rPr>
        <w:lastRenderedPageBreak/>
        <w:t xml:space="preserve">having special flood hazards and whether flood insurance is available has been in effect since the enactment of the Flood Disaster Protection Act of 1973, although the use of a standard form was not required until the enactment of the </w:t>
      </w:r>
      <w:r>
        <w:rPr>
          <w:rFonts w:ascii="Times New Roman" w:hAnsi="Times New Roman"/>
          <w:sz w:val="24"/>
        </w:rPr>
        <w:t>Section 1365 of the NFIA</w:t>
      </w:r>
      <w:r w:rsidRPr="00EB6368">
        <w:rPr>
          <w:rFonts w:ascii="Times New Roman" w:hAnsi="Times New Roman"/>
          <w:sz w:val="24"/>
        </w:rPr>
        <w:t>.  The establishment of the Standard Flood Hazard Determination form has enabled lenders to provide consistent information.</w:t>
      </w:r>
      <w:r w:rsidRPr="00F65E17">
        <w:rPr>
          <w:rFonts w:ascii="Times New Roman" w:hAnsi="Times New Roman"/>
          <w:sz w:val="24"/>
        </w:rPr>
        <w:t xml:space="preserve">   </w:t>
      </w:r>
    </w:p>
    <w:p w:rsidRPr="006625E7" w:rsidR="00562915" w:rsidP="00562915" w:rsidRDefault="00562915" w14:paraId="2A9323A7"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1D2CD8" w:rsidR="001D2CD8" w:rsidP="001D2CD8" w:rsidRDefault="001D2CD8" w14:paraId="69CB9A80" w14:textId="54B96D80">
      <w:pPr>
        <w:rPr>
          <w:rFonts w:ascii="Times New Roman" w:hAnsi="Times New Roman" w:cs="Times New Roman"/>
          <w:sz w:val="24"/>
          <w:szCs w:val="24"/>
        </w:rPr>
      </w:pPr>
      <w:r w:rsidRPr="001D2CD8">
        <w:rPr>
          <w:rFonts w:ascii="Times New Roman" w:hAnsi="Times New Roman" w:cs="Times New Roman"/>
          <w:b/>
          <w:sz w:val="24"/>
          <w:szCs w:val="24"/>
        </w:rPr>
        <w:t xml:space="preserve">FEMA Form </w:t>
      </w:r>
      <w:r w:rsidRPr="001D2CD8">
        <w:rPr>
          <w:rFonts w:ascii="Times New Roman" w:hAnsi="Times New Roman" w:cs="Times New Roman"/>
          <w:b/>
          <w:bCs/>
          <w:sz w:val="24"/>
          <w:szCs w:val="24"/>
        </w:rPr>
        <w:t>086-0-</w:t>
      </w:r>
      <w:r w:rsidRPr="001D2CD8" w:rsidR="00CF6E77">
        <w:rPr>
          <w:rFonts w:ascii="Times New Roman" w:hAnsi="Times New Roman" w:cs="Times New Roman"/>
          <w:b/>
          <w:bCs/>
          <w:sz w:val="24"/>
          <w:szCs w:val="24"/>
        </w:rPr>
        <w:t>32</w:t>
      </w:r>
      <w:r w:rsidRPr="001D2CD8">
        <w:rPr>
          <w:rFonts w:ascii="Times New Roman" w:hAnsi="Times New Roman" w:cs="Times New Roman"/>
          <w:sz w:val="24"/>
          <w:szCs w:val="24"/>
        </w:rPr>
        <w:t xml:space="preserve"> is used to comply</w:t>
      </w:r>
      <w:r w:rsidR="008D1856">
        <w:rPr>
          <w:rFonts w:ascii="Times New Roman" w:hAnsi="Times New Roman" w:cs="Times New Roman"/>
          <w:sz w:val="24"/>
          <w:szCs w:val="24"/>
        </w:rPr>
        <w:t xml:space="preserve"> with</w:t>
      </w:r>
      <w:r w:rsidRPr="001D2CD8">
        <w:rPr>
          <w:rFonts w:ascii="Times New Roman" w:hAnsi="Times New Roman" w:cs="Times New Roman"/>
          <w:sz w:val="24"/>
          <w:szCs w:val="24"/>
        </w:rPr>
        <w:t xml:space="preserve"> </w:t>
      </w:r>
      <w:r w:rsidR="005974F4">
        <w:rPr>
          <w:rFonts w:ascii="Times New Roman" w:hAnsi="Times New Roman"/>
          <w:sz w:val="24"/>
        </w:rPr>
        <w:t>Section 1365 of the National Flood Insurance Act of 1968 (NFIA) (42 U.S.C. 4104b)</w:t>
      </w:r>
      <w:r w:rsidRPr="001D2CD8">
        <w:rPr>
          <w:rFonts w:ascii="Times New Roman" w:hAnsi="Times New Roman" w:cs="Times New Roman"/>
          <w:sz w:val="24"/>
          <w:szCs w:val="24"/>
        </w:rPr>
        <w:t xml:space="preserve">. </w:t>
      </w:r>
      <w:r w:rsidR="00FB4B93">
        <w:rPr>
          <w:rFonts w:ascii="Times New Roman" w:hAnsi="Times New Roman" w:cs="Times New Roman"/>
          <w:sz w:val="24"/>
          <w:szCs w:val="24"/>
        </w:rPr>
        <w:t xml:space="preserve"> </w:t>
      </w:r>
      <w:r w:rsidRPr="001D2CD8">
        <w:rPr>
          <w:rFonts w:ascii="Times New Roman" w:hAnsi="Times New Roman" w:cs="Times New Roman"/>
          <w:sz w:val="24"/>
          <w:szCs w:val="24"/>
        </w:rPr>
        <w:t xml:space="preserve">The Standard Flood Hazard Determination form is used by regulated lending institutions, federal agency lenders, the Federal National Mortgage Association, the Federal Home Loan Mortgage Corporation, and the Government National Mortgage Association. </w:t>
      </w:r>
      <w:r w:rsidR="00FB4B93">
        <w:rPr>
          <w:rFonts w:ascii="Times New Roman" w:hAnsi="Times New Roman" w:cs="Times New Roman"/>
          <w:sz w:val="24"/>
          <w:szCs w:val="24"/>
        </w:rPr>
        <w:t xml:space="preserve"> </w:t>
      </w:r>
      <w:r w:rsidRPr="001D2CD8">
        <w:rPr>
          <w:rFonts w:ascii="Times New Roman" w:hAnsi="Times New Roman" w:cs="Times New Roman"/>
          <w:sz w:val="24"/>
          <w:szCs w:val="24"/>
        </w:rPr>
        <w:t xml:space="preserve">Federally regulated lending institutions complete this form when making, increasing, extending, renewing or purchasing each loan for the purpose of determining whether flood insurance is required and available. </w:t>
      </w:r>
      <w:r w:rsidR="00FB4B93">
        <w:rPr>
          <w:rFonts w:ascii="Times New Roman" w:hAnsi="Times New Roman" w:cs="Times New Roman"/>
          <w:sz w:val="24"/>
          <w:szCs w:val="24"/>
        </w:rPr>
        <w:t xml:space="preserve"> </w:t>
      </w:r>
      <w:r w:rsidRPr="001D2CD8">
        <w:rPr>
          <w:rFonts w:ascii="Times New Roman" w:hAnsi="Times New Roman" w:cs="Times New Roman"/>
          <w:sz w:val="24"/>
          <w:szCs w:val="24"/>
        </w:rPr>
        <w:t>The form may also be used by property owner</w:t>
      </w:r>
      <w:r w:rsidR="008D1856">
        <w:rPr>
          <w:rFonts w:ascii="Times New Roman" w:hAnsi="Times New Roman" w:cs="Times New Roman"/>
          <w:sz w:val="24"/>
          <w:szCs w:val="24"/>
        </w:rPr>
        <w:t>s</w:t>
      </w:r>
      <w:r w:rsidRPr="001D2CD8">
        <w:rPr>
          <w:rFonts w:ascii="Times New Roman" w:hAnsi="Times New Roman" w:cs="Times New Roman"/>
          <w:sz w:val="24"/>
          <w:szCs w:val="24"/>
        </w:rPr>
        <w:t xml:space="preserve">, insurance agents, realtors and community officials for flood insurance related activities and documentation.   </w:t>
      </w:r>
    </w:p>
    <w:p w:rsidRPr="006625E7" w:rsidR="00562915" w:rsidP="00562915" w:rsidRDefault="00562915" w14:paraId="42F322BA"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D2CD8" w:rsidP="001D2CD8" w:rsidRDefault="001D2CD8" w14:paraId="04880793" w14:textId="30B886F5">
      <w:pPr>
        <w:rPr>
          <w:rFonts w:ascii="Times New Roman" w:hAnsi="Times New Roman" w:cs="Times New Roman"/>
          <w:bCs/>
          <w:color w:val="000000"/>
          <w:sz w:val="24"/>
          <w:szCs w:val="24"/>
        </w:rPr>
      </w:pPr>
      <w:r w:rsidRPr="001D2CD8">
        <w:rPr>
          <w:rFonts w:ascii="Times New Roman" w:hAnsi="Times New Roman" w:cs="Times New Roman"/>
          <w:bCs/>
          <w:color w:val="000000"/>
          <w:sz w:val="24"/>
          <w:szCs w:val="24"/>
        </w:rPr>
        <w:t>FEMA has utilized technology to reduce the burden for the Standard Flood Hazard Determination Form (SFHDF) by placing it online where users can download the form electronically</w:t>
      </w:r>
      <w:r w:rsidRPr="00C27C29" w:rsidR="00FB4B93">
        <w:rPr>
          <w:rFonts w:ascii="Times New Roman" w:hAnsi="Times New Roman" w:cs="Times New Roman"/>
          <w:bCs/>
          <w:color w:val="000000"/>
          <w:sz w:val="24"/>
          <w:szCs w:val="24"/>
        </w:rPr>
        <w:t xml:space="preserve"> at</w:t>
      </w:r>
      <w:r w:rsidRPr="00535109">
        <w:rPr>
          <w:rFonts w:ascii="Times New Roman" w:hAnsi="Times New Roman" w:cs="Times New Roman"/>
          <w:bCs/>
          <w:color w:val="000000"/>
          <w:sz w:val="24"/>
          <w:szCs w:val="24"/>
        </w:rPr>
        <w:t xml:space="preserve"> </w:t>
      </w:r>
      <w:hyperlink w:history="1" r:id="rId8">
        <w:r w:rsidRPr="00F57D4A" w:rsidR="00AA38B0">
          <w:rPr>
            <w:rStyle w:val="Hyperlink"/>
            <w:rFonts w:ascii="Times New Roman" w:hAnsi="Times New Roman" w:cs="Times New Roman"/>
            <w:bCs/>
            <w:sz w:val="24"/>
            <w:szCs w:val="24"/>
          </w:rPr>
          <w:t>http://www.fema.gov/media-library/assets/documents/225?id=1394</w:t>
        </w:r>
      </w:hyperlink>
      <w:r w:rsidRPr="001D2CD8">
        <w:rPr>
          <w:rFonts w:ascii="Times New Roman" w:hAnsi="Times New Roman" w:cs="Times New Roman"/>
          <w:bCs/>
          <w:color w:val="000000"/>
          <w:sz w:val="24"/>
          <w:szCs w:val="24"/>
        </w:rPr>
        <w:t>.</w:t>
      </w:r>
      <w:r w:rsidR="00AA38B0">
        <w:rPr>
          <w:rFonts w:ascii="Times New Roman" w:hAnsi="Times New Roman" w:cs="Times New Roman"/>
          <w:bCs/>
          <w:color w:val="000000"/>
          <w:sz w:val="24"/>
          <w:szCs w:val="24"/>
        </w:rPr>
        <w:t xml:space="preserve"> </w:t>
      </w:r>
      <w:r w:rsidRPr="001D2CD8">
        <w:rPr>
          <w:rFonts w:ascii="Times New Roman" w:hAnsi="Times New Roman" w:cs="Times New Roman"/>
          <w:bCs/>
          <w:color w:val="000000"/>
          <w:sz w:val="24"/>
          <w:szCs w:val="24"/>
        </w:rPr>
        <w:t xml:space="preserve"> The SFHDF may be used in a printed or electronic manner </w:t>
      </w:r>
      <w:r w:rsidR="00DC0DE5">
        <w:rPr>
          <w:rFonts w:ascii="Times New Roman" w:hAnsi="Times New Roman" w:cs="Times New Roman"/>
          <w:bCs/>
          <w:color w:val="000000"/>
          <w:sz w:val="24"/>
          <w:szCs w:val="24"/>
        </w:rPr>
        <w:t>as needed by the user</w:t>
      </w:r>
      <w:r w:rsidRPr="001D2CD8">
        <w:rPr>
          <w:rFonts w:ascii="Times New Roman" w:hAnsi="Times New Roman" w:cs="Times New Roman"/>
          <w:bCs/>
          <w:color w:val="000000"/>
          <w:sz w:val="24"/>
          <w:szCs w:val="24"/>
        </w:rPr>
        <w:t xml:space="preserve">.  </w:t>
      </w:r>
    </w:p>
    <w:p w:rsidRPr="0021784A" w:rsidR="000309C2" w:rsidP="000309C2" w:rsidRDefault="000309C2" w14:paraId="7197493F" w14:textId="321E406B">
      <w:pPr>
        <w:rPr>
          <w:rFonts w:ascii="Times New Roman" w:hAnsi="Times New Roman" w:cs="Times New Roman"/>
          <w:bCs/>
          <w:color w:val="000000"/>
          <w:sz w:val="24"/>
          <w:szCs w:val="24"/>
        </w:rPr>
      </w:pPr>
      <w:r w:rsidRPr="0021784A">
        <w:rPr>
          <w:rFonts w:ascii="Times New Roman" w:hAnsi="Times New Roman" w:cs="Times New Roman"/>
          <w:bCs/>
          <w:color w:val="000000"/>
          <w:sz w:val="24"/>
          <w:szCs w:val="24"/>
        </w:rPr>
        <w:t>FEMA does not collect the information, but we are responsible for creating and updating the form (see response to question 2</w:t>
      </w:r>
      <w:r w:rsidR="00CF6E77">
        <w:rPr>
          <w:rFonts w:ascii="Times New Roman" w:hAnsi="Times New Roman" w:cs="Times New Roman"/>
          <w:bCs/>
          <w:color w:val="000000"/>
          <w:sz w:val="24"/>
          <w:szCs w:val="24"/>
        </w:rPr>
        <w:t>,</w:t>
      </w:r>
      <w:r w:rsidRPr="0021784A">
        <w:rPr>
          <w:rFonts w:ascii="Times New Roman" w:hAnsi="Times New Roman" w:cs="Times New Roman"/>
          <w:bCs/>
          <w:color w:val="000000"/>
          <w:sz w:val="24"/>
          <w:szCs w:val="24"/>
        </w:rPr>
        <w:t xml:space="preserve"> </w:t>
      </w:r>
      <w:r w:rsidR="00CF6E77">
        <w:rPr>
          <w:rFonts w:ascii="Times New Roman" w:hAnsi="Times New Roman" w:cs="Times New Roman"/>
          <w:bCs/>
          <w:color w:val="000000"/>
          <w:sz w:val="24"/>
          <w:szCs w:val="24"/>
        </w:rPr>
        <w:t>r</w:t>
      </w:r>
      <w:r w:rsidRPr="0021784A">
        <w:rPr>
          <w:rFonts w:ascii="Times New Roman" w:hAnsi="Times New Roman" w:cs="Times New Roman"/>
          <w:bCs/>
          <w:color w:val="000000"/>
          <w:sz w:val="24"/>
          <w:szCs w:val="24"/>
        </w:rPr>
        <w:t xml:space="preserve">egarding the regulatory requirements), the form is used to collect flood </w:t>
      </w:r>
      <w:r w:rsidR="00A33D4C">
        <w:rPr>
          <w:rFonts w:ascii="Times New Roman" w:hAnsi="Times New Roman" w:cs="Times New Roman"/>
          <w:bCs/>
          <w:color w:val="000000"/>
          <w:sz w:val="24"/>
          <w:szCs w:val="24"/>
        </w:rPr>
        <w:t>hazard</w:t>
      </w:r>
      <w:r w:rsidRPr="0021784A" w:rsidR="00A33D4C">
        <w:rPr>
          <w:rFonts w:ascii="Times New Roman" w:hAnsi="Times New Roman" w:cs="Times New Roman"/>
          <w:bCs/>
          <w:color w:val="000000"/>
          <w:sz w:val="24"/>
          <w:szCs w:val="24"/>
        </w:rPr>
        <w:t xml:space="preserve"> </w:t>
      </w:r>
      <w:r w:rsidRPr="0021784A">
        <w:rPr>
          <w:rFonts w:ascii="Times New Roman" w:hAnsi="Times New Roman" w:cs="Times New Roman"/>
          <w:bCs/>
          <w:color w:val="000000"/>
          <w:sz w:val="24"/>
          <w:szCs w:val="24"/>
        </w:rPr>
        <w:t xml:space="preserve">data by federally regulated lenders outside FEMA’s authority.  Approximately 90% of these responses are collected electronically.  </w:t>
      </w:r>
    </w:p>
    <w:p w:rsidRPr="006625E7" w:rsidR="00562915" w:rsidP="00562915" w:rsidRDefault="00562915" w14:paraId="53E1F497"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1D2CD8" w:rsidR="001D2CD8" w:rsidP="001D2CD8" w:rsidRDefault="001D2CD8" w14:paraId="1E7124B1" w14:textId="318BF2DA">
      <w:pPr>
        <w:rPr>
          <w:rFonts w:ascii="Times New Roman" w:hAnsi="Times New Roman" w:cs="Times New Roman"/>
          <w:sz w:val="24"/>
          <w:szCs w:val="24"/>
        </w:rPr>
      </w:pPr>
      <w:r w:rsidRPr="001D2CD8">
        <w:rPr>
          <w:rFonts w:ascii="Times New Roman" w:hAnsi="Times New Roman" w:cs="Times New Roman"/>
          <w:bCs/>
          <w:sz w:val="24"/>
          <w:szCs w:val="24"/>
        </w:rPr>
        <w:lastRenderedPageBreak/>
        <w:t xml:space="preserve">This information is not collected </w:t>
      </w:r>
      <w:r w:rsidR="00227D06">
        <w:rPr>
          <w:rFonts w:ascii="Times New Roman" w:hAnsi="Times New Roman" w:cs="Times New Roman"/>
          <w:bCs/>
          <w:sz w:val="24"/>
          <w:szCs w:val="24"/>
        </w:rPr>
        <w:t xml:space="preserve">by FEMA </w:t>
      </w:r>
      <w:r w:rsidRPr="001D2CD8">
        <w:rPr>
          <w:rFonts w:ascii="Times New Roman" w:hAnsi="Times New Roman" w:cs="Times New Roman"/>
          <w:bCs/>
          <w:sz w:val="24"/>
          <w:szCs w:val="24"/>
        </w:rPr>
        <w:t>in any form, and therefore is not duplicated elsewhere.</w:t>
      </w:r>
      <w:r w:rsidR="006A0AC4">
        <w:rPr>
          <w:rFonts w:ascii="Times New Roman" w:hAnsi="Times New Roman" w:cs="Times New Roman"/>
          <w:bCs/>
          <w:sz w:val="24"/>
          <w:szCs w:val="24"/>
        </w:rPr>
        <w:t xml:space="preserve"> </w:t>
      </w:r>
    </w:p>
    <w:p w:rsidRPr="006625E7" w:rsidR="00562915" w:rsidP="002B2B7C" w:rsidRDefault="00562915" w14:paraId="759959FD"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1D2CD8" w:rsidR="001D2CD8" w:rsidP="001D2CD8" w:rsidRDefault="001D2CD8" w14:paraId="171E27E3" w14:textId="77777777">
      <w:pPr>
        <w:tabs>
          <w:tab w:val="left" w:pos="360"/>
        </w:tabs>
        <w:rPr>
          <w:rFonts w:ascii="Times New Roman" w:hAnsi="Times New Roman" w:cs="Times New Roman"/>
          <w:spacing w:val="-3"/>
          <w:sz w:val="24"/>
          <w:szCs w:val="24"/>
        </w:rPr>
      </w:pPr>
      <w:r w:rsidRPr="001D2CD8">
        <w:rPr>
          <w:rFonts w:ascii="Times New Roman" w:hAnsi="Times New Roman" w:cs="Times New Roman"/>
          <w:spacing w:val="-3"/>
          <w:sz w:val="24"/>
          <w:szCs w:val="24"/>
        </w:rPr>
        <w:t xml:space="preserve">This information collection does not have an impact on small businesses or other small entities.  </w:t>
      </w:r>
    </w:p>
    <w:p w:rsidRPr="006625E7" w:rsidR="00562915" w:rsidP="00562915" w:rsidRDefault="00562915" w14:paraId="7AECF55F"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6625E7">
        <w:rPr>
          <w:rFonts w:ascii="Times New Roman" w:hAnsi="Times New Roman" w:cs="Times New Roman"/>
          <w:b/>
          <w:bCs/>
          <w:sz w:val="24"/>
          <w:szCs w:val="24"/>
        </w:rPr>
        <w:t>conducted, or</w:t>
      </w:r>
      <w:proofErr w:type="gramEnd"/>
      <w:r w:rsidRPr="006625E7">
        <w:rPr>
          <w:rFonts w:ascii="Times New Roman" w:hAnsi="Times New Roman" w:cs="Times New Roman"/>
          <w:b/>
          <w:bCs/>
          <w:sz w:val="24"/>
          <w:szCs w:val="24"/>
        </w:rPr>
        <w:t xml:space="preserve"> is conducted less frequently as well as any technical or legal obstacles to reducing burden.  </w:t>
      </w:r>
    </w:p>
    <w:p w:rsidRPr="00AA38B0" w:rsidR="00AA38B0" w:rsidP="00AA38B0" w:rsidRDefault="001D2CD8" w14:paraId="6F8E2968" w14:textId="7B9187D5">
      <w:pPr>
        <w:rPr>
          <w:rFonts w:ascii="Times New Roman" w:hAnsi="Times New Roman" w:cs="Times New Roman"/>
          <w:spacing w:val="-3"/>
          <w:sz w:val="24"/>
          <w:szCs w:val="24"/>
        </w:rPr>
      </w:pPr>
      <w:r w:rsidRPr="001D2CD8">
        <w:rPr>
          <w:rFonts w:ascii="Times New Roman" w:hAnsi="Times New Roman" w:cs="Times New Roman"/>
          <w:spacing w:val="-3"/>
          <w:sz w:val="24"/>
          <w:szCs w:val="24"/>
        </w:rPr>
        <w:t xml:space="preserve">If federally regulated lending institutions did not collect the information on the Standard Flood Hazard Determination Form (FEMA Form </w:t>
      </w:r>
      <w:r w:rsidRPr="001D2CD8">
        <w:rPr>
          <w:rFonts w:ascii="Times New Roman" w:hAnsi="Times New Roman" w:cs="Times New Roman"/>
          <w:bCs/>
          <w:spacing w:val="-3"/>
          <w:sz w:val="24"/>
          <w:szCs w:val="24"/>
        </w:rPr>
        <w:t>086-0-32</w:t>
      </w:r>
      <w:r w:rsidRPr="001D2CD8">
        <w:rPr>
          <w:rFonts w:ascii="Times New Roman" w:hAnsi="Times New Roman" w:cs="Times New Roman"/>
          <w:spacing w:val="-3"/>
          <w:sz w:val="24"/>
          <w:szCs w:val="24"/>
        </w:rPr>
        <w:t xml:space="preserve">) for each loan, federally-backed loans </w:t>
      </w:r>
      <w:r w:rsidR="005974F4">
        <w:rPr>
          <w:rFonts w:ascii="Times New Roman" w:hAnsi="Times New Roman" w:cs="Times New Roman"/>
          <w:spacing w:val="-3"/>
          <w:sz w:val="24"/>
          <w:szCs w:val="24"/>
        </w:rPr>
        <w:t>could</w:t>
      </w:r>
      <w:r w:rsidRPr="001D2CD8" w:rsidR="005974F4">
        <w:rPr>
          <w:rFonts w:ascii="Times New Roman" w:hAnsi="Times New Roman" w:cs="Times New Roman"/>
          <w:spacing w:val="-3"/>
          <w:sz w:val="24"/>
          <w:szCs w:val="24"/>
        </w:rPr>
        <w:t xml:space="preserve"> </w:t>
      </w:r>
      <w:r w:rsidRPr="001D2CD8">
        <w:rPr>
          <w:rFonts w:ascii="Times New Roman" w:hAnsi="Times New Roman" w:cs="Times New Roman"/>
          <w:spacing w:val="-3"/>
          <w:sz w:val="24"/>
          <w:szCs w:val="24"/>
        </w:rPr>
        <w:t xml:space="preserve">be inadequately insured from flood losses.  This would place the risk on taxpayers instead of on the lender.  </w:t>
      </w:r>
      <w:r w:rsidR="005974F4">
        <w:rPr>
          <w:rFonts w:ascii="Times New Roman" w:hAnsi="Times New Roman"/>
          <w:sz w:val="24"/>
        </w:rPr>
        <w:t xml:space="preserve">Section 1365 of the NFIA (42 U.S.C. 4104b) </w:t>
      </w:r>
      <w:r w:rsidRPr="00AA38B0" w:rsidR="00AA38B0">
        <w:rPr>
          <w:rFonts w:ascii="Times New Roman" w:hAnsi="Times New Roman" w:cs="Times New Roman"/>
          <w:spacing w:val="-3"/>
          <w:sz w:val="24"/>
          <w:szCs w:val="24"/>
        </w:rPr>
        <w:t>requires the use of this form by regulated lending institutions for any loan made, increased, extended, renewed or purchased by these entities.</w:t>
      </w:r>
      <w:r w:rsidR="00AA38B0">
        <w:rPr>
          <w:rFonts w:ascii="Times New Roman" w:hAnsi="Times New Roman" w:cs="Times New Roman"/>
          <w:spacing w:val="-3"/>
          <w:sz w:val="24"/>
          <w:szCs w:val="24"/>
        </w:rPr>
        <w:t xml:space="preserve">  If the form is not available it could affect millions of loans in the United States.</w:t>
      </w:r>
    </w:p>
    <w:p w:rsidRPr="006625E7" w:rsidR="00562915" w:rsidP="00562915" w:rsidRDefault="00562915" w14:paraId="3BD76A33"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52120443"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183A6119"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12ABBEFF"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0D0FC8" w:rsidR="00562915" w:rsidP="00562915" w:rsidRDefault="00562915" w14:paraId="61CAF7FA" w14:textId="77777777">
      <w:pPr>
        <w:numPr>
          <w:ilvl w:val="0"/>
          <w:numId w:val="3"/>
        </w:numPr>
        <w:spacing w:after="0" w:line="240" w:lineRule="auto"/>
        <w:rPr>
          <w:rFonts w:ascii="Times New Roman" w:hAnsi="Times New Roman" w:cs="Times New Roman"/>
          <w:sz w:val="24"/>
          <w:szCs w:val="24"/>
        </w:rPr>
      </w:pPr>
      <w:r w:rsidRPr="000D0FC8">
        <w:rPr>
          <w:rFonts w:ascii="Times New Roman" w:hAnsi="Times New Roman" w:cs="Times New Roman"/>
          <w:sz w:val="24"/>
          <w:szCs w:val="24"/>
        </w:rPr>
        <w:fldChar w:fldCharType="begin"/>
      </w:r>
      <w:r w:rsidRPr="000D0FC8">
        <w:rPr>
          <w:rFonts w:ascii="Times New Roman" w:hAnsi="Times New Roman" w:cs="Times New Roman"/>
          <w:sz w:val="24"/>
          <w:szCs w:val="24"/>
        </w:rPr>
        <w:instrText>ADVANCE \R 0.95</w:instrText>
      </w:r>
      <w:r w:rsidRPr="000D0FC8">
        <w:rPr>
          <w:rFonts w:ascii="Times New Roman" w:hAnsi="Times New Roman" w:cs="Times New Roman"/>
          <w:sz w:val="24"/>
          <w:szCs w:val="24"/>
        </w:rPr>
        <w:fldChar w:fldCharType="end"/>
      </w:r>
      <w:r w:rsidRPr="000D0FC8">
        <w:rPr>
          <w:rFonts w:ascii="Times New Roman" w:hAnsi="Times New Roman" w:cs="Times New Roman"/>
          <w:b/>
          <w:bCs/>
          <w:sz w:val="24"/>
          <w:szCs w:val="24"/>
        </w:rPr>
        <w:t>Requiring respondents to submit more than an original and two</w:t>
      </w:r>
      <w:r w:rsidRPr="000D0FC8" w:rsidR="000D0FC8">
        <w:rPr>
          <w:rFonts w:ascii="Times New Roman" w:hAnsi="Times New Roman" w:cs="Times New Roman"/>
          <w:b/>
          <w:bCs/>
          <w:sz w:val="24"/>
          <w:szCs w:val="24"/>
        </w:rPr>
        <w:t xml:space="preserve"> </w:t>
      </w:r>
      <w:r w:rsidRPr="000D0FC8">
        <w:rPr>
          <w:rFonts w:ascii="Times New Roman" w:hAnsi="Times New Roman" w:cs="Times New Roman"/>
          <w:b/>
          <w:bCs/>
          <w:sz w:val="24"/>
          <w:szCs w:val="24"/>
        </w:rPr>
        <w:t>copies of any document.</w:t>
      </w:r>
      <w:r w:rsidRPr="000D0FC8">
        <w:rPr>
          <w:rFonts w:ascii="Times New Roman" w:hAnsi="Times New Roman" w:cs="Times New Roman"/>
          <w:b/>
          <w:bCs/>
          <w:sz w:val="24"/>
          <w:szCs w:val="24"/>
        </w:rPr>
        <w:fldChar w:fldCharType="begin"/>
      </w:r>
      <w:r w:rsidRPr="000D0FC8">
        <w:rPr>
          <w:rFonts w:ascii="Times New Roman" w:hAnsi="Times New Roman" w:cs="Times New Roman"/>
          <w:b/>
          <w:bCs/>
          <w:sz w:val="24"/>
          <w:szCs w:val="24"/>
        </w:rPr>
        <w:instrText>ADVANCE \R 0.95</w:instrText>
      </w:r>
      <w:r w:rsidRPr="000D0FC8">
        <w:rPr>
          <w:rFonts w:ascii="Times New Roman" w:hAnsi="Times New Roman" w:cs="Times New Roman"/>
          <w:b/>
          <w:bCs/>
          <w:sz w:val="24"/>
          <w:szCs w:val="24"/>
        </w:rPr>
        <w:fldChar w:fldCharType="end"/>
      </w:r>
    </w:p>
    <w:p w:rsidRPr="000D0FC8" w:rsidR="00562915" w:rsidP="00562915" w:rsidRDefault="00562915" w14:paraId="42982CA1" w14:textId="77777777">
      <w:pPr>
        <w:numPr>
          <w:ilvl w:val="0"/>
          <w:numId w:val="3"/>
        </w:numPr>
        <w:spacing w:after="0" w:line="240" w:lineRule="auto"/>
        <w:rPr>
          <w:rFonts w:ascii="Times New Roman" w:hAnsi="Times New Roman" w:cs="Times New Roman"/>
          <w:sz w:val="24"/>
          <w:szCs w:val="24"/>
        </w:rPr>
      </w:pPr>
      <w:r w:rsidRPr="000D0FC8">
        <w:rPr>
          <w:rFonts w:ascii="Times New Roman" w:hAnsi="Times New Roman" w:cs="Times New Roman"/>
          <w:sz w:val="24"/>
          <w:szCs w:val="24"/>
        </w:rPr>
        <w:fldChar w:fldCharType="begin"/>
      </w:r>
      <w:r w:rsidRPr="000D0FC8">
        <w:rPr>
          <w:rFonts w:ascii="Times New Roman" w:hAnsi="Times New Roman" w:cs="Times New Roman"/>
          <w:sz w:val="24"/>
          <w:szCs w:val="24"/>
        </w:rPr>
        <w:instrText>ADVANCE \R 0.95</w:instrText>
      </w:r>
      <w:r w:rsidRPr="000D0FC8">
        <w:rPr>
          <w:rFonts w:ascii="Times New Roman" w:hAnsi="Times New Roman" w:cs="Times New Roman"/>
          <w:sz w:val="24"/>
          <w:szCs w:val="24"/>
        </w:rPr>
        <w:fldChar w:fldCharType="end"/>
      </w:r>
      <w:r w:rsidRPr="000D0FC8">
        <w:rPr>
          <w:rFonts w:ascii="Times New Roman" w:hAnsi="Times New Roman" w:cs="Times New Roman"/>
          <w:b/>
          <w:bCs/>
          <w:sz w:val="24"/>
          <w:szCs w:val="24"/>
        </w:rPr>
        <w:t>Requiring respondents to retain records, other than health,</w:t>
      </w:r>
      <w:r w:rsidRPr="000D0FC8" w:rsidR="000D0FC8">
        <w:rPr>
          <w:rFonts w:ascii="Times New Roman" w:hAnsi="Times New Roman" w:cs="Times New Roman"/>
          <w:b/>
          <w:bCs/>
          <w:sz w:val="24"/>
          <w:szCs w:val="24"/>
        </w:rPr>
        <w:t xml:space="preserve"> </w:t>
      </w:r>
      <w:r w:rsidRPr="000D0FC8">
        <w:rPr>
          <w:rFonts w:ascii="Times New Roman" w:hAnsi="Times New Roman" w:cs="Times New Roman"/>
          <w:b/>
          <w:bCs/>
          <w:sz w:val="24"/>
          <w:szCs w:val="24"/>
        </w:rPr>
        <w:t>medical, government contract, grant-in-aid, or tax records for more than three years</w:t>
      </w:r>
      <w:r w:rsidRPr="000D0FC8">
        <w:rPr>
          <w:rFonts w:ascii="Times New Roman" w:hAnsi="Times New Roman" w:cs="Times New Roman"/>
          <w:sz w:val="24"/>
          <w:szCs w:val="24"/>
        </w:rPr>
        <w:t>.</w:t>
      </w:r>
      <w:r w:rsidRPr="000D0FC8">
        <w:rPr>
          <w:rFonts w:ascii="Times New Roman" w:hAnsi="Times New Roman" w:cs="Times New Roman"/>
          <w:sz w:val="24"/>
          <w:szCs w:val="24"/>
        </w:rPr>
        <w:fldChar w:fldCharType="begin"/>
      </w:r>
      <w:r w:rsidRPr="000D0FC8">
        <w:rPr>
          <w:rFonts w:ascii="Times New Roman" w:hAnsi="Times New Roman" w:cs="Times New Roman"/>
          <w:sz w:val="24"/>
          <w:szCs w:val="24"/>
        </w:rPr>
        <w:instrText>ADVANCE \R 0.95</w:instrText>
      </w:r>
      <w:r w:rsidRPr="000D0FC8">
        <w:rPr>
          <w:rFonts w:ascii="Times New Roman" w:hAnsi="Times New Roman" w:cs="Times New Roman"/>
          <w:sz w:val="24"/>
          <w:szCs w:val="24"/>
        </w:rPr>
        <w:fldChar w:fldCharType="end"/>
      </w:r>
    </w:p>
    <w:p w:rsidRPr="00A25B0B" w:rsidR="00562915" w:rsidP="00562915" w:rsidRDefault="00562915" w14:paraId="62F4EB29" w14:textId="77777777">
      <w:pPr>
        <w:numPr>
          <w:ilvl w:val="0"/>
          <w:numId w:val="3"/>
        </w:numPr>
        <w:spacing w:after="0" w:line="240" w:lineRule="auto"/>
        <w:rPr>
          <w:rFonts w:ascii="Times New Roman" w:hAnsi="Times New Roman" w:cs="Times New Roman"/>
          <w:sz w:val="24"/>
          <w:szCs w:val="24"/>
        </w:rPr>
      </w:pPr>
      <w:r w:rsidRPr="00A25B0B">
        <w:rPr>
          <w:rFonts w:ascii="Times New Roman" w:hAnsi="Times New Roman" w:cs="Times New Roman"/>
          <w:sz w:val="24"/>
          <w:szCs w:val="24"/>
        </w:rPr>
        <w:fldChar w:fldCharType="begin"/>
      </w:r>
      <w:r w:rsidRPr="00A25B0B">
        <w:rPr>
          <w:rFonts w:ascii="Times New Roman" w:hAnsi="Times New Roman" w:cs="Times New Roman"/>
          <w:sz w:val="24"/>
          <w:szCs w:val="24"/>
        </w:rPr>
        <w:instrText>ADVANCE \R 0.95</w:instrText>
      </w:r>
      <w:r w:rsidRPr="00A25B0B">
        <w:rPr>
          <w:rFonts w:ascii="Times New Roman" w:hAnsi="Times New Roman" w:cs="Times New Roman"/>
          <w:sz w:val="24"/>
          <w:szCs w:val="24"/>
        </w:rPr>
        <w:fldChar w:fldCharType="end"/>
      </w:r>
      <w:r w:rsidRPr="00A25B0B">
        <w:rPr>
          <w:rFonts w:ascii="Times New Roman" w:hAnsi="Times New Roman" w:cs="Times New Roman"/>
          <w:b/>
          <w:bCs/>
          <w:sz w:val="24"/>
          <w:szCs w:val="24"/>
        </w:rPr>
        <w:t>In connection with a statistical survey, that is not designed to</w:t>
      </w:r>
      <w:r w:rsidR="00A25B0B">
        <w:rPr>
          <w:rFonts w:ascii="Times New Roman" w:hAnsi="Times New Roman" w:cs="Times New Roman"/>
          <w:b/>
          <w:bCs/>
          <w:sz w:val="24"/>
          <w:szCs w:val="24"/>
        </w:rPr>
        <w:t xml:space="preserve"> </w:t>
      </w:r>
      <w:r w:rsidRPr="00A25B0B">
        <w:rPr>
          <w:rFonts w:ascii="Times New Roman" w:hAnsi="Times New Roman" w:cs="Times New Roman"/>
          <w:b/>
          <w:bCs/>
          <w:sz w:val="24"/>
          <w:szCs w:val="24"/>
        </w:rPr>
        <w:t>produce valid and reliable results that can be generalized to the universe of study</w:t>
      </w:r>
      <w:r w:rsidRPr="00A25B0B">
        <w:rPr>
          <w:rFonts w:ascii="Times New Roman" w:hAnsi="Times New Roman" w:cs="Times New Roman"/>
          <w:sz w:val="24"/>
          <w:szCs w:val="24"/>
        </w:rPr>
        <w:t>.</w:t>
      </w:r>
      <w:r w:rsidRPr="00A25B0B">
        <w:rPr>
          <w:rFonts w:ascii="Times New Roman" w:hAnsi="Times New Roman" w:cs="Times New Roman"/>
          <w:sz w:val="24"/>
          <w:szCs w:val="24"/>
        </w:rPr>
        <w:fldChar w:fldCharType="begin"/>
      </w:r>
      <w:r w:rsidRPr="00A25B0B">
        <w:rPr>
          <w:rFonts w:ascii="Times New Roman" w:hAnsi="Times New Roman" w:cs="Times New Roman"/>
          <w:sz w:val="24"/>
          <w:szCs w:val="24"/>
        </w:rPr>
        <w:instrText>ADVANCE \R 0.95</w:instrText>
      </w:r>
      <w:r w:rsidRPr="00A25B0B">
        <w:rPr>
          <w:rFonts w:ascii="Times New Roman" w:hAnsi="Times New Roman" w:cs="Times New Roman"/>
          <w:sz w:val="24"/>
          <w:szCs w:val="24"/>
        </w:rPr>
        <w:fldChar w:fldCharType="end"/>
      </w:r>
    </w:p>
    <w:p w:rsidRPr="006625E7" w:rsidR="00562915" w:rsidP="002B2B7C" w:rsidRDefault="00562915" w14:paraId="68EE7974"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1FB6571F"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3138FD08" w14:textId="77777777">
      <w:pPr>
        <w:spacing w:after="0" w:line="240" w:lineRule="auto"/>
        <w:rPr>
          <w:rFonts w:ascii="Times New Roman" w:hAnsi="Times New Roman" w:cs="Times New Roman"/>
          <w:sz w:val="24"/>
          <w:szCs w:val="24"/>
        </w:rPr>
      </w:pPr>
    </w:p>
    <w:p w:rsidRPr="006625E7" w:rsidR="00562915" w:rsidP="00562915" w:rsidRDefault="00562915" w14:paraId="724FDB4B"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C76D79" w:rsidP="00562915" w:rsidRDefault="00562915" w14:paraId="42A6AA85" w14:textId="77777777">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C76D79" w14:paraId="7C9CBFB5" w14:textId="181E1377">
      <w:pPr>
        <w:rPr>
          <w:rFonts w:ascii="Times New Roman" w:hAnsi="Times New Roman" w:cs="Times New Roman"/>
          <w:sz w:val="24"/>
          <w:szCs w:val="24"/>
        </w:rPr>
      </w:pPr>
      <w:r>
        <w:rPr>
          <w:rFonts w:ascii="Times New Roman" w:hAnsi="Times New Roman" w:cs="Times New Roman"/>
          <w:sz w:val="24"/>
          <w:szCs w:val="24"/>
        </w:rPr>
        <w:t>FEMA does not collect his information in any of the ways described above in Section (a) through (h).</w:t>
      </w:r>
    </w:p>
    <w:p w:rsidRPr="001D2CD8" w:rsidR="001D2CD8" w:rsidP="001D2CD8" w:rsidRDefault="001D2CD8" w14:paraId="24737F83" w14:textId="77777777">
      <w:pPr>
        <w:rPr>
          <w:rFonts w:ascii="Times New Roman" w:hAnsi="Times New Roman" w:cs="Times New Roman"/>
          <w:sz w:val="24"/>
          <w:szCs w:val="24"/>
        </w:rPr>
      </w:pPr>
      <w:r w:rsidRPr="001D2CD8">
        <w:rPr>
          <w:rFonts w:ascii="Times New Roman" w:hAnsi="Times New Roman" w:cs="Times New Roman"/>
          <w:sz w:val="24"/>
          <w:szCs w:val="24"/>
        </w:rPr>
        <w:t xml:space="preserve">This information collection is conducted in a manner consistent with the guidelines in 5 CFR 1320.5(d)(2). </w:t>
      </w:r>
    </w:p>
    <w:p w:rsidRPr="006625E7" w:rsidR="00562915" w:rsidP="00562915" w:rsidRDefault="00562915" w14:paraId="7DEF88B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695C1923"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CB09F5" w:rsidR="00CB09F5" w:rsidP="00CB09F5" w:rsidRDefault="00DE4810" w14:paraId="2B774C6B" w14:textId="6522F92F">
      <w:pPr>
        <w:rPr>
          <w:rFonts w:ascii="Times New Roman" w:hAnsi="Times New Roman" w:cs="Times New Roman"/>
          <w:b/>
          <w:bCs/>
          <w:color w:val="0000FF"/>
          <w:sz w:val="24"/>
          <w:szCs w:val="24"/>
        </w:rPr>
      </w:pPr>
      <w:r w:rsidRPr="00DE4810">
        <w:rPr>
          <w:rFonts w:ascii="Times New Roman" w:hAnsi="Times New Roman" w:cs="Times New Roman"/>
          <w:color w:val="000000"/>
          <w:sz w:val="24"/>
          <w:szCs w:val="24"/>
        </w:rPr>
        <w:t xml:space="preserve">A 60-day Federal Register Notice inviting public comments was published on </w:t>
      </w:r>
      <w:r w:rsidR="00A85E4F">
        <w:rPr>
          <w:rFonts w:ascii="Times New Roman" w:hAnsi="Times New Roman" w:cs="Times New Roman"/>
          <w:color w:val="000000"/>
          <w:sz w:val="24"/>
          <w:szCs w:val="24"/>
        </w:rPr>
        <w:t>April</w:t>
      </w:r>
      <w:r w:rsidRPr="00DE4810" w:rsidR="00A85E4F">
        <w:rPr>
          <w:rFonts w:ascii="Times New Roman" w:hAnsi="Times New Roman" w:cs="Times New Roman"/>
          <w:color w:val="000000"/>
          <w:sz w:val="24"/>
          <w:szCs w:val="24"/>
        </w:rPr>
        <w:t xml:space="preserve"> </w:t>
      </w:r>
      <w:r w:rsidR="0087331D">
        <w:rPr>
          <w:rFonts w:ascii="Times New Roman" w:hAnsi="Times New Roman" w:cs="Times New Roman"/>
          <w:color w:val="000000"/>
          <w:sz w:val="24"/>
          <w:szCs w:val="24"/>
        </w:rPr>
        <w:t>29</w:t>
      </w:r>
      <w:r w:rsidRPr="00DE4810">
        <w:rPr>
          <w:rFonts w:ascii="Times New Roman" w:hAnsi="Times New Roman" w:cs="Times New Roman"/>
          <w:color w:val="000000"/>
          <w:sz w:val="24"/>
          <w:szCs w:val="24"/>
        </w:rPr>
        <w:t xml:space="preserve">, </w:t>
      </w:r>
      <w:r w:rsidRPr="00DE4810" w:rsidR="00A85E4F">
        <w:rPr>
          <w:rFonts w:ascii="Times New Roman" w:hAnsi="Times New Roman" w:cs="Times New Roman"/>
          <w:color w:val="000000"/>
          <w:sz w:val="24"/>
          <w:szCs w:val="24"/>
        </w:rPr>
        <w:t>201</w:t>
      </w:r>
      <w:r w:rsidR="00A85E4F">
        <w:rPr>
          <w:rFonts w:ascii="Times New Roman" w:hAnsi="Times New Roman" w:cs="Times New Roman"/>
          <w:color w:val="000000"/>
          <w:sz w:val="24"/>
          <w:szCs w:val="24"/>
        </w:rPr>
        <w:t>9</w:t>
      </w:r>
      <w:r w:rsidRPr="00DE4810">
        <w:rPr>
          <w:rFonts w:ascii="Times New Roman" w:hAnsi="Times New Roman" w:cs="Times New Roman"/>
          <w:color w:val="000000"/>
          <w:sz w:val="24"/>
          <w:szCs w:val="24"/>
        </w:rPr>
        <w:t xml:space="preserve">, </w:t>
      </w:r>
      <w:r w:rsidRPr="00DE4810" w:rsidR="00A85E4F">
        <w:rPr>
          <w:rFonts w:ascii="Times New Roman" w:hAnsi="Times New Roman" w:cs="Times New Roman"/>
          <w:color w:val="000000"/>
          <w:sz w:val="24"/>
          <w:szCs w:val="24"/>
        </w:rPr>
        <w:t>8</w:t>
      </w:r>
      <w:r w:rsidR="00A85E4F">
        <w:rPr>
          <w:rFonts w:ascii="Times New Roman" w:hAnsi="Times New Roman" w:cs="Times New Roman"/>
          <w:color w:val="000000"/>
          <w:sz w:val="24"/>
          <w:szCs w:val="24"/>
        </w:rPr>
        <w:t>4</w:t>
      </w:r>
      <w:r w:rsidRPr="00DE4810" w:rsidR="00A85E4F">
        <w:rPr>
          <w:rFonts w:ascii="Times New Roman" w:hAnsi="Times New Roman" w:cs="Times New Roman"/>
          <w:color w:val="000000"/>
          <w:sz w:val="24"/>
          <w:szCs w:val="24"/>
        </w:rPr>
        <w:t xml:space="preserve"> </w:t>
      </w:r>
      <w:r w:rsidRPr="00DE4810">
        <w:rPr>
          <w:rFonts w:ascii="Times New Roman" w:hAnsi="Times New Roman" w:cs="Times New Roman"/>
          <w:color w:val="000000"/>
          <w:sz w:val="24"/>
          <w:szCs w:val="24"/>
        </w:rPr>
        <w:t xml:space="preserve">FR </w:t>
      </w:r>
      <w:r w:rsidR="00A85E4F">
        <w:rPr>
          <w:rFonts w:ascii="Times New Roman" w:hAnsi="Times New Roman" w:cs="Times New Roman"/>
          <w:color w:val="000000"/>
          <w:sz w:val="24"/>
          <w:szCs w:val="24"/>
        </w:rPr>
        <w:t>18069</w:t>
      </w:r>
      <w:r w:rsidRPr="00DE4810">
        <w:rPr>
          <w:rFonts w:ascii="Times New Roman" w:hAnsi="Times New Roman" w:cs="Times New Roman"/>
          <w:color w:val="000000"/>
          <w:sz w:val="24"/>
          <w:szCs w:val="24"/>
        </w:rPr>
        <w:t xml:space="preserve">. </w:t>
      </w:r>
      <w:r w:rsidR="008D1856">
        <w:rPr>
          <w:rFonts w:ascii="Times New Roman" w:hAnsi="Times New Roman" w:cs="Times New Roman"/>
          <w:color w:val="000000"/>
          <w:sz w:val="24"/>
          <w:szCs w:val="24"/>
        </w:rPr>
        <w:t xml:space="preserve"> </w:t>
      </w:r>
      <w:r w:rsidRPr="0087331D" w:rsidR="0087331D">
        <w:rPr>
          <w:rFonts w:ascii="Times New Roman" w:hAnsi="Times New Roman" w:cs="Times New Roman"/>
          <w:color w:val="000000"/>
          <w:sz w:val="24"/>
          <w:szCs w:val="24"/>
        </w:rPr>
        <w:t>No comments were received</w:t>
      </w:r>
      <w:r w:rsidRPr="00DE4810">
        <w:rPr>
          <w:rFonts w:ascii="Times New Roman" w:hAnsi="Times New Roman" w:cs="Times New Roman"/>
          <w:color w:val="000000"/>
          <w:sz w:val="24"/>
          <w:szCs w:val="24"/>
        </w:rPr>
        <w:t>.</w:t>
      </w:r>
      <w:r w:rsidRPr="006625E7" w:rsidR="00CB09F5">
        <w:rPr>
          <w:rFonts w:ascii="Times New Roman" w:hAnsi="Times New Roman" w:cs="Times New Roman"/>
          <w:b/>
          <w:bCs/>
          <w:color w:val="0000FF"/>
          <w:sz w:val="24"/>
          <w:szCs w:val="24"/>
        </w:rPr>
        <w:t xml:space="preserve">  </w:t>
      </w:r>
    </w:p>
    <w:p w:rsidRPr="00CB09F5" w:rsidR="00651B99" w:rsidP="00651B99" w:rsidRDefault="00651B99" w14:paraId="5758FD04" w14:textId="57319D50">
      <w:pPr>
        <w:rPr>
          <w:rFonts w:ascii="Times New Roman" w:hAnsi="Times New Roman" w:cs="Times New Roman"/>
          <w:b/>
          <w:bCs/>
          <w:color w:val="0000FF"/>
          <w:sz w:val="24"/>
          <w:szCs w:val="24"/>
        </w:rPr>
      </w:pPr>
      <w:r w:rsidRPr="00DE4810">
        <w:rPr>
          <w:rFonts w:ascii="Times New Roman" w:hAnsi="Times New Roman" w:cs="Times New Roman"/>
          <w:color w:val="000000"/>
          <w:sz w:val="24"/>
          <w:szCs w:val="24"/>
        </w:rPr>
        <w:t xml:space="preserve">A </w:t>
      </w:r>
      <w:r>
        <w:rPr>
          <w:rFonts w:ascii="Times New Roman" w:hAnsi="Times New Roman" w:cs="Times New Roman"/>
          <w:color w:val="000000"/>
          <w:sz w:val="24"/>
          <w:szCs w:val="24"/>
        </w:rPr>
        <w:t>3</w:t>
      </w:r>
      <w:r w:rsidRPr="00DE4810">
        <w:rPr>
          <w:rFonts w:ascii="Times New Roman" w:hAnsi="Times New Roman" w:cs="Times New Roman"/>
          <w:color w:val="000000"/>
          <w:sz w:val="24"/>
          <w:szCs w:val="24"/>
        </w:rPr>
        <w:t xml:space="preserve">0-day Federal Register Notice inviting public comments was published on </w:t>
      </w:r>
      <w:r>
        <w:rPr>
          <w:rFonts w:ascii="Times New Roman" w:hAnsi="Times New Roman" w:cs="Times New Roman"/>
          <w:color w:val="000000"/>
          <w:sz w:val="24"/>
          <w:szCs w:val="24"/>
        </w:rPr>
        <w:t>December 10</w:t>
      </w:r>
      <w:r w:rsidRPr="00DE4810">
        <w:rPr>
          <w:rFonts w:ascii="Times New Roman" w:hAnsi="Times New Roman" w:cs="Times New Roman"/>
          <w:color w:val="000000"/>
          <w:sz w:val="24"/>
          <w:szCs w:val="24"/>
        </w:rPr>
        <w:t>, 201</w:t>
      </w:r>
      <w:r>
        <w:rPr>
          <w:rFonts w:ascii="Times New Roman" w:hAnsi="Times New Roman" w:cs="Times New Roman"/>
          <w:color w:val="000000"/>
          <w:sz w:val="24"/>
          <w:szCs w:val="24"/>
        </w:rPr>
        <w:t>9</w:t>
      </w:r>
      <w:r w:rsidRPr="00DE4810">
        <w:rPr>
          <w:rFonts w:ascii="Times New Roman" w:hAnsi="Times New Roman" w:cs="Times New Roman"/>
          <w:color w:val="000000"/>
          <w:sz w:val="24"/>
          <w:szCs w:val="24"/>
        </w:rPr>
        <w:t>, 8</w:t>
      </w:r>
      <w:r>
        <w:rPr>
          <w:rFonts w:ascii="Times New Roman" w:hAnsi="Times New Roman" w:cs="Times New Roman"/>
          <w:color w:val="000000"/>
          <w:sz w:val="24"/>
          <w:szCs w:val="24"/>
        </w:rPr>
        <w:t>4</w:t>
      </w:r>
      <w:r w:rsidRPr="00DE4810">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67470</w:t>
      </w:r>
      <w:r w:rsidRPr="00DE48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7331D">
        <w:rPr>
          <w:rFonts w:ascii="Times New Roman" w:hAnsi="Times New Roman" w:cs="Times New Roman"/>
          <w:color w:val="000000"/>
          <w:sz w:val="24"/>
          <w:szCs w:val="24"/>
        </w:rPr>
        <w:t>No comments were received</w:t>
      </w:r>
      <w:r w:rsidRPr="00DE4810">
        <w:rPr>
          <w:rFonts w:ascii="Times New Roman" w:hAnsi="Times New Roman" w:cs="Times New Roman"/>
          <w:color w:val="000000"/>
          <w:sz w:val="24"/>
          <w:szCs w:val="24"/>
        </w:rPr>
        <w:t>.</w:t>
      </w:r>
      <w:r w:rsidRPr="006625E7">
        <w:rPr>
          <w:rFonts w:ascii="Times New Roman" w:hAnsi="Times New Roman" w:cs="Times New Roman"/>
          <w:b/>
          <w:bCs/>
          <w:color w:val="0000FF"/>
          <w:sz w:val="24"/>
          <w:szCs w:val="24"/>
        </w:rPr>
        <w:t xml:space="preserve">  </w:t>
      </w:r>
    </w:p>
    <w:p w:rsidR="00562915" w:rsidP="002B2B7C" w:rsidRDefault="00562915" w14:paraId="5179B552" w14:textId="7777777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A38B0" w:rsidR="00C30E8B" w:rsidP="00C30E8B" w:rsidRDefault="00C30E8B" w14:paraId="0FF5E024" w14:textId="4BD5A73B">
      <w:pPr>
        <w:tabs>
          <w:tab w:val="left" w:pos="360"/>
        </w:tabs>
        <w:rPr>
          <w:rFonts w:ascii="Times New Roman" w:hAnsi="Times New Roman" w:cs="Times New Roman"/>
          <w:sz w:val="24"/>
          <w:szCs w:val="24"/>
        </w:rPr>
      </w:pPr>
      <w:r w:rsidRPr="00AA38B0">
        <w:rPr>
          <w:rFonts w:ascii="Times New Roman" w:hAnsi="Times New Roman" w:cs="Times New Roman"/>
          <w:sz w:val="24"/>
          <w:szCs w:val="24"/>
        </w:rPr>
        <w:t xml:space="preserve">FEMA has </w:t>
      </w:r>
      <w:r w:rsidR="006A0AC4">
        <w:rPr>
          <w:rFonts w:ascii="Times New Roman" w:hAnsi="Times New Roman" w:cs="Times New Roman"/>
          <w:sz w:val="24"/>
          <w:szCs w:val="24"/>
        </w:rPr>
        <w:t xml:space="preserve">had an </w:t>
      </w:r>
      <w:r w:rsidRPr="00AA38B0">
        <w:rPr>
          <w:rFonts w:ascii="Times New Roman" w:hAnsi="Times New Roman" w:cs="Times New Roman"/>
          <w:sz w:val="24"/>
          <w:szCs w:val="24"/>
        </w:rPr>
        <w:t xml:space="preserve">ongoing relationship with representatives of federally-regulated lending institutions and federal entities for lending regulation in </w:t>
      </w:r>
      <w:r w:rsidRPr="00AA38B0" w:rsidR="00DC0DE5">
        <w:rPr>
          <w:rFonts w:ascii="Times New Roman" w:hAnsi="Times New Roman" w:cs="Times New Roman"/>
          <w:sz w:val="24"/>
          <w:szCs w:val="24"/>
        </w:rPr>
        <w:t xml:space="preserve">part, </w:t>
      </w:r>
      <w:r w:rsidR="00DC0DE5">
        <w:rPr>
          <w:rFonts w:ascii="Times New Roman" w:hAnsi="Times New Roman" w:cs="Times New Roman"/>
          <w:sz w:val="24"/>
          <w:szCs w:val="24"/>
        </w:rPr>
        <w:t xml:space="preserve">which allows FEMA </w:t>
      </w:r>
      <w:r w:rsidRPr="00AA38B0">
        <w:rPr>
          <w:rFonts w:ascii="Times New Roman" w:hAnsi="Times New Roman" w:cs="Times New Roman"/>
          <w:sz w:val="24"/>
          <w:szCs w:val="24"/>
        </w:rPr>
        <w:t xml:space="preserve">to obtain their views on the Standard Flood Hazard Determination form and its use.  </w:t>
      </w:r>
      <w:r w:rsidR="00DC0DE5">
        <w:rPr>
          <w:rFonts w:ascii="Times New Roman" w:hAnsi="Times New Roman" w:cs="Times New Roman"/>
          <w:sz w:val="24"/>
          <w:szCs w:val="24"/>
        </w:rPr>
        <w:t xml:space="preserve">These entities include </w:t>
      </w:r>
      <w:r w:rsidRPr="00AA38B0">
        <w:rPr>
          <w:rFonts w:ascii="Times New Roman" w:hAnsi="Times New Roman" w:cs="Times New Roman"/>
          <w:sz w:val="24"/>
          <w:szCs w:val="24"/>
        </w:rPr>
        <w:t>Federal Agency Lenders, the Federal National Mortgage Association, the Federal Home Loan Mortgage Corporation, and the Government National Mortgage Association</w:t>
      </w:r>
      <w:r w:rsidR="005974F4">
        <w:rPr>
          <w:rFonts w:ascii="Times New Roman" w:hAnsi="Times New Roman" w:cs="Times New Roman"/>
          <w:sz w:val="24"/>
          <w:szCs w:val="24"/>
        </w:rPr>
        <w:t>.</w:t>
      </w:r>
      <w:r w:rsidR="00732DC9">
        <w:rPr>
          <w:rFonts w:ascii="Times New Roman" w:hAnsi="Times New Roman" w:cs="Times New Roman"/>
          <w:sz w:val="24"/>
          <w:szCs w:val="24"/>
        </w:rPr>
        <w:t xml:space="preserve"> </w:t>
      </w:r>
      <w:r w:rsidRPr="00AA38B0">
        <w:rPr>
          <w:rFonts w:ascii="Times New Roman" w:hAnsi="Times New Roman" w:cs="Times New Roman"/>
          <w:sz w:val="24"/>
          <w:szCs w:val="24"/>
        </w:rPr>
        <w:t xml:space="preserve">The federal regulatory agencies, GSEs, lender trades and </w:t>
      </w:r>
      <w:r w:rsidR="008260BA">
        <w:rPr>
          <w:rFonts w:ascii="Times New Roman" w:hAnsi="Times New Roman" w:cs="Times New Roman"/>
          <w:sz w:val="24"/>
          <w:szCs w:val="24"/>
        </w:rPr>
        <w:t>the National Flood Association (</w:t>
      </w:r>
      <w:r w:rsidRPr="00AA38B0">
        <w:rPr>
          <w:rFonts w:ascii="Times New Roman" w:hAnsi="Times New Roman" w:cs="Times New Roman"/>
          <w:sz w:val="24"/>
          <w:szCs w:val="24"/>
        </w:rPr>
        <w:t>NFA</w:t>
      </w:r>
      <w:r w:rsidR="008260BA">
        <w:rPr>
          <w:rFonts w:ascii="Times New Roman" w:hAnsi="Times New Roman" w:cs="Times New Roman"/>
          <w:sz w:val="24"/>
          <w:szCs w:val="24"/>
        </w:rPr>
        <w:t>)</w:t>
      </w:r>
      <w:r w:rsidRPr="00AA38B0">
        <w:rPr>
          <w:rFonts w:ascii="Times New Roman" w:hAnsi="Times New Roman" w:cs="Times New Roman"/>
          <w:sz w:val="24"/>
          <w:szCs w:val="24"/>
        </w:rPr>
        <w:t xml:space="preserve"> attend three days of flood and compliance courses and participate on panels at </w:t>
      </w:r>
      <w:r w:rsidR="00C81828">
        <w:rPr>
          <w:rFonts w:ascii="Times New Roman" w:hAnsi="Times New Roman" w:cs="Times New Roman"/>
          <w:sz w:val="24"/>
          <w:szCs w:val="24"/>
        </w:rPr>
        <w:t>a yearly</w:t>
      </w:r>
      <w:r w:rsidRPr="00AA38B0" w:rsidR="00C81828">
        <w:rPr>
          <w:rFonts w:ascii="Times New Roman" w:hAnsi="Times New Roman" w:cs="Times New Roman"/>
          <w:sz w:val="24"/>
          <w:szCs w:val="24"/>
        </w:rPr>
        <w:t xml:space="preserve"> </w:t>
      </w:r>
      <w:r w:rsidRPr="00AA38B0">
        <w:rPr>
          <w:rFonts w:ascii="Times New Roman" w:hAnsi="Times New Roman" w:cs="Times New Roman"/>
          <w:sz w:val="24"/>
          <w:szCs w:val="24"/>
        </w:rPr>
        <w:t xml:space="preserve">National Flood </w:t>
      </w:r>
      <w:r w:rsidR="00C33774">
        <w:rPr>
          <w:rFonts w:ascii="Times New Roman" w:hAnsi="Times New Roman" w:cs="Times New Roman"/>
          <w:sz w:val="24"/>
          <w:szCs w:val="24"/>
        </w:rPr>
        <w:t>Conference</w:t>
      </w:r>
      <w:r w:rsidRPr="00AA38B0" w:rsidR="00C33774">
        <w:rPr>
          <w:rFonts w:ascii="Times New Roman" w:hAnsi="Times New Roman" w:cs="Times New Roman"/>
          <w:sz w:val="24"/>
          <w:szCs w:val="24"/>
        </w:rPr>
        <w:t xml:space="preserve"> </w:t>
      </w:r>
      <w:r w:rsidRPr="00AA38B0">
        <w:rPr>
          <w:rFonts w:ascii="Times New Roman" w:hAnsi="Times New Roman" w:cs="Times New Roman"/>
          <w:sz w:val="24"/>
          <w:szCs w:val="24"/>
        </w:rPr>
        <w:t xml:space="preserve">each year.  </w:t>
      </w:r>
    </w:p>
    <w:p w:rsidRPr="00AA38B0" w:rsidR="00C30E8B" w:rsidP="00C30E8B" w:rsidRDefault="006A0AC4" w14:paraId="5107965B" w14:textId="4FD62158">
      <w:pPr>
        <w:tabs>
          <w:tab w:val="left" w:pos="360"/>
        </w:tabs>
        <w:rPr>
          <w:rFonts w:ascii="Times New Roman" w:hAnsi="Times New Roman" w:cs="Times New Roman"/>
          <w:sz w:val="24"/>
          <w:szCs w:val="24"/>
        </w:rPr>
      </w:pPr>
      <w:r>
        <w:rPr>
          <w:rFonts w:ascii="Times New Roman" w:hAnsi="Times New Roman" w:cs="Times New Roman"/>
          <w:sz w:val="24"/>
          <w:szCs w:val="24"/>
        </w:rPr>
        <w:t xml:space="preserve">FEMA will continue to include the lending community in the use, changes to, and development </w:t>
      </w:r>
      <w:r w:rsidR="00383C77">
        <w:rPr>
          <w:rFonts w:ascii="Times New Roman" w:hAnsi="Times New Roman" w:cs="Times New Roman"/>
          <w:sz w:val="24"/>
          <w:szCs w:val="24"/>
        </w:rPr>
        <w:t xml:space="preserve">of </w:t>
      </w:r>
      <w:r>
        <w:rPr>
          <w:rFonts w:ascii="Times New Roman" w:hAnsi="Times New Roman" w:cs="Times New Roman"/>
          <w:sz w:val="24"/>
          <w:szCs w:val="24"/>
        </w:rPr>
        <w:t xml:space="preserve">this form.  </w:t>
      </w:r>
    </w:p>
    <w:p w:rsidRPr="006625E7" w:rsidR="00562915" w:rsidP="00562915" w:rsidRDefault="00562915" w14:paraId="2B2013A0"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 xml:space="preserve">c.  Describe consultations with representatives of those from whom information is to be obtained or those who must compile records. Consultation </w:t>
      </w:r>
      <w:r w:rsidRPr="006625E7">
        <w:rPr>
          <w:rFonts w:ascii="Times New Roman" w:hAnsi="Times New Roman" w:cs="Times New Roman"/>
          <w:b/>
          <w:bCs/>
          <w:sz w:val="24"/>
          <w:szCs w:val="24"/>
        </w:rPr>
        <w:lastRenderedPageBreak/>
        <w:t>should occur at least once every three years, even if the collection of information activities is the same as in prior periods.  There may be circumstances that may preclude consultation in a specific situation. These circumstances should be explained.</w:t>
      </w:r>
    </w:p>
    <w:p w:rsidRPr="00C30E8B" w:rsidR="00C30E8B" w:rsidP="00F51B8C" w:rsidRDefault="00562915" w14:paraId="089DB08D" w14:textId="5EBD4706">
      <w:pPr>
        <w:rPr>
          <w:rFonts w:ascii="Times New Roman" w:hAnsi="Times New Roman" w:cs="Times New Roman"/>
          <w:sz w:val="24"/>
          <w:szCs w:val="24"/>
        </w:rPr>
      </w:pPr>
      <w:r w:rsidRPr="006625E7">
        <w:rPr>
          <w:rFonts w:ascii="Times New Roman" w:hAnsi="Times New Roman" w:cs="Times New Roman"/>
          <w:sz w:val="24"/>
          <w:szCs w:val="24"/>
        </w:rPr>
        <w:t xml:space="preserve">          </w:t>
      </w:r>
      <w:r w:rsidRPr="00F51B8C" w:rsidR="00F51B8C">
        <w:rPr>
          <w:rFonts w:ascii="Times New Roman" w:hAnsi="Times New Roman" w:cs="Times New Roman"/>
          <w:sz w:val="24"/>
          <w:szCs w:val="24"/>
        </w:rPr>
        <w:t xml:space="preserve">FEMA provides a forum for consultation and </w:t>
      </w:r>
      <w:r w:rsidR="008416B2">
        <w:rPr>
          <w:rFonts w:ascii="Times New Roman" w:hAnsi="Times New Roman" w:cs="Times New Roman"/>
          <w:sz w:val="24"/>
          <w:szCs w:val="24"/>
        </w:rPr>
        <w:t>on</w:t>
      </w:r>
      <w:r w:rsidRPr="00F51B8C" w:rsidR="00F51B8C">
        <w:rPr>
          <w:rFonts w:ascii="Times New Roman" w:hAnsi="Times New Roman" w:cs="Times New Roman"/>
          <w:sz w:val="24"/>
          <w:szCs w:val="24"/>
        </w:rPr>
        <w:t xml:space="preserve">going communications with the lending industry and third-party providers of flood hazard determination services to that lending industry.  These include </w:t>
      </w:r>
      <w:r w:rsidR="00C81828">
        <w:rPr>
          <w:rFonts w:ascii="Times New Roman" w:hAnsi="Times New Roman" w:cs="Times New Roman"/>
          <w:sz w:val="24"/>
          <w:szCs w:val="24"/>
        </w:rPr>
        <w:t xml:space="preserve">attendance at </w:t>
      </w:r>
      <w:r w:rsidRPr="00F51B8C" w:rsidR="00F51B8C">
        <w:rPr>
          <w:rFonts w:ascii="Times New Roman" w:hAnsi="Times New Roman" w:cs="Times New Roman"/>
          <w:sz w:val="24"/>
          <w:szCs w:val="24"/>
        </w:rPr>
        <w:t xml:space="preserve">an annual conference </w:t>
      </w:r>
      <w:r w:rsidR="00F51B8C">
        <w:rPr>
          <w:rFonts w:ascii="Times New Roman" w:hAnsi="Times New Roman" w:cs="Times New Roman"/>
          <w:sz w:val="24"/>
          <w:szCs w:val="24"/>
        </w:rPr>
        <w:t xml:space="preserve">and </w:t>
      </w:r>
      <w:r w:rsidR="00C81828">
        <w:rPr>
          <w:rFonts w:ascii="Times New Roman" w:hAnsi="Times New Roman" w:cs="Times New Roman"/>
          <w:sz w:val="24"/>
          <w:szCs w:val="24"/>
        </w:rPr>
        <w:t xml:space="preserve">providing </w:t>
      </w:r>
      <w:r w:rsidRPr="00F51B8C" w:rsidR="00F51B8C">
        <w:rPr>
          <w:rFonts w:ascii="Times New Roman" w:hAnsi="Times New Roman" w:cs="Times New Roman"/>
          <w:sz w:val="24"/>
          <w:szCs w:val="24"/>
        </w:rPr>
        <w:t xml:space="preserve">a liaison in FIMA’s </w:t>
      </w:r>
      <w:r w:rsidRPr="00F51B8C" w:rsidR="00F51B8C">
        <w:rPr>
          <w:rFonts w:ascii="Times New Roman" w:hAnsi="Times New Roman" w:cs="Times New Roman"/>
          <w:iCs/>
          <w:sz w:val="24"/>
          <w:szCs w:val="24"/>
        </w:rPr>
        <w:t xml:space="preserve">Federal Insurance Directorate to assist and respond as necessary.  That </w:t>
      </w:r>
      <w:r w:rsidR="00477F5F">
        <w:rPr>
          <w:rFonts w:ascii="Times New Roman" w:hAnsi="Times New Roman" w:cs="Times New Roman"/>
          <w:iCs/>
          <w:sz w:val="24"/>
          <w:szCs w:val="24"/>
        </w:rPr>
        <w:t>Liaison</w:t>
      </w:r>
      <w:r w:rsidRPr="00F51B8C" w:rsidR="00477F5F">
        <w:rPr>
          <w:rFonts w:ascii="Times New Roman" w:hAnsi="Times New Roman" w:cs="Times New Roman"/>
          <w:iCs/>
          <w:sz w:val="24"/>
          <w:szCs w:val="24"/>
        </w:rPr>
        <w:t xml:space="preserve"> </w:t>
      </w:r>
      <w:r w:rsidRPr="00F51B8C" w:rsidR="00F51B8C">
        <w:rPr>
          <w:rFonts w:ascii="Times New Roman" w:hAnsi="Times New Roman" w:cs="Times New Roman"/>
          <w:iCs/>
          <w:sz w:val="24"/>
          <w:szCs w:val="24"/>
        </w:rPr>
        <w:t xml:space="preserve">is </w:t>
      </w:r>
      <w:r w:rsidRPr="00F51B8C" w:rsidR="00F51B8C">
        <w:rPr>
          <w:rFonts w:ascii="Times New Roman" w:hAnsi="Times New Roman" w:cs="Times New Roman"/>
          <w:sz w:val="24"/>
          <w:szCs w:val="24"/>
        </w:rPr>
        <w:t xml:space="preserve">available to lenders and determination companies </w:t>
      </w:r>
      <w:r w:rsidR="00477F5F">
        <w:rPr>
          <w:rFonts w:ascii="Times New Roman" w:hAnsi="Times New Roman" w:cs="Times New Roman"/>
          <w:sz w:val="24"/>
          <w:szCs w:val="24"/>
        </w:rPr>
        <w:t xml:space="preserve">and their lender clients </w:t>
      </w:r>
      <w:r w:rsidRPr="00F51B8C" w:rsidR="00F51B8C">
        <w:rPr>
          <w:rFonts w:ascii="Times New Roman" w:hAnsi="Times New Roman" w:cs="Times New Roman"/>
          <w:sz w:val="24"/>
          <w:szCs w:val="24"/>
        </w:rPr>
        <w:t xml:space="preserve">on an ongoing basis. </w:t>
      </w:r>
    </w:p>
    <w:p w:rsidRPr="006625E7" w:rsidR="00562915" w:rsidP="00562915" w:rsidRDefault="00562915" w14:paraId="248AD961"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C30E8B" w:rsidR="00C30E8B" w:rsidP="00C30E8B" w:rsidRDefault="00C30E8B" w14:paraId="7DC23500" w14:textId="77777777">
      <w:pPr>
        <w:rPr>
          <w:rFonts w:ascii="Times New Roman" w:hAnsi="Times New Roman" w:cs="Times New Roman"/>
          <w:sz w:val="24"/>
          <w:szCs w:val="24"/>
        </w:rPr>
      </w:pPr>
      <w:r w:rsidRPr="00C30E8B">
        <w:rPr>
          <w:rFonts w:ascii="Times New Roman" w:hAnsi="Times New Roman" w:cs="Times New Roman"/>
          <w:sz w:val="24"/>
          <w:szCs w:val="24"/>
        </w:rPr>
        <w:t xml:space="preserve">FEMA does not provide payments or gifts to respondents in exchange for a benefit sought. </w:t>
      </w:r>
    </w:p>
    <w:p w:rsidRPr="006625E7" w:rsidR="00562915" w:rsidP="00562915" w:rsidRDefault="00562915" w14:paraId="1E784E3E"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925067" w:rsidR="00D3619A" w:rsidP="00D3619A" w:rsidRDefault="00D3619A" w14:paraId="085E6323" w14:textId="6EF8D78A">
      <w:pPr>
        <w:tabs>
          <w:tab w:val="left" w:pos="360"/>
        </w:tabs>
        <w:spacing w:after="0" w:line="240" w:lineRule="auto"/>
        <w:rPr>
          <w:rFonts w:ascii="Times New Roman" w:hAnsi="Times New Roman" w:eastAsia="Times New Roman" w:cs="Times New Roman"/>
          <w:sz w:val="24"/>
          <w:szCs w:val="24"/>
        </w:rPr>
      </w:pPr>
      <w:r w:rsidRPr="00DB30B7">
        <w:rPr>
          <w:rFonts w:ascii="Times New Roman" w:hAnsi="Times New Roman" w:eastAsia="Times New Roman" w:cs="Times New Roman"/>
          <w:sz w:val="24"/>
          <w:szCs w:val="24"/>
        </w:rPr>
        <w:t xml:space="preserve">A Privacy Threshold Analysis (PTA) was completed by FEMA and adjudicated by the DHS Privacy Office on </w:t>
      </w:r>
      <w:r w:rsidR="003B5E52">
        <w:rPr>
          <w:rFonts w:ascii="Times New Roman" w:hAnsi="Times New Roman" w:eastAsia="Times New Roman" w:cs="Times New Roman"/>
          <w:sz w:val="24"/>
          <w:szCs w:val="24"/>
        </w:rPr>
        <w:t>June 18, 2018</w:t>
      </w:r>
      <w:r w:rsidRPr="00DB30B7">
        <w:rPr>
          <w:rFonts w:ascii="Times New Roman" w:hAnsi="Times New Roman" w:eastAsia="Times New Roman" w:cs="Times New Roman"/>
          <w:sz w:val="24"/>
          <w:szCs w:val="24"/>
        </w:rPr>
        <w:t>.</w:t>
      </w:r>
      <w:r w:rsidRPr="00925067">
        <w:rPr>
          <w:rFonts w:ascii="Times New Roman" w:hAnsi="Times New Roman" w:eastAsia="Times New Roman" w:cs="Times New Roman"/>
          <w:sz w:val="24"/>
          <w:szCs w:val="24"/>
        </w:rPr>
        <w:t xml:space="preserve">  </w:t>
      </w:r>
    </w:p>
    <w:p w:rsidR="00D3619A" w:rsidP="00D3619A" w:rsidRDefault="00D3619A" w14:paraId="280DFB8D" w14:textId="77777777">
      <w:pPr>
        <w:pStyle w:val="Default"/>
      </w:pPr>
    </w:p>
    <w:p w:rsidR="00D3619A" w:rsidP="00D3619A" w:rsidRDefault="00D3619A" w14:paraId="3B780ECA" w14:textId="00116D90">
      <w:pPr>
        <w:pStyle w:val="Default"/>
      </w:pPr>
      <w:r>
        <w:t>T</w:t>
      </w:r>
      <w:r w:rsidRPr="00C32817">
        <w:t xml:space="preserve">his is not </w:t>
      </w:r>
      <w:r w:rsidR="003E21C2">
        <w:t>a</w:t>
      </w:r>
      <w:r w:rsidRPr="00C32817">
        <w:t xml:space="preserve"> privacy sensitive system. </w:t>
      </w:r>
      <w:r w:rsidR="008D1856">
        <w:t xml:space="preserve"> </w:t>
      </w:r>
      <w:r w:rsidRPr="00C32817">
        <w:t>FEMA does not collect, use, or maintain either completed forms or any information provided to lenders and other stakeholders when completing the form.</w:t>
      </w:r>
    </w:p>
    <w:p w:rsidRPr="00C32817" w:rsidR="00D3619A" w:rsidP="00D3619A" w:rsidRDefault="00D3619A" w14:paraId="07DC2890" w14:textId="77777777">
      <w:pPr>
        <w:pStyle w:val="Default"/>
      </w:pPr>
    </w:p>
    <w:p w:rsidR="008E4E3B" w:rsidP="00D3619A" w:rsidRDefault="00D3619A" w14:paraId="240CD33D" w14:textId="77777777">
      <w:pPr>
        <w:tabs>
          <w:tab w:val="left" w:pos="360"/>
        </w:tabs>
        <w:spacing w:after="0" w:line="240" w:lineRule="auto"/>
        <w:rPr>
          <w:rFonts w:ascii="Times New Roman" w:hAnsi="Times New Roman" w:eastAsia="Times New Roman" w:cs="Times New Roman"/>
          <w:sz w:val="24"/>
          <w:szCs w:val="24"/>
        </w:rPr>
      </w:pPr>
      <w:r w:rsidRPr="00925067">
        <w:rPr>
          <w:rFonts w:ascii="Times New Roman" w:hAnsi="Times New Roman" w:eastAsia="Times New Roman" w:cs="Times New Roman"/>
          <w:sz w:val="24"/>
          <w:szCs w:val="24"/>
        </w:rPr>
        <w:t>There are no assurances of confidentiality provided to the respondents for this information collection.</w:t>
      </w:r>
    </w:p>
    <w:p w:rsidRPr="006625E7" w:rsidR="00D3619A" w:rsidP="00D3619A" w:rsidRDefault="00D3619A" w14:paraId="1B10841C" w14:textId="77777777">
      <w:pPr>
        <w:tabs>
          <w:tab w:val="left" w:pos="360"/>
        </w:tabs>
        <w:spacing w:after="0" w:line="240" w:lineRule="auto"/>
        <w:rPr>
          <w:rFonts w:ascii="Times New Roman" w:hAnsi="Times New Roman" w:cs="Times New Roman"/>
          <w:sz w:val="24"/>
          <w:szCs w:val="24"/>
        </w:rPr>
      </w:pPr>
    </w:p>
    <w:p w:rsidRPr="006625E7" w:rsidR="00562915" w:rsidP="00562915" w:rsidRDefault="00562915" w14:paraId="63A8DB72"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P="00562915" w:rsidRDefault="00C30E8B" w14:paraId="5FF783DF" w14:textId="3D39A0B3">
      <w:pPr>
        <w:rPr>
          <w:rFonts w:ascii="Times New Roman" w:hAnsi="Times New Roman" w:cs="Times New Roman"/>
          <w:sz w:val="24"/>
          <w:szCs w:val="24"/>
        </w:rPr>
      </w:pPr>
      <w:r>
        <w:rPr>
          <w:rFonts w:ascii="Times New Roman" w:hAnsi="Times New Roman" w:cs="Times New Roman"/>
          <w:sz w:val="24"/>
          <w:szCs w:val="24"/>
        </w:rPr>
        <w:t xml:space="preserve">There are no questions of a sensitive nature.  </w:t>
      </w:r>
    </w:p>
    <w:p w:rsidRPr="006625E7" w:rsidR="00F23103" w:rsidP="00562915" w:rsidRDefault="00F23103" w14:paraId="66D6BD5B" w14:textId="77777777">
      <w:pPr>
        <w:rPr>
          <w:rFonts w:ascii="Times New Roman" w:hAnsi="Times New Roman" w:cs="Times New Roman"/>
          <w:sz w:val="24"/>
          <w:szCs w:val="24"/>
        </w:rPr>
      </w:pPr>
    </w:p>
    <w:p w:rsidRPr="006625E7" w:rsidR="00562915" w:rsidP="00562915" w:rsidRDefault="00562915" w14:paraId="358AEB96"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P="00562915" w:rsidRDefault="00562915" w14:paraId="2D7CB0B6" w14:textId="77777777">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30E8B" w:rsidR="00C30E8B" w:rsidP="00C30E8B" w:rsidRDefault="00C30E8B" w14:paraId="2393FA14" w14:textId="3FFC2950">
      <w:pPr>
        <w:rPr>
          <w:rFonts w:ascii="Times New Roman" w:hAnsi="Times New Roman" w:cs="Times New Roman"/>
          <w:bCs/>
          <w:sz w:val="24"/>
          <w:szCs w:val="24"/>
        </w:rPr>
      </w:pPr>
      <w:r w:rsidRPr="00C30E8B">
        <w:rPr>
          <w:rFonts w:ascii="Times New Roman" w:hAnsi="Times New Roman" w:cs="Times New Roman"/>
          <w:bCs/>
          <w:sz w:val="24"/>
          <w:szCs w:val="24"/>
        </w:rPr>
        <w:t xml:space="preserve">FEMA has estimated that </w:t>
      </w:r>
      <w:r w:rsidRPr="00C30E8B" w:rsidR="002B5969">
        <w:rPr>
          <w:rFonts w:ascii="Times New Roman" w:hAnsi="Times New Roman" w:cs="Times New Roman"/>
          <w:bCs/>
          <w:sz w:val="24"/>
          <w:szCs w:val="24"/>
        </w:rPr>
        <w:t xml:space="preserve">approximately </w:t>
      </w:r>
      <w:r w:rsidR="002B5969">
        <w:rPr>
          <w:rFonts w:ascii="Times New Roman" w:hAnsi="Times New Roman" w:cs="Times New Roman"/>
          <w:bCs/>
          <w:sz w:val="24"/>
          <w:szCs w:val="24"/>
        </w:rPr>
        <w:t xml:space="preserve">26,616,265 </w:t>
      </w:r>
      <w:r w:rsidR="00956EBF">
        <w:rPr>
          <w:rFonts w:ascii="Times New Roman" w:hAnsi="Times New Roman" w:cs="Times New Roman"/>
          <w:bCs/>
          <w:sz w:val="24"/>
          <w:szCs w:val="24"/>
        </w:rPr>
        <w:t>b</w:t>
      </w:r>
      <w:r w:rsidRPr="00C30E8B">
        <w:rPr>
          <w:rFonts w:ascii="Times New Roman" w:hAnsi="Times New Roman" w:cs="Times New Roman"/>
          <w:bCs/>
          <w:sz w:val="24"/>
          <w:szCs w:val="24"/>
        </w:rPr>
        <w:t>usiness or other for–profit respondents will complete FEMA Form 086-0-32</w:t>
      </w:r>
      <w:r w:rsidR="007731B9">
        <w:rPr>
          <w:rFonts w:ascii="Times New Roman" w:hAnsi="Times New Roman" w:cs="Times New Roman"/>
          <w:bCs/>
          <w:sz w:val="24"/>
          <w:szCs w:val="24"/>
        </w:rPr>
        <w:t xml:space="preserve">.  </w:t>
      </w:r>
      <w:r w:rsidRPr="00C30E8B">
        <w:rPr>
          <w:rFonts w:ascii="Times New Roman" w:hAnsi="Times New Roman" w:cs="Times New Roman"/>
          <w:bCs/>
          <w:sz w:val="24"/>
          <w:szCs w:val="24"/>
        </w:rPr>
        <w:t xml:space="preserve">The total annual burden is estimated to be </w:t>
      </w:r>
      <w:r w:rsidRPr="00AF3782" w:rsidR="00AF3782">
        <w:rPr>
          <w:rFonts w:ascii="Times New Roman" w:hAnsi="Times New Roman" w:cs="Times New Roman"/>
          <w:bCs/>
          <w:sz w:val="24"/>
          <w:szCs w:val="24"/>
        </w:rPr>
        <w:t>8,783,367</w:t>
      </w:r>
      <w:r w:rsidR="00AF3782">
        <w:rPr>
          <w:rFonts w:ascii="Times New Roman" w:hAnsi="Times New Roman" w:cs="Times New Roman"/>
          <w:bCs/>
          <w:sz w:val="24"/>
          <w:szCs w:val="24"/>
        </w:rPr>
        <w:t xml:space="preserve"> </w:t>
      </w:r>
      <w:r w:rsidRPr="00C30E8B">
        <w:rPr>
          <w:rFonts w:ascii="Times New Roman" w:hAnsi="Times New Roman" w:cs="Times New Roman"/>
          <w:bCs/>
          <w:sz w:val="24"/>
          <w:szCs w:val="24"/>
        </w:rPr>
        <w:t>total annual burden hours</w:t>
      </w:r>
      <w:r w:rsidR="005A0711">
        <w:rPr>
          <w:rFonts w:ascii="Times New Roman" w:hAnsi="Times New Roman" w:cs="Times New Roman"/>
          <w:bCs/>
          <w:sz w:val="24"/>
          <w:szCs w:val="24"/>
        </w:rPr>
        <w:t xml:space="preserve"> (</w:t>
      </w:r>
      <w:r w:rsidRPr="00DB30B7" w:rsidR="005A0711">
        <w:rPr>
          <w:rFonts w:ascii="Times New Roman" w:hAnsi="Times New Roman" w:cs="Times New Roman"/>
          <w:bCs/>
          <w:sz w:val="24"/>
          <w:szCs w:val="24"/>
        </w:rPr>
        <w:t>26,616,265</w:t>
      </w:r>
      <w:r w:rsidR="005A0711">
        <w:rPr>
          <w:rFonts w:ascii="Times New Roman" w:hAnsi="Times New Roman" w:cs="Times New Roman"/>
          <w:bCs/>
          <w:sz w:val="24"/>
          <w:szCs w:val="24"/>
        </w:rPr>
        <w:t xml:space="preserve"> </w:t>
      </w:r>
      <w:r w:rsidRPr="00C30E8B" w:rsidR="005A0711">
        <w:rPr>
          <w:rFonts w:ascii="Times New Roman" w:hAnsi="Times New Roman" w:cs="Times New Roman"/>
          <w:bCs/>
          <w:sz w:val="24"/>
          <w:szCs w:val="24"/>
        </w:rPr>
        <w:t>responses x 0.33 hours per response</w:t>
      </w:r>
      <w:r w:rsidR="005A0711">
        <w:rPr>
          <w:rFonts w:ascii="Times New Roman" w:hAnsi="Times New Roman" w:cs="Times New Roman"/>
          <w:bCs/>
          <w:sz w:val="24"/>
          <w:szCs w:val="24"/>
        </w:rPr>
        <w:t>)</w:t>
      </w:r>
      <w:r w:rsidRPr="00C30E8B">
        <w:rPr>
          <w:rFonts w:ascii="Times New Roman" w:hAnsi="Times New Roman" w:cs="Times New Roman"/>
          <w:bCs/>
          <w:sz w:val="24"/>
          <w:szCs w:val="24"/>
        </w:rPr>
        <w:t xml:space="preserve">. </w:t>
      </w:r>
    </w:p>
    <w:p w:rsidRPr="006625E7" w:rsidR="00562915" w:rsidP="00562915" w:rsidRDefault="00562915" w14:paraId="7EEDA16F"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CB09F5" w:rsidP="00D0115A" w:rsidRDefault="00562915" w14:paraId="14C6239C" w14:textId="366F143C">
      <w:pPr>
        <w:rPr>
          <w:b/>
          <w:bCs/>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1B23F4">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CB09F5" w:rsidP="00D0115A" w:rsidRDefault="00CB09F5" w14:paraId="1050D4F7" w14:textId="572B4418">
      <w:pPr>
        <w:rPr>
          <w:b/>
          <w:bCs/>
        </w:rPr>
      </w:pPr>
    </w:p>
    <w:p w:rsidR="00F23103" w:rsidP="00D0115A" w:rsidRDefault="00F23103" w14:paraId="31E0261C" w14:textId="7F22CE65">
      <w:pPr>
        <w:rPr>
          <w:b/>
          <w:bCs/>
        </w:rPr>
      </w:pPr>
    </w:p>
    <w:p w:rsidR="00F23103" w:rsidP="00D0115A" w:rsidRDefault="00F23103" w14:paraId="7554EACE" w14:textId="55C0D340">
      <w:pPr>
        <w:rPr>
          <w:b/>
          <w:bCs/>
        </w:rPr>
      </w:pPr>
    </w:p>
    <w:p w:rsidR="00F23103" w:rsidP="00D0115A" w:rsidRDefault="00F23103" w14:paraId="6175262C" w14:textId="664663B6">
      <w:pPr>
        <w:rPr>
          <w:b/>
          <w:bCs/>
        </w:rPr>
      </w:pPr>
    </w:p>
    <w:p w:rsidR="00F23103" w:rsidP="00D0115A" w:rsidRDefault="00F23103" w14:paraId="356C3561" w14:textId="1348922C">
      <w:pPr>
        <w:rPr>
          <w:b/>
          <w:bCs/>
        </w:rPr>
      </w:pPr>
    </w:p>
    <w:p w:rsidR="00F23103" w:rsidP="00D0115A" w:rsidRDefault="00F23103" w14:paraId="621C63D8" w14:textId="762F48B5">
      <w:pPr>
        <w:rPr>
          <w:b/>
          <w:bCs/>
        </w:rPr>
      </w:pPr>
    </w:p>
    <w:p w:rsidR="00F23103" w:rsidP="00D0115A" w:rsidRDefault="00F23103" w14:paraId="0F052F88" w14:textId="77777777">
      <w:pPr>
        <w:rPr>
          <w:b/>
          <w:bCs/>
        </w:rPr>
      </w:pPr>
    </w:p>
    <w:tbl>
      <w:tblPr>
        <w:tblW w:w="10856" w:type="dxa"/>
        <w:tblInd w:w="-110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337"/>
        <w:gridCol w:w="1167"/>
        <w:gridCol w:w="936"/>
        <w:gridCol w:w="1177"/>
        <w:gridCol w:w="1236"/>
        <w:gridCol w:w="1260"/>
        <w:gridCol w:w="810"/>
        <w:gridCol w:w="1676"/>
      </w:tblGrid>
      <w:tr w:rsidRPr="00562915" w:rsidR="00D0115A" w:rsidTr="00D0115A" w14:paraId="70519FE6" w14:textId="77777777">
        <w:trPr>
          <w:trHeight w:val="315"/>
        </w:trPr>
        <w:tc>
          <w:tcPr>
            <w:tcW w:w="10856" w:type="dxa"/>
            <w:gridSpan w:val="9"/>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562915" w:rsidR="00D0115A" w:rsidP="007541EA" w:rsidRDefault="00D0115A" w14:paraId="204E20EB" w14:textId="77777777">
            <w:pPr>
              <w:spacing w:after="0" w:line="240" w:lineRule="auto"/>
              <w:jc w:val="center"/>
              <w:rPr>
                <w:rFonts w:ascii="Arial" w:hAnsi="Arial" w:eastAsia="Times New Roman" w:cs="Arial"/>
                <w:color w:val="000000"/>
                <w:sz w:val="18"/>
                <w:szCs w:val="18"/>
              </w:rPr>
            </w:pPr>
            <w:r w:rsidRPr="00562915">
              <w:rPr>
                <w:rFonts w:ascii="Arial" w:hAnsi="Arial" w:eastAsia="Times New Roman" w:cs="Arial"/>
                <w:color w:val="000000"/>
                <w:sz w:val="18"/>
                <w:szCs w:val="18"/>
              </w:rPr>
              <w:t>Estimated Annualized Burden Hours and Costs</w:t>
            </w:r>
          </w:p>
        </w:tc>
      </w:tr>
      <w:tr w:rsidRPr="00562915" w:rsidR="00D0115A" w:rsidTr="00D0115A" w14:paraId="537A02A4" w14:textId="77777777">
        <w:trPr>
          <w:trHeight w:val="1215"/>
        </w:trPr>
        <w:tc>
          <w:tcPr>
            <w:tcW w:w="1257" w:type="dxa"/>
            <w:tcBorders>
              <w:top w:val="nil"/>
              <w:left w:val="single" w:color="auto" w:sz="8" w:space="0"/>
              <w:bottom w:val="single" w:color="auto" w:sz="8" w:space="0"/>
              <w:right w:val="single" w:color="auto" w:sz="8" w:space="0"/>
            </w:tcBorders>
            <w:shd w:val="clear" w:color="000000" w:fill="548DD4"/>
            <w:vAlign w:val="center"/>
            <w:hideMark/>
          </w:tcPr>
          <w:p w:rsidRPr="00562915" w:rsidR="00D0115A" w:rsidP="007541EA" w:rsidRDefault="00D0115A" w14:paraId="0670342B"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lastRenderedPageBreak/>
              <w:t>Type of Respondent</w:t>
            </w:r>
          </w:p>
        </w:tc>
        <w:tc>
          <w:tcPr>
            <w:tcW w:w="1337" w:type="dxa"/>
            <w:tcBorders>
              <w:top w:val="nil"/>
              <w:left w:val="nil"/>
              <w:bottom w:val="single" w:color="auto" w:sz="8" w:space="0"/>
              <w:right w:val="single" w:color="auto" w:sz="8" w:space="0"/>
            </w:tcBorders>
            <w:shd w:val="clear" w:color="000000" w:fill="548DD4"/>
            <w:vAlign w:val="center"/>
            <w:hideMark/>
          </w:tcPr>
          <w:p w:rsidRPr="00562915" w:rsidR="00D0115A" w:rsidP="007541EA" w:rsidRDefault="00D0115A" w14:paraId="198E019B"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Form Name / Form Number</w:t>
            </w:r>
          </w:p>
        </w:tc>
        <w:tc>
          <w:tcPr>
            <w:tcW w:w="1167" w:type="dxa"/>
            <w:tcBorders>
              <w:top w:val="nil"/>
              <w:left w:val="nil"/>
              <w:bottom w:val="single" w:color="auto" w:sz="8" w:space="0"/>
              <w:right w:val="single" w:color="auto" w:sz="8" w:space="0"/>
            </w:tcBorders>
            <w:shd w:val="clear" w:color="000000" w:fill="548DD4"/>
            <w:vAlign w:val="center"/>
            <w:hideMark/>
          </w:tcPr>
          <w:p w:rsidRPr="00562915" w:rsidR="00D0115A" w:rsidP="007541EA" w:rsidRDefault="00D0115A" w14:paraId="77E062AF"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No. of Respon-dents</w:t>
            </w:r>
          </w:p>
        </w:tc>
        <w:tc>
          <w:tcPr>
            <w:tcW w:w="936" w:type="dxa"/>
            <w:tcBorders>
              <w:top w:val="nil"/>
              <w:left w:val="nil"/>
              <w:bottom w:val="single" w:color="auto" w:sz="8" w:space="0"/>
              <w:right w:val="single" w:color="auto" w:sz="8" w:space="0"/>
            </w:tcBorders>
            <w:shd w:val="clear" w:color="000000" w:fill="548DD4"/>
            <w:vAlign w:val="center"/>
            <w:hideMark/>
          </w:tcPr>
          <w:p w:rsidRPr="00562915" w:rsidR="00D0115A" w:rsidP="007541EA" w:rsidRDefault="00D0115A" w14:paraId="7636C96F"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No. of Respon-ses per Respon-dent</w:t>
            </w:r>
          </w:p>
        </w:tc>
        <w:tc>
          <w:tcPr>
            <w:tcW w:w="1177" w:type="dxa"/>
            <w:tcBorders>
              <w:top w:val="nil"/>
              <w:left w:val="nil"/>
              <w:bottom w:val="single" w:color="auto" w:sz="8" w:space="0"/>
              <w:right w:val="single" w:color="auto" w:sz="8" w:space="0"/>
            </w:tcBorders>
            <w:shd w:val="clear" w:color="000000" w:fill="548DD4"/>
            <w:vAlign w:val="center"/>
            <w:hideMark/>
          </w:tcPr>
          <w:p w:rsidRPr="00562915" w:rsidR="00D0115A" w:rsidP="007541EA" w:rsidRDefault="00D0115A" w14:paraId="2EDA9CE3"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Total No. of Responses</w:t>
            </w:r>
          </w:p>
        </w:tc>
        <w:tc>
          <w:tcPr>
            <w:tcW w:w="1236" w:type="dxa"/>
            <w:tcBorders>
              <w:top w:val="nil"/>
              <w:left w:val="nil"/>
              <w:bottom w:val="single" w:color="auto" w:sz="8" w:space="0"/>
              <w:right w:val="single" w:color="auto" w:sz="8" w:space="0"/>
            </w:tcBorders>
            <w:shd w:val="clear" w:color="000000" w:fill="548DD4"/>
            <w:vAlign w:val="center"/>
            <w:hideMark/>
          </w:tcPr>
          <w:p w:rsidRPr="00562915" w:rsidR="00D0115A" w:rsidP="007541EA" w:rsidRDefault="00D0115A" w14:paraId="13C18A28"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Avg. Burden per Response (in hours)</w:t>
            </w:r>
          </w:p>
        </w:tc>
        <w:tc>
          <w:tcPr>
            <w:tcW w:w="1260" w:type="dxa"/>
            <w:tcBorders>
              <w:top w:val="nil"/>
              <w:left w:val="nil"/>
              <w:bottom w:val="single" w:color="auto" w:sz="8" w:space="0"/>
              <w:right w:val="single" w:color="auto" w:sz="8" w:space="0"/>
            </w:tcBorders>
            <w:shd w:val="clear" w:color="000000" w:fill="548DD4"/>
            <w:vAlign w:val="center"/>
            <w:hideMark/>
          </w:tcPr>
          <w:p w:rsidRPr="00562915" w:rsidR="00D0115A" w:rsidP="007541EA" w:rsidRDefault="00D0115A" w14:paraId="02DDE445"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Total Annual Burden (in hours)</w:t>
            </w:r>
          </w:p>
        </w:tc>
        <w:tc>
          <w:tcPr>
            <w:tcW w:w="810" w:type="dxa"/>
            <w:tcBorders>
              <w:top w:val="nil"/>
              <w:left w:val="nil"/>
              <w:bottom w:val="single" w:color="auto" w:sz="8" w:space="0"/>
              <w:right w:val="single" w:color="auto" w:sz="8" w:space="0"/>
            </w:tcBorders>
            <w:shd w:val="clear" w:color="000000" w:fill="548DD4"/>
            <w:vAlign w:val="center"/>
            <w:hideMark/>
          </w:tcPr>
          <w:p w:rsidRPr="00562915" w:rsidR="00D0115A" w:rsidP="007541EA" w:rsidRDefault="00D0115A" w14:paraId="158AE656"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Avg. Hourly Wage Rate</w:t>
            </w:r>
          </w:p>
        </w:tc>
        <w:tc>
          <w:tcPr>
            <w:tcW w:w="1676" w:type="dxa"/>
            <w:tcBorders>
              <w:top w:val="nil"/>
              <w:left w:val="nil"/>
              <w:bottom w:val="single" w:color="auto" w:sz="8" w:space="0"/>
              <w:right w:val="single" w:color="auto" w:sz="8" w:space="0"/>
            </w:tcBorders>
            <w:shd w:val="clear" w:color="000000" w:fill="548DD4"/>
            <w:vAlign w:val="center"/>
            <w:hideMark/>
          </w:tcPr>
          <w:p w:rsidRPr="00562915" w:rsidR="00D0115A" w:rsidP="007541EA" w:rsidRDefault="00D0115A" w14:paraId="0CB33EB9"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Total Annual Respondent Cost</w:t>
            </w:r>
          </w:p>
        </w:tc>
      </w:tr>
      <w:tr w:rsidRPr="00562915" w:rsidR="00D0115A" w:rsidTr="00D0115A" w14:paraId="05D36202" w14:textId="77777777">
        <w:trPr>
          <w:trHeight w:val="315"/>
        </w:trPr>
        <w:tc>
          <w:tcPr>
            <w:tcW w:w="1257" w:type="dxa"/>
            <w:tcBorders>
              <w:top w:val="nil"/>
              <w:left w:val="single" w:color="auto" w:sz="8" w:space="0"/>
              <w:bottom w:val="single" w:color="auto" w:sz="8" w:space="0"/>
              <w:right w:val="single" w:color="auto" w:sz="8" w:space="0"/>
            </w:tcBorders>
            <w:shd w:val="clear" w:color="auto" w:fill="auto"/>
            <w:vAlign w:val="center"/>
            <w:hideMark/>
          </w:tcPr>
          <w:p w:rsidRPr="00C15E64" w:rsidR="00D0115A" w:rsidP="007541EA" w:rsidRDefault="00D0115A" w14:paraId="0AC439B4" w14:textId="77777777">
            <w:pPr>
              <w:spacing w:after="0" w:line="240" w:lineRule="auto"/>
              <w:rPr>
                <w:rFonts w:ascii="Arial" w:hAnsi="Arial" w:eastAsia="Times New Roman" w:cs="Arial"/>
                <w:color w:val="000000"/>
                <w:sz w:val="18"/>
                <w:szCs w:val="18"/>
              </w:rPr>
            </w:pPr>
            <w:r w:rsidRPr="00C15E64">
              <w:rPr>
                <w:rFonts w:ascii="Arial" w:hAnsi="Arial" w:eastAsia="Times New Roman" w:cs="Arial"/>
                <w:color w:val="000000"/>
                <w:sz w:val="18"/>
                <w:szCs w:val="18"/>
              </w:rPr>
              <w:t>Business or other for-profit</w:t>
            </w:r>
          </w:p>
        </w:tc>
        <w:tc>
          <w:tcPr>
            <w:tcW w:w="1337" w:type="dxa"/>
            <w:tcBorders>
              <w:top w:val="nil"/>
              <w:left w:val="nil"/>
              <w:bottom w:val="single" w:color="auto" w:sz="8" w:space="0"/>
              <w:right w:val="single" w:color="auto" w:sz="8" w:space="0"/>
            </w:tcBorders>
            <w:shd w:val="clear" w:color="auto" w:fill="auto"/>
            <w:vAlign w:val="center"/>
            <w:hideMark/>
          </w:tcPr>
          <w:p w:rsidRPr="00C15E64" w:rsidR="00D0115A" w:rsidP="007541EA" w:rsidRDefault="00D0115A" w14:paraId="24E665FD" w14:textId="77777777">
            <w:pPr>
              <w:spacing w:after="0" w:line="240" w:lineRule="auto"/>
              <w:rPr>
                <w:rFonts w:ascii="Arial" w:hAnsi="Arial" w:eastAsia="Times New Roman" w:cs="Arial"/>
                <w:color w:val="000000"/>
                <w:sz w:val="18"/>
                <w:szCs w:val="18"/>
              </w:rPr>
            </w:pPr>
            <w:r w:rsidRPr="00C15E64">
              <w:rPr>
                <w:rFonts w:ascii="Arial" w:hAnsi="Arial" w:eastAsia="Times New Roman" w:cs="Arial"/>
                <w:color w:val="000000"/>
                <w:sz w:val="18"/>
                <w:szCs w:val="18"/>
              </w:rPr>
              <w:t xml:space="preserve">Standard Flood Hazard Determination Form (SFHDF) /  FEMA Form </w:t>
            </w:r>
            <w:r w:rsidRPr="00C15E64">
              <w:rPr>
                <w:rFonts w:ascii="Arial" w:hAnsi="Arial" w:eastAsia="Times New Roman" w:cs="Arial"/>
                <w:bCs/>
                <w:color w:val="000000"/>
                <w:sz w:val="18"/>
                <w:szCs w:val="18"/>
              </w:rPr>
              <w:t xml:space="preserve">086-0-32 </w:t>
            </w:r>
          </w:p>
        </w:tc>
        <w:tc>
          <w:tcPr>
            <w:tcW w:w="1167" w:type="dxa"/>
            <w:tcBorders>
              <w:top w:val="nil"/>
              <w:left w:val="nil"/>
              <w:bottom w:val="single" w:color="auto" w:sz="8" w:space="0"/>
              <w:right w:val="single" w:color="auto" w:sz="8" w:space="0"/>
            </w:tcBorders>
            <w:shd w:val="clear" w:color="auto" w:fill="auto"/>
            <w:vAlign w:val="center"/>
            <w:hideMark/>
          </w:tcPr>
          <w:p w:rsidRPr="00C15E64" w:rsidR="00D0115A" w:rsidP="007541EA" w:rsidRDefault="00D0115A" w14:paraId="35E36C35"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70BB0A2A"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5281D016"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5918CC4F"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2762D741"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15E8A950" w14:textId="77777777">
            <w:pPr>
              <w:spacing w:after="0" w:line="240" w:lineRule="auto"/>
              <w:jc w:val="center"/>
              <w:rPr>
                <w:rFonts w:ascii="Arial" w:hAnsi="Arial" w:eastAsia="Times New Roman" w:cs="Arial"/>
                <w:color w:val="000000"/>
                <w:sz w:val="18"/>
                <w:szCs w:val="18"/>
              </w:rPr>
            </w:pPr>
          </w:p>
          <w:p w:rsidRPr="00C15E64" w:rsidR="00D0115A" w:rsidP="007541EA" w:rsidRDefault="00831B90" w14:paraId="19B42D98" w14:textId="7F62B601">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26,616,265</w:t>
            </w:r>
          </w:p>
        </w:tc>
        <w:tc>
          <w:tcPr>
            <w:tcW w:w="936" w:type="dxa"/>
            <w:tcBorders>
              <w:top w:val="nil"/>
              <w:left w:val="nil"/>
              <w:bottom w:val="single" w:color="auto" w:sz="8" w:space="0"/>
              <w:right w:val="single" w:color="auto" w:sz="8" w:space="0"/>
            </w:tcBorders>
            <w:shd w:val="clear" w:color="auto" w:fill="auto"/>
            <w:vAlign w:val="center"/>
            <w:hideMark/>
          </w:tcPr>
          <w:p w:rsidRPr="00C15E64" w:rsidR="00D0115A" w:rsidP="007541EA" w:rsidRDefault="00D0115A" w14:paraId="3045D74B"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02611F22"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62F40862"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46F277D0"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5EEB39BB"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0112AC9B"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4474587A" w14:textId="77777777">
            <w:pPr>
              <w:spacing w:after="0" w:line="240" w:lineRule="auto"/>
              <w:jc w:val="center"/>
              <w:rPr>
                <w:rFonts w:ascii="Arial" w:hAnsi="Arial" w:eastAsia="Times New Roman" w:cs="Arial"/>
                <w:color w:val="000000"/>
                <w:sz w:val="18"/>
                <w:szCs w:val="18"/>
              </w:rPr>
            </w:pPr>
            <w:r w:rsidRPr="00C15E64">
              <w:rPr>
                <w:rFonts w:ascii="Arial" w:hAnsi="Arial" w:eastAsia="Times New Roman" w:cs="Arial"/>
                <w:color w:val="000000"/>
                <w:sz w:val="18"/>
                <w:szCs w:val="18"/>
              </w:rPr>
              <w:t>1</w:t>
            </w:r>
          </w:p>
        </w:tc>
        <w:tc>
          <w:tcPr>
            <w:tcW w:w="1177" w:type="dxa"/>
            <w:tcBorders>
              <w:top w:val="nil"/>
              <w:left w:val="nil"/>
              <w:bottom w:val="single" w:color="auto" w:sz="8" w:space="0"/>
              <w:right w:val="single" w:color="auto" w:sz="8" w:space="0"/>
            </w:tcBorders>
            <w:shd w:val="clear" w:color="auto" w:fill="auto"/>
            <w:vAlign w:val="center"/>
            <w:hideMark/>
          </w:tcPr>
          <w:p w:rsidRPr="00C15E64" w:rsidR="00D0115A" w:rsidP="007541EA" w:rsidRDefault="00831B90" w14:paraId="039AD559" w14:textId="3A0A0789">
            <w:pPr>
              <w:spacing w:after="0" w:line="240" w:lineRule="auto"/>
              <w:jc w:val="center"/>
              <w:rPr>
                <w:rFonts w:ascii="Arial" w:hAnsi="Arial" w:eastAsia="Times New Roman" w:cs="Arial"/>
                <w:color w:val="000000"/>
                <w:sz w:val="18"/>
                <w:szCs w:val="18"/>
              </w:rPr>
            </w:pPr>
            <w:r w:rsidRPr="00831B90">
              <w:rPr>
                <w:rFonts w:ascii="Arial" w:hAnsi="Arial" w:eastAsia="Times New Roman" w:cs="Arial"/>
                <w:color w:val="000000"/>
                <w:sz w:val="18"/>
                <w:szCs w:val="18"/>
              </w:rPr>
              <w:t>26,616,265</w:t>
            </w:r>
          </w:p>
        </w:tc>
        <w:tc>
          <w:tcPr>
            <w:tcW w:w="1236" w:type="dxa"/>
            <w:tcBorders>
              <w:top w:val="nil"/>
              <w:left w:val="nil"/>
              <w:bottom w:val="single" w:color="auto" w:sz="8" w:space="0"/>
              <w:right w:val="single" w:color="auto" w:sz="8" w:space="0"/>
            </w:tcBorders>
            <w:shd w:val="clear" w:color="auto" w:fill="auto"/>
            <w:vAlign w:val="center"/>
            <w:hideMark/>
          </w:tcPr>
          <w:p w:rsidRPr="00C15E64" w:rsidR="00D0115A" w:rsidP="007541EA" w:rsidRDefault="00D0115A" w14:paraId="65F76051"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5E36EAFA"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7BE153B4"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0E552D42"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74B60308"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059F43BE" w14:textId="77777777">
            <w:pPr>
              <w:spacing w:after="0" w:line="240" w:lineRule="auto"/>
              <w:jc w:val="center"/>
              <w:rPr>
                <w:rFonts w:ascii="Arial" w:hAnsi="Arial" w:eastAsia="Times New Roman" w:cs="Arial"/>
                <w:color w:val="000000"/>
                <w:sz w:val="18"/>
                <w:szCs w:val="18"/>
              </w:rPr>
            </w:pPr>
            <w:r w:rsidRPr="00C15E64">
              <w:rPr>
                <w:rFonts w:ascii="Arial" w:hAnsi="Arial" w:eastAsia="Times New Roman" w:cs="Arial"/>
                <w:color w:val="000000"/>
                <w:sz w:val="18"/>
                <w:szCs w:val="18"/>
              </w:rPr>
              <w:t>0.33</w:t>
            </w:r>
          </w:p>
          <w:p w:rsidRPr="00C15E64" w:rsidR="00D0115A" w:rsidP="007541EA" w:rsidRDefault="00D0115A" w14:paraId="49F690FC" w14:textId="5E68138B">
            <w:pPr>
              <w:spacing w:after="0" w:line="240" w:lineRule="auto"/>
              <w:jc w:val="center"/>
              <w:rPr>
                <w:rFonts w:ascii="Arial" w:hAnsi="Arial" w:eastAsia="Times New Roman" w:cs="Arial"/>
                <w:color w:val="000000"/>
                <w:sz w:val="18"/>
                <w:szCs w:val="18"/>
              </w:rPr>
            </w:pPr>
          </w:p>
        </w:tc>
        <w:tc>
          <w:tcPr>
            <w:tcW w:w="1260" w:type="dxa"/>
            <w:tcBorders>
              <w:top w:val="nil"/>
              <w:left w:val="nil"/>
              <w:bottom w:val="single" w:color="auto" w:sz="8" w:space="0"/>
              <w:right w:val="single" w:color="auto" w:sz="8" w:space="0"/>
            </w:tcBorders>
            <w:shd w:val="clear" w:color="auto" w:fill="auto"/>
            <w:vAlign w:val="center"/>
            <w:hideMark/>
          </w:tcPr>
          <w:p w:rsidR="00B4334B" w:rsidP="007541EA" w:rsidRDefault="00B4334B" w14:paraId="589C59A6" w14:textId="2DCFDAA1">
            <w:pPr>
              <w:spacing w:after="0" w:line="240" w:lineRule="auto"/>
              <w:jc w:val="center"/>
              <w:rPr>
                <w:rFonts w:ascii="Arial" w:hAnsi="Arial" w:cs="Arial"/>
                <w:sz w:val="18"/>
                <w:szCs w:val="18"/>
              </w:rPr>
            </w:pPr>
          </w:p>
          <w:p w:rsidRPr="00C15E64" w:rsidR="00D0115A" w:rsidP="007541EA" w:rsidRDefault="00B4334B" w14:paraId="04C30D12" w14:textId="6CC3355D">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8,783,367</w:t>
            </w:r>
          </w:p>
        </w:tc>
        <w:tc>
          <w:tcPr>
            <w:tcW w:w="810" w:type="dxa"/>
            <w:tcBorders>
              <w:top w:val="nil"/>
              <w:left w:val="nil"/>
              <w:bottom w:val="single" w:color="auto" w:sz="8" w:space="0"/>
              <w:right w:val="single" w:color="auto" w:sz="8" w:space="0"/>
            </w:tcBorders>
            <w:shd w:val="clear" w:color="auto" w:fill="auto"/>
            <w:vAlign w:val="center"/>
            <w:hideMark/>
          </w:tcPr>
          <w:p w:rsidRPr="00C15E64" w:rsidR="00D0115A" w:rsidP="007541EA" w:rsidRDefault="00D0115A" w14:paraId="49D90B88"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269C4FC0"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55AC4F71"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4E7081F5"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4D368106" w14:textId="77777777">
            <w:pPr>
              <w:spacing w:after="0" w:line="240" w:lineRule="auto"/>
              <w:jc w:val="center"/>
              <w:rPr>
                <w:rFonts w:ascii="Arial" w:hAnsi="Arial" w:eastAsia="Times New Roman" w:cs="Arial"/>
                <w:color w:val="000000"/>
                <w:sz w:val="18"/>
                <w:szCs w:val="18"/>
              </w:rPr>
            </w:pPr>
          </w:p>
          <w:p w:rsidRPr="00C15E64" w:rsidR="00D0115A" w:rsidP="007541EA" w:rsidRDefault="00B4334B" w14:paraId="3F00A809" w14:textId="22CEAC78">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w:t>
            </w:r>
            <w:r w:rsidR="00852C3E">
              <w:rPr>
                <w:rFonts w:ascii="Arial" w:hAnsi="Arial" w:eastAsia="Times New Roman" w:cs="Arial"/>
                <w:color w:val="000000"/>
                <w:sz w:val="18"/>
                <w:szCs w:val="18"/>
              </w:rPr>
              <w:t>24.38</w:t>
            </w:r>
          </w:p>
          <w:p w:rsidRPr="00C15E64" w:rsidR="00D0115A" w:rsidP="00820A47" w:rsidRDefault="00D0115A" w14:paraId="173B277B" w14:textId="1A030D62">
            <w:pPr>
              <w:spacing w:after="0" w:line="240" w:lineRule="auto"/>
              <w:jc w:val="center"/>
              <w:rPr>
                <w:rFonts w:ascii="Arial" w:hAnsi="Arial" w:eastAsia="Times New Roman" w:cs="Arial"/>
                <w:color w:val="000000"/>
                <w:sz w:val="18"/>
                <w:szCs w:val="18"/>
              </w:rPr>
            </w:pPr>
          </w:p>
        </w:tc>
        <w:tc>
          <w:tcPr>
            <w:tcW w:w="1676" w:type="dxa"/>
            <w:tcBorders>
              <w:top w:val="nil"/>
              <w:left w:val="nil"/>
              <w:bottom w:val="single" w:color="auto" w:sz="8" w:space="0"/>
              <w:right w:val="single" w:color="auto" w:sz="8" w:space="0"/>
            </w:tcBorders>
            <w:shd w:val="clear" w:color="auto" w:fill="auto"/>
            <w:vAlign w:val="center"/>
            <w:hideMark/>
          </w:tcPr>
          <w:p w:rsidRPr="00C15E64" w:rsidR="00D0115A" w:rsidP="007541EA" w:rsidRDefault="00D0115A" w14:paraId="536654BA"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17CD4282" w14:textId="77777777">
            <w:pPr>
              <w:spacing w:after="0" w:line="240" w:lineRule="auto"/>
              <w:jc w:val="center"/>
              <w:rPr>
                <w:rFonts w:ascii="Arial" w:hAnsi="Arial" w:eastAsia="Times New Roman" w:cs="Arial"/>
                <w:color w:val="000000"/>
                <w:sz w:val="18"/>
                <w:szCs w:val="18"/>
              </w:rPr>
            </w:pPr>
          </w:p>
          <w:p w:rsidRPr="00C15E64" w:rsidR="00D0115A" w:rsidP="007541EA" w:rsidRDefault="00D0115A" w14:paraId="387D2E06" w14:textId="77777777">
            <w:pPr>
              <w:spacing w:after="0" w:line="240" w:lineRule="auto"/>
              <w:jc w:val="center"/>
              <w:rPr>
                <w:rFonts w:ascii="Arial" w:hAnsi="Arial" w:eastAsia="Times New Roman" w:cs="Arial"/>
                <w:color w:val="000000"/>
                <w:sz w:val="18"/>
                <w:szCs w:val="18"/>
              </w:rPr>
            </w:pPr>
          </w:p>
          <w:p w:rsidR="006B01CF" w:rsidP="007541EA" w:rsidRDefault="006B01CF" w14:paraId="4E0592EE" w14:textId="77777777">
            <w:pPr>
              <w:spacing w:after="0" w:line="240" w:lineRule="auto"/>
              <w:jc w:val="center"/>
              <w:rPr>
                <w:rFonts w:ascii="Arial" w:hAnsi="Arial" w:eastAsia="Times New Roman" w:cs="Arial"/>
                <w:color w:val="000000"/>
                <w:sz w:val="18"/>
                <w:szCs w:val="18"/>
              </w:rPr>
            </w:pPr>
          </w:p>
          <w:p w:rsidRPr="00C15E64" w:rsidR="00D0115A" w:rsidP="001718B5" w:rsidRDefault="00B4334B" w14:paraId="355B69E2" w14:textId="6DBB443E">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w:t>
            </w:r>
            <w:r w:rsidR="00852C3E">
              <w:rPr>
                <w:rFonts w:ascii="Times New Roman" w:hAnsi="Times New Roman" w:eastAsia="Times New Roman" w:cs="Times New Roman"/>
                <w:sz w:val="18"/>
                <w:szCs w:val="18"/>
              </w:rPr>
              <w:t>214,138,487</w:t>
            </w:r>
            <w:r w:rsidR="006B01CF">
              <w:rPr>
                <w:rFonts w:ascii="Times New Roman" w:hAnsi="Times New Roman" w:eastAsia="Times New Roman" w:cs="Times New Roman"/>
                <w:sz w:val="24"/>
                <w:szCs w:val="24"/>
              </w:rPr>
              <w:t xml:space="preserve"> </w:t>
            </w:r>
          </w:p>
          <w:p w:rsidRPr="00C15E64" w:rsidR="00D0115A" w:rsidP="007541EA" w:rsidRDefault="00D0115A" w14:paraId="0EF9C471" w14:textId="77777777">
            <w:pPr>
              <w:spacing w:after="0" w:line="240" w:lineRule="auto"/>
              <w:jc w:val="center"/>
              <w:rPr>
                <w:rFonts w:ascii="Arial" w:hAnsi="Arial" w:eastAsia="Times New Roman" w:cs="Arial"/>
                <w:color w:val="000000"/>
                <w:sz w:val="18"/>
                <w:szCs w:val="18"/>
              </w:rPr>
            </w:pPr>
          </w:p>
          <w:p w:rsidRPr="00C15E64" w:rsidR="00B4334B" w:rsidP="007541EA" w:rsidRDefault="00B4334B" w14:paraId="23B272FE" w14:textId="77777777">
            <w:pPr>
              <w:spacing w:after="0" w:line="240" w:lineRule="auto"/>
              <w:jc w:val="center"/>
              <w:rPr>
                <w:rFonts w:ascii="Arial" w:hAnsi="Arial" w:eastAsia="Times New Roman" w:cs="Arial"/>
                <w:color w:val="000000"/>
                <w:sz w:val="18"/>
                <w:szCs w:val="18"/>
              </w:rPr>
            </w:pPr>
          </w:p>
          <w:p w:rsidRPr="00C15E64" w:rsidR="00D0115A" w:rsidP="00A4750D" w:rsidRDefault="00D0115A" w14:paraId="40FEB0DA" w14:textId="691F89FB">
            <w:pPr>
              <w:spacing w:after="0" w:line="240" w:lineRule="auto"/>
              <w:jc w:val="center"/>
              <w:rPr>
                <w:rFonts w:ascii="Arial" w:hAnsi="Arial" w:eastAsia="Times New Roman" w:cs="Arial"/>
                <w:color w:val="000000"/>
                <w:sz w:val="18"/>
                <w:szCs w:val="18"/>
              </w:rPr>
            </w:pPr>
          </w:p>
        </w:tc>
      </w:tr>
      <w:tr w:rsidRPr="00562915" w:rsidR="00B4334B" w:rsidTr="002B5969" w14:paraId="23D5AA11" w14:textId="77777777">
        <w:trPr>
          <w:trHeight w:val="315"/>
        </w:trPr>
        <w:tc>
          <w:tcPr>
            <w:tcW w:w="1257" w:type="dxa"/>
            <w:tcBorders>
              <w:top w:val="nil"/>
              <w:left w:val="single" w:color="auto" w:sz="8" w:space="0"/>
              <w:bottom w:val="single" w:color="auto" w:sz="8" w:space="0"/>
              <w:right w:val="single" w:color="auto" w:sz="8" w:space="0"/>
            </w:tcBorders>
            <w:shd w:val="clear" w:color="auto" w:fill="auto"/>
            <w:vAlign w:val="center"/>
            <w:hideMark/>
          </w:tcPr>
          <w:p w:rsidRPr="00562915" w:rsidR="00B4334B" w:rsidP="00B4334B" w:rsidRDefault="00B4334B" w14:paraId="19638CCB"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Total</w:t>
            </w:r>
          </w:p>
        </w:tc>
        <w:tc>
          <w:tcPr>
            <w:tcW w:w="1337" w:type="dxa"/>
            <w:tcBorders>
              <w:top w:val="nil"/>
              <w:left w:val="nil"/>
              <w:bottom w:val="single" w:color="auto" w:sz="8" w:space="0"/>
              <w:right w:val="single" w:color="auto" w:sz="8" w:space="0"/>
            </w:tcBorders>
            <w:shd w:val="clear" w:color="auto" w:fill="000000" w:themeFill="text1"/>
            <w:vAlign w:val="center"/>
            <w:hideMark/>
          </w:tcPr>
          <w:p w:rsidRPr="00562915" w:rsidR="00B4334B" w:rsidP="00B4334B" w:rsidRDefault="00B4334B" w14:paraId="1B1D05B7" w14:textId="77777777">
            <w:pPr>
              <w:spacing w:after="0" w:line="240" w:lineRule="auto"/>
              <w:jc w:val="center"/>
              <w:rPr>
                <w:rFonts w:ascii="Arial" w:hAnsi="Arial" w:eastAsia="Times New Roman" w:cs="Arial"/>
                <w:color w:val="000000"/>
                <w:sz w:val="18"/>
                <w:szCs w:val="18"/>
              </w:rPr>
            </w:pPr>
            <w:r w:rsidRPr="00562915">
              <w:rPr>
                <w:rFonts w:ascii="Arial" w:hAnsi="Arial" w:eastAsia="Times New Roman" w:cs="Arial"/>
                <w:color w:val="000000"/>
                <w:sz w:val="18"/>
                <w:szCs w:val="18"/>
              </w:rPr>
              <w:t> </w:t>
            </w:r>
          </w:p>
        </w:tc>
        <w:tc>
          <w:tcPr>
            <w:tcW w:w="1167" w:type="dxa"/>
            <w:tcBorders>
              <w:top w:val="nil"/>
              <w:left w:val="nil"/>
              <w:bottom w:val="single" w:color="auto" w:sz="8" w:space="0"/>
              <w:right w:val="single" w:color="auto" w:sz="8" w:space="0"/>
            </w:tcBorders>
            <w:shd w:val="clear" w:color="auto" w:fill="auto"/>
            <w:vAlign w:val="center"/>
            <w:hideMark/>
          </w:tcPr>
          <w:p w:rsidRPr="00D80204" w:rsidR="00B4334B" w:rsidP="00B4334B" w:rsidRDefault="00B4334B" w14:paraId="4370F946" w14:textId="79FD557F">
            <w:pPr>
              <w:spacing w:after="0" w:line="240" w:lineRule="auto"/>
              <w:jc w:val="center"/>
              <w:rPr>
                <w:rFonts w:ascii="Arial" w:hAnsi="Arial" w:eastAsia="Times New Roman" w:cs="Arial"/>
                <w:b/>
                <w:bCs/>
                <w:color w:val="000000"/>
                <w:sz w:val="18"/>
                <w:szCs w:val="18"/>
              </w:rPr>
            </w:pPr>
            <w:r w:rsidRPr="00831B90">
              <w:rPr>
                <w:rFonts w:ascii="Arial" w:hAnsi="Arial" w:eastAsia="Times New Roman" w:cs="Arial"/>
                <w:b/>
                <w:bCs/>
                <w:color w:val="000000"/>
                <w:sz w:val="18"/>
                <w:szCs w:val="18"/>
              </w:rPr>
              <w:t>26,616,265</w:t>
            </w:r>
          </w:p>
        </w:tc>
        <w:tc>
          <w:tcPr>
            <w:tcW w:w="936" w:type="dxa"/>
            <w:tcBorders>
              <w:top w:val="nil"/>
              <w:left w:val="nil"/>
              <w:bottom w:val="single" w:color="auto" w:sz="8" w:space="0"/>
              <w:right w:val="single" w:color="auto" w:sz="8" w:space="0"/>
            </w:tcBorders>
            <w:shd w:val="clear" w:color="000000" w:fill="000000"/>
            <w:vAlign w:val="center"/>
            <w:hideMark/>
          </w:tcPr>
          <w:p w:rsidRPr="00562915" w:rsidR="00B4334B" w:rsidP="00B4334B" w:rsidRDefault="00B4334B" w14:paraId="6017CA52" w14:textId="77777777">
            <w:pPr>
              <w:spacing w:after="0" w:line="240" w:lineRule="auto"/>
              <w:jc w:val="center"/>
              <w:rPr>
                <w:rFonts w:ascii="Arial" w:hAnsi="Arial" w:eastAsia="Times New Roman" w:cs="Arial"/>
                <w:color w:val="000000"/>
                <w:sz w:val="18"/>
                <w:szCs w:val="18"/>
              </w:rPr>
            </w:pPr>
          </w:p>
        </w:tc>
        <w:tc>
          <w:tcPr>
            <w:tcW w:w="1177" w:type="dxa"/>
            <w:tcBorders>
              <w:top w:val="nil"/>
              <w:left w:val="nil"/>
              <w:bottom w:val="single" w:color="auto" w:sz="8" w:space="0"/>
              <w:right w:val="single" w:color="auto" w:sz="8" w:space="0"/>
            </w:tcBorders>
            <w:shd w:val="clear" w:color="000000" w:fill="FFFFFF"/>
            <w:vAlign w:val="center"/>
            <w:hideMark/>
          </w:tcPr>
          <w:p w:rsidRPr="008043EF" w:rsidR="00B4334B" w:rsidP="00B4334B" w:rsidRDefault="00B4334B" w14:paraId="0BB9881B" w14:textId="06C5EEE3">
            <w:pPr>
              <w:spacing w:after="0" w:line="240" w:lineRule="auto"/>
              <w:jc w:val="center"/>
              <w:rPr>
                <w:rFonts w:ascii="Arial" w:hAnsi="Arial" w:eastAsia="Times New Roman" w:cs="Arial"/>
                <w:b/>
                <w:color w:val="000000"/>
                <w:sz w:val="18"/>
                <w:szCs w:val="18"/>
              </w:rPr>
            </w:pPr>
            <w:r w:rsidRPr="00831B90">
              <w:rPr>
                <w:rFonts w:ascii="Arial" w:hAnsi="Arial" w:eastAsia="Times New Roman" w:cs="Arial"/>
                <w:b/>
                <w:color w:val="000000"/>
                <w:sz w:val="18"/>
                <w:szCs w:val="18"/>
              </w:rPr>
              <w:t>26,616,265</w:t>
            </w:r>
          </w:p>
        </w:tc>
        <w:tc>
          <w:tcPr>
            <w:tcW w:w="1236" w:type="dxa"/>
            <w:tcBorders>
              <w:top w:val="nil"/>
              <w:left w:val="nil"/>
              <w:bottom w:val="single" w:color="auto" w:sz="8" w:space="0"/>
              <w:right w:val="single" w:color="auto" w:sz="8" w:space="0"/>
            </w:tcBorders>
            <w:shd w:val="clear" w:color="000000" w:fill="000000"/>
            <w:vAlign w:val="center"/>
            <w:hideMark/>
          </w:tcPr>
          <w:p w:rsidRPr="00562915" w:rsidR="00B4334B" w:rsidP="00B4334B" w:rsidRDefault="00B4334B" w14:paraId="67A71EE4" w14:textId="77777777">
            <w:pPr>
              <w:spacing w:after="0" w:line="240" w:lineRule="auto"/>
              <w:jc w:val="center"/>
              <w:rPr>
                <w:rFonts w:ascii="Arial" w:hAnsi="Arial" w:eastAsia="Times New Roman" w:cs="Arial"/>
                <w:color w:val="000000"/>
                <w:sz w:val="18"/>
                <w:szCs w:val="18"/>
              </w:rPr>
            </w:pPr>
          </w:p>
        </w:tc>
        <w:tc>
          <w:tcPr>
            <w:tcW w:w="1260" w:type="dxa"/>
            <w:tcBorders>
              <w:top w:val="nil"/>
              <w:left w:val="nil"/>
              <w:bottom w:val="single" w:color="auto" w:sz="8" w:space="0"/>
              <w:right w:val="single" w:color="auto" w:sz="8" w:space="0"/>
            </w:tcBorders>
            <w:shd w:val="clear" w:color="auto" w:fill="auto"/>
            <w:vAlign w:val="center"/>
            <w:hideMark/>
          </w:tcPr>
          <w:p w:rsidR="00B4334B" w:rsidP="00B4334B" w:rsidRDefault="00B4334B" w14:paraId="25FBB8C1" w14:textId="726A36C8">
            <w:pPr>
              <w:spacing w:after="0" w:line="240" w:lineRule="auto"/>
              <w:jc w:val="center"/>
              <w:rPr>
                <w:rFonts w:ascii="Arial" w:hAnsi="Arial" w:eastAsia="Times New Roman" w:cs="Arial"/>
                <w:b/>
                <w:bCs/>
                <w:color w:val="000000"/>
                <w:sz w:val="18"/>
                <w:szCs w:val="18"/>
              </w:rPr>
            </w:pPr>
          </w:p>
          <w:p w:rsidR="00270A9F" w:rsidP="00B4334B" w:rsidRDefault="00270A9F" w14:paraId="77D5EC63" w14:textId="2E39ED9E">
            <w:pPr>
              <w:spacing w:after="0" w:line="240" w:lineRule="auto"/>
              <w:jc w:val="center"/>
              <w:rPr>
                <w:rFonts w:ascii="Arial" w:hAnsi="Arial" w:eastAsia="Times New Roman" w:cs="Arial"/>
                <w:b/>
                <w:bCs/>
                <w:color w:val="000000"/>
                <w:sz w:val="18"/>
                <w:szCs w:val="18"/>
              </w:rPr>
            </w:pPr>
            <w:r w:rsidRPr="00270A9F">
              <w:rPr>
                <w:rFonts w:ascii="Arial" w:hAnsi="Arial" w:eastAsia="Times New Roman" w:cs="Arial"/>
                <w:b/>
                <w:bCs/>
                <w:color w:val="000000"/>
                <w:sz w:val="18"/>
                <w:szCs w:val="18"/>
              </w:rPr>
              <w:t>8,783,367</w:t>
            </w:r>
          </w:p>
          <w:p w:rsidRPr="00562915" w:rsidR="00270A9F" w:rsidP="00B4334B" w:rsidRDefault="00270A9F" w14:paraId="1158FBAE" w14:textId="77777777">
            <w:pPr>
              <w:spacing w:after="0" w:line="240" w:lineRule="auto"/>
              <w:jc w:val="center"/>
              <w:rPr>
                <w:rFonts w:ascii="Arial" w:hAnsi="Arial" w:eastAsia="Times New Roman" w:cs="Arial"/>
                <w:b/>
                <w:bCs/>
                <w:color w:val="000000"/>
                <w:sz w:val="18"/>
                <w:szCs w:val="18"/>
              </w:rPr>
            </w:pPr>
          </w:p>
        </w:tc>
        <w:tc>
          <w:tcPr>
            <w:tcW w:w="810" w:type="dxa"/>
            <w:tcBorders>
              <w:top w:val="nil"/>
              <w:left w:val="nil"/>
              <w:bottom w:val="single" w:color="auto" w:sz="8" w:space="0"/>
              <w:right w:val="single" w:color="auto" w:sz="8" w:space="0"/>
            </w:tcBorders>
            <w:shd w:val="clear" w:color="000000" w:fill="000000"/>
            <w:hideMark/>
          </w:tcPr>
          <w:p w:rsidRPr="00562915" w:rsidR="00B4334B" w:rsidP="00B4334B" w:rsidRDefault="00B4334B" w14:paraId="1DBBF670" w14:textId="5C6E3D90">
            <w:pPr>
              <w:spacing w:after="0" w:line="240" w:lineRule="auto"/>
              <w:jc w:val="center"/>
              <w:rPr>
                <w:rFonts w:ascii="Arial" w:hAnsi="Arial" w:eastAsia="Times New Roman" w:cs="Arial"/>
                <w:color w:val="000000"/>
                <w:sz w:val="18"/>
                <w:szCs w:val="18"/>
              </w:rPr>
            </w:pPr>
            <w:r w:rsidRPr="00A82D97">
              <w:rPr>
                <w:rFonts w:ascii="Arial" w:hAnsi="Arial" w:eastAsia="Times New Roman" w:cs="Arial"/>
                <w:color w:val="000000"/>
                <w:sz w:val="18"/>
                <w:szCs w:val="18"/>
              </w:rPr>
              <w:t>$217,827,513</w:t>
            </w:r>
          </w:p>
        </w:tc>
        <w:tc>
          <w:tcPr>
            <w:tcW w:w="1676" w:type="dxa"/>
            <w:tcBorders>
              <w:top w:val="nil"/>
              <w:left w:val="nil"/>
              <w:bottom w:val="single" w:color="auto" w:sz="8" w:space="0"/>
              <w:right w:val="single" w:color="auto" w:sz="8" w:space="0"/>
            </w:tcBorders>
            <w:shd w:val="clear" w:color="auto" w:fill="auto"/>
            <w:hideMark/>
          </w:tcPr>
          <w:p w:rsidRPr="001718B5" w:rsidR="00F51B8C" w:rsidP="00F51B8C" w:rsidRDefault="00F51B8C" w14:paraId="6C277E0F" w14:textId="4435F7C2">
            <w:pPr>
              <w:spacing w:after="0" w:line="240" w:lineRule="auto"/>
              <w:jc w:val="center"/>
              <w:rPr>
                <w:rFonts w:ascii="Arial" w:hAnsi="Arial" w:eastAsia="Times New Roman" w:cs="Arial"/>
                <w:b/>
                <w:bCs/>
                <w:color w:val="000000"/>
                <w:sz w:val="18"/>
                <w:szCs w:val="18"/>
              </w:rPr>
            </w:pPr>
            <w:r w:rsidRPr="00F51B8C">
              <w:rPr>
                <w:rFonts w:ascii="Arial" w:hAnsi="Arial" w:eastAsia="Times New Roman" w:cs="Arial"/>
                <w:b/>
                <w:bCs/>
                <w:color w:val="000000"/>
                <w:sz w:val="18"/>
                <w:szCs w:val="18"/>
              </w:rPr>
              <w:t>$</w:t>
            </w:r>
            <w:r w:rsidR="00852C3E">
              <w:rPr>
                <w:rFonts w:ascii="Times New Roman" w:hAnsi="Times New Roman" w:eastAsia="Times New Roman" w:cs="Times New Roman"/>
                <w:b/>
                <w:sz w:val="18"/>
                <w:szCs w:val="18"/>
              </w:rPr>
              <w:t>214,138,487</w:t>
            </w:r>
            <w:r w:rsidRPr="00390394" w:rsidR="006B01CF">
              <w:rPr>
                <w:rFonts w:ascii="Times New Roman" w:hAnsi="Times New Roman" w:eastAsia="Times New Roman" w:cs="Times New Roman"/>
                <w:b/>
                <w:sz w:val="24"/>
                <w:szCs w:val="24"/>
              </w:rPr>
              <w:t xml:space="preserve"> </w:t>
            </w:r>
          </w:p>
          <w:p w:rsidRPr="00562915" w:rsidR="00B4334B" w:rsidP="00B4334B" w:rsidRDefault="00B4334B" w14:paraId="7FDB86F7" w14:textId="17197CF3">
            <w:pPr>
              <w:spacing w:after="0" w:line="240" w:lineRule="auto"/>
              <w:jc w:val="center"/>
              <w:rPr>
                <w:rFonts w:ascii="Arial" w:hAnsi="Arial" w:eastAsia="Times New Roman" w:cs="Arial"/>
                <w:b/>
                <w:bCs/>
                <w:color w:val="000000"/>
                <w:sz w:val="18"/>
                <w:szCs w:val="18"/>
              </w:rPr>
            </w:pPr>
          </w:p>
        </w:tc>
      </w:tr>
    </w:tbl>
    <w:p w:rsidR="00F72947" w:rsidP="00820A47" w:rsidRDefault="00F72947" w14:paraId="4BB45302" w14:textId="77777777">
      <w:pPr>
        <w:tabs>
          <w:tab w:val="left" w:pos="-720"/>
        </w:tabs>
        <w:suppressAutoHyphens/>
        <w:rPr>
          <w:rFonts w:ascii="Times New Roman" w:hAnsi="Times New Roman" w:cs="Times New Roman"/>
          <w:sz w:val="24"/>
          <w:szCs w:val="24"/>
        </w:rPr>
      </w:pPr>
    </w:p>
    <w:p w:rsidR="00F72947" w:rsidP="00820A47" w:rsidRDefault="00F72947" w14:paraId="0D8E6F1A" w14:textId="7A84123A">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 xml:space="preserve">According to the </w:t>
      </w:r>
      <w:r w:rsidR="005A0711">
        <w:rPr>
          <w:rFonts w:ascii="Times New Roman" w:hAnsi="Times New Roman" w:cs="Times New Roman"/>
          <w:sz w:val="24"/>
          <w:szCs w:val="24"/>
        </w:rPr>
        <w:t xml:space="preserve">U.S. Department of Labor, </w:t>
      </w:r>
      <w:r w:rsidRPr="006625E7">
        <w:rPr>
          <w:rFonts w:ascii="Times New Roman" w:hAnsi="Times New Roman" w:cs="Times New Roman"/>
          <w:sz w:val="24"/>
          <w:szCs w:val="24"/>
        </w:rPr>
        <w:t>Bureau of Labor Statistics</w:t>
      </w:r>
      <w:r>
        <w:rPr>
          <w:rFonts w:ascii="Times New Roman" w:hAnsi="Times New Roman" w:cs="Times New Roman"/>
          <w:sz w:val="24"/>
          <w:szCs w:val="24"/>
        </w:rPr>
        <w:t>,</w:t>
      </w:r>
      <w:r w:rsidRPr="006625E7">
        <w:rPr>
          <w:rFonts w:ascii="Times New Roman" w:hAnsi="Times New Roman" w:cs="Times New Roman"/>
          <w:sz w:val="24"/>
          <w:szCs w:val="24"/>
        </w:rPr>
        <w:t xml:space="preserve"> the </w:t>
      </w:r>
      <w:r>
        <w:rPr>
          <w:rFonts w:ascii="Times New Roman" w:hAnsi="Times New Roman" w:cs="Times New Roman"/>
          <w:sz w:val="24"/>
          <w:szCs w:val="24"/>
        </w:rPr>
        <w:t xml:space="preserve">May 2017 National Industry-Specific Occupational Employment and Wage Estimates </w:t>
      </w:r>
      <w:r w:rsidRPr="006625E7">
        <w:rPr>
          <w:rFonts w:ascii="Times New Roman" w:hAnsi="Times New Roman" w:cs="Times New Roman"/>
          <w:sz w:val="24"/>
          <w:szCs w:val="24"/>
        </w:rPr>
        <w:t xml:space="preserve">wage rate for </w:t>
      </w:r>
      <w:r>
        <w:rPr>
          <w:rFonts w:ascii="Times New Roman" w:hAnsi="Times New Roman" w:cs="Times New Roman"/>
          <w:sz w:val="24"/>
          <w:szCs w:val="24"/>
        </w:rPr>
        <w:t xml:space="preserve">General Office Clerk (Standard Occupational </w:t>
      </w:r>
      <w:r w:rsidRPr="00B7186F">
        <w:rPr>
          <w:rFonts w:ascii="Times New Roman" w:hAnsi="Times New Roman" w:cs="Times New Roman"/>
          <w:sz w:val="24"/>
          <w:szCs w:val="24"/>
        </w:rPr>
        <w:t xml:space="preserve">Classification </w:t>
      </w:r>
      <w:r w:rsidRPr="00390394">
        <w:rPr>
          <w:rFonts w:ascii="Times New Roman" w:hAnsi="Times New Roman" w:cs="Times New Roman"/>
          <w:sz w:val="24"/>
          <w:szCs w:val="24"/>
        </w:rPr>
        <w:t>43-9061) is estimated to be $16.70</w:t>
      </w:r>
      <w:r w:rsidRPr="00390394" w:rsidR="006B01CF">
        <w:rPr>
          <w:rFonts w:ascii="Times New Roman" w:hAnsi="Times New Roman" w:cs="Times New Roman"/>
          <w:sz w:val="24"/>
          <w:szCs w:val="24"/>
        </w:rPr>
        <w:t>.</w:t>
      </w:r>
      <w:r w:rsidR="00B97637">
        <w:rPr>
          <w:rStyle w:val="FootnoteReference"/>
          <w:rFonts w:ascii="Times New Roman" w:hAnsi="Times New Roman" w:cs="Times New Roman"/>
          <w:sz w:val="24"/>
          <w:szCs w:val="24"/>
        </w:rPr>
        <w:footnoteReference w:id="1"/>
      </w:r>
      <w:r w:rsidRPr="00390394" w:rsidR="006B01CF">
        <w:rPr>
          <w:rFonts w:ascii="Times New Roman" w:hAnsi="Times New Roman" w:cs="Times New Roman"/>
          <w:sz w:val="24"/>
          <w:szCs w:val="24"/>
        </w:rPr>
        <w:t xml:space="preserve"> </w:t>
      </w:r>
      <w:r w:rsidRPr="00B7186F" w:rsidR="006B01CF">
        <w:rPr>
          <w:rFonts w:ascii="Times New Roman" w:hAnsi="Times New Roman" w:eastAsia="Times New Roman" w:cs="Times New Roman"/>
          <w:sz w:val="24"/>
          <w:szCs w:val="24"/>
        </w:rPr>
        <w:t>Including</w:t>
      </w:r>
      <w:r w:rsidRPr="00233D1D" w:rsidR="006B01CF">
        <w:rPr>
          <w:rFonts w:ascii="Times New Roman" w:hAnsi="Times New Roman" w:eastAsia="Times New Roman" w:cs="Times New Roman"/>
          <w:sz w:val="24"/>
          <w:szCs w:val="24"/>
        </w:rPr>
        <w:t xml:space="preserve"> the wage rate multiplier</w:t>
      </w:r>
      <w:r w:rsidR="006B01CF">
        <w:rPr>
          <w:rFonts w:ascii="Times New Roman" w:hAnsi="Times New Roman" w:eastAsia="Times New Roman" w:cs="Times New Roman"/>
          <w:sz w:val="24"/>
          <w:szCs w:val="24"/>
        </w:rPr>
        <w:t xml:space="preserve"> of 1.46</w:t>
      </w:r>
      <w:r w:rsidRPr="00233D1D" w:rsidR="006B01CF">
        <w:rPr>
          <w:rFonts w:ascii="Times New Roman" w:hAnsi="Times New Roman" w:eastAsia="Times New Roman" w:cs="Times New Roman"/>
          <w:sz w:val="24"/>
          <w:szCs w:val="24"/>
        </w:rPr>
        <w:t xml:space="preserve">, the </w:t>
      </w:r>
      <w:r w:rsidR="006B01CF">
        <w:rPr>
          <w:rFonts w:ascii="Times New Roman" w:hAnsi="Times New Roman" w:eastAsia="Times New Roman" w:cs="Times New Roman"/>
          <w:sz w:val="24"/>
          <w:szCs w:val="24"/>
        </w:rPr>
        <w:t>fully-loaded wage rate is an estimated $</w:t>
      </w:r>
      <w:r w:rsidR="00852C3E">
        <w:rPr>
          <w:rFonts w:ascii="Times New Roman" w:hAnsi="Times New Roman" w:eastAsia="Times New Roman" w:cs="Times New Roman"/>
          <w:sz w:val="24"/>
          <w:szCs w:val="24"/>
        </w:rPr>
        <w:t>24.38</w:t>
      </w:r>
      <w:r w:rsidR="006B01CF">
        <w:rPr>
          <w:rFonts w:ascii="Times New Roman" w:hAnsi="Times New Roman" w:eastAsia="Times New Roman" w:cs="Times New Roman"/>
          <w:sz w:val="24"/>
          <w:szCs w:val="24"/>
        </w:rPr>
        <w:t xml:space="preserve"> per hour.</w:t>
      </w:r>
      <w:r w:rsidR="00B7186F">
        <w:rPr>
          <w:rStyle w:val="FootnoteReference"/>
          <w:rFonts w:ascii="Times New Roman" w:hAnsi="Times New Roman" w:eastAsia="Times New Roman" w:cs="Times New Roman"/>
          <w:sz w:val="24"/>
          <w:szCs w:val="24"/>
        </w:rPr>
        <w:footnoteReference w:id="2"/>
      </w:r>
      <w:r w:rsidR="006B01CF">
        <w:rPr>
          <w:rFonts w:ascii="Times New Roman" w:hAnsi="Times New Roman" w:eastAsia="Times New Roman" w:cs="Times New Roman"/>
          <w:sz w:val="24"/>
          <w:szCs w:val="24"/>
        </w:rPr>
        <w:t xml:space="preserve"> Therefore, the estimated annual burden hour cost is estimated to be $</w:t>
      </w:r>
      <w:r w:rsidR="00852C3E">
        <w:rPr>
          <w:rFonts w:ascii="Times New Roman" w:hAnsi="Times New Roman" w:eastAsia="Times New Roman" w:cs="Times New Roman"/>
          <w:sz w:val="24"/>
          <w:szCs w:val="24"/>
        </w:rPr>
        <w:t>214,138,487</w:t>
      </w:r>
      <w:r w:rsidR="006B01CF">
        <w:rPr>
          <w:rFonts w:ascii="Times New Roman" w:hAnsi="Times New Roman" w:eastAsia="Times New Roman" w:cs="Times New Roman"/>
          <w:sz w:val="24"/>
          <w:szCs w:val="24"/>
        </w:rPr>
        <w:t xml:space="preserve"> ($</w:t>
      </w:r>
      <w:r w:rsidR="00852C3E">
        <w:rPr>
          <w:rFonts w:ascii="Times New Roman" w:hAnsi="Times New Roman" w:eastAsia="Times New Roman" w:cs="Times New Roman"/>
          <w:sz w:val="24"/>
          <w:szCs w:val="24"/>
        </w:rPr>
        <w:t>24.38</w:t>
      </w:r>
      <w:r w:rsidR="006B01CF">
        <w:rPr>
          <w:rFonts w:ascii="Times New Roman" w:hAnsi="Times New Roman" w:eastAsia="Times New Roman" w:cs="Times New Roman"/>
          <w:sz w:val="24"/>
          <w:szCs w:val="24"/>
        </w:rPr>
        <w:t xml:space="preserve"> x 8,783,367)</w:t>
      </w:r>
      <w:r w:rsidR="00B7186F">
        <w:rPr>
          <w:rFonts w:ascii="Times New Roman" w:hAnsi="Times New Roman" w:eastAsia="Times New Roman" w:cs="Times New Roman"/>
          <w:sz w:val="24"/>
          <w:szCs w:val="24"/>
        </w:rPr>
        <w:t>.</w:t>
      </w:r>
    </w:p>
    <w:p w:rsidR="00CC0B86" w:rsidP="00562915" w:rsidRDefault="00CC0B86" w14:paraId="2DEDB365" w14:textId="77777777">
      <w:pPr>
        <w:rPr>
          <w:rFonts w:ascii="Times New Roman" w:hAnsi="Times New Roman" w:cs="Times New Roman"/>
          <w:sz w:val="24"/>
          <w:szCs w:val="24"/>
        </w:rPr>
      </w:pPr>
    </w:p>
    <w:p w:rsidRPr="006625E7" w:rsidR="00562915" w:rsidP="00562915" w:rsidRDefault="00562915" w14:paraId="4862068E" w14:textId="400C4EDD">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956EBF">
        <w:rPr>
          <w:rFonts w:ascii="Times New Roman" w:hAnsi="Times New Roman" w:cs="Times New Roman"/>
          <w:b/>
          <w:bCs/>
          <w:sz w:val="24"/>
          <w:szCs w:val="24"/>
        </w:rPr>
        <w:t xml:space="preserve"> </w:t>
      </w:r>
      <w:r w:rsidRPr="006625E7">
        <w:rPr>
          <w:rFonts w:ascii="Times New Roman" w:hAnsi="Times New Roman" w:cs="Times New Roman"/>
          <w:b/>
          <w:bCs/>
          <w:sz w:val="24"/>
          <w:szCs w:val="24"/>
        </w:rPr>
        <w:t>keepers resulting from the c</w:t>
      </w:r>
      <w:r w:rsidR="00B7186F">
        <w:rPr>
          <w:rFonts w:ascii="Times New Roman" w:hAnsi="Times New Roman" w:cs="Times New Roman"/>
          <w:b/>
          <w:bCs/>
          <w:sz w:val="24"/>
          <w:szCs w:val="24"/>
        </w:rPr>
        <w:t>o</w:t>
      </w:r>
      <w:r w:rsidRPr="006625E7">
        <w:rPr>
          <w:rFonts w:ascii="Times New Roman" w:hAnsi="Times New Roman" w:cs="Times New Roman"/>
          <w:b/>
          <w:bCs/>
          <w:sz w:val="24"/>
          <w:szCs w:val="24"/>
        </w:rPr>
        <w:t>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73A250B2"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34FEB812"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P="00562915" w:rsidRDefault="00562915" w14:paraId="2AE86AAC" w14:textId="77777777">
      <w:pPr>
        <w:rPr>
          <w:rFonts w:ascii="Times New Roman" w:hAnsi="Times New Roman" w:cs="Times New Roman"/>
          <w:b/>
          <w:bCs/>
          <w:sz w:val="24"/>
          <w:szCs w:val="24"/>
        </w:rPr>
      </w:pPr>
      <w:r w:rsidRPr="006625E7">
        <w:rPr>
          <w:rFonts w:ascii="Times New Roman" w:hAnsi="Times New Roman" w:cs="Times New Roman"/>
          <w:b/>
          <w:bCs/>
          <w:color w:val="FF0000"/>
          <w:sz w:val="24"/>
          <w:szCs w:val="24"/>
        </w:rPr>
        <w:lastRenderedPageBreak/>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2C1D40" w:rsidP="002C1D40" w:rsidRDefault="002C1D40" w14:paraId="3151240C" w14:textId="77777777">
      <w:pPr>
        <w:rPr>
          <w:rFonts w:ascii="Times New Roman" w:hAnsi="Times New Roman" w:cs="Times New Roman"/>
          <w:bCs/>
          <w:sz w:val="24"/>
          <w:szCs w:val="24"/>
        </w:rPr>
      </w:pPr>
      <w:r w:rsidRPr="00467B34">
        <w:rPr>
          <w:rFonts w:ascii="Times New Roman" w:hAnsi="Times New Roman" w:cs="Times New Roman"/>
          <w:bCs/>
          <w:sz w:val="24"/>
          <w:szCs w:val="24"/>
        </w:rPr>
        <w:t xml:space="preserve">There are no record keeping, capital, start-up or maintenance costs associated with this information collection. </w:t>
      </w:r>
    </w:p>
    <w:p w:rsidRPr="00467B34" w:rsidR="00CB09F5" w:rsidP="002C1D40" w:rsidRDefault="00CB09F5" w14:paraId="0806D18A" w14:textId="77777777">
      <w:pPr>
        <w:rPr>
          <w:rFonts w:ascii="Times New Roman" w:hAnsi="Times New Roman" w:cs="Times New Roman"/>
          <w:bCs/>
          <w:sz w:val="24"/>
          <w:szCs w:val="24"/>
        </w:rPr>
      </w:pPr>
    </w:p>
    <w:p w:rsidR="00F23103" w:rsidP="009B12CA" w:rsidRDefault="00562915" w14:paraId="2D22204B" w14:textId="0E61366F">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F23103" w:rsidP="009B12CA" w:rsidRDefault="00F23103" w14:paraId="4271F543" w14:textId="77777777">
      <w:pPr>
        <w:rPr>
          <w:rFonts w:ascii="Times New Roman" w:hAnsi="Times New Roman" w:cs="Times New Roman"/>
          <w:b/>
          <w:bCs/>
          <w:sz w:val="24"/>
          <w:szCs w:val="24"/>
        </w:rPr>
      </w:pPr>
    </w:p>
    <w:p w:rsidRPr="006625E7" w:rsidR="00F23103" w:rsidP="00F23103" w:rsidRDefault="00F23103" w14:paraId="13DFFD00" w14:textId="2794473E">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r w:rsidRPr="009B12CA" w:rsidR="009B12CA">
        <w:rPr>
          <w:rFonts w:ascii="Times New Roman" w:hAnsi="Times New Roman" w:cs="Times New Roman"/>
          <w:b/>
          <w:bCs/>
          <w:sz w:val="24"/>
          <w:szCs w:val="24"/>
        </w:rPr>
        <w:t xml:space="preserve"> </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Pr="00E85166" w:rsidR="00F23103" w:rsidTr="001709B9" w14:paraId="13E11EC5" w14:textId="77777777">
        <w:trPr>
          <w:trHeight w:val="70"/>
        </w:trPr>
        <w:tc>
          <w:tcPr>
            <w:tcW w:w="7680" w:type="dxa"/>
            <w:shd w:val="clear" w:color="auto" w:fill="548DD4" w:themeFill="text2" w:themeFillTint="99"/>
            <w:noWrap/>
            <w:vAlign w:val="center"/>
          </w:tcPr>
          <w:p w:rsidRPr="00E85166" w:rsidR="00F23103" w:rsidP="001709B9" w:rsidRDefault="00F23103" w14:paraId="12F992D0" w14:textId="77777777">
            <w:pPr>
              <w:spacing w:after="0"/>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Pr="00E85166" w:rsidR="00F23103" w:rsidP="001709B9" w:rsidRDefault="00F23103" w14:paraId="0B81F6AE" w14:textId="77777777">
            <w:pPr>
              <w:spacing w:after="0"/>
              <w:jc w:val="center"/>
              <w:rPr>
                <w:rFonts w:ascii="Arial" w:hAnsi="Arial" w:cs="Arial"/>
                <w:b/>
                <w:bCs/>
                <w:sz w:val="20"/>
                <w:szCs w:val="20"/>
              </w:rPr>
            </w:pPr>
            <w:r w:rsidRPr="00E85166">
              <w:rPr>
                <w:rFonts w:ascii="Arial" w:hAnsi="Arial" w:cs="Arial"/>
                <w:b/>
                <w:bCs/>
                <w:sz w:val="20"/>
                <w:szCs w:val="20"/>
              </w:rPr>
              <w:t>Cost ($)</w:t>
            </w:r>
          </w:p>
        </w:tc>
      </w:tr>
      <w:tr w:rsidRPr="00E85166" w:rsidR="00F23103" w:rsidTr="001709B9" w14:paraId="16BFB306" w14:textId="77777777">
        <w:trPr>
          <w:trHeight w:val="495"/>
        </w:trPr>
        <w:tc>
          <w:tcPr>
            <w:tcW w:w="7680" w:type="dxa"/>
          </w:tcPr>
          <w:p w:rsidRPr="006625E7" w:rsidR="00F23103" w:rsidP="001709B9" w:rsidRDefault="00F23103" w14:paraId="3E662FD4" w14:textId="77777777">
            <w:pPr>
              <w:spacing w:after="0"/>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p>
        </w:tc>
        <w:tc>
          <w:tcPr>
            <w:tcW w:w="1518" w:type="dxa"/>
          </w:tcPr>
          <w:p w:rsidRPr="006625E7" w:rsidR="00F23103" w:rsidP="001709B9" w:rsidRDefault="00F23103" w14:paraId="71459DB2" w14:textId="77777777">
            <w:pPr>
              <w:spacing w:after="0"/>
              <w:rPr>
                <w:rFonts w:ascii="Times New Roman" w:hAnsi="Times New Roman" w:cs="Times New Roman"/>
                <w:sz w:val="18"/>
                <w:szCs w:val="18"/>
              </w:rPr>
            </w:pPr>
            <w:r w:rsidRPr="006625E7">
              <w:rPr>
                <w:rFonts w:ascii="Times New Roman" w:hAnsi="Times New Roman" w:cs="Times New Roman"/>
                <w:sz w:val="18"/>
                <w:szCs w:val="18"/>
              </w:rPr>
              <w:t> </w:t>
            </w:r>
          </w:p>
        </w:tc>
      </w:tr>
      <w:tr w:rsidRPr="00E85166" w:rsidR="00F23103" w:rsidTr="001709B9" w14:paraId="78BD4473" w14:textId="77777777">
        <w:trPr>
          <w:trHeight w:val="510"/>
        </w:trPr>
        <w:tc>
          <w:tcPr>
            <w:tcW w:w="7680" w:type="dxa"/>
          </w:tcPr>
          <w:p w:rsidRPr="008214B2" w:rsidR="007067FF" w:rsidP="007067FF" w:rsidRDefault="00FC0F50" w14:paraId="63D06634" w14:textId="3CF9F8FE">
            <w:pPr>
              <w:spacing w:after="0"/>
              <w:rPr>
                <w:rFonts w:ascii="Times New Roman" w:hAnsi="Times New Roman" w:cs="Times New Roman"/>
                <w:b/>
                <w:bCs/>
                <w:sz w:val="18"/>
                <w:szCs w:val="18"/>
              </w:rPr>
            </w:pPr>
            <w:r>
              <w:rPr>
                <w:rFonts w:ascii="Times New Roman" w:hAnsi="Times New Roman" w:cs="Times New Roman"/>
                <w:sz w:val="18"/>
                <w:szCs w:val="18"/>
              </w:rPr>
              <w:t>Staff Salaries</w:t>
            </w:r>
            <w:r w:rsidR="00142A55">
              <w:rPr>
                <w:rFonts w:ascii="Times New Roman" w:hAnsi="Times New Roman" w:cs="Times New Roman"/>
                <w:sz w:val="18"/>
                <w:szCs w:val="18"/>
              </w:rPr>
              <w:t>:</w:t>
            </w:r>
            <w:r w:rsidRPr="006625E7" w:rsidR="00F23103">
              <w:rPr>
                <w:rFonts w:ascii="Times New Roman" w:hAnsi="Times New Roman" w:cs="Times New Roman"/>
                <w:sz w:val="18"/>
                <w:szCs w:val="18"/>
              </w:rPr>
              <w:t xml:space="preserve"> </w:t>
            </w:r>
            <w:r w:rsidR="0054401C">
              <w:rPr>
                <w:rFonts w:ascii="Times New Roman" w:hAnsi="Times New Roman" w:cs="Times New Roman"/>
                <w:sz w:val="18"/>
                <w:szCs w:val="18"/>
              </w:rPr>
              <w:t>GS-13 Step 7 in Washington DC. Annual Cost of (</w:t>
            </w:r>
            <w:r w:rsidR="007067FF">
              <w:rPr>
                <w:rFonts w:ascii="Times New Roman" w:hAnsi="Times New Roman" w:cs="Times New Roman"/>
                <w:b/>
                <w:bCs/>
                <w:sz w:val="18"/>
                <w:szCs w:val="18"/>
              </w:rPr>
              <w:t>20</w:t>
            </w:r>
            <w:r w:rsidRPr="007067FF" w:rsidR="007067FF">
              <w:rPr>
                <w:rFonts w:ascii="Times New Roman" w:hAnsi="Times New Roman" w:cs="Times New Roman"/>
                <w:b/>
                <w:bCs/>
                <w:sz w:val="18"/>
                <w:szCs w:val="18"/>
              </w:rPr>
              <w:t xml:space="preserve"> hours per year </w:t>
            </w:r>
            <w:proofErr w:type="gramStart"/>
            <w:r w:rsidRPr="007067FF" w:rsidR="007067FF">
              <w:rPr>
                <w:rFonts w:ascii="Times New Roman" w:hAnsi="Times New Roman" w:cs="Times New Roman"/>
                <w:b/>
                <w:bCs/>
                <w:sz w:val="18"/>
                <w:szCs w:val="18"/>
              </w:rPr>
              <w:t>x  $</w:t>
            </w:r>
            <w:proofErr w:type="gramEnd"/>
            <w:r w:rsidRPr="007067FF" w:rsidR="007067FF">
              <w:rPr>
                <w:rFonts w:ascii="Times New Roman" w:hAnsi="Times New Roman" w:cs="Times New Roman"/>
                <w:b/>
                <w:bCs/>
                <w:sz w:val="18"/>
                <w:szCs w:val="18"/>
              </w:rPr>
              <w:t>119,004 annual salary x 1.46 loaded wage factor</w:t>
            </w:r>
            <w:r w:rsidR="007067FF">
              <w:rPr>
                <w:rFonts w:ascii="Times New Roman" w:hAnsi="Times New Roman" w:cs="Times New Roman"/>
                <w:b/>
                <w:bCs/>
                <w:sz w:val="18"/>
                <w:szCs w:val="18"/>
              </w:rPr>
              <w:t xml:space="preserve"> = $1670</w:t>
            </w:r>
            <w:r w:rsidRPr="007067FF" w:rsidR="007067FF">
              <w:rPr>
                <w:rFonts w:ascii="Times New Roman" w:hAnsi="Times New Roman" w:cs="Times New Roman"/>
                <w:b/>
                <w:bCs/>
                <w:sz w:val="18"/>
                <w:szCs w:val="18"/>
              </w:rPr>
              <w:t>).</w:t>
            </w:r>
          </w:p>
        </w:tc>
        <w:tc>
          <w:tcPr>
            <w:tcW w:w="1518" w:type="dxa"/>
            <w:noWrap/>
          </w:tcPr>
          <w:p w:rsidRPr="006625E7" w:rsidR="00F23103" w:rsidP="00F23103" w:rsidRDefault="0054401C" w14:paraId="5730731F" w14:textId="5CD1FC31">
            <w:pPr>
              <w:spacing w:after="0"/>
              <w:rPr>
                <w:rFonts w:ascii="Times New Roman" w:hAnsi="Times New Roman" w:cs="Times New Roman"/>
                <w:sz w:val="18"/>
                <w:szCs w:val="18"/>
              </w:rPr>
            </w:pPr>
            <w:r>
              <w:rPr>
                <w:rFonts w:ascii="Times New Roman" w:hAnsi="Times New Roman" w:cs="Times New Roman"/>
                <w:sz w:val="18"/>
                <w:szCs w:val="18"/>
              </w:rPr>
              <w:t>$</w:t>
            </w:r>
            <w:r w:rsidR="007067FF">
              <w:rPr>
                <w:rFonts w:ascii="Times New Roman" w:hAnsi="Times New Roman" w:cs="Times New Roman"/>
                <w:sz w:val="18"/>
                <w:szCs w:val="18"/>
              </w:rPr>
              <w:t>1,670</w:t>
            </w:r>
          </w:p>
        </w:tc>
      </w:tr>
      <w:tr w:rsidRPr="00E85166" w:rsidR="00F23103" w:rsidTr="001709B9" w14:paraId="478305A6" w14:textId="77777777">
        <w:trPr>
          <w:trHeight w:val="270"/>
        </w:trPr>
        <w:tc>
          <w:tcPr>
            <w:tcW w:w="7680" w:type="dxa"/>
            <w:noWrap/>
          </w:tcPr>
          <w:p w:rsidRPr="006625E7" w:rsidR="00F23103" w:rsidP="001709B9" w:rsidRDefault="00F23103" w14:paraId="0FF7E7F7" w14:textId="77777777">
            <w:pPr>
              <w:spacing w:after="0"/>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rsidRPr="006625E7" w:rsidR="00F23103" w:rsidP="001709B9" w:rsidRDefault="00F23103" w14:paraId="348AAFB2" w14:textId="77777777">
            <w:pPr>
              <w:spacing w:after="0"/>
              <w:rPr>
                <w:rFonts w:ascii="Times New Roman" w:hAnsi="Times New Roman" w:cs="Times New Roman"/>
                <w:sz w:val="18"/>
                <w:szCs w:val="18"/>
              </w:rPr>
            </w:pPr>
            <w:r w:rsidRPr="006625E7">
              <w:rPr>
                <w:rFonts w:ascii="Times New Roman" w:hAnsi="Times New Roman" w:cs="Times New Roman"/>
                <w:sz w:val="18"/>
                <w:szCs w:val="18"/>
              </w:rPr>
              <w:t> </w:t>
            </w:r>
          </w:p>
        </w:tc>
      </w:tr>
      <w:tr w:rsidRPr="00E85166" w:rsidR="00F23103" w:rsidTr="001709B9" w14:paraId="4EFD7D63" w14:textId="77777777">
        <w:trPr>
          <w:trHeight w:val="240"/>
        </w:trPr>
        <w:tc>
          <w:tcPr>
            <w:tcW w:w="7680" w:type="dxa"/>
            <w:noWrap/>
          </w:tcPr>
          <w:p w:rsidRPr="006625E7" w:rsidR="00F23103" w:rsidP="001709B9" w:rsidRDefault="00F23103" w14:paraId="087C7DCF" w14:textId="77777777">
            <w:pPr>
              <w:spacing w:after="0"/>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rsidRPr="006625E7" w:rsidR="00F23103" w:rsidP="001709B9" w:rsidRDefault="00F23103" w14:paraId="2AF33323" w14:textId="77777777">
            <w:pPr>
              <w:spacing w:after="0"/>
              <w:rPr>
                <w:rFonts w:ascii="Times New Roman" w:hAnsi="Times New Roman" w:cs="Times New Roman"/>
                <w:sz w:val="18"/>
                <w:szCs w:val="18"/>
              </w:rPr>
            </w:pPr>
            <w:r w:rsidRPr="006625E7">
              <w:rPr>
                <w:rFonts w:ascii="Times New Roman" w:hAnsi="Times New Roman" w:cs="Times New Roman"/>
                <w:sz w:val="18"/>
                <w:szCs w:val="18"/>
              </w:rPr>
              <w:t> </w:t>
            </w:r>
          </w:p>
        </w:tc>
      </w:tr>
      <w:tr w:rsidRPr="00E85166" w:rsidR="00F23103" w:rsidTr="001709B9" w14:paraId="4FE36CFD" w14:textId="77777777">
        <w:trPr>
          <w:trHeight w:val="255"/>
        </w:trPr>
        <w:tc>
          <w:tcPr>
            <w:tcW w:w="7680" w:type="dxa"/>
            <w:noWrap/>
          </w:tcPr>
          <w:p w:rsidRPr="006625E7" w:rsidR="00F23103" w:rsidP="001709B9" w:rsidRDefault="00F23103" w14:paraId="6DC0173A" w14:textId="77777777">
            <w:pPr>
              <w:spacing w:after="0"/>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rsidRPr="006625E7" w:rsidR="00F23103" w:rsidP="001709B9" w:rsidRDefault="00FC0F50" w14:paraId="7D480B38" w14:textId="06646672">
            <w:pPr>
              <w:spacing w:after="0"/>
              <w:rPr>
                <w:rFonts w:ascii="Times New Roman" w:hAnsi="Times New Roman" w:cs="Times New Roman"/>
                <w:sz w:val="18"/>
                <w:szCs w:val="18"/>
              </w:rPr>
            </w:pPr>
            <w:r>
              <w:rPr>
                <w:rFonts w:ascii="Times New Roman" w:hAnsi="Times New Roman" w:cs="Times New Roman"/>
                <w:sz w:val="18"/>
                <w:szCs w:val="18"/>
              </w:rPr>
              <w:t>$ 0</w:t>
            </w:r>
          </w:p>
        </w:tc>
      </w:tr>
      <w:tr w:rsidRPr="00E85166" w:rsidR="00F23103" w:rsidTr="001709B9" w14:paraId="359D70C6" w14:textId="77777777">
        <w:trPr>
          <w:trHeight w:val="255"/>
        </w:trPr>
        <w:tc>
          <w:tcPr>
            <w:tcW w:w="7680" w:type="dxa"/>
            <w:noWrap/>
          </w:tcPr>
          <w:p w:rsidRPr="006625E7" w:rsidR="00F23103" w:rsidP="001709B9" w:rsidRDefault="00F23103" w14:paraId="62D8F34F" w14:textId="77777777">
            <w:pPr>
              <w:spacing w:after="0"/>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tcPr>
          <w:p w:rsidRPr="006625E7" w:rsidR="00F23103" w:rsidP="001709B9" w:rsidRDefault="00FC0F50" w14:paraId="37FB0FE4" w14:textId="3283C522">
            <w:pPr>
              <w:spacing w:after="0"/>
              <w:rPr>
                <w:rFonts w:ascii="Times New Roman" w:hAnsi="Times New Roman" w:cs="Times New Roman"/>
                <w:sz w:val="18"/>
                <w:szCs w:val="18"/>
              </w:rPr>
            </w:pPr>
            <w:r>
              <w:rPr>
                <w:rFonts w:ascii="Times New Roman" w:hAnsi="Times New Roman" w:cs="Times New Roman"/>
                <w:sz w:val="18"/>
                <w:szCs w:val="18"/>
              </w:rPr>
              <w:t>$0</w:t>
            </w:r>
          </w:p>
        </w:tc>
      </w:tr>
      <w:tr w:rsidRPr="00E85166" w:rsidR="00F23103" w:rsidTr="001709B9" w14:paraId="5E42575C" w14:textId="77777777">
        <w:trPr>
          <w:trHeight w:val="255"/>
        </w:trPr>
        <w:tc>
          <w:tcPr>
            <w:tcW w:w="7680" w:type="dxa"/>
            <w:noWrap/>
          </w:tcPr>
          <w:p w:rsidRPr="006625E7" w:rsidR="00F23103" w:rsidP="001709B9" w:rsidRDefault="00F23103" w14:paraId="73FC38B0" w14:textId="77777777">
            <w:pPr>
              <w:spacing w:after="0"/>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rsidRPr="006625E7" w:rsidR="00F23103" w:rsidP="001709B9" w:rsidRDefault="00F23103" w14:paraId="2E17B332" w14:textId="77777777">
            <w:pPr>
              <w:spacing w:after="0"/>
              <w:rPr>
                <w:rFonts w:ascii="Times New Roman" w:hAnsi="Times New Roman" w:cs="Times New Roman"/>
                <w:sz w:val="18"/>
                <w:szCs w:val="18"/>
              </w:rPr>
            </w:pPr>
            <w:r w:rsidRPr="006625E7">
              <w:rPr>
                <w:rFonts w:ascii="Times New Roman" w:hAnsi="Times New Roman" w:cs="Times New Roman"/>
                <w:sz w:val="18"/>
                <w:szCs w:val="18"/>
              </w:rPr>
              <w:t> </w:t>
            </w:r>
          </w:p>
        </w:tc>
      </w:tr>
      <w:tr w:rsidRPr="00E85166" w:rsidR="00F23103" w:rsidTr="001709B9" w14:paraId="111CE9F1" w14:textId="77777777">
        <w:trPr>
          <w:trHeight w:val="255"/>
        </w:trPr>
        <w:tc>
          <w:tcPr>
            <w:tcW w:w="7680" w:type="dxa"/>
            <w:noWrap/>
          </w:tcPr>
          <w:p w:rsidRPr="006625E7" w:rsidR="00F23103" w:rsidP="001709B9" w:rsidRDefault="00F23103" w14:paraId="321E483A" w14:textId="77777777">
            <w:pPr>
              <w:spacing w:after="0"/>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rsidRPr="006625E7" w:rsidR="00F23103" w:rsidP="001709B9" w:rsidRDefault="00F23103" w14:paraId="4EC5B0D0" w14:textId="77777777">
            <w:pPr>
              <w:spacing w:after="0"/>
              <w:rPr>
                <w:rFonts w:ascii="Times New Roman" w:hAnsi="Times New Roman" w:cs="Times New Roman"/>
                <w:sz w:val="18"/>
                <w:szCs w:val="18"/>
              </w:rPr>
            </w:pPr>
            <w:r w:rsidRPr="006625E7">
              <w:rPr>
                <w:rFonts w:ascii="Times New Roman" w:hAnsi="Times New Roman" w:cs="Times New Roman"/>
                <w:sz w:val="18"/>
                <w:szCs w:val="18"/>
              </w:rPr>
              <w:t> </w:t>
            </w:r>
          </w:p>
        </w:tc>
      </w:tr>
      <w:tr w:rsidRPr="00E85166" w:rsidR="00F23103" w:rsidTr="001709B9" w14:paraId="6ABF8F96" w14:textId="77777777">
        <w:trPr>
          <w:trHeight w:val="255"/>
        </w:trPr>
        <w:tc>
          <w:tcPr>
            <w:tcW w:w="7680" w:type="dxa"/>
            <w:noWrap/>
          </w:tcPr>
          <w:p w:rsidRPr="006625E7" w:rsidR="00F23103" w:rsidP="001709B9" w:rsidRDefault="00F23103" w14:paraId="1D4775E1" w14:textId="77777777">
            <w:pPr>
              <w:spacing w:after="0"/>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rsidRPr="006625E7" w:rsidR="00F23103" w:rsidP="001709B9" w:rsidRDefault="00F23103" w14:paraId="5981FC79" w14:textId="77777777">
            <w:pPr>
              <w:spacing w:after="0"/>
              <w:rPr>
                <w:rFonts w:ascii="Times New Roman" w:hAnsi="Times New Roman" w:cs="Times New Roman"/>
                <w:sz w:val="18"/>
                <w:szCs w:val="18"/>
              </w:rPr>
            </w:pPr>
            <w:r w:rsidRPr="006625E7">
              <w:rPr>
                <w:rFonts w:ascii="Times New Roman" w:hAnsi="Times New Roman" w:cs="Times New Roman"/>
                <w:sz w:val="18"/>
                <w:szCs w:val="18"/>
              </w:rPr>
              <w:t> </w:t>
            </w:r>
          </w:p>
        </w:tc>
      </w:tr>
      <w:tr w:rsidRPr="00E85166" w:rsidR="00F23103" w:rsidTr="001709B9" w14:paraId="6226D7AC" w14:textId="77777777">
        <w:trPr>
          <w:trHeight w:val="270"/>
        </w:trPr>
        <w:tc>
          <w:tcPr>
            <w:tcW w:w="7680" w:type="dxa"/>
            <w:noWrap/>
          </w:tcPr>
          <w:p w:rsidRPr="006625E7" w:rsidR="00F23103" w:rsidP="001709B9" w:rsidRDefault="00F23103" w14:paraId="51F46155" w14:textId="77777777">
            <w:pPr>
              <w:spacing w:after="0"/>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Pr="006625E7" w:rsidR="00F23103" w:rsidP="001709B9" w:rsidRDefault="00F23103" w14:paraId="2746CCAD" w14:textId="7EC4CE6C">
            <w:pPr>
              <w:spacing w:after="0"/>
              <w:rPr>
                <w:rFonts w:ascii="Times New Roman" w:hAnsi="Times New Roman" w:cs="Times New Roman"/>
                <w:b/>
                <w:bCs/>
                <w:sz w:val="18"/>
                <w:szCs w:val="18"/>
              </w:rPr>
            </w:pPr>
            <w:r>
              <w:rPr>
                <w:rFonts w:ascii="Times New Roman" w:hAnsi="Times New Roman" w:cs="Times New Roman"/>
                <w:b/>
                <w:bCs/>
                <w:sz w:val="18"/>
                <w:szCs w:val="18"/>
              </w:rPr>
              <w:t>$</w:t>
            </w:r>
            <w:r w:rsidR="007067FF">
              <w:rPr>
                <w:rFonts w:ascii="Times New Roman" w:hAnsi="Times New Roman" w:cs="Times New Roman"/>
                <w:b/>
                <w:bCs/>
                <w:sz w:val="18"/>
                <w:szCs w:val="18"/>
              </w:rPr>
              <w:t>1</w:t>
            </w:r>
            <w:r w:rsidR="000F1A74">
              <w:rPr>
                <w:rFonts w:ascii="Times New Roman" w:hAnsi="Times New Roman" w:cs="Times New Roman"/>
                <w:b/>
                <w:bCs/>
                <w:sz w:val="18"/>
                <w:szCs w:val="18"/>
              </w:rPr>
              <w:t>,</w:t>
            </w:r>
            <w:r w:rsidR="007067FF">
              <w:rPr>
                <w:rFonts w:ascii="Times New Roman" w:hAnsi="Times New Roman" w:cs="Times New Roman"/>
                <w:b/>
                <w:bCs/>
                <w:sz w:val="18"/>
                <w:szCs w:val="18"/>
              </w:rPr>
              <w:t>670</w:t>
            </w:r>
          </w:p>
        </w:tc>
      </w:tr>
    </w:tbl>
    <w:p w:rsidR="00F23103" w:rsidP="00390394" w:rsidRDefault="00F23103" w14:paraId="154F48FA" w14:textId="1DAF4EB4">
      <w:pPr>
        <w:tabs>
          <w:tab w:val="left" w:pos="360"/>
        </w:tabs>
        <w:spacing w:after="0" w:line="240" w:lineRule="auto"/>
        <w:rPr>
          <w:rFonts w:ascii="Times New Roman" w:hAnsi="Times New Roman" w:cs="Times New Roman"/>
          <w:b/>
          <w:bCs/>
          <w:sz w:val="24"/>
          <w:szCs w:val="24"/>
        </w:rPr>
      </w:pPr>
    </w:p>
    <w:p w:rsidRPr="00153C32" w:rsidR="005A0711" w:rsidP="005A0711" w:rsidRDefault="001B04D6" w14:paraId="0A3889B7" w14:textId="33BE1EB9">
      <w:pPr>
        <w:rPr>
          <w:rFonts w:ascii="Times New Roman" w:hAnsi="Times New Roman" w:cs="Times New Roman"/>
          <w:sz w:val="24"/>
          <w:szCs w:val="24"/>
        </w:rPr>
      </w:pPr>
      <w:r>
        <w:rPr>
          <w:rFonts w:ascii="Times New Roman" w:hAnsi="Times New Roman" w:cs="Times New Roman"/>
          <w:sz w:val="24"/>
          <w:szCs w:val="24"/>
        </w:rPr>
        <w:t xml:space="preserve">Question 14 </w:t>
      </w:r>
      <w:r w:rsidRPr="00C01ED0" w:rsidR="00D379F2">
        <w:rPr>
          <w:rFonts w:ascii="Times New Roman" w:hAnsi="Times New Roman" w:cs="Times New Roman"/>
          <w:sz w:val="24"/>
          <w:szCs w:val="24"/>
        </w:rPr>
        <w:t xml:space="preserve">has been updated to correct </w:t>
      </w:r>
      <w:r w:rsidR="00773FEA">
        <w:rPr>
          <w:rFonts w:ascii="Times New Roman" w:hAnsi="Times New Roman" w:cs="Times New Roman"/>
          <w:sz w:val="24"/>
          <w:szCs w:val="24"/>
        </w:rPr>
        <w:t xml:space="preserve">a previous error.  There is </w:t>
      </w:r>
      <w:r>
        <w:rPr>
          <w:rFonts w:ascii="Times New Roman" w:hAnsi="Times New Roman" w:cs="Times New Roman"/>
          <w:sz w:val="24"/>
          <w:szCs w:val="24"/>
        </w:rPr>
        <w:t xml:space="preserve">annual </w:t>
      </w:r>
      <w:r w:rsidR="00773FEA">
        <w:rPr>
          <w:rFonts w:ascii="Times New Roman" w:hAnsi="Times New Roman" w:cs="Times New Roman"/>
          <w:sz w:val="24"/>
          <w:szCs w:val="24"/>
        </w:rPr>
        <w:t xml:space="preserve">cost to the government related to this form.  </w:t>
      </w:r>
      <w:r w:rsidRPr="00153C32" w:rsidR="005A0711">
        <w:rPr>
          <w:rFonts w:ascii="Times New Roman" w:hAnsi="Times New Roman" w:cs="Times New Roman"/>
          <w:sz w:val="24"/>
          <w:szCs w:val="24"/>
        </w:rPr>
        <w:t>FEMA is responsible for creating, updating and making this form available to users</w:t>
      </w:r>
      <w:r w:rsidR="005A0711">
        <w:rPr>
          <w:rFonts w:ascii="Times New Roman" w:hAnsi="Times New Roman" w:cs="Times New Roman"/>
          <w:sz w:val="24"/>
          <w:szCs w:val="24"/>
        </w:rPr>
        <w:t>.</w:t>
      </w:r>
      <w:r w:rsidRPr="00153C32" w:rsidR="005A0711">
        <w:rPr>
          <w:rFonts w:ascii="Times New Roman" w:hAnsi="Times New Roman" w:cs="Times New Roman"/>
          <w:sz w:val="24"/>
          <w:szCs w:val="24"/>
        </w:rPr>
        <w:t xml:space="preserve"> </w:t>
      </w:r>
      <w:r w:rsidR="006F3F11">
        <w:rPr>
          <w:rFonts w:ascii="Times New Roman" w:hAnsi="Times New Roman" w:cs="Times New Roman"/>
          <w:sz w:val="24"/>
          <w:szCs w:val="24"/>
        </w:rPr>
        <w:t xml:space="preserve">While </w:t>
      </w:r>
      <w:r w:rsidR="005A0711">
        <w:rPr>
          <w:rFonts w:ascii="Times New Roman" w:hAnsi="Times New Roman" w:cs="Times New Roman"/>
          <w:sz w:val="24"/>
          <w:szCs w:val="24"/>
        </w:rPr>
        <w:t xml:space="preserve">FEMA </w:t>
      </w:r>
      <w:r w:rsidRPr="00153C32" w:rsidR="005A0711">
        <w:rPr>
          <w:rFonts w:ascii="Times New Roman" w:hAnsi="Times New Roman" w:cs="Times New Roman"/>
          <w:sz w:val="24"/>
          <w:szCs w:val="24"/>
        </w:rPr>
        <w:t>do</w:t>
      </w:r>
      <w:r w:rsidR="005A0711">
        <w:rPr>
          <w:rFonts w:ascii="Times New Roman" w:hAnsi="Times New Roman" w:cs="Times New Roman"/>
          <w:sz w:val="24"/>
          <w:szCs w:val="24"/>
        </w:rPr>
        <w:t>es</w:t>
      </w:r>
      <w:r w:rsidRPr="00153C32" w:rsidR="005A0711">
        <w:rPr>
          <w:rFonts w:ascii="Times New Roman" w:hAnsi="Times New Roman" w:cs="Times New Roman"/>
          <w:sz w:val="24"/>
          <w:szCs w:val="24"/>
        </w:rPr>
        <w:t xml:space="preserve"> not collect any information</w:t>
      </w:r>
      <w:r w:rsidR="005A0711">
        <w:rPr>
          <w:rFonts w:ascii="Times New Roman" w:hAnsi="Times New Roman" w:cs="Times New Roman"/>
          <w:sz w:val="24"/>
          <w:szCs w:val="24"/>
        </w:rPr>
        <w:t xml:space="preserve"> from the form</w:t>
      </w:r>
      <w:r w:rsidR="00621697">
        <w:rPr>
          <w:rFonts w:ascii="Times New Roman" w:hAnsi="Times New Roman" w:cs="Times New Roman"/>
          <w:sz w:val="24"/>
          <w:szCs w:val="24"/>
        </w:rPr>
        <w:t xml:space="preserve">, </w:t>
      </w:r>
      <w:r w:rsidR="006F3F11">
        <w:rPr>
          <w:rFonts w:ascii="Times New Roman" w:hAnsi="Times New Roman" w:cs="Times New Roman"/>
          <w:sz w:val="24"/>
          <w:szCs w:val="24"/>
        </w:rPr>
        <w:t xml:space="preserve">it does </w:t>
      </w:r>
      <w:r w:rsidR="00621697">
        <w:rPr>
          <w:rFonts w:ascii="Times New Roman" w:hAnsi="Times New Roman" w:cs="Times New Roman"/>
          <w:sz w:val="24"/>
          <w:szCs w:val="24"/>
        </w:rPr>
        <w:t>incur costs associated with information collection</w:t>
      </w:r>
      <w:r w:rsidR="006F3F11">
        <w:rPr>
          <w:rFonts w:ascii="Times New Roman" w:hAnsi="Times New Roman" w:cs="Times New Roman"/>
          <w:sz w:val="24"/>
          <w:szCs w:val="24"/>
        </w:rPr>
        <w:t xml:space="preserve"> and those costs are now noted on the form</w:t>
      </w:r>
      <w:r w:rsidR="00153C32">
        <w:rPr>
          <w:rFonts w:ascii="Times New Roman" w:hAnsi="Times New Roman" w:cs="Times New Roman"/>
          <w:sz w:val="24"/>
          <w:szCs w:val="24"/>
        </w:rPr>
        <w:t>.</w:t>
      </w:r>
      <w:r w:rsidRPr="00153C32" w:rsidR="005A0711">
        <w:rPr>
          <w:rFonts w:ascii="Times New Roman" w:hAnsi="Times New Roman" w:cs="Times New Roman"/>
          <w:sz w:val="24"/>
          <w:szCs w:val="24"/>
        </w:rPr>
        <w:t xml:space="preserve">  The form is used by private lenders and determination companies to allow the lenders to meet their responsibility under Section 528 of the NFIRA to correctly determine the flood risk for all federally overseen loans.  </w:t>
      </w:r>
    </w:p>
    <w:p w:rsidR="00D379F2" w:rsidP="009B12CA" w:rsidRDefault="00D379F2" w14:paraId="29D7F3E3" w14:textId="610726CC">
      <w:pPr>
        <w:rPr>
          <w:sz w:val="16"/>
          <w:szCs w:val="16"/>
        </w:rPr>
      </w:pPr>
    </w:p>
    <w:p w:rsidR="009726D5" w:rsidP="009B12CA" w:rsidRDefault="009726D5" w14:paraId="0ACBC6BA" w14:textId="77777777">
      <w:pPr>
        <w:rPr>
          <w:rFonts w:ascii="Times New Roman" w:hAnsi="Times New Roman" w:cs="Times New Roman"/>
          <w:b/>
          <w:sz w:val="24"/>
          <w:szCs w:val="24"/>
        </w:rPr>
      </w:pPr>
    </w:p>
    <w:p w:rsidRPr="006625E7" w:rsidR="00562915" w:rsidP="009B12CA" w:rsidRDefault="00562915" w14:paraId="5CB412F2" w14:textId="32B953AC">
      <w:pPr>
        <w:rPr>
          <w:rFonts w:ascii="Times New Roman" w:hAnsi="Times New Roman" w:cs="Times New Roman"/>
          <w:b/>
          <w:sz w:val="24"/>
          <w:szCs w:val="24"/>
        </w:rPr>
      </w:pPr>
      <w:r w:rsidRPr="006625E7">
        <w:rPr>
          <w:rFonts w:ascii="Times New Roman" w:hAnsi="Times New Roman" w:cs="Times New Roman"/>
          <w:b/>
          <w:sz w:val="24"/>
          <w:szCs w:val="24"/>
        </w:rPr>
        <w:lastRenderedPageBreak/>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0347B2B2" w14:textId="6A6854FF">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709F15E7"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244BE2" w:rsidP="00562915" w:rsidRDefault="00562915" w14:paraId="22182473"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CB09F5" w:rsidP="00562915" w:rsidRDefault="00CB09F5" w14:paraId="6014A80F" w14:textId="77777777">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6A67E8" w:rsidTr="007541EA" w14:paraId="5E20366F" w14:textId="77777777">
        <w:trPr>
          <w:trHeight w:val="270"/>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006A67E8" w:rsidP="007541EA" w:rsidRDefault="006A67E8" w14:paraId="133B1EFB" w14:textId="77777777">
            <w:pPr>
              <w:jc w:val="center"/>
              <w:rPr>
                <w:b/>
                <w:bCs/>
                <w:sz w:val="18"/>
                <w:szCs w:val="18"/>
              </w:rPr>
            </w:pPr>
            <w:r>
              <w:rPr>
                <w:b/>
                <w:bCs/>
                <w:sz w:val="18"/>
                <w:szCs w:val="18"/>
              </w:rPr>
              <w:t>Itemized Changes in Annual Burden Hours</w:t>
            </w:r>
          </w:p>
        </w:tc>
      </w:tr>
      <w:tr w:rsidR="006A67E8" w:rsidTr="007541EA" w14:paraId="7D160B50" w14:textId="77777777">
        <w:trPr>
          <w:trHeight w:val="1455"/>
          <w:jc w:val="center"/>
        </w:trPr>
        <w:tc>
          <w:tcPr>
            <w:tcW w:w="2340" w:type="dxa"/>
            <w:tcBorders>
              <w:top w:val="nil"/>
              <w:left w:val="single" w:color="auto" w:sz="8" w:space="0"/>
              <w:bottom w:val="single" w:color="auto" w:sz="8" w:space="0"/>
              <w:right w:val="single" w:color="auto" w:sz="8" w:space="0"/>
            </w:tcBorders>
            <w:shd w:val="clear" w:color="auto" w:fill="548DD4" w:themeFill="text2" w:themeFillTint="99"/>
            <w:vAlign w:val="bottom"/>
          </w:tcPr>
          <w:p w:rsidRPr="00757122" w:rsidR="006A67E8" w:rsidP="007541EA" w:rsidRDefault="006A67E8" w14:paraId="14D52375"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color="auto" w:sz="8" w:space="0"/>
              <w:right w:val="single" w:color="auto" w:sz="8" w:space="0"/>
            </w:tcBorders>
            <w:shd w:val="clear" w:color="auto" w:fill="548DD4" w:themeFill="text2" w:themeFillTint="99"/>
            <w:vAlign w:val="bottom"/>
          </w:tcPr>
          <w:p w:rsidRPr="00757122" w:rsidR="006A67E8" w:rsidP="007541EA" w:rsidRDefault="006A67E8" w14:paraId="4FBDFEE5"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color="auto" w:sz="8" w:space="0"/>
              <w:right w:val="single" w:color="auto" w:sz="8" w:space="0"/>
            </w:tcBorders>
            <w:shd w:val="clear" w:color="auto" w:fill="548DD4" w:themeFill="text2" w:themeFillTint="99"/>
            <w:vAlign w:val="bottom"/>
          </w:tcPr>
          <w:p w:rsidRPr="00757122" w:rsidR="006A67E8" w:rsidP="007541EA" w:rsidRDefault="006A67E8" w14:paraId="46E8644B"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color="auto" w:sz="8" w:space="0"/>
              <w:right w:val="single" w:color="auto" w:sz="8" w:space="0"/>
            </w:tcBorders>
            <w:shd w:val="clear" w:color="auto" w:fill="548DD4" w:themeFill="text2" w:themeFillTint="99"/>
            <w:vAlign w:val="bottom"/>
          </w:tcPr>
          <w:p w:rsidRPr="00757122" w:rsidR="006A67E8" w:rsidP="007541EA" w:rsidRDefault="006A67E8" w14:paraId="5C5C6790"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color="auto" w:sz="8" w:space="0"/>
              <w:right w:val="single" w:color="auto" w:sz="8" w:space="0"/>
            </w:tcBorders>
            <w:shd w:val="clear" w:color="auto" w:fill="548DD4" w:themeFill="text2" w:themeFillTint="99"/>
            <w:vAlign w:val="bottom"/>
          </w:tcPr>
          <w:p w:rsidRPr="00757122" w:rsidR="006A67E8" w:rsidP="007541EA" w:rsidRDefault="006A67E8" w14:paraId="5FFDE2BE"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color="auto" w:sz="8" w:space="0"/>
              <w:right w:val="single" w:color="auto" w:sz="8" w:space="0"/>
            </w:tcBorders>
            <w:shd w:val="clear" w:color="auto" w:fill="548DD4" w:themeFill="text2" w:themeFillTint="99"/>
            <w:vAlign w:val="bottom"/>
          </w:tcPr>
          <w:p w:rsidRPr="00757122" w:rsidR="006A67E8" w:rsidP="007541EA" w:rsidRDefault="006A67E8" w14:paraId="29F06E4A"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color="auto" w:sz="8" w:space="0"/>
              <w:right w:val="single" w:color="auto" w:sz="8" w:space="0"/>
            </w:tcBorders>
            <w:shd w:val="clear" w:color="auto" w:fill="548DD4" w:themeFill="text2" w:themeFillTint="99"/>
            <w:vAlign w:val="bottom"/>
          </w:tcPr>
          <w:p w:rsidRPr="00757122" w:rsidR="006A67E8" w:rsidP="007541EA" w:rsidRDefault="006A67E8" w14:paraId="07C3C981"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B72398" w:rsidTr="007541EA" w14:paraId="49B213C0"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C15E64" w:rsidR="00B72398" w:rsidP="007541EA" w:rsidRDefault="00B72398" w14:paraId="51BCF7C5" w14:textId="77777777">
            <w:pPr>
              <w:spacing w:after="0" w:line="240" w:lineRule="auto"/>
              <w:rPr>
                <w:rFonts w:ascii="Arial" w:hAnsi="Arial" w:eastAsia="Times New Roman" w:cs="Arial"/>
                <w:color w:val="000000"/>
                <w:sz w:val="20"/>
                <w:szCs w:val="20"/>
              </w:rPr>
            </w:pPr>
            <w:r w:rsidRPr="00C15E64">
              <w:rPr>
                <w:rFonts w:ascii="Arial" w:hAnsi="Arial" w:eastAsia="Times New Roman" w:cs="Arial"/>
                <w:color w:val="000000"/>
                <w:sz w:val="18"/>
                <w:szCs w:val="18"/>
              </w:rPr>
              <w:t xml:space="preserve">Standard Flood Hazard Determination Form (SFHDF) /  FEMA Form </w:t>
            </w:r>
            <w:r w:rsidRPr="00C15E64">
              <w:rPr>
                <w:rFonts w:ascii="Arial" w:hAnsi="Arial" w:eastAsia="Times New Roman" w:cs="Arial"/>
                <w:bCs/>
                <w:color w:val="000000"/>
                <w:sz w:val="18"/>
                <w:szCs w:val="18"/>
              </w:rPr>
              <w:t>086-0-32</w:t>
            </w:r>
          </w:p>
        </w:tc>
        <w:tc>
          <w:tcPr>
            <w:tcW w:w="1240" w:type="dxa"/>
            <w:tcBorders>
              <w:top w:val="nil"/>
              <w:left w:val="nil"/>
              <w:bottom w:val="single" w:color="auto" w:sz="8" w:space="0"/>
              <w:right w:val="single" w:color="auto" w:sz="8" w:space="0"/>
            </w:tcBorders>
            <w:shd w:val="clear" w:color="auto" w:fill="auto"/>
            <w:vAlign w:val="bottom"/>
          </w:tcPr>
          <w:p w:rsidRPr="00C15E64" w:rsidR="00B72398" w:rsidP="007541EA" w:rsidRDefault="00B72398" w14:paraId="597A1635" w14:textId="77777777">
            <w:pPr>
              <w:jc w:val="center"/>
              <w:rPr>
                <w:rFonts w:ascii="Arial" w:hAnsi="Arial" w:cs="Arial"/>
                <w:sz w:val="18"/>
                <w:szCs w:val="18"/>
              </w:rPr>
            </w:pPr>
          </w:p>
        </w:tc>
        <w:tc>
          <w:tcPr>
            <w:tcW w:w="960" w:type="dxa"/>
            <w:tcBorders>
              <w:top w:val="nil"/>
              <w:left w:val="nil"/>
              <w:bottom w:val="single" w:color="auto" w:sz="8" w:space="0"/>
              <w:right w:val="single" w:color="auto" w:sz="8" w:space="0"/>
            </w:tcBorders>
            <w:shd w:val="clear" w:color="auto" w:fill="auto"/>
            <w:vAlign w:val="bottom"/>
          </w:tcPr>
          <w:p w:rsidRPr="00C15E64" w:rsidR="00B72398" w:rsidP="007541EA" w:rsidRDefault="00B72398" w14:paraId="3BB2E0B2" w14:textId="77777777">
            <w:pPr>
              <w:jc w:val="center"/>
              <w:rPr>
                <w:rFonts w:ascii="Arial" w:hAnsi="Arial" w:cs="Arial"/>
                <w:sz w:val="18"/>
                <w:szCs w:val="18"/>
              </w:rPr>
            </w:pPr>
          </w:p>
        </w:tc>
        <w:tc>
          <w:tcPr>
            <w:tcW w:w="1260" w:type="dxa"/>
            <w:tcBorders>
              <w:top w:val="nil"/>
              <w:left w:val="nil"/>
              <w:bottom w:val="single" w:color="auto" w:sz="8" w:space="0"/>
              <w:right w:val="single" w:color="auto" w:sz="8" w:space="0"/>
            </w:tcBorders>
            <w:shd w:val="clear" w:color="auto" w:fill="auto"/>
            <w:vAlign w:val="bottom"/>
          </w:tcPr>
          <w:p w:rsidRPr="00C15E64" w:rsidR="00B72398" w:rsidP="007541EA" w:rsidRDefault="00B72398" w14:paraId="5862E6A7" w14:textId="77777777">
            <w:pPr>
              <w:jc w:val="center"/>
              <w:rPr>
                <w:rFonts w:ascii="Arial" w:hAnsi="Arial" w:cs="Arial"/>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C15E64" w:rsidR="00B72398" w:rsidP="007541EA" w:rsidRDefault="00B72398" w14:paraId="65377446" w14:textId="77777777">
            <w:pPr>
              <w:jc w:val="center"/>
              <w:rPr>
                <w:rFonts w:ascii="Arial" w:hAnsi="Arial" w:cs="Arial"/>
                <w:sz w:val="18"/>
                <w:szCs w:val="18"/>
              </w:rPr>
            </w:pPr>
            <w:r w:rsidRPr="00C15E64">
              <w:rPr>
                <w:rFonts w:ascii="Arial" w:hAnsi="Arial" w:cs="Arial"/>
                <w:sz w:val="18"/>
                <w:szCs w:val="18"/>
              </w:rPr>
              <w:t>15,330,632</w:t>
            </w:r>
          </w:p>
        </w:tc>
        <w:tc>
          <w:tcPr>
            <w:tcW w:w="1420" w:type="dxa"/>
            <w:tcBorders>
              <w:top w:val="nil"/>
              <w:left w:val="nil"/>
              <w:bottom w:val="single" w:color="auto" w:sz="8" w:space="0"/>
              <w:right w:val="single" w:color="auto" w:sz="8" w:space="0"/>
            </w:tcBorders>
            <w:shd w:val="clear" w:color="auto" w:fill="auto"/>
            <w:vAlign w:val="bottom"/>
          </w:tcPr>
          <w:p w:rsidRPr="00C15E64" w:rsidR="00B72398" w:rsidP="007541EA" w:rsidRDefault="00773FEA" w14:paraId="1B7498F1" w14:textId="423D2892">
            <w:pPr>
              <w:jc w:val="center"/>
              <w:rPr>
                <w:rFonts w:ascii="Arial" w:hAnsi="Arial" w:cs="Arial"/>
                <w:sz w:val="18"/>
                <w:szCs w:val="18"/>
              </w:rPr>
            </w:pPr>
            <w:r w:rsidRPr="00773FEA">
              <w:rPr>
                <w:rFonts w:ascii="Arial" w:hAnsi="Arial" w:cs="Arial"/>
                <w:b/>
                <w:bCs/>
                <w:i/>
                <w:sz w:val="18"/>
                <w:szCs w:val="18"/>
              </w:rPr>
              <w:t>8,783,367</w:t>
            </w:r>
            <w:r>
              <w:rPr>
                <w:rFonts w:ascii="Arial" w:hAnsi="Arial" w:cs="Arial"/>
                <w:b/>
                <w:bCs/>
                <w:i/>
                <w:sz w:val="18"/>
                <w:szCs w:val="18"/>
              </w:rPr>
              <w:t xml:space="preserve"> </w:t>
            </w:r>
          </w:p>
        </w:tc>
        <w:tc>
          <w:tcPr>
            <w:tcW w:w="1740" w:type="dxa"/>
            <w:tcBorders>
              <w:top w:val="nil"/>
              <w:left w:val="nil"/>
              <w:bottom w:val="single" w:color="auto" w:sz="8" w:space="0"/>
              <w:right w:val="single" w:color="auto" w:sz="8" w:space="0"/>
            </w:tcBorders>
            <w:shd w:val="clear" w:color="auto" w:fill="auto"/>
            <w:vAlign w:val="bottom"/>
          </w:tcPr>
          <w:p w:rsidR="00773FEA" w:rsidP="003902A1" w:rsidRDefault="00773FEA" w14:paraId="4A828E44" w14:textId="77777777">
            <w:pPr>
              <w:jc w:val="center"/>
              <w:rPr>
                <w:rFonts w:ascii="Arial" w:hAnsi="Arial" w:cs="Arial"/>
                <w:b/>
                <w:bCs/>
                <w:i/>
                <w:sz w:val="18"/>
                <w:szCs w:val="18"/>
              </w:rPr>
            </w:pPr>
            <w:r w:rsidRPr="00773FEA">
              <w:rPr>
                <w:rFonts w:ascii="Arial" w:hAnsi="Arial" w:cs="Arial"/>
                <w:b/>
                <w:bCs/>
                <w:i/>
                <w:sz w:val="18"/>
                <w:szCs w:val="18"/>
              </w:rPr>
              <w:t>6,547,265</w:t>
            </w:r>
          </w:p>
          <w:p w:rsidRPr="00C15E64" w:rsidR="00B72398" w:rsidP="003902A1" w:rsidRDefault="00B72398" w14:paraId="631C2486" w14:textId="194CB419">
            <w:pPr>
              <w:jc w:val="center"/>
              <w:rPr>
                <w:rFonts w:ascii="Arial" w:hAnsi="Arial" w:cs="Arial"/>
                <w:sz w:val="18"/>
                <w:szCs w:val="18"/>
              </w:rPr>
            </w:pPr>
          </w:p>
        </w:tc>
      </w:tr>
      <w:tr w:rsidR="00B72398" w:rsidTr="007541EA" w14:paraId="57D20791"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C15E64" w:rsidR="00B72398" w:rsidP="007541EA" w:rsidRDefault="00B72398" w14:paraId="4FAC9C3E" w14:textId="77777777">
            <w:pPr>
              <w:jc w:val="center"/>
              <w:rPr>
                <w:rFonts w:ascii="Arial" w:hAnsi="Arial" w:cs="Arial"/>
                <w:b/>
                <w:bCs/>
                <w:sz w:val="18"/>
                <w:szCs w:val="18"/>
              </w:rPr>
            </w:pPr>
            <w:r w:rsidRPr="00C15E64">
              <w:rPr>
                <w:rFonts w:ascii="Arial" w:hAnsi="Arial" w:cs="Arial"/>
                <w:b/>
                <w:bCs/>
                <w:sz w:val="18"/>
                <w:szCs w:val="18"/>
              </w:rPr>
              <w:t>Total(s)</w:t>
            </w:r>
          </w:p>
        </w:tc>
        <w:tc>
          <w:tcPr>
            <w:tcW w:w="1240" w:type="dxa"/>
            <w:tcBorders>
              <w:top w:val="nil"/>
              <w:left w:val="nil"/>
              <w:bottom w:val="single" w:color="auto" w:sz="8" w:space="0"/>
              <w:right w:val="single" w:color="auto" w:sz="8" w:space="0"/>
            </w:tcBorders>
            <w:shd w:val="clear" w:color="auto" w:fill="auto"/>
            <w:vAlign w:val="bottom"/>
          </w:tcPr>
          <w:p w:rsidRPr="00757122" w:rsidR="00B72398" w:rsidP="007541EA" w:rsidRDefault="00B72398" w14:paraId="2BF2DB27"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color="auto" w:sz="8" w:space="0"/>
              <w:right w:val="single" w:color="auto" w:sz="8" w:space="0"/>
            </w:tcBorders>
            <w:shd w:val="clear" w:color="auto" w:fill="auto"/>
            <w:vAlign w:val="bottom"/>
          </w:tcPr>
          <w:p w:rsidRPr="00757122" w:rsidR="00B72398" w:rsidP="007541EA" w:rsidRDefault="00B72398" w14:paraId="1ECE3ED6"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color="auto" w:sz="8" w:space="0"/>
              <w:right w:val="single" w:color="auto" w:sz="8" w:space="0"/>
            </w:tcBorders>
            <w:shd w:val="clear" w:color="auto" w:fill="auto"/>
            <w:vAlign w:val="bottom"/>
          </w:tcPr>
          <w:p w:rsidRPr="00757122" w:rsidR="00B72398" w:rsidP="007541EA" w:rsidRDefault="00B72398" w14:paraId="694D5F26"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color="auto" w:sz="8" w:space="0"/>
              <w:right w:val="single" w:color="auto" w:sz="8" w:space="0"/>
            </w:tcBorders>
            <w:shd w:val="clear" w:color="auto" w:fill="auto"/>
            <w:vAlign w:val="bottom"/>
          </w:tcPr>
          <w:p w:rsidRPr="00C15E64" w:rsidR="00B72398" w:rsidP="007541EA" w:rsidRDefault="00B72398" w14:paraId="5848129D" w14:textId="77777777">
            <w:pPr>
              <w:jc w:val="center"/>
              <w:rPr>
                <w:rFonts w:ascii="Arial" w:hAnsi="Arial" w:cs="Arial"/>
                <w:b/>
                <w:bCs/>
                <w:sz w:val="18"/>
                <w:szCs w:val="18"/>
              </w:rPr>
            </w:pPr>
            <w:r w:rsidRPr="00C15E64">
              <w:rPr>
                <w:rFonts w:ascii="Arial" w:hAnsi="Arial" w:cs="Arial"/>
                <w:b/>
                <w:bCs/>
                <w:sz w:val="18"/>
                <w:szCs w:val="18"/>
              </w:rPr>
              <w:t>15,330,632</w:t>
            </w:r>
          </w:p>
        </w:tc>
        <w:tc>
          <w:tcPr>
            <w:tcW w:w="1420" w:type="dxa"/>
            <w:tcBorders>
              <w:top w:val="nil"/>
              <w:left w:val="nil"/>
              <w:bottom w:val="single" w:color="auto" w:sz="8" w:space="0"/>
              <w:right w:val="single" w:color="auto" w:sz="8" w:space="0"/>
            </w:tcBorders>
            <w:shd w:val="clear" w:color="auto" w:fill="auto"/>
            <w:vAlign w:val="bottom"/>
          </w:tcPr>
          <w:p w:rsidRPr="00C15E64" w:rsidR="00B72398" w:rsidP="007541EA" w:rsidRDefault="00773FEA" w14:paraId="5FFEFAC2" w14:textId="2B8F3593">
            <w:pPr>
              <w:jc w:val="center"/>
              <w:rPr>
                <w:rFonts w:ascii="Arial" w:hAnsi="Arial" w:cs="Arial"/>
                <w:b/>
                <w:bCs/>
                <w:sz w:val="18"/>
                <w:szCs w:val="18"/>
              </w:rPr>
            </w:pPr>
            <w:r w:rsidRPr="00773FEA">
              <w:rPr>
                <w:rFonts w:ascii="Arial" w:hAnsi="Arial" w:cs="Arial"/>
                <w:b/>
                <w:bCs/>
                <w:i/>
                <w:sz w:val="18"/>
                <w:szCs w:val="18"/>
              </w:rPr>
              <w:t>8,783,367</w:t>
            </w:r>
            <w:r>
              <w:rPr>
                <w:rFonts w:ascii="Arial" w:hAnsi="Arial" w:cs="Arial"/>
                <w:b/>
                <w:bCs/>
                <w:i/>
                <w:sz w:val="18"/>
                <w:szCs w:val="18"/>
              </w:rPr>
              <w:t xml:space="preserve"> </w:t>
            </w:r>
          </w:p>
        </w:tc>
        <w:tc>
          <w:tcPr>
            <w:tcW w:w="1740" w:type="dxa"/>
            <w:tcBorders>
              <w:top w:val="nil"/>
              <w:left w:val="nil"/>
              <w:bottom w:val="single" w:color="auto" w:sz="8" w:space="0"/>
              <w:right w:val="single" w:color="auto" w:sz="8" w:space="0"/>
            </w:tcBorders>
            <w:shd w:val="clear" w:color="auto" w:fill="auto"/>
            <w:vAlign w:val="bottom"/>
          </w:tcPr>
          <w:p w:rsidR="00773FEA" w:rsidP="003902A1" w:rsidRDefault="00773FEA" w14:paraId="49DB6CB6" w14:textId="77777777">
            <w:pPr>
              <w:jc w:val="center"/>
              <w:rPr>
                <w:rFonts w:ascii="Arial" w:hAnsi="Arial" w:cs="Arial"/>
                <w:b/>
                <w:bCs/>
                <w:i/>
                <w:sz w:val="18"/>
                <w:szCs w:val="18"/>
              </w:rPr>
            </w:pPr>
            <w:r w:rsidRPr="00773FEA">
              <w:rPr>
                <w:rFonts w:ascii="Arial" w:hAnsi="Arial" w:cs="Arial"/>
                <w:b/>
                <w:bCs/>
                <w:i/>
                <w:sz w:val="18"/>
                <w:szCs w:val="18"/>
              </w:rPr>
              <w:t>6,547,265</w:t>
            </w:r>
          </w:p>
          <w:p w:rsidRPr="00C15E64" w:rsidR="00B72398" w:rsidP="003902A1" w:rsidRDefault="00B72398" w14:paraId="53E6C9A1" w14:textId="300711C2">
            <w:pPr>
              <w:jc w:val="center"/>
              <w:rPr>
                <w:rFonts w:ascii="Arial" w:hAnsi="Arial" w:cs="Arial"/>
                <w:b/>
                <w:bCs/>
                <w:sz w:val="18"/>
                <w:szCs w:val="18"/>
              </w:rPr>
            </w:pPr>
          </w:p>
        </w:tc>
      </w:tr>
    </w:tbl>
    <w:p w:rsidR="00956EBF" w:rsidP="00956EBF" w:rsidRDefault="006A67E8" w14:paraId="3F0D5BB8" w14:textId="77777777">
      <w:pPr>
        <w:rPr>
          <w:rFonts w:ascii="Times New Roman" w:hAnsi="Times New Roman" w:eastAsia="Times New Roman" w:cs="Times New Roman"/>
          <w:bCs/>
          <w:sz w:val="24"/>
          <w:szCs w:val="24"/>
        </w:rPr>
      </w:pPr>
      <w:r w:rsidRPr="00064865">
        <w:rPr>
          <w:rFonts w:ascii="Times New Roman" w:hAnsi="Times New Roman" w:eastAsia="Times New Roman" w:cs="Times New Roman"/>
          <w:bCs/>
          <w:sz w:val="24"/>
          <w:szCs w:val="24"/>
        </w:rPr>
        <w:t xml:space="preserve"> </w:t>
      </w:r>
    </w:p>
    <w:p w:rsidR="002C1064" w:rsidP="00956EBF" w:rsidRDefault="00956EBF" w14:paraId="4E3CAFF0" w14:textId="77777777">
      <w:pPr>
        <w:rPr>
          <w:rFonts w:ascii="Times New Roman" w:hAnsi="Times New Roman" w:eastAsia="Times New Roman" w:cs="Times New Roman"/>
          <w:b/>
          <w:bCs/>
          <w:i/>
          <w:sz w:val="24"/>
          <w:szCs w:val="24"/>
        </w:rPr>
      </w:pPr>
      <w:r w:rsidRPr="00956EBF">
        <w:rPr>
          <w:rFonts w:ascii="Times New Roman" w:hAnsi="Times New Roman" w:eastAsia="Times New Roman" w:cs="Times New Roman"/>
          <w:b/>
          <w:bCs/>
          <w:i/>
          <w:sz w:val="24"/>
          <w:szCs w:val="24"/>
        </w:rPr>
        <w:t xml:space="preserve">Explain: </w:t>
      </w:r>
    </w:p>
    <w:p w:rsidR="00E4691A" w:rsidP="00956EBF" w:rsidRDefault="001B04D6" w14:paraId="24D287FB" w14:textId="5AB01EE2">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FEMA estimates the annual burden hours associated with </w:t>
      </w:r>
      <w:r w:rsidR="00F849B2">
        <w:rPr>
          <w:rFonts w:ascii="Times New Roman" w:hAnsi="Times New Roman" w:eastAsia="Times New Roman" w:cs="Times New Roman"/>
          <w:sz w:val="24"/>
          <w:szCs w:val="24"/>
        </w:rPr>
        <w:t xml:space="preserve">previous </w:t>
      </w:r>
      <w:r>
        <w:rPr>
          <w:rFonts w:ascii="Times New Roman" w:hAnsi="Times New Roman" w:eastAsia="Times New Roman" w:cs="Times New Roman"/>
          <w:sz w:val="24"/>
          <w:szCs w:val="24"/>
        </w:rPr>
        <w:t>information collection was 15,330,632</w:t>
      </w:r>
      <w:r w:rsidR="00E4691A">
        <w:rPr>
          <w:rFonts w:ascii="Times New Roman" w:hAnsi="Times New Roman" w:eastAsia="Times New Roman" w:cs="Times New Roman"/>
          <w:sz w:val="24"/>
          <w:szCs w:val="24"/>
        </w:rPr>
        <w:t xml:space="preserve"> hours (</w:t>
      </w:r>
      <w:r w:rsidRPr="00BE50A6" w:rsidR="00BE50A6">
        <w:rPr>
          <w:rFonts w:ascii="Times New Roman" w:hAnsi="Times New Roman" w:eastAsia="Times New Roman" w:cs="Times New Roman"/>
          <w:sz w:val="24"/>
          <w:szCs w:val="24"/>
        </w:rPr>
        <w:t>46</w:t>
      </w:r>
      <w:r w:rsidR="00BE50A6">
        <w:rPr>
          <w:rFonts w:ascii="Times New Roman" w:hAnsi="Times New Roman" w:eastAsia="Times New Roman" w:cs="Times New Roman"/>
          <w:sz w:val="24"/>
          <w:szCs w:val="24"/>
        </w:rPr>
        <w:t>,</w:t>
      </w:r>
      <w:r w:rsidRPr="00BE50A6" w:rsidR="00BE50A6">
        <w:rPr>
          <w:rFonts w:ascii="Times New Roman" w:hAnsi="Times New Roman" w:eastAsia="Times New Roman" w:cs="Times New Roman"/>
          <w:sz w:val="24"/>
          <w:szCs w:val="24"/>
        </w:rPr>
        <w:t>456</w:t>
      </w:r>
      <w:r w:rsidR="00BE50A6">
        <w:rPr>
          <w:rFonts w:ascii="Times New Roman" w:hAnsi="Times New Roman" w:eastAsia="Times New Roman" w:cs="Times New Roman"/>
          <w:sz w:val="24"/>
          <w:szCs w:val="24"/>
        </w:rPr>
        <w:t>,</w:t>
      </w:r>
      <w:r w:rsidRPr="00BE50A6" w:rsidR="00BE50A6">
        <w:rPr>
          <w:rFonts w:ascii="Times New Roman" w:hAnsi="Times New Roman" w:eastAsia="Times New Roman" w:cs="Times New Roman"/>
          <w:sz w:val="24"/>
          <w:szCs w:val="24"/>
        </w:rPr>
        <w:t>460</w:t>
      </w:r>
      <w:r w:rsidR="00E4691A">
        <w:rPr>
          <w:rFonts w:ascii="Times New Roman" w:hAnsi="Times New Roman" w:eastAsia="Times New Roman" w:cs="Times New Roman"/>
          <w:sz w:val="24"/>
          <w:szCs w:val="24"/>
        </w:rPr>
        <w:t xml:space="preserve"> respondents x 0.58 hours</w:t>
      </w:r>
      <w:r w:rsidR="00F849B2">
        <w:rPr>
          <w:rFonts w:ascii="Times New Roman" w:hAnsi="Times New Roman" w:eastAsia="Times New Roman" w:cs="Times New Roman"/>
          <w:sz w:val="24"/>
          <w:szCs w:val="24"/>
        </w:rPr>
        <w:t xml:space="preserve"> per respondent</w:t>
      </w:r>
      <w:r w:rsidR="00E4691A">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p>
    <w:p w:rsidR="00E4691A" w:rsidP="00956EBF" w:rsidRDefault="00E4691A" w14:paraId="04CB4DFE" w14:textId="77777777">
      <w:pPr>
        <w:rPr>
          <w:rFonts w:ascii="Times New Roman" w:hAnsi="Times New Roman" w:eastAsia="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59"/>
        <w:gridCol w:w="81"/>
      </w:tblGrid>
      <w:tr w:rsidRPr="00A52926" w:rsidR="00A52926" w:rsidTr="00A52926" w14:paraId="651DC91B" w14:textId="77777777">
        <w:trPr>
          <w:tblCellSpacing w:w="15" w:type="dxa"/>
        </w:trPr>
        <w:tc>
          <w:tcPr>
            <w:tcW w:w="0" w:type="auto"/>
            <w:vAlign w:val="center"/>
            <w:hideMark/>
          </w:tcPr>
          <w:p w:rsidRPr="00A52926" w:rsidR="00A52926" w:rsidP="00A52926" w:rsidRDefault="001B04D6" w14:paraId="5E215305" w14:textId="319D9E77">
            <w:p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FEMA estimates the time associated with developing and updating the FEMA Flood Insurance Rate MAP decreased by </w:t>
            </w:r>
            <w:r w:rsidRPr="00FB352B" w:rsidR="00CC7FEF">
              <w:rPr>
                <w:rFonts w:ascii="Times New Roman" w:hAnsi="Times New Roman" w:eastAsia="Times New Roman" w:cs="Times New Roman"/>
                <w:bCs/>
                <w:sz w:val="24"/>
                <w:szCs w:val="24"/>
              </w:rPr>
              <w:t>8,783,367</w:t>
            </w:r>
            <w:r w:rsidRPr="00CC7FEF" w:rsidR="00CC7FEF">
              <w:rPr>
                <w:rFonts w:ascii="Times New Roman" w:hAnsi="Times New Roman" w:eastAsia="Times New Roman" w:cs="Times New Roman"/>
                <w:b/>
                <w:bCs/>
                <w:i/>
                <w:sz w:val="24"/>
                <w:szCs w:val="24"/>
              </w:rPr>
              <w:t xml:space="preserve"> </w:t>
            </w:r>
            <w:r>
              <w:rPr>
                <w:rFonts w:ascii="Times New Roman" w:hAnsi="Times New Roman" w:eastAsia="Times New Roman" w:cs="Times New Roman"/>
                <w:sz w:val="24"/>
                <w:szCs w:val="24"/>
              </w:rPr>
              <w:t xml:space="preserve">hours. </w:t>
            </w:r>
            <w:r w:rsidR="00E4691A">
              <w:rPr>
                <w:rFonts w:ascii="Times New Roman" w:hAnsi="Times New Roman" w:eastAsia="Times New Roman" w:cs="Times New Roman"/>
                <w:sz w:val="24"/>
                <w:szCs w:val="24"/>
              </w:rPr>
              <w:t xml:space="preserve">There were 26,616,265 respondents and each respondent estimated </w:t>
            </w:r>
            <w:r w:rsidR="006D599D">
              <w:rPr>
                <w:rFonts w:ascii="Times New Roman" w:hAnsi="Times New Roman" w:eastAsia="Times New Roman" w:cs="Times New Roman"/>
                <w:sz w:val="24"/>
                <w:szCs w:val="24"/>
              </w:rPr>
              <w:t>0.33</w:t>
            </w:r>
            <w:r w:rsidR="00E4691A">
              <w:rPr>
                <w:rFonts w:ascii="Times New Roman" w:hAnsi="Times New Roman" w:eastAsia="Times New Roman" w:cs="Times New Roman"/>
                <w:sz w:val="24"/>
                <w:szCs w:val="24"/>
              </w:rPr>
              <w:t xml:space="preserve"> hours. </w:t>
            </w:r>
            <w:r>
              <w:rPr>
                <w:rFonts w:ascii="Times New Roman" w:hAnsi="Times New Roman" w:eastAsia="Times New Roman" w:cs="Times New Roman"/>
                <w:sz w:val="24"/>
                <w:szCs w:val="24"/>
              </w:rPr>
              <w:t xml:space="preserve">Because the </w:t>
            </w:r>
            <w:r w:rsidRPr="00CC7FEF">
              <w:rPr>
                <w:rFonts w:ascii="Times New Roman" w:hAnsi="Times New Roman" w:eastAsia="Times New Roman" w:cs="Times New Roman"/>
                <w:sz w:val="24"/>
                <w:szCs w:val="24"/>
              </w:rPr>
              <w:t xml:space="preserve">number of respondents </w:t>
            </w:r>
            <w:r>
              <w:rPr>
                <w:rFonts w:ascii="Times New Roman" w:hAnsi="Times New Roman" w:eastAsia="Times New Roman" w:cs="Times New Roman"/>
                <w:sz w:val="24"/>
                <w:szCs w:val="24"/>
              </w:rPr>
              <w:t xml:space="preserve">has </w:t>
            </w:r>
            <w:bookmarkStart w:name="_GoBack" w:id="0"/>
            <w:bookmarkEnd w:id="0"/>
            <w:r>
              <w:rPr>
                <w:rFonts w:ascii="Times New Roman" w:hAnsi="Times New Roman" w:eastAsia="Times New Roman" w:cs="Times New Roman"/>
                <w:sz w:val="24"/>
                <w:szCs w:val="24"/>
              </w:rPr>
              <w:t>changed, the expected time to revise the information is 8,783,367 hours</w:t>
            </w:r>
            <w:r w:rsidR="00E4691A">
              <w:rPr>
                <w:rFonts w:ascii="Times New Roman" w:hAnsi="Times New Roman" w:eastAsia="Times New Roman" w:cs="Times New Roman"/>
                <w:sz w:val="24"/>
                <w:szCs w:val="24"/>
              </w:rPr>
              <w:t xml:space="preserve"> (26,616,265 respondents x </w:t>
            </w:r>
            <w:r w:rsidR="00F849B2">
              <w:rPr>
                <w:rFonts w:ascii="Times New Roman" w:hAnsi="Times New Roman" w:eastAsia="Times New Roman" w:cs="Times New Roman"/>
                <w:sz w:val="24"/>
                <w:szCs w:val="24"/>
              </w:rPr>
              <w:t xml:space="preserve">0.33 </w:t>
            </w:r>
            <w:r w:rsidR="00E4691A">
              <w:rPr>
                <w:rFonts w:ascii="Times New Roman" w:hAnsi="Times New Roman" w:eastAsia="Times New Roman" w:cs="Times New Roman"/>
                <w:sz w:val="24"/>
                <w:szCs w:val="24"/>
              </w:rPr>
              <w:t>hours)</w:t>
            </w:r>
            <w:r>
              <w:rPr>
                <w:rFonts w:ascii="Times New Roman" w:hAnsi="Times New Roman" w:eastAsia="Times New Roman" w:cs="Times New Roman"/>
                <w:sz w:val="24"/>
                <w:szCs w:val="24"/>
              </w:rPr>
              <w:t xml:space="preserve">. </w:t>
            </w:r>
            <w:r w:rsidR="00383804">
              <w:rPr>
                <w:rFonts w:ascii="Times New Roman" w:hAnsi="Times New Roman" w:eastAsia="Times New Roman" w:cs="Times New Roman"/>
                <w:sz w:val="24"/>
                <w:szCs w:val="24"/>
              </w:rPr>
              <w:t xml:space="preserve">Currently, a GS </w:t>
            </w:r>
            <w:r w:rsidRPr="006D599D" w:rsidR="00CC7FEF">
              <w:rPr>
                <w:rFonts w:ascii="Times New Roman" w:hAnsi="Times New Roman" w:eastAsia="Times New Roman" w:cs="Times New Roman"/>
                <w:sz w:val="24"/>
                <w:szCs w:val="24"/>
              </w:rPr>
              <w:t>13</w:t>
            </w:r>
            <w:r w:rsidRPr="006D599D" w:rsidR="00DD09EA">
              <w:rPr>
                <w:rFonts w:ascii="Times New Roman" w:hAnsi="Times New Roman" w:eastAsia="Times New Roman" w:cs="Times New Roman"/>
                <w:sz w:val="24"/>
                <w:szCs w:val="24"/>
              </w:rPr>
              <w:t xml:space="preserve"> </w:t>
            </w:r>
            <w:r w:rsidR="006D599D">
              <w:rPr>
                <w:rFonts w:ascii="Times New Roman" w:hAnsi="Times New Roman" w:eastAsia="Times New Roman" w:cs="Times New Roman"/>
                <w:sz w:val="24"/>
                <w:szCs w:val="24"/>
              </w:rPr>
              <w:t>S</w:t>
            </w:r>
            <w:r w:rsidRPr="006D599D" w:rsidR="00DD09EA">
              <w:rPr>
                <w:rFonts w:ascii="Times New Roman" w:hAnsi="Times New Roman" w:eastAsia="Times New Roman" w:cs="Times New Roman"/>
                <w:sz w:val="24"/>
                <w:szCs w:val="24"/>
              </w:rPr>
              <w:t xml:space="preserve">tep </w:t>
            </w:r>
            <w:r w:rsidR="006F3F11">
              <w:rPr>
                <w:rFonts w:ascii="Times New Roman" w:hAnsi="Times New Roman" w:eastAsia="Times New Roman" w:cs="Times New Roman"/>
                <w:sz w:val="24"/>
                <w:szCs w:val="24"/>
              </w:rPr>
              <w:t>13</w:t>
            </w:r>
            <w:r w:rsidR="00383804">
              <w:rPr>
                <w:rFonts w:ascii="Times New Roman" w:hAnsi="Times New Roman" w:eastAsia="Times New Roman" w:cs="Times New Roman"/>
                <w:sz w:val="24"/>
                <w:szCs w:val="24"/>
              </w:rPr>
              <w:t xml:space="preserve"> employee </w:t>
            </w:r>
            <w:r w:rsidR="00A52926">
              <w:rPr>
                <w:rFonts w:ascii="Times New Roman" w:hAnsi="Times New Roman" w:eastAsia="Times New Roman" w:cs="Times New Roman"/>
                <w:sz w:val="24"/>
                <w:szCs w:val="24"/>
              </w:rPr>
              <w:t>in Washington DC</w:t>
            </w:r>
            <w:r w:rsidR="00281602">
              <w:rPr>
                <w:rFonts w:ascii="Times New Roman" w:hAnsi="Times New Roman" w:eastAsia="Times New Roman" w:cs="Times New Roman"/>
                <w:sz w:val="24"/>
                <w:szCs w:val="24"/>
              </w:rPr>
              <w:t xml:space="preserve"> </w:t>
            </w:r>
            <w:r w:rsidR="00383804">
              <w:rPr>
                <w:rFonts w:ascii="Times New Roman" w:hAnsi="Times New Roman" w:eastAsia="Times New Roman" w:cs="Times New Roman"/>
                <w:sz w:val="24"/>
                <w:szCs w:val="24"/>
              </w:rPr>
              <w:t>with salary of $</w:t>
            </w:r>
            <w:r w:rsidRPr="00A52926" w:rsidR="00A52926">
              <w:t xml:space="preserve"> </w:t>
            </w:r>
            <w:r w:rsidR="00852C3E">
              <w:rPr>
                <w:rFonts w:ascii="Times New Roman" w:hAnsi="Times New Roman" w:eastAsia="Times New Roman" w:cs="Times New Roman"/>
                <w:sz w:val="24"/>
                <w:szCs w:val="24"/>
              </w:rPr>
              <w:t>119,004</w:t>
            </w:r>
            <w:r w:rsidR="00A52926">
              <w:rPr>
                <w:rFonts w:ascii="Times New Roman" w:hAnsi="Times New Roman" w:eastAsia="Times New Roman" w:cs="Times New Roman"/>
                <w:sz w:val="24"/>
                <w:szCs w:val="24"/>
              </w:rPr>
              <w:t xml:space="preserve"> reviews the forms. Cumulatively, FEMA anticipates the time to </w:t>
            </w:r>
            <w:r w:rsidR="006F3F11">
              <w:rPr>
                <w:rFonts w:ascii="Times New Roman" w:hAnsi="Times New Roman" w:eastAsia="Times New Roman" w:cs="Times New Roman"/>
                <w:sz w:val="24"/>
                <w:szCs w:val="24"/>
              </w:rPr>
              <w:t xml:space="preserve">make the </w:t>
            </w:r>
            <w:r w:rsidR="00A52926">
              <w:rPr>
                <w:rFonts w:ascii="Times New Roman" w:hAnsi="Times New Roman" w:eastAsia="Times New Roman" w:cs="Times New Roman"/>
                <w:sz w:val="24"/>
                <w:szCs w:val="24"/>
              </w:rPr>
              <w:t>report available will decrease by 6,547,265 hours (15,330,632 - 8,783, 367).</w:t>
            </w:r>
          </w:p>
        </w:tc>
        <w:tc>
          <w:tcPr>
            <w:tcW w:w="0" w:type="auto"/>
            <w:vAlign w:val="center"/>
            <w:hideMark/>
          </w:tcPr>
          <w:p w:rsidRPr="00A52926" w:rsidR="00A52926" w:rsidP="00A52926" w:rsidRDefault="00A52926" w14:paraId="3F7ACD2B" w14:textId="546AAB09">
            <w:pPr>
              <w:rPr>
                <w:rFonts w:ascii="Times New Roman" w:hAnsi="Times New Roman" w:eastAsia="Times New Roman" w:cs="Times New Roman"/>
                <w:sz w:val="24"/>
                <w:szCs w:val="24"/>
              </w:rPr>
            </w:pPr>
          </w:p>
        </w:tc>
      </w:tr>
    </w:tbl>
    <w:p w:rsidRPr="006625E7" w:rsidR="00956EBF" w:rsidP="00562915" w:rsidRDefault="00956EBF" w14:paraId="3A9B24FB" w14:textId="7BE8BA7E">
      <w:pPr>
        <w:rPr>
          <w:rFonts w:ascii="Times New Roman" w:hAnsi="Times New Roman" w:cs="Times New Roman"/>
          <w:b/>
          <w:bCs/>
          <w:sz w:val="24"/>
          <w:szCs w:val="24"/>
        </w:rPr>
      </w:pPr>
    </w:p>
    <w:p w:rsidRPr="006625E7" w:rsidR="00562915" w:rsidP="00562915" w:rsidRDefault="00562915" w14:paraId="40A9F604"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861884" w:rsidR="00861884" w:rsidP="00861884" w:rsidRDefault="00861884" w14:paraId="534FBCFC" w14:textId="77777777">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rsidRPr="006625E7" w:rsidR="00562915" w:rsidP="00562915" w:rsidRDefault="00562915" w14:paraId="3511FEF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P="00562915" w:rsidRDefault="00861884" w14:paraId="0E6F2765" w14:textId="77777777">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sidR="00562915">
        <w:rPr>
          <w:rFonts w:ascii="Times New Roman" w:hAnsi="Times New Roman" w:cs="Times New Roman"/>
          <w:color w:val="000000"/>
          <w:sz w:val="24"/>
          <w:szCs w:val="24"/>
        </w:rPr>
        <w:t>.</w:t>
      </w:r>
      <w:r w:rsidRPr="006625E7" w:rsidR="00562915">
        <w:rPr>
          <w:rFonts w:ascii="Times New Roman" w:hAnsi="Times New Roman" w:cs="Times New Roman"/>
          <w:b/>
          <w:bCs/>
          <w:color w:val="000000"/>
          <w:sz w:val="24"/>
          <w:szCs w:val="24"/>
        </w:rPr>
        <w:fldChar w:fldCharType="begin"/>
      </w:r>
      <w:r w:rsidRPr="006625E7" w:rsidR="00562915">
        <w:rPr>
          <w:rFonts w:ascii="Times New Roman" w:hAnsi="Times New Roman" w:cs="Times New Roman"/>
          <w:b/>
          <w:bCs/>
          <w:color w:val="000000"/>
          <w:sz w:val="24"/>
          <w:szCs w:val="24"/>
        </w:rPr>
        <w:instrText>ADVANCE \R 0.95</w:instrText>
      </w:r>
      <w:r w:rsidRPr="006625E7" w:rsidR="00562915">
        <w:rPr>
          <w:rFonts w:ascii="Times New Roman" w:hAnsi="Times New Roman" w:cs="Times New Roman"/>
          <w:b/>
          <w:bCs/>
          <w:color w:val="000000"/>
          <w:sz w:val="24"/>
          <w:szCs w:val="24"/>
        </w:rPr>
        <w:fldChar w:fldCharType="end"/>
      </w:r>
    </w:p>
    <w:p w:rsidRPr="006625E7" w:rsidR="00CB09F5" w:rsidP="00562915" w:rsidRDefault="00CB09F5" w14:paraId="04CBB883" w14:textId="77777777">
      <w:pPr>
        <w:rPr>
          <w:rFonts w:ascii="Times New Roman" w:hAnsi="Times New Roman" w:cs="Times New Roman"/>
          <w:b/>
          <w:bCs/>
          <w:color w:val="000000"/>
          <w:sz w:val="24"/>
          <w:szCs w:val="24"/>
        </w:rPr>
      </w:pPr>
    </w:p>
    <w:p w:rsidRPr="006625E7" w:rsidR="00562915" w:rsidP="00562915" w:rsidRDefault="00562915" w14:paraId="5947031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P="00562915" w:rsidRDefault="00562915" w14:paraId="144F5CEF" w14:textId="77777777">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sidR="00861884">
        <w:rPr>
          <w:rFonts w:ascii="Times New Roman" w:hAnsi="Times New Roman" w:cs="Times New Roman"/>
          <w:sz w:val="24"/>
          <w:szCs w:val="24"/>
        </w:rPr>
        <w:t>FEMA</w:t>
      </w:r>
      <w:r w:rsidRPr="00861884" w:rsidR="00861884">
        <w:t xml:space="preserve"> </w:t>
      </w:r>
      <w:r w:rsidRPr="00861884" w:rsidR="00861884">
        <w:rPr>
          <w:rFonts w:ascii="Times New Roman" w:hAnsi="Times New Roman" w:cs="Times New Roman"/>
          <w:sz w:val="24"/>
          <w:szCs w:val="24"/>
        </w:rPr>
        <w:t>does not request an exception to the certification of this information collection</w:t>
      </w:r>
      <w:r w:rsidRPr="00861884">
        <w:rPr>
          <w:rFonts w:ascii="Times New Roman" w:hAnsi="Times New Roman" w:cs="Times New Roman"/>
          <w:sz w:val="24"/>
          <w:szCs w:val="24"/>
        </w:rPr>
        <w:t>.</w:t>
      </w:r>
    </w:p>
    <w:p w:rsidRPr="00861884" w:rsidR="00861884" w:rsidP="00861884" w:rsidRDefault="00861884" w14:paraId="43ACF7CB" w14:textId="77777777">
      <w:pPr>
        <w:tabs>
          <w:tab w:val="left" w:pos="-720"/>
        </w:tabs>
        <w:suppressAutoHyphens/>
        <w:spacing w:after="0" w:line="240" w:lineRule="auto"/>
        <w:rPr>
          <w:rFonts w:ascii="Times New Roman" w:hAnsi="Times New Roman" w:eastAsia="Times New Roman" w:cs="Times New Roman"/>
          <w:b/>
          <w:sz w:val="28"/>
          <w:szCs w:val="24"/>
        </w:rPr>
      </w:pPr>
      <w:r w:rsidRPr="00861884">
        <w:rPr>
          <w:rFonts w:ascii="Times New Roman" w:hAnsi="Times New Roman" w:eastAsia="Times New Roman" w:cs="Times New Roman"/>
          <w:b/>
          <w:sz w:val="28"/>
          <w:szCs w:val="24"/>
        </w:rPr>
        <w:t>B.  Collections of Information Employing Statistical Methods.</w:t>
      </w:r>
    </w:p>
    <w:p w:rsidRPr="00861884" w:rsidR="00861884" w:rsidP="00861884" w:rsidRDefault="00861884" w14:paraId="5DAAFEB6" w14:textId="77777777">
      <w:pPr>
        <w:tabs>
          <w:tab w:val="left" w:pos="-720"/>
        </w:tabs>
        <w:suppressAutoHyphens/>
        <w:spacing w:after="0" w:line="240" w:lineRule="auto"/>
        <w:rPr>
          <w:rFonts w:ascii="Times New Roman" w:hAnsi="Times New Roman" w:eastAsia="Times New Roman" w:cs="Times New Roman"/>
          <w:sz w:val="24"/>
          <w:szCs w:val="24"/>
        </w:rPr>
      </w:pPr>
    </w:p>
    <w:p w:rsidRPr="00861884" w:rsidR="00861884" w:rsidP="00861884" w:rsidRDefault="00861884" w14:paraId="03FA6F67" w14:textId="77777777">
      <w:pPr>
        <w:tabs>
          <w:tab w:val="left" w:pos="-720"/>
        </w:tabs>
        <w:suppressAutoHyphens/>
        <w:spacing w:after="0" w:line="240" w:lineRule="auto"/>
        <w:rPr>
          <w:rFonts w:ascii="Times New Roman" w:hAnsi="Times New Roman" w:eastAsia="Times New Roman" w:cs="Times New Roman"/>
          <w:sz w:val="24"/>
          <w:szCs w:val="24"/>
        </w:rPr>
      </w:pPr>
      <w:r w:rsidRPr="00861884">
        <w:rPr>
          <w:rFonts w:ascii="Times New Roman" w:hAnsi="Times New Roman" w:eastAsia="Times New Roman" w:cs="Times New Roman"/>
          <w:sz w:val="24"/>
          <w:szCs w:val="24"/>
        </w:rPr>
        <w:t>There is no statistical methodology involved in this collection.</w:t>
      </w:r>
      <w:r w:rsidRPr="00861884">
        <w:rPr>
          <w:rFonts w:ascii="Times New Roman" w:hAnsi="Times New Roman" w:eastAsia="Times New Roman" w:cs="Times New Roman"/>
          <w:sz w:val="24"/>
          <w:szCs w:val="24"/>
        </w:rPr>
        <w:fldChar w:fldCharType="begin"/>
      </w:r>
      <w:r w:rsidRPr="00861884">
        <w:rPr>
          <w:rFonts w:ascii="Times New Roman" w:hAnsi="Times New Roman" w:eastAsia="Times New Roman" w:cs="Times New Roman"/>
          <w:sz w:val="24"/>
          <w:szCs w:val="24"/>
        </w:rPr>
        <w:instrText>ADVANCE \R 0.95</w:instrText>
      </w:r>
      <w:r w:rsidRPr="00861884">
        <w:rPr>
          <w:rFonts w:ascii="Times New Roman" w:hAnsi="Times New Roman" w:eastAsia="Times New Roman" w:cs="Times New Roman"/>
          <w:sz w:val="24"/>
          <w:szCs w:val="24"/>
        </w:rPr>
        <w:fldChar w:fldCharType="end"/>
      </w:r>
      <w:r w:rsidRPr="00861884">
        <w:rPr>
          <w:rFonts w:ascii="Times New Roman" w:hAnsi="Times New Roman" w:eastAsia="Times New Roman" w:cs="Times New Roman"/>
          <w:sz w:val="24"/>
          <w:szCs w:val="24"/>
        </w:rPr>
        <w:fldChar w:fldCharType="begin"/>
      </w:r>
      <w:r w:rsidRPr="00861884">
        <w:rPr>
          <w:rFonts w:ascii="Times New Roman" w:hAnsi="Times New Roman" w:eastAsia="Times New Roman" w:cs="Times New Roman"/>
          <w:sz w:val="24"/>
          <w:szCs w:val="24"/>
        </w:rPr>
        <w:instrText>ADVANCE \R 0.95</w:instrText>
      </w:r>
      <w:r w:rsidRPr="00861884">
        <w:rPr>
          <w:rFonts w:ascii="Times New Roman" w:hAnsi="Times New Roman" w:eastAsia="Times New Roman" w:cs="Times New Roman"/>
          <w:sz w:val="24"/>
          <w:szCs w:val="24"/>
        </w:rPr>
        <w:fldChar w:fldCharType="end"/>
      </w:r>
      <w:r w:rsidRPr="00861884">
        <w:rPr>
          <w:rFonts w:ascii="Times New Roman" w:hAnsi="Times New Roman" w:eastAsia="Times New Roman" w:cs="Times New Roman"/>
          <w:sz w:val="24"/>
          <w:szCs w:val="24"/>
        </w:rPr>
        <w:tab/>
      </w:r>
    </w:p>
    <w:p w:rsidRPr="00861884" w:rsidR="00861884" w:rsidP="00861884" w:rsidRDefault="00861884" w14:paraId="39906962" w14:textId="77777777">
      <w:pPr>
        <w:spacing w:after="0" w:line="240" w:lineRule="auto"/>
        <w:rPr>
          <w:rFonts w:ascii="Times New Roman" w:hAnsi="Times New Roman" w:eastAsia="Times New Roman" w:cs="Times New Roman"/>
          <w:sz w:val="24"/>
          <w:szCs w:val="24"/>
        </w:rPr>
      </w:pPr>
    </w:p>
    <w:p w:rsidRPr="00861884" w:rsidR="00861884" w:rsidP="00562915" w:rsidRDefault="00861884" w14:paraId="74279975" w14:textId="77777777">
      <w:pPr>
        <w:rPr>
          <w:rFonts w:ascii="Times New Roman" w:hAnsi="Times New Roman" w:cs="Times New Roman"/>
          <w:sz w:val="24"/>
          <w:szCs w:val="24"/>
        </w:rPr>
      </w:pPr>
    </w:p>
    <w:sectPr w:rsidRPr="00861884" w:rsidR="00861884">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8F28E" w14:textId="77777777" w:rsidR="003527CC" w:rsidRDefault="003527CC">
      <w:pPr>
        <w:spacing w:after="0" w:line="240" w:lineRule="auto"/>
      </w:pPr>
      <w:r>
        <w:separator/>
      </w:r>
    </w:p>
  </w:endnote>
  <w:endnote w:type="continuationSeparator" w:id="0">
    <w:p w14:paraId="6F1833A9" w14:textId="77777777" w:rsidR="003527CC" w:rsidRDefault="00352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F179A" w14:textId="77777777" w:rsidR="001F668A" w:rsidRDefault="001F668A" w:rsidP="001F6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8938FA" w14:textId="77777777" w:rsidR="001F668A" w:rsidRDefault="001F66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8D0C3" w14:textId="77777777" w:rsidR="001F668A" w:rsidRDefault="001F668A" w:rsidP="001F6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2926">
      <w:rPr>
        <w:rStyle w:val="PageNumber"/>
        <w:noProof/>
      </w:rPr>
      <w:t>8</w:t>
    </w:r>
    <w:r>
      <w:rPr>
        <w:rStyle w:val="PageNumber"/>
      </w:rPr>
      <w:fldChar w:fldCharType="end"/>
    </w:r>
  </w:p>
  <w:p w14:paraId="157D94BF" w14:textId="77777777" w:rsidR="001F668A" w:rsidRDefault="001F66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4B2B9" w14:textId="77777777" w:rsidR="003527CC" w:rsidRDefault="003527CC">
      <w:pPr>
        <w:spacing w:after="0" w:line="240" w:lineRule="auto"/>
      </w:pPr>
      <w:r>
        <w:separator/>
      </w:r>
    </w:p>
  </w:footnote>
  <w:footnote w:type="continuationSeparator" w:id="0">
    <w:p w14:paraId="12E428B8" w14:textId="77777777" w:rsidR="003527CC" w:rsidRDefault="003527CC">
      <w:pPr>
        <w:spacing w:after="0" w:line="240" w:lineRule="auto"/>
      </w:pPr>
      <w:r>
        <w:continuationSeparator/>
      </w:r>
    </w:p>
  </w:footnote>
  <w:footnote w:id="1">
    <w:p w14:paraId="20255260" w14:textId="4B1D2C72" w:rsidR="00B97637" w:rsidRPr="00390394" w:rsidRDefault="00B9763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Information on the mean wage rate from the U.S. Department of Labor is available online at: </w:t>
      </w:r>
      <w:hyperlink r:id="rId1" w:history="1">
        <w:r w:rsidR="00852C3E" w:rsidRPr="00660E6D">
          <w:rPr>
            <w:rStyle w:val="Hyperlink"/>
            <w:rFonts w:ascii="Times New Roman" w:hAnsi="Times New Roman" w:cs="Times New Roman"/>
          </w:rPr>
          <w:t>https://www.bls.gov/oes/2018/may/naics4_999200.htm</w:t>
        </w:r>
      </w:hyperlink>
      <w:r w:rsidR="00852C3E">
        <w:rPr>
          <w:rFonts w:ascii="Times New Roman" w:hAnsi="Times New Roman" w:cs="Times New Roman"/>
        </w:rPr>
        <w:t>.</w:t>
      </w:r>
    </w:p>
  </w:footnote>
  <w:footnote w:id="2">
    <w:p w14:paraId="59DED87E" w14:textId="5DC1E812" w:rsidR="00B7186F" w:rsidRDefault="00B7186F" w:rsidP="00B7186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September 2016.”  Available at </w:t>
      </w:r>
      <w:hyperlink r:id="rId2" w:history="1">
        <w:r w:rsidR="00852C3E" w:rsidRPr="00B040A9">
          <w:rPr>
            <w:rStyle w:val="Hyperlink"/>
            <w:rFonts w:ascii="Times New Roman" w:hAnsi="Times New Roman" w:cs="Times New Roman"/>
          </w:rPr>
          <w:t>http://www.bls.gov/news.release/archives/ecec_06182019.pdf</w:t>
        </w:r>
      </w:hyperlink>
      <w:r>
        <w:rPr>
          <w:rFonts w:ascii="Times New Roman" w:hAnsi="Times New Roman" w:cs="Times New Roman"/>
        </w:rPr>
        <w:t>.  Accessed</w:t>
      </w:r>
      <w:r w:rsidR="00852C3E">
        <w:rPr>
          <w:rFonts w:ascii="Times New Roman" w:hAnsi="Times New Roman" w:cs="Times New Roman"/>
        </w:rPr>
        <w:t xml:space="preserve"> June 18, </w:t>
      </w:r>
      <w:proofErr w:type="gramStart"/>
      <w:r w:rsidR="00852C3E">
        <w:rPr>
          <w:rFonts w:ascii="Times New Roman" w:hAnsi="Times New Roman" w:cs="Times New Roman"/>
        </w:rPr>
        <w:t>2019</w:t>
      </w:r>
      <w:r>
        <w:rPr>
          <w:rFonts w:ascii="Times New Roman" w:hAnsi="Times New Roman" w:cs="Times New Roman"/>
        </w:rPr>
        <w:t xml:space="preserve"> .</w:t>
      </w:r>
      <w:proofErr w:type="gramEnd"/>
      <w:r>
        <w:rPr>
          <w:rFonts w:ascii="Times New Roman" w:hAnsi="Times New Roman" w:cs="Times New Roman"/>
        </w:rPr>
        <w:t>  The wage multiplier is calculated by dividing total compensation for all workers of $</w:t>
      </w:r>
      <w:r w:rsidR="00852C3E">
        <w:rPr>
          <w:rFonts w:ascii="Times New Roman" w:hAnsi="Times New Roman" w:cs="Times New Roman"/>
        </w:rPr>
        <w:t>36.77</w:t>
      </w:r>
      <w:r>
        <w:rPr>
          <w:rFonts w:ascii="Times New Roman" w:hAnsi="Times New Roman" w:cs="Times New Roman"/>
        </w:rPr>
        <w:t xml:space="preserve"> by wages and salaries for all workers of $</w:t>
      </w:r>
      <w:r w:rsidR="00852C3E">
        <w:rPr>
          <w:rFonts w:ascii="Times New Roman" w:hAnsi="Times New Roman" w:cs="Times New Roman"/>
        </w:rPr>
        <w:t>25.22</w:t>
      </w:r>
      <w:r>
        <w:rPr>
          <w:rFonts w:ascii="Times New Roman" w:hAnsi="Times New Roman" w:cs="Times New Roman"/>
        </w:rPr>
        <w:t xml:space="preserve"> per hour yielding a benefits multiplier of approximately 1.46.</w:t>
      </w:r>
    </w:p>
    <w:p w14:paraId="68420B03" w14:textId="4006A46E" w:rsidR="00B7186F" w:rsidRDefault="00B7186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A623D"/>
    <w:multiLevelType w:val="hybridMultilevel"/>
    <w:tmpl w:val="2D08ECD4"/>
    <w:lvl w:ilvl="0" w:tplc="0409000F">
      <w:start w:val="1"/>
      <w:numFmt w:val="decimal"/>
      <w:lvlText w:val="%1."/>
      <w:lvlJc w:val="left"/>
      <w:pPr>
        <w:ind w:left="406" w:hanging="406"/>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3422F"/>
    <w:multiLevelType w:val="hybridMultilevel"/>
    <w:tmpl w:val="6FE4D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5711C9"/>
    <w:multiLevelType w:val="hybridMultilevel"/>
    <w:tmpl w:val="2D08ECD4"/>
    <w:lvl w:ilvl="0" w:tplc="0409000F">
      <w:start w:val="1"/>
      <w:numFmt w:val="decimal"/>
      <w:lvlText w:val="%1."/>
      <w:lvlJc w:val="left"/>
      <w:pPr>
        <w:ind w:left="406" w:hanging="406"/>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A1030"/>
    <w:multiLevelType w:val="hybridMultilevel"/>
    <w:tmpl w:val="7252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63699"/>
    <w:multiLevelType w:val="hybridMultilevel"/>
    <w:tmpl w:val="E7EE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46E18AB"/>
    <w:multiLevelType w:val="hybridMultilevel"/>
    <w:tmpl w:val="083EB2F2"/>
    <w:lvl w:ilvl="0" w:tplc="65029DDE">
      <w:start w:val="4"/>
      <w:numFmt w:val="lowerRoman"/>
      <w:lvlText w:val="(%1)"/>
      <w:lvlJc w:val="left"/>
      <w:pPr>
        <w:ind w:left="120" w:hanging="406"/>
      </w:pPr>
      <w:rPr>
        <w:rFonts w:ascii="Times New Roman" w:eastAsia="Times New Roman" w:hAnsi="Times New Roman" w:hint="default"/>
        <w:sz w:val="24"/>
        <w:szCs w:val="24"/>
      </w:rPr>
    </w:lvl>
    <w:lvl w:ilvl="1" w:tplc="F0DCD8AE">
      <w:start w:val="1"/>
      <w:numFmt w:val="bullet"/>
      <w:lvlText w:val=""/>
      <w:lvlJc w:val="left"/>
      <w:pPr>
        <w:ind w:left="870" w:hanging="360"/>
      </w:pPr>
      <w:rPr>
        <w:rFonts w:ascii="Symbol" w:eastAsia="Symbol" w:hAnsi="Symbol" w:hint="default"/>
        <w:sz w:val="24"/>
        <w:szCs w:val="24"/>
      </w:rPr>
    </w:lvl>
    <w:lvl w:ilvl="2" w:tplc="15EEB7DC">
      <w:start w:val="1"/>
      <w:numFmt w:val="bullet"/>
      <w:lvlText w:val="•"/>
      <w:lvlJc w:val="left"/>
      <w:pPr>
        <w:ind w:left="1836" w:hanging="360"/>
      </w:pPr>
      <w:rPr>
        <w:rFonts w:hint="default"/>
      </w:rPr>
    </w:lvl>
    <w:lvl w:ilvl="3" w:tplc="1362E3EC">
      <w:start w:val="1"/>
      <w:numFmt w:val="bullet"/>
      <w:lvlText w:val="•"/>
      <w:lvlJc w:val="left"/>
      <w:pPr>
        <w:ind w:left="2801" w:hanging="360"/>
      </w:pPr>
      <w:rPr>
        <w:rFonts w:hint="default"/>
      </w:rPr>
    </w:lvl>
    <w:lvl w:ilvl="4" w:tplc="92404368">
      <w:start w:val="1"/>
      <w:numFmt w:val="bullet"/>
      <w:lvlText w:val="•"/>
      <w:lvlJc w:val="left"/>
      <w:pPr>
        <w:ind w:left="3767" w:hanging="360"/>
      </w:pPr>
      <w:rPr>
        <w:rFonts w:hint="default"/>
      </w:rPr>
    </w:lvl>
    <w:lvl w:ilvl="5" w:tplc="533C83DA">
      <w:start w:val="1"/>
      <w:numFmt w:val="bullet"/>
      <w:lvlText w:val="•"/>
      <w:lvlJc w:val="left"/>
      <w:pPr>
        <w:ind w:left="4732" w:hanging="360"/>
      </w:pPr>
      <w:rPr>
        <w:rFonts w:hint="default"/>
      </w:rPr>
    </w:lvl>
    <w:lvl w:ilvl="6" w:tplc="E2464550">
      <w:start w:val="1"/>
      <w:numFmt w:val="bullet"/>
      <w:lvlText w:val="•"/>
      <w:lvlJc w:val="left"/>
      <w:pPr>
        <w:ind w:left="5698" w:hanging="360"/>
      </w:pPr>
      <w:rPr>
        <w:rFonts w:hint="default"/>
      </w:rPr>
    </w:lvl>
    <w:lvl w:ilvl="7" w:tplc="642423A0">
      <w:start w:val="1"/>
      <w:numFmt w:val="bullet"/>
      <w:lvlText w:val="•"/>
      <w:lvlJc w:val="left"/>
      <w:pPr>
        <w:ind w:left="6663" w:hanging="360"/>
      </w:pPr>
      <w:rPr>
        <w:rFonts w:hint="default"/>
      </w:rPr>
    </w:lvl>
    <w:lvl w:ilvl="8" w:tplc="F55A2BBE">
      <w:start w:val="1"/>
      <w:numFmt w:val="bullet"/>
      <w:lvlText w:val="•"/>
      <w:lvlJc w:val="left"/>
      <w:pPr>
        <w:ind w:left="7629" w:hanging="360"/>
      </w:pPr>
      <w:rPr>
        <w:rFonts w:hint="default"/>
      </w:rPr>
    </w:lvl>
  </w:abstractNum>
  <w:abstractNum w:abstractNumId="8" w15:restartNumberingAfterBreak="0">
    <w:nsid w:val="37C36E56"/>
    <w:multiLevelType w:val="hybridMultilevel"/>
    <w:tmpl w:val="4CAAAD3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DC2C4A"/>
    <w:multiLevelType w:val="hybridMultilevel"/>
    <w:tmpl w:val="33A0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C7009"/>
    <w:multiLevelType w:val="hybridMultilevel"/>
    <w:tmpl w:val="C7E0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A1DA9"/>
    <w:multiLevelType w:val="hybridMultilevel"/>
    <w:tmpl w:val="4D0634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4D24AE"/>
    <w:multiLevelType w:val="hybridMultilevel"/>
    <w:tmpl w:val="AB904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0604A6"/>
    <w:multiLevelType w:val="hybridMultilevel"/>
    <w:tmpl w:val="2220B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9655A1"/>
    <w:multiLevelType w:val="hybridMultilevel"/>
    <w:tmpl w:val="A126D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8742F1"/>
    <w:multiLevelType w:val="hybridMultilevel"/>
    <w:tmpl w:val="C88ADAD0"/>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3722FA"/>
    <w:multiLevelType w:val="hybridMultilevel"/>
    <w:tmpl w:val="2F043904"/>
    <w:lvl w:ilvl="0" w:tplc="0409000F">
      <w:start w:val="1"/>
      <w:numFmt w:val="decimal"/>
      <w:lvlText w:val="%1."/>
      <w:lvlJc w:val="left"/>
      <w:pPr>
        <w:ind w:left="406" w:hanging="406"/>
      </w:pPr>
      <w:rPr>
        <w:rFonts w:hint="default"/>
        <w:sz w:val="24"/>
        <w:szCs w:val="24"/>
      </w:rPr>
    </w:lvl>
    <w:lvl w:ilvl="1" w:tplc="04090019">
      <w:start w:val="1"/>
      <w:numFmt w:val="lowerLetter"/>
      <w:lvlText w:val="%2."/>
      <w:lvlJc w:val="left"/>
      <w:pPr>
        <w:ind w:left="1440" w:hanging="360"/>
      </w:pPr>
    </w:lvl>
    <w:lvl w:ilvl="2" w:tplc="DB4A2E30">
      <w:start w:val="1"/>
      <w:numFmt w:val="lowerLetter"/>
      <w:lvlText w:val="%3."/>
      <w:lvlJc w:val="lef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E7346E"/>
    <w:multiLevelType w:val="hybridMultilevel"/>
    <w:tmpl w:val="38244C4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7"/>
  </w:num>
  <w:num w:numId="2">
    <w:abstractNumId w:val="14"/>
  </w:num>
  <w:num w:numId="3">
    <w:abstractNumId w:val="6"/>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3"/>
  </w:num>
  <w:num w:numId="12">
    <w:abstractNumId w:val="15"/>
  </w:num>
  <w:num w:numId="13">
    <w:abstractNumId w:val="12"/>
  </w:num>
  <w:num w:numId="14">
    <w:abstractNumId w:val="1"/>
  </w:num>
  <w:num w:numId="15">
    <w:abstractNumId w:val="11"/>
  </w:num>
  <w:num w:numId="16">
    <w:abstractNumId w:val="0"/>
  </w:num>
  <w:num w:numId="17">
    <w:abstractNumId w:val="2"/>
  </w:num>
  <w:num w:numId="18">
    <w:abstractNumId w:val="18"/>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5956"/>
    <w:rsid w:val="00014D3F"/>
    <w:rsid w:val="000152E4"/>
    <w:rsid w:val="00020380"/>
    <w:rsid w:val="000309C2"/>
    <w:rsid w:val="000325CA"/>
    <w:rsid w:val="00032F1F"/>
    <w:rsid w:val="00040C42"/>
    <w:rsid w:val="00044123"/>
    <w:rsid w:val="000666DD"/>
    <w:rsid w:val="000758A0"/>
    <w:rsid w:val="000802E1"/>
    <w:rsid w:val="000B0F0C"/>
    <w:rsid w:val="000C107E"/>
    <w:rsid w:val="000C5C8D"/>
    <w:rsid w:val="000D0FC8"/>
    <w:rsid w:val="000E2546"/>
    <w:rsid w:val="000E75E7"/>
    <w:rsid w:val="000F1A74"/>
    <w:rsid w:val="000F253D"/>
    <w:rsid w:val="00106954"/>
    <w:rsid w:val="001110DC"/>
    <w:rsid w:val="00142A55"/>
    <w:rsid w:val="001430A4"/>
    <w:rsid w:val="00153C32"/>
    <w:rsid w:val="001625F3"/>
    <w:rsid w:val="001718B5"/>
    <w:rsid w:val="00180258"/>
    <w:rsid w:val="001859B4"/>
    <w:rsid w:val="001B04D6"/>
    <w:rsid w:val="001B23F4"/>
    <w:rsid w:val="001D2CD8"/>
    <w:rsid w:val="001E4FE8"/>
    <w:rsid w:val="001E5963"/>
    <w:rsid w:val="001F4D25"/>
    <w:rsid w:val="001F668A"/>
    <w:rsid w:val="002013BF"/>
    <w:rsid w:val="00211676"/>
    <w:rsid w:val="00227D06"/>
    <w:rsid w:val="00232FE1"/>
    <w:rsid w:val="00235D79"/>
    <w:rsid w:val="00244BE2"/>
    <w:rsid w:val="0026315A"/>
    <w:rsid w:val="00265C27"/>
    <w:rsid w:val="002673D2"/>
    <w:rsid w:val="00270A9F"/>
    <w:rsid w:val="0027258B"/>
    <w:rsid w:val="0027496D"/>
    <w:rsid w:val="00277134"/>
    <w:rsid w:val="00281602"/>
    <w:rsid w:val="002A341E"/>
    <w:rsid w:val="002B27E9"/>
    <w:rsid w:val="002B2B7C"/>
    <w:rsid w:val="002B5969"/>
    <w:rsid w:val="002C1064"/>
    <w:rsid w:val="002C1D40"/>
    <w:rsid w:val="002D504D"/>
    <w:rsid w:val="002F0FAD"/>
    <w:rsid w:val="00305AE9"/>
    <w:rsid w:val="003218EA"/>
    <w:rsid w:val="00324E3B"/>
    <w:rsid w:val="00326188"/>
    <w:rsid w:val="00332EB1"/>
    <w:rsid w:val="003376FA"/>
    <w:rsid w:val="00337C45"/>
    <w:rsid w:val="00347B92"/>
    <w:rsid w:val="003527CC"/>
    <w:rsid w:val="00372A10"/>
    <w:rsid w:val="00383804"/>
    <w:rsid w:val="00383C77"/>
    <w:rsid w:val="003853AA"/>
    <w:rsid w:val="0038782D"/>
    <w:rsid w:val="00390394"/>
    <w:rsid w:val="00396592"/>
    <w:rsid w:val="00396B69"/>
    <w:rsid w:val="003B021A"/>
    <w:rsid w:val="003B4CE6"/>
    <w:rsid w:val="003B5E52"/>
    <w:rsid w:val="003C3F58"/>
    <w:rsid w:val="003C61BA"/>
    <w:rsid w:val="003D26C7"/>
    <w:rsid w:val="003E0638"/>
    <w:rsid w:val="003E21C2"/>
    <w:rsid w:val="003E6822"/>
    <w:rsid w:val="00403E13"/>
    <w:rsid w:val="004045A4"/>
    <w:rsid w:val="0042696C"/>
    <w:rsid w:val="00442346"/>
    <w:rsid w:val="00455ECE"/>
    <w:rsid w:val="004577C6"/>
    <w:rsid w:val="00467B34"/>
    <w:rsid w:val="004748A7"/>
    <w:rsid w:val="00477F5F"/>
    <w:rsid w:val="004836DF"/>
    <w:rsid w:val="004924E5"/>
    <w:rsid w:val="004B0817"/>
    <w:rsid w:val="004E71BB"/>
    <w:rsid w:val="004F396B"/>
    <w:rsid w:val="00516799"/>
    <w:rsid w:val="00517C66"/>
    <w:rsid w:val="005319C3"/>
    <w:rsid w:val="00535109"/>
    <w:rsid w:val="0054401C"/>
    <w:rsid w:val="00544C6B"/>
    <w:rsid w:val="005539F1"/>
    <w:rsid w:val="00562915"/>
    <w:rsid w:val="0056678A"/>
    <w:rsid w:val="00581363"/>
    <w:rsid w:val="0059466D"/>
    <w:rsid w:val="005974F4"/>
    <w:rsid w:val="005A0711"/>
    <w:rsid w:val="005B7F5B"/>
    <w:rsid w:val="005C156E"/>
    <w:rsid w:val="005C1EC9"/>
    <w:rsid w:val="005D1DD4"/>
    <w:rsid w:val="005D2AB8"/>
    <w:rsid w:val="005E6793"/>
    <w:rsid w:val="0060502A"/>
    <w:rsid w:val="00621697"/>
    <w:rsid w:val="00647FF3"/>
    <w:rsid w:val="0065069B"/>
    <w:rsid w:val="00651B99"/>
    <w:rsid w:val="00655BB0"/>
    <w:rsid w:val="006625E7"/>
    <w:rsid w:val="00675FEA"/>
    <w:rsid w:val="006A0AC4"/>
    <w:rsid w:val="006A67E8"/>
    <w:rsid w:val="006B01CF"/>
    <w:rsid w:val="006B46F3"/>
    <w:rsid w:val="006D1EBD"/>
    <w:rsid w:val="006D3538"/>
    <w:rsid w:val="006D4E36"/>
    <w:rsid w:val="006D599D"/>
    <w:rsid w:val="006D6DD1"/>
    <w:rsid w:val="006D704C"/>
    <w:rsid w:val="006F3F11"/>
    <w:rsid w:val="0070456B"/>
    <w:rsid w:val="007067A1"/>
    <w:rsid w:val="007067FF"/>
    <w:rsid w:val="007103B8"/>
    <w:rsid w:val="00717EB3"/>
    <w:rsid w:val="00732DC9"/>
    <w:rsid w:val="007337FB"/>
    <w:rsid w:val="007372FA"/>
    <w:rsid w:val="00757122"/>
    <w:rsid w:val="00760F19"/>
    <w:rsid w:val="007731B9"/>
    <w:rsid w:val="00773FEA"/>
    <w:rsid w:val="00784AFB"/>
    <w:rsid w:val="007924A5"/>
    <w:rsid w:val="007B5775"/>
    <w:rsid w:val="007E1041"/>
    <w:rsid w:val="00806CF7"/>
    <w:rsid w:val="00820A47"/>
    <w:rsid w:val="0082360B"/>
    <w:rsid w:val="008260BA"/>
    <w:rsid w:val="00831B90"/>
    <w:rsid w:val="0083689E"/>
    <w:rsid w:val="00836A0E"/>
    <w:rsid w:val="008416B2"/>
    <w:rsid w:val="00852C3E"/>
    <w:rsid w:val="00860EC4"/>
    <w:rsid w:val="00861884"/>
    <w:rsid w:val="00865051"/>
    <w:rsid w:val="0087331D"/>
    <w:rsid w:val="00876177"/>
    <w:rsid w:val="00890875"/>
    <w:rsid w:val="00892499"/>
    <w:rsid w:val="008928BC"/>
    <w:rsid w:val="00896941"/>
    <w:rsid w:val="008A0EE0"/>
    <w:rsid w:val="008D15F7"/>
    <w:rsid w:val="008D1856"/>
    <w:rsid w:val="008D2A1B"/>
    <w:rsid w:val="008E4E3B"/>
    <w:rsid w:val="009068E1"/>
    <w:rsid w:val="00926AEA"/>
    <w:rsid w:val="0093487E"/>
    <w:rsid w:val="00942AD5"/>
    <w:rsid w:val="00942F84"/>
    <w:rsid w:val="00944DC4"/>
    <w:rsid w:val="00956EBF"/>
    <w:rsid w:val="00957149"/>
    <w:rsid w:val="00964595"/>
    <w:rsid w:val="00965C16"/>
    <w:rsid w:val="009726D5"/>
    <w:rsid w:val="009760D8"/>
    <w:rsid w:val="009A25E8"/>
    <w:rsid w:val="009A406F"/>
    <w:rsid w:val="009B12CA"/>
    <w:rsid w:val="009B2525"/>
    <w:rsid w:val="009B2A73"/>
    <w:rsid w:val="009B3483"/>
    <w:rsid w:val="009D671B"/>
    <w:rsid w:val="009E7462"/>
    <w:rsid w:val="00A20CAB"/>
    <w:rsid w:val="00A2323F"/>
    <w:rsid w:val="00A25B0B"/>
    <w:rsid w:val="00A33D4C"/>
    <w:rsid w:val="00A418CB"/>
    <w:rsid w:val="00A4750D"/>
    <w:rsid w:val="00A52926"/>
    <w:rsid w:val="00A54DFD"/>
    <w:rsid w:val="00A6104F"/>
    <w:rsid w:val="00A729D4"/>
    <w:rsid w:val="00A73DD4"/>
    <w:rsid w:val="00A85E4F"/>
    <w:rsid w:val="00A876C8"/>
    <w:rsid w:val="00A938FD"/>
    <w:rsid w:val="00A9550F"/>
    <w:rsid w:val="00AA38B0"/>
    <w:rsid w:val="00AB02A9"/>
    <w:rsid w:val="00AB1B3D"/>
    <w:rsid w:val="00AD2C2E"/>
    <w:rsid w:val="00AE1EC7"/>
    <w:rsid w:val="00AE4FC1"/>
    <w:rsid w:val="00AF3782"/>
    <w:rsid w:val="00B038EA"/>
    <w:rsid w:val="00B04666"/>
    <w:rsid w:val="00B15973"/>
    <w:rsid w:val="00B23FF0"/>
    <w:rsid w:val="00B25628"/>
    <w:rsid w:val="00B333FA"/>
    <w:rsid w:val="00B41BDC"/>
    <w:rsid w:val="00B4334B"/>
    <w:rsid w:val="00B433BF"/>
    <w:rsid w:val="00B44E96"/>
    <w:rsid w:val="00B47482"/>
    <w:rsid w:val="00B7186F"/>
    <w:rsid w:val="00B72398"/>
    <w:rsid w:val="00B92ADB"/>
    <w:rsid w:val="00B92B09"/>
    <w:rsid w:val="00B945D7"/>
    <w:rsid w:val="00B97637"/>
    <w:rsid w:val="00BA2CC4"/>
    <w:rsid w:val="00BB543D"/>
    <w:rsid w:val="00BC0848"/>
    <w:rsid w:val="00BC42F9"/>
    <w:rsid w:val="00BC4902"/>
    <w:rsid w:val="00BE42FA"/>
    <w:rsid w:val="00BE50A6"/>
    <w:rsid w:val="00C01ED0"/>
    <w:rsid w:val="00C031B7"/>
    <w:rsid w:val="00C057E5"/>
    <w:rsid w:val="00C06C3E"/>
    <w:rsid w:val="00C15E64"/>
    <w:rsid w:val="00C27C29"/>
    <w:rsid w:val="00C30E8B"/>
    <w:rsid w:val="00C31EB9"/>
    <w:rsid w:val="00C33774"/>
    <w:rsid w:val="00C3396B"/>
    <w:rsid w:val="00C3566A"/>
    <w:rsid w:val="00C37017"/>
    <w:rsid w:val="00C76D79"/>
    <w:rsid w:val="00C81828"/>
    <w:rsid w:val="00C85C28"/>
    <w:rsid w:val="00C930F4"/>
    <w:rsid w:val="00C96542"/>
    <w:rsid w:val="00CB09F5"/>
    <w:rsid w:val="00CC0B86"/>
    <w:rsid w:val="00CC1D70"/>
    <w:rsid w:val="00CC7FEF"/>
    <w:rsid w:val="00CE6157"/>
    <w:rsid w:val="00CF6E77"/>
    <w:rsid w:val="00D0115A"/>
    <w:rsid w:val="00D173AA"/>
    <w:rsid w:val="00D23063"/>
    <w:rsid w:val="00D3619A"/>
    <w:rsid w:val="00D379F2"/>
    <w:rsid w:val="00D61728"/>
    <w:rsid w:val="00D64A99"/>
    <w:rsid w:val="00D768E3"/>
    <w:rsid w:val="00D867CD"/>
    <w:rsid w:val="00DB30B7"/>
    <w:rsid w:val="00DB4DCF"/>
    <w:rsid w:val="00DC0DE5"/>
    <w:rsid w:val="00DC5B9A"/>
    <w:rsid w:val="00DD09EA"/>
    <w:rsid w:val="00DD12BF"/>
    <w:rsid w:val="00DE2ACE"/>
    <w:rsid w:val="00DE4810"/>
    <w:rsid w:val="00E008DB"/>
    <w:rsid w:val="00E044A7"/>
    <w:rsid w:val="00E3309A"/>
    <w:rsid w:val="00E4691A"/>
    <w:rsid w:val="00E62E6C"/>
    <w:rsid w:val="00E762F8"/>
    <w:rsid w:val="00EB500C"/>
    <w:rsid w:val="00EB7FB7"/>
    <w:rsid w:val="00EC0D4A"/>
    <w:rsid w:val="00ED602A"/>
    <w:rsid w:val="00EE380D"/>
    <w:rsid w:val="00EF5004"/>
    <w:rsid w:val="00F02BE5"/>
    <w:rsid w:val="00F14D5F"/>
    <w:rsid w:val="00F23103"/>
    <w:rsid w:val="00F234A7"/>
    <w:rsid w:val="00F36E57"/>
    <w:rsid w:val="00F51B8C"/>
    <w:rsid w:val="00F71F77"/>
    <w:rsid w:val="00F72947"/>
    <w:rsid w:val="00F812D5"/>
    <w:rsid w:val="00F849B2"/>
    <w:rsid w:val="00F92DF8"/>
    <w:rsid w:val="00FA67F5"/>
    <w:rsid w:val="00FB352B"/>
    <w:rsid w:val="00FB4B93"/>
    <w:rsid w:val="00FC0F50"/>
    <w:rsid w:val="00FC4699"/>
    <w:rsid w:val="00FC644C"/>
    <w:rsid w:val="00FC7F63"/>
    <w:rsid w:val="00FD26BF"/>
    <w:rsid w:val="00FD5722"/>
    <w:rsid w:val="00FE17B6"/>
    <w:rsid w:val="00FF3228"/>
    <w:rsid w:val="00FF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A61E"/>
  <w15:docId w15:val="{FA2AB62A-8CBA-49E3-B670-7EB38082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1"/>
    <w:qFormat/>
    <w:rsid w:val="005D1DD4"/>
    <w:pPr>
      <w:ind w:left="720"/>
      <w:contextualSpacing/>
    </w:pPr>
  </w:style>
  <w:style w:type="character" w:styleId="CommentReference">
    <w:name w:val="annotation reference"/>
    <w:basedOn w:val="DefaultParagraphFont"/>
    <w:uiPriority w:val="99"/>
    <w:semiHidden/>
    <w:unhideWhenUsed/>
    <w:rsid w:val="00C30E8B"/>
    <w:rPr>
      <w:sz w:val="16"/>
      <w:szCs w:val="16"/>
    </w:rPr>
  </w:style>
  <w:style w:type="paragraph" w:styleId="CommentText">
    <w:name w:val="annotation text"/>
    <w:basedOn w:val="Normal"/>
    <w:link w:val="CommentTextChar"/>
    <w:uiPriority w:val="99"/>
    <w:unhideWhenUsed/>
    <w:rsid w:val="00C30E8B"/>
    <w:pPr>
      <w:spacing w:line="240" w:lineRule="auto"/>
    </w:pPr>
    <w:rPr>
      <w:sz w:val="20"/>
      <w:szCs w:val="20"/>
    </w:rPr>
  </w:style>
  <w:style w:type="character" w:customStyle="1" w:styleId="CommentTextChar">
    <w:name w:val="Comment Text Char"/>
    <w:basedOn w:val="DefaultParagraphFont"/>
    <w:link w:val="CommentText"/>
    <w:uiPriority w:val="99"/>
    <w:rsid w:val="00C30E8B"/>
    <w:rPr>
      <w:sz w:val="20"/>
      <w:szCs w:val="20"/>
    </w:rPr>
  </w:style>
  <w:style w:type="paragraph" w:styleId="CommentSubject">
    <w:name w:val="annotation subject"/>
    <w:basedOn w:val="CommentText"/>
    <w:next w:val="CommentText"/>
    <w:link w:val="CommentSubjectChar"/>
    <w:uiPriority w:val="99"/>
    <w:semiHidden/>
    <w:unhideWhenUsed/>
    <w:rsid w:val="00C30E8B"/>
    <w:rPr>
      <w:b/>
      <w:bCs/>
    </w:rPr>
  </w:style>
  <w:style w:type="character" w:customStyle="1" w:styleId="CommentSubjectChar">
    <w:name w:val="Comment Subject Char"/>
    <w:basedOn w:val="CommentTextChar"/>
    <w:link w:val="CommentSubject"/>
    <w:uiPriority w:val="99"/>
    <w:semiHidden/>
    <w:rsid w:val="00C30E8B"/>
    <w:rPr>
      <w:b/>
      <w:bCs/>
      <w:sz w:val="20"/>
      <w:szCs w:val="20"/>
    </w:rPr>
  </w:style>
  <w:style w:type="paragraph" w:styleId="BalloonText">
    <w:name w:val="Balloon Text"/>
    <w:basedOn w:val="Normal"/>
    <w:link w:val="BalloonTextChar"/>
    <w:uiPriority w:val="99"/>
    <w:semiHidden/>
    <w:unhideWhenUsed/>
    <w:rsid w:val="00C30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E8B"/>
    <w:rPr>
      <w:rFonts w:ascii="Tahoma" w:hAnsi="Tahoma" w:cs="Tahoma"/>
      <w:sz w:val="16"/>
      <w:szCs w:val="16"/>
    </w:rPr>
  </w:style>
  <w:style w:type="character" w:styleId="FollowedHyperlink">
    <w:name w:val="FollowedHyperlink"/>
    <w:basedOn w:val="DefaultParagraphFont"/>
    <w:uiPriority w:val="99"/>
    <w:semiHidden/>
    <w:unhideWhenUsed/>
    <w:rsid w:val="00AA38B0"/>
    <w:rPr>
      <w:color w:val="800080" w:themeColor="followedHyperlink"/>
      <w:u w:val="single"/>
    </w:rPr>
  </w:style>
  <w:style w:type="paragraph" w:customStyle="1" w:styleId="Default">
    <w:name w:val="Default"/>
    <w:rsid w:val="00D3619A"/>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32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2F1F"/>
    <w:rPr>
      <w:sz w:val="20"/>
      <w:szCs w:val="20"/>
    </w:rPr>
  </w:style>
  <w:style w:type="character" w:styleId="FootnoteReference">
    <w:name w:val="footnote reference"/>
    <w:basedOn w:val="DefaultParagraphFont"/>
    <w:uiPriority w:val="99"/>
    <w:semiHidden/>
    <w:unhideWhenUsed/>
    <w:rsid w:val="00032F1F"/>
    <w:rPr>
      <w:vertAlign w:val="superscript"/>
    </w:rPr>
  </w:style>
  <w:style w:type="paragraph" w:styleId="Revision">
    <w:name w:val="Revision"/>
    <w:hidden/>
    <w:uiPriority w:val="99"/>
    <w:semiHidden/>
    <w:rsid w:val="007067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0583">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676426207">
      <w:bodyDiv w:val="1"/>
      <w:marLeft w:val="0"/>
      <w:marRight w:val="0"/>
      <w:marTop w:val="0"/>
      <w:marBottom w:val="0"/>
      <w:divBdr>
        <w:top w:val="none" w:sz="0" w:space="0" w:color="auto"/>
        <w:left w:val="none" w:sz="0" w:space="0" w:color="auto"/>
        <w:bottom w:val="none" w:sz="0" w:space="0" w:color="auto"/>
        <w:right w:val="none" w:sz="0" w:space="0" w:color="auto"/>
      </w:divBdr>
    </w:div>
    <w:div w:id="677196872">
      <w:bodyDiv w:val="1"/>
      <w:marLeft w:val="0"/>
      <w:marRight w:val="0"/>
      <w:marTop w:val="0"/>
      <w:marBottom w:val="0"/>
      <w:divBdr>
        <w:top w:val="none" w:sz="0" w:space="0" w:color="auto"/>
        <w:left w:val="none" w:sz="0" w:space="0" w:color="auto"/>
        <w:bottom w:val="none" w:sz="0" w:space="0" w:color="auto"/>
        <w:right w:val="none" w:sz="0" w:space="0" w:color="auto"/>
      </w:divBdr>
    </w:div>
    <w:div w:id="726732527">
      <w:bodyDiv w:val="1"/>
      <w:marLeft w:val="0"/>
      <w:marRight w:val="0"/>
      <w:marTop w:val="0"/>
      <w:marBottom w:val="0"/>
      <w:divBdr>
        <w:top w:val="none" w:sz="0" w:space="0" w:color="auto"/>
        <w:left w:val="none" w:sz="0" w:space="0" w:color="auto"/>
        <w:bottom w:val="none" w:sz="0" w:space="0" w:color="auto"/>
        <w:right w:val="none" w:sz="0" w:space="0" w:color="auto"/>
      </w:divBdr>
    </w:div>
    <w:div w:id="923030024">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48132821">
      <w:bodyDiv w:val="1"/>
      <w:marLeft w:val="0"/>
      <w:marRight w:val="0"/>
      <w:marTop w:val="0"/>
      <w:marBottom w:val="0"/>
      <w:divBdr>
        <w:top w:val="none" w:sz="0" w:space="0" w:color="auto"/>
        <w:left w:val="none" w:sz="0" w:space="0" w:color="auto"/>
        <w:bottom w:val="none" w:sz="0" w:space="0" w:color="auto"/>
        <w:right w:val="none" w:sz="0" w:space="0" w:color="auto"/>
      </w:divBdr>
    </w:div>
    <w:div w:id="1238980705">
      <w:bodyDiv w:val="1"/>
      <w:marLeft w:val="0"/>
      <w:marRight w:val="0"/>
      <w:marTop w:val="0"/>
      <w:marBottom w:val="0"/>
      <w:divBdr>
        <w:top w:val="none" w:sz="0" w:space="0" w:color="auto"/>
        <w:left w:val="none" w:sz="0" w:space="0" w:color="auto"/>
        <w:bottom w:val="none" w:sz="0" w:space="0" w:color="auto"/>
        <w:right w:val="none" w:sz="0" w:space="0" w:color="auto"/>
      </w:divBdr>
    </w:div>
    <w:div w:id="1246954667">
      <w:bodyDiv w:val="1"/>
      <w:marLeft w:val="0"/>
      <w:marRight w:val="0"/>
      <w:marTop w:val="0"/>
      <w:marBottom w:val="0"/>
      <w:divBdr>
        <w:top w:val="none" w:sz="0" w:space="0" w:color="auto"/>
        <w:left w:val="none" w:sz="0" w:space="0" w:color="auto"/>
        <w:bottom w:val="none" w:sz="0" w:space="0" w:color="auto"/>
        <w:right w:val="none" w:sz="0" w:space="0" w:color="auto"/>
      </w:divBdr>
    </w:div>
    <w:div w:id="1521240786">
      <w:bodyDiv w:val="1"/>
      <w:marLeft w:val="0"/>
      <w:marRight w:val="0"/>
      <w:marTop w:val="0"/>
      <w:marBottom w:val="0"/>
      <w:divBdr>
        <w:top w:val="none" w:sz="0" w:space="0" w:color="auto"/>
        <w:left w:val="none" w:sz="0" w:space="0" w:color="auto"/>
        <w:bottom w:val="none" w:sz="0" w:space="0" w:color="auto"/>
        <w:right w:val="none" w:sz="0" w:space="0" w:color="auto"/>
      </w:divBdr>
    </w:div>
    <w:div w:id="20622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ma.gov/media-library/assets/documents/225?id=13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archives/ecec_06182019.pdf" TargetMode="External"/><Relationship Id="rId1" Type="http://schemas.openxmlformats.org/officeDocument/2006/relationships/hyperlink" Target="https://www.bls.gov/oes/20187/may/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19867-30F3-4DC9-ACA7-22152501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3045</Words>
  <Characters>18699</Characters>
  <Application>Microsoft Office Word</Application>
  <DocSecurity>0</DocSecurity>
  <Lines>316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Harrell, Levi</cp:lastModifiedBy>
  <cp:revision>2</cp:revision>
  <cp:lastPrinted>2014-09-23T15:58:00Z</cp:lastPrinted>
  <dcterms:created xsi:type="dcterms:W3CDTF">2020-04-02T12:01:00Z</dcterms:created>
  <dcterms:modified xsi:type="dcterms:W3CDTF">2020-04-02T12:01:00Z</dcterms:modified>
</cp:coreProperties>
</file>