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62B5C" w:rsidR="00562915" w:rsidP="005D1DD4" w:rsidRDefault="00562915" w14:paraId="330F0DCB" w14:textId="3A6B98D4">
      <w:pPr>
        <w:pStyle w:val="Title"/>
        <w:jc w:val="right"/>
      </w:pPr>
    </w:p>
    <w:p w:rsidR="00562915" w:rsidP="00562915" w:rsidRDefault="00562915" w14:paraId="6390F85D" w14:textId="77777777">
      <w:pPr>
        <w:pStyle w:val="Title"/>
        <w:rPr>
          <w:rFonts w:ascii="Arial" w:hAnsi="Arial" w:cs="Arial"/>
        </w:rPr>
      </w:pPr>
      <w:r w:rsidRPr="007263B4">
        <w:rPr>
          <w:rFonts w:ascii="Arial" w:hAnsi="Arial" w:cs="Arial"/>
        </w:rPr>
        <w:t xml:space="preserve">Supporting Statement for </w:t>
      </w:r>
    </w:p>
    <w:p w:rsidRPr="007263B4" w:rsidR="00562915" w:rsidP="00562915" w:rsidRDefault="00562915" w14:paraId="4B94FCE6" w14:textId="77777777">
      <w:pPr>
        <w:pStyle w:val="Title"/>
        <w:rPr>
          <w:rFonts w:ascii="Arial" w:hAnsi="Arial" w:cs="Arial"/>
          <w:color w:val="FF0000"/>
          <w:sz w:val="28"/>
        </w:rPr>
      </w:pPr>
      <w:r w:rsidRPr="007263B4">
        <w:rPr>
          <w:rFonts w:ascii="Arial" w:hAnsi="Arial" w:cs="Arial"/>
        </w:rPr>
        <w:t>Paperwork Reduction Act Submissions</w:t>
      </w:r>
    </w:p>
    <w:p w:rsidRPr="006625E7" w:rsidR="00562915" w:rsidP="00562915" w:rsidRDefault="00562915" w14:paraId="2DB6D9B9" w14:textId="77777777">
      <w:pPr>
        <w:tabs>
          <w:tab w:val="left" w:pos="-720"/>
        </w:tabs>
        <w:suppressAutoHyphens/>
        <w:rPr>
          <w:rFonts w:ascii="Times New Roman" w:hAnsi="Times New Roman" w:cs="Times New Roman"/>
          <w:b/>
          <w:sz w:val="24"/>
          <w:szCs w:val="24"/>
        </w:rPr>
      </w:pPr>
    </w:p>
    <w:p w:rsidRPr="00B92B09" w:rsidR="00562915" w:rsidP="00562915" w:rsidRDefault="00562915" w14:paraId="5ACB63B3" w14:textId="4725C9DC">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OMB Control Number:  1660 </w:t>
      </w:r>
      <w:r w:rsidR="00E02645">
        <w:rPr>
          <w:rFonts w:ascii="Times New Roman" w:hAnsi="Times New Roman" w:cs="Times New Roman"/>
          <w:b/>
          <w:sz w:val="28"/>
          <w:szCs w:val="28"/>
        </w:rPr>
        <w:t>–</w:t>
      </w:r>
      <w:r w:rsidRPr="00B92B09">
        <w:rPr>
          <w:rFonts w:ascii="Times New Roman" w:hAnsi="Times New Roman" w:cs="Times New Roman"/>
          <w:b/>
          <w:sz w:val="28"/>
          <w:szCs w:val="28"/>
        </w:rPr>
        <w:t xml:space="preserve"> </w:t>
      </w:r>
      <w:r w:rsidRPr="00CC0954" w:rsidR="00E02645">
        <w:rPr>
          <w:rFonts w:ascii="Times New Roman" w:hAnsi="Times New Roman" w:cs="Times New Roman"/>
          <w:b/>
          <w:sz w:val="28"/>
          <w:szCs w:val="28"/>
        </w:rPr>
        <w:t>NW</w:t>
      </w:r>
      <w:r w:rsidR="00E02645">
        <w:rPr>
          <w:rFonts w:ascii="Times New Roman" w:hAnsi="Times New Roman" w:cs="Times New Roman"/>
          <w:b/>
          <w:sz w:val="28"/>
          <w:szCs w:val="28"/>
        </w:rPr>
        <w:t>1</w:t>
      </w:r>
      <w:r w:rsidRPr="00F058F1" w:rsidR="00E02645">
        <w:rPr>
          <w:rFonts w:ascii="Times New Roman" w:hAnsi="Times New Roman" w:cs="Times New Roman"/>
          <w:b/>
          <w:sz w:val="28"/>
          <w:szCs w:val="28"/>
        </w:rPr>
        <w:t>2</w:t>
      </w:r>
      <w:r w:rsidR="00F058F1">
        <w:rPr>
          <w:rFonts w:ascii="Times New Roman" w:hAnsi="Times New Roman" w:cs="Times New Roman"/>
          <w:b/>
          <w:sz w:val="28"/>
          <w:szCs w:val="28"/>
        </w:rPr>
        <w:t>3</w:t>
      </w:r>
    </w:p>
    <w:p w:rsidR="008C74C9" w:rsidP="00E663B9" w:rsidRDefault="00562915" w14:paraId="3502B976" w14:textId="77777777">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Title:  </w:t>
      </w:r>
      <w:r w:rsidR="008C74C9">
        <w:rPr>
          <w:rFonts w:ascii="Times New Roman" w:hAnsi="Times New Roman" w:cs="Times New Roman"/>
          <w:b/>
          <w:sz w:val="28"/>
          <w:szCs w:val="28"/>
        </w:rPr>
        <w:t xml:space="preserve">Letter of Attestation regarding </w:t>
      </w:r>
      <w:r w:rsidRPr="008C74C9" w:rsidR="008C74C9">
        <w:rPr>
          <w:rFonts w:ascii="Times New Roman" w:hAnsi="Times New Roman" w:cs="Times New Roman"/>
          <w:b/>
          <w:sz w:val="28"/>
          <w:szCs w:val="28"/>
        </w:rPr>
        <w:t>Export of Certain Scarce or Threatened Medical Resources</w:t>
      </w:r>
    </w:p>
    <w:p w:rsidRPr="00E663B9" w:rsidR="00E663B9" w:rsidP="00E663B9" w:rsidRDefault="00562915" w14:paraId="2C5A1CA4" w14:textId="5C443D60">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Form Number(s):  </w:t>
      </w:r>
      <w:r w:rsidR="007805DA">
        <w:rPr>
          <w:rFonts w:ascii="Times New Roman" w:hAnsi="Times New Roman" w:cs="Times New Roman"/>
          <w:b/>
          <w:sz w:val="28"/>
          <w:szCs w:val="28"/>
        </w:rPr>
        <w:t>None</w:t>
      </w:r>
    </w:p>
    <w:p w:rsidR="00562915" w:rsidP="00562915" w:rsidRDefault="00562915" w14:paraId="18097814" w14:textId="77777777">
      <w:pPr>
        <w:tabs>
          <w:tab w:val="left" w:pos="-720"/>
        </w:tabs>
        <w:suppressAutoHyphens/>
        <w:rPr>
          <w:rFonts w:ascii="Times New Roman" w:hAnsi="Times New Roman" w:cs="Times New Roman"/>
          <w:b/>
          <w:sz w:val="28"/>
          <w:szCs w:val="28"/>
        </w:rPr>
      </w:pPr>
    </w:p>
    <w:p w:rsidR="00562915" w:rsidP="00B92B09" w:rsidRDefault="00562915" w14:paraId="2910EF8B" w14:textId="77777777">
      <w:pPr>
        <w:pStyle w:val="Heading1"/>
        <w:rPr>
          <w:szCs w:val="28"/>
        </w:rPr>
      </w:pPr>
      <w:r w:rsidRPr="00B92B09">
        <w:rPr>
          <w:szCs w:val="28"/>
        </w:rPr>
        <w:t>General Instructions</w:t>
      </w:r>
    </w:p>
    <w:p w:rsidRPr="00B92B09" w:rsidR="00B92B09" w:rsidP="00B92B09" w:rsidRDefault="00B92B09" w14:paraId="09C26876" w14:textId="77777777">
      <w:pPr>
        <w:spacing w:after="0" w:line="240" w:lineRule="auto"/>
      </w:pPr>
    </w:p>
    <w:p w:rsidRPr="006625E7" w:rsidR="00562915" w:rsidP="00B92B09" w:rsidRDefault="00562915" w14:paraId="022E3CDB" w14:textId="77777777">
      <w:pPr>
        <w:tabs>
          <w:tab w:val="left" w:pos="-720"/>
        </w:tabs>
        <w:suppressAutoHyphens/>
        <w:spacing w:after="0" w:line="240" w:lineRule="auto"/>
        <w:rPr>
          <w:rFonts w:ascii="Times New Roman" w:hAnsi="Times New Roman" w:cs="Times New Roman"/>
          <w:sz w:val="24"/>
          <w:szCs w:val="24"/>
        </w:rPr>
      </w:pPr>
      <w:r w:rsidRPr="006625E7">
        <w:rPr>
          <w:rFonts w:ascii="Times New Roman" w:hAnsi="Times New Roman" w:cs="Times New Roman"/>
          <w:sz w:val="24"/>
          <w:szCs w:val="24"/>
        </w:rPr>
        <w:t>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rsidR="00B92B09" w:rsidP="00562915" w:rsidRDefault="00B92B09" w14:paraId="42E143B2" w14:textId="77777777">
      <w:pPr>
        <w:pStyle w:val="Heading1"/>
        <w:rPr>
          <w:szCs w:val="28"/>
        </w:rPr>
      </w:pPr>
    </w:p>
    <w:p w:rsidRPr="00B92B09" w:rsidR="00562915" w:rsidP="00B92B09" w:rsidRDefault="00562915" w14:paraId="56EEEEF6" w14:textId="77777777">
      <w:pPr>
        <w:pStyle w:val="Heading1"/>
        <w:rPr>
          <w:szCs w:val="28"/>
        </w:rPr>
      </w:pPr>
      <w:r w:rsidRPr="00B92B09">
        <w:rPr>
          <w:szCs w:val="28"/>
        </w:rPr>
        <w:t>Specific Instructions</w:t>
      </w:r>
    </w:p>
    <w:p w:rsidRPr="00B92B09" w:rsidR="00562915" w:rsidP="00B92B09" w:rsidRDefault="00562915" w14:paraId="27524868" w14:textId="77777777">
      <w:pPr>
        <w:tabs>
          <w:tab w:val="left" w:pos="-720"/>
        </w:tabs>
        <w:suppressAutoHyphens/>
        <w:spacing w:after="0" w:line="240" w:lineRule="auto"/>
        <w:rPr>
          <w:rFonts w:ascii="Times New Roman" w:hAnsi="Times New Roman" w:cs="Times New Roman"/>
          <w:sz w:val="28"/>
          <w:szCs w:val="28"/>
        </w:rPr>
      </w:pPr>
    </w:p>
    <w:p w:rsidRPr="00B92B09" w:rsidR="00562915" w:rsidP="00B92B09" w:rsidRDefault="00562915" w14:paraId="1AB08CFC" w14:textId="77777777">
      <w:pPr>
        <w:pStyle w:val="Heading1"/>
        <w:rPr>
          <w:szCs w:val="28"/>
        </w:rPr>
      </w:pPr>
      <w:r w:rsidRPr="00B92B09">
        <w:rPr>
          <w:szCs w:val="28"/>
        </w:rPr>
        <w:t>A.  Justification</w:t>
      </w:r>
    </w:p>
    <w:p w:rsidRPr="00B92B09" w:rsidR="00562915" w:rsidP="00B92B09" w:rsidRDefault="00562915" w14:paraId="021D52CD" w14:textId="77777777">
      <w:pPr>
        <w:spacing w:after="0" w:line="240" w:lineRule="auto"/>
        <w:rPr>
          <w:rFonts w:ascii="Times New Roman" w:hAnsi="Times New Roman" w:cs="Times New Roman"/>
          <w:sz w:val="28"/>
          <w:szCs w:val="28"/>
        </w:rPr>
      </w:pPr>
    </w:p>
    <w:p w:rsidRPr="006625E7" w:rsidR="00562915" w:rsidP="00562915" w:rsidRDefault="00562915" w14:paraId="39FE3F3D" w14:textId="77777777">
      <w:pPr>
        <w:numPr>
          <w:ilvl w:val="0"/>
          <w:numId w:val="1"/>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Explain the circumstances that make the collection of information necessary</w:t>
      </w:r>
      <w:r w:rsidRPr="006625E7">
        <w:rPr>
          <w:rFonts w:ascii="Times New Roman" w:hAnsi="Times New Roman" w:cs="Times New Roman"/>
          <w:b/>
          <w:bCs/>
          <w:color w:val="000000"/>
          <w:sz w:val="24"/>
          <w:szCs w:val="24"/>
        </w:rPr>
        <w:t>.</w:t>
      </w:r>
      <w:r w:rsidRPr="006625E7">
        <w:rPr>
          <w:rFonts w:ascii="Times New Roman" w:hAnsi="Times New Roman" w:cs="Times New Roman"/>
          <w:b/>
          <w:bCs/>
          <w:sz w:val="24"/>
          <w:szCs w:val="24"/>
        </w:rPr>
        <w:t xml:space="preserve"> </w:t>
      </w:r>
    </w:p>
    <w:p w:rsidR="008C74C9" w:rsidP="00562915" w:rsidRDefault="00562915" w14:paraId="116AE577" w14:textId="77777777">
      <w:pPr>
        <w:rPr>
          <w:rFonts w:ascii="Times New Roman" w:hAnsi="Times New Roman" w:cs="Times New Roman"/>
          <w:b/>
          <w:bCs/>
          <w:color w:val="000000"/>
          <w:sz w:val="24"/>
          <w:szCs w:val="24"/>
        </w:rPr>
      </w:pPr>
      <w:r w:rsidRPr="006625E7">
        <w:rPr>
          <w:rFonts w:ascii="Times New Roman" w:hAnsi="Times New Roman" w:cs="Times New Roman"/>
          <w:b/>
          <w:bCs/>
          <w:sz w:val="24"/>
          <w:szCs w:val="24"/>
        </w:rPr>
        <w:t xml:space="preserve">Identify any legal or administrative requirements that necessitate the collection.  Attach a copy of the appropriate section of each statute and regulation mandating or authorizing the collection of information.  </w:t>
      </w:r>
      <w:r w:rsidRPr="006625E7">
        <w:rPr>
          <w:rFonts w:ascii="Times New Roman" w:hAnsi="Times New Roman" w:cs="Times New Roman"/>
          <w:b/>
          <w:bCs/>
          <w:color w:val="000000"/>
          <w:sz w:val="24"/>
          <w:szCs w:val="24"/>
        </w:rPr>
        <w:t xml:space="preserve">Provide a detailed description of the nature and source of the information to be collected. </w:t>
      </w:r>
    </w:p>
    <w:p w:rsidRPr="008C74C9" w:rsidR="008C74C9" w:rsidP="008C74C9" w:rsidRDefault="008C74C9" w14:paraId="5467FB35" w14:textId="77777777">
      <w:pPr>
        <w:rPr>
          <w:rFonts w:ascii="Times New Roman" w:hAnsi="Times New Roman" w:cs="Times New Roman"/>
          <w:color w:val="000000"/>
          <w:sz w:val="24"/>
          <w:szCs w:val="24"/>
        </w:rPr>
      </w:pPr>
      <w:r w:rsidRPr="008C74C9">
        <w:rPr>
          <w:rFonts w:ascii="Times New Roman" w:hAnsi="Times New Roman" w:cs="Times New Roman"/>
          <w:color w:val="000000"/>
          <w:sz w:val="24"/>
          <w:szCs w:val="24"/>
        </w:rPr>
        <w:t xml:space="preserve">On April 10, 2020, the FEMA Administrator (Administrator) issued a temporary final rule (the “rule”) to allocate certain scarce or threatened materials for domestic use, so that these materials may not be exported from the United States without explicit approval by FEMA.   The rule aids the response of the United States to the spread of COVID-19 by ensuring that certain scarce or threatened health and medical resources are appropriately allocated for domestic use.   </w:t>
      </w:r>
    </w:p>
    <w:p w:rsidRPr="008C74C9" w:rsidR="008C74C9" w:rsidP="008C74C9" w:rsidRDefault="008C74C9" w14:paraId="341CFEE4" w14:textId="69201A4F">
      <w:pPr>
        <w:rPr>
          <w:rFonts w:ascii="Times New Roman" w:hAnsi="Times New Roman" w:cs="Times New Roman"/>
          <w:color w:val="000000"/>
          <w:sz w:val="24"/>
          <w:szCs w:val="24"/>
        </w:rPr>
      </w:pPr>
      <w:r w:rsidRPr="008C74C9">
        <w:rPr>
          <w:rFonts w:ascii="Times New Roman" w:hAnsi="Times New Roman" w:cs="Times New Roman"/>
          <w:color w:val="000000"/>
          <w:sz w:val="24"/>
          <w:szCs w:val="24"/>
        </w:rPr>
        <w:lastRenderedPageBreak/>
        <w:t xml:space="preserve">The Administrator issued the rule under the authority of the Defense Production Act of 1950, as amended (DPA), and related executive orders and delegations.   Most prominently, on April 3, 2020, the President signed a Memorandum on Allocating Certain Scarce or Threatened Health and Medical Resources to Domestic Use (Memorandum).  In the Memorandum, the President directed the Secretary of Homeland Security, through the Administrator, and in consultation with the Secretary of Health and Human Services (HHS), to use any and all authority available under section 101 of the DPA to allocate to domestic use, as appropriate, five types of personal protective equipment (PPE) materials (covered materials).   </w:t>
      </w:r>
    </w:p>
    <w:p w:rsidR="008C74C9" w:rsidP="008C74C9" w:rsidRDefault="008C74C9" w14:paraId="6F06D697" w14:textId="0BD1FBE9">
      <w:pPr>
        <w:rPr>
          <w:rFonts w:ascii="Times New Roman" w:hAnsi="Times New Roman" w:cs="Times New Roman"/>
          <w:color w:val="000000"/>
          <w:sz w:val="24"/>
          <w:szCs w:val="24"/>
        </w:rPr>
      </w:pPr>
      <w:r w:rsidRPr="008C74C9">
        <w:rPr>
          <w:rFonts w:ascii="Times New Roman" w:hAnsi="Times New Roman" w:cs="Times New Roman"/>
          <w:color w:val="000000"/>
          <w:sz w:val="24"/>
          <w:szCs w:val="24"/>
        </w:rPr>
        <w:t xml:space="preserve">Consistent with the Memorandum, the rule provides that until August 10, 2020, and subject to certain exemptions, no shipments of covered materials may leave the United States without explicit approval by FEMA.   The rule requires U.S. Customs and Border Protection (CBP), in coordination with such other officials as may be appropriate, to notify FEMA of an intended export of covered materials.  CBP must temporarily detain any shipment of such covered materials pending the Administrator’s determination whether to return for domestic use, issue a rated order for, or allow the export of part or all of the shipment.  In making such determination, the Administrator may consult other agencies and will consider the totality of the circumstances, including: (1) the need to ensure that scarce or threatened items are appropriately allocated for domestic use; (2) minimization of disruption to the supply chain, both domestically and abroad; (3) the circumstances surrounding the distribution of the materials and potential hoarding or price-gouging concerns; (4) the quantity and quality of the materials; (5) humanitarian considerations; and (6) international relations and diplomatic considerations.   </w:t>
      </w:r>
    </w:p>
    <w:p w:rsidR="008C74C9" w:rsidP="008C74C9" w:rsidRDefault="008C74C9" w14:paraId="39695474" w14:textId="00D4BA4F">
      <w:pPr>
        <w:rPr>
          <w:rFonts w:ascii="Times New Roman" w:hAnsi="Times New Roman" w:cs="Times New Roman"/>
          <w:color w:val="000000"/>
          <w:sz w:val="24"/>
          <w:szCs w:val="24"/>
        </w:rPr>
      </w:pPr>
      <w:r>
        <w:rPr>
          <w:rFonts w:ascii="Times New Roman" w:hAnsi="Times New Roman" w:cs="Times New Roman"/>
          <w:color w:val="000000"/>
          <w:sz w:val="24"/>
          <w:szCs w:val="24"/>
        </w:rPr>
        <w:t>FEMA would require a letter of attestation regarding the Export of Certain Scarce or Threatened Medical Resources be submitted to FEMA via CPB’s document imaging system and placed on file with CBP, certifying to FEMA the purpose of the shipment of covered materials.</w:t>
      </w:r>
    </w:p>
    <w:p w:rsidRPr="008C74C9" w:rsidR="00FB4B96" w:rsidP="008C74C9" w:rsidRDefault="00FB4B96" w14:paraId="3BDB9CF0" w14:textId="598FD01A">
      <w:pPr>
        <w:rPr>
          <w:rFonts w:ascii="Times New Roman" w:hAnsi="Times New Roman" w:cs="Times New Roman"/>
          <w:color w:val="000000"/>
          <w:sz w:val="24"/>
          <w:szCs w:val="24"/>
        </w:rPr>
      </w:pPr>
      <w:r w:rsidRPr="00FB4B96">
        <w:rPr>
          <w:rFonts w:ascii="Times New Roman" w:hAnsi="Times New Roman" w:cs="Times New Roman"/>
          <w:color w:val="000000"/>
          <w:sz w:val="24"/>
          <w:szCs w:val="24"/>
        </w:rPr>
        <w:t xml:space="preserve">This new collection is being submitted under the </w:t>
      </w:r>
      <w:r>
        <w:rPr>
          <w:rFonts w:ascii="Times New Roman" w:hAnsi="Times New Roman" w:cs="Times New Roman"/>
          <w:color w:val="000000"/>
          <w:sz w:val="24"/>
          <w:szCs w:val="24"/>
        </w:rPr>
        <w:t>e</w:t>
      </w:r>
      <w:r w:rsidRPr="00FB4B96">
        <w:rPr>
          <w:rFonts w:ascii="Times New Roman" w:hAnsi="Times New Roman" w:cs="Times New Roman"/>
          <w:color w:val="000000"/>
          <w:sz w:val="24"/>
          <w:szCs w:val="24"/>
        </w:rPr>
        <w:t xml:space="preserve">mergency </w:t>
      </w:r>
      <w:r>
        <w:rPr>
          <w:rFonts w:ascii="Times New Roman" w:hAnsi="Times New Roman" w:cs="Times New Roman"/>
          <w:color w:val="000000"/>
          <w:sz w:val="24"/>
          <w:szCs w:val="24"/>
        </w:rPr>
        <w:t>clearance p</w:t>
      </w:r>
      <w:r w:rsidRPr="00FB4B96">
        <w:rPr>
          <w:rFonts w:ascii="Times New Roman" w:hAnsi="Times New Roman" w:cs="Times New Roman"/>
          <w:color w:val="000000"/>
          <w:sz w:val="24"/>
          <w:szCs w:val="24"/>
        </w:rPr>
        <w:t>rocess.  Additionally, FEMA is seeking public comments on the collection through the normal clearance process.</w:t>
      </w:r>
    </w:p>
    <w:p w:rsidRPr="006625E7" w:rsidR="00562915" w:rsidP="00562915" w:rsidRDefault="00562915" w14:paraId="34CC6D59" w14:textId="4B59E25F">
      <w:pPr>
        <w:rPr>
          <w:rFonts w:ascii="Times New Roman" w:hAnsi="Times New Roman" w:cs="Times New Roman"/>
          <w:b/>
          <w:bCs/>
          <w:color w:val="000000"/>
          <w:spacing w:val="-3"/>
          <w:sz w:val="24"/>
          <w:szCs w:val="24"/>
        </w:rPr>
      </w:pPr>
      <w:r w:rsidRPr="006625E7">
        <w:rPr>
          <w:rFonts w:ascii="Times New Roman" w:hAnsi="Times New Roman" w:cs="Times New Roman"/>
          <w:b/>
          <w:bCs/>
          <w:color w:val="000000"/>
          <w:sz w:val="24"/>
          <w:szCs w:val="24"/>
        </w:rPr>
        <w:t xml:space="preserve">  </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2.  Indicate how, by whom, and for what purpose the information is to be used.  Except for a new collection, indicate the actual use the agency has made of the information received from the current collection. </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Provide a detailed description of: how the information will be shared, if applicable, and for</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 xml:space="preserve">what programmatic purpose.       </w:t>
      </w:r>
    </w:p>
    <w:p w:rsidR="00CD31A0" w:rsidP="00F86EA7" w:rsidRDefault="00CD31A0" w14:paraId="218BD17E" w14:textId="1F36E0A0">
      <w:pPr>
        <w:rPr>
          <w:rFonts w:ascii="Times New Roman" w:hAnsi="Times New Roman" w:cs="Times New Roman"/>
          <w:sz w:val="24"/>
          <w:szCs w:val="24"/>
        </w:rPr>
      </w:pPr>
      <w:r w:rsidRPr="00CD31A0">
        <w:rPr>
          <w:rFonts w:ascii="Times New Roman" w:hAnsi="Times New Roman" w:cs="Times New Roman"/>
          <w:sz w:val="24"/>
          <w:szCs w:val="24"/>
        </w:rPr>
        <w:lastRenderedPageBreak/>
        <w:t>The information is used by the Office of</w:t>
      </w:r>
      <w:r>
        <w:rPr>
          <w:rFonts w:ascii="Times New Roman" w:hAnsi="Times New Roman" w:cs="Times New Roman"/>
          <w:sz w:val="24"/>
          <w:szCs w:val="24"/>
        </w:rPr>
        <w:t xml:space="preserve"> Policy</w:t>
      </w:r>
      <w:r w:rsidR="00F86EA7">
        <w:rPr>
          <w:rFonts w:ascii="Times New Roman" w:hAnsi="Times New Roman" w:cs="Times New Roman"/>
          <w:sz w:val="24"/>
          <w:szCs w:val="24"/>
        </w:rPr>
        <w:t xml:space="preserve"> and Program Analysis, </w:t>
      </w:r>
      <w:r w:rsidR="005156A1">
        <w:rPr>
          <w:rFonts w:ascii="Times New Roman" w:hAnsi="Times New Roman" w:cs="Times New Roman"/>
          <w:sz w:val="24"/>
          <w:szCs w:val="24"/>
        </w:rPr>
        <w:t>Marc Geier</w:t>
      </w:r>
      <w:r w:rsidR="00F86EA7">
        <w:rPr>
          <w:rFonts w:ascii="Times New Roman" w:hAnsi="Times New Roman" w:cs="Times New Roman"/>
          <w:sz w:val="24"/>
          <w:szCs w:val="24"/>
        </w:rPr>
        <w:t xml:space="preserve">, Federal Emergency Management Agency, 500 C Street, SW, Washington, DC 20472, 202, (telephone) </w:t>
      </w:r>
      <w:r w:rsidR="005156A1">
        <w:rPr>
          <w:rFonts w:ascii="Times New Roman" w:hAnsi="Times New Roman" w:cs="Times New Roman"/>
          <w:sz w:val="24"/>
          <w:szCs w:val="24"/>
        </w:rPr>
        <w:t>423-3770</w:t>
      </w:r>
      <w:r w:rsidR="00F86EA7">
        <w:rPr>
          <w:rFonts w:ascii="Times New Roman" w:hAnsi="Times New Roman" w:cs="Times New Roman"/>
          <w:sz w:val="24"/>
          <w:szCs w:val="24"/>
        </w:rPr>
        <w:t xml:space="preserve">, or (email) </w:t>
      </w:r>
      <w:r w:rsidR="00F86EA7">
        <w:rPr>
          <w:rFonts w:ascii="Times New Roman" w:hAnsi="Times New Roman" w:cs="Times New Roman"/>
          <w:i/>
          <w:iCs/>
          <w:sz w:val="24"/>
          <w:szCs w:val="24"/>
        </w:rPr>
        <w:t>FEMA-DPA@fema.dhs.gov.</w:t>
      </w:r>
      <w:r>
        <w:rPr>
          <w:rFonts w:ascii="Times New Roman" w:hAnsi="Times New Roman" w:cs="Times New Roman"/>
          <w:sz w:val="24"/>
          <w:szCs w:val="24"/>
        </w:rPr>
        <w:t xml:space="preserve"> </w:t>
      </w:r>
    </w:p>
    <w:p w:rsidR="008C74C9" w:rsidP="00F86EA7" w:rsidRDefault="008C74C9" w14:paraId="17541865" w14:textId="663534DC">
      <w:pPr>
        <w:rPr>
          <w:rFonts w:ascii="Times New Roman" w:hAnsi="Times New Roman" w:cs="Times New Roman"/>
          <w:sz w:val="24"/>
          <w:szCs w:val="24"/>
        </w:rPr>
      </w:pPr>
      <w:r w:rsidRPr="008C74C9">
        <w:rPr>
          <w:rFonts w:ascii="Times New Roman" w:hAnsi="Times New Roman" w:cs="Times New Roman"/>
          <w:sz w:val="24"/>
          <w:szCs w:val="24"/>
        </w:rPr>
        <w:t>FEMA would require a letter of attestation regarding the Export of Certain Scarce or Threatened Medical Resources be submitted to FEMA via C</w:t>
      </w:r>
      <w:r w:rsidR="00844F25">
        <w:rPr>
          <w:rFonts w:ascii="Times New Roman" w:hAnsi="Times New Roman" w:cs="Times New Roman"/>
          <w:sz w:val="24"/>
          <w:szCs w:val="24"/>
        </w:rPr>
        <w:t>BP</w:t>
      </w:r>
      <w:r w:rsidRPr="008C74C9">
        <w:rPr>
          <w:rFonts w:ascii="Times New Roman" w:hAnsi="Times New Roman" w:cs="Times New Roman"/>
          <w:sz w:val="24"/>
          <w:szCs w:val="24"/>
        </w:rPr>
        <w:t>’s document imaging system</w:t>
      </w:r>
      <w:r w:rsidR="00844F25">
        <w:rPr>
          <w:rFonts w:ascii="Times New Roman" w:hAnsi="Times New Roman" w:cs="Times New Roman"/>
          <w:sz w:val="24"/>
          <w:szCs w:val="24"/>
        </w:rPr>
        <w:t xml:space="preserve"> as part of the exporter’s typical submission into the Autom</w:t>
      </w:r>
      <w:r w:rsidR="0088641A">
        <w:rPr>
          <w:rFonts w:ascii="Times New Roman" w:hAnsi="Times New Roman" w:cs="Times New Roman"/>
          <w:sz w:val="24"/>
          <w:szCs w:val="24"/>
        </w:rPr>
        <w:t>a</w:t>
      </w:r>
      <w:r w:rsidR="00844F25">
        <w:rPr>
          <w:rFonts w:ascii="Times New Roman" w:hAnsi="Times New Roman" w:cs="Times New Roman"/>
          <w:sz w:val="24"/>
          <w:szCs w:val="24"/>
        </w:rPr>
        <w:t>ted Export System, which is part of the International Trade Data System</w:t>
      </w:r>
      <w:bookmarkStart w:name="_GoBack" w:id="0"/>
      <w:bookmarkEnd w:id="0"/>
      <w:r w:rsidRPr="008C74C9">
        <w:rPr>
          <w:rFonts w:ascii="Times New Roman" w:hAnsi="Times New Roman" w:cs="Times New Roman"/>
          <w:sz w:val="24"/>
          <w:szCs w:val="24"/>
        </w:rPr>
        <w:t>, certifying to FEMA the purpose of the shipment of covered materials.</w:t>
      </w:r>
    </w:p>
    <w:p w:rsidRPr="006625E7" w:rsidR="00562915" w:rsidP="00562915" w:rsidRDefault="00562915" w14:paraId="6C3DA72C"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BA33E4" w:rsidP="00F86EA7" w:rsidRDefault="00736013" w14:paraId="7CB430A9" w14:textId="78A91E46">
      <w:pPr>
        <w:spacing w:after="0" w:line="240" w:lineRule="auto"/>
        <w:ind w:left="120" w:right="73"/>
        <w:rPr>
          <w:rFonts w:ascii="Times New Roman" w:hAnsi="Times New Roman" w:eastAsia="Times New Roman" w:cs="Times New Roman"/>
          <w:sz w:val="24"/>
          <w:szCs w:val="24"/>
        </w:rPr>
      </w:pPr>
      <w:r>
        <w:rPr>
          <w:rFonts w:ascii="Times New Roman" w:hAnsi="Times New Roman" w:eastAsia="Times New Roman" w:cs="Times New Roman"/>
          <w:sz w:val="24"/>
          <w:szCs w:val="24"/>
        </w:rPr>
        <w:t>T</w:t>
      </w:r>
      <w:r w:rsidR="00F86EA7">
        <w:rPr>
          <w:rFonts w:ascii="Times New Roman" w:hAnsi="Times New Roman" w:eastAsia="Times New Roman" w:cs="Times New Roman"/>
          <w:sz w:val="24"/>
          <w:szCs w:val="24"/>
        </w:rPr>
        <w:t xml:space="preserve">he use of </w:t>
      </w:r>
      <w:r>
        <w:rPr>
          <w:rFonts w:ascii="Times New Roman" w:hAnsi="Times New Roman" w:eastAsia="Times New Roman" w:cs="Times New Roman"/>
          <w:sz w:val="24"/>
          <w:szCs w:val="24"/>
        </w:rPr>
        <w:t>the Automated Export System</w:t>
      </w:r>
      <w:r w:rsidR="001E222E">
        <w:rPr>
          <w:rFonts w:ascii="Times New Roman" w:hAnsi="Times New Roman" w:eastAsia="Times New Roman" w:cs="Times New Roman"/>
          <w:sz w:val="24"/>
          <w:szCs w:val="24"/>
        </w:rPr>
        <w:t xml:space="preserve"> (AES)</w:t>
      </w:r>
      <w:r w:rsidR="00844F25">
        <w:rPr>
          <w:rFonts w:ascii="Times New Roman" w:hAnsi="Times New Roman" w:eastAsia="Times New Roman" w:cs="Times New Roman"/>
          <w:sz w:val="24"/>
          <w:szCs w:val="24"/>
        </w:rPr>
        <w:t>, part of the International Trade Data System,</w:t>
      </w:r>
      <w:r>
        <w:rPr>
          <w:rFonts w:ascii="Times New Roman" w:hAnsi="Times New Roman" w:eastAsia="Times New Roman" w:cs="Times New Roman"/>
          <w:sz w:val="24"/>
          <w:szCs w:val="24"/>
        </w:rPr>
        <w:t xml:space="preserve"> </w:t>
      </w:r>
      <w:r w:rsidR="00F86EA7">
        <w:rPr>
          <w:rFonts w:ascii="Times New Roman" w:hAnsi="Times New Roman" w:eastAsia="Times New Roman" w:cs="Times New Roman"/>
          <w:sz w:val="24"/>
          <w:szCs w:val="24"/>
        </w:rPr>
        <w:t>for recordkee</w:t>
      </w:r>
      <w:r w:rsidR="00F86EA7">
        <w:rPr>
          <w:rFonts w:ascii="Times New Roman" w:hAnsi="Times New Roman" w:eastAsia="Times New Roman" w:cs="Times New Roman"/>
          <w:spacing w:val="-1"/>
          <w:sz w:val="24"/>
          <w:szCs w:val="24"/>
        </w:rPr>
        <w:t>p</w:t>
      </w:r>
      <w:r w:rsidR="00F86EA7">
        <w:rPr>
          <w:rFonts w:ascii="Times New Roman" w:hAnsi="Times New Roman" w:eastAsia="Times New Roman" w:cs="Times New Roman"/>
          <w:sz w:val="24"/>
          <w:szCs w:val="24"/>
        </w:rPr>
        <w:t>i</w:t>
      </w:r>
      <w:r w:rsidR="00F86EA7">
        <w:rPr>
          <w:rFonts w:ascii="Times New Roman" w:hAnsi="Times New Roman" w:eastAsia="Times New Roman" w:cs="Times New Roman"/>
          <w:spacing w:val="-1"/>
          <w:sz w:val="24"/>
          <w:szCs w:val="24"/>
        </w:rPr>
        <w:t>n</w:t>
      </w:r>
      <w:r w:rsidR="00F86EA7">
        <w:rPr>
          <w:rFonts w:ascii="Times New Roman" w:hAnsi="Times New Roman" w:eastAsia="Times New Roman" w:cs="Times New Roman"/>
          <w:sz w:val="24"/>
          <w:szCs w:val="24"/>
        </w:rPr>
        <w:t xml:space="preserve">g and data retrieval by </w:t>
      </w:r>
      <w:r w:rsidR="00F86EA7">
        <w:rPr>
          <w:rFonts w:ascii="Times New Roman" w:hAnsi="Times New Roman" w:eastAsia="Times New Roman" w:cs="Times New Roman"/>
          <w:spacing w:val="-2"/>
          <w:sz w:val="24"/>
          <w:szCs w:val="24"/>
        </w:rPr>
        <w:t>m</w:t>
      </w:r>
      <w:r w:rsidR="00F86EA7">
        <w:rPr>
          <w:rFonts w:ascii="Times New Roman" w:hAnsi="Times New Roman" w:eastAsia="Times New Roman" w:cs="Times New Roman"/>
          <w:spacing w:val="2"/>
          <w:sz w:val="24"/>
          <w:szCs w:val="24"/>
        </w:rPr>
        <w:t>a</w:t>
      </w:r>
      <w:r w:rsidR="00F86EA7">
        <w:rPr>
          <w:rFonts w:ascii="Times New Roman" w:hAnsi="Times New Roman" w:eastAsia="Times New Roman" w:cs="Times New Roman"/>
          <w:sz w:val="24"/>
          <w:szCs w:val="24"/>
        </w:rPr>
        <w:t>ny business entities facilitates the generation of necessary infor</w:t>
      </w:r>
      <w:r w:rsidR="00F86EA7">
        <w:rPr>
          <w:rFonts w:ascii="Times New Roman" w:hAnsi="Times New Roman" w:eastAsia="Times New Roman" w:cs="Times New Roman"/>
          <w:spacing w:val="-2"/>
          <w:sz w:val="24"/>
          <w:szCs w:val="24"/>
        </w:rPr>
        <w:t>m</w:t>
      </w:r>
      <w:r w:rsidR="00F86EA7">
        <w:rPr>
          <w:rFonts w:ascii="Times New Roman" w:hAnsi="Times New Roman" w:eastAsia="Times New Roman" w:cs="Times New Roman"/>
          <w:sz w:val="24"/>
          <w:szCs w:val="24"/>
        </w:rPr>
        <w:t>at</w:t>
      </w:r>
      <w:r w:rsidR="00F86EA7">
        <w:rPr>
          <w:rFonts w:ascii="Times New Roman" w:hAnsi="Times New Roman" w:eastAsia="Times New Roman" w:cs="Times New Roman"/>
          <w:spacing w:val="-1"/>
          <w:sz w:val="24"/>
          <w:szCs w:val="24"/>
        </w:rPr>
        <w:t>i</w:t>
      </w:r>
      <w:r w:rsidR="00F86EA7">
        <w:rPr>
          <w:rFonts w:ascii="Times New Roman" w:hAnsi="Times New Roman" w:eastAsia="Times New Roman" w:cs="Times New Roman"/>
          <w:sz w:val="24"/>
          <w:szCs w:val="24"/>
        </w:rPr>
        <w:t>on.</w:t>
      </w:r>
    </w:p>
    <w:p w:rsidR="00BA33E4" w:rsidP="00F86EA7" w:rsidRDefault="00BA33E4" w14:paraId="68ECBAAB" w14:textId="77777777">
      <w:pPr>
        <w:spacing w:after="0" w:line="240" w:lineRule="auto"/>
        <w:ind w:left="120" w:right="73"/>
        <w:rPr>
          <w:rFonts w:ascii="Times New Roman" w:hAnsi="Times New Roman" w:eastAsia="Times New Roman" w:cs="Times New Roman"/>
          <w:sz w:val="24"/>
          <w:szCs w:val="24"/>
        </w:rPr>
      </w:pPr>
    </w:p>
    <w:p w:rsidRPr="00BA33E4" w:rsidR="00BA33E4" w:rsidP="00BA33E4" w:rsidRDefault="00BA33E4" w14:paraId="5FCE6AD6" w14:textId="70A61CCA">
      <w:pPr>
        <w:rPr>
          <w:rFonts w:ascii="Times New Roman" w:hAnsi="Times New Roman" w:cs="Times New Roman"/>
          <w:sz w:val="24"/>
          <w:szCs w:val="24"/>
        </w:rPr>
      </w:pPr>
      <w:r>
        <w:rPr>
          <w:rFonts w:ascii="Times New Roman" w:hAnsi="Times New Roman" w:cs="Times New Roman"/>
          <w:color w:val="000000"/>
          <w:sz w:val="24"/>
          <w:szCs w:val="24"/>
        </w:rPr>
        <w:t xml:space="preserve">FEMA would require a letter of attestation regarding the Export of Certain Scarce or Threatened Medical Resources be submitted to FEMA via CPB’s document imaging system, certifying to FEMA the purpose of the shipment of covered materials.  The required elements of a letter of attestation </w:t>
      </w:r>
      <w:r>
        <w:rPr>
          <w:rFonts w:ascii="Times New Roman" w:hAnsi="Times New Roman" w:eastAsia="Times New Roman" w:cs="Times New Roman"/>
          <w:sz w:val="24"/>
          <w:szCs w:val="24"/>
        </w:rPr>
        <w:t xml:space="preserve">is currently available via the Internet from the FEMA DPA website </w:t>
      </w:r>
      <w:hyperlink w:history="1" r:id="rId8">
        <w:r w:rsidRPr="00CC0954">
          <w:rPr>
            <w:rStyle w:val="Hyperlink"/>
            <w:rFonts w:ascii="Times New Roman" w:hAnsi="Times New Roman" w:eastAsia="Times New Roman" w:cs="Times New Roman"/>
            <w:i/>
            <w:iCs/>
            <w:sz w:val="24"/>
            <w:szCs w:val="24"/>
          </w:rPr>
          <w:t>https://www.fema.gov/defense-production-act-program</w:t>
        </w:r>
      </w:hyperlink>
      <w:r w:rsidR="00F058F1">
        <w:rPr>
          <w:rStyle w:val="Hyperlink"/>
          <w:rFonts w:ascii="Times New Roman" w:hAnsi="Times New Roman" w:eastAsia="Times New Roman" w:cs="Times New Roman"/>
          <w:i/>
          <w:iCs/>
          <w:sz w:val="24"/>
          <w:szCs w:val="24"/>
        </w:rPr>
        <w:t>.</w:t>
      </w:r>
    </w:p>
    <w:p w:rsidR="00F86EA7" w:rsidP="00F86EA7" w:rsidRDefault="00F86EA7" w14:paraId="3F133481" w14:textId="17ECAE2C">
      <w:pPr>
        <w:spacing w:after="0" w:line="240" w:lineRule="auto"/>
        <w:ind w:left="120" w:right="73"/>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 </w:t>
      </w:r>
    </w:p>
    <w:p w:rsidRPr="006625E7" w:rsidR="00562915" w:rsidP="00562915" w:rsidRDefault="00562915" w14:paraId="737DF9DE" w14:textId="77777777">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 xml:space="preserve">4.  Describe efforts to identify duplication.   Show specifically why any similar information already available cannot be used or modified for use for the purposes described in Item 2 above.  </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8B19F1" w:rsidR="008B19F1" w:rsidP="008B19F1" w:rsidRDefault="008B19F1" w14:paraId="7F909094" w14:textId="22A08366">
      <w:pPr>
        <w:rPr>
          <w:rFonts w:ascii="Times New Roman" w:hAnsi="Times New Roman" w:cs="Times New Roman"/>
          <w:sz w:val="24"/>
          <w:szCs w:val="24"/>
        </w:rPr>
      </w:pPr>
      <w:r w:rsidRPr="008B19F1">
        <w:rPr>
          <w:rFonts w:ascii="Times New Roman" w:hAnsi="Times New Roman" w:cs="Times New Roman"/>
          <w:sz w:val="24"/>
          <w:szCs w:val="24"/>
        </w:rPr>
        <w:t xml:space="preserve">The </w:t>
      </w:r>
      <w:r w:rsidR="00844F25">
        <w:rPr>
          <w:rFonts w:ascii="Times New Roman" w:hAnsi="Times New Roman" w:cs="Times New Roman"/>
          <w:sz w:val="24"/>
          <w:szCs w:val="24"/>
        </w:rPr>
        <w:t>exporter</w:t>
      </w:r>
      <w:r w:rsidR="0088641A">
        <w:rPr>
          <w:rFonts w:ascii="Times New Roman" w:hAnsi="Times New Roman" w:cs="Times New Roman"/>
          <w:sz w:val="24"/>
          <w:szCs w:val="24"/>
        </w:rPr>
        <w:t xml:space="preserve"> </w:t>
      </w:r>
      <w:r w:rsidR="00844F25">
        <w:rPr>
          <w:rFonts w:ascii="Times New Roman" w:hAnsi="Times New Roman" w:cs="Times New Roman"/>
          <w:sz w:val="24"/>
          <w:szCs w:val="24"/>
        </w:rPr>
        <w:t>is</w:t>
      </w:r>
      <w:r w:rsidRPr="008B19F1">
        <w:rPr>
          <w:rFonts w:ascii="Times New Roman" w:hAnsi="Times New Roman" w:cs="Times New Roman"/>
          <w:sz w:val="24"/>
          <w:szCs w:val="24"/>
        </w:rPr>
        <w:t xml:space="preserve"> the only known source of this information. </w:t>
      </w:r>
      <w:r>
        <w:rPr>
          <w:rFonts w:ascii="Times New Roman" w:hAnsi="Times New Roman" w:cs="Times New Roman"/>
          <w:sz w:val="24"/>
          <w:szCs w:val="24"/>
        </w:rPr>
        <w:t xml:space="preserve"> </w:t>
      </w:r>
      <w:r w:rsidRPr="008B19F1">
        <w:rPr>
          <w:rFonts w:ascii="Times New Roman" w:hAnsi="Times New Roman" w:cs="Times New Roman"/>
          <w:sz w:val="24"/>
          <w:szCs w:val="24"/>
        </w:rPr>
        <w:t>There is no similar information available.</w:t>
      </w:r>
    </w:p>
    <w:p w:rsidRPr="006625E7" w:rsidR="00562915" w:rsidP="002B2B7C" w:rsidRDefault="00562915" w14:paraId="4EFCD014" w14:textId="77777777">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5.  </w:t>
      </w:r>
      <w:r w:rsidRPr="006625E7">
        <w:rPr>
          <w:rFonts w:ascii="Times New Roman" w:hAnsi="Times New Roman" w:cs="Times New Roman"/>
          <w:b/>
          <w:bCs/>
          <w:sz w:val="24"/>
          <w:szCs w:val="24"/>
        </w:rPr>
        <w:tab/>
        <w:t>If the collection of information impacts small businesses or other small entities (Item 5 of OMB Form 83-I), describe any methods used to minimize.</w:t>
      </w:r>
    </w:p>
    <w:p w:rsidRPr="006625E7" w:rsidR="002B2B7C" w:rsidP="002B2B7C" w:rsidRDefault="00BA33E4" w14:paraId="53C75F23" w14:textId="02DD98C8">
      <w:pPr>
        <w:tabs>
          <w:tab w:val="left" w:pos="360"/>
        </w:tabs>
        <w:rPr>
          <w:rFonts w:ascii="Times New Roman" w:hAnsi="Times New Roman" w:cs="Times New Roman"/>
          <w:spacing w:val="-3"/>
          <w:sz w:val="24"/>
          <w:szCs w:val="24"/>
        </w:rPr>
      </w:pPr>
      <w:r>
        <w:rPr>
          <w:rFonts w:ascii="Times New Roman" w:hAnsi="Times New Roman" w:cs="Times New Roman"/>
          <w:spacing w:val="-3"/>
          <w:sz w:val="24"/>
          <w:szCs w:val="24"/>
        </w:rPr>
        <w:t>There is no method used to minimize</w:t>
      </w:r>
      <w:r w:rsidR="00844F25">
        <w:rPr>
          <w:rFonts w:ascii="Times New Roman" w:hAnsi="Times New Roman" w:cs="Times New Roman"/>
          <w:spacing w:val="-3"/>
          <w:sz w:val="24"/>
          <w:szCs w:val="24"/>
        </w:rPr>
        <w:t xml:space="preserve">, but the AES system is web accessible and does not require capital investment beyond those needed for general business facilitation to file. </w:t>
      </w:r>
    </w:p>
    <w:p w:rsidRPr="006625E7" w:rsidR="00562915" w:rsidP="00562915" w:rsidRDefault="00562915" w14:paraId="2299B3AF"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6.  Describe the consequence to Federal/FEMA program or policy activities if the collection of information is not </w:t>
      </w:r>
      <w:proofErr w:type="gramStart"/>
      <w:r w:rsidRPr="006625E7">
        <w:rPr>
          <w:rFonts w:ascii="Times New Roman" w:hAnsi="Times New Roman" w:cs="Times New Roman"/>
          <w:b/>
          <w:bCs/>
          <w:sz w:val="24"/>
          <w:szCs w:val="24"/>
        </w:rPr>
        <w:t>conducted, or</w:t>
      </w:r>
      <w:proofErr w:type="gramEnd"/>
      <w:r w:rsidRPr="006625E7">
        <w:rPr>
          <w:rFonts w:ascii="Times New Roman" w:hAnsi="Times New Roman" w:cs="Times New Roman"/>
          <w:b/>
          <w:bCs/>
          <w:sz w:val="24"/>
          <w:szCs w:val="24"/>
        </w:rPr>
        <w:t xml:space="preserve"> is conducted less frequently as well as any technical or legal obstacles to reducing burden.  </w:t>
      </w:r>
    </w:p>
    <w:p w:rsidR="00DB6045" w:rsidP="00562915" w:rsidRDefault="00A5517C" w14:paraId="7A428D9E" w14:textId="7F795E82">
      <w:pPr>
        <w:rPr>
          <w:rFonts w:ascii="Times New Roman" w:hAnsi="Times New Roman" w:cs="Times New Roman"/>
          <w:spacing w:val="-3"/>
          <w:sz w:val="24"/>
          <w:szCs w:val="24"/>
        </w:rPr>
      </w:pPr>
      <w:r>
        <w:rPr>
          <w:rFonts w:ascii="Times New Roman" w:hAnsi="Times New Roman" w:cs="Times New Roman"/>
          <w:spacing w:val="-3"/>
          <w:sz w:val="24"/>
          <w:szCs w:val="24"/>
        </w:rPr>
        <w:lastRenderedPageBreak/>
        <w:t xml:space="preserve"> </w:t>
      </w:r>
    </w:p>
    <w:p w:rsidR="00DB6045" w:rsidP="00562915" w:rsidRDefault="00DB6045" w14:paraId="3D8CA789" w14:textId="4DE93B12">
      <w:pPr>
        <w:rPr>
          <w:rFonts w:ascii="Times New Roman" w:hAnsi="Times New Roman" w:cs="Times New Roman"/>
          <w:spacing w:val="-3"/>
          <w:sz w:val="24"/>
          <w:szCs w:val="24"/>
        </w:rPr>
      </w:pPr>
      <w:r>
        <w:rPr>
          <w:rFonts w:ascii="Times New Roman" w:hAnsi="Times New Roman" w:cs="Times New Roman"/>
          <w:spacing w:val="-3"/>
          <w:sz w:val="24"/>
          <w:szCs w:val="24"/>
        </w:rPr>
        <w:t>Failure to collect this information would severely limit, or altogether prohibit, FEMA’s ability to carry out the April 3</w:t>
      </w:r>
      <w:r w:rsidRPr="00DE251E">
        <w:rPr>
          <w:rFonts w:ascii="Times New Roman" w:hAnsi="Times New Roman" w:cs="Times New Roman"/>
          <w:spacing w:val="-3"/>
          <w:sz w:val="24"/>
          <w:szCs w:val="24"/>
          <w:vertAlign w:val="superscript"/>
        </w:rPr>
        <w:t>rd</w:t>
      </w:r>
      <w:r>
        <w:rPr>
          <w:rFonts w:ascii="Times New Roman" w:hAnsi="Times New Roman" w:cs="Times New Roman"/>
          <w:spacing w:val="-3"/>
          <w:sz w:val="24"/>
          <w:szCs w:val="24"/>
        </w:rPr>
        <w:t xml:space="preserve"> Presidential Memorandum and subsequent allocation order.</w:t>
      </w:r>
    </w:p>
    <w:p w:rsidR="00DB6045" w:rsidP="009156B1" w:rsidRDefault="00DB6045" w14:paraId="11A5E4CC" w14:textId="275BD9D9">
      <w:pPr>
        <w:rPr>
          <w:rFonts w:ascii="Times New Roman" w:hAnsi="Times New Roman" w:cs="Times New Roman"/>
          <w:spacing w:val="-3"/>
          <w:sz w:val="24"/>
          <w:szCs w:val="24"/>
        </w:rPr>
      </w:pPr>
      <w:r>
        <w:rPr>
          <w:rFonts w:ascii="Times New Roman" w:hAnsi="Times New Roman" w:cs="Times New Roman"/>
          <w:spacing w:val="-3"/>
          <w:sz w:val="24"/>
          <w:szCs w:val="24"/>
        </w:rPr>
        <w:t>In order to implement the order, FEMA and CBP must identify shipments of covered materials that are scheduled for export, and determin</w:t>
      </w:r>
      <w:r w:rsidR="009156B1">
        <w:rPr>
          <w:rFonts w:ascii="Times New Roman" w:hAnsi="Times New Roman" w:cs="Times New Roman"/>
          <w:spacing w:val="-3"/>
          <w:sz w:val="24"/>
          <w:szCs w:val="24"/>
        </w:rPr>
        <w:t xml:space="preserve">e whether it is in the national defense interest for the export to proceed as planned, or whether the national defense interest is better served by FEMA purchase of the materials, or by return of the materials for domestic distribution. In order to make this determination, FEMA needs to obtain information about the shipment’s purpose which is not otherwise available. </w:t>
      </w:r>
    </w:p>
    <w:p w:rsidRPr="006625E7" w:rsidR="00562915" w:rsidP="00562915" w:rsidRDefault="009156B1" w14:paraId="71CAB628" w14:textId="6E2B97C3">
      <w:pPr>
        <w:rPr>
          <w:rFonts w:ascii="Times New Roman" w:hAnsi="Times New Roman" w:cs="Times New Roman"/>
          <w:b/>
          <w:bCs/>
          <w:sz w:val="24"/>
          <w:szCs w:val="24"/>
        </w:rPr>
      </w:pPr>
      <w:r>
        <w:rPr>
          <w:rFonts w:ascii="Times New Roman" w:hAnsi="Times New Roman" w:cs="Times New Roman"/>
          <w:spacing w:val="-3"/>
          <w:sz w:val="24"/>
          <w:szCs w:val="24"/>
        </w:rPr>
        <w:t xml:space="preserve">FEMA believes that the least burdensome way to obtain this information is to request a letter of attestation verifying certain details about the shipment – for instance, that the materials are being exported for assembly abroad and return to the U.S. for sale, or that the materials are planned for donation abroad. There is no less burdensome way to collect this information. Without this information, FEMA cannot make the necessary national defense determinations needed to carry out the Presidential Memorandum or subsequent order. </w:t>
      </w:r>
      <w:r w:rsidRPr="006625E7" w:rsidR="00562915">
        <w:rPr>
          <w:rFonts w:ascii="Times New Roman" w:hAnsi="Times New Roman" w:cs="Times New Roman"/>
          <w:b/>
          <w:bCs/>
          <w:sz w:val="24"/>
          <w:szCs w:val="24"/>
        </w:rPr>
        <w:fldChar w:fldCharType="begin"/>
      </w:r>
      <w:r w:rsidRPr="006625E7" w:rsidR="00562915">
        <w:rPr>
          <w:rFonts w:ascii="Times New Roman" w:hAnsi="Times New Roman" w:cs="Times New Roman"/>
          <w:b/>
          <w:bCs/>
          <w:sz w:val="24"/>
          <w:szCs w:val="24"/>
        </w:rPr>
        <w:instrText>ADVANCE \R 0.95</w:instrText>
      </w:r>
      <w:r w:rsidRPr="006625E7" w:rsidR="00562915">
        <w:rPr>
          <w:rFonts w:ascii="Times New Roman" w:hAnsi="Times New Roman" w:cs="Times New Roman"/>
          <w:b/>
          <w:bCs/>
          <w:sz w:val="24"/>
          <w:szCs w:val="24"/>
        </w:rPr>
        <w:fldChar w:fldCharType="end"/>
      </w:r>
      <w:r w:rsidRPr="006625E7" w:rsidR="00562915">
        <w:rPr>
          <w:rFonts w:ascii="Times New Roman" w:hAnsi="Times New Roman" w:cs="Times New Roman"/>
          <w:b/>
          <w:bCs/>
          <w:sz w:val="24"/>
          <w:szCs w:val="24"/>
        </w:rPr>
        <w:t>7.  Explain any special circumstances that would cause an information collection to be conducted in a manner:</w:t>
      </w:r>
    </w:p>
    <w:p w:rsidRPr="006625E7" w:rsidR="00562915" w:rsidP="00562915" w:rsidRDefault="00562915" w14:paraId="08BB16BE" w14:textId="77777777">
      <w:pPr>
        <w:numPr>
          <w:ilvl w:val="0"/>
          <w:numId w:val="2"/>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Requiring respondents to report information to the agency more</w:t>
      </w:r>
      <w:r w:rsidRPr="006625E7" w:rsidR="002B2B7C">
        <w:rPr>
          <w:rFonts w:ascii="Times New Roman" w:hAnsi="Times New Roman" w:cs="Times New Roman"/>
          <w:b/>
          <w:bCs/>
          <w:sz w:val="24"/>
          <w:szCs w:val="24"/>
        </w:rPr>
        <w:t xml:space="preserve"> </w:t>
      </w:r>
      <w:r w:rsidRPr="006625E7">
        <w:rPr>
          <w:rFonts w:ascii="Times New Roman" w:hAnsi="Times New Roman" w:cs="Times New Roman"/>
          <w:b/>
          <w:bCs/>
          <w:sz w:val="24"/>
          <w:szCs w:val="24"/>
        </w:rPr>
        <w:t>often than quarterly.</w:t>
      </w:r>
    </w:p>
    <w:p w:rsidRPr="006625E7" w:rsidR="002B2B7C" w:rsidP="002B2B7C" w:rsidRDefault="002B2B7C" w14:paraId="0C643465" w14:textId="77777777">
      <w:pPr>
        <w:spacing w:after="0" w:line="240" w:lineRule="auto"/>
        <w:ind w:left="1080"/>
        <w:rPr>
          <w:rFonts w:ascii="Times New Roman" w:hAnsi="Times New Roman" w:cs="Times New Roman"/>
          <w:b/>
          <w:bCs/>
          <w:sz w:val="24"/>
          <w:szCs w:val="24"/>
        </w:rPr>
      </w:pPr>
    </w:p>
    <w:p w:rsidRPr="006625E7" w:rsidR="00562915" w:rsidP="00562915" w:rsidRDefault="00562915" w14:paraId="7B3AB119" w14:textId="77777777">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Requiring respondents to prepare a written response to a</w:t>
      </w:r>
      <w:r w:rsidRPr="006625E7" w:rsidR="002B2B7C">
        <w:rPr>
          <w:rFonts w:ascii="Times New Roman" w:hAnsi="Times New Roman" w:cs="Times New Roman"/>
          <w:b/>
          <w:bCs/>
          <w:sz w:val="24"/>
          <w:szCs w:val="24"/>
        </w:rPr>
        <w:t xml:space="preserve"> </w:t>
      </w:r>
      <w:r w:rsidRPr="006625E7">
        <w:rPr>
          <w:rFonts w:ascii="Times New Roman" w:hAnsi="Times New Roman" w:cs="Times New Roman"/>
          <w:b/>
          <w:bCs/>
          <w:sz w:val="24"/>
          <w:szCs w:val="24"/>
        </w:rPr>
        <w:t>collection of information in fewer than 30 days after receipt of it.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6625E7" w:rsidR="00562915" w:rsidP="00562915" w:rsidRDefault="00562915" w14:paraId="15A904F2" w14:textId="77777777">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submit more than an original and two</w:t>
      </w:r>
    </w:p>
    <w:p w:rsidRPr="006625E7" w:rsidR="00562915" w:rsidP="00562915" w:rsidRDefault="00562915" w14:paraId="102F6AF2" w14:textId="77777777">
      <w:pPr>
        <w:rPr>
          <w:rFonts w:ascii="Times New Roman" w:hAnsi="Times New Roman" w:cs="Times New Roman"/>
          <w:sz w:val="24"/>
          <w:szCs w:val="24"/>
        </w:rPr>
      </w:pPr>
      <w:r w:rsidRPr="006625E7">
        <w:rPr>
          <w:rFonts w:ascii="Times New Roman" w:hAnsi="Times New Roman" w:cs="Times New Roman"/>
          <w:b/>
          <w:bCs/>
          <w:sz w:val="24"/>
          <w:szCs w:val="24"/>
        </w:rPr>
        <w:t>copies of any document.</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rsidRPr="006625E7" w:rsidR="00562915" w:rsidP="00562915" w:rsidRDefault="00562915" w14:paraId="06266DC8" w14:textId="77777777">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retain records, other than health,</w:t>
      </w:r>
    </w:p>
    <w:p w:rsidRPr="006625E7" w:rsidR="00562915" w:rsidP="00562915" w:rsidRDefault="00562915" w14:paraId="0B4E370D" w14:textId="77777777">
      <w:pPr>
        <w:rPr>
          <w:rFonts w:ascii="Times New Roman" w:hAnsi="Times New Roman" w:cs="Times New Roman"/>
          <w:sz w:val="24"/>
          <w:szCs w:val="24"/>
        </w:rPr>
      </w:pPr>
      <w:r w:rsidRPr="006625E7">
        <w:rPr>
          <w:rFonts w:ascii="Times New Roman" w:hAnsi="Times New Roman" w:cs="Times New Roman"/>
          <w:b/>
          <w:bCs/>
          <w:sz w:val="24"/>
          <w:szCs w:val="24"/>
        </w:rPr>
        <w:t>medical, government contract, grant-in-aid, or tax records for more than three years</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6625E7" w:rsidR="00562915" w:rsidP="00562915" w:rsidRDefault="00562915" w14:paraId="52A29356" w14:textId="77777777">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In connection with a statistical survey, that is not designed to</w:t>
      </w:r>
    </w:p>
    <w:p w:rsidRPr="006625E7" w:rsidR="00562915" w:rsidP="00562915" w:rsidRDefault="00562915" w14:paraId="41FB2B20" w14:textId="77777777">
      <w:pPr>
        <w:rPr>
          <w:rFonts w:ascii="Times New Roman" w:hAnsi="Times New Roman" w:cs="Times New Roman"/>
          <w:sz w:val="24"/>
          <w:szCs w:val="24"/>
        </w:rPr>
      </w:pPr>
      <w:r w:rsidRPr="006625E7">
        <w:rPr>
          <w:rFonts w:ascii="Times New Roman" w:hAnsi="Times New Roman" w:cs="Times New Roman"/>
          <w:b/>
          <w:bCs/>
          <w:sz w:val="24"/>
          <w:szCs w:val="24"/>
        </w:rPr>
        <w:t>produce valid and reliable results that can be generalized to the universe of study</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6625E7" w:rsidR="00562915" w:rsidP="002B2B7C" w:rsidRDefault="00562915" w14:paraId="5BB23F25" w14:textId="77777777">
      <w:p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 xml:space="preserve">(f) Requiring the use of a statistical data classification that has not </w:t>
      </w:r>
    </w:p>
    <w:p w:rsidRPr="006625E7" w:rsidR="00562915" w:rsidP="002B2B7C" w:rsidRDefault="00562915" w14:paraId="602D4415" w14:textId="77777777">
      <w:p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t>been reviewed and approved by OMB.</w:t>
      </w:r>
    </w:p>
    <w:p w:rsidRPr="006625E7" w:rsidR="002B2B7C" w:rsidP="002B2B7C" w:rsidRDefault="002B2B7C" w14:paraId="4399CB12" w14:textId="77777777">
      <w:pPr>
        <w:spacing w:after="0" w:line="240" w:lineRule="auto"/>
        <w:rPr>
          <w:rFonts w:ascii="Times New Roman" w:hAnsi="Times New Roman" w:cs="Times New Roman"/>
          <w:sz w:val="24"/>
          <w:szCs w:val="24"/>
        </w:rPr>
      </w:pPr>
    </w:p>
    <w:p w:rsidRPr="006625E7" w:rsidR="00562915" w:rsidP="00562915" w:rsidRDefault="00562915" w14:paraId="7E104B86" w14:textId="77777777">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(g) That includes a pledge of confidentiality that is not supported by</w:t>
      </w:r>
      <w:r w:rsidRPr="006625E7" w:rsidR="002B2B7C">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authority established in statute or regulation, that is not supported by </w:t>
      </w:r>
      <w:r w:rsidRPr="006625E7">
        <w:rPr>
          <w:rFonts w:ascii="Times New Roman" w:hAnsi="Times New Roman" w:cs="Times New Roman"/>
          <w:b/>
          <w:bCs/>
          <w:sz w:val="24"/>
          <w:szCs w:val="24"/>
        </w:rPr>
        <w:tab/>
        <w:t>disclosure and data security policies that are consistent with the pledge, or which unnecessarily impedes sharing of data with other agencies for compatible confidential use.</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6625E7" w:rsidR="00562915" w:rsidP="00562915" w:rsidRDefault="00562915" w14:paraId="522E59A7" w14:textId="77777777">
      <w:pPr>
        <w:rPr>
          <w:rFonts w:ascii="Times New Roman" w:hAnsi="Times New Roman" w:cs="Times New Roman"/>
          <w:sz w:val="24"/>
          <w:szCs w:val="24"/>
        </w:rPr>
      </w:pPr>
      <w:r w:rsidRPr="006625E7">
        <w:rPr>
          <w:rFonts w:ascii="Times New Roman" w:hAnsi="Times New Roman" w:cs="Times New Roman"/>
          <w:sz w:val="24"/>
          <w:szCs w:val="24"/>
        </w:rPr>
        <w:lastRenderedPageBreak/>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(h) Requiring respondents to submit proprietary trade secret, or other confidential information unless the agency can demonstrate that it has instituted procedures to protect the information’s confidentiality to the extent permitted by law.</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2B2B7C" w:rsidP="008B19F1" w:rsidRDefault="008B19F1" w14:paraId="57322CD0" w14:textId="74B4AF48">
      <w:pPr>
        <w:spacing w:after="0" w:line="240" w:lineRule="auto"/>
        <w:ind w:left="120" w:right="296"/>
        <w:rPr>
          <w:rFonts w:ascii="Times New Roman" w:hAnsi="Times New Roman" w:eastAsia="Times New Roman" w:cs="Times New Roman"/>
          <w:sz w:val="24"/>
          <w:szCs w:val="24"/>
        </w:rPr>
      </w:pPr>
      <w:r>
        <w:rPr>
          <w:rFonts w:ascii="Times New Roman" w:hAnsi="Times New Roman" w:eastAsia="Times New Roman" w:cs="Times New Roman"/>
          <w:sz w:val="24"/>
          <w:szCs w:val="24"/>
        </w:rPr>
        <w:t>There are no</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special circu</w:t>
      </w:r>
      <w:r>
        <w:rPr>
          <w:rFonts w:ascii="Times New Roman" w:hAnsi="Times New Roman" w:eastAsia="Times New Roman" w:cs="Times New Roman"/>
          <w:spacing w:val="-2"/>
          <w:sz w:val="24"/>
          <w:szCs w:val="24"/>
        </w:rPr>
        <w:t>m</w:t>
      </w:r>
      <w:r>
        <w:rPr>
          <w:rFonts w:ascii="Times New Roman" w:hAnsi="Times New Roman" w:eastAsia="Times New Roman" w:cs="Times New Roman"/>
          <w:sz w:val="24"/>
          <w:szCs w:val="24"/>
        </w:rPr>
        <w:t>stances that req</w:t>
      </w:r>
      <w:r>
        <w:rPr>
          <w:rFonts w:ascii="Times New Roman" w:hAnsi="Times New Roman" w:eastAsia="Times New Roman" w:cs="Times New Roman"/>
          <w:spacing w:val="-1"/>
          <w:sz w:val="24"/>
          <w:szCs w:val="24"/>
        </w:rPr>
        <w:t>u</w:t>
      </w:r>
      <w:r>
        <w:rPr>
          <w:rFonts w:ascii="Times New Roman" w:hAnsi="Times New Roman" w:eastAsia="Times New Roman" w:cs="Times New Roman"/>
          <w:sz w:val="24"/>
          <w:szCs w:val="24"/>
        </w:rPr>
        <w:t>ire</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the in</w:t>
      </w:r>
      <w:r>
        <w:rPr>
          <w:rFonts w:ascii="Times New Roman" w:hAnsi="Times New Roman" w:eastAsia="Times New Roman" w:cs="Times New Roman"/>
          <w:spacing w:val="-1"/>
          <w:sz w:val="24"/>
          <w:szCs w:val="24"/>
        </w:rPr>
        <w:t>f</w:t>
      </w:r>
      <w:r>
        <w:rPr>
          <w:rFonts w:ascii="Times New Roman" w:hAnsi="Times New Roman" w:eastAsia="Times New Roman" w:cs="Times New Roman"/>
          <w:sz w:val="24"/>
          <w:szCs w:val="24"/>
        </w:rPr>
        <w:t>or</w:t>
      </w:r>
      <w:r>
        <w:rPr>
          <w:rFonts w:ascii="Times New Roman" w:hAnsi="Times New Roman" w:eastAsia="Times New Roman" w:cs="Times New Roman"/>
          <w:spacing w:val="-2"/>
          <w:sz w:val="24"/>
          <w:szCs w:val="24"/>
        </w:rPr>
        <w:t>m</w:t>
      </w:r>
      <w:r>
        <w:rPr>
          <w:rFonts w:ascii="Times New Roman" w:hAnsi="Times New Roman" w:eastAsia="Times New Roman" w:cs="Times New Roman"/>
          <w:sz w:val="24"/>
          <w:szCs w:val="24"/>
        </w:rPr>
        <w:t>ation coll</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cti</w:t>
      </w:r>
      <w:r>
        <w:rPr>
          <w:rFonts w:ascii="Times New Roman" w:hAnsi="Times New Roman" w:eastAsia="Times New Roman" w:cs="Times New Roman"/>
          <w:spacing w:val="-1"/>
          <w:sz w:val="24"/>
          <w:szCs w:val="24"/>
        </w:rPr>
        <w:t>o</w:t>
      </w:r>
      <w:r>
        <w:rPr>
          <w:rFonts w:ascii="Times New Roman" w:hAnsi="Times New Roman" w:eastAsia="Times New Roman" w:cs="Times New Roman"/>
          <w:sz w:val="24"/>
          <w:szCs w:val="24"/>
        </w:rPr>
        <w:t>n</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 xml:space="preserve">to be conducted in a </w:t>
      </w:r>
      <w:r>
        <w:rPr>
          <w:rFonts w:ascii="Times New Roman" w:hAnsi="Times New Roman" w:eastAsia="Times New Roman" w:cs="Times New Roman"/>
          <w:spacing w:val="-2"/>
          <w:sz w:val="24"/>
          <w:szCs w:val="24"/>
        </w:rPr>
        <w:t>m</w:t>
      </w:r>
      <w:r>
        <w:rPr>
          <w:rFonts w:ascii="Times New Roman" w:hAnsi="Times New Roman" w:eastAsia="Times New Roman" w:cs="Times New Roman"/>
          <w:sz w:val="24"/>
          <w:szCs w:val="24"/>
        </w:rPr>
        <w:t>anner inconsistent with the guidelines in 5 CFR 1320.6</w:t>
      </w:r>
      <w:r w:rsidRPr="008B19F1">
        <w:rPr>
          <w:rFonts w:ascii="Times New Roman" w:hAnsi="Times New Roman" w:cs="Times New Roman"/>
          <w:sz w:val="24"/>
          <w:szCs w:val="24"/>
        </w:rPr>
        <w:t>.</w:t>
      </w:r>
      <w:r w:rsidRPr="008B19F1">
        <w:rPr>
          <w:rFonts w:ascii="Times New Roman" w:hAnsi="Times New Roman" w:cs="Times New Roman"/>
          <w:sz w:val="24"/>
          <w:szCs w:val="24"/>
        </w:rPr>
        <w:fldChar w:fldCharType="begin"/>
      </w:r>
      <w:r w:rsidRPr="008B19F1">
        <w:rPr>
          <w:rFonts w:ascii="Times New Roman" w:hAnsi="Times New Roman" w:cs="Times New Roman"/>
          <w:sz w:val="24"/>
          <w:szCs w:val="24"/>
        </w:rPr>
        <w:instrText>ADVANCE \R 0.95</w:instrText>
      </w:r>
      <w:r w:rsidRPr="008B19F1">
        <w:rPr>
          <w:rFonts w:ascii="Times New Roman" w:hAnsi="Times New Roman" w:cs="Times New Roman"/>
          <w:sz w:val="24"/>
          <w:szCs w:val="24"/>
        </w:rPr>
        <w:fldChar w:fldCharType="end"/>
      </w:r>
    </w:p>
    <w:p w:rsidRPr="006625E7" w:rsidR="008B19F1" w:rsidP="008B19F1" w:rsidRDefault="008B19F1" w14:paraId="727FA58B" w14:textId="77777777">
      <w:pPr>
        <w:spacing w:after="0" w:line="240" w:lineRule="auto"/>
        <w:ind w:left="120" w:right="296"/>
        <w:rPr>
          <w:rFonts w:ascii="Times New Roman" w:hAnsi="Times New Roman" w:cs="Times New Roman"/>
          <w:sz w:val="24"/>
          <w:szCs w:val="24"/>
        </w:rPr>
      </w:pPr>
    </w:p>
    <w:p w:rsidRPr="006625E7" w:rsidR="00562915" w:rsidP="00562915" w:rsidRDefault="00562915" w14:paraId="3AEE1CE7"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8.  Federal Register Notice: </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rsidR="00562915" w:rsidP="00562915" w:rsidRDefault="00562915" w14:paraId="5BD78EA0" w14:textId="765E947D">
      <w:pPr>
        <w:rPr>
          <w:rFonts w:ascii="Times New Roman" w:hAnsi="Times New Roman" w:cs="Times New Roman"/>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a.   Provide a copy and identify the date and page number of publication in the Federal Register of the agency’s notice soliciting comments on the</w:t>
      </w:r>
      <w:r w:rsidRPr="006625E7" w:rsidR="00BB543D">
        <w:rPr>
          <w:rFonts w:ascii="Times New Roman" w:hAnsi="Times New Roman" w:cs="Times New Roman"/>
          <w:b/>
          <w:bCs/>
          <w:sz w:val="24"/>
          <w:szCs w:val="24"/>
        </w:rPr>
        <w:t xml:space="preserve"> </w:t>
      </w:r>
      <w:r w:rsidRPr="006625E7">
        <w:rPr>
          <w:rFonts w:ascii="Times New Roman" w:hAnsi="Times New Roman" w:cs="Times New Roman"/>
          <w:b/>
          <w:bCs/>
          <w:sz w:val="24"/>
          <w:szCs w:val="24"/>
        </w:rPr>
        <w:t>information collection prior to submission to OMB.  Summarize public comments received in response to that notice and describe actions taken by the agency in response to these comments.  Specifically address comments received on cost and hour burden.</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6625E7" w:rsidR="00844F25" w:rsidP="00562915" w:rsidRDefault="00844F25" w14:paraId="734055F4" w14:textId="31004274">
      <w:pPr>
        <w:rPr>
          <w:rFonts w:ascii="Times New Roman" w:hAnsi="Times New Roman" w:cs="Times New Roman"/>
          <w:sz w:val="24"/>
          <w:szCs w:val="24"/>
        </w:rPr>
      </w:pPr>
      <w:r>
        <w:rPr>
          <w:rFonts w:ascii="Times New Roman" w:hAnsi="Times New Roman" w:cs="Times New Roman"/>
          <w:sz w:val="24"/>
          <w:szCs w:val="24"/>
        </w:rPr>
        <w:t xml:space="preserve">This collection has been submitted as an emergency package and comments were not solicited prior to approval by OMB. </w:t>
      </w:r>
      <w:r w:rsidR="001E222E">
        <w:rPr>
          <w:rFonts w:ascii="Times New Roman" w:hAnsi="Times New Roman" w:cs="Times New Roman"/>
          <w:sz w:val="24"/>
          <w:szCs w:val="24"/>
        </w:rPr>
        <w:t xml:space="preserve"> </w:t>
      </w:r>
      <w:r>
        <w:rPr>
          <w:rFonts w:ascii="Times New Roman" w:hAnsi="Times New Roman" w:cs="Times New Roman"/>
          <w:sz w:val="24"/>
          <w:szCs w:val="24"/>
        </w:rPr>
        <w:t xml:space="preserve">The agency is, however, also pursuing approval under the normal notice and comment process and will publish notice in the Federal Register for comment before receiving an extension of this approval. </w:t>
      </w:r>
    </w:p>
    <w:p w:rsidR="00562915" w:rsidP="002B2B7C" w:rsidRDefault="00562915" w14:paraId="1A59AFE6" w14:textId="37F1377B">
      <w:pPr>
        <w:tabs>
          <w:tab w:val="left" w:pos="360"/>
        </w:tabs>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sz w:val="24"/>
          <w:szCs w:val="24"/>
        </w:rPr>
        <w:tab/>
      </w:r>
      <w:r w:rsidRPr="006625E7">
        <w:rPr>
          <w:rFonts w:ascii="Times New Roman" w:hAnsi="Times New Roman" w:cs="Times New Roman"/>
          <w:b/>
          <w:bCs/>
          <w:sz w:val="24"/>
          <w:szCs w:val="24"/>
        </w:rPr>
        <w:t xml:space="preserve">b.  </w:t>
      </w:r>
      <w:bookmarkStart w:name="_Hlk37305569" w:id="1"/>
      <w:r w:rsidRPr="006625E7">
        <w:rPr>
          <w:rFonts w:ascii="Times New Roman" w:hAnsi="Times New Roman" w:cs="Times New Roman"/>
          <w:b/>
          <w:bCs/>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6625E7" w:rsidR="00844F25" w:rsidP="002B2B7C" w:rsidRDefault="00844F25" w14:paraId="3BEA3A3B" w14:textId="5007B7D4">
      <w:pPr>
        <w:tabs>
          <w:tab w:val="left" w:pos="360"/>
        </w:tabs>
        <w:rPr>
          <w:rFonts w:ascii="Times New Roman" w:hAnsi="Times New Roman" w:cs="Times New Roman"/>
          <w:color w:val="FF0000"/>
          <w:sz w:val="24"/>
          <w:szCs w:val="24"/>
        </w:rPr>
      </w:pPr>
      <w:r>
        <w:rPr>
          <w:rFonts w:ascii="Times New Roman" w:hAnsi="Times New Roman" w:cs="Times New Roman"/>
          <w:b/>
          <w:bCs/>
          <w:sz w:val="24"/>
          <w:szCs w:val="24"/>
        </w:rPr>
        <w:t xml:space="preserve">The agency has consulted with the interagency and with relevant stakeholders to minimize the burden of this collection while providing the maximum flexibility to exporters under the export restrictions. </w:t>
      </w:r>
    </w:p>
    <w:p w:rsidRPr="006625E7" w:rsidR="00562915" w:rsidP="00562915" w:rsidRDefault="00562915" w14:paraId="7DBDBDE1" w14:textId="77777777">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ab/>
      </w:r>
      <w:r w:rsidRPr="006625E7">
        <w:rPr>
          <w:rFonts w:ascii="Times New Roman" w:hAnsi="Times New Roman" w:cs="Times New Roman"/>
          <w:b/>
          <w:bCs/>
          <w:sz w:val="24"/>
          <w:szCs w:val="24"/>
        </w:rPr>
        <w:tab/>
        <w:t>c.  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bookmarkEnd w:id="1"/>
    <w:p w:rsidRPr="006625E7" w:rsidR="00562915" w:rsidP="002768D8" w:rsidRDefault="002768D8" w14:paraId="732A4AD5" w14:textId="6FA69B08">
      <w:pPr>
        <w:rPr>
          <w:rFonts w:ascii="Times New Roman" w:hAnsi="Times New Roman" w:cs="Times New Roman"/>
          <w:sz w:val="24"/>
          <w:szCs w:val="24"/>
        </w:rPr>
      </w:pPr>
      <w:r w:rsidRPr="002768D8">
        <w:rPr>
          <w:rFonts w:ascii="Times New Roman" w:hAnsi="Times New Roman" w:cs="Times New Roman"/>
          <w:sz w:val="24"/>
          <w:szCs w:val="24"/>
        </w:rPr>
        <w:t xml:space="preserve">Given the national emergency caused by COVID-19, it would be impracticable and contrary to the public health—and, by extension, the public interest—to delay implementing </w:t>
      </w:r>
      <w:r>
        <w:rPr>
          <w:rFonts w:ascii="Times New Roman" w:hAnsi="Times New Roman" w:cs="Times New Roman"/>
          <w:sz w:val="24"/>
          <w:szCs w:val="24"/>
        </w:rPr>
        <w:t>this information collection until after FEMA has consulted with persons outside of the agency to obtain their views on the availability of data, frequency of collection, the clarity of instructions</w:t>
      </w:r>
      <w:r w:rsidRPr="00473F8D">
        <w:rPr>
          <w:rFonts w:ascii="Times New Roman" w:hAnsi="Times New Roman" w:cs="Times New Roman"/>
          <w:sz w:val="24"/>
          <w:szCs w:val="24"/>
        </w:rPr>
        <w:t xml:space="preserve"> and recordkeeping, disclosure, or reporting format (if any), and on the data elements to be recorded, disclosed, or reported.</w:t>
      </w:r>
      <w:r w:rsidR="00473F8D">
        <w:rPr>
          <w:rFonts w:ascii="Times New Roman" w:hAnsi="Times New Roman" w:cs="Times New Roman"/>
          <w:sz w:val="24"/>
          <w:szCs w:val="24"/>
        </w:rPr>
        <w:t xml:space="preserve">  Additionally, </w:t>
      </w:r>
      <w:r w:rsidR="00473F8D">
        <w:rPr>
          <w:rFonts w:ascii="Times New Roman" w:hAnsi="Times New Roman" w:cs="Times New Roman"/>
          <w:sz w:val="24"/>
          <w:szCs w:val="24"/>
        </w:rPr>
        <w:lastRenderedPageBreak/>
        <w:t xml:space="preserve">FEMA has not completed any consultations with </w:t>
      </w:r>
      <w:r w:rsidRPr="002768D8">
        <w:rPr>
          <w:rFonts w:ascii="Times New Roman" w:hAnsi="Times New Roman" w:cs="Times New Roman"/>
          <w:sz w:val="24"/>
          <w:szCs w:val="24"/>
        </w:rPr>
        <w:t>representatives of those from whom information is to be obtained or those who must compile records</w:t>
      </w:r>
      <w:r w:rsidR="00473F8D">
        <w:rPr>
          <w:rFonts w:ascii="Times New Roman" w:hAnsi="Times New Roman" w:cs="Times New Roman"/>
          <w:sz w:val="24"/>
          <w:szCs w:val="24"/>
        </w:rPr>
        <w:t xml:space="preserve"> for the same reason as listed </w:t>
      </w:r>
      <w:proofErr w:type="gramStart"/>
      <w:r w:rsidR="00473F8D">
        <w:rPr>
          <w:rFonts w:ascii="Times New Roman" w:hAnsi="Times New Roman" w:cs="Times New Roman"/>
          <w:sz w:val="24"/>
          <w:szCs w:val="24"/>
        </w:rPr>
        <w:t>above</w:t>
      </w:r>
      <w:r w:rsidR="00237498">
        <w:rPr>
          <w:rFonts w:ascii="Times New Roman" w:hAnsi="Times New Roman" w:cs="Times New Roman"/>
          <w:sz w:val="24"/>
          <w:szCs w:val="24"/>
        </w:rPr>
        <w:t>, but</w:t>
      </w:r>
      <w:proofErr w:type="gramEnd"/>
      <w:r w:rsidR="00237498">
        <w:rPr>
          <w:rFonts w:ascii="Times New Roman" w:hAnsi="Times New Roman" w:cs="Times New Roman"/>
          <w:sz w:val="24"/>
          <w:szCs w:val="24"/>
        </w:rPr>
        <w:t xml:space="preserve"> has received feedback from the interagency and from many interested stakeholders.</w:t>
      </w:r>
    </w:p>
    <w:p w:rsidRPr="006625E7" w:rsidR="00562915" w:rsidP="00562915" w:rsidRDefault="00562915" w14:paraId="3885D560"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9.  Explain any decision to provide any payment or gift to respondents, other than remuneration of contractors or grantees.</w:t>
      </w:r>
    </w:p>
    <w:p w:rsidRPr="006625E7" w:rsidR="002B2B7C" w:rsidP="00562915" w:rsidRDefault="00473F8D" w14:paraId="0157916E" w14:textId="256C1A24">
      <w:pPr>
        <w:rPr>
          <w:rFonts w:ascii="Times New Roman" w:hAnsi="Times New Roman" w:cs="Times New Roman"/>
          <w:sz w:val="24"/>
          <w:szCs w:val="24"/>
        </w:rPr>
      </w:pPr>
      <w:r>
        <w:rPr>
          <w:rFonts w:ascii="Times New Roman" w:hAnsi="Times New Roman" w:cs="Times New Roman"/>
          <w:sz w:val="24"/>
          <w:szCs w:val="24"/>
        </w:rPr>
        <w:t>There is no plan to provide any payment or gift to respondents.</w:t>
      </w:r>
    </w:p>
    <w:p w:rsidRPr="006625E7" w:rsidR="00562915" w:rsidP="00562915" w:rsidRDefault="00562915" w14:paraId="1772DC5D" w14:textId="77777777">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10.  Describe any assurance of confidentiality provided to respondents.  Present the basis for the assurance in statute, regulation, or agency policy.  </w:t>
      </w:r>
    </w:p>
    <w:p w:rsidRPr="00ED4382" w:rsidR="00772D14" w:rsidP="00811ED3" w:rsidRDefault="00F82BFE" w14:paraId="1180B31C" w14:textId="6FC71FB1">
      <w:pPr>
        <w:tabs>
          <w:tab w:val="left" w:pos="360"/>
        </w:tabs>
        <w:rPr>
          <w:rFonts w:ascii="Times New Roman" w:hAnsi="Times New Roman" w:cs="Times New Roman"/>
          <w:sz w:val="24"/>
          <w:szCs w:val="24"/>
        </w:rPr>
      </w:pPr>
      <w:r w:rsidRPr="00ED4382">
        <w:rPr>
          <w:rFonts w:ascii="Times New Roman" w:hAnsi="Times New Roman" w:cs="Times New Roman"/>
          <w:sz w:val="24"/>
          <w:szCs w:val="24"/>
        </w:rPr>
        <w:t>On April</w:t>
      </w:r>
      <w:r w:rsidRPr="00ED4382" w:rsidR="00231337">
        <w:rPr>
          <w:rFonts w:ascii="Times New Roman" w:hAnsi="Times New Roman" w:cs="Times New Roman"/>
          <w:sz w:val="24"/>
          <w:szCs w:val="24"/>
        </w:rPr>
        <w:t xml:space="preserve"> </w:t>
      </w:r>
      <w:r w:rsidRPr="00ED4382" w:rsidR="00811ED3">
        <w:rPr>
          <w:rFonts w:ascii="Times New Roman" w:hAnsi="Times New Roman" w:cs="Times New Roman"/>
          <w:sz w:val="24"/>
          <w:szCs w:val="24"/>
        </w:rPr>
        <w:t>17</w:t>
      </w:r>
      <w:r w:rsidRPr="00ED4382" w:rsidR="00231337">
        <w:rPr>
          <w:rFonts w:ascii="Times New Roman" w:hAnsi="Times New Roman" w:cs="Times New Roman"/>
          <w:sz w:val="24"/>
          <w:szCs w:val="24"/>
        </w:rPr>
        <w:t xml:space="preserve">, </w:t>
      </w:r>
      <w:r w:rsidRPr="00ED4382">
        <w:rPr>
          <w:rFonts w:ascii="Times New Roman" w:hAnsi="Times New Roman" w:cs="Times New Roman"/>
          <w:sz w:val="24"/>
          <w:szCs w:val="24"/>
        </w:rPr>
        <w:t>2020</w:t>
      </w:r>
      <w:r w:rsidRPr="00ED4382" w:rsidR="00A75C55">
        <w:rPr>
          <w:rFonts w:ascii="Times New Roman" w:hAnsi="Times New Roman" w:cs="Times New Roman"/>
          <w:sz w:val="24"/>
          <w:szCs w:val="24"/>
        </w:rPr>
        <w:t>,</w:t>
      </w:r>
      <w:r w:rsidRPr="00ED4382">
        <w:rPr>
          <w:rFonts w:ascii="Times New Roman" w:hAnsi="Times New Roman" w:cs="Times New Roman"/>
          <w:sz w:val="24"/>
          <w:szCs w:val="24"/>
        </w:rPr>
        <w:t xml:space="preserve"> the </w:t>
      </w:r>
      <w:r w:rsidRPr="00ED4382" w:rsidR="00562915">
        <w:rPr>
          <w:rFonts w:ascii="Times New Roman" w:hAnsi="Times New Roman" w:cs="Times New Roman"/>
          <w:sz w:val="24"/>
          <w:szCs w:val="24"/>
        </w:rPr>
        <w:fldChar w:fldCharType="begin"/>
      </w:r>
      <w:r w:rsidRPr="00ED4382" w:rsidR="00562915">
        <w:rPr>
          <w:rFonts w:ascii="Times New Roman" w:hAnsi="Times New Roman" w:cs="Times New Roman"/>
          <w:sz w:val="24"/>
          <w:szCs w:val="24"/>
        </w:rPr>
        <w:instrText>ADVANCE \R 0.95</w:instrText>
      </w:r>
      <w:r w:rsidRPr="00ED4382" w:rsidR="00562915">
        <w:rPr>
          <w:rFonts w:ascii="Times New Roman" w:hAnsi="Times New Roman" w:cs="Times New Roman"/>
          <w:sz w:val="24"/>
          <w:szCs w:val="24"/>
        </w:rPr>
        <w:fldChar w:fldCharType="end"/>
      </w:r>
      <w:r w:rsidRPr="00ED4382" w:rsidR="00811ED3">
        <w:rPr>
          <w:rFonts w:ascii="Times New Roman" w:hAnsi="Times New Roman" w:cs="Times New Roman"/>
          <w:sz w:val="24"/>
          <w:szCs w:val="24"/>
        </w:rPr>
        <w:t xml:space="preserve">Department of Homeland Security </w:t>
      </w:r>
      <w:r w:rsidRPr="00ED4382" w:rsidR="007D4D80">
        <w:rPr>
          <w:rFonts w:ascii="Times New Roman" w:hAnsi="Times New Roman" w:cs="Times New Roman"/>
          <w:sz w:val="24"/>
          <w:szCs w:val="24"/>
        </w:rPr>
        <w:t xml:space="preserve">Privacy Threshold </w:t>
      </w:r>
      <w:r w:rsidRPr="00ED4382" w:rsidR="00811ED3">
        <w:rPr>
          <w:rFonts w:ascii="Times New Roman" w:hAnsi="Times New Roman" w:cs="Times New Roman"/>
          <w:sz w:val="24"/>
          <w:szCs w:val="24"/>
        </w:rPr>
        <w:t xml:space="preserve">Adjudication </w:t>
      </w:r>
      <w:r w:rsidRPr="00ED4382">
        <w:rPr>
          <w:rFonts w:ascii="Times New Roman" w:hAnsi="Times New Roman" w:cs="Times New Roman"/>
          <w:sz w:val="24"/>
          <w:szCs w:val="24"/>
        </w:rPr>
        <w:t xml:space="preserve">was </w:t>
      </w:r>
      <w:r w:rsidRPr="00ED4382" w:rsidR="00811ED3">
        <w:rPr>
          <w:rFonts w:ascii="Times New Roman" w:hAnsi="Times New Roman" w:cs="Times New Roman"/>
          <w:sz w:val="24"/>
          <w:szCs w:val="24"/>
        </w:rPr>
        <w:t>completed.    The System is covered by the following existing Privacy Impact Assessments</w:t>
      </w:r>
      <w:r w:rsidRPr="00ED4382" w:rsidR="00772D14">
        <w:rPr>
          <w:rFonts w:ascii="Times New Roman" w:hAnsi="Times New Roman" w:cs="Times New Roman"/>
          <w:sz w:val="24"/>
          <w:szCs w:val="24"/>
        </w:rPr>
        <w:t xml:space="preserve"> (PIA)</w:t>
      </w:r>
      <w:r w:rsidRPr="00ED4382" w:rsidR="00811ED3">
        <w:rPr>
          <w:rFonts w:ascii="Times New Roman" w:hAnsi="Times New Roman" w:cs="Times New Roman"/>
          <w:sz w:val="24"/>
          <w:szCs w:val="24"/>
        </w:rPr>
        <w:t xml:space="preserve">:  DHS/CBP/PIA-003(b) Automated Commercial Environment (ACE) and DHS/CBP/PIA-020 Export Information System (EIS).  The System is </w:t>
      </w:r>
      <w:r w:rsidRPr="00ED4382" w:rsidR="00C96EE3">
        <w:rPr>
          <w:rFonts w:ascii="Times New Roman" w:hAnsi="Times New Roman" w:cs="Times New Roman"/>
          <w:sz w:val="24"/>
          <w:szCs w:val="24"/>
        </w:rPr>
        <w:t xml:space="preserve">also </w:t>
      </w:r>
      <w:r w:rsidRPr="00ED4382" w:rsidR="00811ED3">
        <w:rPr>
          <w:rFonts w:ascii="Times New Roman" w:hAnsi="Times New Roman" w:cs="Times New Roman"/>
          <w:sz w:val="24"/>
          <w:szCs w:val="24"/>
        </w:rPr>
        <w:t>covered by the following System of Records Notice:  DHS/CBP-020 Export Information System, September 2, 2015, 80 FR 53181.</w:t>
      </w:r>
    </w:p>
    <w:p w:rsidR="002B2B7C" w:rsidRDefault="00772D14" w14:paraId="450BF26C" w14:textId="4517BB44">
      <w:pPr>
        <w:autoSpaceDE w:val="0"/>
        <w:autoSpaceDN w:val="0"/>
        <w:adjustRightInd w:val="0"/>
        <w:spacing w:after="0" w:line="240" w:lineRule="auto"/>
        <w:rPr>
          <w:rFonts w:ascii="Times New Roman" w:hAnsi="Times New Roman" w:cs="Times New Roman"/>
          <w:sz w:val="24"/>
          <w:szCs w:val="24"/>
        </w:rPr>
      </w:pPr>
      <w:r w:rsidRPr="00ED4382">
        <w:rPr>
          <w:rFonts w:ascii="Times New Roman" w:hAnsi="Times New Roman" w:cs="Times New Roman"/>
          <w:sz w:val="24"/>
          <w:szCs w:val="24"/>
        </w:rPr>
        <w:t>CBP is updating the EIS PIA and will include discussion of this FEMA sharing in that update.  The CBP Privacy Office reviewed and cleared this PTA on 04/17/20.</w:t>
      </w:r>
      <w:r w:rsidRPr="00ED4382" w:rsidR="00811ED3">
        <w:rPr>
          <w:rFonts w:ascii="Times New Roman" w:hAnsi="Times New Roman" w:cs="Times New Roman"/>
          <w:sz w:val="24"/>
          <w:szCs w:val="24"/>
        </w:rPr>
        <w:t xml:space="preserve">  </w:t>
      </w:r>
    </w:p>
    <w:p w:rsidRPr="00772D14" w:rsidR="00ED4382" w:rsidP="00ED4382" w:rsidRDefault="00ED4382" w14:paraId="77BB57B1" w14:textId="77777777">
      <w:pPr>
        <w:autoSpaceDE w:val="0"/>
        <w:autoSpaceDN w:val="0"/>
        <w:adjustRightInd w:val="0"/>
        <w:spacing w:after="0" w:line="240" w:lineRule="auto"/>
        <w:rPr>
          <w:rFonts w:ascii="Times New Roman" w:hAnsi="Times New Roman" w:cs="Times New Roman"/>
          <w:sz w:val="24"/>
          <w:szCs w:val="24"/>
        </w:rPr>
      </w:pPr>
    </w:p>
    <w:p w:rsidRPr="006625E7" w:rsidR="00562915" w:rsidP="00562915" w:rsidRDefault="00562915" w14:paraId="765FF5BB" w14:textId="77777777">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Pr="006625E7" w:rsidR="00562915" w:rsidP="00562915" w:rsidRDefault="00473F8D" w14:paraId="5A62FD05" w14:textId="72D68385">
      <w:pPr>
        <w:rPr>
          <w:rFonts w:ascii="Times New Roman" w:hAnsi="Times New Roman" w:cs="Times New Roman"/>
          <w:sz w:val="24"/>
          <w:szCs w:val="24"/>
        </w:rPr>
      </w:pPr>
      <w:r>
        <w:rPr>
          <w:rFonts w:ascii="Times New Roman" w:hAnsi="Times New Roman" w:cs="Times New Roman"/>
          <w:sz w:val="24"/>
          <w:szCs w:val="24"/>
        </w:rPr>
        <w:t>There are no questions of a sensitive nature.</w:t>
      </w:r>
    </w:p>
    <w:p w:rsidRPr="006625E7" w:rsidR="00562915" w:rsidP="00562915" w:rsidRDefault="00562915" w14:paraId="22918CD9" w14:textId="08FDCB9B">
      <w:pPr>
        <w:rPr>
          <w:rFonts w:ascii="Times New Roman" w:hAnsi="Times New Roman" w:cs="Times New Roman"/>
          <w:b/>
          <w:bCs/>
          <w:color w:val="FF0000"/>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12.  Provide estimates of the hour burden of the collection of information.  The statement should:</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w:t>
      </w:r>
    </w:p>
    <w:p w:rsidRPr="006625E7" w:rsidR="00562915" w:rsidP="00562915" w:rsidRDefault="00562915" w14:paraId="44D5271D"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ab/>
        <w:t>a.  Indicate the number of respondents, frequency of response, annual hour burden, and an explanation of how the burden was estimated for each collection instrument (separately list each instrument and describe information as requested).  Unless</w:t>
      </w:r>
      <w:r w:rsidRPr="006625E7">
        <w:rPr>
          <w:rFonts w:ascii="Times New Roman" w:hAnsi="Times New Roman" w:cs="Times New Roman"/>
          <w:b/>
          <w:bCs/>
          <w:sz w:val="24"/>
          <w:szCs w:val="24"/>
        </w:rPr>
        <w:tab/>
        <w:t>directed to do so, agencies should not conduct special surveys to obtain information on which to base hour burden estimates.  Consultation with a sample (fewer than 10) of potential respondents is desired.  If the hour</w:t>
      </w:r>
      <w:r w:rsidRPr="006625E7">
        <w:rPr>
          <w:rFonts w:ascii="Times New Roman" w:hAnsi="Times New Roman" w:cs="Times New Roman"/>
          <w:b/>
          <w:bCs/>
          <w:sz w:val="24"/>
          <w:szCs w:val="24"/>
        </w:rPr>
        <w:tab/>
        <w:t xml:space="preserve">burden on respondents is expected to vary widely because of differences in activity, size, or complexity, show the range of estimated hour burden, and explain the reasons for </w:t>
      </w:r>
      <w:r w:rsidRPr="006625E7">
        <w:rPr>
          <w:rFonts w:ascii="Times New Roman" w:hAnsi="Times New Roman" w:cs="Times New Roman"/>
          <w:b/>
          <w:bCs/>
          <w:sz w:val="24"/>
          <w:szCs w:val="24"/>
        </w:rPr>
        <w:lastRenderedPageBreak/>
        <w:t>the variance.  Generally, estimates should not include burden hours for customary and usual business practices.</w:t>
      </w:r>
    </w:p>
    <w:p w:rsidRPr="006625E7" w:rsidR="00562915" w:rsidP="00562915" w:rsidRDefault="00562915" w14:paraId="404A6BE9" w14:textId="77777777">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If this request for approval covers more than one form, provide separate hour burden estimates for each form and aggregate the hour burdens in Item 13 of OMB Form 83-I.</w:t>
      </w:r>
    </w:p>
    <w:p w:rsidR="005D1DD4" w:rsidP="00562915" w:rsidRDefault="00562915" w14:paraId="021AA476" w14:textId="43F6064E">
      <w:pPr>
        <w:rPr>
          <w:rFonts w:ascii="Times New Roman" w:hAnsi="Times New Roman" w:cs="Times New Roman"/>
          <w:b/>
          <w:bCs/>
          <w:sz w:val="24"/>
          <w:szCs w:val="24"/>
        </w:rPr>
      </w:pPr>
      <w:r w:rsidRPr="006625E7">
        <w:rPr>
          <w:rFonts w:ascii="Times New Roman" w:hAnsi="Times New Roman" w:cs="Times New Roman"/>
          <w:b/>
          <w:bCs/>
          <w:sz w:val="24"/>
          <w:szCs w:val="24"/>
        </w:rPr>
        <w:tab/>
        <w:t>c.  Provide an estimate of annualized cost to respondents for the hour burdens for collections of information, identifying and using appropriate wage rate categories.  NOTE: The wage-rate category for each respondent must be multiplied by 1.4 and this total should be entered in the cell for “Avg. Hourly Wage Rate”.  The cost to the respondents of contracting out or paying outside parties for information collection activities should not be included here.  Instead this cost should be included in Item 13.</w:t>
      </w:r>
    </w:p>
    <w:p w:rsidRPr="001E13AD" w:rsidR="002F4F27" w:rsidP="002F4F27" w:rsidRDefault="007F09C6" w14:paraId="157A1582" w14:textId="547C8F86">
      <w:pPr>
        <w:tabs>
          <w:tab w:val="left" w:pos="-720"/>
        </w:tabs>
        <w:suppressAutoHyphens/>
        <w:rPr>
          <w:rFonts w:ascii="Times New Roman" w:hAnsi="Times New Roman" w:cs="Times New Roman"/>
          <w:sz w:val="24"/>
          <w:szCs w:val="24"/>
        </w:rPr>
      </w:pPr>
      <w:r w:rsidRPr="007F09C6">
        <w:rPr>
          <w:rFonts w:ascii="Times New Roman" w:hAnsi="Times New Roman" w:cs="Times New Roman"/>
          <w:sz w:val="24"/>
          <w:szCs w:val="24"/>
        </w:rPr>
        <w:t>FEMA consulted subject matter experts to estimate the number of respondents.</w:t>
      </w:r>
    </w:p>
    <w:tbl>
      <w:tblPr>
        <w:tblStyle w:val="TableGrid"/>
        <w:tblW w:w="10790" w:type="dxa"/>
        <w:tblInd w:w="-905" w:type="dxa"/>
        <w:tblLook w:val="04A0" w:firstRow="1" w:lastRow="0" w:firstColumn="1" w:lastColumn="0" w:noHBand="0" w:noVBand="1"/>
      </w:tblPr>
      <w:tblGrid>
        <w:gridCol w:w="1345"/>
        <w:gridCol w:w="1172"/>
        <w:gridCol w:w="1379"/>
        <w:gridCol w:w="1293"/>
        <w:gridCol w:w="1160"/>
        <w:gridCol w:w="1074"/>
        <w:gridCol w:w="805"/>
        <w:gridCol w:w="1255"/>
        <w:gridCol w:w="1293"/>
        <w:gridCol w:w="14"/>
      </w:tblGrid>
      <w:tr w:rsidRPr="00C54100" w:rsidR="002F4F27" w:rsidTr="00451C91" w14:paraId="00CCA609" w14:textId="77777777">
        <w:tc>
          <w:tcPr>
            <w:tcW w:w="10790" w:type="dxa"/>
            <w:gridSpan w:val="10"/>
          </w:tcPr>
          <w:p w:rsidRPr="00C54100" w:rsidR="002F4F27" w:rsidP="00451C91" w:rsidRDefault="002F4F27" w14:paraId="0C9665D0" w14:textId="77777777">
            <w:pPr>
              <w:jc w:val="center"/>
              <w:rPr>
                <w:rFonts w:ascii="Times New Roman" w:hAnsi="Times New Roman" w:eastAsia="Calibri" w:cs="Times New Roman"/>
                <w:b/>
                <w:sz w:val="20"/>
                <w:szCs w:val="20"/>
              </w:rPr>
            </w:pPr>
            <w:r w:rsidRPr="00C54100">
              <w:rPr>
                <w:rFonts w:ascii="Times New Roman" w:hAnsi="Times New Roman" w:eastAsia="Calibri" w:cs="Times New Roman"/>
                <w:b/>
                <w:sz w:val="20"/>
                <w:szCs w:val="20"/>
              </w:rPr>
              <w:t>Estimated Annualized Burden Hours and Costs</w:t>
            </w:r>
          </w:p>
        </w:tc>
      </w:tr>
      <w:tr w:rsidRPr="00C54100" w:rsidR="002F4F27" w:rsidTr="00DC2E82" w14:paraId="3C7897F0" w14:textId="77777777">
        <w:trPr>
          <w:gridAfter w:val="1"/>
          <w:wAfter w:w="14" w:type="dxa"/>
        </w:trPr>
        <w:tc>
          <w:tcPr>
            <w:tcW w:w="1347" w:type="dxa"/>
            <w:shd w:val="clear" w:color="auto" w:fill="8EAADB"/>
          </w:tcPr>
          <w:p w:rsidRPr="00C54100" w:rsidR="002F4F27" w:rsidP="00451C91" w:rsidRDefault="002F4F27" w14:paraId="460A4B59" w14:textId="77777777">
            <w:pPr>
              <w:rPr>
                <w:rFonts w:ascii="Times New Roman" w:hAnsi="Times New Roman" w:eastAsia="Calibri" w:cs="Times New Roman"/>
                <w:sz w:val="20"/>
                <w:szCs w:val="20"/>
              </w:rPr>
            </w:pPr>
            <w:r w:rsidRPr="00C54100">
              <w:rPr>
                <w:rFonts w:ascii="Times New Roman" w:hAnsi="Times New Roman" w:eastAsia="Calibri" w:cs="Times New Roman"/>
                <w:sz w:val="20"/>
                <w:szCs w:val="20"/>
              </w:rPr>
              <w:t>Type of Respondent</w:t>
            </w:r>
          </w:p>
        </w:tc>
        <w:tc>
          <w:tcPr>
            <w:tcW w:w="1173" w:type="dxa"/>
            <w:shd w:val="clear" w:color="auto" w:fill="8EAADB"/>
          </w:tcPr>
          <w:p w:rsidRPr="00C54100" w:rsidR="002F4F27" w:rsidP="00451C91" w:rsidRDefault="002F4F27" w14:paraId="13F96DA4" w14:textId="77777777">
            <w:pPr>
              <w:rPr>
                <w:rFonts w:ascii="Times New Roman" w:hAnsi="Times New Roman" w:eastAsia="Calibri" w:cs="Times New Roman"/>
                <w:sz w:val="20"/>
                <w:szCs w:val="20"/>
              </w:rPr>
            </w:pPr>
            <w:r w:rsidRPr="00C54100">
              <w:rPr>
                <w:rFonts w:ascii="Times New Roman" w:hAnsi="Times New Roman" w:eastAsia="Calibri" w:cs="Times New Roman"/>
                <w:sz w:val="20"/>
                <w:szCs w:val="20"/>
              </w:rPr>
              <w:t>Form Name / Form No.</w:t>
            </w:r>
          </w:p>
        </w:tc>
        <w:tc>
          <w:tcPr>
            <w:tcW w:w="1379" w:type="dxa"/>
            <w:shd w:val="clear" w:color="auto" w:fill="8EAADB"/>
          </w:tcPr>
          <w:p w:rsidRPr="00C54100" w:rsidR="002F4F27" w:rsidP="00451C91" w:rsidRDefault="002F4F27" w14:paraId="62EFDACF" w14:textId="77777777">
            <w:pPr>
              <w:rPr>
                <w:rFonts w:ascii="Times New Roman" w:hAnsi="Times New Roman" w:eastAsia="Calibri" w:cs="Times New Roman"/>
                <w:sz w:val="20"/>
                <w:szCs w:val="20"/>
              </w:rPr>
            </w:pPr>
            <w:r w:rsidRPr="00C54100">
              <w:rPr>
                <w:rFonts w:ascii="Times New Roman" w:hAnsi="Times New Roman" w:eastAsia="Calibri" w:cs="Times New Roman"/>
                <w:sz w:val="20"/>
                <w:szCs w:val="20"/>
              </w:rPr>
              <w:t>No. of Respondents</w:t>
            </w:r>
          </w:p>
        </w:tc>
        <w:tc>
          <w:tcPr>
            <w:tcW w:w="1293" w:type="dxa"/>
            <w:shd w:val="clear" w:color="auto" w:fill="8EAADB"/>
          </w:tcPr>
          <w:p w:rsidRPr="00C54100" w:rsidR="002F4F27" w:rsidP="00451C91" w:rsidRDefault="002F4F27" w14:paraId="26AA13D0" w14:textId="77777777">
            <w:pPr>
              <w:rPr>
                <w:rFonts w:ascii="Times New Roman" w:hAnsi="Times New Roman" w:eastAsia="Calibri" w:cs="Times New Roman"/>
                <w:sz w:val="20"/>
                <w:szCs w:val="20"/>
              </w:rPr>
            </w:pPr>
            <w:r w:rsidRPr="00C54100">
              <w:rPr>
                <w:rFonts w:ascii="Times New Roman" w:hAnsi="Times New Roman" w:eastAsia="Calibri" w:cs="Times New Roman"/>
                <w:sz w:val="20"/>
                <w:szCs w:val="20"/>
              </w:rPr>
              <w:t>No. of Responses per Respondent</w:t>
            </w:r>
          </w:p>
        </w:tc>
        <w:tc>
          <w:tcPr>
            <w:tcW w:w="1160" w:type="dxa"/>
            <w:shd w:val="clear" w:color="auto" w:fill="8EAADB"/>
          </w:tcPr>
          <w:p w:rsidRPr="00C54100" w:rsidR="002F4F27" w:rsidP="00451C91" w:rsidRDefault="002F4F27" w14:paraId="65C6D985" w14:textId="77777777">
            <w:pPr>
              <w:rPr>
                <w:rFonts w:ascii="Times New Roman" w:hAnsi="Times New Roman" w:eastAsia="Calibri" w:cs="Times New Roman"/>
                <w:sz w:val="20"/>
                <w:szCs w:val="20"/>
              </w:rPr>
            </w:pPr>
            <w:r w:rsidRPr="00C54100">
              <w:rPr>
                <w:rFonts w:ascii="Times New Roman" w:hAnsi="Times New Roman" w:eastAsia="Calibri" w:cs="Times New Roman"/>
                <w:sz w:val="20"/>
                <w:szCs w:val="20"/>
              </w:rPr>
              <w:t>Total No. of Responses</w:t>
            </w:r>
          </w:p>
        </w:tc>
        <w:tc>
          <w:tcPr>
            <w:tcW w:w="1074" w:type="dxa"/>
            <w:shd w:val="clear" w:color="auto" w:fill="8EAADB"/>
          </w:tcPr>
          <w:p w:rsidRPr="00C54100" w:rsidR="002F4F27" w:rsidP="00451C91" w:rsidRDefault="002F4F27" w14:paraId="18939DAF" w14:textId="77777777">
            <w:pPr>
              <w:rPr>
                <w:rFonts w:ascii="Times New Roman" w:hAnsi="Times New Roman" w:eastAsia="Calibri" w:cs="Times New Roman"/>
                <w:sz w:val="20"/>
                <w:szCs w:val="20"/>
              </w:rPr>
            </w:pPr>
            <w:r w:rsidRPr="00C54100">
              <w:rPr>
                <w:rFonts w:ascii="Times New Roman" w:hAnsi="Times New Roman" w:eastAsia="Calibri" w:cs="Times New Roman"/>
                <w:sz w:val="20"/>
                <w:szCs w:val="20"/>
              </w:rPr>
              <w:t>Avg. Burden per Response (in hours)</w:t>
            </w:r>
          </w:p>
        </w:tc>
        <w:tc>
          <w:tcPr>
            <w:tcW w:w="801" w:type="dxa"/>
            <w:shd w:val="clear" w:color="auto" w:fill="8EAADB"/>
          </w:tcPr>
          <w:p w:rsidRPr="00C54100" w:rsidR="002F4F27" w:rsidP="00451C91" w:rsidRDefault="002F4F27" w14:paraId="7214F84C" w14:textId="77777777">
            <w:pPr>
              <w:rPr>
                <w:rFonts w:ascii="Times New Roman" w:hAnsi="Times New Roman" w:eastAsia="Calibri" w:cs="Times New Roman"/>
                <w:sz w:val="20"/>
                <w:szCs w:val="20"/>
              </w:rPr>
            </w:pPr>
            <w:r w:rsidRPr="00C54100">
              <w:rPr>
                <w:rFonts w:ascii="Times New Roman" w:hAnsi="Times New Roman" w:eastAsia="Calibri" w:cs="Times New Roman"/>
                <w:sz w:val="20"/>
                <w:szCs w:val="20"/>
              </w:rPr>
              <w:t>Total Annual Burden (in Hours)</w:t>
            </w:r>
          </w:p>
        </w:tc>
        <w:tc>
          <w:tcPr>
            <w:tcW w:w="1256" w:type="dxa"/>
            <w:shd w:val="clear" w:color="auto" w:fill="8EAADB"/>
          </w:tcPr>
          <w:p w:rsidRPr="00C54100" w:rsidR="002F4F27" w:rsidP="00451C91" w:rsidRDefault="002F4F27" w14:paraId="29865E84" w14:textId="77777777">
            <w:pPr>
              <w:rPr>
                <w:rFonts w:ascii="Times New Roman" w:hAnsi="Times New Roman" w:eastAsia="Calibri" w:cs="Times New Roman"/>
                <w:sz w:val="20"/>
                <w:szCs w:val="20"/>
              </w:rPr>
            </w:pPr>
            <w:r w:rsidRPr="00C54100">
              <w:rPr>
                <w:rFonts w:ascii="Times New Roman" w:hAnsi="Times New Roman" w:eastAsia="Calibri" w:cs="Times New Roman"/>
                <w:sz w:val="20"/>
                <w:szCs w:val="20"/>
              </w:rPr>
              <w:t>Avg. Hourly Wage Rate</w:t>
            </w:r>
          </w:p>
        </w:tc>
        <w:tc>
          <w:tcPr>
            <w:tcW w:w="1293" w:type="dxa"/>
            <w:shd w:val="clear" w:color="auto" w:fill="8EAADB"/>
          </w:tcPr>
          <w:p w:rsidRPr="00C54100" w:rsidR="002F4F27" w:rsidP="00451C91" w:rsidRDefault="002F4F27" w14:paraId="22E4BECE" w14:textId="77777777">
            <w:pPr>
              <w:rPr>
                <w:rFonts w:ascii="Times New Roman" w:hAnsi="Times New Roman" w:eastAsia="Calibri" w:cs="Times New Roman"/>
                <w:sz w:val="20"/>
                <w:szCs w:val="20"/>
              </w:rPr>
            </w:pPr>
            <w:r w:rsidRPr="00C54100">
              <w:rPr>
                <w:rFonts w:ascii="Times New Roman" w:hAnsi="Times New Roman" w:eastAsia="Calibri" w:cs="Times New Roman"/>
                <w:sz w:val="20"/>
                <w:szCs w:val="20"/>
              </w:rPr>
              <w:t>Total Annual Respondent Cost</w:t>
            </w:r>
          </w:p>
        </w:tc>
      </w:tr>
      <w:tr w:rsidRPr="00C54100" w:rsidR="002F4F27" w:rsidTr="00DC2E82" w14:paraId="0EF97C6F" w14:textId="77777777">
        <w:trPr>
          <w:gridAfter w:val="1"/>
          <w:wAfter w:w="14" w:type="dxa"/>
        </w:trPr>
        <w:tc>
          <w:tcPr>
            <w:tcW w:w="1347" w:type="dxa"/>
          </w:tcPr>
          <w:p w:rsidRPr="00C54100" w:rsidR="002F4F27" w:rsidP="00451C91" w:rsidRDefault="002F4F27" w14:paraId="7969A761" w14:textId="13A93F58">
            <w:pPr>
              <w:rPr>
                <w:rFonts w:ascii="Times New Roman" w:hAnsi="Times New Roman" w:eastAsia="Calibri" w:cs="Times New Roman"/>
                <w:sz w:val="20"/>
                <w:szCs w:val="20"/>
              </w:rPr>
            </w:pPr>
            <w:r>
              <w:rPr>
                <w:rFonts w:ascii="Times New Roman" w:hAnsi="Times New Roman" w:eastAsia="Calibri" w:cs="Times New Roman"/>
                <w:sz w:val="20"/>
                <w:szCs w:val="20"/>
              </w:rPr>
              <w:t>For-Profit Busines</w:t>
            </w:r>
            <w:r w:rsidR="007B3CE0">
              <w:rPr>
                <w:rFonts w:ascii="Times New Roman" w:hAnsi="Times New Roman" w:eastAsia="Calibri" w:cs="Times New Roman"/>
                <w:sz w:val="20"/>
                <w:szCs w:val="20"/>
              </w:rPr>
              <w:t>s</w:t>
            </w:r>
            <w:r>
              <w:rPr>
                <w:rFonts w:ascii="Times New Roman" w:hAnsi="Times New Roman" w:eastAsia="Calibri" w:cs="Times New Roman"/>
                <w:sz w:val="20"/>
                <w:szCs w:val="20"/>
              </w:rPr>
              <w:t xml:space="preserve"> </w:t>
            </w:r>
          </w:p>
        </w:tc>
        <w:tc>
          <w:tcPr>
            <w:tcW w:w="1173" w:type="dxa"/>
          </w:tcPr>
          <w:p w:rsidRPr="00C54100" w:rsidR="002F4F27" w:rsidP="00451C91" w:rsidRDefault="00BA33E4" w14:paraId="6547223B" w14:textId="13C08402">
            <w:pPr>
              <w:rPr>
                <w:rFonts w:ascii="Times New Roman" w:hAnsi="Times New Roman" w:eastAsia="Calibri" w:cs="Times New Roman"/>
                <w:sz w:val="20"/>
                <w:szCs w:val="20"/>
              </w:rPr>
            </w:pPr>
            <w:r>
              <w:rPr>
                <w:rFonts w:ascii="Times New Roman" w:hAnsi="Times New Roman" w:eastAsia="Calibri" w:cs="Times New Roman"/>
                <w:sz w:val="20"/>
                <w:szCs w:val="20"/>
              </w:rPr>
              <w:t xml:space="preserve">Letter of Attestation regarding the Export of Certain Scarce or Threatened Medical Resources </w:t>
            </w:r>
          </w:p>
        </w:tc>
        <w:tc>
          <w:tcPr>
            <w:tcW w:w="1379" w:type="dxa"/>
            <w:vAlign w:val="center"/>
          </w:tcPr>
          <w:p w:rsidRPr="00956E40" w:rsidR="002F4F27" w:rsidP="00451C91" w:rsidRDefault="00F058F1" w14:paraId="74F92425" w14:textId="2F3F1545">
            <w:pPr>
              <w:jc w:val="right"/>
              <w:rPr>
                <w:rFonts w:ascii="Times New Roman" w:hAnsi="Times New Roman" w:eastAsia="Calibri" w:cs="Times New Roman"/>
                <w:sz w:val="20"/>
                <w:szCs w:val="20"/>
              </w:rPr>
            </w:pPr>
            <w:r w:rsidRPr="00956E40">
              <w:rPr>
                <w:rFonts w:ascii="Times New Roman" w:hAnsi="Times New Roman" w:eastAsia="Calibri" w:cs="Times New Roman"/>
                <w:sz w:val="20"/>
                <w:szCs w:val="20"/>
              </w:rPr>
              <w:t>2</w:t>
            </w:r>
            <w:r w:rsidR="00BA2737">
              <w:rPr>
                <w:rFonts w:ascii="Times New Roman" w:hAnsi="Times New Roman" w:eastAsia="Calibri" w:cs="Times New Roman"/>
                <w:sz w:val="20"/>
                <w:szCs w:val="20"/>
              </w:rPr>
              <w:t>,</w:t>
            </w:r>
            <w:r w:rsidRPr="00956E40">
              <w:rPr>
                <w:rFonts w:ascii="Times New Roman" w:hAnsi="Times New Roman" w:eastAsia="Calibri" w:cs="Times New Roman"/>
                <w:sz w:val="20"/>
                <w:szCs w:val="20"/>
              </w:rPr>
              <w:t>500</w:t>
            </w:r>
          </w:p>
        </w:tc>
        <w:tc>
          <w:tcPr>
            <w:tcW w:w="1293" w:type="dxa"/>
            <w:vAlign w:val="center"/>
          </w:tcPr>
          <w:p w:rsidRPr="00956E40" w:rsidR="002F4F27" w:rsidP="00451C91" w:rsidRDefault="002F4F27" w14:paraId="14ECA32B" w14:textId="77777777">
            <w:pPr>
              <w:jc w:val="right"/>
              <w:rPr>
                <w:rFonts w:ascii="Times New Roman" w:hAnsi="Times New Roman" w:eastAsia="Calibri" w:cs="Times New Roman"/>
                <w:sz w:val="20"/>
                <w:szCs w:val="20"/>
              </w:rPr>
            </w:pPr>
            <w:r w:rsidRPr="00956E40">
              <w:rPr>
                <w:rFonts w:ascii="Times New Roman" w:hAnsi="Times New Roman" w:eastAsia="Calibri" w:cs="Times New Roman"/>
                <w:sz w:val="20"/>
                <w:szCs w:val="20"/>
              </w:rPr>
              <w:t>1</w:t>
            </w:r>
          </w:p>
        </w:tc>
        <w:tc>
          <w:tcPr>
            <w:tcW w:w="1160" w:type="dxa"/>
            <w:vAlign w:val="center"/>
          </w:tcPr>
          <w:p w:rsidRPr="00956E40" w:rsidR="002F4F27" w:rsidP="00451C91" w:rsidRDefault="00F058F1" w14:paraId="553C68AF" w14:textId="221FCDA3">
            <w:pPr>
              <w:jc w:val="right"/>
              <w:rPr>
                <w:rFonts w:ascii="Times New Roman" w:hAnsi="Times New Roman" w:eastAsia="Calibri" w:cs="Times New Roman"/>
                <w:sz w:val="20"/>
                <w:szCs w:val="20"/>
              </w:rPr>
            </w:pPr>
            <w:r w:rsidRPr="00956E40">
              <w:rPr>
                <w:rFonts w:ascii="Times New Roman" w:hAnsi="Times New Roman" w:eastAsia="Calibri" w:cs="Times New Roman"/>
                <w:sz w:val="20"/>
                <w:szCs w:val="20"/>
              </w:rPr>
              <w:t>2</w:t>
            </w:r>
            <w:r w:rsidR="00BA2737">
              <w:rPr>
                <w:rFonts w:ascii="Times New Roman" w:hAnsi="Times New Roman" w:eastAsia="Calibri" w:cs="Times New Roman"/>
                <w:sz w:val="20"/>
                <w:szCs w:val="20"/>
              </w:rPr>
              <w:t>,</w:t>
            </w:r>
            <w:r w:rsidRPr="00956E40">
              <w:rPr>
                <w:rFonts w:ascii="Times New Roman" w:hAnsi="Times New Roman" w:eastAsia="Calibri" w:cs="Times New Roman"/>
                <w:sz w:val="20"/>
                <w:szCs w:val="20"/>
              </w:rPr>
              <w:t>500</w:t>
            </w:r>
          </w:p>
        </w:tc>
        <w:tc>
          <w:tcPr>
            <w:tcW w:w="1074" w:type="dxa"/>
            <w:vAlign w:val="center"/>
          </w:tcPr>
          <w:p w:rsidRPr="00956E40" w:rsidR="002F4F27" w:rsidP="00451C91" w:rsidRDefault="00775603" w14:paraId="0988E708" w14:textId="34E119D2">
            <w:pPr>
              <w:jc w:val="right"/>
              <w:rPr>
                <w:rFonts w:ascii="Times New Roman" w:hAnsi="Times New Roman" w:eastAsia="Calibri" w:cs="Times New Roman"/>
                <w:sz w:val="20"/>
                <w:szCs w:val="20"/>
              </w:rPr>
            </w:pPr>
            <w:r>
              <w:rPr>
                <w:rFonts w:ascii="Times New Roman" w:hAnsi="Times New Roman" w:eastAsia="Calibri" w:cs="Times New Roman"/>
                <w:sz w:val="20"/>
                <w:szCs w:val="20"/>
              </w:rPr>
              <w:t>0.5</w:t>
            </w:r>
          </w:p>
        </w:tc>
        <w:tc>
          <w:tcPr>
            <w:tcW w:w="801" w:type="dxa"/>
            <w:vAlign w:val="center"/>
          </w:tcPr>
          <w:p w:rsidRPr="00956E40" w:rsidR="002F4F27" w:rsidP="00451C91" w:rsidRDefault="00775603" w14:paraId="6413CF22" w14:textId="09502E63">
            <w:pPr>
              <w:jc w:val="right"/>
              <w:rPr>
                <w:rFonts w:ascii="Times New Roman" w:hAnsi="Times New Roman" w:eastAsia="Calibri" w:cs="Times New Roman"/>
                <w:sz w:val="20"/>
                <w:szCs w:val="20"/>
              </w:rPr>
            </w:pPr>
            <w:r>
              <w:rPr>
                <w:rFonts w:ascii="Times New Roman" w:hAnsi="Times New Roman" w:eastAsia="Calibri" w:cs="Times New Roman"/>
                <w:sz w:val="20"/>
                <w:szCs w:val="20"/>
              </w:rPr>
              <w:t>1,250</w:t>
            </w:r>
          </w:p>
        </w:tc>
        <w:tc>
          <w:tcPr>
            <w:tcW w:w="1256" w:type="dxa"/>
            <w:vAlign w:val="center"/>
          </w:tcPr>
          <w:p w:rsidRPr="00C415C7" w:rsidR="002F4F27" w:rsidP="00451C91" w:rsidRDefault="00B52AB7" w14:paraId="66FE3227" w14:textId="5652A7AB">
            <w:pPr>
              <w:jc w:val="right"/>
              <w:rPr>
                <w:rFonts w:ascii="Times New Roman" w:hAnsi="Times New Roman" w:eastAsia="Calibri" w:cs="Times New Roman"/>
                <w:sz w:val="20"/>
                <w:szCs w:val="20"/>
                <w:highlight w:val="green"/>
              </w:rPr>
            </w:pPr>
            <w:r w:rsidRPr="00B52AB7">
              <w:rPr>
                <w:rFonts w:ascii="Times New Roman" w:hAnsi="Times New Roman" w:eastAsia="Calibri" w:cs="Times New Roman"/>
                <w:sz w:val="20"/>
                <w:szCs w:val="20"/>
              </w:rPr>
              <w:t>$</w:t>
            </w:r>
            <w:r w:rsidR="00775603">
              <w:rPr>
                <w:rFonts w:ascii="Times New Roman" w:hAnsi="Times New Roman" w:eastAsia="Calibri" w:cs="Times New Roman"/>
                <w:sz w:val="20"/>
                <w:szCs w:val="20"/>
              </w:rPr>
              <w:t>102.00</w:t>
            </w:r>
          </w:p>
        </w:tc>
        <w:tc>
          <w:tcPr>
            <w:tcW w:w="1293" w:type="dxa"/>
            <w:vAlign w:val="center"/>
          </w:tcPr>
          <w:p w:rsidRPr="00C415C7" w:rsidR="002F4F27" w:rsidP="00451C91" w:rsidRDefault="00B52AB7" w14:paraId="40D6E419" w14:textId="6410497B">
            <w:pPr>
              <w:jc w:val="right"/>
              <w:rPr>
                <w:rFonts w:ascii="Times New Roman" w:hAnsi="Times New Roman" w:eastAsia="Calibri" w:cs="Times New Roman"/>
                <w:sz w:val="20"/>
                <w:szCs w:val="20"/>
                <w:highlight w:val="green"/>
              </w:rPr>
            </w:pPr>
            <w:r w:rsidRPr="00B52AB7">
              <w:rPr>
                <w:rFonts w:ascii="Times New Roman" w:hAnsi="Times New Roman" w:eastAsia="Calibri" w:cs="Times New Roman"/>
                <w:sz w:val="20"/>
                <w:szCs w:val="20"/>
              </w:rPr>
              <w:t>$</w:t>
            </w:r>
            <w:r w:rsidR="00775603">
              <w:rPr>
                <w:rFonts w:ascii="Times New Roman" w:hAnsi="Times New Roman" w:eastAsia="Calibri" w:cs="Times New Roman"/>
                <w:sz w:val="20"/>
                <w:szCs w:val="20"/>
              </w:rPr>
              <w:t>127,</w:t>
            </w:r>
            <w:r w:rsidR="005C7B2D">
              <w:rPr>
                <w:rFonts w:ascii="Times New Roman" w:hAnsi="Times New Roman" w:eastAsia="Calibri" w:cs="Times New Roman"/>
                <w:sz w:val="20"/>
                <w:szCs w:val="20"/>
              </w:rPr>
              <w:t>500</w:t>
            </w:r>
          </w:p>
        </w:tc>
      </w:tr>
      <w:tr w:rsidRPr="00C54100" w:rsidR="00366577" w:rsidTr="00DC2E82" w14:paraId="550CE39B" w14:textId="77777777">
        <w:trPr>
          <w:gridAfter w:val="1"/>
          <w:wAfter w:w="14" w:type="dxa"/>
        </w:trPr>
        <w:tc>
          <w:tcPr>
            <w:tcW w:w="1347" w:type="dxa"/>
          </w:tcPr>
          <w:p w:rsidRPr="00C54100" w:rsidR="00366577" w:rsidP="00366577" w:rsidRDefault="00366577" w14:paraId="142770A4" w14:textId="77777777">
            <w:pPr>
              <w:rPr>
                <w:rFonts w:ascii="Times New Roman" w:hAnsi="Times New Roman" w:eastAsia="Calibri" w:cs="Times New Roman"/>
                <w:b/>
                <w:sz w:val="20"/>
                <w:szCs w:val="20"/>
              </w:rPr>
            </w:pPr>
            <w:r w:rsidRPr="00C54100">
              <w:rPr>
                <w:rFonts w:ascii="Times New Roman" w:hAnsi="Times New Roman" w:eastAsia="Calibri" w:cs="Times New Roman"/>
                <w:b/>
                <w:sz w:val="20"/>
                <w:szCs w:val="20"/>
              </w:rPr>
              <w:t>Total</w:t>
            </w:r>
          </w:p>
        </w:tc>
        <w:tc>
          <w:tcPr>
            <w:tcW w:w="1173" w:type="dxa"/>
            <w:shd w:val="clear" w:color="auto" w:fill="000000"/>
          </w:tcPr>
          <w:p w:rsidRPr="00C54100" w:rsidR="00366577" w:rsidP="00366577" w:rsidRDefault="00366577" w14:paraId="4818ED8A" w14:textId="77777777">
            <w:pPr>
              <w:rPr>
                <w:rFonts w:ascii="Times New Roman" w:hAnsi="Times New Roman" w:eastAsia="Calibri" w:cs="Times New Roman"/>
                <w:sz w:val="20"/>
                <w:szCs w:val="20"/>
              </w:rPr>
            </w:pPr>
          </w:p>
        </w:tc>
        <w:tc>
          <w:tcPr>
            <w:tcW w:w="1379" w:type="dxa"/>
            <w:vAlign w:val="center"/>
          </w:tcPr>
          <w:p w:rsidRPr="00C54100" w:rsidR="00366577" w:rsidP="00366577" w:rsidRDefault="00B52AB7" w14:paraId="7F5D962E" w14:textId="517ED2A6">
            <w:pPr>
              <w:jc w:val="right"/>
              <w:rPr>
                <w:rFonts w:ascii="Times New Roman" w:hAnsi="Times New Roman" w:eastAsia="Calibri" w:cs="Times New Roman"/>
                <w:sz w:val="20"/>
                <w:szCs w:val="20"/>
              </w:rPr>
            </w:pPr>
            <w:r>
              <w:rPr>
                <w:rFonts w:ascii="Times New Roman" w:hAnsi="Times New Roman" w:eastAsia="Calibri" w:cs="Times New Roman"/>
                <w:sz w:val="20"/>
                <w:szCs w:val="20"/>
              </w:rPr>
              <w:t>2,500</w:t>
            </w:r>
          </w:p>
        </w:tc>
        <w:tc>
          <w:tcPr>
            <w:tcW w:w="1293" w:type="dxa"/>
            <w:shd w:val="clear" w:color="auto" w:fill="000000"/>
            <w:vAlign w:val="center"/>
          </w:tcPr>
          <w:p w:rsidRPr="00C54100" w:rsidR="00366577" w:rsidP="00366577" w:rsidRDefault="00366577" w14:paraId="445754C0" w14:textId="77777777">
            <w:pPr>
              <w:jc w:val="right"/>
              <w:rPr>
                <w:rFonts w:ascii="Times New Roman" w:hAnsi="Times New Roman" w:eastAsia="Calibri" w:cs="Times New Roman"/>
                <w:sz w:val="20"/>
                <w:szCs w:val="20"/>
              </w:rPr>
            </w:pPr>
          </w:p>
        </w:tc>
        <w:tc>
          <w:tcPr>
            <w:tcW w:w="1160" w:type="dxa"/>
            <w:vAlign w:val="center"/>
          </w:tcPr>
          <w:p w:rsidRPr="00C54100" w:rsidR="00366577" w:rsidP="00366577" w:rsidRDefault="00B52AB7" w14:paraId="655B3545" w14:textId="21E3ECB4">
            <w:pPr>
              <w:jc w:val="right"/>
              <w:rPr>
                <w:rFonts w:ascii="Times New Roman" w:hAnsi="Times New Roman" w:eastAsia="Calibri" w:cs="Times New Roman"/>
                <w:sz w:val="20"/>
                <w:szCs w:val="20"/>
              </w:rPr>
            </w:pPr>
            <w:r>
              <w:rPr>
                <w:rFonts w:ascii="Times New Roman" w:hAnsi="Times New Roman" w:eastAsia="Calibri" w:cs="Times New Roman"/>
                <w:sz w:val="20"/>
                <w:szCs w:val="20"/>
              </w:rPr>
              <w:t>2,500</w:t>
            </w:r>
          </w:p>
        </w:tc>
        <w:tc>
          <w:tcPr>
            <w:tcW w:w="1074" w:type="dxa"/>
            <w:shd w:val="clear" w:color="auto" w:fill="000000"/>
            <w:vAlign w:val="center"/>
          </w:tcPr>
          <w:p w:rsidRPr="00C54100" w:rsidR="00366577" w:rsidP="00366577" w:rsidRDefault="00366577" w14:paraId="77178B01" w14:textId="77777777">
            <w:pPr>
              <w:jc w:val="right"/>
              <w:rPr>
                <w:rFonts w:ascii="Times New Roman" w:hAnsi="Times New Roman" w:eastAsia="Calibri" w:cs="Times New Roman"/>
                <w:sz w:val="20"/>
                <w:szCs w:val="20"/>
              </w:rPr>
            </w:pPr>
          </w:p>
        </w:tc>
        <w:tc>
          <w:tcPr>
            <w:tcW w:w="801" w:type="dxa"/>
            <w:vAlign w:val="center"/>
          </w:tcPr>
          <w:p w:rsidRPr="00C54100" w:rsidR="00366577" w:rsidP="00366577" w:rsidRDefault="00775603" w14:paraId="5D3C97A1" w14:textId="4F938FB7">
            <w:pPr>
              <w:jc w:val="right"/>
              <w:rPr>
                <w:rFonts w:ascii="Times New Roman" w:hAnsi="Times New Roman" w:eastAsia="Calibri" w:cs="Times New Roman"/>
                <w:sz w:val="20"/>
                <w:szCs w:val="20"/>
              </w:rPr>
            </w:pPr>
            <w:r>
              <w:rPr>
                <w:rFonts w:ascii="Times New Roman" w:hAnsi="Times New Roman" w:eastAsia="Calibri" w:cs="Times New Roman"/>
                <w:sz w:val="20"/>
                <w:szCs w:val="20"/>
              </w:rPr>
              <w:t>1,250</w:t>
            </w:r>
          </w:p>
        </w:tc>
        <w:tc>
          <w:tcPr>
            <w:tcW w:w="1256" w:type="dxa"/>
            <w:shd w:val="clear" w:color="auto" w:fill="000000"/>
            <w:vAlign w:val="center"/>
          </w:tcPr>
          <w:p w:rsidRPr="00C54100" w:rsidR="00366577" w:rsidP="00366577" w:rsidRDefault="00366577" w14:paraId="7891D579" w14:textId="77777777">
            <w:pPr>
              <w:jc w:val="right"/>
              <w:rPr>
                <w:rFonts w:ascii="Times New Roman" w:hAnsi="Times New Roman" w:eastAsia="Calibri" w:cs="Times New Roman"/>
                <w:sz w:val="20"/>
                <w:szCs w:val="20"/>
              </w:rPr>
            </w:pPr>
          </w:p>
        </w:tc>
        <w:tc>
          <w:tcPr>
            <w:tcW w:w="1293" w:type="dxa"/>
            <w:vAlign w:val="center"/>
          </w:tcPr>
          <w:p w:rsidRPr="00C54100" w:rsidR="00366577" w:rsidP="00366577" w:rsidRDefault="00B52AB7" w14:paraId="0DB788EF" w14:textId="5FDFD264">
            <w:pPr>
              <w:jc w:val="right"/>
              <w:rPr>
                <w:rFonts w:ascii="Times New Roman" w:hAnsi="Times New Roman" w:eastAsia="Calibri" w:cs="Times New Roman"/>
                <w:sz w:val="20"/>
                <w:szCs w:val="20"/>
              </w:rPr>
            </w:pPr>
            <w:r>
              <w:rPr>
                <w:rFonts w:ascii="Times New Roman" w:hAnsi="Times New Roman" w:eastAsia="Calibri" w:cs="Times New Roman"/>
                <w:sz w:val="20"/>
                <w:szCs w:val="20"/>
              </w:rPr>
              <w:t>$</w:t>
            </w:r>
            <w:r w:rsidR="00775603">
              <w:rPr>
                <w:rFonts w:ascii="Times New Roman" w:hAnsi="Times New Roman" w:eastAsia="Calibri" w:cs="Times New Roman"/>
                <w:sz w:val="20"/>
                <w:szCs w:val="20"/>
              </w:rPr>
              <w:t>127,</w:t>
            </w:r>
            <w:r w:rsidR="005C7B2D">
              <w:rPr>
                <w:rFonts w:ascii="Times New Roman" w:hAnsi="Times New Roman" w:eastAsia="Calibri" w:cs="Times New Roman"/>
                <w:sz w:val="20"/>
                <w:szCs w:val="20"/>
              </w:rPr>
              <w:t>500</w:t>
            </w:r>
          </w:p>
        </w:tc>
      </w:tr>
    </w:tbl>
    <w:p w:rsidR="002F4F27" w:rsidP="00562915" w:rsidRDefault="002F4F27" w14:paraId="505CA7D7" w14:textId="77777777">
      <w:pPr>
        <w:rPr>
          <w:rFonts w:ascii="Times New Roman" w:hAnsi="Times New Roman" w:cs="Times New Roman"/>
          <w:b/>
          <w:bCs/>
          <w:sz w:val="24"/>
          <w:szCs w:val="24"/>
        </w:rPr>
      </w:pPr>
    </w:p>
    <w:p w:rsidR="00562915" w:rsidP="00562915" w:rsidRDefault="00562915" w14:paraId="36F81307" w14:textId="0771B3F3">
      <w:pPr>
        <w:tabs>
          <w:tab w:val="left" w:pos="-720"/>
        </w:tabs>
        <w:suppressAutoHyphens/>
        <w:rPr>
          <w:rFonts w:ascii="Times New Roman" w:hAnsi="Times New Roman" w:cs="Times New Roman"/>
          <w:b/>
          <w:sz w:val="24"/>
          <w:szCs w:val="24"/>
        </w:rPr>
      </w:pPr>
      <w:r w:rsidRPr="006625E7">
        <w:rPr>
          <w:rFonts w:ascii="Times New Roman" w:hAnsi="Times New Roman" w:cs="Times New Roman"/>
          <w:b/>
          <w:sz w:val="24"/>
          <w:szCs w:val="24"/>
        </w:rPr>
        <w:t>Instruction for Wage-rate category multiplier:  Take each non-loaded “Avg. Hourly Wage Rate” from the BLS website table and multiply that number by 1.4</w:t>
      </w:r>
      <w:r w:rsidR="00B53B79">
        <w:rPr>
          <w:rFonts w:ascii="Times New Roman" w:hAnsi="Times New Roman" w:cs="Times New Roman"/>
          <w:b/>
          <w:sz w:val="24"/>
          <w:szCs w:val="24"/>
        </w:rPr>
        <w:t>6</w:t>
      </w:r>
      <w:r w:rsidR="00BA2737">
        <w:rPr>
          <w:rStyle w:val="FootnoteReference"/>
          <w:rFonts w:ascii="Times New Roman" w:hAnsi="Times New Roman" w:cs="Times New Roman"/>
          <w:b/>
          <w:sz w:val="24"/>
          <w:szCs w:val="24"/>
        </w:rPr>
        <w:footnoteReference w:id="1"/>
      </w:r>
      <w:r w:rsidRPr="006625E7">
        <w:rPr>
          <w:rFonts w:ascii="Times New Roman" w:hAnsi="Times New Roman" w:cs="Times New Roman"/>
          <w:b/>
          <w:sz w:val="24"/>
          <w:szCs w:val="24"/>
        </w:rPr>
        <w:t>.  For example, a non-loaded BLS table wage rate of $42.51 would be multiplied by 1.4</w:t>
      </w:r>
      <w:r w:rsidR="00B53B79">
        <w:rPr>
          <w:rFonts w:ascii="Times New Roman" w:hAnsi="Times New Roman" w:cs="Times New Roman"/>
          <w:b/>
          <w:sz w:val="24"/>
          <w:szCs w:val="24"/>
        </w:rPr>
        <w:t>6</w:t>
      </w:r>
      <w:r w:rsidRPr="006625E7">
        <w:rPr>
          <w:rFonts w:ascii="Times New Roman" w:hAnsi="Times New Roman" w:cs="Times New Roman"/>
          <w:b/>
          <w:sz w:val="24"/>
          <w:szCs w:val="24"/>
        </w:rPr>
        <w:t>, and the entry for the “Avg. Hourly Wage Rate” would be $</w:t>
      </w:r>
      <w:r w:rsidR="00B53B79">
        <w:rPr>
          <w:rFonts w:ascii="Times New Roman" w:hAnsi="Times New Roman" w:cs="Times New Roman"/>
          <w:b/>
          <w:sz w:val="24"/>
          <w:szCs w:val="24"/>
        </w:rPr>
        <w:t>62.06</w:t>
      </w:r>
      <w:r w:rsidRPr="006625E7">
        <w:rPr>
          <w:rFonts w:ascii="Times New Roman" w:hAnsi="Times New Roman" w:cs="Times New Roman"/>
          <w:b/>
          <w:sz w:val="24"/>
          <w:szCs w:val="24"/>
        </w:rPr>
        <w:t>.</w:t>
      </w:r>
    </w:p>
    <w:p w:rsidRPr="00775603" w:rsidR="00C415C7" w:rsidP="00562915" w:rsidRDefault="00BA2737" w14:paraId="4C40A750" w14:textId="028E638E">
      <w:pPr>
        <w:tabs>
          <w:tab w:val="left" w:pos="-720"/>
        </w:tabs>
        <w:suppressAutoHyphens/>
        <w:rPr>
          <w:rFonts w:ascii="Times New Roman" w:hAnsi="Times New Roman"/>
        </w:rPr>
      </w:pPr>
      <w:r w:rsidRPr="00AD6EF4">
        <w:rPr>
          <w:rFonts w:ascii="Times New Roman" w:hAnsi="Times New Roman"/>
        </w:rPr>
        <w:lastRenderedPageBreak/>
        <w:t>According to the U.S. Department of Labor, Bureau of Labor Statistics</w:t>
      </w:r>
      <w:r w:rsidRPr="00AD6EF4">
        <w:rPr>
          <w:rStyle w:val="FootnoteReference"/>
          <w:rFonts w:ascii="Times New Roman" w:hAnsi="Times New Roman"/>
        </w:rPr>
        <w:footnoteReference w:id="2"/>
      </w:r>
      <w:r w:rsidRPr="00AD6EF4">
        <w:rPr>
          <w:rFonts w:ascii="Times New Roman" w:hAnsi="Times New Roman"/>
        </w:rPr>
        <w:t>, the May 201</w:t>
      </w:r>
      <w:r>
        <w:rPr>
          <w:rFonts w:ascii="Times New Roman" w:hAnsi="Times New Roman"/>
        </w:rPr>
        <w:t>9</w:t>
      </w:r>
      <w:r w:rsidRPr="00AD6EF4">
        <w:rPr>
          <w:rFonts w:ascii="Times New Roman" w:hAnsi="Times New Roman"/>
        </w:rPr>
        <w:t xml:space="preserve"> Occupational Employment and Wage Estimates wage rate for </w:t>
      </w:r>
      <w:r w:rsidR="00775603">
        <w:rPr>
          <w:rFonts w:ascii="Times New Roman" w:hAnsi="Times New Roman"/>
        </w:rPr>
        <w:t>Lawyers</w:t>
      </w:r>
      <w:r>
        <w:rPr>
          <w:rFonts w:ascii="Times New Roman" w:hAnsi="Times New Roman"/>
        </w:rPr>
        <w:t xml:space="preserve"> </w:t>
      </w:r>
      <w:r w:rsidRPr="00AD6EF4">
        <w:rPr>
          <w:rFonts w:ascii="Times New Roman" w:hAnsi="Times New Roman"/>
        </w:rPr>
        <w:t>(</w:t>
      </w:r>
      <w:r>
        <w:rPr>
          <w:rFonts w:ascii="Times New Roman" w:hAnsi="Times New Roman"/>
        </w:rPr>
        <w:t>SOC</w:t>
      </w:r>
      <w:r w:rsidRPr="00AD6EF4">
        <w:rPr>
          <w:rFonts w:ascii="Times New Roman" w:hAnsi="Times New Roman"/>
        </w:rPr>
        <w:t xml:space="preserve"> </w:t>
      </w:r>
      <w:r w:rsidR="00775603">
        <w:rPr>
          <w:rFonts w:ascii="Times New Roman" w:hAnsi="Times New Roman"/>
        </w:rPr>
        <w:t>23-1011</w:t>
      </w:r>
      <w:r w:rsidRPr="00AD6EF4">
        <w:rPr>
          <w:rFonts w:ascii="Times New Roman" w:hAnsi="Times New Roman"/>
        </w:rPr>
        <w:t>) is $</w:t>
      </w:r>
      <w:r w:rsidR="00775603">
        <w:rPr>
          <w:rFonts w:ascii="Times New Roman" w:hAnsi="Times New Roman"/>
        </w:rPr>
        <w:t>69.86</w:t>
      </w:r>
      <w:r>
        <w:rPr>
          <w:rFonts w:ascii="Times New Roman" w:hAnsi="Times New Roman"/>
        </w:rPr>
        <w:t xml:space="preserve">.  </w:t>
      </w:r>
      <w:r w:rsidRPr="00AD6EF4">
        <w:rPr>
          <w:rFonts w:ascii="Times New Roman" w:hAnsi="Times New Roman"/>
        </w:rPr>
        <w:t>Including the wage rate multiplier of 1.46, the fully-loaded wage rate</w:t>
      </w:r>
      <w:r>
        <w:rPr>
          <w:rFonts w:ascii="Times New Roman" w:hAnsi="Times New Roman"/>
        </w:rPr>
        <w:t xml:space="preserve"> is</w:t>
      </w:r>
      <w:r w:rsidRPr="00AD6EF4">
        <w:rPr>
          <w:rFonts w:ascii="Times New Roman" w:hAnsi="Times New Roman"/>
        </w:rPr>
        <w:t xml:space="preserve"> $</w:t>
      </w:r>
      <w:r w:rsidR="00775603">
        <w:rPr>
          <w:rFonts w:ascii="Times New Roman" w:hAnsi="Times New Roman"/>
        </w:rPr>
        <w:t>102.00</w:t>
      </w:r>
      <w:r w:rsidRPr="00AD6EF4">
        <w:rPr>
          <w:rFonts w:ascii="Times New Roman" w:hAnsi="Times New Roman"/>
        </w:rPr>
        <w:t xml:space="preserve"> per hour.  Therefore, the annual burden hour cost is estimated to be $</w:t>
      </w:r>
      <w:r w:rsidR="00775603">
        <w:rPr>
          <w:rFonts w:ascii="Times New Roman" w:hAnsi="Times New Roman"/>
        </w:rPr>
        <w:t>127,</w:t>
      </w:r>
      <w:r w:rsidR="005C7B2D">
        <w:rPr>
          <w:rFonts w:ascii="Times New Roman" w:hAnsi="Times New Roman"/>
        </w:rPr>
        <w:t>500</w:t>
      </w:r>
      <w:r w:rsidRPr="00AD6EF4">
        <w:rPr>
          <w:rFonts w:ascii="Times New Roman" w:hAnsi="Times New Roman"/>
        </w:rPr>
        <w:t xml:space="preserve"> ($</w:t>
      </w:r>
      <w:r w:rsidR="00775603">
        <w:rPr>
          <w:rFonts w:ascii="Times New Roman" w:hAnsi="Times New Roman"/>
        </w:rPr>
        <w:t>102.00</w:t>
      </w:r>
      <w:r>
        <w:rPr>
          <w:rFonts w:ascii="Times New Roman" w:hAnsi="Times New Roman"/>
        </w:rPr>
        <w:t xml:space="preserve"> </w:t>
      </w:r>
      <w:r w:rsidRPr="00AD6EF4">
        <w:rPr>
          <w:rFonts w:ascii="Times New Roman" w:hAnsi="Times New Roman"/>
        </w:rPr>
        <w:t xml:space="preserve">x </w:t>
      </w:r>
      <w:r w:rsidR="00775603">
        <w:rPr>
          <w:rFonts w:ascii="Times New Roman" w:hAnsi="Times New Roman"/>
        </w:rPr>
        <w:t>1,250</w:t>
      </w:r>
      <w:r w:rsidRPr="00AD6EF4">
        <w:rPr>
          <w:rFonts w:ascii="Times New Roman" w:hAnsi="Times New Roman"/>
        </w:rPr>
        <w:t xml:space="preserve"> hours).</w:t>
      </w:r>
    </w:p>
    <w:p w:rsidRPr="006625E7" w:rsidR="00562915" w:rsidP="00562915" w:rsidRDefault="00562915" w14:paraId="793FAF9C" w14:textId="77777777">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sz w:val="24"/>
          <w:szCs w:val="24"/>
        </w:rPr>
        <w:t>13.</w:t>
      </w:r>
      <w:r w:rsidRPr="006625E7">
        <w:rPr>
          <w:rFonts w:ascii="Times New Roman" w:hAnsi="Times New Roman" w:cs="Times New Roman"/>
          <w:sz w:val="24"/>
          <w:szCs w:val="24"/>
        </w:rPr>
        <w:t xml:space="preserve">  </w:t>
      </w:r>
      <w:r w:rsidRPr="006625E7">
        <w:rPr>
          <w:rFonts w:ascii="Times New Roman" w:hAnsi="Times New Roman" w:cs="Times New Roman"/>
          <w:b/>
          <w:bCs/>
          <w:sz w:val="24"/>
          <w:szCs w:val="24"/>
        </w:rPr>
        <w:t>Provide an estimate of the total annual cost burden to respondents or recordkeepers resulting from the collection of information.  The cost of purchasing or contracting out information collection services should be a part of this cost burden estimate.  (Do not include the cost of any hour burden shown in Items 12 and 14.)</w:t>
      </w:r>
    </w:p>
    <w:p w:rsidRPr="006625E7" w:rsidR="00562915" w:rsidP="00562915" w:rsidRDefault="00562915" w14:paraId="1B40E8DD" w14:textId="77777777">
      <w:pPr>
        <w:rPr>
          <w:rFonts w:ascii="Times New Roman" w:hAnsi="Times New Roman" w:cs="Times New Roman"/>
          <w:b/>
          <w:bCs/>
          <w:color w:val="FF0000"/>
          <w:sz w:val="24"/>
          <w:szCs w:val="24"/>
        </w:rPr>
      </w:pPr>
      <w:r w:rsidRPr="006625E7">
        <w:rPr>
          <w:rFonts w:ascii="Times New Roman" w:hAnsi="Times New Roman" w:cs="Times New Roman"/>
          <w:b/>
          <w:bCs/>
          <w:sz w:val="24"/>
          <w:szCs w:val="24"/>
        </w:rPr>
        <w:t>The cost estimates should be split into two components:</w:t>
      </w:r>
    </w:p>
    <w:p w:rsidRPr="006625E7" w:rsidR="00562915" w:rsidP="00562915" w:rsidRDefault="00562915" w14:paraId="24321D0F" w14:textId="77777777">
      <w:pPr>
        <w:rPr>
          <w:rFonts w:ascii="Times New Roman" w:hAnsi="Times New Roman" w:cs="Times New Roman"/>
          <w:b/>
          <w:bCs/>
          <w:color w:val="FF0000"/>
          <w:sz w:val="24"/>
          <w:szCs w:val="24"/>
        </w:rPr>
      </w:pPr>
      <w:r w:rsidRPr="006625E7">
        <w:rPr>
          <w:rFonts w:ascii="Times New Roman" w:hAnsi="Times New Roman" w:cs="Times New Roman"/>
          <w:b/>
          <w:bCs/>
          <w:color w:val="FF0000"/>
          <w:sz w:val="24"/>
          <w:szCs w:val="24"/>
        </w:rPr>
        <w:tab/>
      </w:r>
      <w:r w:rsidRPr="006625E7">
        <w:rPr>
          <w:rFonts w:ascii="Times New Roman" w:hAnsi="Times New Roman" w:cs="Times New Roman"/>
          <w:b/>
          <w:bCs/>
          <w:sz w:val="24"/>
          <w:szCs w:val="24"/>
        </w:rPr>
        <w:t xml:space="preserve">a.  Operation and Maintenance and purchase of services component.  These </w:t>
      </w:r>
      <w:r w:rsidRPr="006625E7">
        <w:rPr>
          <w:rFonts w:ascii="Times New Roman" w:hAnsi="Times New Roman" w:cs="Times New Roman"/>
          <w:b/>
          <w:bCs/>
          <w:sz w:val="24"/>
          <w:szCs w:val="24"/>
        </w:rPr>
        <w:tab/>
        <w:t>estimates should take into account cost associated with generating, maintaining, and disclosing or providing information.  Include descriptions of methods used to estimate major cost factors including system and technology acquisition, expected useful life of capital equipment, the discount rate(s), and the time period over which costs will be incurred.</w:t>
      </w:r>
    </w:p>
    <w:p w:rsidRPr="006625E7" w:rsidR="00562915" w:rsidP="00562915" w:rsidRDefault="00562915" w14:paraId="319199D3" w14:textId="77777777">
      <w:pPr>
        <w:rPr>
          <w:rFonts w:ascii="Times New Roman" w:hAnsi="Times New Roman" w:cs="Times New Roman"/>
          <w:b/>
          <w:bCs/>
          <w:color w:val="FF0000"/>
          <w:sz w:val="24"/>
          <w:szCs w:val="24"/>
        </w:rPr>
      </w:pPr>
      <w:r w:rsidRPr="006625E7">
        <w:rPr>
          <w:rFonts w:ascii="Times New Roman" w:hAnsi="Times New Roman" w:cs="Times New Roman"/>
          <w:b/>
          <w:bCs/>
          <w:color w:val="FF0000"/>
          <w:sz w:val="24"/>
          <w:szCs w:val="24"/>
        </w:rPr>
        <w:tab/>
      </w:r>
      <w:r w:rsidRPr="006625E7">
        <w:rPr>
          <w:rFonts w:ascii="Times New Roman" w:hAnsi="Times New Roman" w:cs="Times New Roman"/>
          <w:b/>
          <w:bCs/>
          <w:sz w:val="24"/>
          <w:szCs w:val="24"/>
        </w:rPr>
        <w:t>b.  Capital and Start-up-Cost should include, among other items, preparations for collecting information such as purchasing computers and</w:t>
      </w:r>
      <w:r w:rsidRPr="006625E7" w:rsidR="00BB543D">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software, monitoring sampling, drilling and testing equipment, and record storage facilities.  </w:t>
      </w:r>
    </w:p>
    <w:p w:rsidR="00562915" w:rsidP="00562915" w:rsidRDefault="00562915" w14:paraId="39C6F12B" w14:textId="29379CC0">
      <w:pPr>
        <w:rPr>
          <w:rFonts w:ascii="Times New Roman" w:hAnsi="Times New Roman" w:cs="Times New Roman"/>
          <w:sz w:val="24"/>
          <w:szCs w:val="24"/>
        </w:rPr>
      </w:pPr>
    </w:p>
    <w:tbl>
      <w:tblPr>
        <w:tblStyle w:val="TableGrid1"/>
        <w:tblW w:w="0" w:type="auto"/>
        <w:tblLook w:val="04A0" w:firstRow="1" w:lastRow="0" w:firstColumn="1" w:lastColumn="0" w:noHBand="0" w:noVBand="1"/>
      </w:tblPr>
      <w:tblGrid>
        <w:gridCol w:w="1837"/>
        <w:gridCol w:w="1598"/>
        <w:gridCol w:w="1971"/>
        <w:gridCol w:w="1626"/>
        <w:gridCol w:w="1598"/>
      </w:tblGrid>
      <w:tr w:rsidRPr="008D1279" w:rsidR="002F4F27" w:rsidTr="00451C91" w14:paraId="273AEC59" w14:textId="77777777">
        <w:tc>
          <w:tcPr>
            <w:tcW w:w="9350" w:type="dxa"/>
            <w:gridSpan w:val="5"/>
          </w:tcPr>
          <w:p w:rsidRPr="008D1279" w:rsidR="002F4F27" w:rsidP="00451C91" w:rsidRDefault="002F4F27" w14:paraId="2CC1F0AD" w14:textId="77777777">
            <w:pPr>
              <w:jc w:val="center"/>
              <w:rPr>
                <w:rFonts w:ascii="Times New Roman" w:hAnsi="Times New Roman" w:eastAsia="Calibri" w:cs="Times New Roman"/>
                <w:b/>
                <w:sz w:val="20"/>
                <w:szCs w:val="20"/>
              </w:rPr>
            </w:pPr>
            <w:bookmarkStart w:name="_Hlk30754312" w:id="2"/>
            <w:r w:rsidRPr="008D1279">
              <w:rPr>
                <w:rFonts w:ascii="Times New Roman" w:hAnsi="Times New Roman" w:eastAsia="Calibri" w:cs="Times New Roman"/>
                <w:b/>
                <w:sz w:val="20"/>
                <w:szCs w:val="20"/>
              </w:rPr>
              <w:t>Annual Cost Burden to Respondents or Recordkeepers</w:t>
            </w:r>
          </w:p>
        </w:tc>
      </w:tr>
      <w:tr w:rsidRPr="008D1279" w:rsidR="002F4F27" w:rsidTr="00451C91" w14:paraId="79476A0F" w14:textId="77777777">
        <w:tc>
          <w:tcPr>
            <w:tcW w:w="1870" w:type="dxa"/>
            <w:shd w:val="clear" w:color="auto" w:fill="8EAADB"/>
          </w:tcPr>
          <w:p w:rsidRPr="008D1279" w:rsidR="002F4F27" w:rsidP="00451C91" w:rsidRDefault="002F4F27" w14:paraId="1A89E175" w14:textId="77777777">
            <w:pPr>
              <w:rPr>
                <w:rFonts w:ascii="Times New Roman" w:hAnsi="Times New Roman" w:eastAsia="Calibri" w:cs="Times New Roman"/>
                <w:sz w:val="20"/>
                <w:szCs w:val="20"/>
              </w:rPr>
            </w:pPr>
            <w:r w:rsidRPr="008D1279">
              <w:rPr>
                <w:rFonts w:ascii="Times New Roman" w:hAnsi="Times New Roman" w:eastAsia="Calibri" w:cs="Times New Roman"/>
                <w:sz w:val="20"/>
                <w:szCs w:val="20"/>
              </w:rPr>
              <w:t>Data Collection Activity/Instrument</w:t>
            </w:r>
          </w:p>
        </w:tc>
        <w:tc>
          <w:tcPr>
            <w:tcW w:w="1870" w:type="dxa"/>
            <w:shd w:val="clear" w:color="auto" w:fill="8EAADB"/>
          </w:tcPr>
          <w:p w:rsidRPr="008D1279" w:rsidR="002F4F27" w:rsidP="00451C91" w:rsidRDefault="002F4F27" w14:paraId="369B1827" w14:textId="77777777">
            <w:pPr>
              <w:rPr>
                <w:rFonts w:ascii="Times New Roman" w:hAnsi="Times New Roman" w:eastAsia="Calibri" w:cs="Times New Roman"/>
                <w:sz w:val="20"/>
                <w:szCs w:val="20"/>
              </w:rPr>
            </w:pPr>
            <w:r w:rsidRPr="008D1279">
              <w:rPr>
                <w:rFonts w:ascii="Times New Roman" w:hAnsi="Times New Roman" w:eastAsia="Calibri" w:cs="Times New Roman"/>
                <w:sz w:val="20"/>
                <w:szCs w:val="20"/>
              </w:rPr>
              <w:t>*Annual Capital Start-Up Cost (investments in overhead, equipment, and other one-time expenditures</w:t>
            </w:r>
          </w:p>
        </w:tc>
        <w:tc>
          <w:tcPr>
            <w:tcW w:w="1870" w:type="dxa"/>
            <w:shd w:val="clear" w:color="auto" w:fill="8EAADB"/>
          </w:tcPr>
          <w:p w:rsidRPr="008D1279" w:rsidR="002F4F27" w:rsidP="00451C91" w:rsidRDefault="002F4F27" w14:paraId="76FA510E" w14:textId="77777777">
            <w:pPr>
              <w:rPr>
                <w:rFonts w:ascii="Times New Roman" w:hAnsi="Times New Roman" w:eastAsia="Calibri" w:cs="Times New Roman"/>
                <w:sz w:val="20"/>
                <w:szCs w:val="20"/>
              </w:rPr>
            </w:pPr>
            <w:r w:rsidRPr="008D1279">
              <w:rPr>
                <w:rFonts w:ascii="Times New Roman" w:hAnsi="Times New Roman" w:eastAsia="Calibri" w:cs="Times New Roman"/>
                <w:sz w:val="20"/>
                <w:szCs w:val="20"/>
              </w:rPr>
              <w:t>*Annual Operations and Maintenance Costs (such as recordkeeping, technical/professional services, etc.)</w:t>
            </w:r>
          </w:p>
        </w:tc>
        <w:tc>
          <w:tcPr>
            <w:tcW w:w="1870" w:type="dxa"/>
            <w:shd w:val="clear" w:color="auto" w:fill="8EAADB"/>
          </w:tcPr>
          <w:p w:rsidRPr="008D1279" w:rsidR="002F4F27" w:rsidP="00451C91" w:rsidRDefault="002F4F27" w14:paraId="7C046B76" w14:textId="77777777">
            <w:pPr>
              <w:rPr>
                <w:rFonts w:ascii="Times New Roman" w:hAnsi="Times New Roman" w:eastAsia="Calibri" w:cs="Times New Roman"/>
                <w:sz w:val="20"/>
                <w:szCs w:val="20"/>
              </w:rPr>
            </w:pPr>
            <w:r w:rsidRPr="008D1279">
              <w:rPr>
                <w:rFonts w:ascii="Times New Roman" w:hAnsi="Times New Roman" w:eastAsia="Calibri" w:cs="Times New Roman"/>
                <w:sz w:val="20"/>
                <w:szCs w:val="20"/>
              </w:rPr>
              <w:t>Annual Non-Labor Cost (expenditures on training, travel, and other resources)</w:t>
            </w:r>
          </w:p>
        </w:tc>
        <w:tc>
          <w:tcPr>
            <w:tcW w:w="1870" w:type="dxa"/>
            <w:shd w:val="clear" w:color="auto" w:fill="8EAADB"/>
          </w:tcPr>
          <w:p w:rsidRPr="008D1279" w:rsidR="002F4F27" w:rsidP="00451C91" w:rsidRDefault="002F4F27" w14:paraId="509B84ED" w14:textId="77777777">
            <w:pPr>
              <w:rPr>
                <w:rFonts w:ascii="Times New Roman" w:hAnsi="Times New Roman" w:eastAsia="Calibri" w:cs="Times New Roman"/>
                <w:sz w:val="20"/>
                <w:szCs w:val="20"/>
              </w:rPr>
            </w:pPr>
            <w:r w:rsidRPr="008D1279">
              <w:rPr>
                <w:rFonts w:ascii="Times New Roman" w:hAnsi="Times New Roman" w:eastAsia="Calibri" w:cs="Times New Roman"/>
                <w:sz w:val="20"/>
                <w:szCs w:val="20"/>
              </w:rPr>
              <w:t>Total Annual Cost to Respondents</w:t>
            </w:r>
          </w:p>
        </w:tc>
      </w:tr>
      <w:tr w:rsidRPr="008D1279" w:rsidR="002F4F27" w:rsidTr="00451C91" w14:paraId="1826BA6C" w14:textId="77777777">
        <w:tc>
          <w:tcPr>
            <w:tcW w:w="1870" w:type="dxa"/>
          </w:tcPr>
          <w:p w:rsidRPr="008D1279" w:rsidR="002F4F27" w:rsidP="00451C91" w:rsidRDefault="002F4F27" w14:paraId="43BCCC37" w14:textId="5CD0936C">
            <w:pPr>
              <w:rPr>
                <w:rFonts w:ascii="Times New Roman" w:hAnsi="Times New Roman" w:eastAsia="Calibri" w:cs="Times New Roman"/>
                <w:sz w:val="20"/>
                <w:szCs w:val="20"/>
              </w:rPr>
            </w:pPr>
          </w:p>
        </w:tc>
        <w:tc>
          <w:tcPr>
            <w:tcW w:w="1870" w:type="dxa"/>
            <w:vAlign w:val="center"/>
          </w:tcPr>
          <w:p w:rsidRPr="008D1279" w:rsidR="002F4F27" w:rsidP="00451C91" w:rsidRDefault="002F4F27" w14:paraId="3CF3431B" w14:textId="77777777">
            <w:pPr>
              <w:jc w:val="right"/>
              <w:rPr>
                <w:rFonts w:ascii="Times New Roman" w:hAnsi="Times New Roman" w:eastAsia="Calibri" w:cs="Times New Roman"/>
                <w:sz w:val="20"/>
                <w:szCs w:val="20"/>
              </w:rPr>
            </w:pPr>
          </w:p>
        </w:tc>
        <w:tc>
          <w:tcPr>
            <w:tcW w:w="1870" w:type="dxa"/>
            <w:vAlign w:val="center"/>
          </w:tcPr>
          <w:p w:rsidRPr="008D1279" w:rsidR="002F4F27" w:rsidP="00451C91" w:rsidRDefault="002F4F27" w14:paraId="5B623694" w14:textId="77777777">
            <w:pPr>
              <w:jc w:val="right"/>
              <w:rPr>
                <w:rFonts w:ascii="Times New Roman" w:hAnsi="Times New Roman" w:eastAsia="Calibri" w:cs="Times New Roman"/>
                <w:sz w:val="20"/>
                <w:szCs w:val="20"/>
              </w:rPr>
            </w:pPr>
          </w:p>
        </w:tc>
        <w:tc>
          <w:tcPr>
            <w:tcW w:w="1870" w:type="dxa"/>
            <w:vAlign w:val="center"/>
          </w:tcPr>
          <w:p w:rsidRPr="008D1279" w:rsidR="002F4F27" w:rsidP="00451C91" w:rsidRDefault="002F4F27" w14:paraId="61D4A873" w14:textId="77777777">
            <w:pPr>
              <w:jc w:val="right"/>
              <w:rPr>
                <w:rFonts w:ascii="Times New Roman" w:hAnsi="Times New Roman" w:eastAsia="Calibri" w:cs="Times New Roman"/>
                <w:sz w:val="20"/>
                <w:szCs w:val="20"/>
              </w:rPr>
            </w:pPr>
          </w:p>
        </w:tc>
        <w:tc>
          <w:tcPr>
            <w:tcW w:w="1870" w:type="dxa"/>
            <w:vAlign w:val="center"/>
          </w:tcPr>
          <w:p w:rsidRPr="008D1279" w:rsidR="002F4F27" w:rsidP="00451C91" w:rsidRDefault="002F4F27" w14:paraId="364F3811" w14:textId="77777777">
            <w:pPr>
              <w:jc w:val="right"/>
              <w:rPr>
                <w:rFonts w:ascii="Times New Roman" w:hAnsi="Times New Roman" w:eastAsia="Calibri" w:cs="Times New Roman"/>
                <w:sz w:val="20"/>
                <w:szCs w:val="20"/>
              </w:rPr>
            </w:pPr>
          </w:p>
        </w:tc>
      </w:tr>
      <w:tr w:rsidRPr="008D1279" w:rsidR="002F4F27" w:rsidTr="00451C91" w14:paraId="562ECF39" w14:textId="77777777">
        <w:tc>
          <w:tcPr>
            <w:tcW w:w="1870" w:type="dxa"/>
          </w:tcPr>
          <w:p w:rsidRPr="008D1279" w:rsidR="002F4F27" w:rsidP="00451C91" w:rsidRDefault="002F4F27" w14:paraId="20CA7756" w14:textId="77777777">
            <w:pPr>
              <w:rPr>
                <w:rFonts w:ascii="Times New Roman" w:hAnsi="Times New Roman" w:eastAsia="Calibri" w:cs="Times New Roman"/>
                <w:b/>
                <w:sz w:val="20"/>
                <w:szCs w:val="20"/>
              </w:rPr>
            </w:pPr>
            <w:r w:rsidRPr="008D1279">
              <w:rPr>
                <w:rFonts w:ascii="Times New Roman" w:hAnsi="Times New Roman" w:eastAsia="Calibri" w:cs="Times New Roman"/>
                <w:b/>
                <w:sz w:val="20"/>
                <w:szCs w:val="20"/>
              </w:rPr>
              <w:t>Total</w:t>
            </w:r>
          </w:p>
        </w:tc>
        <w:tc>
          <w:tcPr>
            <w:tcW w:w="1870" w:type="dxa"/>
            <w:vAlign w:val="center"/>
          </w:tcPr>
          <w:p w:rsidRPr="008D1279" w:rsidR="002F4F27" w:rsidP="00451C91" w:rsidRDefault="002F4F27" w14:paraId="1250D744" w14:textId="77777777">
            <w:pPr>
              <w:jc w:val="right"/>
              <w:rPr>
                <w:rFonts w:ascii="Times New Roman" w:hAnsi="Times New Roman" w:eastAsia="Calibri" w:cs="Times New Roman"/>
                <w:sz w:val="20"/>
                <w:szCs w:val="20"/>
              </w:rPr>
            </w:pPr>
            <w:r w:rsidRPr="008D1279">
              <w:rPr>
                <w:rFonts w:ascii="Times New Roman" w:hAnsi="Times New Roman" w:eastAsia="Calibri" w:cs="Times New Roman"/>
                <w:sz w:val="20"/>
                <w:szCs w:val="20"/>
              </w:rPr>
              <w:t>$0</w:t>
            </w:r>
          </w:p>
        </w:tc>
        <w:tc>
          <w:tcPr>
            <w:tcW w:w="1870" w:type="dxa"/>
            <w:vAlign w:val="center"/>
          </w:tcPr>
          <w:p w:rsidRPr="008D1279" w:rsidR="002F4F27" w:rsidP="00451C91" w:rsidRDefault="002F4F27" w14:paraId="425F07F2" w14:textId="77777777">
            <w:pPr>
              <w:jc w:val="right"/>
              <w:rPr>
                <w:rFonts w:ascii="Times New Roman" w:hAnsi="Times New Roman" w:eastAsia="Calibri" w:cs="Times New Roman"/>
                <w:sz w:val="20"/>
                <w:szCs w:val="20"/>
              </w:rPr>
            </w:pPr>
            <w:r w:rsidRPr="008D1279">
              <w:rPr>
                <w:rFonts w:ascii="Times New Roman" w:hAnsi="Times New Roman" w:eastAsia="Calibri" w:cs="Times New Roman"/>
                <w:sz w:val="20"/>
                <w:szCs w:val="20"/>
              </w:rPr>
              <w:t>$0</w:t>
            </w:r>
          </w:p>
        </w:tc>
        <w:tc>
          <w:tcPr>
            <w:tcW w:w="1870" w:type="dxa"/>
            <w:vAlign w:val="center"/>
          </w:tcPr>
          <w:p w:rsidRPr="008D1279" w:rsidR="002F4F27" w:rsidP="00451C91" w:rsidRDefault="002F4F27" w14:paraId="52C0AA40" w14:textId="77777777">
            <w:pPr>
              <w:jc w:val="right"/>
              <w:rPr>
                <w:rFonts w:ascii="Times New Roman" w:hAnsi="Times New Roman" w:eastAsia="Calibri" w:cs="Times New Roman"/>
                <w:sz w:val="20"/>
                <w:szCs w:val="20"/>
              </w:rPr>
            </w:pPr>
            <w:r w:rsidRPr="008D1279">
              <w:rPr>
                <w:rFonts w:ascii="Times New Roman" w:hAnsi="Times New Roman" w:eastAsia="Calibri" w:cs="Times New Roman"/>
                <w:sz w:val="20"/>
                <w:szCs w:val="20"/>
              </w:rPr>
              <w:t>$0</w:t>
            </w:r>
          </w:p>
        </w:tc>
        <w:tc>
          <w:tcPr>
            <w:tcW w:w="1870" w:type="dxa"/>
            <w:vAlign w:val="center"/>
          </w:tcPr>
          <w:p w:rsidRPr="008D1279" w:rsidR="002F4F27" w:rsidP="00451C91" w:rsidRDefault="002F4F27" w14:paraId="44504333" w14:textId="77777777">
            <w:pPr>
              <w:jc w:val="right"/>
              <w:rPr>
                <w:rFonts w:ascii="Times New Roman" w:hAnsi="Times New Roman" w:eastAsia="Calibri" w:cs="Times New Roman"/>
                <w:sz w:val="20"/>
                <w:szCs w:val="20"/>
              </w:rPr>
            </w:pPr>
            <w:r w:rsidRPr="008D1279">
              <w:rPr>
                <w:rFonts w:ascii="Times New Roman" w:hAnsi="Times New Roman" w:eastAsia="Calibri" w:cs="Times New Roman"/>
                <w:sz w:val="20"/>
                <w:szCs w:val="20"/>
              </w:rPr>
              <w:t>$0</w:t>
            </w:r>
          </w:p>
        </w:tc>
      </w:tr>
      <w:bookmarkEnd w:id="2"/>
    </w:tbl>
    <w:p w:rsidR="002F4F27" w:rsidP="00562915" w:rsidRDefault="002F4F27" w14:paraId="3F5B4DBC" w14:textId="77777777">
      <w:pPr>
        <w:rPr>
          <w:rFonts w:ascii="Times New Roman" w:hAnsi="Times New Roman" w:cs="Times New Roman"/>
          <w:sz w:val="24"/>
          <w:szCs w:val="24"/>
        </w:rPr>
      </w:pPr>
    </w:p>
    <w:p w:rsidRPr="006625E7" w:rsidR="007F514F" w:rsidP="00562915" w:rsidRDefault="00237498" w14:paraId="2778ACC1" w14:textId="0F55B609">
      <w:pPr>
        <w:rPr>
          <w:rFonts w:ascii="Times New Roman" w:hAnsi="Times New Roman" w:cs="Times New Roman"/>
          <w:sz w:val="24"/>
          <w:szCs w:val="24"/>
        </w:rPr>
      </w:pPr>
      <w:r>
        <w:rPr>
          <w:rFonts w:ascii="Times New Roman" w:hAnsi="Times New Roman" w:cs="Times New Roman"/>
          <w:sz w:val="24"/>
          <w:szCs w:val="24"/>
        </w:rPr>
        <w:t xml:space="preserve">The AES system is web accessible and does not require capital beyond that necessary for routine business needs. </w:t>
      </w:r>
      <w:r w:rsidR="001621E6">
        <w:rPr>
          <w:rFonts w:ascii="Times New Roman" w:hAnsi="Times New Roman" w:cs="Times New Roman"/>
          <w:sz w:val="24"/>
          <w:szCs w:val="24"/>
        </w:rPr>
        <w:t xml:space="preserve"> </w:t>
      </w:r>
      <w:r>
        <w:rPr>
          <w:rFonts w:ascii="Times New Roman" w:hAnsi="Times New Roman" w:cs="Times New Roman"/>
          <w:sz w:val="24"/>
          <w:szCs w:val="24"/>
        </w:rPr>
        <w:t xml:space="preserve">This collection adds a requirement to existing business processes for filing. </w:t>
      </w:r>
    </w:p>
    <w:p w:rsidR="00562915" w:rsidP="006625E7" w:rsidRDefault="00562915" w14:paraId="201EDD55" w14:textId="77777777">
      <w:pPr>
        <w:rPr>
          <w:rFonts w:ascii="Times New Roman" w:hAnsi="Times New Roman" w:cs="Times New Roman"/>
          <w:b/>
          <w:bCs/>
          <w:sz w:val="24"/>
          <w:szCs w:val="24"/>
        </w:rPr>
      </w:pPr>
      <w:r>
        <w:rPr>
          <w:b/>
          <w:bCs/>
        </w:rPr>
        <w:t xml:space="preserve"> </w:t>
      </w:r>
      <w:r w:rsidRPr="006625E7">
        <w:rPr>
          <w:rFonts w:ascii="Times New Roman" w:hAnsi="Times New Roman" w:cs="Times New Roman"/>
          <w:b/>
          <w:bCs/>
          <w:sz w:val="24"/>
          <w:szCs w:val="24"/>
        </w:rPr>
        <w:t xml:space="preserve">14. Provide estimates of annualized cost to the federal government.  Also, provide a description of the method used to estimate cost, which should include quantification </w:t>
      </w:r>
      <w:r w:rsidRPr="006625E7">
        <w:rPr>
          <w:rFonts w:ascii="Times New Roman" w:hAnsi="Times New Roman" w:cs="Times New Roman"/>
          <w:b/>
          <w:bCs/>
          <w:sz w:val="24"/>
          <w:szCs w:val="24"/>
        </w:rPr>
        <w:lastRenderedPageBreak/>
        <w:t>of hours, operational expenses (such as equipment, overhead, printing and support staff), and any other expense that would have been incurred without this collection of information.  You may also aggregate cost estimates for Items 12, 13, and 14 in a single table.</w:t>
      </w:r>
    </w:p>
    <w:p w:rsidRPr="009B69D3" w:rsidR="00562915" w:rsidP="00942AD5" w:rsidRDefault="00562915" w14:paraId="5B1DD022" w14:textId="06483EF2">
      <w:pPr>
        <w:rPr>
          <w:sz w:val="16"/>
          <w:szCs w:val="16"/>
        </w:rPr>
      </w:pPr>
    </w:p>
    <w:p w:rsidR="002F4F27" w:rsidP="007F514F" w:rsidRDefault="00562915" w14:paraId="4211CC8A" w14:textId="77777777">
      <w:pPr>
        <w:spacing w:after="0" w:line="240" w:lineRule="auto"/>
        <w:ind w:left="100"/>
      </w:pPr>
      <w:r>
        <w:fldChar w:fldCharType="begin"/>
      </w:r>
      <w:r>
        <w:instrText>ADVANCE \R 0.95</w:instrText>
      </w:r>
      <w:r>
        <w:fldChar w:fldCharType="end"/>
      </w:r>
      <w:r>
        <w:fldChar w:fldCharType="begin"/>
      </w:r>
      <w:r>
        <w:instrText>ADVANCE \R 0.95</w:instrText>
      </w:r>
      <w:r>
        <w:fldChar w:fldCharType="end"/>
      </w:r>
    </w:p>
    <w:tbl>
      <w:tblPr>
        <w:tblStyle w:val="TableGrid2"/>
        <w:tblW w:w="9168" w:type="dxa"/>
        <w:tblLook w:val="04A0" w:firstRow="1" w:lastRow="0" w:firstColumn="1" w:lastColumn="0" w:noHBand="0" w:noVBand="1"/>
      </w:tblPr>
      <w:tblGrid>
        <w:gridCol w:w="7015"/>
        <w:gridCol w:w="2139"/>
        <w:gridCol w:w="14"/>
      </w:tblGrid>
      <w:tr w:rsidRPr="008D1279" w:rsidR="002F4F27" w:rsidTr="002243F4" w14:paraId="708A7841" w14:textId="77777777">
        <w:tc>
          <w:tcPr>
            <w:tcW w:w="9168" w:type="dxa"/>
            <w:gridSpan w:val="3"/>
          </w:tcPr>
          <w:p w:rsidRPr="008D1279" w:rsidR="002F4F27" w:rsidP="00451C91" w:rsidRDefault="002F4F27" w14:paraId="3B6A1A94" w14:textId="77777777">
            <w:pPr>
              <w:jc w:val="center"/>
              <w:rPr>
                <w:rFonts w:ascii="Times New Roman" w:hAnsi="Times New Roman" w:eastAsia="Calibri" w:cs="Times New Roman"/>
                <w:b/>
                <w:sz w:val="20"/>
                <w:szCs w:val="20"/>
              </w:rPr>
            </w:pPr>
            <w:r w:rsidRPr="008D1279">
              <w:rPr>
                <w:rFonts w:ascii="Times New Roman" w:hAnsi="Times New Roman" w:eastAsia="Calibri" w:cs="Times New Roman"/>
                <w:b/>
                <w:sz w:val="20"/>
                <w:szCs w:val="20"/>
              </w:rPr>
              <w:t>Annual Cost to the Federal Government</w:t>
            </w:r>
          </w:p>
        </w:tc>
      </w:tr>
      <w:tr w:rsidRPr="008D1279" w:rsidR="002F4F27" w:rsidTr="002243F4" w14:paraId="7B460FF9" w14:textId="77777777">
        <w:trPr>
          <w:gridAfter w:val="1"/>
          <w:wAfter w:w="14" w:type="dxa"/>
        </w:trPr>
        <w:tc>
          <w:tcPr>
            <w:tcW w:w="7015" w:type="dxa"/>
            <w:shd w:val="clear" w:color="auto" w:fill="8EAADB"/>
          </w:tcPr>
          <w:p w:rsidRPr="008D1279" w:rsidR="002F4F27" w:rsidP="00451C91" w:rsidRDefault="002F4F27" w14:paraId="0B344350" w14:textId="77777777">
            <w:pPr>
              <w:jc w:val="center"/>
              <w:rPr>
                <w:rFonts w:ascii="Times New Roman" w:hAnsi="Times New Roman" w:eastAsia="Calibri" w:cs="Times New Roman"/>
                <w:sz w:val="20"/>
                <w:szCs w:val="20"/>
              </w:rPr>
            </w:pPr>
            <w:r w:rsidRPr="008D1279">
              <w:rPr>
                <w:rFonts w:ascii="Times New Roman" w:hAnsi="Times New Roman" w:eastAsia="Calibri" w:cs="Times New Roman"/>
                <w:sz w:val="20"/>
                <w:szCs w:val="20"/>
              </w:rPr>
              <w:t>Item</w:t>
            </w:r>
          </w:p>
        </w:tc>
        <w:tc>
          <w:tcPr>
            <w:tcW w:w="2139" w:type="dxa"/>
            <w:shd w:val="clear" w:color="auto" w:fill="8EAADB"/>
          </w:tcPr>
          <w:p w:rsidRPr="008D1279" w:rsidR="002F4F27" w:rsidP="00451C91" w:rsidRDefault="002F4F27" w14:paraId="6F07048A" w14:textId="77777777">
            <w:pPr>
              <w:jc w:val="center"/>
              <w:rPr>
                <w:rFonts w:ascii="Times New Roman" w:hAnsi="Times New Roman" w:eastAsia="Calibri" w:cs="Times New Roman"/>
                <w:sz w:val="20"/>
                <w:szCs w:val="20"/>
              </w:rPr>
            </w:pPr>
            <w:r w:rsidRPr="008D1279">
              <w:rPr>
                <w:rFonts w:ascii="Times New Roman" w:hAnsi="Times New Roman" w:eastAsia="Calibri" w:cs="Times New Roman"/>
                <w:sz w:val="20"/>
                <w:szCs w:val="20"/>
              </w:rPr>
              <w:t>Cost ($)</w:t>
            </w:r>
          </w:p>
        </w:tc>
      </w:tr>
      <w:tr w:rsidRPr="008D1279" w:rsidR="002F4F27" w:rsidTr="002243F4" w14:paraId="12C80942" w14:textId="77777777">
        <w:trPr>
          <w:gridAfter w:val="1"/>
          <w:wAfter w:w="14" w:type="dxa"/>
        </w:trPr>
        <w:tc>
          <w:tcPr>
            <w:tcW w:w="7015" w:type="dxa"/>
          </w:tcPr>
          <w:p w:rsidRPr="008D1279" w:rsidR="002F4F27" w:rsidP="00451C91" w:rsidRDefault="002F4F27" w14:paraId="49DFCEC0" w14:textId="77777777">
            <w:pPr>
              <w:rPr>
                <w:rFonts w:ascii="Times New Roman" w:hAnsi="Times New Roman" w:eastAsia="Calibri" w:cs="Times New Roman"/>
                <w:sz w:val="20"/>
                <w:szCs w:val="20"/>
              </w:rPr>
            </w:pPr>
            <w:r w:rsidRPr="008D1279">
              <w:rPr>
                <w:rFonts w:ascii="Times New Roman" w:hAnsi="Times New Roman" w:eastAsia="Calibri" w:cs="Times New Roman"/>
                <w:sz w:val="20"/>
                <w:szCs w:val="20"/>
              </w:rPr>
              <w:t>Contract Costs [Describe]</w:t>
            </w:r>
          </w:p>
        </w:tc>
        <w:tc>
          <w:tcPr>
            <w:tcW w:w="2139" w:type="dxa"/>
            <w:vAlign w:val="center"/>
          </w:tcPr>
          <w:p w:rsidRPr="008D1279" w:rsidR="002F4F27" w:rsidP="00451C91" w:rsidRDefault="002F4F27" w14:paraId="2A0B6901" w14:textId="77777777">
            <w:pPr>
              <w:jc w:val="right"/>
              <w:rPr>
                <w:rFonts w:ascii="Times New Roman" w:hAnsi="Times New Roman" w:eastAsia="Calibri" w:cs="Times New Roman"/>
                <w:sz w:val="20"/>
                <w:szCs w:val="20"/>
              </w:rPr>
            </w:pPr>
            <w:r w:rsidRPr="008D1279">
              <w:rPr>
                <w:rFonts w:ascii="Times New Roman" w:hAnsi="Times New Roman" w:eastAsia="Calibri" w:cs="Times New Roman"/>
                <w:sz w:val="20"/>
                <w:szCs w:val="20"/>
              </w:rPr>
              <w:t>$0</w:t>
            </w:r>
          </w:p>
        </w:tc>
      </w:tr>
      <w:tr w:rsidRPr="008D1279" w:rsidR="002F4F27" w:rsidTr="002243F4" w14:paraId="5CD1B9FC" w14:textId="77777777">
        <w:trPr>
          <w:gridAfter w:val="1"/>
          <w:wAfter w:w="14" w:type="dxa"/>
        </w:trPr>
        <w:tc>
          <w:tcPr>
            <w:tcW w:w="7015" w:type="dxa"/>
          </w:tcPr>
          <w:p w:rsidR="002F4F27" w:rsidP="00451C91" w:rsidRDefault="002F4F27" w14:paraId="359FA34A" w14:textId="0E731A46">
            <w:pPr>
              <w:rPr>
                <w:rFonts w:ascii="Times New Roman" w:hAnsi="Times New Roman" w:eastAsia="Calibri" w:cs="Times New Roman"/>
                <w:sz w:val="20"/>
                <w:szCs w:val="20"/>
              </w:rPr>
            </w:pPr>
            <w:r w:rsidRPr="008D1279">
              <w:rPr>
                <w:rFonts w:ascii="Times New Roman" w:hAnsi="Times New Roman" w:eastAsia="Calibri" w:cs="Times New Roman"/>
                <w:sz w:val="20"/>
                <w:szCs w:val="20"/>
              </w:rPr>
              <w:t>Staff Salaries</w:t>
            </w:r>
            <w:r w:rsidRPr="008D1279">
              <w:rPr>
                <w:rFonts w:ascii="Times New Roman" w:hAnsi="Times New Roman" w:eastAsia="Calibri" w:cs="Times New Roman"/>
                <w:sz w:val="20"/>
                <w:szCs w:val="20"/>
                <w:vertAlign w:val="superscript"/>
              </w:rPr>
              <w:t>1</w:t>
            </w:r>
            <w:r w:rsidR="002243F4">
              <w:rPr>
                <w:rFonts w:ascii="Times New Roman" w:hAnsi="Times New Roman" w:eastAsia="Calibri" w:cs="Times New Roman"/>
                <w:sz w:val="20"/>
                <w:szCs w:val="20"/>
              </w:rPr>
              <w:t xml:space="preserve">: </w:t>
            </w:r>
            <w:r w:rsidR="002A0988">
              <w:rPr>
                <w:rFonts w:ascii="Times New Roman" w:hAnsi="Times New Roman" w:eastAsia="Calibri" w:cs="Times New Roman"/>
                <w:sz w:val="20"/>
                <w:szCs w:val="20"/>
              </w:rPr>
              <w:t xml:space="preserve"> </w:t>
            </w:r>
            <w:r w:rsidR="002243F4">
              <w:rPr>
                <w:rFonts w:ascii="Times New Roman" w:hAnsi="Times New Roman" w:eastAsia="Calibri" w:cs="Times New Roman"/>
                <w:sz w:val="20"/>
                <w:szCs w:val="20"/>
              </w:rPr>
              <w:t>CBP GS-12 Step 5 spending approximately 15 min. per submission. FEMA GS-13 Step 5 spending approximately 30 min. per submission</w:t>
            </w:r>
          </w:p>
          <w:p w:rsidRPr="008D1279" w:rsidR="002243F4" w:rsidP="00451C91" w:rsidRDefault="002243F4" w14:paraId="1F17DDCE" w14:textId="69631504">
            <w:pPr>
              <w:rPr>
                <w:rFonts w:ascii="Times New Roman" w:hAnsi="Times New Roman" w:eastAsia="Calibri" w:cs="Times New Roman"/>
                <w:sz w:val="20"/>
                <w:szCs w:val="20"/>
              </w:rPr>
            </w:pPr>
            <w:r>
              <w:rPr>
                <w:rFonts w:ascii="Times New Roman" w:hAnsi="Times New Roman" w:eastAsia="Calibri" w:cs="Times New Roman"/>
                <w:sz w:val="20"/>
                <w:szCs w:val="20"/>
              </w:rPr>
              <w:t>[$46.88 x 1.46</w:t>
            </w:r>
            <w:r>
              <w:rPr>
                <w:rFonts w:ascii="Times New Roman" w:hAnsi="Times New Roman" w:eastAsia="Calibri" w:cs="Times New Roman"/>
                <w:sz w:val="20"/>
                <w:szCs w:val="20"/>
                <w:vertAlign w:val="superscript"/>
              </w:rPr>
              <w:t>2</w:t>
            </w:r>
            <w:r>
              <w:rPr>
                <w:rFonts w:ascii="Times New Roman" w:hAnsi="Times New Roman" w:eastAsia="Calibri" w:cs="Times New Roman"/>
                <w:sz w:val="20"/>
                <w:szCs w:val="20"/>
              </w:rPr>
              <w:t xml:space="preserve"> x 0.25 x 2,500 + $57.55 x 1.46 x 0.5 x 2,500 = $147,806.75]</w:t>
            </w:r>
          </w:p>
        </w:tc>
        <w:tc>
          <w:tcPr>
            <w:tcW w:w="2139" w:type="dxa"/>
            <w:vAlign w:val="center"/>
          </w:tcPr>
          <w:p w:rsidRPr="008D1279" w:rsidR="002F4F27" w:rsidP="00451C91" w:rsidRDefault="002243F4" w14:paraId="71A4DD7B" w14:textId="65736820">
            <w:pPr>
              <w:jc w:val="right"/>
              <w:rPr>
                <w:rFonts w:ascii="Times New Roman" w:hAnsi="Times New Roman" w:eastAsia="Calibri" w:cs="Times New Roman"/>
                <w:sz w:val="20"/>
                <w:szCs w:val="20"/>
              </w:rPr>
            </w:pPr>
            <w:r>
              <w:rPr>
                <w:rFonts w:ascii="Times New Roman" w:hAnsi="Times New Roman" w:eastAsia="Calibri" w:cs="Times New Roman"/>
                <w:sz w:val="20"/>
                <w:szCs w:val="20"/>
              </w:rPr>
              <w:t>$147,807</w:t>
            </w:r>
          </w:p>
        </w:tc>
      </w:tr>
      <w:tr w:rsidRPr="008D1279" w:rsidR="002F4F27" w:rsidTr="002243F4" w14:paraId="7CA75AC0" w14:textId="77777777">
        <w:trPr>
          <w:gridAfter w:val="1"/>
          <w:wAfter w:w="14" w:type="dxa"/>
        </w:trPr>
        <w:tc>
          <w:tcPr>
            <w:tcW w:w="7015" w:type="dxa"/>
          </w:tcPr>
          <w:p w:rsidRPr="008D1279" w:rsidR="002F4F27" w:rsidP="00451C91" w:rsidRDefault="002F4F27" w14:paraId="74D8CD96" w14:textId="77777777">
            <w:pPr>
              <w:rPr>
                <w:rFonts w:ascii="Times New Roman" w:hAnsi="Times New Roman" w:eastAsia="Calibri" w:cs="Times New Roman"/>
                <w:sz w:val="20"/>
                <w:szCs w:val="20"/>
              </w:rPr>
            </w:pPr>
            <w:r w:rsidRPr="008D1279">
              <w:rPr>
                <w:rFonts w:ascii="Times New Roman" w:hAnsi="Times New Roman" w:eastAsia="Calibri" w:cs="Times New Roman"/>
                <w:sz w:val="20"/>
                <w:szCs w:val="20"/>
              </w:rPr>
              <w:t>Facilities [cost for renting, overhead, etc. for data collection activity]</w:t>
            </w:r>
          </w:p>
        </w:tc>
        <w:tc>
          <w:tcPr>
            <w:tcW w:w="2139" w:type="dxa"/>
            <w:vAlign w:val="center"/>
          </w:tcPr>
          <w:p w:rsidRPr="008D1279" w:rsidR="002F4F27" w:rsidP="00451C91" w:rsidRDefault="002F4F27" w14:paraId="3C53F9EA" w14:textId="77777777">
            <w:pPr>
              <w:jc w:val="right"/>
              <w:rPr>
                <w:rFonts w:ascii="Times New Roman" w:hAnsi="Times New Roman" w:eastAsia="Calibri" w:cs="Times New Roman"/>
                <w:sz w:val="20"/>
                <w:szCs w:val="20"/>
              </w:rPr>
            </w:pPr>
            <w:r w:rsidRPr="008D1279">
              <w:rPr>
                <w:rFonts w:ascii="Times New Roman" w:hAnsi="Times New Roman" w:eastAsia="Calibri" w:cs="Times New Roman"/>
                <w:sz w:val="20"/>
                <w:szCs w:val="20"/>
              </w:rPr>
              <w:t>$0</w:t>
            </w:r>
          </w:p>
        </w:tc>
      </w:tr>
      <w:tr w:rsidRPr="008D1279" w:rsidR="000D5860" w:rsidTr="002243F4" w14:paraId="64025A7B" w14:textId="77777777">
        <w:trPr>
          <w:gridAfter w:val="1"/>
          <w:wAfter w:w="14" w:type="dxa"/>
        </w:trPr>
        <w:tc>
          <w:tcPr>
            <w:tcW w:w="7015" w:type="dxa"/>
          </w:tcPr>
          <w:p w:rsidRPr="008D1279" w:rsidR="000D5860" w:rsidP="00451C91" w:rsidRDefault="000D5860" w14:paraId="490A50DA" w14:textId="01F4783F">
            <w:pPr>
              <w:rPr>
                <w:rFonts w:ascii="Times New Roman" w:hAnsi="Times New Roman" w:eastAsia="Calibri" w:cs="Times New Roman"/>
                <w:sz w:val="20"/>
                <w:szCs w:val="20"/>
              </w:rPr>
            </w:pPr>
            <w:r>
              <w:rPr>
                <w:rFonts w:ascii="Times New Roman" w:hAnsi="Times New Roman" w:eastAsia="Calibri" w:cs="Times New Roman"/>
                <w:sz w:val="20"/>
                <w:szCs w:val="20"/>
              </w:rPr>
              <w:t>Administrative Costs: [Describe]</w:t>
            </w:r>
          </w:p>
        </w:tc>
        <w:tc>
          <w:tcPr>
            <w:tcW w:w="2139" w:type="dxa"/>
            <w:vAlign w:val="center"/>
          </w:tcPr>
          <w:p w:rsidRPr="008D1279" w:rsidR="000D5860" w:rsidP="00451C91" w:rsidRDefault="000D5860" w14:paraId="2BCC9F27" w14:textId="39C0F4C3">
            <w:pPr>
              <w:jc w:val="right"/>
              <w:rPr>
                <w:rFonts w:ascii="Times New Roman" w:hAnsi="Times New Roman" w:eastAsia="Calibri" w:cs="Times New Roman"/>
                <w:sz w:val="20"/>
                <w:szCs w:val="20"/>
              </w:rPr>
            </w:pPr>
          </w:p>
        </w:tc>
      </w:tr>
      <w:tr w:rsidRPr="008D1279" w:rsidR="002F4F27" w:rsidTr="002243F4" w14:paraId="53EF14CA" w14:textId="77777777">
        <w:trPr>
          <w:gridAfter w:val="1"/>
          <w:wAfter w:w="14" w:type="dxa"/>
        </w:trPr>
        <w:tc>
          <w:tcPr>
            <w:tcW w:w="7015" w:type="dxa"/>
          </w:tcPr>
          <w:p w:rsidRPr="008D1279" w:rsidR="002F4F27" w:rsidP="00451C91" w:rsidRDefault="002F4F27" w14:paraId="3B51624C" w14:textId="77777777">
            <w:pPr>
              <w:rPr>
                <w:rFonts w:ascii="Times New Roman" w:hAnsi="Times New Roman" w:eastAsia="Calibri" w:cs="Times New Roman"/>
                <w:sz w:val="20"/>
                <w:szCs w:val="20"/>
              </w:rPr>
            </w:pPr>
            <w:r w:rsidRPr="008D1279">
              <w:rPr>
                <w:rFonts w:ascii="Times New Roman" w:hAnsi="Times New Roman" w:eastAsia="Calibri" w:cs="Times New Roman"/>
                <w:sz w:val="20"/>
                <w:szCs w:val="20"/>
              </w:rPr>
              <w:t>Computer Hardware and Software [cost of equipment annual lifecycle]</w:t>
            </w:r>
          </w:p>
        </w:tc>
        <w:tc>
          <w:tcPr>
            <w:tcW w:w="2139" w:type="dxa"/>
            <w:vAlign w:val="center"/>
          </w:tcPr>
          <w:p w:rsidRPr="008D1279" w:rsidR="002F4F27" w:rsidP="00451C91" w:rsidRDefault="002F4F27" w14:paraId="3C34E2D7" w14:textId="77777777">
            <w:pPr>
              <w:jc w:val="right"/>
              <w:rPr>
                <w:rFonts w:ascii="Times New Roman" w:hAnsi="Times New Roman" w:eastAsia="Calibri" w:cs="Times New Roman"/>
                <w:sz w:val="20"/>
                <w:szCs w:val="20"/>
              </w:rPr>
            </w:pPr>
            <w:r w:rsidRPr="008D1279">
              <w:rPr>
                <w:rFonts w:ascii="Times New Roman" w:hAnsi="Times New Roman" w:eastAsia="Calibri" w:cs="Times New Roman"/>
                <w:sz w:val="20"/>
                <w:szCs w:val="20"/>
              </w:rPr>
              <w:t>$0</w:t>
            </w:r>
          </w:p>
        </w:tc>
      </w:tr>
      <w:tr w:rsidRPr="008D1279" w:rsidR="002F4F27" w:rsidTr="002243F4" w14:paraId="698758AB" w14:textId="77777777">
        <w:trPr>
          <w:gridAfter w:val="1"/>
          <w:wAfter w:w="14" w:type="dxa"/>
        </w:trPr>
        <w:tc>
          <w:tcPr>
            <w:tcW w:w="7015" w:type="dxa"/>
          </w:tcPr>
          <w:p w:rsidRPr="008D1279" w:rsidR="002F4F27" w:rsidP="00451C91" w:rsidRDefault="002F4F27" w14:paraId="15FD7C8D" w14:textId="77777777">
            <w:pPr>
              <w:rPr>
                <w:rFonts w:ascii="Times New Roman" w:hAnsi="Times New Roman" w:eastAsia="Calibri" w:cs="Times New Roman"/>
                <w:sz w:val="20"/>
                <w:szCs w:val="20"/>
              </w:rPr>
            </w:pPr>
            <w:r w:rsidRPr="008D1279">
              <w:rPr>
                <w:rFonts w:ascii="Times New Roman" w:hAnsi="Times New Roman" w:eastAsia="Calibri" w:cs="Times New Roman"/>
                <w:sz w:val="20"/>
                <w:szCs w:val="20"/>
              </w:rPr>
              <w:t>Equipment Maintenance [cost of annual maintenance/service agreements for equipment]</w:t>
            </w:r>
          </w:p>
        </w:tc>
        <w:tc>
          <w:tcPr>
            <w:tcW w:w="2139" w:type="dxa"/>
            <w:vAlign w:val="center"/>
          </w:tcPr>
          <w:p w:rsidRPr="008D1279" w:rsidR="002F4F27" w:rsidP="00451C91" w:rsidRDefault="002F4F27" w14:paraId="389FE7AB" w14:textId="77777777">
            <w:pPr>
              <w:jc w:val="right"/>
              <w:rPr>
                <w:rFonts w:ascii="Times New Roman" w:hAnsi="Times New Roman" w:eastAsia="Calibri" w:cs="Times New Roman"/>
                <w:sz w:val="20"/>
                <w:szCs w:val="20"/>
              </w:rPr>
            </w:pPr>
            <w:r w:rsidRPr="008D1279">
              <w:rPr>
                <w:rFonts w:ascii="Times New Roman" w:hAnsi="Times New Roman" w:eastAsia="Calibri" w:cs="Times New Roman"/>
                <w:sz w:val="20"/>
                <w:szCs w:val="20"/>
              </w:rPr>
              <w:t>$0</w:t>
            </w:r>
          </w:p>
        </w:tc>
      </w:tr>
      <w:tr w:rsidRPr="008D1279" w:rsidR="002F4F27" w:rsidTr="002243F4" w14:paraId="4E910327" w14:textId="77777777">
        <w:trPr>
          <w:gridAfter w:val="1"/>
          <w:wAfter w:w="14" w:type="dxa"/>
        </w:trPr>
        <w:tc>
          <w:tcPr>
            <w:tcW w:w="7015" w:type="dxa"/>
          </w:tcPr>
          <w:p w:rsidRPr="008D1279" w:rsidR="002F4F27" w:rsidP="00451C91" w:rsidRDefault="002F4F27" w14:paraId="08619841" w14:textId="77777777">
            <w:pPr>
              <w:rPr>
                <w:rFonts w:ascii="Times New Roman" w:hAnsi="Times New Roman" w:eastAsia="Calibri" w:cs="Times New Roman"/>
                <w:sz w:val="20"/>
                <w:szCs w:val="20"/>
              </w:rPr>
            </w:pPr>
            <w:r w:rsidRPr="008D1279">
              <w:rPr>
                <w:rFonts w:ascii="Times New Roman" w:hAnsi="Times New Roman" w:eastAsia="Calibri" w:cs="Times New Roman"/>
                <w:sz w:val="20"/>
                <w:szCs w:val="20"/>
              </w:rPr>
              <w:t>Travel</w:t>
            </w:r>
          </w:p>
        </w:tc>
        <w:tc>
          <w:tcPr>
            <w:tcW w:w="2139" w:type="dxa"/>
            <w:vAlign w:val="center"/>
          </w:tcPr>
          <w:p w:rsidRPr="008D1279" w:rsidR="002F4F27" w:rsidP="00451C91" w:rsidRDefault="002F4F27" w14:paraId="231A99F5" w14:textId="77777777">
            <w:pPr>
              <w:jc w:val="right"/>
              <w:rPr>
                <w:rFonts w:ascii="Times New Roman" w:hAnsi="Times New Roman" w:eastAsia="Calibri" w:cs="Times New Roman"/>
                <w:sz w:val="20"/>
                <w:szCs w:val="20"/>
              </w:rPr>
            </w:pPr>
            <w:r w:rsidRPr="008D1279">
              <w:rPr>
                <w:rFonts w:ascii="Times New Roman" w:hAnsi="Times New Roman" w:eastAsia="Calibri" w:cs="Times New Roman"/>
                <w:sz w:val="20"/>
                <w:szCs w:val="20"/>
              </w:rPr>
              <w:t>$0</w:t>
            </w:r>
          </w:p>
        </w:tc>
      </w:tr>
      <w:tr w:rsidRPr="008D1279" w:rsidR="002F4F27" w:rsidTr="002243F4" w14:paraId="1E96AAF1" w14:textId="77777777">
        <w:trPr>
          <w:gridAfter w:val="1"/>
          <w:wAfter w:w="14" w:type="dxa"/>
        </w:trPr>
        <w:tc>
          <w:tcPr>
            <w:tcW w:w="7015" w:type="dxa"/>
          </w:tcPr>
          <w:p w:rsidRPr="008D1279" w:rsidR="002F4F27" w:rsidP="00451C91" w:rsidRDefault="002F4F27" w14:paraId="2C32BD05" w14:textId="77777777">
            <w:pPr>
              <w:rPr>
                <w:rFonts w:ascii="Times New Roman" w:hAnsi="Times New Roman" w:eastAsia="Calibri" w:cs="Times New Roman"/>
                <w:b/>
                <w:sz w:val="20"/>
                <w:szCs w:val="20"/>
              </w:rPr>
            </w:pPr>
            <w:r w:rsidRPr="008D1279">
              <w:rPr>
                <w:rFonts w:ascii="Times New Roman" w:hAnsi="Times New Roman" w:eastAsia="Calibri" w:cs="Times New Roman"/>
                <w:b/>
                <w:sz w:val="20"/>
                <w:szCs w:val="20"/>
              </w:rPr>
              <w:t>Total</w:t>
            </w:r>
          </w:p>
        </w:tc>
        <w:tc>
          <w:tcPr>
            <w:tcW w:w="2139" w:type="dxa"/>
            <w:vAlign w:val="center"/>
          </w:tcPr>
          <w:p w:rsidRPr="008D1279" w:rsidR="002F4F27" w:rsidP="00451C91" w:rsidRDefault="002243F4" w14:paraId="318A3817" w14:textId="3E329A68">
            <w:pPr>
              <w:jc w:val="right"/>
              <w:rPr>
                <w:rFonts w:ascii="Times New Roman" w:hAnsi="Times New Roman" w:eastAsia="Calibri" w:cs="Times New Roman"/>
                <w:sz w:val="20"/>
                <w:szCs w:val="20"/>
              </w:rPr>
            </w:pPr>
            <w:r>
              <w:rPr>
                <w:rFonts w:ascii="Times New Roman" w:hAnsi="Times New Roman" w:eastAsia="Calibri" w:cs="Times New Roman"/>
                <w:sz w:val="20"/>
                <w:szCs w:val="20"/>
              </w:rPr>
              <w:t>$147,807</w:t>
            </w:r>
          </w:p>
        </w:tc>
      </w:tr>
      <w:tr w:rsidRPr="008D1279" w:rsidR="002F4F27" w:rsidTr="002243F4" w14:paraId="756FB2D3" w14:textId="77777777">
        <w:tc>
          <w:tcPr>
            <w:tcW w:w="9168" w:type="dxa"/>
            <w:gridSpan w:val="3"/>
          </w:tcPr>
          <w:p w:rsidRPr="002243F4" w:rsidR="002243F4" w:rsidP="002243F4" w:rsidRDefault="002243F4" w14:paraId="70E153D9" w14:textId="48B8046D">
            <w:pPr>
              <w:rPr>
                <w:rFonts w:ascii="Times New Roman" w:hAnsi="Times New Roman" w:eastAsia="Calibri" w:cs="Times New Roman"/>
                <w:sz w:val="20"/>
                <w:szCs w:val="20"/>
              </w:rPr>
            </w:pPr>
            <w:r w:rsidRPr="002243F4">
              <w:rPr>
                <w:rFonts w:ascii="Times New Roman" w:hAnsi="Times New Roman" w:eastAsia="Calibri" w:cs="Times New Roman"/>
                <w:sz w:val="20"/>
                <w:szCs w:val="20"/>
              </w:rPr>
              <w:t>1 Office of Personnel Management 20</w:t>
            </w:r>
            <w:r>
              <w:rPr>
                <w:rFonts w:ascii="Times New Roman" w:hAnsi="Times New Roman" w:eastAsia="Calibri" w:cs="Times New Roman"/>
                <w:sz w:val="20"/>
                <w:szCs w:val="20"/>
              </w:rPr>
              <w:t>20</w:t>
            </w:r>
            <w:r w:rsidRPr="002243F4">
              <w:rPr>
                <w:rFonts w:ascii="Times New Roman" w:hAnsi="Times New Roman" w:eastAsia="Calibri" w:cs="Times New Roman"/>
                <w:sz w:val="20"/>
                <w:szCs w:val="20"/>
              </w:rPr>
              <w:t xml:space="preserve"> Pay and Leave Tables for the Washington-Baltimore-Arlington, DC-MD-VA-WV-PA locality. Available online at </w:t>
            </w:r>
            <w:hyperlink w:history="1" r:id="rId9">
              <w:r w:rsidRPr="00CC6B8D">
                <w:rPr>
                  <w:rStyle w:val="Hyperlink"/>
                  <w:rFonts w:ascii="Times New Roman" w:hAnsi="Times New Roman" w:eastAsia="Calibri" w:cs="Times New Roman"/>
                  <w:sz w:val="20"/>
                  <w:szCs w:val="20"/>
                </w:rPr>
                <w:t>https://www.opm.gov/policy-data-oversight/pay-leave/salaries-wages/salary-tables/20Tables/html/DCB.aspx</w:t>
              </w:r>
              <w:r w:rsidRPr="002A0988">
                <w:rPr>
                  <w:rStyle w:val="Hyperlink"/>
                  <w:rFonts w:ascii="Times New Roman" w:hAnsi="Times New Roman" w:eastAsia="Calibri" w:cs="Times New Roman"/>
                  <w:sz w:val="20"/>
                  <w:szCs w:val="20"/>
                  <w:u w:val="none"/>
                </w:rPr>
                <w:t>. Accessed April 14</w:t>
              </w:r>
            </w:hyperlink>
            <w:r>
              <w:rPr>
                <w:rFonts w:ascii="Times New Roman" w:hAnsi="Times New Roman" w:eastAsia="Calibri" w:cs="Times New Roman"/>
                <w:sz w:val="20"/>
                <w:szCs w:val="20"/>
              </w:rPr>
              <w:t>, 2020</w:t>
            </w:r>
            <w:r w:rsidRPr="002243F4">
              <w:rPr>
                <w:rFonts w:ascii="Times New Roman" w:hAnsi="Times New Roman" w:eastAsia="Calibri" w:cs="Times New Roman"/>
                <w:sz w:val="20"/>
                <w:szCs w:val="20"/>
              </w:rPr>
              <w:t>.</w:t>
            </w:r>
          </w:p>
          <w:p w:rsidRPr="008D1279" w:rsidR="002F4F27" w:rsidP="002243F4" w:rsidRDefault="002243F4" w14:paraId="51639C4A" w14:textId="0F5AA0F3">
            <w:pPr>
              <w:rPr>
                <w:rFonts w:ascii="Times New Roman" w:hAnsi="Times New Roman" w:eastAsia="Calibri" w:cs="Times New Roman"/>
                <w:sz w:val="20"/>
                <w:szCs w:val="20"/>
              </w:rPr>
            </w:pPr>
            <w:r w:rsidRPr="002243F4">
              <w:rPr>
                <w:rFonts w:ascii="Times New Roman" w:hAnsi="Times New Roman" w:eastAsia="Calibri" w:cs="Times New Roman"/>
                <w:sz w:val="20"/>
                <w:szCs w:val="20"/>
              </w:rPr>
              <w:t>2 Wage rate includes a 1.46 multiplier to reflect the fully-loaded wage rate.</w:t>
            </w:r>
          </w:p>
        </w:tc>
      </w:tr>
    </w:tbl>
    <w:p w:rsidR="00BA2737" w:rsidP="00562915" w:rsidRDefault="00562915" w14:paraId="35331043" w14:textId="77777777">
      <w:r>
        <w:t xml:space="preserve">  </w:t>
      </w:r>
    </w:p>
    <w:p w:rsidRPr="006625E7" w:rsidR="00562915" w:rsidP="00562915" w:rsidRDefault="00562915" w14:paraId="21C6826B" w14:textId="3920AA53">
      <w:pPr>
        <w:rPr>
          <w:rFonts w:ascii="Times New Roman" w:hAnsi="Times New Roman" w:cs="Times New Roman"/>
          <w:b/>
          <w:sz w:val="24"/>
          <w:szCs w:val="24"/>
        </w:rPr>
      </w:pPr>
      <w:r>
        <w:t xml:space="preserve">  </w:t>
      </w:r>
      <w:r w:rsidRPr="006625E7">
        <w:rPr>
          <w:rFonts w:ascii="Times New Roman" w:hAnsi="Times New Roman" w:cs="Times New Roman"/>
          <w:b/>
          <w:sz w:val="24"/>
          <w:szCs w:val="24"/>
        </w:rPr>
        <w:t xml:space="preserve">15.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p w:rsidRPr="00106954" w:rsidR="00562915" w:rsidP="00562915" w:rsidRDefault="00562915" w14:paraId="57860315" w14:textId="77777777">
      <w:pPr>
        <w:pStyle w:val="NormalWeb"/>
        <w:rPr>
          <w:i/>
          <w:sz w:val="20"/>
          <w:szCs w:val="20"/>
        </w:rPr>
      </w:pPr>
      <w:r w:rsidRPr="00106954">
        <w:rPr>
          <w:i/>
          <w:sz w:val="20"/>
          <w:szCs w:val="20"/>
        </w:rPr>
        <w:t xml:space="preserve">A </w:t>
      </w:r>
      <w:r w:rsidRPr="00106954">
        <w:rPr>
          <w:b/>
          <w:bCs/>
          <w:i/>
          <w:sz w:val="20"/>
          <w:szCs w:val="20"/>
        </w:rPr>
        <w:t>"Program increase"</w:t>
      </w:r>
      <w:r w:rsidRPr="00106954">
        <w:rPr>
          <w:i/>
          <w:sz w:val="20"/>
          <w:szCs w:val="20"/>
        </w:rPr>
        <w:t xml:space="preserve"> is an additional burden resulting from an federal government regulatory action or directive. (e.g., an increase in sample size or coverage, amount of information, reporting frequency, or expanded use of an existing form). This also includes previously in-use and unapproved information collections discovered during the ICB process, or during the fiscal year, which will be in use during the next fiscal year. </w:t>
      </w:r>
    </w:p>
    <w:p w:rsidRPr="00106954" w:rsidR="00562915" w:rsidP="00562915" w:rsidRDefault="00562915" w14:paraId="4B313005" w14:textId="77777777">
      <w:pPr>
        <w:pStyle w:val="NormalWeb"/>
        <w:rPr>
          <w:i/>
          <w:sz w:val="20"/>
          <w:szCs w:val="20"/>
        </w:rPr>
      </w:pPr>
      <w:r w:rsidRPr="00106954">
        <w:rPr>
          <w:i/>
          <w:sz w:val="20"/>
          <w:szCs w:val="20"/>
        </w:rPr>
        <w:t xml:space="preserve">A </w:t>
      </w:r>
      <w:r w:rsidRPr="00106954">
        <w:rPr>
          <w:b/>
          <w:bCs/>
          <w:i/>
          <w:sz w:val="20"/>
          <w:szCs w:val="20"/>
        </w:rPr>
        <w:t xml:space="preserve">"Program decrease", </w:t>
      </w:r>
      <w:r w:rsidRPr="00106954">
        <w:rPr>
          <w:i/>
          <w:sz w:val="20"/>
          <w:szCs w:val="20"/>
        </w:rPr>
        <w:t xml:space="preserve">is a reduction in burden because of: (1) the discontinuation of an information collection; or (2) a change in an existing information collection by a Federal agency (e.g., the use of sampling (or smaller samples), a decrease in the amount of information requested (fewer questions), or a decrease in reporting frequency). </w:t>
      </w:r>
    </w:p>
    <w:p w:rsidR="00562915" w:rsidP="00562915" w:rsidRDefault="00562915" w14:paraId="390BFF2B" w14:textId="77777777">
      <w:pPr>
        <w:pStyle w:val="NormalWeb"/>
        <w:rPr>
          <w:i/>
          <w:sz w:val="20"/>
          <w:szCs w:val="20"/>
        </w:rPr>
      </w:pPr>
      <w:r w:rsidRPr="00106954">
        <w:rPr>
          <w:b/>
          <w:i/>
          <w:sz w:val="20"/>
          <w:szCs w:val="20"/>
        </w:rPr>
        <w:t xml:space="preserve"> </w:t>
      </w:r>
      <w:r w:rsidRPr="00106954">
        <w:rPr>
          <w:b/>
          <w:bCs/>
          <w:i/>
          <w:sz w:val="20"/>
          <w:szCs w:val="20"/>
        </w:rPr>
        <w:t>"Adjustment"</w:t>
      </w:r>
      <w:r w:rsidRPr="00106954">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p w:rsidR="000D5860" w:rsidP="000325CA" w:rsidRDefault="000D5860" w14:paraId="219897DF" w14:textId="502E10E4">
      <w:pPr>
        <w:pStyle w:val="NormalWeb"/>
        <w:rPr>
          <w:i/>
          <w:sz w:val="20"/>
          <w:szCs w:val="20"/>
        </w:rPr>
      </w:pPr>
    </w:p>
    <w:tbl>
      <w:tblPr>
        <w:tblStyle w:val="TableGrid"/>
        <w:tblW w:w="10339" w:type="dxa"/>
        <w:tblInd w:w="-545" w:type="dxa"/>
        <w:tblLook w:val="04A0" w:firstRow="1" w:lastRow="0" w:firstColumn="1" w:lastColumn="0" w:noHBand="0" w:noVBand="1"/>
      </w:tblPr>
      <w:tblGrid>
        <w:gridCol w:w="1952"/>
        <w:gridCol w:w="1828"/>
        <w:gridCol w:w="1156"/>
        <w:gridCol w:w="1236"/>
        <w:gridCol w:w="1658"/>
        <w:gridCol w:w="1273"/>
        <w:gridCol w:w="1236"/>
      </w:tblGrid>
      <w:tr w:rsidRPr="008D1279" w:rsidR="000D5860" w:rsidTr="00451C91" w14:paraId="1AB3426B" w14:textId="77777777">
        <w:tc>
          <w:tcPr>
            <w:tcW w:w="10339" w:type="dxa"/>
            <w:gridSpan w:val="7"/>
          </w:tcPr>
          <w:p w:rsidRPr="008D1279" w:rsidR="000D5860" w:rsidP="00451C91" w:rsidRDefault="000D5860" w14:paraId="26A17286" w14:textId="77777777">
            <w:pPr>
              <w:jc w:val="center"/>
              <w:rPr>
                <w:rFonts w:ascii="Times New Roman" w:hAnsi="Times New Roman" w:cs="Times New Roman"/>
                <w:b/>
                <w:sz w:val="20"/>
                <w:szCs w:val="20"/>
              </w:rPr>
            </w:pPr>
            <w:bookmarkStart w:name="_Hlk23326361" w:id="3"/>
            <w:r w:rsidRPr="008D1279">
              <w:rPr>
                <w:rFonts w:ascii="Times New Roman" w:hAnsi="Times New Roman" w:cs="Times New Roman"/>
                <w:b/>
                <w:sz w:val="20"/>
                <w:szCs w:val="20"/>
              </w:rPr>
              <w:t>Itemized Changes in Annual Burden Hours</w:t>
            </w:r>
          </w:p>
        </w:tc>
      </w:tr>
      <w:tr w:rsidRPr="008D1279" w:rsidR="000D5860" w:rsidTr="00451C91" w14:paraId="59B5D9B5" w14:textId="77777777">
        <w:tc>
          <w:tcPr>
            <w:tcW w:w="1952" w:type="dxa"/>
            <w:shd w:val="clear" w:color="auto" w:fill="95B3D7" w:themeFill="accent1" w:themeFillTint="99"/>
          </w:tcPr>
          <w:p w:rsidRPr="008D1279" w:rsidR="000D5860" w:rsidP="00451C91" w:rsidRDefault="000D5860" w14:paraId="6A07BE23" w14:textId="77777777">
            <w:pPr>
              <w:rPr>
                <w:rFonts w:ascii="Times New Roman" w:hAnsi="Times New Roman" w:cs="Times New Roman"/>
                <w:sz w:val="20"/>
                <w:szCs w:val="20"/>
              </w:rPr>
            </w:pPr>
            <w:r w:rsidRPr="008D1279">
              <w:rPr>
                <w:rFonts w:ascii="Times New Roman" w:hAnsi="Times New Roman" w:cs="Times New Roman"/>
                <w:sz w:val="20"/>
                <w:szCs w:val="20"/>
              </w:rPr>
              <w:lastRenderedPageBreak/>
              <w:t>Data Collection Activity/Instrument</w:t>
            </w:r>
          </w:p>
        </w:tc>
        <w:tc>
          <w:tcPr>
            <w:tcW w:w="1828" w:type="dxa"/>
            <w:shd w:val="clear" w:color="auto" w:fill="95B3D7" w:themeFill="accent1" w:themeFillTint="99"/>
          </w:tcPr>
          <w:p w:rsidRPr="008D1279" w:rsidR="000D5860" w:rsidP="00451C91" w:rsidRDefault="000D5860" w14:paraId="4616388E" w14:textId="77777777">
            <w:pPr>
              <w:rPr>
                <w:rFonts w:ascii="Times New Roman" w:hAnsi="Times New Roman" w:cs="Times New Roman"/>
                <w:sz w:val="20"/>
                <w:szCs w:val="20"/>
              </w:rPr>
            </w:pPr>
            <w:r w:rsidRPr="008D1279">
              <w:rPr>
                <w:rFonts w:ascii="Times New Roman" w:hAnsi="Times New Roman" w:cs="Times New Roman"/>
                <w:sz w:val="20"/>
                <w:szCs w:val="20"/>
              </w:rPr>
              <w:t>Program Change (hours currently on OMB inventory)</w:t>
            </w:r>
          </w:p>
        </w:tc>
        <w:tc>
          <w:tcPr>
            <w:tcW w:w="1156" w:type="dxa"/>
            <w:shd w:val="clear" w:color="auto" w:fill="95B3D7" w:themeFill="accent1" w:themeFillTint="99"/>
          </w:tcPr>
          <w:p w:rsidRPr="008D1279" w:rsidR="000D5860" w:rsidP="00451C91" w:rsidRDefault="000D5860" w14:paraId="5D847261" w14:textId="77777777">
            <w:pPr>
              <w:rPr>
                <w:rFonts w:ascii="Times New Roman" w:hAnsi="Times New Roman" w:cs="Times New Roman"/>
                <w:sz w:val="20"/>
                <w:szCs w:val="20"/>
              </w:rPr>
            </w:pPr>
            <w:r w:rsidRPr="008D1279">
              <w:rPr>
                <w:rFonts w:ascii="Times New Roman" w:hAnsi="Times New Roman" w:cs="Times New Roman"/>
                <w:sz w:val="20"/>
                <w:szCs w:val="20"/>
              </w:rPr>
              <w:t>Program Change (new)</w:t>
            </w:r>
          </w:p>
        </w:tc>
        <w:tc>
          <w:tcPr>
            <w:tcW w:w="1236" w:type="dxa"/>
            <w:shd w:val="clear" w:color="auto" w:fill="95B3D7" w:themeFill="accent1" w:themeFillTint="99"/>
          </w:tcPr>
          <w:p w:rsidRPr="008D1279" w:rsidR="000D5860" w:rsidP="00451C91" w:rsidRDefault="000D5860" w14:paraId="3D24E86D" w14:textId="77777777">
            <w:pPr>
              <w:rPr>
                <w:rFonts w:ascii="Times New Roman" w:hAnsi="Times New Roman" w:cs="Times New Roman"/>
                <w:sz w:val="20"/>
                <w:szCs w:val="20"/>
              </w:rPr>
            </w:pPr>
            <w:r w:rsidRPr="008D1279">
              <w:rPr>
                <w:rFonts w:ascii="Times New Roman" w:hAnsi="Times New Roman" w:cs="Times New Roman"/>
                <w:sz w:val="20"/>
                <w:szCs w:val="20"/>
              </w:rPr>
              <w:t>Difference</w:t>
            </w:r>
          </w:p>
        </w:tc>
        <w:tc>
          <w:tcPr>
            <w:tcW w:w="1658" w:type="dxa"/>
            <w:shd w:val="clear" w:color="auto" w:fill="95B3D7" w:themeFill="accent1" w:themeFillTint="99"/>
          </w:tcPr>
          <w:p w:rsidRPr="008D1279" w:rsidR="000D5860" w:rsidP="00451C91" w:rsidRDefault="000D5860" w14:paraId="4BF57ABC" w14:textId="77777777">
            <w:pPr>
              <w:rPr>
                <w:rFonts w:ascii="Times New Roman" w:hAnsi="Times New Roman" w:cs="Times New Roman"/>
                <w:sz w:val="20"/>
                <w:szCs w:val="20"/>
              </w:rPr>
            </w:pPr>
            <w:r w:rsidRPr="008D1279">
              <w:rPr>
                <w:rFonts w:ascii="Times New Roman" w:hAnsi="Times New Roman" w:cs="Times New Roman"/>
                <w:sz w:val="20"/>
                <w:szCs w:val="20"/>
              </w:rPr>
              <w:t>Adjustment (hours currently on OMB inventory)</w:t>
            </w:r>
          </w:p>
        </w:tc>
        <w:tc>
          <w:tcPr>
            <w:tcW w:w="1273" w:type="dxa"/>
            <w:shd w:val="clear" w:color="auto" w:fill="95B3D7" w:themeFill="accent1" w:themeFillTint="99"/>
          </w:tcPr>
          <w:p w:rsidRPr="008D1279" w:rsidR="000D5860" w:rsidP="00451C91" w:rsidRDefault="000D5860" w14:paraId="23724FAC" w14:textId="77777777">
            <w:pPr>
              <w:rPr>
                <w:rFonts w:ascii="Times New Roman" w:hAnsi="Times New Roman" w:cs="Times New Roman"/>
                <w:sz w:val="20"/>
                <w:szCs w:val="20"/>
              </w:rPr>
            </w:pPr>
            <w:r w:rsidRPr="008D1279">
              <w:rPr>
                <w:rFonts w:ascii="Times New Roman" w:hAnsi="Times New Roman" w:cs="Times New Roman"/>
                <w:sz w:val="20"/>
                <w:szCs w:val="20"/>
              </w:rPr>
              <w:t>Adjustment (new)</w:t>
            </w:r>
          </w:p>
        </w:tc>
        <w:tc>
          <w:tcPr>
            <w:tcW w:w="1236" w:type="dxa"/>
            <w:shd w:val="clear" w:color="auto" w:fill="95B3D7" w:themeFill="accent1" w:themeFillTint="99"/>
          </w:tcPr>
          <w:p w:rsidRPr="008D1279" w:rsidR="000D5860" w:rsidP="00451C91" w:rsidRDefault="000D5860" w14:paraId="736736FF" w14:textId="77777777">
            <w:pPr>
              <w:rPr>
                <w:rFonts w:ascii="Times New Roman" w:hAnsi="Times New Roman" w:cs="Times New Roman"/>
                <w:sz w:val="20"/>
                <w:szCs w:val="20"/>
              </w:rPr>
            </w:pPr>
            <w:r w:rsidRPr="008D1279">
              <w:rPr>
                <w:rFonts w:ascii="Times New Roman" w:hAnsi="Times New Roman" w:cs="Times New Roman"/>
                <w:sz w:val="20"/>
                <w:szCs w:val="20"/>
              </w:rPr>
              <w:t>Difference</w:t>
            </w:r>
          </w:p>
        </w:tc>
      </w:tr>
      <w:tr w:rsidRPr="008D1279" w:rsidR="000D5860" w:rsidTr="00451C91" w14:paraId="7420DEF2" w14:textId="77777777">
        <w:tc>
          <w:tcPr>
            <w:tcW w:w="1952" w:type="dxa"/>
            <w:vAlign w:val="center"/>
          </w:tcPr>
          <w:p w:rsidRPr="008D1279" w:rsidR="000D5860" w:rsidP="00451C91" w:rsidRDefault="000D5860" w14:paraId="306DE55F" w14:textId="53126AB6">
            <w:pPr>
              <w:rPr>
                <w:rFonts w:ascii="Times New Roman" w:hAnsi="Times New Roman" w:cs="Times New Roman"/>
                <w:sz w:val="20"/>
                <w:szCs w:val="20"/>
              </w:rPr>
            </w:pPr>
          </w:p>
        </w:tc>
        <w:tc>
          <w:tcPr>
            <w:tcW w:w="1828" w:type="dxa"/>
            <w:vAlign w:val="center"/>
          </w:tcPr>
          <w:p w:rsidRPr="008D1279" w:rsidR="000D5860" w:rsidP="00451C91" w:rsidRDefault="000D5860" w14:paraId="03054794" w14:textId="77777777">
            <w:pPr>
              <w:jc w:val="right"/>
              <w:rPr>
                <w:rFonts w:ascii="Times New Roman" w:hAnsi="Times New Roman" w:cs="Times New Roman"/>
                <w:sz w:val="20"/>
                <w:szCs w:val="20"/>
              </w:rPr>
            </w:pPr>
          </w:p>
        </w:tc>
        <w:tc>
          <w:tcPr>
            <w:tcW w:w="1156" w:type="dxa"/>
            <w:vAlign w:val="center"/>
          </w:tcPr>
          <w:p w:rsidRPr="008D1279" w:rsidR="000D5860" w:rsidP="00451C91" w:rsidRDefault="000D5860" w14:paraId="7C97B8FA" w14:textId="77777777">
            <w:pPr>
              <w:jc w:val="right"/>
              <w:rPr>
                <w:rFonts w:ascii="Times New Roman" w:hAnsi="Times New Roman" w:cs="Times New Roman"/>
                <w:sz w:val="20"/>
                <w:szCs w:val="20"/>
              </w:rPr>
            </w:pPr>
          </w:p>
        </w:tc>
        <w:tc>
          <w:tcPr>
            <w:tcW w:w="1236" w:type="dxa"/>
            <w:vAlign w:val="center"/>
          </w:tcPr>
          <w:p w:rsidRPr="008D1279" w:rsidR="000D5860" w:rsidP="00451C91" w:rsidRDefault="000D5860" w14:paraId="63A04236" w14:textId="77777777">
            <w:pPr>
              <w:jc w:val="right"/>
              <w:rPr>
                <w:rFonts w:ascii="Times New Roman" w:hAnsi="Times New Roman" w:cs="Times New Roman"/>
                <w:sz w:val="20"/>
                <w:szCs w:val="20"/>
              </w:rPr>
            </w:pPr>
          </w:p>
        </w:tc>
        <w:tc>
          <w:tcPr>
            <w:tcW w:w="1658" w:type="dxa"/>
            <w:vAlign w:val="center"/>
          </w:tcPr>
          <w:p w:rsidRPr="008D1279" w:rsidR="000D5860" w:rsidP="00451C91" w:rsidRDefault="000D5860" w14:paraId="1618F80C" w14:textId="77777777">
            <w:pPr>
              <w:jc w:val="right"/>
              <w:rPr>
                <w:rFonts w:ascii="Times New Roman" w:hAnsi="Times New Roman" w:cs="Times New Roman"/>
                <w:sz w:val="20"/>
                <w:szCs w:val="20"/>
              </w:rPr>
            </w:pPr>
          </w:p>
        </w:tc>
        <w:tc>
          <w:tcPr>
            <w:tcW w:w="1273" w:type="dxa"/>
            <w:vAlign w:val="center"/>
          </w:tcPr>
          <w:p w:rsidRPr="008D1279" w:rsidR="000D5860" w:rsidP="00451C91" w:rsidRDefault="000D5860" w14:paraId="56F0A373" w14:textId="77777777">
            <w:pPr>
              <w:jc w:val="right"/>
              <w:rPr>
                <w:rFonts w:ascii="Times New Roman" w:hAnsi="Times New Roman" w:cs="Times New Roman"/>
                <w:sz w:val="20"/>
                <w:szCs w:val="20"/>
              </w:rPr>
            </w:pPr>
          </w:p>
        </w:tc>
        <w:tc>
          <w:tcPr>
            <w:tcW w:w="1236" w:type="dxa"/>
            <w:vAlign w:val="center"/>
          </w:tcPr>
          <w:p w:rsidRPr="008D1279" w:rsidR="000D5860" w:rsidP="00451C91" w:rsidRDefault="000D5860" w14:paraId="68BB4A5E" w14:textId="77777777">
            <w:pPr>
              <w:jc w:val="right"/>
              <w:rPr>
                <w:rFonts w:ascii="Times New Roman" w:hAnsi="Times New Roman" w:cs="Times New Roman"/>
                <w:sz w:val="20"/>
                <w:szCs w:val="20"/>
              </w:rPr>
            </w:pPr>
          </w:p>
        </w:tc>
      </w:tr>
      <w:tr w:rsidRPr="008D1279" w:rsidR="000D5860" w:rsidTr="00451C91" w14:paraId="411FD003" w14:textId="77777777">
        <w:tc>
          <w:tcPr>
            <w:tcW w:w="1952" w:type="dxa"/>
            <w:vAlign w:val="center"/>
          </w:tcPr>
          <w:p w:rsidRPr="008D1279" w:rsidR="000D5860" w:rsidP="00451C91" w:rsidRDefault="000D5860" w14:paraId="2C15F236" w14:textId="77777777">
            <w:pPr>
              <w:rPr>
                <w:rFonts w:ascii="Times New Roman" w:hAnsi="Times New Roman" w:cs="Times New Roman"/>
                <w:b/>
                <w:sz w:val="20"/>
                <w:szCs w:val="20"/>
              </w:rPr>
            </w:pPr>
            <w:r w:rsidRPr="008D1279">
              <w:rPr>
                <w:rFonts w:ascii="Times New Roman" w:hAnsi="Times New Roman" w:cs="Times New Roman"/>
                <w:b/>
                <w:sz w:val="20"/>
                <w:szCs w:val="20"/>
              </w:rPr>
              <w:t>Total</w:t>
            </w:r>
          </w:p>
        </w:tc>
        <w:tc>
          <w:tcPr>
            <w:tcW w:w="1828" w:type="dxa"/>
            <w:vAlign w:val="center"/>
          </w:tcPr>
          <w:p w:rsidRPr="008D1279" w:rsidR="000D5860" w:rsidP="00451C91" w:rsidRDefault="000D5860" w14:paraId="60F9C4AD" w14:textId="77777777">
            <w:pPr>
              <w:jc w:val="right"/>
              <w:rPr>
                <w:rFonts w:ascii="Times New Roman" w:hAnsi="Times New Roman" w:cs="Times New Roman"/>
                <w:sz w:val="20"/>
                <w:szCs w:val="20"/>
              </w:rPr>
            </w:pPr>
            <w:r w:rsidRPr="008D1279">
              <w:rPr>
                <w:rFonts w:ascii="Times New Roman" w:hAnsi="Times New Roman" w:cs="Times New Roman"/>
                <w:sz w:val="20"/>
                <w:szCs w:val="20"/>
              </w:rPr>
              <w:t>0</w:t>
            </w:r>
          </w:p>
        </w:tc>
        <w:tc>
          <w:tcPr>
            <w:tcW w:w="1156" w:type="dxa"/>
            <w:vAlign w:val="center"/>
          </w:tcPr>
          <w:p w:rsidRPr="008D1279" w:rsidR="000D5860" w:rsidP="00451C91" w:rsidRDefault="000D5860" w14:paraId="68FB107D" w14:textId="77777777">
            <w:pPr>
              <w:jc w:val="right"/>
              <w:rPr>
                <w:rFonts w:ascii="Times New Roman" w:hAnsi="Times New Roman" w:cs="Times New Roman"/>
                <w:sz w:val="20"/>
                <w:szCs w:val="20"/>
              </w:rPr>
            </w:pPr>
            <w:r w:rsidRPr="008D1279">
              <w:rPr>
                <w:rFonts w:ascii="Times New Roman" w:hAnsi="Times New Roman" w:cs="Times New Roman"/>
                <w:sz w:val="20"/>
                <w:szCs w:val="20"/>
              </w:rPr>
              <w:t>0</w:t>
            </w:r>
          </w:p>
        </w:tc>
        <w:tc>
          <w:tcPr>
            <w:tcW w:w="1236" w:type="dxa"/>
            <w:vAlign w:val="center"/>
          </w:tcPr>
          <w:p w:rsidRPr="008D1279" w:rsidR="000D5860" w:rsidP="00451C91" w:rsidRDefault="000D5860" w14:paraId="02B47DFB" w14:textId="77777777">
            <w:pPr>
              <w:jc w:val="right"/>
              <w:rPr>
                <w:rFonts w:ascii="Times New Roman" w:hAnsi="Times New Roman" w:cs="Times New Roman"/>
                <w:sz w:val="20"/>
                <w:szCs w:val="20"/>
              </w:rPr>
            </w:pPr>
            <w:r w:rsidRPr="008D1279">
              <w:rPr>
                <w:rFonts w:ascii="Times New Roman" w:hAnsi="Times New Roman" w:cs="Times New Roman"/>
                <w:sz w:val="20"/>
                <w:szCs w:val="20"/>
              </w:rPr>
              <w:t>0</w:t>
            </w:r>
          </w:p>
        </w:tc>
        <w:tc>
          <w:tcPr>
            <w:tcW w:w="1658" w:type="dxa"/>
            <w:vAlign w:val="center"/>
          </w:tcPr>
          <w:p w:rsidRPr="008D1279" w:rsidR="000D5860" w:rsidP="00451C91" w:rsidRDefault="000D5860" w14:paraId="6151AF3E" w14:textId="77777777">
            <w:pPr>
              <w:jc w:val="right"/>
              <w:rPr>
                <w:rFonts w:ascii="Times New Roman" w:hAnsi="Times New Roman" w:cs="Times New Roman"/>
                <w:sz w:val="20"/>
                <w:szCs w:val="20"/>
              </w:rPr>
            </w:pPr>
            <w:r w:rsidRPr="008D1279">
              <w:rPr>
                <w:rFonts w:ascii="Times New Roman" w:hAnsi="Times New Roman" w:cs="Times New Roman"/>
                <w:sz w:val="20"/>
                <w:szCs w:val="20"/>
              </w:rPr>
              <w:t>0</w:t>
            </w:r>
          </w:p>
        </w:tc>
        <w:tc>
          <w:tcPr>
            <w:tcW w:w="1273" w:type="dxa"/>
            <w:vAlign w:val="center"/>
          </w:tcPr>
          <w:p w:rsidRPr="008D1279" w:rsidR="000D5860" w:rsidP="00451C91" w:rsidRDefault="000D5860" w14:paraId="15BCCC0C" w14:textId="77777777">
            <w:pPr>
              <w:jc w:val="right"/>
              <w:rPr>
                <w:rFonts w:ascii="Times New Roman" w:hAnsi="Times New Roman" w:cs="Times New Roman"/>
                <w:sz w:val="20"/>
                <w:szCs w:val="20"/>
              </w:rPr>
            </w:pPr>
            <w:r w:rsidRPr="008D1279">
              <w:rPr>
                <w:rFonts w:ascii="Times New Roman" w:hAnsi="Times New Roman" w:cs="Times New Roman"/>
                <w:sz w:val="20"/>
                <w:szCs w:val="20"/>
              </w:rPr>
              <w:t>0</w:t>
            </w:r>
          </w:p>
        </w:tc>
        <w:tc>
          <w:tcPr>
            <w:tcW w:w="1236" w:type="dxa"/>
            <w:vAlign w:val="center"/>
          </w:tcPr>
          <w:p w:rsidRPr="008D1279" w:rsidR="000D5860" w:rsidP="00451C91" w:rsidRDefault="000D5860" w14:paraId="06ECAFC5" w14:textId="77777777">
            <w:pPr>
              <w:jc w:val="right"/>
              <w:rPr>
                <w:rFonts w:ascii="Times New Roman" w:hAnsi="Times New Roman" w:cs="Times New Roman"/>
                <w:sz w:val="20"/>
                <w:szCs w:val="20"/>
              </w:rPr>
            </w:pPr>
            <w:r w:rsidRPr="008D1279">
              <w:rPr>
                <w:rFonts w:ascii="Times New Roman" w:hAnsi="Times New Roman" w:cs="Times New Roman"/>
                <w:sz w:val="20"/>
                <w:szCs w:val="20"/>
              </w:rPr>
              <w:t>0</w:t>
            </w:r>
          </w:p>
        </w:tc>
      </w:tr>
      <w:bookmarkEnd w:id="3"/>
    </w:tbl>
    <w:p w:rsidR="000D5860" w:rsidP="000325CA" w:rsidRDefault="000D5860" w14:paraId="0680EC5C" w14:textId="77777777">
      <w:pPr>
        <w:pStyle w:val="NormalWeb"/>
        <w:rPr>
          <w:i/>
          <w:sz w:val="20"/>
          <w:szCs w:val="20"/>
        </w:rPr>
      </w:pPr>
    </w:p>
    <w:p w:rsidRPr="009E6802" w:rsidR="009E6802" w:rsidP="000325CA" w:rsidRDefault="00562915" w14:paraId="015D66B9" w14:textId="4C2DEC1A">
      <w:pPr>
        <w:pStyle w:val="NormalWeb"/>
        <w:rPr>
          <w:iCs/>
        </w:rPr>
      </w:pPr>
      <w:r w:rsidRPr="006625E7">
        <w:rPr>
          <w:b/>
          <w:bCs/>
          <w:i/>
        </w:rPr>
        <w:t>Explain:</w:t>
      </w:r>
      <w:r w:rsidR="00CC0954">
        <w:rPr>
          <w:b/>
          <w:bCs/>
          <w:i/>
        </w:rPr>
        <w:t xml:space="preserve">  </w:t>
      </w:r>
      <w:r w:rsidR="009E6802">
        <w:rPr>
          <w:iCs/>
        </w:rPr>
        <w:t xml:space="preserve">This is a new information collection; therefore, </w:t>
      </w:r>
      <w:r w:rsidR="00614C3E">
        <w:rPr>
          <w:iCs/>
        </w:rPr>
        <w:t xml:space="preserve">we have no historical data to rely upon and </w:t>
      </w:r>
      <w:r w:rsidR="009E6802">
        <w:rPr>
          <w:iCs/>
        </w:rPr>
        <w:t>all of the numbers</w:t>
      </w:r>
      <w:r w:rsidR="00614C3E">
        <w:rPr>
          <w:iCs/>
        </w:rPr>
        <w:t xml:space="preserve"> in this information collection are</w:t>
      </w:r>
      <w:r w:rsidR="009E6802">
        <w:rPr>
          <w:iCs/>
        </w:rPr>
        <w:t xml:space="preserve"> new</w:t>
      </w:r>
      <w:r w:rsidR="00614C3E">
        <w:rPr>
          <w:iCs/>
        </w:rPr>
        <w:t xml:space="preserve">.  </w:t>
      </w:r>
    </w:p>
    <w:p w:rsidR="000D5860" w:rsidP="00562915" w:rsidRDefault="000D5860" w14:paraId="55D69D03" w14:textId="764131EF">
      <w:pPr>
        <w:rPr>
          <w:i/>
          <w:sz w:val="20"/>
          <w:szCs w:val="20"/>
        </w:rPr>
      </w:pPr>
    </w:p>
    <w:tbl>
      <w:tblPr>
        <w:tblStyle w:val="TableGrid"/>
        <w:tblW w:w="10309" w:type="dxa"/>
        <w:tblInd w:w="-545" w:type="dxa"/>
        <w:tblLook w:val="04A0" w:firstRow="1" w:lastRow="0" w:firstColumn="1" w:lastColumn="0" w:noHBand="0" w:noVBand="1"/>
      </w:tblPr>
      <w:tblGrid>
        <w:gridCol w:w="1952"/>
        <w:gridCol w:w="1738"/>
        <w:gridCol w:w="1156"/>
        <w:gridCol w:w="1236"/>
        <w:gridCol w:w="1748"/>
        <w:gridCol w:w="1243"/>
        <w:gridCol w:w="1236"/>
      </w:tblGrid>
      <w:tr w:rsidRPr="008D1279" w:rsidR="000D5860" w:rsidTr="00451C91" w14:paraId="5122B125" w14:textId="77777777">
        <w:tc>
          <w:tcPr>
            <w:tcW w:w="10309" w:type="dxa"/>
            <w:gridSpan w:val="7"/>
          </w:tcPr>
          <w:p w:rsidRPr="008D1279" w:rsidR="000D5860" w:rsidP="00451C91" w:rsidRDefault="000D5860" w14:paraId="7CE75131" w14:textId="77777777">
            <w:pPr>
              <w:jc w:val="center"/>
              <w:rPr>
                <w:rFonts w:ascii="Times New Roman" w:hAnsi="Times New Roman" w:cs="Times New Roman"/>
                <w:b/>
                <w:sz w:val="20"/>
                <w:szCs w:val="20"/>
              </w:rPr>
            </w:pPr>
            <w:r w:rsidRPr="008D1279">
              <w:rPr>
                <w:rFonts w:ascii="Times New Roman" w:hAnsi="Times New Roman" w:cs="Times New Roman"/>
                <w:b/>
                <w:sz w:val="20"/>
                <w:szCs w:val="20"/>
              </w:rPr>
              <w:t>Itemized Changes in Annual Cost Burden</w:t>
            </w:r>
          </w:p>
        </w:tc>
      </w:tr>
      <w:tr w:rsidRPr="008D1279" w:rsidR="000D5860" w:rsidTr="00451C91" w14:paraId="456FFB7A" w14:textId="77777777">
        <w:tc>
          <w:tcPr>
            <w:tcW w:w="1952" w:type="dxa"/>
            <w:shd w:val="clear" w:color="auto" w:fill="95B3D7" w:themeFill="accent1" w:themeFillTint="99"/>
          </w:tcPr>
          <w:p w:rsidRPr="008D1279" w:rsidR="000D5860" w:rsidP="00451C91" w:rsidRDefault="000D5860" w14:paraId="3AF2CB75" w14:textId="77777777">
            <w:pPr>
              <w:rPr>
                <w:rFonts w:ascii="Times New Roman" w:hAnsi="Times New Roman" w:cs="Times New Roman"/>
                <w:sz w:val="20"/>
                <w:szCs w:val="20"/>
              </w:rPr>
            </w:pPr>
            <w:r w:rsidRPr="008D1279">
              <w:rPr>
                <w:rFonts w:ascii="Times New Roman" w:hAnsi="Times New Roman" w:cs="Times New Roman"/>
                <w:sz w:val="20"/>
                <w:szCs w:val="20"/>
              </w:rPr>
              <w:t>Data Collection Activity/Instrument</w:t>
            </w:r>
          </w:p>
        </w:tc>
        <w:tc>
          <w:tcPr>
            <w:tcW w:w="1738" w:type="dxa"/>
            <w:shd w:val="clear" w:color="auto" w:fill="95B3D7" w:themeFill="accent1" w:themeFillTint="99"/>
          </w:tcPr>
          <w:p w:rsidRPr="008D1279" w:rsidR="000D5860" w:rsidP="00451C91" w:rsidRDefault="000D5860" w14:paraId="0F741A61" w14:textId="77777777">
            <w:pPr>
              <w:rPr>
                <w:rFonts w:ascii="Times New Roman" w:hAnsi="Times New Roman" w:cs="Times New Roman"/>
                <w:sz w:val="20"/>
                <w:szCs w:val="20"/>
              </w:rPr>
            </w:pPr>
            <w:r w:rsidRPr="008D1279">
              <w:rPr>
                <w:rFonts w:ascii="Times New Roman" w:hAnsi="Times New Roman" w:cs="Times New Roman"/>
                <w:sz w:val="20"/>
                <w:szCs w:val="20"/>
              </w:rPr>
              <w:t>Program Change (cost currently on OMB inventory)</w:t>
            </w:r>
          </w:p>
        </w:tc>
        <w:tc>
          <w:tcPr>
            <w:tcW w:w="1156" w:type="dxa"/>
            <w:shd w:val="clear" w:color="auto" w:fill="95B3D7" w:themeFill="accent1" w:themeFillTint="99"/>
          </w:tcPr>
          <w:p w:rsidRPr="008D1279" w:rsidR="000D5860" w:rsidP="00451C91" w:rsidRDefault="000D5860" w14:paraId="7424AAAA" w14:textId="77777777">
            <w:pPr>
              <w:rPr>
                <w:rFonts w:ascii="Times New Roman" w:hAnsi="Times New Roman" w:cs="Times New Roman"/>
                <w:sz w:val="20"/>
                <w:szCs w:val="20"/>
              </w:rPr>
            </w:pPr>
            <w:r w:rsidRPr="008D1279">
              <w:rPr>
                <w:rFonts w:ascii="Times New Roman" w:hAnsi="Times New Roman" w:cs="Times New Roman"/>
                <w:sz w:val="20"/>
                <w:szCs w:val="20"/>
              </w:rPr>
              <w:t>Program Change (new)</w:t>
            </w:r>
          </w:p>
        </w:tc>
        <w:tc>
          <w:tcPr>
            <w:tcW w:w="1236" w:type="dxa"/>
            <w:shd w:val="clear" w:color="auto" w:fill="95B3D7" w:themeFill="accent1" w:themeFillTint="99"/>
          </w:tcPr>
          <w:p w:rsidRPr="008D1279" w:rsidR="000D5860" w:rsidP="00451C91" w:rsidRDefault="000D5860" w14:paraId="3DB43B23" w14:textId="77777777">
            <w:pPr>
              <w:rPr>
                <w:rFonts w:ascii="Times New Roman" w:hAnsi="Times New Roman" w:cs="Times New Roman"/>
                <w:sz w:val="20"/>
                <w:szCs w:val="20"/>
              </w:rPr>
            </w:pPr>
            <w:r w:rsidRPr="008D1279">
              <w:rPr>
                <w:rFonts w:ascii="Times New Roman" w:hAnsi="Times New Roman" w:cs="Times New Roman"/>
                <w:sz w:val="20"/>
                <w:szCs w:val="20"/>
              </w:rPr>
              <w:t>Difference</w:t>
            </w:r>
          </w:p>
        </w:tc>
        <w:tc>
          <w:tcPr>
            <w:tcW w:w="1748" w:type="dxa"/>
            <w:shd w:val="clear" w:color="auto" w:fill="95B3D7" w:themeFill="accent1" w:themeFillTint="99"/>
          </w:tcPr>
          <w:p w:rsidRPr="008D1279" w:rsidR="000D5860" w:rsidP="00451C91" w:rsidRDefault="000D5860" w14:paraId="464D7F76" w14:textId="77777777">
            <w:pPr>
              <w:rPr>
                <w:rFonts w:ascii="Times New Roman" w:hAnsi="Times New Roman" w:cs="Times New Roman"/>
                <w:sz w:val="20"/>
                <w:szCs w:val="20"/>
              </w:rPr>
            </w:pPr>
            <w:r w:rsidRPr="008D1279">
              <w:rPr>
                <w:rFonts w:ascii="Times New Roman" w:hAnsi="Times New Roman" w:cs="Times New Roman"/>
                <w:sz w:val="20"/>
                <w:szCs w:val="20"/>
              </w:rPr>
              <w:t>Adjustment (cost currently on OMB inventory)</w:t>
            </w:r>
          </w:p>
        </w:tc>
        <w:tc>
          <w:tcPr>
            <w:tcW w:w="1243" w:type="dxa"/>
            <w:shd w:val="clear" w:color="auto" w:fill="95B3D7" w:themeFill="accent1" w:themeFillTint="99"/>
          </w:tcPr>
          <w:p w:rsidRPr="008D1279" w:rsidR="000D5860" w:rsidP="00451C91" w:rsidRDefault="000D5860" w14:paraId="261FB23A" w14:textId="77777777">
            <w:pPr>
              <w:rPr>
                <w:rFonts w:ascii="Times New Roman" w:hAnsi="Times New Roman" w:cs="Times New Roman"/>
                <w:sz w:val="20"/>
                <w:szCs w:val="20"/>
              </w:rPr>
            </w:pPr>
            <w:r w:rsidRPr="008D1279">
              <w:rPr>
                <w:rFonts w:ascii="Times New Roman" w:hAnsi="Times New Roman" w:cs="Times New Roman"/>
                <w:sz w:val="20"/>
                <w:szCs w:val="20"/>
              </w:rPr>
              <w:t>Adjustment (new)</w:t>
            </w:r>
          </w:p>
        </w:tc>
        <w:tc>
          <w:tcPr>
            <w:tcW w:w="1236" w:type="dxa"/>
            <w:shd w:val="clear" w:color="auto" w:fill="95B3D7" w:themeFill="accent1" w:themeFillTint="99"/>
          </w:tcPr>
          <w:p w:rsidRPr="008D1279" w:rsidR="000D5860" w:rsidP="00451C91" w:rsidRDefault="000D5860" w14:paraId="2905252D" w14:textId="77777777">
            <w:pPr>
              <w:rPr>
                <w:rFonts w:ascii="Times New Roman" w:hAnsi="Times New Roman" w:cs="Times New Roman"/>
                <w:sz w:val="20"/>
                <w:szCs w:val="20"/>
              </w:rPr>
            </w:pPr>
            <w:r w:rsidRPr="008D1279">
              <w:rPr>
                <w:rFonts w:ascii="Times New Roman" w:hAnsi="Times New Roman" w:cs="Times New Roman"/>
                <w:sz w:val="20"/>
                <w:szCs w:val="20"/>
              </w:rPr>
              <w:t>Difference</w:t>
            </w:r>
          </w:p>
        </w:tc>
      </w:tr>
      <w:tr w:rsidRPr="008D1279" w:rsidR="000D5860" w:rsidTr="00451C91" w14:paraId="49554C6C" w14:textId="77777777">
        <w:tc>
          <w:tcPr>
            <w:tcW w:w="1952" w:type="dxa"/>
          </w:tcPr>
          <w:p w:rsidRPr="008D1279" w:rsidR="000D5860" w:rsidP="00451C91" w:rsidRDefault="000D5860" w14:paraId="740F3FC6" w14:textId="115B3911">
            <w:pPr>
              <w:rPr>
                <w:rFonts w:ascii="Times New Roman" w:hAnsi="Times New Roman" w:cs="Times New Roman"/>
                <w:sz w:val="20"/>
                <w:szCs w:val="20"/>
              </w:rPr>
            </w:pPr>
          </w:p>
        </w:tc>
        <w:tc>
          <w:tcPr>
            <w:tcW w:w="1738" w:type="dxa"/>
            <w:vAlign w:val="center"/>
          </w:tcPr>
          <w:p w:rsidRPr="008D1279" w:rsidR="000D5860" w:rsidP="00451C91" w:rsidRDefault="000D5860" w14:paraId="080E8193" w14:textId="77777777">
            <w:pPr>
              <w:jc w:val="right"/>
              <w:rPr>
                <w:rFonts w:ascii="Times New Roman" w:hAnsi="Times New Roman" w:cs="Times New Roman"/>
                <w:sz w:val="20"/>
                <w:szCs w:val="20"/>
              </w:rPr>
            </w:pPr>
          </w:p>
        </w:tc>
        <w:tc>
          <w:tcPr>
            <w:tcW w:w="1156" w:type="dxa"/>
            <w:vAlign w:val="center"/>
          </w:tcPr>
          <w:p w:rsidRPr="008D1279" w:rsidR="000D5860" w:rsidP="00451C91" w:rsidRDefault="000D5860" w14:paraId="2F8D9495" w14:textId="77777777">
            <w:pPr>
              <w:jc w:val="right"/>
              <w:rPr>
                <w:rFonts w:ascii="Times New Roman" w:hAnsi="Times New Roman" w:cs="Times New Roman"/>
                <w:sz w:val="20"/>
                <w:szCs w:val="20"/>
              </w:rPr>
            </w:pPr>
          </w:p>
        </w:tc>
        <w:tc>
          <w:tcPr>
            <w:tcW w:w="1236" w:type="dxa"/>
            <w:vAlign w:val="center"/>
          </w:tcPr>
          <w:p w:rsidRPr="008D1279" w:rsidR="000D5860" w:rsidP="00451C91" w:rsidRDefault="000D5860" w14:paraId="6589EA19" w14:textId="77777777">
            <w:pPr>
              <w:jc w:val="right"/>
              <w:rPr>
                <w:rFonts w:ascii="Times New Roman" w:hAnsi="Times New Roman" w:cs="Times New Roman"/>
                <w:sz w:val="20"/>
                <w:szCs w:val="20"/>
              </w:rPr>
            </w:pPr>
          </w:p>
        </w:tc>
        <w:tc>
          <w:tcPr>
            <w:tcW w:w="1748" w:type="dxa"/>
            <w:vAlign w:val="center"/>
          </w:tcPr>
          <w:p w:rsidRPr="008D1279" w:rsidR="000D5860" w:rsidP="00451C91" w:rsidRDefault="000D5860" w14:paraId="76E6B657" w14:textId="77777777">
            <w:pPr>
              <w:jc w:val="right"/>
              <w:rPr>
                <w:rFonts w:ascii="Times New Roman" w:hAnsi="Times New Roman" w:cs="Times New Roman"/>
                <w:sz w:val="20"/>
                <w:szCs w:val="20"/>
              </w:rPr>
            </w:pPr>
          </w:p>
        </w:tc>
        <w:tc>
          <w:tcPr>
            <w:tcW w:w="1243" w:type="dxa"/>
            <w:vAlign w:val="center"/>
          </w:tcPr>
          <w:p w:rsidRPr="008D1279" w:rsidR="000D5860" w:rsidP="00451C91" w:rsidRDefault="000D5860" w14:paraId="0BEE3214" w14:textId="77777777">
            <w:pPr>
              <w:jc w:val="right"/>
              <w:rPr>
                <w:rFonts w:ascii="Times New Roman" w:hAnsi="Times New Roman" w:cs="Times New Roman"/>
                <w:sz w:val="20"/>
                <w:szCs w:val="20"/>
              </w:rPr>
            </w:pPr>
          </w:p>
        </w:tc>
        <w:tc>
          <w:tcPr>
            <w:tcW w:w="1236" w:type="dxa"/>
            <w:vAlign w:val="center"/>
          </w:tcPr>
          <w:p w:rsidRPr="008D1279" w:rsidR="000D5860" w:rsidP="00451C91" w:rsidRDefault="000D5860" w14:paraId="4C03D027" w14:textId="77777777">
            <w:pPr>
              <w:jc w:val="right"/>
              <w:rPr>
                <w:rFonts w:ascii="Times New Roman" w:hAnsi="Times New Roman" w:cs="Times New Roman"/>
                <w:sz w:val="20"/>
                <w:szCs w:val="20"/>
              </w:rPr>
            </w:pPr>
          </w:p>
        </w:tc>
      </w:tr>
      <w:tr w:rsidRPr="008D1279" w:rsidR="000D5860" w:rsidTr="00451C91" w14:paraId="677DBD94" w14:textId="77777777">
        <w:tc>
          <w:tcPr>
            <w:tcW w:w="1952" w:type="dxa"/>
          </w:tcPr>
          <w:p w:rsidRPr="008D1279" w:rsidR="000D5860" w:rsidP="00451C91" w:rsidRDefault="000D5860" w14:paraId="6861A66C" w14:textId="77777777">
            <w:pPr>
              <w:rPr>
                <w:rFonts w:ascii="Times New Roman" w:hAnsi="Times New Roman" w:cs="Times New Roman"/>
                <w:b/>
                <w:sz w:val="20"/>
                <w:szCs w:val="20"/>
              </w:rPr>
            </w:pPr>
            <w:r w:rsidRPr="008D1279">
              <w:rPr>
                <w:rFonts w:ascii="Times New Roman" w:hAnsi="Times New Roman" w:cs="Times New Roman"/>
                <w:b/>
                <w:sz w:val="20"/>
                <w:szCs w:val="20"/>
              </w:rPr>
              <w:t>Total</w:t>
            </w:r>
          </w:p>
        </w:tc>
        <w:tc>
          <w:tcPr>
            <w:tcW w:w="1738" w:type="dxa"/>
            <w:vAlign w:val="center"/>
          </w:tcPr>
          <w:p w:rsidRPr="008D1279" w:rsidR="000D5860" w:rsidP="00451C91" w:rsidRDefault="000D5860" w14:paraId="053A5940" w14:textId="77777777">
            <w:pPr>
              <w:jc w:val="right"/>
              <w:rPr>
                <w:rFonts w:ascii="Times New Roman" w:hAnsi="Times New Roman" w:cs="Times New Roman"/>
                <w:sz w:val="20"/>
                <w:szCs w:val="20"/>
              </w:rPr>
            </w:pPr>
            <w:r w:rsidRPr="008D1279">
              <w:rPr>
                <w:rFonts w:ascii="Times New Roman" w:hAnsi="Times New Roman" w:cs="Times New Roman"/>
                <w:sz w:val="20"/>
                <w:szCs w:val="20"/>
              </w:rPr>
              <w:t>$0</w:t>
            </w:r>
          </w:p>
        </w:tc>
        <w:tc>
          <w:tcPr>
            <w:tcW w:w="1156" w:type="dxa"/>
            <w:vAlign w:val="center"/>
          </w:tcPr>
          <w:p w:rsidRPr="008D1279" w:rsidR="000D5860" w:rsidP="00451C91" w:rsidRDefault="000D5860" w14:paraId="2A7EA1D3" w14:textId="77777777">
            <w:pPr>
              <w:jc w:val="right"/>
              <w:rPr>
                <w:rFonts w:ascii="Times New Roman" w:hAnsi="Times New Roman" w:cs="Times New Roman"/>
                <w:sz w:val="20"/>
                <w:szCs w:val="20"/>
              </w:rPr>
            </w:pPr>
            <w:r w:rsidRPr="008D1279">
              <w:rPr>
                <w:rFonts w:ascii="Times New Roman" w:hAnsi="Times New Roman" w:cs="Times New Roman"/>
                <w:sz w:val="20"/>
                <w:szCs w:val="20"/>
              </w:rPr>
              <w:t>$0</w:t>
            </w:r>
          </w:p>
        </w:tc>
        <w:tc>
          <w:tcPr>
            <w:tcW w:w="1236" w:type="dxa"/>
            <w:vAlign w:val="center"/>
          </w:tcPr>
          <w:p w:rsidRPr="008D1279" w:rsidR="000D5860" w:rsidP="00451C91" w:rsidRDefault="000D5860" w14:paraId="5712F09F" w14:textId="77777777">
            <w:pPr>
              <w:jc w:val="right"/>
              <w:rPr>
                <w:rFonts w:ascii="Times New Roman" w:hAnsi="Times New Roman" w:cs="Times New Roman"/>
                <w:sz w:val="20"/>
                <w:szCs w:val="20"/>
              </w:rPr>
            </w:pPr>
            <w:r w:rsidRPr="008D1279">
              <w:rPr>
                <w:rFonts w:ascii="Times New Roman" w:hAnsi="Times New Roman" w:cs="Times New Roman"/>
                <w:sz w:val="20"/>
                <w:szCs w:val="20"/>
              </w:rPr>
              <w:t>$0</w:t>
            </w:r>
          </w:p>
        </w:tc>
        <w:tc>
          <w:tcPr>
            <w:tcW w:w="1748" w:type="dxa"/>
            <w:vAlign w:val="center"/>
          </w:tcPr>
          <w:p w:rsidRPr="008D1279" w:rsidR="000D5860" w:rsidP="00451C91" w:rsidRDefault="000D5860" w14:paraId="0CA5DCDB" w14:textId="77777777">
            <w:pPr>
              <w:jc w:val="right"/>
              <w:rPr>
                <w:rFonts w:ascii="Times New Roman" w:hAnsi="Times New Roman" w:cs="Times New Roman"/>
                <w:sz w:val="20"/>
                <w:szCs w:val="20"/>
              </w:rPr>
            </w:pPr>
            <w:r w:rsidRPr="008D1279">
              <w:rPr>
                <w:rFonts w:ascii="Times New Roman" w:hAnsi="Times New Roman" w:cs="Times New Roman"/>
                <w:sz w:val="20"/>
                <w:szCs w:val="20"/>
              </w:rPr>
              <w:t>$0</w:t>
            </w:r>
          </w:p>
        </w:tc>
        <w:tc>
          <w:tcPr>
            <w:tcW w:w="1243" w:type="dxa"/>
            <w:vAlign w:val="center"/>
          </w:tcPr>
          <w:p w:rsidRPr="008D1279" w:rsidR="000D5860" w:rsidP="00451C91" w:rsidRDefault="000D5860" w14:paraId="52166FE9" w14:textId="77777777">
            <w:pPr>
              <w:jc w:val="right"/>
              <w:rPr>
                <w:rFonts w:ascii="Times New Roman" w:hAnsi="Times New Roman" w:cs="Times New Roman"/>
                <w:sz w:val="20"/>
                <w:szCs w:val="20"/>
              </w:rPr>
            </w:pPr>
            <w:r w:rsidRPr="008D1279">
              <w:rPr>
                <w:rFonts w:ascii="Times New Roman" w:hAnsi="Times New Roman" w:cs="Times New Roman"/>
                <w:sz w:val="20"/>
                <w:szCs w:val="20"/>
              </w:rPr>
              <w:t>$0</w:t>
            </w:r>
          </w:p>
        </w:tc>
        <w:tc>
          <w:tcPr>
            <w:tcW w:w="1236" w:type="dxa"/>
            <w:vAlign w:val="center"/>
          </w:tcPr>
          <w:p w:rsidRPr="008D1279" w:rsidR="000D5860" w:rsidP="00451C91" w:rsidRDefault="000D5860" w14:paraId="41D019E2" w14:textId="77777777">
            <w:pPr>
              <w:jc w:val="right"/>
              <w:rPr>
                <w:rFonts w:ascii="Times New Roman" w:hAnsi="Times New Roman" w:cs="Times New Roman"/>
                <w:sz w:val="20"/>
                <w:szCs w:val="20"/>
              </w:rPr>
            </w:pPr>
            <w:r w:rsidRPr="008D1279">
              <w:rPr>
                <w:rFonts w:ascii="Times New Roman" w:hAnsi="Times New Roman" w:cs="Times New Roman"/>
                <w:sz w:val="20"/>
                <w:szCs w:val="20"/>
              </w:rPr>
              <w:t>$0</w:t>
            </w:r>
          </w:p>
        </w:tc>
      </w:tr>
    </w:tbl>
    <w:p w:rsidR="000D5860" w:rsidP="00562915" w:rsidRDefault="000D5860" w14:paraId="6183CAF8" w14:textId="77777777">
      <w:pPr>
        <w:rPr>
          <w:i/>
          <w:sz w:val="20"/>
          <w:szCs w:val="20"/>
        </w:rPr>
      </w:pPr>
    </w:p>
    <w:p w:rsidRPr="006625E7" w:rsidR="00562915" w:rsidP="00562915" w:rsidRDefault="00562915" w14:paraId="313F4117" w14:textId="25524DEA">
      <w:pPr>
        <w:rPr>
          <w:rFonts w:ascii="Times New Roman" w:hAnsi="Times New Roman" w:cs="Times New Roman"/>
          <w:b/>
          <w:bCs/>
          <w:i/>
        </w:rPr>
      </w:pPr>
      <w:r w:rsidRPr="006625E7">
        <w:rPr>
          <w:rFonts w:ascii="Times New Roman" w:hAnsi="Times New Roman" w:cs="Times New Roman"/>
          <w:b/>
          <w:bCs/>
          <w:i/>
        </w:rPr>
        <w:t>Explain:</w:t>
      </w:r>
      <w:r w:rsidRPr="006625E7">
        <w:rPr>
          <w:rFonts w:ascii="Times New Roman" w:hAnsi="Times New Roman" w:cs="Times New Roman"/>
          <w:bCs/>
          <w:i/>
        </w:rPr>
        <w:t xml:space="preserve"> </w:t>
      </w:r>
    </w:p>
    <w:p w:rsidRPr="006625E7" w:rsidR="00562915" w:rsidP="00562915" w:rsidRDefault="00562915" w14:paraId="62B0CF7E" w14:textId="77777777">
      <w:pPr>
        <w:rPr>
          <w:rFonts w:ascii="Times New Roman" w:hAnsi="Times New Roman" w:cs="Times New Roman"/>
          <w:b/>
          <w:bCs/>
          <w:sz w:val="24"/>
          <w:szCs w:val="24"/>
        </w:rPr>
      </w:pPr>
      <w:r>
        <w:rPr>
          <w:b/>
          <w:bCs/>
        </w:rPr>
        <w:fldChar w:fldCharType="begin"/>
      </w:r>
      <w:r>
        <w:rPr>
          <w:b/>
          <w:bCs/>
        </w:rPr>
        <w:instrText>ADVANCE \R 0.95</w:instrText>
      </w:r>
      <w:r>
        <w:rPr>
          <w:b/>
          <w:bCs/>
        </w:rPr>
        <w:fldChar w:fldCharType="end"/>
      </w:r>
    </w:p>
    <w:p w:rsidRPr="006625E7" w:rsidR="00562915" w:rsidP="00562915" w:rsidRDefault="00562915" w14:paraId="34150132" w14:textId="77777777">
      <w:pPr>
        <w:rPr>
          <w:rFonts w:ascii="Times New Roman" w:hAnsi="Times New Roman" w:cs="Times New Roman"/>
          <w:sz w:val="24"/>
          <w:szCs w:val="24"/>
        </w:rPr>
      </w:pPr>
      <w:r w:rsidRPr="006625E7">
        <w:rPr>
          <w:rFonts w:ascii="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6625E7" w:rsidR="00562915" w:rsidP="00562915" w:rsidRDefault="00562915" w14:paraId="24DBAEA3" w14:textId="0DBEA3F8">
      <w:pPr>
        <w:rPr>
          <w:rFonts w:ascii="Times New Roman" w:hAnsi="Times New Roman" w:cs="Times New Roman"/>
          <w:sz w:val="24"/>
          <w:szCs w:val="24"/>
        </w:rPr>
      </w:pPr>
      <w:r w:rsidRPr="006625E7">
        <w:rPr>
          <w:rFonts w:ascii="Times New Roman" w:hAnsi="Times New Roman" w:cs="Times New Roman"/>
          <w:sz w:val="24"/>
          <w:szCs w:val="24"/>
        </w:rPr>
        <w:t>There are no outline plans for tabulation and publication of data for this information collection</w:t>
      </w:r>
      <w:r w:rsidR="00614C3E">
        <w:rPr>
          <w:rFonts w:ascii="Times New Roman" w:hAnsi="Times New Roman" w:cs="Times New Roman"/>
          <w:sz w:val="24"/>
          <w:szCs w:val="24"/>
        </w:rPr>
        <w:t xml:space="preserve"> as the information is considered business proprietary and is not to be published. </w:t>
      </w:r>
    </w:p>
    <w:p w:rsidRPr="006625E7" w:rsidR="00562915" w:rsidP="00562915" w:rsidRDefault="00562915" w14:paraId="1AC76408"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17.  If seeking approval not to display the expiration date for OMB approval of the information collection, explain reasons that display would be inappropriate.</w:t>
      </w:r>
    </w:p>
    <w:p w:rsidRPr="006625E7" w:rsidR="00562915" w:rsidP="00562915" w:rsidRDefault="00562915" w14:paraId="6E553EF3" w14:textId="77777777">
      <w:pPr>
        <w:rPr>
          <w:rFonts w:ascii="Times New Roman" w:hAnsi="Times New Roman" w:cs="Times New Roman"/>
          <w:b/>
          <w:bCs/>
          <w:color w:val="000000"/>
          <w:sz w:val="24"/>
          <w:szCs w:val="24"/>
        </w:rPr>
      </w:pPr>
      <w:r w:rsidRPr="006625E7">
        <w:rPr>
          <w:rFonts w:ascii="Times New Roman" w:hAnsi="Times New Roman" w:cs="Times New Roman"/>
          <w:color w:val="000000"/>
          <w:sz w:val="24"/>
          <w:szCs w:val="24"/>
        </w:rPr>
        <w:t>This collection does not seek approval to not display the expiration date for OMB approval.</w:t>
      </w:r>
      <w:r w:rsidRPr="006625E7">
        <w:rPr>
          <w:rFonts w:ascii="Times New Roman" w:hAnsi="Times New Roman" w:cs="Times New Roman"/>
          <w:b/>
          <w:bCs/>
          <w:color w:val="000000"/>
          <w:sz w:val="24"/>
          <w:szCs w:val="24"/>
        </w:rPr>
        <w:fldChar w:fldCharType="begin"/>
      </w:r>
      <w:r w:rsidRPr="006625E7">
        <w:rPr>
          <w:rFonts w:ascii="Times New Roman" w:hAnsi="Times New Roman" w:cs="Times New Roman"/>
          <w:b/>
          <w:bCs/>
          <w:color w:val="000000"/>
          <w:sz w:val="24"/>
          <w:szCs w:val="24"/>
        </w:rPr>
        <w:instrText>ADVANCE \R 0.95</w:instrText>
      </w:r>
      <w:r w:rsidRPr="006625E7">
        <w:rPr>
          <w:rFonts w:ascii="Times New Roman" w:hAnsi="Times New Roman" w:cs="Times New Roman"/>
          <w:b/>
          <w:bCs/>
          <w:color w:val="000000"/>
          <w:sz w:val="24"/>
          <w:szCs w:val="24"/>
        </w:rPr>
        <w:fldChar w:fldCharType="end"/>
      </w:r>
    </w:p>
    <w:p w:rsidRPr="006625E7" w:rsidR="00562915" w:rsidP="00562915" w:rsidRDefault="00562915" w14:paraId="575CEB62"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18.  Explain each exception to the certification statement identified in Item 19 “Certification for Paperwork Reduction Act Submissions,” of OMB Form 83-I.</w:t>
      </w:r>
    </w:p>
    <w:p w:rsidRPr="006625E7" w:rsidR="00562915" w:rsidP="00562915" w:rsidRDefault="00562915" w14:paraId="22BEF93A" w14:textId="092435F0">
      <w:pPr>
        <w:rPr>
          <w:rFonts w:ascii="Times New Roman" w:hAnsi="Times New Roman" w:cs="Times New Roman"/>
          <w:color w:val="0000FF"/>
          <w:sz w:val="24"/>
          <w:szCs w:val="24"/>
        </w:rPr>
      </w:pPr>
      <w:r w:rsidRPr="006625E7">
        <w:rPr>
          <w:rFonts w:ascii="Times New Roman" w:hAnsi="Times New Roman" w:cs="Times New Roman"/>
          <w:color w:val="FF0000"/>
          <w:sz w:val="24"/>
          <w:szCs w:val="24"/>
        </w:rPr>
        <w:fldChar w:fldCharType="begin"/>
      </w:r>
      <w:r w:rsidRPr="006625E7">
        <w:rPr>
          <w:rFonts w:ascii="Times New Roman" w:hAnsi="Times New Roman" w:cs="Times New Roman"/>
          <w:color w:val="FF0000"/>
          <w:sz w:val="24"/>
          <w:szCs w:val="24"/>
        </w:rPr>
        <w:instrText>ADVANCE \R 0.95</w:instrText>
      </w:r>
      <w:r w:rsidRPr="006625E7">
        <w:rPr>
          <w:rFonts w:ascii="Times New Roman" w:hAnsi="Times New Roman" w:cs="Times New Roman"/>
          <w:color w:val="FF0000"/>
          <w:sz w:val="24"/>
          <w:szCs w:val="24"/>
        </w:rPr>
        <w:fldChar w:fldCharType="end"/>
      </w:r>
      <w:r w:rsidRPr="00614C3E">
        <w:rPr>
          <w:rFonts w:ascii="Times New Roman" w:hAnsi="Times New Roman" w:cs="Times New Roman"/>
          <w:sz w:val="24"/>
          <w:szCs w:val="24"/>
        </w:rPr>
        <w:t xml:space="preserve">This collection does not seek exception to “Certification for Paperwork Reduction Act Submissions”.  This collection does not use efficient statistical survey methodology or </w:t>
      </w:r>
      <w:r w:rsidRPr="00614C3E">
        <w:rPr>
          <w:rFonts w:ascii="Times New Roman" w:hAnsi="Times New Roman" w:cs="Times New Roman"/>
          <w:sz w:val="24"/>
          <w:szCs w:val="24"/>
        </w:rPr>
        <w:lastRenderedPageBreak/>
        <w:t>use of information technology.  Statistical Survey methodology "is not applicable" Question #3 in the supporting statement justifies the non-use of information technology.</w:t>
      </w:r>
    </w:p>
    <w:sectPr w:rsidRPr="006625E7" w:rsidR="00562915">
      <w:footerReference w:type="even" r:id="rId10"/>
      <w:footerReference w:type="default" r:id="rId11"/>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4FDFCA" w14:textId="77777777" w:rsidR="00B72AEB" w:rsidRDefault="00B72AEB">
      <w:pPr>
        <w:spacing w:after="0" w:line="240" w:lineRule="auto"/>
      </w:pPr>
      <w:r>
        <w:separator/>
      </w:r>
    </w:p>
  </w:endnote>
  <w:endnote w:type="continuationSeparator" w:id="0">
    <w:p w14:paraId="253772F6" w14:textId="77777777" w:rsidR="00B72AEB" w:rsidRDefault="00B72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0FDD7" w14:textId="77777777" w:rsidR="00F42D8D" w:rsidRDefault="00562915"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2A6EEA8" w14:textId="77777777" w:rsidR="00F42D8D" w:rsidRDefault="00B72AE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668D0" w14:textId="70C19F7A" w:rsidR="00F42D8D" w:rsidRDefault="00562915"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53F63">
      <w:rPr>
        <w:rStyle w:val="PageNumber"/>
        <w:noProof/>
      </w:rPr>
      <w:t>11</w:t>
    </w:r>
    <w:r>
      <w:rPr>
        <w:rStyle w:val="PageNumber"/>
      </w:rPr>
      <w:fldChar w:fldCharType="end"/>
    </w:r>
  </w:p>
  <w:p w14:paraId="780FD112" w14:textId="77777777" w:rsidR="00F42D8D" w:rsidRDefault="00B72AE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41D0B2" w14:textId="77777777" w:rsidR="00B72AEB" w:rsidRDefault="00B72AEB">
      <w:pPr>
        <w:spacing w:after="0" w:line="240" w:lineRule="auto"/>
      </w:pPr>
      <w:r>
        <w:separator/>
      </w:r>
    </w:p>
  </w:footnote>
  <w:footnote w:type="continuationSeparator" w:id="0">
    <w:p w14:paraId="7CD3701D" w14:textId="77777777" w:rsidR="00B72AEB" w:rsidRDefault="00B72AEB">
      <w:pPr>
        <w:spacing w:after="0" w:line="240" w:lineRule="auto"/>
      </w:pPr>
      <w:r>
        <w:continuationSeparator/>
      </w:r>
    </w:p>
  </w:footnote>
  <w:footnote w:id="1">
    <w:p w14:paraId="5474FF55" w14:textId="4CC4F9F5" w:rsidR="00BA2737" w:rsidRDefault="00BA2737">
      <w:pPr>
        <w:pStyle w:val="FootnoteText"/>
      </w:pPr>
      <w:r>
        <w:rPr>
          <w:rStyle w:val="FootnoteReference"/>
        </w:rPr>
        <w:footnoteRef/>
      </w:r>
      <w:r>
        <w:t xml:space="preserve"> </w:t>
      </w:r>
      <w:r>
        <w:rPr>
          <w:rFonts w:ascii="Times New Roman" w:hAnsi="Times New Roman" w:cs="Times New Roman"/>
        </w:rPr>
        <w:t xml:space="preserve">Bureau of Labor Statistics, Employer Costs for Employee Compensation, Table 1.  “Employer costs per hour worked for employee compensation and costs as a percent of total compensation:  Civilian workers, by major occupational and industry group, March 2019.”  Available at </w:t>
      </w:r>
      <w:hyperlink r:id="rId1" w:history="1">
        <w:r w:rsidRPr="00B040A9">
          <w:rPr>
            <w:rStyle w:val="Hyperlink"/>
            <w:rFonts w:ascii="Times New Roman" w:hAnsi="Times New Roman" w:cs="Times New Roman"/>
          </w:rPr>
          <w:t>http://www.bls.gov/news.release/archives/ecec_06182019.pdf</w:t>
        </w:r>
      </w:hyperlink>
      <w:r>
        <w:rPr>
          <w:rFonts w:ascii="Times New Roman" w:hAnsi="Times New Roman" w:cs="Times New Roman"/>
        </w:rPr>
        <w:t xml:space="preserve">.  Accessed </w:t>
      </w:r>
      <w:r w:rsidR="00C15F7E">
        <w:rPr>
          <w:rFonts w:ascii="Times New Roman" w:hAnsi="Times New Roman" w:cs="Times New Roman"/>
        </w:rPr>
        <w:t>April 14, 2020</w:t>
      </w:r>
      <w:r>
        <w:rPr>
          <w:rFonts w:ascii="Times New Roman" w:hAnsi="Times New Roman" w:cs="Times New Roman"/>
        </w:rPr>
        <w:t>.  The wage multiplier is calculated by dividing total compensation for all workers of $36.77 by wages and salaries for all workers of $25.22 per hour yielding a benefits multiplier of approximately 1.46</w:t>
      </w:r>
      <w:r w:rsidR="002A0988">
        <w:rPr>
          <w:rFonts w:ascii="Times New Roman" w:hAnsi="Times New Roman" w:cs="Times New Roman"/>
        </w:rPr>
        <w:t>.</w:t>
      </w:r>
    </w:p>
  </w:footnote>
  <w:footnote w:id="2">
    <w:p w14:paraId="2EBC87B2" w14:textId="3BB61042" w:rsidR="00BA2737" w:rsidRDefault="00BA2737" w:rsidP="00BA2737">
      <w:pPr>
        <w:pStyle w:val="FootnoteText"/>
      </w:pPr>
      <w:r>
        <w:rPr>
          <w:rStyle w:val="FootnoteReference"/>
        </w:rPr>
        <w:footnoteRef/>
      </w:r>
      <w:r>
        <w:t xml:space="preserve"> </w:t>
      </w:r>
      <w:r>
        <w:rPr>
          <w:rFonts w:ascii="Times New Roman" w:hAnsi="Times New Roman" w:cs="Times New Roman"/>
        </w:rPr>
        <w:t xml:space="preserve">Information on the mean wage rate from the U.S. Department of Labor Bureau of Labor Statistics is available online at: </w:t>
      </w:r>
      <w:hyperlink r:id="rId2" w:history="1">
        <w:r w:rsidRPr="00665CD8">
          <w:rPr>
            <w:rStyle w:val="Hyperlink"/>
            <w:rFonts w:ascii="Times New Roman" w:hAnsi="Times New Roman" w:cs="Times New Roman"/>
          </w:rPr>
          <w:t>https://www.bls.gov/oes/tables.htm</w:t>
        </w:r>
      </w:hyperlink>
      <w:r w:rsidR="002A0988">
        <w:rPr>
          <w:rStyle w:val="Hyperlink"/>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513184"/>
    <w:multiLevelType w:val="hybridMultilevel"/>
    <w:tmpl w:val="BAE22250"/>
    <w:lvl w:ilvl="0" w:tplc="DD6E495C">
      <w:start w:val="3"/>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40694C71"/>
    <w:multiLevelType w:val="hybridMultilevel"/>
    <w:tmpl w:val="488C90BC"/>
    <w:lvl w:ilvl="0" w:tplc="EC7E4ABA">
      <w:start w:val="1"/>
      <w:numFmt w:val="decimal"/>
      <w:lvlText w:val="(%1)"/>
      <w:lvlJc w:val="left"/>
      <w:pPr>
        <w:ind w:left="1080" w:hanging="360"/>
      </w:pPr>
      <w:rPr>
        <w:strike w:val="0"/>
        <w:dstrike w:val="0"/>
        <w:u w:val="none"/>
        <w:effect w:val="non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1"/>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915"/>
    <w:rsid w:val="00021AF6"/>
    <w:rsid w:val="000325CA"/>
    <w:rsid w:val="00040C42"/>
    <w:rsid w:val="00067580"/>
    <w:rsid w:val="00096749"/>
    <w:rsid w:val="000B41D0"/>
    <w:rsid w:val="000C107E"/>
    <w:rsid w:val="000D46F2"/>
    <w:rsid w:val="000D5860"/>
    <w:rsid w:val="000E2546"/>
    <w:rsid w:val="00106954"/>
    <w:rsid w:val="001621E6"/>
    <w:rsid w:val="001E13AD"/>
    <w:rsid w:val="001E20C7"/>
    <w:rsid w:val="001E222E"/>
    <w:rsid w:val="001F4D25"/>
    <w:rsid w:val="002243F4"/>
    <w:rsid w:val="00231337"/>
    <w:rsid w:val="00237498"/>
    <w:rsid w:val="00265C27"/>
    <w:rsid w:val="00271C59"/>
    <w:rsid w:val="0027258B"/>
    <w:rsid w:val="002768D8"/>
    <w:rsid w:val="00286320"/>
    <w:rsid w:val="002A0988"/>
    <w:rsid w:val="002B1C5B"/>
    <w:rsid w:val="002B27E9"/>
    <w:rsid w:val="002B2B7C"/>
    <w:rsid w:val="002F4F27"/>
    <w:rsid w:val="003218EA"/>
    <w:rsid w:val="00366577"/>
    <w:rsid w:val="00372A10"/>
    <w:rsid w:val="0038141E"/>
    <w:rsid w:val="003828D9"/>
    <w:rsid w:val="00383A2E"/>
    <w:rsid w:val="003B42CF"/>
    <w:rsid w:val="003C3F58"/>
    <w:rsid w:val="003F5447"/>
    <w:rsid w:val="00424C2A"/>
    <w:rsid w:val="00426876"/>
    <w:rsid w:val="004421B2"/>
    <w:rsid w:val="00455ECE"/>
    <w:rsid w:val="004736FD"/>
    <w:rsid w:val="00473F8D"/>
    <w:rsid w:val="00481FA6"/>
    <w:rsid w:val="004923B5"/>
    <w:rsid w:val="004B7724"/>
    <w:rsid w:val="005106DD"/>
    <w:rsid w:val="005156A1"/>
    <w:rsid w:val="00547735"/>
    <w:rsid w:val="00553A38"/>
    <w:rsid w:val="00562915"/>
    <w:rsid w:val="005C07BE"/>
    <w:rsid w:val="005C7B2D"/>
    <w:rsid w:val="005D1DD4"/>
    <w:rsid w:val="005E6793"/>
    <w:rsid w:val="0060468E"/>
    <w:rsid w:val="00614C3E"/>
    <w:rsid w:val="00653A2D"/>
    <w:rsid w:val="006625E7"/>
    <w:rsid w:val="006C0313"/>
    <w:rsid w:val="007103B8"/>
    <w:rsid w:val="00736013"/>
    <w:rsid w:val="00741DA8"/>
    <w:rsid w:val="00742B07"/>
    <w:rsid w:val="00757122"/>
    <w:rsid w:val="00761171"/>
    <w:rsid w:val="00762B5C"/>
    <w:rsid w:val="00772D14"/>
    <w:rsid w:val="00773013"/>
    <w:rsid w:val="00775603"/>
    <w:rsid w:val="007805DA"/>
    <w:rsid w:val="007B3CE0"/>
    <w:rsid w:val="007B5775"/>
    <w:rsid w:val="007D4D80"/>
    <w:rsid w:val="007E5216"/>
    <w:rsid w:val="007F09C6"/>
    <w:rsid w:val="007F329C"/>
    <w:rsid w:val="007F514F"/>
    <w:rsid w:val="0080792B"/>
    <w:rsid w:val="00811ED3"/>
    <w:rsid w:val="008416EB"/>
    <w:rsid w:val="00844F25"/>
    <w:rsid w:val="00860EC4"/>
    <w:rsid w:val="0088641A"/>
    <w:rsid w:val="008A0068"/>
    <w:rsid w:val="008A7290"/>
    <w:rsid w:val="008B19F1"/>
    <w:rsid w:val="008C3643"/>
    <w:rsid w:val="008C74C9"/>
    <w:rsid w:val="008F552A"/>
    <w:rsid w:val="009156B1"/>
    <w:rsid w:val="00932A8F"/>
    <w:rsid w:val="00942AD5"/>
    <w:rsid w:val="00956E40"/>
    <w:rsid w:val="009760D8"/>
    <w:rsid w:val="00991047"/>
    <w:rsid w:val="009B7BFF"/>
    <w:rsid w:val="009E255D"/>
    <w:rsid w:val="009E6802"/>
    <w:rsid w:val="00A23EBB"/>
    <w:rsid w:val="00A5517C"/>
    <w:rsid w:val="00A75C55"/>
    <w:rsid w:val="00A93852"/>
    <w:rsid w:val="00AB1B3D"/>
    <w:rsid w:val="00AF487E"/>
    <w:rsid w:val="00B52AB7"/>
    <w:rsid w:val="00B53B79"/>
    <w:rsid w:val="00B62B7F"/>
    <w:rsid w:val="00B7058D"/>
    <w:rsid w:val="00B72AEB"/>
    <w:rsid w:val="00B92B09"/>
    <w:rsid w:val="00B96355"/>
    <w:rsid w:val="00BA2319"/>
    <w:rsid w:val="00BA2737"/>
    <w:rsid w:val="00BA33E4"/>
    <w:rsid w:val="00BB543D"/>
    <w:rsid w:val="00BC42F9"/>
    <w:rsid w:val="00BC4902"/>
    <w:rsid w:val="00BE42FA"/>
    <w:rsid w:val="00C15F7E"/>
    <w:rsid w:val="00C30D03"/>
    <w:rsid w:val="00C415C7"/>
    <w:rsid w:val="00C53F63"/>
    <w:rsid w:val="00C80237"/>
    <w:rsid w:val="00C96EE3"/>
    <w:rsid w:val="00CA12BB"/>
    <w:rsid w:val="00CC0954"/>
    <w:rsid w:val="00CC3CDA"/>
    <w:rsid w:val="00CD31A0"/>
    <w:rsid w:val="00CE3159"/>
    <w:rsid w:val="00D173AA"/>
    <w:rsid w:val="00D32230"/>
    <w:rsid w:val="00D9667D"/>
    <w:rsid w:val="00DA32A0"/>
    <w:rsid w:val="00DB6045"/>
    <w:rsid w:val="00DC2E82"/>
    <w:rsid w:val="00DE251E"/>
    <w:rsid w:val="00E02645"/>
    <w:rsid w:val="00E02FD1"/>
    <w:rsid w:val="00E3309A"/>
    <w:rsid w:val="00E54B07"/>
    <w:rsid w:val="00E5625D"/>
    <w:rsid w:val="00E663B9"/>
    <w:rsid w:val="00E93E81"/>
    <w:rsid w:val="00EA62CF"/>
    <w:rsid w:val="00EB01D1"/>
    <w:rsid w:val="00EC4DCC"/>
    <w:rsid w:val="00ED4382"/>
    <w:rsid w:val="00EE380D"/>
    <w:rsid w:val="00F04506"/>
    <w:rsid w:val="00F058F1"/>
    <w:rsid w:val="00F53D8E"/>
    <w:rsid w:val="00F71F77"/>
    <w:rsid w:val="00F812D5"/>
    <w:rsid w:val="00F82BFE"/>
    <w:rsid w:val="00F86EA7"/>
    <w:rsid w:val="00F9677E"/>
    <w:rsid w:val="00F97363"/>
    <w:rsid w:val="00FB4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5DFFB"/>
  <w15:docId w15:val="{07EF9197-DB14-4C41-BE35-C4615F736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768D8"/>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paragraph" w:styleId="BalloonText">
    <w:name w:val="Balloon Text"/>
    <w:basedOn w:val="Normal"/>
    <w:link w:val="BalloonTextChar"/>
    <w:uiPriority w:val="99"/>
    <w:semiHidden/>
    <w:unhideWhenUsed/>
    <w:rsid w:val="00653A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A2D"/>
    <w:rPr>
      <w:rFonts w:ascii="Tahoma" w:hAnsi="Tahoma" w:cs="Tahoma"/>
      <w:sz w:val="16"/>
      <w:szCs w:val="16"/>
    </w:rPr>
  </w:style>
  <w:style w:type="character" w:styleId="CommentReference">
    <w:name w:val="annotation reference"/>
    <w:basedOn w:val="DefaultParagraphFont"/>
    <w:uiPriority w:val="99"/>
    <w:semiHidden/>
    <w:unhideWhenUsed/>
    <w:rsid w:val="00E663B9"/>
    <w:rPr>
      <w:sz w:val="16"/>
      <w:szCs w:val="16"/>
    </w:rPr>
  </w:style>
  <w:style w:type="paragraph" w:styleId="CommentText">
    <w:name w:val="annotation text"/>
    <w:basedOn w:val="Normal"/>
    <w:link w:val="CommentTextChar"/>
    <w:uiPriority w:val="99"/>
    <w:semiHidden/>
    <w:unhideWhenUsed/>
    <w:rsid w:val="00E663B9"/>
    <w:pPr>
      <w:spacing w:line="240" w:lineRule="auto"/>
    </w:pPr>
    <w:rPr>
      <w:sz w:val="20"/>
      <w:szCs w:val="20"/>
    </w:rPr>
  </w:style>
  <w:style w:type="character" w:customStyle="1" w:styleId="CommentTextChar">
    <w:name w:val="Comment Text Char"/>
    <w:basedOn w:val="DefaultParagraphFont"/>
    <w:link w:val="CommentText"/>
    <w:uiPriority w:val="99"/>
    <w:semiHidden/>
    <w:rsid w:val="00E663B9"/>
    <w:rPr>
      <w:sz w:val="20"/>
      <w:szCs w:val="20"/>
    </w:rPr>
  </w:style>
  <w:style w:type="paragraph" w:styleId="CommentSubject">
    <w:name w:val="annotation subject"/>
    <w:basedOn w:val="CommentText"/>
    <w:next w:val="CommentText"/>
    <w:link w:val="CommentSubjectChar"/>
    <w:uiPriority w:val="99"/>
    <w:semiHidden/>
    <w:unhideWhenUsed/>
    <w:rsid w:val="00E663B9"/>
    <w:rPr>
      <w:b/>
      <w:bCs/>
    </w:rPr>
  </w:style>
  <w:style w:type="character" w:customStyle="1" w:styleId="CommentSubjectChar">
    <w:name w:val="Comment Subject Char"/>
    <w:basedOn w:val="CommentTextChar"/>
    <w:link w:val="CommentSubject"/>
    <w:uiPriority w:val="99"/>
    <w:semiHidden/>
    <w:rsid w:val="00E663B9"/>
    <w:rPr>
      <w:b/>
      <w:bCs/>
      <w:sz w:val="20"/>
      <w:szCs w:val="20"/>
    </w:rPr>
  </w:style>
  <w:style w:type="table" w:styleId="TableGrid">
    <w:name w:val="Table Grid"/>
    <w:basedOn w:val="TableNormal"/>
    <w:uiPriority w:val="39"/>
    <w:rsid w:val="002F4F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2F4F27"/>
    <w:pPr>
      <w:spacing w:after="0" w:line="240" w:lineRule="auto"/>
    </w:pPr>
    <w:rPr>
      <w:sz w:val="20"/>
      <w:szCs w:val="20"/>
    </w:rPr>
  </w:style>
  <w:style w:type="character" w:customStyle="1" w:styleId="FootnoteTextChar">
    <w:name w:val="Footnote Text Char"/>
    <w:basedOn w:val="DefaultParagraphFont"/>
    <w:link w:val="FootnoteText"/>
    <w:uiPriority w:val="99"/>
    <w:rsid w:val="002F4F27"/>
    <w:rPr>
      <w:sz w:val="20"/>
      <w:szCs w:val="20"/>
    </w:rPr>
  </w:style>
  <w:style w:type="character" w:styleId="FootnoteReference">
    <w:name w:val="footnote reference"/>
    <w:basedOn w:val="DefaultParagraphFont"/>
    <w:uiPriority w:val="99"/>
    <w:semiHidden/>
    <w:unhideWhenUsed/>
    <w:rsid w:val="002F4F27"/>
    <w:rPr>
      <w:vertAlign w:val="superscript"/>
    </w:rPr>
  </w:style>
  <w:style w:type="table" w:customStyle="1" w:styleId="TableGrid1">
    <w:name w:val="Table Grid1"/>
    <w:basedOn w:val="TableNormal"/>
    <w:next w:val="TableGrid"/>
    <w:uiPriority w:val="39"/>
    <w:rsid w:val="002F4F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F4F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D5860"/>
    <w:rPr>
      <w:color w:val="605E5C"/>
      <w:shd w:val="clear" w:color="auto" w:fill="E1DFDD"/>
    </w:rPr>
  </w:style>
  <w:style w:type="character" w:styleId="FollowedHyperlink">
    <w:name w:val="FollowedHyperlink"/>
    <w:basedOn w:val="DefaultParagraphFont"/>
    <w:uiPriority w:val="99"/>
    <w:semiHidden/>
    <w:unhideWhenUsed/>
    <w:rsid w:val="00BA273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697733">
      <w:bodyDiv w:val="1"/>
      <w:marLeft w:val="0"/>
      <w:marRight w:val="0"/>
      <w:marTop w:val="0"/>
      <w:marBottom w:val="0"/>
      <w:divBdr>
        <w:top w:val="none" w:sz="0" w:space="0" w:color="auto"/>
        <w:left w:val="none" w:sz="0" w:space="0" w:color="auto"/>
        <w:bottom w:val="none" w:sz="0" w:space="0" w:color="auto"/>
        <w:right w:val="none" w:sz="0" w:space="0" w:color="auto"/>
      </w:divBdr>
    </w:div>
    <w:div w:id="64577122">
      <w:bodyDiv w:val="1"/>
      <w:marLeft w:val="0"/>
      <w:marRight w:val="0"/>
      <w:marTop w:val="0"/>
      <w:marBottom w:val="0"/>
      <w:divBdr>
        <w:top w:val="none" w:sz="0" w:space="0" w:color="auto"/>
        <w:left w:val="none" w:sz="0" w:space="0" w:color="auto"/>
        <w:bottom w:val="none" w:sz="0" w:space="0" w:color="auto"/>
        <w:right w:val="none" w:sz="0" w:space="0" w:color="auto"/>
      </w:divBdr>
    </w:div>
    <w:div w:id="531576011">
      <w:bodyDiv w:val="1"/>
      <w:marLeft w:val="0"/>
      <w:marRight w:val="0"/>
      <w:marTop w:val="0"/>
      <w:marBottom w:val="0"/>
      <w:divBdr>
        <w:top w:val="none" w:sz="0" w:space="0" w:color="auto"/>
        <w:left w:val="none" w:sz="0" w:space="0" w:color="auto"/>
        <w:bottom w:val="none" w:sz="0" w:space="0" w:color="auto"/>
        <w:right w:val="none" w:sz="0" w:space="0" w:color="auto"/>
      </w:divBdr>
    </w:div>
    <w:div w:id="556664631">
      <w:bodyDiv w:val="1"/>
      <w:marLeft w:val="0"/>
      <w:marRight w:val="0"/>
      <w:marTop w:val="0"/>
      <w:marBottom w:val="0"/>
      <w:divBdr>
        <w:top w:val="none" w:sz="0" w:space="0" w:color="auto"/>
        <w:left w:val="none" w:sz="0" w:space="0" w:color="auto"/>
        <w:bottom w:val="none" w:sz="0" w:space="0" w:color="auto"/>
        <w:right w:val="none" w:sz="0" w:space="0" w:color="auto"/>
      </w:divBdr>
    </w:div>
    <w:div w:id="568461879">
      <w:bodyDiv w:val="1"/>
      <w:marLeft w:val="0"/>
      <w:marRight w:val="0"/>
      <w:marTop w:val="0"/>
      <w:marBottom w:val="0"/>
      <w:divBdr>
        <w:top w:val="none" w:sz="0" w:space="0" w:color="auto"/>
        <w:left w:val="none" w:sz="0" w:space="0" w:color="auto"/>
        <w:bottom w:val="none" w:sz="0" w:space="0" w:color="auto"/>
        <w:right w:val="none" w:sz="0" w:space="0" w:color="auto"/>
      </w:divBdr>
    </w:div>
    <w:div w:id="931014723">
      <w:bodyDiv w:val="1"/>
      <w:marLeft w:val="0"/>
      <w:marRight w:val="0"/>
      <w:marTop w:val="0"/>
      <w:marBottom w:val="0"/>
      <w:divBdr>
        <w:top w:val="none" w:sz="0" w:space="0" w:color="auto"/>
        <w:left w:val="none" w:sz="0" w:space="0" w:color="auto"/>
        <w:bottom w:val="none" w:sz="0" w:space="0" w:color="auto"/>
        <w:right w:val="none" w:sz="0" w:space="0" w:color="auto"/>
      </w:divBdr>
    </w:div>
    <w:div w:id="951010411">
      <w:bodyDiv w:val="1"/>
      <w:marLeft w:val="0"/>
      <w:marRight w:val="0"/>
      <w:marTop w:val="0"/>
      <w:marBottom w:val="0"/>
      <w:divBdr>
        <w:top w:val="none" w:sz="0" w:space="0" w:color="auto"/>
        <w:left w:val="none" w:sz="0" w:space="0" w:color="auto"/>
        <w:bottom w:val="none" w:sz="0" w:space="0" w:color="auto"/>
        <w:right w:val="none" w:sz="0" w:space="0" w:color="auto"/>
      </w:divBdr>
    </w:div>
    <w:div w:id="1154448696">
      <w:bodyDiv w:val="1"/>
      <w:marLeft w:val="0"/>
      <w:marRight w:val="0"/>
      <w:marTop w:val="0"/>
      <w:marBottom w:val="0"/>
      <w:divBdr>
        <w:top w:val="none" w:sz="0" w:space="0" w:color="auto"/>
        <w:left w:val="none" w:sz="0" w:space="0" w:color="auto"/>
        <w:bottom w:val="none" w:sz="0" w:space="0" w:color="auto"/>
        <w:right w:val="none" w:sz="0" w:space="0" w:color="auto"/>
      </w:divBdr>
    </w:div>
    <w:div w:id="1257863860">
      <w:bodyDiv w:val="1"/>
      <w:marLeft w:val="0"/>
      <w:marRight w:val="0"/>
      <w:marTop w:val="0"/>
      <w:marBottom w:val="0"/>
      <w:divBdr>
        <w:top w:val="none" w:sz="0" w:space="0" w:color="auto"/>
        <w:left w:val="none" w:sz="0" w:space="0" w:color="auto"/>
        <w:bottom w:val="none" w:sz="0" w:space="0" w:color="auto"/>
        <w:right w:val="none" w:sz="0" w:space="0" w:color="auto"/>
      </w:divBdr>
    </w:div>
    <w:div w:id="1720738311">
      <w:bodyDiv w:val="1"/>
      <w:marLeft w:val="0"/>
      <w:marRight w:val="0"/>
      <w:marTop w:val="0"/>
      <w:marBottom w:val="0"/>
      <w:divBdr>
        <w:top w:val="none" w:sz="0" w:space="0" w:color="auto"/>
        <w:left w:val="none" w:sz="0" w:space="0" w:color="auto"/>
        <w:bottom w:val="none" w:sz="0" w:space="0" w:color="auto"/>
        <w:right w:val="none" w:sz="0" w:space="0" w:color="auto"/>
      </w:divBdr>
    </w:div>
    <w:div w:id="1829053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ema.gov/defense-production-act-progr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opm.gov/policy-data-oversight/pay-leave/salaries-wages/salary-tables/20Tables/html/DCB.aspx.%20Accessed%20April%2014"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bls.gov/oes/tables.htm" TargetMode="External"/><Relationship Id="rId1" Type="http://schemas.openxmlformats.org/officeDocument/2006/relationships/hyperlink" Target="http://www.bls.gov/news.release/archives/ecec_061820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05E561-FA1B-4AC3-96B1-E0016A6EB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3350</Words>
  <Characters>20573</Characters>
  <Application>Microsoft Office Word</Application>
  <DocSecurity>0</DocSecurity>
  <Lines>348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dc:creator>
  <cp:lastModifiedBy>Harrell, Levi</cp:lastModifiedBy>
  <cp:revision>2</cp:revision>
  <cp:lastPrinted>2020-04-14T20:09:00Z</cp:lastPrinted>
  <dcterms:created xsi:type="dcterms:W3CDTF">2020-04-20T22:14:00Z</dcterms:created>
  <dcterms:modified xsi:type="dcterms:W3CDTF">2020-04-20T22:14:00Z</dcterms:modified>
</cp:coreProperties>
</file>