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4995" w:rsidR="00562915" w:rsidP="005D1DD4" w:rsidRDefault="0021615E" w14:paraId="19444940" w14:textId="77777777">
      <w:pPr>
        <w:pStyle w:val="Title"/>
        <w:jc w:val="right"/>
        <w:rPr>
          <w:sz w:val="28"/>
          <w:szCs w:val="28"/>
        </w:rPr>
      </w:pPr>
      <w:r>
        <w:rPr>
          <w:sz w:val="28"/>
          <w:szCs w:val="28"/>
        </w:rPr>
        <w:t>June 29, 2019</w:t>
      </w:r>
    </w:p>
    <w:p w:rsidR="00374258" w:rsidP="005D1DD4" w:rsidRDefault="00374258" w14:paraId="6BBAEC6C" w14:textId="77777777">
      <w:pPr>
        <w:pStyle w:val="Title"/>
        <w:jc w:val="right"/>
      </w:pPr>
    </w:p>
    <w:p w:rsidR="00562915" w:rsidP="00562915" w:rsidRDefault="00562915" w14:paraId="7D0CD2B5"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6FFC641C"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409977D7" w14:textId="77777777">
      <w:pPr>
        <w:tabs>
          <w:tab w:val="left" w:pos="-720"/>
        </w:tabs>
        <w:suppressAutoHyphens/>
        <w:rPr>
          <w:rFonts w:ascii="Times New Roman" w:hAnsi="Times New Roman"/>
          <w:b/>
          <w:sz w:val="24"/>
          <w:szCs w:val="24"/>
        </w:rPr>
      </w:pPr>
    </w:p>
    <w:p w:rsidR="001B4BC4" w:rsidP="00562915" w:rsidRDefault="001B4BC4" w14:paraId="5A973BB6" w14:textId="77777777">
      <w:pPr>
        <w:tabs>
          <w:tab w:val="left" w:pos="-720"/>
        </w:tabs>
        <w:suppressAutoHyphens/>
        <w:rPr>
          <w:rFonts w:ascii="Times New Roman" w:hAnsi="Times New Roman"/>
          <w:b/>
          <w:sz w:val="28"/>
          <w:szCs w:val="28"/>
        </w:rPr>
      </w:pPr>
      <w:r>
        <w:rPr>
          <w:rFonts w:ascii="Times New Roman" w:hAnsi="Times New Roman"/>
          <w:b/>
          <w:sz w:val="28"/>
          <w:szCs w:val="28"/>
        </w:rPr>
        <w:t>OMB Control Number:  1660-0115</w:t>
      </w:r>
    </w:p>
    <w:p w:rsidRPr="00B92B09" w:rsidR="00562915" w:rsidP="00562915" w:rsidRDefault="00562915" w14:paraId="76DA8F54" w14:textId="77777777">
      <w:pPr>
        <w:tabs>
          <w:tab w:val="left" w:pos="-720"/>
        </w:tabs>
        <w:suppressAutoHyphens/>
        <w:rPr>
          <w:rFonts w:ascii="Times New Roman" w:hAnsi="Times New Roman"/>
          <w:b/>
          <w:sz w:val="28"/>
          <w:szCs w:val="28"/>
        </w:rPr>
      </w:pPr>
      <w:r w:rsidRPr="00B92B09">
        <w:rPr>
          <w:rFonts w:ascii="Times New Roman" w:hAnsi="Times New Roman"/>
          <w:b/>
          <w:sz w:val="28"/>
          <w:szCs w:val="28"/>
        </w:rPr>
        <w:t xml:space="preserve">Title:  </w:t>
      </w:r>
      <w:r w:rsidRPr="001B4BC4" w:rsidR="001B4BC4">
        <w:rPr>
          <w:rFonts w:ascii="Times New Roman" w:hAnsi="Times New Roman"/>
          <w:b/>
          <w:sz w:val="28"/>
          <w:szCs w:val="28"/>
        </w:rPr>
        <w:t>Environmental and Hist</w:t>
      </w:r>
      <w:r w:rsidR="008301DB">
        <w:rPr>
          <w:rFonts w:ascii="Times New Roman" w:hAnsi="Times New Roman"/>
          <w:b/>
          <w:sz w:val="28"/>
          <w:szCs w:val="28"/>
        </w:rPr>
        <w:t>oric Preservation Screening Form</w:t>
      </w:r>
    </w:p>
    <w:p w:rsidR="00562915" w:rsidP="00562915" w:rsidRDefault="00562915" w14:paraId="39B97E08" w14:textId="77777777">
      <w:pPr>
        <w:tabs>
          <w:tab w:val="left" w:pos="-720"/>
        </w:tabs>
        <w:suppressAutoHyphens/>
        <w:rPr>
          <w:rFonts w:ascii="Times New Roman" w:hAnsi="Times New Roman"/>
          <w:b/>
          <w:sz w:val="28"/>
          <w:szCs w:val="28"/>
        </w:rPr>
      </w:pPr>
      <w:r w:rsidRPr="00B92B09">
        <w:rPr>
          <w:rFonts w:ascii="Times New Roman" w:hAnsi="Times New Roman"/>
          <w:b/>
          <w:sz w:val="28"/>
          <w:szCs w:val="28"/>
        </w:rPr>
        <w:t xml:space="preserve">Form Number(s):  FEMA Form </w:t>
      </w:r>
      <w:r w:rsidR="001B4BC4">
        <w:rPr>
          <w:rFonts w:ascii="Times New Roman" w:hAnsi="Times New Roman"/>
          <w:b/>
          <w:sz w:val="28"/>
          <w:szCs w:val="28"/>
        </w:rPr>
        <w:t>024-0-1</w:t>
      </w:r>
    </w:p>
    <w:p w:rsidR="00B92B09" w:rsidP="00562915" w:rsidRDefault="00B92B09" w14:paraId="1C24BDC5" w14:textId="77777777">
      <w:pPr>
        <w:pStyle w:val="Heading1"/>
        <w:rPr>
          <w:szCs w:val="28"/>
        </w:rPr>
      </w:pPr>
    </w:p>
    <w:p w:rsidR="00562915" w:rsidP="00B92B09" w:rsidRDefault="00562915" w14:paraId="4890DF45" w14:textId="77777777">
      <w:pPr>
        <w:pStyle w:val="Heading1"/>
        <w:rPr>
          <w:szCs w:val="28"/>
        </w:rPr>
      </w:pPr>
      <w:r w:rsidRPr="00B92B09">
        <w:rPr>
          <w:szCs w:val="28"/>
        </w:rPr>
        <w:t>General Instructions</w:t>
      </w:r>
    </w:p>
    <w:p w:rsidRPr="00B92B09" w:rsidR="00B92B09" w:rsidP="00B92B09" w:rsidRDefault="00B92B09" w14:paraId="78D23673" w14:textId="77777777">
      <w:pPr>
        <w:spacing w:after="0" w:line="240" w:lineRule="auto"/>
      </w:pPr>
    </w:p>
    <w:p w:rsidRPr="006625E7" w:rsidR="00562915" w:rsidP="00B92B09" w:rsidRDefault="00562915" w14:paraId="337FD88F" w14:textId="4DFB34F3">
      <w:pPr>
        <w:tabs>
          <w:tab w:val="left" w:pos="-720"/>
        </w:tabs>
        <w:suppressAutoHyphens/>
        <w:spacing w:after="0" w:line="240" w:lineRule="auto"/>
        <w:rPr>
          <w:rFonts w:ascii="Times New Roman" w:hAnsi="Times New Roman"/>
          <w:sz w:val="24"/>
          <w:szCs w:val="24"/>
        </w:rPr>
      </w:pPr>
      <w:r w:rsidRPr="006625E7">
        <w:rPr>
          <w:rFonts w:ascii="Times New Roman" w:hAnsi="Times New Roman"/>
          <w:sz w:val="24"/>
          <w:szCs w:val="24"/>
        </w:rPr>
        <w:t xml:space="preserve">A Supporting Statement, including the text of the notice to the public required </w:t>
      </w:r>
      <w:r w:rsidRPr="006625E7" w:rsidR="007A5B24">
        <w:rPr>
          <w:rFonts w:ascii="Times New Roman" w:hAnsi="Times New Roman"/>
          <w:sz w:val="24"/>
          <w:szCs w:val="24"/>
        </w:rPr>
        <w:t>by 5 CFR 1320.5(a)</w:t>
      </w:r>
      <w:r w:rsidR="007A5B24">
        <w:rPr>
          <w:rFonts w:ascii="Times New Roman" w:hAnsi="Times New Roman"/>
          <w:sz w:val="24"/>
          <w:szCs w:val="24"/>
        </w:rPr>
        <w:t>(1)</w:t>
      </w:r>
      <w:r w:rsidRPr="006625E7" w:rsidR="007A5B24">
        <w:rPr>
          <w:rFonts w:ascii="Times New Roman" w:hAnsi="Times New Roman"/>
          <w:sz w:val="24"/>
          <w:szCs w:val="24"/>
        </w:rPr>
        <w:t>(</w:t>
      </w:r>
      <w:proofErr w:type="spellStart"/>
      <w:r w:rsidRPr="006625E7" w:rsidR="007A5B24">
        <w:rPr>
          <w:rFonts w:ascii="Times New Roman" w:hAnsi="Times New Roman"/>
          <w:sz w:val="24"/>
          <w:szCs w:val="24"/>
        </w:rPr>
        <w:t>i</w:t>
      </w:r>
      <w:proofErr w:type="spellEnd"/>
      <w:r w:rsidRPr="006625E7" w:rsidR="007A5B24">
        <w:rPr>
          <w:rFonts w:ascii="Times New Roman" w:hAnsi="Times New Roman"/>
          <w:sz w:val="24"/>
          <w:szCs w:val="24"/>
        </w:rPr>
        <w:t>)</w:t>
      </w:r>
      <w:r w:rsidR="007A5B24">
        <w:rPr>
          <w:rFonts w:ascii="Times New Roman" w:hAnsi="Times New Roman"/>
          <w:sz w:val="24"/>
          <w:szCs w:val="24"/>
        </w:rPr>
        <w:t xml:space="preserve">, </w:t>
      </w:r>
      <w:r w:rsidRPr="006625E7" w:rsidR="007A5B24">
        <w:rPr>
          <w:rFonts w:ascii="Times New Roman" w:hAnsi="Times New Roman"/>
          <w:sz w:val="24"/>
          <w:szCs w:val="24"/>
        </w:rPr>
        <w:t xml:space="preserve">(iv) and </w:t>
      </w:r>
      <w:r w:rsidRPr="006625E7">
        <w:rPr>
          <w:rFonts w:ascii="Times New Roman" w:hAnsi="Times New Roman"/>
          <w:sz w:val="24"/>
          <w:szCs w:val="24"/>
        </w:rPr>
        <w:t>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AA3A650" w14:textId="77777777">
      <w:pPr>
        <w:pStyle w:val="Heading1"/>
        <w:rPr>
          <w:szCs w:val="28"/>
        </w:rPr>
      </w:pPr>
    </w:p>
    <w:p w:rsidRPr="00B92B09" w:rsidR="00562915" w:rsidP="00B92B09" w:rsidRDefault="00562915" w14:paraId="03302608" w14:textId="77777777">
      <w:pPr>
        <w:pStyle w:val="Heading1"/>
        <w:rPr>
          <w:szCs w:val="28"/>
        </w:rPr>
      </w:pPr>
      <w:r w:rsidRPr="00B92B09">
        <w:rPr>
          <w:szCs w:val="28"/>
        </w:rPr>
        <w:t>Specific Instructions</w:t>
      </w:r>
    </w:p>
    <w:p w:rsidRPr="00B92B09" w:rsidR="00562915" w:rsidP="00B92B09" w:rsidRDefault="00562915" w14:paraId="692FA1A6" w14:textId="77777777">
      <w:pPr>
        <w:tabs>
          <w:tab w:val="left" w:pos="-720"/>
        </w:tabs>
        <w:suppressAutoHyphens/>
        <w:spacing w:after="0" w:line="240" w:lineRule="auto"/>
        <w:rPr>
          <w:rFonts w:ascii="Times New Roman" w:hAnsi="Times New Roman"/>
          <w:sz w:val="28"/>
          <w:szCs w:val="28"/>
        </w:rPr>
      </w:pPr>
    </w:p>
    <w:p w:rsidRPr="00B92B09" w:rsidR="00562915" w:rsidP="00B92B09" w:rsidRDefault="00562915" w14:paraId="6359459B" w14:textId="77777777">
      <w:pPr>
        <w:pStyle w:val="Heading1"/>
        <w:rPr>
          <w:szCs w:val="28"/>
        </w:rPr>
      </w:pPr>
      <w:r w:rsidRPr="00B92B09">
        <w:rPr>
          <w:szCs w:val="28"/>
        </w:rPr>
        <w:t>A.  Justification</w:t>
      </w:r>
    </w:p>
    <w:p w:rsidRPr="00B92B09" w:rsidR="00562915" w:rsidP="00B92B09" w:rsidRDefault="00562915" w14:paraId="72D03627" w14:textId="77777777">
      <w:pPr>
        <w:spacing w:after="0" w:line="240" w:lineRule="auto"/>
        <w:rPr>
          <w:rFonts w:ascii="Times New Roman" w:hAnsi="Times New Roman"/>
          <w:sz w:val="28"/>
          <w:szCs w:val="28"/>
        </w:rPr>
      </w:pPr>
    </w:p>
    <w:p w:rsidRPr="006625E7" w:rsidR="00562915" w:rsidP="00562915" w:rsidRDefault="00562915" w14:paraId="38BA771F" w14:textId="77777777">
      <w:pPr>
        <w:numPr>
          <w:ilvl w:val="0"/>
          <w:numId w:val="1"/>
        </w:numPr>
        <w:spacing w:after="0" w:line="240" w:lineRule="auto"/>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Explain the circumstances that make the collection of information necessary</w:t>
      </w:r>
      <w:r w:rsidRPr="006625E7">
        <w:rPr>
          <w:rFonts w:ascii="Times New Roman" w:hAnsi="Times New Roman"/>
          <w:b/>
          <w:bCs/>
          <w:color w:val="000000"/>
          <w:sz w:val="24"/>
          <w:szCs w:val="24"/>
        </w:rPr>
        <w:t>.</w:t>
      </w:r>
      <w:r w:rsidRPr="006625E7">
        <w:rPr>
          <w:rFonts w:ascii="Times New Roman" w:hAnsi="Times New Roman"/>
          <w:b/>
          <w:bCs/>
          <w:sz w:val="24"/>
          <w:szCs w:val="24"/>
        </w:rPr>
        <w:t xml:space="preserve"> </w:t>
      </w:r>
    </w:p>
    <w:p w:rsidR="001B4BC4" w:rsidP="00562915" w:rsidRDefault="00562915" w14:paraId="6478AAF7" w14:textId="77777777">
      <w:pPr>
        <w:rPr>
          <w:rFonts w:ascii="Times New Roman" w:hAnsi="Times New Roman"/>
          <w:b/>
          <w:bCs/>
          <w:color w:val="000000"/>
          <w:sz w:val="24"/>
          <w:szCs w:val="24"/>
        </w:rPr>
      </w:pPr>
      <w:r w:rsidRPr="006625E7">
        <w:rPr>
          <w:rFonts w:ascii="Times New Roman" w:hAnsi="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b/>
          <w:bCs/>
          <w:color w:val="000000"/>
          <w:sz w:val="24"/>
          <w:szCs w:val="24"/>
        </w:rPr>
        <w:t xml:space="preserve">Provide a detailed description of the nature and source of the information to be collected. </w:t>
      </w:r>
    </w:p>
    <w:p w:rsidRPr="001B4BC4" w:rsidR="007A5B24" w:rsidP="007A5B24" w:rsidRDefault="001B4BC4" w14:paraId="2C782AA5" w14:textId="77777777">
      <w:pPr>
        <w:rPr>
          <w:rFonts w:ascii="Times New Roman" w:hAnsi="Times New Roman"/>
          <w:bCs/>
          <w:color w:val="000000"/>
          <w:sz w:val="24"/>
          <w:szCs w:val="24"/>
        </w:rPr>
      </w:pPr>
      <w:r w:rsidRPr="001B4BC4">
        <w:rPr>
          <w:rFonts w:ascii="Times New Roman" w:hAnsi="Times New Roman"/>
          <w:bCs/>
          <w:color w:val="000000"/>
          <w:sz w:val="24"/>
          <w:szCs w:val="24"/>
        </w:rPr>
        <w:t>The National Environmental Policy Act (NEPA) (Public Law 91-190, Sec. 102 (B) and (C), 42 U</w:t>
      </w:r>
      <w:r w:rsidR="00252497">
        <w:rPr>
          <w:rFonts w:ascii="Times New Roman" w:hAnsi="Times New Roman"/>
          <w:bCs/>
          <w:color w:val="000000"/>
          <w:sz w:val="24"/>
          <w:szCs w:val="24"/>
        </w:rPr>
        <w:t>.</w:t>
      </w:r>
      <w:r w:rsidRPr="001B4BC4">
        <w:rPr>
          <w:rFonts w:ascii="Times New Roman" w:hAnsi="Times New Roman"/>
          <w:bCs/>
          <w:color w:val="000000"/>
          <w:sz w:val="24"/>
          <w:szCs w:val="24"/>
        </w:rPr>
        <w:t>S</w:t>
      </w:r>
      <w:r w:rsidR="00252497">
        <w:rPr>
          <w:rFonts w:ascii="Times New Roman" w:hAnsi="Times New Roman"/>
          <w:bCs/>
          <w:color w:val="000000"/>
          <w:sz w:val="24"/>
          <w:szCs w:val="24"/>
        </w:rPr>
        <w:t>.</w:t>
      </w:r>
      <w:r w:rsidRPr="001B4BC4">
        <w:rPr>
          <w:rFonts w:ascii="Times New Roman" w:hAnsi="Times New Roman"/>
          <w:bCs/>
          <w:color w:val="000000"/>
          <w:sz w:val="24"/>
          <w:szCs w:val="24"/>
        </w:rPr>
        <w:t>C</w:t>
      </w:r>
      <w:r w:rsidR="00252497">
        <w:rPr>
          <w:rFonts w:ascii="Times New Roman" w:hAnsi="Times New Roman"/>
          <w:bCs/>
          <w:color w:val="000000"/>
          <w:sz w:val="24"/>
          <w:szCs w:val="24"/>
        </w:rPr>
        <w:t>.</w:t>
      </w:r>
      <w:r w:rsidRPr="001B4BC4">
        <w:rPr>
          <w:rFonts w:ascii="Times New Roman" w:hAnsi="Times New Roman"/>
          <w:bCs/>
          <w:color w:val="000000"/>
          <w:sz w:val="24"/>
          <w:szCs w:val="24"/>
        </w:rPr>
        <w:t xml:space="preserve"> § 4332) requires that the Federal </w:t>
      </w:r>
      <w:r w:rsidR="00687E72">
        <w:rPr>
          <w:rFonts w:ascii="Times New Roman" w:hAnsi="Times New Roman"/>
          <w:bCs/>
          <w:color w:val="000000"/>
          <w:sz w:val="24"/>
          <w:szCs w:val="24"/>
        </w:rPr>
        <w:t>G</w:t>
      </w:r>
      <w:r w:rsidRPr="001B4BC4">
        <w:rPr>
          <w:rFonts w:ascii="Times New Roman" w:hAnsi="Times New Roman"/>
          <w:bCs/>
          <w:color w:val="000000"/>
          <w:sz w:val="24"/>
          <w:szCs w:val="24"/>
        </w:rPr>
        <w:t xml:space="preserve">overnment examine the impact of its actions on the environment, look at potential alternatives to that action, inform both decision-makers and the public of those impacts through a transparent process, and pursue mitigation if necessary.  Environmental and Historic Preservation (EHP) compliance refers to the process by which the Federal Government ensures that projects financed through Federal grant funding are compliant with NEPA and existing laws and regulations related to environment and historic preservation.  Compliance under the National Environmental Policy Act is required whenever Federal funds are expended as </w:t>
      </w:r>
      <w:r w:rsidRPr="001B4BC4">
        <w:rPr>
          <w:rFonts w:ascii="Times New Roman" w:hAnsi="Times New Roman"/>
          <w:bCs/>
          <w:color w:val="000000"/>
          <w:sz w:val="24"/>
          <w:szCs w:val="24"/>
        </w:rPr>
        <w:lastRenderedPageBreak/>
        <w:t xml:space="preserve">listed in </w:t>
      </w:r>
      <w:r w:rsidRPr="001B4BC4" w:rsidR="007A5B24">
        <w:rPr>
          <w:rFonts w:ascii="Times New Roman" w:hAnsi="Times New Roman"/>
          <w:bCs/>
          <w:color w:val="000000"/>
          <w:sz w:val="24"/>
          <w:szCs w:val="24"/>
        </w:rPr>
        <w:t>Sec. 102</w:t>
      </w:r>
      <w:r w:rsidR="007A5B24">
        <w:rPr>
          <w:rFonts w:ascii="Times New Roman" w:hAnsi="Times New Roman"/>
          <w:bCs/>
          <w:color w:val="000000"/>
          <w:sz w:val="24"/>
          <w:szCs w:val="24"/>
        </w:rPr>
        <w:t>(C)-</w:t>
      </w:r>
      <w:r w:rsidRPr="001B4BC4" w:rsidR="007A5B24">
        <w:rPr>
          <w:rFonts w:ascii="Times New Roman" w:hAnsi="Times New Roman"/>
          <w:bCs/>
          <w:color w:val="000000"/>
          <w:sz w:val="24"/>
          <w:szCs w:val="24"/>
        </w:rPr>
        <w:t>(D) of the National Environmental Policy Act (42 U.S.C. § 4332</w:t>
      </w:r>
      <w:r w:rsidR="007A5B24">
        <w:rPr>
          <w:rFonts w:ascii="Times New Roman" w:hAnsi="Times New Roman"/>
          <w:bCs/>
          <w:color w:val="000000"/>
          <w:sz w:val="24"/>
          <w:szCs w:val="24"/>
        </w:rPr>
        <w:t>(C)-</w:t>
      </w:r>
      <w:r w:rsidRPr="001B4BC4" w:rsidR="007A5B24">
        <w:rPr>
          <w:rFonts w:ascii="Times New Roman" w:hAnsi="Times New Roman"/>
          <w:bCs/>
          <w:color w:val="000000"/>
          <w:sz w:val="24"/>
          <w:szCs w:val="24"/>
        </w:rPr>
        <w:t>(D)).</w:t>
      </w:r>
    </w:p>
    <w:p w:rsidRPr="006625E7" w:rsidR="00562915" w:rsidP="00562915" w:rsidRDefault="001B4BC4" w14:paraId="31DA4F60" w14:textId="65B31DC0">
      <w:pPr>
        <w:rPr>
          <w:rFonts w:ascii="Times New Roman" w:hAnsi="Times New Roman"/>
          <w:spacing w:val="-3"/>
          <w:sz w:val="24"/>
          <w:szCs w:val="24"/>
          <w:u w:val="single"/>
        </w:rPr>
      </w:pPr>
      <w:r w:rsidRPr="001B4BC4">
        <w:rPr>
          <w:rFonts w:ascii="Times New Roman" w:hAnsi="Times New Roman"/>
          <w:bCs/>
          <w:color w:val="000000"/>
          <w:sz w:val="24"/>
          <w:szCs w:val="24"/>
        </w:rPr>
        <w:t>Among other environmental laws and Executive Orders, a  NEPA compliance review process for FEMA grant programs incorporates compliance with Section 106 of the National Historic Preservation Act (</w:t>
      </w:r>
      <w:r w:rsidRPr="001B4BC4" w:rsidR="007A5B24">
        <w:rPr>
          <w:rFonts w:ascii="Times New Roman" w:hAnsi="Times New Roman"/>
          <w:bCs/>
          <w:color w:val="000000"/>
          <w:sz w:val="24"/>
          <w:szCs w:val="24"/>
        </w:rPr>
        <w:t>NHPA)</w:t>
      </w:r>
      <w:r w:rsidR="007A5B24">
        <w:rPr>
          <w:rFonts w:ascii="Times New Roman" w:hAnsi="Times New Roman"/>
          <w:bCs/>
          <w:color w:val="000000"/>
          <w:sz w:val="24"/>
          <w:szCs w:val="24"/>
        </w:rPr>
        <w:t>, as amended</w:t>
      </w:r>
      <w:r w:rsidRPr="001B4BC4" w:rsidR="007A5B24">
        <w:rPr>
          <w:rFonts w:ascii="Times New Roman" w:hAnsi="Times New Roman"/>
          <w:bCs/>
          <w:color w:val="000000"/>
          <w:sz w:val="24"/>
          <w:szCs w:val="24"/>
        </w:rPr>
        <w:t xml:space="preserve"> (Public </w:t>
      </w:r>
      <w:r w:rsidRPr="001B4BC4">
        <w:rPr>
          <w:rFonts w:ascii="Times New Roman" w:hAnsi="Times New Roman"/>
          <w:bCs/>
          <w:color w:val="000000"/>
          <w:sz w:val="24"/>
          <w:szCs w:val="24"/>
        </w:rPr>
        <w:t>Law 89-665,</w:t>
      </w:r>
      <w:r w:rsidR="00A92D0D">
        <w:rPr>
          <w:rFonts w:ascii="Times New Roman" w:hAnsi="Times New Roman"/>
          <w:bCs/>
          <w:color w:val="000000"/>
          <w:sz w:val="24"/>
          <w:szCs w:val="24"/>
        </w:rPr>
        <w:t xml:space="preserve"> </w:t>
      </w:r>
      <w:r w:rsidRPr="00A92D0D" w:rsidR="00A92D0D">
        <w:rPr>
          <w:rFonts w:ascii="Times New Roman" w:hAnsi="Times New Roman"/>
          <w:bCs/>
          <w:color w:val="000000"/>
          <w:sz w:val="24"/>
          <w:szCs w:val="24"/>
        </w:rPr>
        <w:t>54 U.S.C. § 306108</w:t>
      </w:r>
      <w:r w:rsidR="00443902">
        <w:rPr>
          <w:rFonts w:ascii="Times New Roman" w:hAnsi="Times New Roman"/>
          <w:bCs/>
          <w:color w:val="000000"/>
          <w:sz w:val="24"/>
          <w:szCs w:val="24"/>
        </w:rPr>
        <w:t>),</w:t>
      </w:r>
      <w:r w:rsidRPr="001B4BC4">
        <w:rPr>
          <w:rFonts w:ascii="Times New Roman" w:hAnsi="Times New Roman"/>
          <w:bCs/>
          <w:color w:val="000000"/>
          <w:sz w:val="24"/>
          <w:szCs w:val="24"/>
        </w:rPr>
        <w:t xml:space="preserve"> which requires that a Federal official, having jurisdiction over awarding of Federal funds, take into consideration the effect that the actions undertaken as a result of the awarded funds have on any district, site, building, structure, or object that is included in or eligible for inclusion in the National Register.</w:t>
      </w:r>
    </w:p>
    <w:p w:rsidR="001B4BC4" w:rsidP="00562915" w:rsidRDefault="00562915" w14:paraId="1F23E527" w14:textId="77777777">
      <w:pPr>
        <w:rPr>
          <w:rFonts w:ascii="Times New Roman" w:hAnsi="Times New Roman"/>
          <w:b/>
          <w:bCs/>
          <w:color w:val="000000"/>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b/>
          <w:bCs/>
          <w:color w:val="0000FF"/>
          <w:sz w:val="24"/>
          <w:szCs w:val="24"/>
        </w:rPr>
        <w:t xml:space="preserve"> </w:t>
      </w:r>
      <w:r w:rsidRPr="006625E7">
        <w:rPr>
          <w:rFonts w:ascii="Times New Roman" w:hAnsi="Times New Roman"/>
          <w:b/>
          <w:bCs/>
          <w:color w:val="000000"/>
          <w:sz w:val="24"/>
          <w:szCs w:val="24"/>
        </w:rPr>
        <w:t>Provide a detailed description of: how the information will be shared, if applicable, and for</w:t>
      </w:r>
      <w:r w:rsidRPr="006625E7">
        <w:rPr>
          <w:rFonts w:ascii="Times New Roman" w:hAnsi="Times New Roman"/>
          <w:b/>
          <w:bCs/>
          <w:color w:val="0000FF"/>
          <w:sz w:val="24"/>
          <w:szCs w:val="24"/>
        </w:rPr>
        <w:t xml:space="preserve"> </w:t>
      </w:r>
      <w:r w:rsidRPr="006625E7">
        <w:rPr>
          <w:rFonts w:ascii="Times New Roman" w:hAnsi="Times New Roman"/>
          <w:b/>
          <w:bCs/>
          <w:color w:val="000000"/>
          <w:sz w:val="24"/>
          <w:szCs w:val="24"/>
        </w:rPr>
        <w:t xml:space="preserve">what programmatic purpose.    </w:t>
      </w:r>
    </w:p>
    <w:p w:rsidRPr="001B4BC4" w:rsidR="001B4BC4" w:rsidP="001B4BC4" w:rsidRDefault="001B4BC4" w14:paraId="3F1AC363" w14:textId="7E5F26A5">
      <w:pPr>
        <w:rPr>
          <w:rFonts w:ascii="Times New Roman" w:hAnsi="Times New Roman"/>
          <w:bCs/>
          <w:color w:val="000000"/>
          <w:sz w:val="24"/>
          <w:szCs w:val="24"/>
        </w:rPr>
      </w:pPr>
      <w:r w:rsidRPr="001B4BC4">
        <w:rPr>
          <w:rFonts w:ascii="Times New Roman" w:hAnsi="Times New Roman"/>
          <w:bCs/>
          <w:color w:val="000000"/>
          <w:sz w:val="24"/>
          <w:szCs w:val="24"/>
        </w:rPr>
        <w:t xml:space="preserve">The Environmental and Historic Preservation Screening Form, FEMA Form 024-0-1, is a paper form used by FEMA’s Grant Programs Directorate (GPD) and is utilized when following the requirements for grant packages that utilize this instrument.  This form should be attached to all project information sent to the </w:t>
      </w:r>
      <w:r w:rsidR="00252497">
        <w:rPr>
          <w:rFonts w:ascii="Times New Roman" w:hAnsi="Times New Roman"/>
          <w:bCs/>
          <w:color w:val="000000"/>
          <w:sz w:val="24"/>
          <w:szCs w:val="24"/>
        </w:rPr>
        <w:t xml:space="preserve">GPD </w:t>
      </w:r>
      <w:r w:rsidRPr="001B4BC4">
        <w:rPr>
          <w:rFonts w:ascii="Times New Roman" w:hAnsi="Times New Roman"/>
          <w:bCs/>
          <w:color w:val="000000"/>
          <w:sz w:val="24"/>
          <w:szCs w:val="24"/>
        </w:rPr>
        <w:t xml:space="preserve">for an EHP regulatory compliance review.  </w:t>
      </w:r>
    </w:p>
    <w:p w:rsidRPr="001B4BC4" w:rsidR="001B4BC4" w:rsidP="001B4BC4" w:rsidRDefault="001B4BC4" w14:paraId="00C68BFA" w14:textId="23892AD7">
      <w:pPr>
        <w:rPr>
          <w:rFonts w:ascii="Times New Roman" w:hAnsi="Times New Roman"/>
          <w:bCs/>
          <w:color w:val="000000"/>
          <w:sz w:val="24"/>
          <w:szCs w:val="24"/>
        </w:rPr>
      </w:pPr>
      <w:r w:rsidRPr="001B4BC4">
        <w:rPr>
          <w:rFonts w:ascii="Times New Roman" w:hAnsi="Times New Roman"/>
          <w:bCs/>
          <w:color w:val="000000"/>
          <w:sz w:val="24"/>
          <w:szCs w:val="24"/>
        </w:rPr>
        <w:t xml:space="preserve">The information submitted with the Screening Form will be used by FEMA GPD’s environmental specialists to determine the extent of </w:t>
      </w:r>
      <w:r w:rsidRPr="001B4BC4" w:rsidR="007A5B24">
        <w:rPr>
          <w:rFonts w:ascii="Times New Roman" w:hAnsi="Times New Roman"/>
          <w:bCs/>
          <w:color w:val="000000"/>
          <w:sz w:val="24"/>
          <w:szCs w:val="24"/>
        </w:rPr>
        <w:t xml:space="preserve">the </w:t>
      </w:r>
      <w:r w:rsidR="007A5B24">
        <w:rPr>
          <w:rFonts w:ascii="Times New Roman" w:hAnsi="Times New Roman"/>
          <w:bCs/>
          <w:color w:val="000000"/>
          <w:sz w:val="24"/>
          <w:szCs w:val="24"/>
        </w:rPr>
        <w:t>e</w:t>
      </w:r>
      <w:r w:rsidRPr="001B4BC4" w:rsidR="007A5B24">
        <w:rPr>
          <w:rFonts w:ascii="Times New Roman" w:hAnsi="Times New Roman"/>
          <w:bCs/>
          <w:color w:val="000000"/>
          <w:sz w:val="24"/>
          <w:szCs w:val="24"/>
        </w:rPr>
        <w:t xml:space="preserve">ffect that </w:t>
      </w:r>
      <w:r w:rsidRPr="001B4BC4">
        <w:rPr>
          <w:rFonts w:ascii="Times New Roman" w:hAnsi="Times New Roman"/>
          <w:bCs/>
          <w:color w:val="000000"/>
          <w:sz w:val="24"/>
          <w:szCs w:val="24"/>
        </w:rPr>
        <w:t xml:space="preserve">a proposed project will have or could have on the environment, including historic resources.  This is how the current collection is being used, i.e., to assess the project-in-question’s effect on the environment or historic resources. </w:t>
      </w:r>
    </w:p>
    <w:p w:rsidRPr="001B4BC4" w:rsidR="00562915" w:rsidP="001B4BC4" w:rsidRDefault="001B4BC4" w14:paraId="5BF4B595" w14:textId="77777777">
      <w:pPr>
        <w:rPr>
          <w:rFonts w:ascii="Times New Roman" w:hAnsi="Times New Roman"/>
          <w:bCs/>
          <w:color w:val="000000"/>
          <w:spacing w:val="-3"/>
          <w:sz w:val="24"/>
          <w:szCs w:val="24"/>
        </w:rPr>
      </w:pPr>
      <w:r w:rsidRPr="001B4BC4">
        <w:rPr>
          <w:rFonts w:ascii="Times New Roman" w:hAnsi="Times New Roman"/>
          <w:bCs/>
          <w:color w:val="000000"/>
          <w:sz w:val="24"/>
          <w:szCs w:val="24"/>
        </w:rPr>
        <w:t xml:space="preserve">The information collected by FEMA GPD will not be disseminated to the public or used to support information that will be disseminated to the public.  FEMA GPD is committed to integrating information quality principles into every step of the information life cycle, from the creation or collection of the information through its processing, dissemination, use, storage, and disposition.  </w:t>
      </w:r>
      <w:r w:rsidRPr="001B4BC4" w:rsidR="00562915">
        <w:rPr>
          <w:rFonts w:ascii="Times New Roman" w:hAnsi="Times New Roman"/>
          <w:bCs/>
          <w:color w:val="000000"/>
          <w:sz w:val="24"/>
          <w:szCs w:val="24"/>
        </w:rPr>
        <w:t xml:space="preserve">   </w:t>
      </w:r>
    </w:p>
    <w:p w:rsidRPr="006625E7" w:rsidR="00562915" w:rsidP="00562915" w:rsidRDefault="00562915" w14:paraId="55E70512" w14:textId="77777777">
      <w:pPr>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1B4BC4" w:rsidR="001B4BC4" w:rsidP="001B4BC4" w:rsidRDefault="001B4BC4" w14:paraId="1ABA7715" w14:textId="66B210EE">
      <w:pPr>
        <w:rPr>
          <w:rFonts w:ascii="Times New Roman" w:hAnsi="Times New Roman"/>
          <w:color w:val="000000"/>
          <w:sz w:val="24"/>
          <w:szCs w:val="24"/>
        </w:rPr>
      </w:pPr>
      <w:r w:rsidRPr="001B4BC4">
        <w:rPr>
          <w:rFonts w:ascii="Times New Roman" w:hAnsi="Times New Roman"/>
          <w:color w:val="000000"/>
          <w:sz w:val="24"/>
          <w:szCs w:val="24"/>
        </w:rPr>
        <w:lastRenderedPageBreak/>
        <w:t xml:space="preserve">Although the FEMA Form 024-0-1 may be completed by hand and mailed in, it is designed to be completed and submitted electronically. The document is available in both Word and Adobe Acrobat (pdf) formats </w:t>
      </w:r>
      <w:r w:rsidR="00BE7C8E">
        <w:rPr>
          <w:rFonts w:ascii="Times New Roman" w:hAnsi="Times New Roman"/>
          <w:color w:val="000000"/>
          <w:sz w:val="24"/>
          <w:szCs w:val="24"/>
        </w:rPr>
        <w:t xml:space="preserve">on FEMA’s </w:t>
      </w:r>
      <w:r w:rsidRPr="001B4BC4">
        <w:rPr>
          <w:rFonts w:ascii="Times New Roman" w:hAnsi="Times New Roman"/>
          <w:color w:val="000000"/>
          <w:sz w:val="24"/>
          <w:szCs w:val="24"/>
        </w:rPr>
        <w:t xml:space="preserve">website:  </w:t>
      </w:r>
      <w:hyperlink w:history="1" r:id="rId8">
        <w:r w:rsidRPr="00BD1231" w:rsidR="008F7367">
          <w:rPr>
            <w:rStyle w:val="Hyperlink"/>
            <w:rFonts w:ascii="Times New Roman" w:hAnsi="Times New Roman"/>
            <w:sz w:val="24"/>
            <w:szCs w:val="24"/>
          </w:rPr>
          <w:t>http://www.fema.gov/library/viewRecord.do?fromSearch=fromsearch&amp;id=4802</w:t>
        </w:r>
      </w:hyperlink>
      <w:r w:rsidRPr="001B4BC4">
        <w:rPr>
          <w:rFonts w:ascii="Times New Roman" w:hAnsi="Times New Roman"/>
          <w:color w:val="000000"/>
          <w:sz w:val="24"/>
          <w:szCs w:val="24"/>
        </w:rPr>
        <w:t xml:space="preserve">. </w:t>
      </w:r>
    </w:p>
    <w:p w:rsidRPr="001B4BC4" w:rsidR="001B4BC4" w:rsidP="001B4BC4" w:rsidRDefault="001B4BC4" w14:paraId="7E77178C" w14:textId="535AA8BD">
      <w:pPr>
        <w:rPr>
          <w:rFonts w:ascii="Times New Roman" w:hAnsi="Times New Roman"/>
          <w:color w:val="000000"/>
          <w:sz w:val="24"/>
          <w:szCs w:val="24"/>
        </w:rPr>
      </w:pPr>
      <w:r w:rsidRPr="001B4BC4">
        <w:rPr>
          <w:rFonts w:ascii="Times New Roman" w:hAnsi="Times New Roman"/>
          <w:color w:val="000000"/>
          <w:sz w:val="24"/>
          <w:szCs w:val="24"/>
        </w:rPr>
        <w:t xml:space="preserve">The </w:t>
      </w:r>
      <w:r w:rsidR="008634C2">
        <w:rPr>
          <w:rFonts w:ascii="Times New Roman" w:hAnsi="Times New Roman"/>
          <w:color w:val="000000"/>
          <w:sz w:val="24"/>
          <w:szCs w:val="24"/>
        </w:rPr>
        <w:t>recipient</w:t>
      </w:r>
      <w:r w:rsidRPr="001B4BC4" w:rsidR="008634C2">
        <w:rPr>
          <w:rFonts w:ascii="Times New Roman" w:hAnsi="Times New Roman"/>
          <w:color w:val="000000"/>
          <w:sz w:val="24"/>
          <w:szCs w:val="24"/>
        </w:rPr>
        <w:t>s</w:t>
      </w:r>
      <w:r w:rsidRPr="001B4BC4">
        <w:rPr>
          <w:rFonts w:ascii="Times New Roman" w:hAnsi="Times New Roman"/>
          <w:color w:val="000000"/>
          <w:sz w:val="24"/>
          <w:szCs w:val="24"/>
        </w:rPr>
        <w:t>/sub</w:t>
      </w:r>
      <w:r w:rsidR="008634C2">
        <w:rPr>
          <w:rFonts w:ascii="Times New Roman" w:hAnsi="Times New Roman"/>
          <w:color w:val="000000"/>
          <w:sz w:val="24"/>
          <w:szCs w:val="24"/>
        </w:rPr>
        <w:t>recipients</w:t>
      </w:r>
      <w:r w:rsidRPr="001B4BC4">
        <w:rPr>
          <w:rFonts w:ascii="Times New Roman" w:hAnsi="Times New Roman"/>
          <w:color w:val="000000"/>
          <w:sz w:val="24"/>
          <w:szCs w:val="24"/>
        </w:rPr>
        <w:t xml:space="preserve"> may email and submit their completed screening forms to </w:t>
      </w:r>
      <w:hyperlink w:history="1" r:id="rId9">
        <w:r w:rsidRPr="00AF2FAA" w:rsidR="00941410">
          <w:rPr>
            <w:rStyle w:val="Hyperlink"/>
            <w:rFonts w:ascii="Times New Roman" w:hAnsi="Times New Roman"/>
            <w:sz w:val="24"/>
            <w:szCs w:val="24"/>
          </w:rPr>
          <w:t>GPDEHPinfo@fema.dhs.gov</w:t>
        </w:r>
      </w:hyperlink>
      <w:r w:rsidRPr="001B4BC4">
        <w:rPr>
          <w:rFonts w:ascii="Times New Roman" w:hAnsi="Times New Roman"/>
          <w:color w:val="000000"/>
          <w:sz w:val="24"/>
          <w:szCs w:val="24"/>
        </w:rPr>
        <w:t>. FEMA’s GPD will review the content of the form, i.e., the project description and the documents submitted with the form</w:t>
      </w:r>
      <w:r w:rsidR="00BE7C8E">
        <w:rPr>
          <w:rFonts w:ascii="Times New Roman" w:hAnsi="Times New Roman"/>
          <w:color w:val="000000"/>
          <w:sz w:val="24"/>
          <w:szCs w:val="24"/>
        </w:rPr>
        <w:t>,</w:t>
      </w:r>
      <w:r w:rsidRPr="001B4BC4">
        <w:rPr>
          <w:rFonts w:ascii="Times New Roman" w:hAnsi="Times New Roman"/>
          <w:color w:val="000000"/>
          <w:sz w:val="24"/>
          <w:szCs w:val="24"/>
        </w:rPr>
        <w:t xml:space="preserve"> and determine if the project will have, or has the potential to have, an adverse effect on the environment.  FEMA has determined that some specific types of projects will not have an adverse effect on the environment.  These projects have been categorically excluded from an environmental review.  If FEMA determines that the project can be categorically excluded, FEMA will approve the project.  If FEMA determines that the project could have an adverse effect, FEMA will refer the project to the appropriate FEMA region for further analysis and possible consultation with the appropriate agency</w:t>
      </w:r>
      <w:r w:rsidR="00BE7C8E">
        <w:rPr>
          <w:rFonts w:ascii="Times New Roman" w:hAnsi="Times New Roman"/>
          <w:color w:val="000000"/>
          <w:sz w:val="24"/>
          <w:szCs w:val="24"/>
        </w:rPr>
        <w:t>,</w:t>
      </w:r>
      <w:r w:rsidRPr="001B4BC4">
        <w:rPr>
          <w:rFonts w:ascii="Times New Roman" w:hAnsi="Times New Roman"/>
          <w:color w:val="000000"/>
          <w:sz w:val="24"/>
          <w:szCs w:val="24"/>
        </w:rPr>
        <w:t xml:space="preserve"> such as the State Historic Preservation Office or the U.S. Fish and Wildlife Service.</w:t>
      </w:r>
    </w:p>
    <w:p w:rsidRPr="001B4BC4" w:rsidR="001B4BC4" w:rsidP="001B4BC4" w:rsidRDefault="001B4BC4" w14:paraId="39CF5B88" w14:textId="77777777">
      <w:pPr>
        <w:rPr>
          <w:rFonts w:ascii="Times New Roman" w:hAnsi="Times New Roman"/>
          <w:color w:val="000000"/>
          <w:sz w:val="24"/>
          <w:szCs w:val="24"/>
        </w:rPr>
      </w:pPr>
      <w:r w:rsidRPr="001B4BC4">
        <w:rPr>
          <w:rFonts w:ascii="Times New Roman" w:hAnsi="Times New Roman"/>
          <w:color w:val="000000"/>
          <w:sz w:val="24"/>
          <w:szCs w:val="24"/>
        </w:rPr>
        <w:t xml:space="preserve">Electronic completion and submission will help to increase the efficiency with which grant application materials are received by FEMA GPD, since the transmission time will be greatly shortened versus using regular mail or overnight mail.  In addition, it reduces the cost and time burden on </w:t>
      </w:r>
      <w:r w:rsidR="008634C2">
        <w:rPr>
          <w:rFonts w:ascii="Times New Roman" w:hAnsi="Times New Roman"/>
          <w:color w:val="000000"/>
          <w:sz w:val="24"/>
          <w:szCs w:val="24"/>
        </w:rPr>
        <w:t>recipient</w:t>
      </w:r>
      <w:r w:rsidRPr="001B4BC4" w:rsidR="008634C2">
        <w:rPr>
          <w:rFonts w:ascii="Times New Roman" w:hAnsi="Times New Roman"/>
          <w:color w:val="000000"/>
          <w:sz w:val="24"/>
          <w:szCs w:val="24"/>
        </w:rPr>
        <w:t xml:space="preserve">s </w:t>
      </w:r>
      <w:r w:rsidRPr="001B4BC4">
        <w:rPr>
          <w:rFonts w:ascii="Times New Roman" w:hAnsi="Times New Roman"/>
          <w:color w:val="000000"/>
          <w:sz w:val="24"/>
          <w:szCs w:val="24"/>
        </w:rPr>
        <w:t xml:space="preserve">who would otherwise have to pay for postage and shipping, and make arrangements to send the materials.  Furthermore, the image quality of faxed materials would be substantially lower than electronically submitted materials.  Since visual documentation will be a key component of most Screening Form submissions, this would require FEMA GPD to go back to the </w:t>
      </w:r>
      <w:r w:rsidR="008634C2">
        <w:rPr>
          <w:rFonts w:ascii="Times New Roman" w:hAnsi="Times New Roman"/>
          <w:color w:val="000000"/>
          <w:sz w:val="24"/>
          <w:szCs w:val="24"/>
        </w:rPr>
        <w:t>recipient</w:t>
      </w:r>
      <w:r w:rsidRPr="001B4BC4" w:rsidR="008634C2">
        <w:rPr>
          <w:rFonts w:ascii="Times New Roman" w:hAnsi="Times New Roman"/>
          <w:color w:val="000000"/>
          <w:sz w:val="24"/>
          <w:szCs w:val="24"/>
        </w:rPr>
        <w:t xml:space="preserve"> </w:t>
      </w:r>
      <w:r w:rsidRPr="001B4BC4">
        <w:rPr>
          <w:rFonts w:ascii="Times New Roman" w:hAnsi="Times New Roman"/>
          <w:color w:val="000000"/>
          <w:sz w:val="24"/>
          <w:szCs w:val="24"/>
        </w:rPr>
        <w:t>for further information, and could potentially result in more burden on the applicant as well as project delays.</w:t>
      </w:r>
    </w:p>
    <w:p w:rsidRPr="006625E7" w:rsidR="00562915" w:rsidP="001B4BC4" w:rsidRDefault="001B4BC4" w14:paraId="62F74C0B" w14:textId="77777777">
      <w:pPr>
        <w:rPr>
          <w:rFonts w:ascii="Times New Roman" w:hAnsi="Times New Roman"/>
          <w:color w:val="000000"/>
          <w:sz w:val="24"/>
          <w:szCs w:val="24"/>
        </w:rPr>
      </w:pPr>
      <w:r w:rsidRPr="001B4BC4">
        <w:rPr>
          <w:rFonts w:ascii="Times New Roman" w:hAnsi="Times New Roman"/>
          <w:color w:val="000000"/>
          <w:sz w:val="24"/>
          <w:szCs w:val="24"/>
        </w:rPr>
        <w:t xml:space="preserve">Designing and implementing a web-based Screening Form may increase efficiencies in processing the Screening Form once submitted, but would not provide any reduction in burden on the applicants.  Designing such as system has been determined to be cost-prohibitive at this time.  </w:t>
      </w:r>
    </w:p>
    <w:p w:rsidRPr="006625E7" w:rsidR="00562915" w:rsidP="00562915" w:rsidRDefault="00562915" w14:paraId="442D2174" w14:textId="77777777">
      <w:pPr>
        <w:rPr>
          <w:rFonts w:ascii="Times New Roman" w:hAnsi="Times New Roman"/>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p>
    <w:p w:rsidRPr="006625E7" w:rsidR="002B2B7C" w:rsidP="00562915" w:rsidRDefault="001B4BC4" w14:paraId="126948B8" w14:textId="3484397E">
      <w:pPr>
        <w:rPr>
          <w:rFonts w:ascii="Times New Roman" w:hAnsi="Times New Roman"/>
          <w:sz w:val="24"/>
          <w:szCs w:val="24"/>
        </w:rPr>
      </w:pPr>
      <w:r w:rsidRPr="001B4BC4">
        <w:rPr>
          <w:rFonts w:ascii="Times New Roman" w:hAnsi="Times New Roman"/>
          <w:sz w:val="24"/>
          <w:szCs w:val="24"/>
        </w:rPr>
        <w:t>This information is not collected in any</w:t>
      </w:r>
      <w:r w:rsidR="00BE7C8E">
        <w:rPr>
          <w:rFonts w:ascii="Times New Roman" w:hAnsi="Times New Roman"/>
          <w:sz w:val="24"/>
          <w:szCs w:val="24"/>
        </w:rPr>
        <w:t xml:space="preserve"> other</w:t>
      </w:r>
      <w:r w:rsidRPr="001B4BC4">
        <w:rPr>
          <w:rFonts w:ascii="Times New Roman" w:hAnsi="Times New Roman"/>
          <w:sz w:val="24"/>
          <w:szCs w:val="24"/>
        </w:rPr>
        <w:t xml:space="preserve"> form, and therefore is not duplicated elsewhere.</w:t>
      </w:r>
    </w:p>
    <w:p w:rsidRPr="006625E7" w:rsidR="00562915" w:rsidP="002B2B7C" w:rsidRDefault="00562915" w14:paraId="6C176BB2" w14:textId="77777777">
      <w:pPr>
        <w:tabs>
          <w:tab w:val="left" w:pos="360"/>
        </w:tabs>
        <w:rPr>
          <w:rFonts w:ascii="Times New Roman" w:hAnsi="Times New Roman"/>
          <w:b/>
          <w:bCs/>
          <w:sz w:val="24"/>
          <w:szCs w:val="24"/>
        </w:rPr>
      </w:pPr>
      <w:r w:rsidRPr="006625E7">
        <w:rPr>
          <w:rFonts w:ascii="Times New Roman" w:hAnsi="Times New Roman"/>
          <w:b/>
          <w:bCs/>
          <w:sz w:val="24"/>
          <w:szCs w:val="24"/>
        </w:rPr>
        <w:t xml:space="preserve">5.  </w:t>
      </w:r>
      <w:r w:rsidRPr="006625E7">
        <w:rPr>
          <w:rFonts w:ascii="Times New Roman" w:hAnsi="Times New Roman"/>
          <w:b/>
          <w:bCs/>
          <w:sz w:val="24"/>
          <w:szCs w:val="24"/>
        </w:rPr>
        <w:tab/>
        <w:t>If the collection of information impacts small businesses or other small entities (Item 5 of OMB Form 83-I), describe any methods used to minimize.</w:t>
      </w:r>
    </w:p>
    <w:p w:rsidRPr="006625E7" w:rsidR="002B2B7C" w:rsidP="002B2B7C" w:rsidRDefault="001B4BC4" w14:paraId="598B75FC" w14:textId="473B9357">
      <w:pPr>
        <w:tabs>
          <w:tab w:val="left" w:pos="360"/>
        </w:tabs>
        <w:rPr>
          <w:rFonts w:ascii="Times New Roman" w:hAnsi="Times New Roman"/>
          <w:spacing w:val="-3"/>
          <w:sz w:val="24"/>
          <w:szCs w:val="24"/>
        </w:rPr>
      </w:pPr>
      <w:r w:rsidRPr="001B4BC4">
        <w:rPr>
          <w:rFonts w:ascii="Times New Roman" w:hAnsi="Times New Roman"/>
          <w:spacing w:val="-3"/>
          <w:sz w:val="24"/>
          <w:szCs w:val="24"/>
        </w:rPr>
        <w:lastRenderedPageBreak/>
        <w:t xml:space="preserve">This information collection does have an impact on </w:t>
      </w:r>
      <w:r w:rsidR="007C1210">
        <w:rPr>
          <w:rFonts w:ascii="Times New Roman" w:hAnsi="Times New Roman"/>
          <w:spacing w:val="-3"/>
          <w:sz w:val="24"/>
          <w:szCs w:val="24"/>
        </w:rPr>
        <w:t>PNP’s</w:t>
      </w:r>
      <w:r w:rsidRPr="001B4BC4">
        <w:rPr>
          <w:rFonts w:ascii="Times New Roman" w:hAnsi="Times New Roman"/>
          <w:spacing w:val="-3"/>
          <w:sz w:val="24"/>
          <w:szCs w:val="24"/>
        </w:rPr>
        <w:t xml:space="preserve"> </w:t>
      </w:r>
      <w:r w:rsidR="007C1210">
        <w:rPr>
          <w:rFonts w:ascii="Times New Roman" w:hAnsi="Times New Roman"/>
          <w:spacing w:val="-3"/>
          <w:sz w:val="24"/>
          <w:szCs w:val="24"/>
        </w:rPr>
        <w:t>and</w:t>
      </w:r>
      <w:r w:rsidRPr="001B4BC4" w:rsidR="007C1210">
        <w:rPr>
          <w:rFonts w:ascii="Times New Roman" w:hAnsi="Times New Roman"/>
          <w:spacing w:val="-3"/>
          <w:sz w:val="24"/>
          <w:szCs w:val="24"/>
        </w:rPr>
        <w:t xml:space="preserve"> </w:t>
      </w:r>
      <w:r w:rsidRPr="001B4BC4">
        <w:rPr>
          <w:rFonts w:ascii="Times New Roman" w:hAnsi="Times New Roman"/>
          <w:spacing w:val="-3"/>
          <w:sz w:val="24"/>
          <w:szCs w:val="24"/>
        </w:rPr>
        <w:t>other small entities.</w:t>
      </w:r>
    </w:p>
    <w:p w:rsidRPr="006625E7" w:rsidR="00562915" w:rsidP="00562915" w:rsidRDefault="00562915" w14:paraId="563A3B28" w14:textId="77777777">
      <w:pPr>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6625E7" w:rsidR="002B2B7C" w:rsidP="00562915" w:rsidRDefault="001B4BC4" w14:paraId="12FC5BFB" w14:textId="58407737">
      <w:pPr>
        <w:rPr>
          <w:rFonts w:ascii="Times New Roman" w:hAnsi="Times New Roman"/>
          <w:spacing w:val="-3"/>
          <w:sz w:val="24"/>
          <w:szCs w:val="24"/>
        </w:rPr>
      </w:pPr>
      <w:r w:rsidRPr="001B4BC4">
        <w:rPr>
          <w:rFonts w:ascii="Times New Roman" w:hAnsi="Times New Roman"/>
          <w:spacing w:val="-3"/>
          <w:sz w:val="24"/>
          <w:szCs w:val="24"/>
        </w:rPr>
        <w:t xml:space="preserve">FEMA GPD only requests the EHP information once per grant-funded project.  If FEMA GPD could not request and obtain this information, FEMA GPD could not comply with comprehensive environmental and historic preservation requirements that are in place and mandated to ensure that the Federal </w:t>
      </w:r>
      <w:r w:rsidR="0069592F">
        <w:rPr>
          <w:rFonts w:ascii="Times New Roman" w:hAnsi="Times New Roman"/>
          <w:spacing w:val="-3"/>
          <w:sz w:val="24"/>
          <w:szCs w:val="24"/>
        </w:rPr>
        <w:t>G</w:t>
      </w:r>
      <w:r w:rsidRPr="001B4BC4">
        <w:rPr>
          <w:rFonts w:ascii="Times New Roman" w:hAnsi="Times New Roman"/>
          <w:spacing w:val="-3"/>
          <w:sz w:val="24"/>
          <w:szCs w:val="24"/>
        </w:rPr>
        <w:t>overnment was informed of the potential effects of its grant-funded projects prior to their implementation.  If FEMA GPD was not able to receive information collected from grant recipients, the agency could not fulfill its compliance requirements.</w:t>
      </w:r>
    </w:p>
    <w:p w:rsidRPr="006625E7" w:rsidR="00562915" w:rsidP="00562915" w:rsidRDefault="00562915" w14:paraId="7661559E" w14:textId="77777777">
      <w:pPr>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7.  Explain any special circumstances that would cause an information collection to be conducted in a manner:</w:t>
      </w:r>
    </w:p>
    <w:p w:rsidRPr="006625E7" w:rsidR="00562915" w:rsidP="00562915" w:rsidRDefault="00562915" w14:paraId="0F1E7966" w14:textId="77777777">
      <w:pPr>
        <w:numPr>
          <w:ilvl w:val="0"/>
          <w:numId w:val="2"/>
        </w:numPr>
        <w:spacing w:after="0" w:line="240" w:lineRule="auto"/>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Requiring respondents to report information to the agency more</w:t>
      </w:r>
      <w:r w:rsidRPr="006625E7" w:rsidR="002B2B7C">
        <w:rPr>
          <w:rFonts w:ascii="Times New Roman" w:hAnsi="Times New Roman"/>
          <w:b/>
          <w:bCs/>
          <w:sz w:val="24"/>
          <w:szCs w:val="24"/>
        </w:rPr>
        <w:t xml:space="preserve"> </w:t>
      </w:r>
      <w:r w:rsidRPr="006625E7">
        <w:rPr>
          <w:rFonts w:ascii="Times New Roman" w:hAnsi="Times New Roman"/>
          <w:b/>
          <w:bCs/>
          <w:sz w:val="24"/>
          <w:szCs w:val="24"/>
        </w:rPr>
        <w:t>often than quarterly.</w:t>
      </w:r>
    </w:p>
    <w:p w:rsidRPr="006625E7" w:rsidR="002B2B7C" w:rsidP="002B2B7C" w:rsidRDefault="002B2B7C" w14:paraId="1F240038" w14:textId="77777777">
      <w:pPr>
        <w:spacing w:after="0" w:line="240" w:lineRule="auto"/>
        <w:ind w:left="1080"/>
        <w:rPr>
          <w:rFonts w:ascii="Times New Roman" w:hAnsi="Times New Roman"/>
          <w:b/>
          <w:bCs/>
          <w:sz w:val="24"/>
          <w:szCs w:val="24"/>
        </w:rPr>
      </w:pPr>
    </w:p>
    <w:p w:rsidRPr="006625E7" w:rsidR="00562915" w:rsidP="00562915" w:rsidRDefault="00562915" w14:paraId="432926BB" w14:textId="77777777">
      <w:pPr>
        <w:rPr>
          <w:rFonts w:ascii="Times New Roman" w:hAnsi="Times New Roman"/>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sz w:val="24"/>
          <w:szCs w:val="24"/>
        </w:rPr>
        <w:tab/>
      </w:r>
      <w:r w:rsidRPr="006625E7">
        <w:rPr>
          <w:rFonts w:ascii="Times New Roman" w:hAnsi="Times New Roman"/>
          <w:b/>
          <w:bCs/>
          <w:sz w:val="24"/>
          <w:szCs w:val="24"/>
        </w:rPr>
        <w:t>(b) Requiring respondents to prepare a written response to a</w:t>
      </w:r>
      <w:r w:rsidRPr="006625E7" w:rsidR="002B2B7C">
        <w:rPr>
          <w:rFonts w:ascii="Times New Roman" w:hAnsi="Times New Roman"/>
          <w:b/>
          <w:bCs/>
          <w:sz w:val="24"/>
          <w:szCs w:val="24"/>
        </w:rPr>
        <w:t xml:space="preserve"> </w:t>
      </w:r>
      <w:r w:rsidRPr="006625E7">
        <w:rPr>
          <w:rFonts w:ascii="Times New Roman" w:hAnsi="Times New Roman"/>
          <w:b/>
          <w:bCs/>
          <w:sz w:val="24"/>
          <w:szCs w:val="24"/>
        </w:rPr>
        <w:t>collection of information in fewer than 30 days after receipt of it.</w:t>
      </w: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p>
    <w:p w:rsidRPr="006625E7" w:rsidR="00562915" w:rsidP="00562915" w:rsidRDefault="00562915" w14:paraId="1CBFAB3A" w14:textId="77777777">
      <w:pPr>
        <w:numPr>
          <w:ilvl w:val="0"/>
          <w:numId w:val="3"/>
        </w:numPr>
        <w:spacing w:after="0" w:line="240" w:lineRule="auto"/>
        <w:rPr>
          <w:rFonts w:ascii="Times New Roman" w:hAnsi="Times New Roman"/>
          <w:b/>
          <w:bCs/>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b/>
          <w:bCs/>
          <w:sz w:val="24"/>
          <w:szCs w:val="24"/>
        </w:rPr>
        <w:t>Requiring respondents to submit more than an original and two</w:t>
      </w:r>
    </w:p>
    <w:p w:rsidRPr="006625E7" w:rsidR="00562915" w:rsidP="00562915" w:rsidRDefault="00562915" w14:paraId="00189B01" w14:textId="77777777">
      <w:pPr>
        <w:rPr>
          <w:rFonts w:ascii="Times New Roman" w:hAnsi="Times New Roman"/>
          <w:sz w:val="24"/>
          <w:szCs w:val="24"/>
        </w:rPr>
      </w:pPr>
      <w:r w:rsidRPr="006625E7">
        <w:rPr>
          <w:rFonts w:ascii="Times New Roman" w:hAnsi="Times New Roman"/>
          <w:b/>
          <w:bCs/>
          <w:sz w:val="24"/>
          <w:szCs w:val="24"/>
        </w:rPr>
        <w:t>copies of any document.</w:t>
      </w: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p>
    <w:p w:rsidRPr="006625E7" w:rsidR="00562915" w:rsidP="00562915" w:rsidRDefault="00562915" w14:paraId="4AFF1B0D" w14:textId="77777777">
      <w:pPr>
        <w:numPr>
          <w:ilvl w:val="0"/>
          <w:numId w:val="3"/>
        </w:numPr>
        <w:spacing w:after="0" w:line="240" w:lineRule="auto"/>
        <w:rPr>
          <w:rFonts w:ascii="Times New Roman" w:hAnsi="Times New Roman"/>
          <w:b/>
          <w:bCs/>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b/>
          <w:bCs/>
          <w:sz w:val="24"/>
          <w:szCs w:val="24"/>
        </w:rPr>
        <w:t>Requiring respondents to retain records, other than health,</w:t>
      </w:r>
    </w:p>
    <w:p w:rsidRPr="006625E7" w:rsidR="00562915" w:rsidP="00562915" w:rsidRDefault="00562915" w14:paraId="37BDA993" w14:textId="77777777">
      <w:pPr>
        <w:rPr>
          <w:rFonts w:ascii="Times New Roman" w:hAnsi="Times New Roman"/>
          <w:sz w:val="24"/>
          <w:szCs w:val="24"/>
        </w:rPr>
      </w:pPr>
      <w:r w:rsidRPr="006625E7">
        <w:rPr>
          <w:rFonts w:ascii="Times New Roman" w:hAnsi="Times New Roman"/>
          <w:b/>
          <w:bCs/>
          <w:sz w:val="24"/>
          <w:szCs w:val="24"/>
        </w:rPr>
        <w:t>medical, government contract, grant-in-aid, or tax records for more than three years</w:t>
      </w:r>
      <w:r w:rsidRPr="006625E7">
        <w:rPr>
          <w:rFonts w:ascii="Times New Roman" w:hAnsi="Times New Roman"/>
          <w:sz w:val="24"/>
          <w:szCs w:val="24"/>
        </w:rPr>
        <w:t>.</w:t>
      </w: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p>
    <w:p w:rsidRPr="006625E7" w:rsidR="00562915" w:rsidP="00562915" w:rsidRDefault="00562915" w14:paraId="021F4A71" w14:textId="77777777">
      <w:pPr>
        <w:numPr>
          <w:ilvl w:val="0"/>
          <w:numId w:val="3"/>
        </w:numPr>
        <w:spacing w:after="0" w:line="240" w:lineRule="auto"/>
        <w:rPr>
          <w:rFonts w:ascii="Times New Roman" w:hAnsi="Times New Roman"/>
          <w:b/>
          <w:bCs/>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b/>
          <w:bCs/>
          <w:sz w:val="24"/>
          <w:szCs w:val="24"/>
        </w:rPr>
        <w:t>In connection with a statistical survey, that is not designed to</w:t>
      </w:r>
    </w:p>
    <w:p w:rsidRPr="006625E7" w:rsidR="00562915" w:rsidP="00562915" w:rsidRDefault="00562915" w14:paraId="057782F5" w14:textId="77777777">
      <w:pPr>
        <w:rPr>
          <w:rFonts w:ascii="Times New Roman" w:hAnsi="Times New Roman"/>
          <w:sz w:val="24"/>
          <w:szCs w:val="24"/>
        </w:rPr>
      </w:pPr>
      <w:r w:rsidRPr="006625E7">
        <w:rPr>
          <w:rFonts w:ascii="Times New Roman" w:hAnsi="Times New Roman"/>
          <w:b/>
          <w:bCs/>
          <w:sz w:val="24"/>
          <w:szCs w:val="24"/>
        </w:rPr>
        <w:t>produce valid and reliable results that can be generalized to the universe of study</w:t>
      </w:r>
      <w:r w:rsidRPr="006625E7">
        <w:rPr>
          <w:rFonts w:ascii="Times New Roman" w:hAnsi="Times New Roman"/>
          <w:sz w:val="24"/>
          <w:szCs w:val="24"/>
        </w:rPr>
        <w:t>.</w:t>
      </w: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p>
    <w:p w:rsidRPr="006625E7" w:rsidR="00562915" w:rsidP="002B2B7C" w:rsidRDefault="00562915" w14:paraId="54E7A36F" w14:textId="77777777">
      <w:pPr>
        <w:spacing w:after="0" w:line="240" w:lineRule="auto"/>
        <w:rPr>
          <w:rFonts w:ascii="Times New Roman" w:hAnsi="Times New Roman"/>
          <w:b/>
          <w:bCs/>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sz w:val="24"/>
          <w:szCs w:val="24"/>
        </w:rPr>
        <w:tab/>
      </w:r>
      <w:r w:rsidRPr="006625E7">
        <w:rPr>
          <w:rFonts w:ascii="Times New Roman" w:hAnsi="Times New Roman"/>
          <w:b/>
          <w:bCs/>
          <w:sz w:val="24"/>
          <w:szCs w:val="24"/>
        </w:rPr>
        <w:t xml:space="preserve">(f) Requiring the use of a statistical data classification that has not </w:t>
      </w:r>
    </w:p>
    <w:p w:rsidRPr="006625E7" w:rsidR="00562915" w:rsidP="002B2B7C" w:rsidRDefault="00562915" w14:paraId="5575AD29" w14:textId="77777777">
      <w:pPr>
        <w:spacing w:after="0" w:line="240" w:lineRule="auto"/>
        <w:rPr>
          <w:rFonts w:ascii="Times New Roman" w:hAnsi="Times New Roman"/>
          <w:b/>
          <w:bCs/>
          <w:sz w:val="24"/>
          <w:szCs w:val="24"/>
        </w:rPr>
      </w:pPr>
      <w:r w:rsidRPr="006625E7">
        <w:rPr>
          <w:rFonts w:ascii="Times New Roman" w:hAnsi="Times New Roman"/>
          <w:b/>
          <w:bCs/>
          <w:sz w:val="24"/>
          <w:szCs w:val="24"/>
        </w:rPr>
        <w:t>been reviewed and approved by OMB.</w:t>
      </w:r>
    </w:p>
    <w:p w:rsidRPr="006625E7" w:rsidR="002B2B7C" w:rsidP="002B2B7C" w:rsidRDefault="002B2B7C" w14:paraId="1E80D244" w14:textId="77777777">
      <w:pPr>
        <w:spacing w:after="0" w:line="240" w:lineRule="auto"/>
        <w:rPr>
          <w:rFonts w:ascii="Times New Roman" w:hAnsi="Times New Roman"/>
          <w:sz w:val="24"/>
          <w:szCs w:val="24"/>
        </w:rPr>
      </w:pPr>
    </w:p>
    <w:p w:rsidRPr="006625E7" w:rsidR="00562915" w:rsidP="00562915" w:rsidRDefault="00562915" w14:paraId="4F0F4269" w14:textId="77777777">
      <w:pPr>
        <w:rPr>
          <w:rFonts w:ascii="Times New Roman" w:hAnsi="Times New Roman"/>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sz w:val="24"/>
          <w:szCs w:val="24"/>
        </w:rPr>
        <w:tab/>
      </w:r>
      <w:r w:rsidRPr="006625E7">
        <w:rPr>
          <w:rFonts w:ascii="Times New Roman" w:hAnsi="Times New Roman"/>
          <w:b/>
          <w:bCs/>
          <w:sz w:val="24"/>
          <w:szCs w:val="24"/>
        </w:rPr>
        <w:t>(g) That includes a pledge of confidentiality that is not supported by</w:t>
      </w:r>
      <w:r w:rsidRPr="006625E7" w:rsidR="002B2B7C">
        <w:rPr>
          <w:rFonts w:ascii="Times New Roman" w:hAnsi="Times New Roman"/>
          <w:b/>
          <w:bCs/>
          <w:sz w:val="24"/>
          <w:szCs w:val="24"/>
        </w:rPr>
        <w:t xml:space="preserve"> </w:t>
      </w:r>
      <w:r w:rsidRPr="006625E7">
        <w:rPr>
          <w:rFonts w:ascii="Times New Roman" w:hAnsi="Times New Roman"/>
          <w:b/>
          <w:bCs/>
          <w:sz w:val="24"/>
          <w:szCs w:val="24"/>
        </w:rPr>
        <w:t xml:space="preserve">authority established in statute or regulation, that is not supported by </w:t>
      </w:r>
      <w:r w:rsidRPr="006625E7">
        <w:rPr>
          <w:rFonts w:ascii="Times New Roman" w:hAnsi="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p>
    <w:p w:rsidRPr="006625E7" w:rsidR="00562915" w:rsidP="00562915" w:rsidRDefault="00562915" w14:paraId="17738978" w14:textId="77777777">
      <w:pPr>
        <w:rPr>
          <w:rFonts w:ascii="Times New Roman" w:hAnsi="Times New Roman"/>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sz w:val="24"/>
          <w:szCs w:val="24"/>
        </w:rPr>
        <w:tab/>
      </w:r>
      <w:r w:rsidRPr="006625E7">
        <w:rPr>
          <w:rFonts w:ascii="Times New Roman" w:hAnsi="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p>
    <w:p w:rsidRPr="006625E7" w:rsidR="002B2B7C" w:rsidP="00562915" w:rsidRDefault="007767E8" w14:paraId="466D7378" w14:textId="77777777">
      <w:pPr>
        <w:rPr>
          <w:rFonts w:ascii="Times New Roman" w:hAnsi="Times New Roman"/>
          <w:sz w:val="24"/>
          <w:szCs w:val="24"/>
        </w:rPr>
      </w:pPr>
      <w:r w:rsidRPr="007767E8">
        <w:rPr>
          <w:rFonts w:ascii="Times New Roman" w:hAnsi="Times New Roman"/>
          <w:sz w:val="24"/>
          <w:szCs w:val="24"/>
        </w:rPr>
        <w:lastRenderedPageBreak/>
        <w:t>The special circumstances contained in item 7 of the supporting statement are not applicable to this information collection.</w:t>
      </w:r>
    </w:p>
    <w:p w:rsidRPr="006625E7" w:rsidR="00562915" w:rsidP="00562915" w:rsidRDefault="00562915" w14:paraId="6FF3A93E" w14:textId="77777777">
      <w:pPr>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 xml:space="preserve">8.  Federal Register Notice: </w:t>
      </w: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p>
    <w:p w:rsidRPr="006625E7" w:rsidR="00562915" w:rsidP="00562915" w:rsidRDefault="00562915" w14:paraId="71B0A9E1" w14:textId="77777777">
      <w:pPr>
        <w:rPr>
          <w:rFonts w:ascii="Times New Roman" w:hAnsi="Times New Roman"/>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b/>
          <w:bCs/>
          <w:sz w:val="24"/>
          <w:szCs w:val="24"/>
        </w:rPr>
        <w:t xml:space="preserve"> </w:t>
      </w:r>
      <w:r w:rsidRPr="006625E7">
        <w:rPr>
          <w:rFonts w:ascii="Times New Roman" w:hAnsi="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p>
    <w:p w:rsidRPr="00A638AD" w:rsidR="00A638AD" w:rsidP="00562915" w:rsidRDefault="00D26BF5" w14:paraId="21720E68" w14:textId="3B9E0D4A">
      <w:pPr>
        <w:rPr>
          <w:rFonts w:ascii="Times New Roman" w:hAnsi="Times New Roman"/>
          <w:b/>
          <w:bCs/>
          <w:color w:val="0000FF"/>
          <w:sz w:val="24"/>
          <w:szCs w:val="24"/>
        </w:rPr>
      </w:pPr>
      <w:r w:rsidRPr="00D26BF5">
        <w:rPr>
          <w:rFonts w:ascii="Times New Roman" w:hAnsi="Times New Roman"/>
          <w:color w:val="000000"/>
          <w:sz w:val="24"/>
          <w:szCs w:val="24"/>
        </w:rPr>
        <w:t xml:space="preserve">A </w:t>
      </w:r>
      <w:r>
        <w:rPr>
          <w:rFonts w:ascii="Times New Roman" w:hAnsi="Times New Roman"/>
          <w:color w:val="000000"/>
          <w:sz w:val="24"/>
          <w:szCs w:val="24"/>
        </w:rPr>
        <w:t>6</w:t>
      </w:r>
      <w:r w:rsidRPr="00D26BF5">
        <w:rPr>
          <w:rFonts w:ascii="Times New Roman" w:hAnsi="Times New Roman"/>
          <w:color w:val="000000"/>
          <w:sz w:val="24"/>
          <w:szCs w:val="24"/>
        </w:rPr>
        <w:t>0-day Federal Register Notice inviting public comments was published on</w:t>
      </w:r>
      <w:r w:rsidRPr="00D26BF5">
        <w:rPr>
          <w:rFonts w:ascii="Times New Roman" w:hAnsi="Times New Roman"/>
          <w:color w:val="FF0000"/>
          <w:sz w:val="24"/>
          <w:szCs w:val="24"/>
        </w:rPr>
        <w:t xml:space="preserve"> </w:t>
      </w:r>
      <w:r w:rsidRPr="00BA7098" w:rsidR="00BA7098">
        <w:rPr>
          <w:rFonts w:ascii="Times New Roman" w:hAnsi="Times New Roman" w:eastAsia="Times New Roman"/>
          <w:sz w:val="24"/>
          <w:szCs w:val="24"/>
        </w:rPr>
        <w:t>22 January 2020 at 85 FR 3712</w:t>
      </w:r>
      <w:r w:rsidRPr="00D26BF5">
        <w:rPr>
          <w:rFonts w:ascii="Times New Roman" w:hAnsi="Times New Roman"/>
          <w:color w:val="0000FF"/>
          <w:sz w:val="24"/>
          <w:szCs w:val="24"/>
        </w:rPr>
        <w:t xml:space="preserve">.  </w:t>
      </w:r>
      <w:r w:rsidRPr="00A2416F">
        <w:rPr>
          <w:rFonts w:ascii="Times New Roman" w:hAnsi="Times New Roman"/>
          <w:b/>
          <w:bCs/>
          <w:sz w:val="24"/>
          <w:szCs w:val="24"/>
        </w:rPr>
        <w:t>No comments were received</w:t>
      </w:r>
      <w:r w:rsidRPr="00D26BF5">
        <w:rPr>
          <w:rFonts w:ascii="Times New Roman" w:hAnsi="Times New Roman"/>
          <w:b/>
          <w:bCs/>
          <w:color w:val="0000FF"/>
          <w:sz w:val="24"/>
          <w:szCs w:val="24"/>
        </w:rPr>
        <w:t>.</w:t>
      </w:r>
    </w:p>
    <w:p w:rsidRPr="00890005" w:rsidR="00890005" w:rsidP="00890005" w:rsidRDefault="00890005" w14:paraId="2BFEDA21" w14:textId="3EB2E559">
      <w:pPr>
        <w:tabs>
          <w:tab w:val="center" w:pos="4320"/>
          <w:tab w:val="right" w:pos="8640"/>
        </w:tabs>
        <w:spacing w:after="0" w:line="240" w:lineRule="auto"/>
        <w:rPr>
          <w:rFonts w:ascii="Times New Roman" w:hAnsi="Times New Roman"/>
          <w:b/>
          <w:bCs/>
          <w:color w:val="000000"/>
          <w:sz w:val="24"/>
          <w:szCs w:val="24"/>
        </w:rPr>
      </w:pPr>
      <w:r w:rsidRPr="00890005">
        <w:rPr>
          <w:rFonts w:ascii="Times New Roman" w:hAnsi="Times New Roman"/>
          <w:color w:val="000000"/>
          <w:sz w:val="24"/>
          <w:szCs w:val="24"/>
        </w:rPr>
        <w:t xml:space="preserve">A </w:t>
      </w:r>
      <w:r>
        <w:rPr>
          <w:rFonts w:ascii="Times New Roman" w:hAnsi="Times New Roman"/>
          <w:color w:val="000000"/>
          <w:sz w:val="24"/>
          <w:szCs w:val="24"/>
        </w:rPr>
        <w:t>3</w:t>
      </w:r>
      <w:r w:rsidRPr="00890005">
        <w:rPr>
          <w:rFonts w:ascii="Times New Roman" w:hAnsi="Times New Roman"/>
          <w:color w:val="000000"/>
          <w:sz w:val="24"/>
          <w:szCs w:val="24"/>
        </w:rPr>
        <w:t xml:space="preserve">0-day Federal Register Notice inviting public comments was published on </w:t>
      </w:r>
      <w:r>
        <w:rPr>
          <w:rFonts w:ascii="Times New Roman" w:hAnsi="Times New Roman"/>
          <w:color w:val="000000"/>
          <w:sz w:val="24"/>
          <w:szCs w:val="24"/>
        </w:rPr>
        <w:t>13 April</w:t>
      </w:r>
      <w:r w:rsidRPr="00890005">
        <w:rPr>
          <w:rFonts w:ascii="Times New Roman" w:hAnsi="Times New Roman"/>
          <w:color w:val="000000"/>
          <w:sz w:val="24"/>
          <w:szCs w:val="24"/>
        </w:rPr>
        <w:t xml:space="preserve"> 2020 at 85 FR </w:t>
      </w:r>
      <w:r>
        <w:rPr>
          <w:rFonts w:ascii="Times New Roman" w:hAnsi="Times New Roman"/>
          <w:color w:val="000000"/>
          <w:sz w:val="24"/>
          <w:szCs w:val="24"/>
        </w:rPr>
        <w:t>20509</w:t>
      </w:r>
      <w:r w:rsidRPr="00890005">
        <w:rPr>
          <w:rFonts w:ascii="Times New Roman" w:hAnsi="Times New Roman"/>
          <w:color w:val="000000"/>
          <w:sz w:val="24"/>
          <w:szCs w:val="24"/>
        </w:rPr>
        <w:t xml:space="preserve">.  </w:t>
      </w:r>
      <w:r w:rsidRPr="00890005">
        <w:rPr>
          <w:rFonts w:ascii="Times New Roman" w:hAnsi="Times New Roman"/>
          <w:b/>
          <w:bCs/>
          <w:color w:val="000000"/>
          <w:sz w:val="24"/>
          <w:szCs w:val="24"/>
        </w:rPr>
        <w:t>No comments were received.</w:t>
      </w:r>
    </w:p>
    <w:p w:rsidRPr="0003130A" w:rsidR="0003130A" w:rsidP="0003130A" w:rsidRDefault="0003130A" w14:paraId="1340D42E" w14:textId="77777777">
      <w:pPr>
        <w:tabs>
          <w:tab w:val="center" w:pos="4320"/>
          <w:tab w:val="right" w:pos="8640"/>
        </w:tabs>
        <w:spacing w:after="0" w:line="240" w:lineRule="auto"/>
        <w:rPr>
          <w:rFonts w:ascii="Times New Roman" w:hAnsi="Times New Roman"/>
          <w:b/>
          <w:bCs/>
          <w:color w:val="000000"/>
          <w:sz w:val="24"/>
          <w:szCs w:val="24"/>
        </w:rPr>
      </w:pPr>
    </w:p>
    <w:p w:rsidR="007767E8" w:rsidP="002B2B7C" w:rsidRDefault="00562915" w14:paraId="3918B6DD" w14:textId="77777777">
      <w:pPr>
        <w:tabs>
          <w:tab w:val="left" w:pos="360"/>
        </w:tabs>
        <w:rPr>
          <w:rFonts w:ascii="Times New Roman" w:hAnsi="Times New Roman"/>
          <w:b/>
          <w:bCs/>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sz w:val="24"/>
          <w:szCs w:val="24"/>
        </w:rPr>
        <w:tab/>
      </w:r>
      <w:r w:rsidRPr="006625E7">
        <w:rPr>
          <w:rFonts w:ascii="Times New Roman" w:hAnsi="Times New Roman"/>
          <w:sz w:val="24"/>
          <w:szCs w:val="24"/>
        </w:rPr>
        <w:tab/>
      </w:r>
      <w:r w:rsidRPr="006625E7">
        <w:rPr>
          <w:rFonts w:ascii="Times New Roman" w:hAnsi="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7767E8">
        <w:rPr>
          <w:rFonts w:ascii="Times New Roman" w:hAnsi="Times New Roman"/>
          <w:b/>
          <w:bCs/>
          <w:sz w:val="24"/>
          <w:szCs w:val="24"/>
        </w:rPr>
        <w:t xml:space="preserve"> </w:t>
      </w:r>
    </w:p>
    <w:p w:rsidRPr="00EB739B" w:rsidR="00562915" w:rsidP="002B2B7C" w:rsidRDefault="007767E8" w14:paraId="042C0113" w14:textId="77777777">
      <w:pPr>
        <w:tabs>
          <w:tab w:val="left" w:pos="360"/>
        </w:tabs>
        <w:rPr>
          <w:rFonts w:ascii="Times New Roman" w:hAnsi="Times New Roman"/>
          <w:color w:val="FF0000"/>
          <w:sz w:val="24"/>
          <w:szCs w:val="24"/>
        </w:rPr>
      </w:pPr>
      <w:r w:rsidRPr="00EB739B">
        <w:rPr>
          <w:rFonts w:ascii="Times New Roman" w:hAnsi="Times New Roman"/>
          <w:bCs/>
          <w:sz w:val="24"/>
          <w:szCs w:val="24"/>
        </w:rPr>
        <w:t>N/A</w:t>
      </w:r>
    </w:p>
    <w:p w:rsidRPr="006625E7" w:rsidR="00562915" w:rsidP="00562915" w:rsidRDefault="00562915" w14:paraId="2731DFA4" w14:textId="77777777">
      <w:pPr>
        <w:tabs>
          <w:tab w:val="left" w:pos="360"/>
        </w:tabs>
        <w:rPr>
          <w:rFonts w:ascii="Times New Roman" w:hAnsi="Times New Roman"/>
          <w:b/>
          <w:bCs/>
          <w:sz w:val="24"/>
          <w:szCs w:val="24"/>
        </w:rPr>
      </w:pPr>
      <w:r w:rsidRPr="006625E7">
        <w:rPr>
          <w:rFonts w:ascii="Times New Roman" w:hAnsi="Times New Roman"/>
          <w:b/>
          <w:bCs/>
          <w:sz w:val="24"/>
          <w:szCs w:val="24"/>
        </w:rPr>
        <w:tab/>
      </w:r>
      <w:r w:rsidRPr="006625E7">
        <w:rPr>
          <w:rFonts w:ascii="Times New Roman" w:hAnsi="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6625E7" w:rsidR="00562915" w:rsidP="00562915" w:rsidRDefault="00562915" w14:paraId="3F5D50B9" w14:textId="77777777">
      <w:pPr>
        <w:rPr>
          <w:rFonts w:ascii="Times New Roman" w:hAnsi="Times New Roman"/>
          <w:sz w:val="24"/>
          <w:szCs w:val="24"/>
        </w:rPr>
      </w:pPr>
      <w:r w:rsidRPr="006625E7">
        <w:rPr>
          <w:rFonts w:ascii="Times New Roman" w:hAnsi="Times New Roman"/>
          <w:sz w:val="24"/>
          <w:szCs w:val="24"/>
        </w:rPr>
        <w:t xml:space="preserve">  </w:t>
      </w:r>
      <w:r w:rsidR="007767E8">
        <w:rPr>
          <w:rFonts w:ascii="Times New Roman" w:hAnsi="Times New Roman"/>
          <w:sz w:val="24"/>
          <w:szCs w:val="24"/>
        </w:rPr>
        <w:t>N/A</w:t>
      </w:r>
      <w:r w:rsidRPr="006625E7">
        <w:rPr>
          <w:rFonts w:ascii="Times New Roman" w:hAnsi="Times New Roman"/>
          <w:sz w:val="24"/>
          <w:szCs w:val="24"/>
        </w:rPr>
        <w:t xml:space="preserve">        </w:t>
      </w:r>
    </w:p>
    <w:p w:rsidRPr="006625E7" w:rsidR="00562915" w:rsidP="00562915" w:rsidRDefault="00562915" w14:paraId="79EEA13F" w14:textId="77777777">
      <w:pPr>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9.  Explain any decision to provide any payment or gift to respondents, other than remuneration of contractors or grantees.</w:t>
      </w:r>
    </w:p>
    <w:p w:rsidRPr="006625E7" w:rsidR="002B2B7C" w:rsidP="00562915" w:rsidRDefault="007767E8" w14:paraId="52ACD822" w14:textId="77777777">
      <w:pPr>
        <w:rPr>
          <w:rFonts w:ascii="Times New Roman" w:hAnsi="Times New Roman"/>
          <w:sz w:val="24"/>
          <w:szCs w:val="24"/>
        </w:rPr>
      </w:pPr>
      <w:r w:rsidRPr="007767E8">
        <w:rPr>
          <w:rFonts w:ascii="Times New Roman" w:hAnsi="Times New Roman"/>
          <w:sz w:val="24"/>
          <w:szCs w:val="24"/>
        </w:rPr>
        <w:t>FEMA does not provide payments or gifts to respondents in exchange for a benefit sought.</w:t>
      </w:r>
    </w:p>
    <w:p w:rsidRPr="006625E7" w:rsidR="00562915" w:rsidP="00562915" w:rsidRDefault="00562915" w14:paraId="4BEC8012" w14:textId="77777777">
      <w:pPr>
        <w:tabs>
          <w:tab w:val="left" w:pos="360"/>
        </w:tabs>
        <w:rPr>
          <w:rFonts w:ascii="Times New Roman" w:hAnsi="Times New Roman"/>
          <w:b/>
          <w:bCs/>
          <w:sz w:val="24"/>
          <w:szCs w:val="24"/>
        </w:rPr>
      </w:pPr>
      <w:r w:rsidRPr="006625E7">
        <w:rPr>
          <w:rFonts w:ascii="Times New Roman" w:hAnsi="Times New Roman"/>
          <w:b/>
          <w:bCs/>
          <w:sz w:val="24"/>
          <w:szCs w:val="24"/>
        </w:rPr>
        <w:t xml:space="preserve">10.  Describe any assurance of confidentiality provided to respondents.  Present the basis for the assurance in statute, regulation, or agency policy.  </w:t>
      </w:r>
    </w:p>
    <w:p w:rsidRPr="00447AB1" w:rsidR="00447AB1" w:rsidP="00447AB1" w:rsidRDefault="00447AB1" w14:paraId="4AFA05B6" w14:textId="2F17DFDD">
      <w:pPr>
        <w:autoSpaceDE w:val="0"/>
        <w:autoSpaceDN w:val="0"/>
        <w:adjustRightInd w:val="0"/>
        <w:rPr>
          <w:rFonts w:ascii="Times New Roman" w:hAnsi="Times New Roman"/>
          <w:color w:val="000000"/>
          <w:sz w:val="24"/>
          <w:szCs w:val="24"/>
        </w:rPr>
      </w:pPr>
      <w:r w:rsidRPr="00447AB1">
        <w:rPr>
          <w:rFonts w:ascii="Times New Roman" w:hAnsi="Times New Roman"/>
          <w:bCs/>
          <w:color w:val="000000"/>
          <w:sz w:val="24"/>
          <w:szCs w:val="24"/>
        </w:rPr>
        <w:t xml:space="preserve">A Privacy Threshold Analysis (PTA) was </w:t>
      </w:r>
      <w:r w:rsidR="00D26BF5">
        <w:rPr>
          <w:rFonts w:ascii="Times New Roman" w:hAnsi="Times New Roman"/>
          <w:bCs/>
          <w:color w:val="000000"/>
          <w:sz w:val="24"/>
          <w:szCs w:val="24"/>
        </w:rPr>
        <w:t>submitted to</w:t>
      </w:r>
      <w:r w:rsidRPr="00447AB1">
        <w:rPr>
          <w:rFonts w:ascii="Times New Roman" w:hAnsi="Times New Roman"/>
          <w:bCs/>
          <w:color w:val="000000"/>
          <w:sz w:val="24"/>
          <w:szCs w:val="24"/>
        </w:rPr>
        <w:t xml:space="preserve"> the </w:t>
      </w:r>
      <w:r w:rsidR="00D26BF5">
        <w:rPr>
          <w:rFonts w:ascii="Times New Roman" w:hAnsi="Times New Roman"/>
          <w:bCs/>
          <w:color w:val="000000"/>
          <w:sz w:val="24"/>
          <w:szCs w:val="24"/>
        </w:rPr>
        <w:t>FEMA</w:t>
      </w:r>
      <w:r w:rsidRPr="00447AB1">
        <w:rPr>
          <w:rFonts w:ascii="Times New Roman" w:hAnsi="Times New Roman"/>
          <w:bCs/>
          <w:color w:val="000000"/>
          <w:sz w:val="24"/>
          <w:szCs w:val="24"/>
        </w:rPr>
        <w:t xml:space="preserve"> Privacy Office </w:t>
      </w:r>
      <w:r w:rsidR="002B4A40">
        <w:rPr>
          <w:rFonts w:ascii="Times New Roman" w:hAnsi="Times New Roman"/>
          <w:bCs/>
          <w:color w:val="000000"/>
          <w:sz w:val="24"/>
          <w:szCs w:val="24"/>
        </w:rPr>
        <w:t>and approved by DHS Privacy on August 8</w:t>
      </w:r>
      <w:r w:rsidR="00D26BF5">
        <w:rPr>
          <w:rFonts w:ascii="Times New Roman" w:hAnsi="Times New Roman"/>
          <w:bCs/>
          <w:color w:val="000000"/>
          <w:sz w:val="24"/>
          <w:szCs w:val="24"/>
        </w:rPr>
        <w:t>, 2019</w:t>
      </w:r>
      <w:r w:rsidRPr="00447AB1">
        <w:rPr>
          <w:rFonts w:ascii="Times New Roman" w:hAnsi="Times New Roman"/>
          <w:color w:val="000000"/>
          <w:sz w:val="24"/>
          <w:szCs w:val="24"/>
        </w:rPr>
        <w:t xml:space="preserve">. </w:t>
      </w:r>
    </w:p>
    <w:p w:rsidRPr="00447AB1" w:rsidR="00447AB1" w:rsidP="00447AB1" w:rsidRDefault="00447AB1" w14:paraId="74B9E26B" w14:textId="3C2A6361">
      <w:pPr>
        <w:autoSpaceDE w:val="0"/>
        <w:autoSpaceDN w:val="0"/>
        <w:adjustRightInd w:val="0"/>
        <w:rPr>
          <w:rFonts w:ascii="Times New Roman" w:hAnsi="Times New Roman"/>
          <w:color w:val="000000"/>
          <w:sz w:val="24"/>
          <w:szCs w:val="24"/>
        </w:rPr>
      </w:pPr>
      <w:r w:rsidRPr="00447AB1">
        <w:rPr>
          <w:rFonts w:ascii="Times New Roman" w:hAnsi="Times New Roman"/>
          <w:color w:val="000000"/>
          <w:sz w:val="24"/>
          <w:szCs w:val="24"/>
        </w:rPr>
        <w:lastRenderedPageBreak/>
        <w:t xml:space="preserve">The Environmental and Historic Preservation Screening Form, FEMA Form 024-0-1 is a privacy sensitive collection requiring </w:t>
      </w:r>
      <w:r w:rsidR="00D26BF5">
        <w:rPr>
          <w:rFonts w:ascii="Times New Roman" w:hAnsi="Times New Roman"/>
          <w:color w:val="000000"/>
          <w:sz w:val="24"/>
          <w:szCs w:val="24"/>
        </w:rPr>
        <w:t xml:space="preserve">a </w:t>
      </w:r>
      <w:r w:rsidRPr="00447AB1">
        <w:rPr>
          <w:rFonts w:ascii="Times New Roman" w:hAnsi="Times New Roman"/>
          <w:color w:val="000000"/>
          <w:sz w:val="24"/>
          <w:szCs w:val="24"/>
        </w:rPr>
        <w:t xml:space="preserve">Privacy Impact Assessment, </w:t>
      </w:r>
      <w:r w:rsidR="00D26BF5">
        <w:rPr>
          <w:rFonts w:ascii="Times New Roman" w:hAnsi="Times New Roman"/>
          <w:color w:val="000000"/>
          <w:sz w:val="24"/>
          <w:szCs w:val="24"/>
        </w:rPr>
        <w:t xml:space="preserve">or </w:t>
      </w:r>
      <w:r w:rsidRPr="00447AB1">
        <w:rPr>
          <w:rFonts w:ascii="Times New Roman" w:hAnsi="Times New Roman"/>
          <w:color w:val="000000"/>
          <w:sz w:val="24"/>
          <w:szCs w:val="24"/>
        </w:rPr>
        <w:t xml:space="preserve">PIA coverage. </w:t>
      </w:r>
      <w:r w:rsidR="00D26BF5">
        <w:rPr>
          <w:rFonts w:ascii="Times New Roman" w:hAnsi="Times New Roman"/>
          <w:color w:val="000000"/>
          <w:sz w:val="24"/>
          <w:szCs w:val="24"/>
        </w:rPr>
        <w:t xml:space="preserve">The </w:t>
      </w:r>
      <w:r w:rsidR="00F4334D">
        <w:rPr>
          <w:rFonts w:ascii="Times New Roman" w:hAnsi="Times New Roman"/>
          <w:color w:val="000000"/>
          <w:sz w:val="24"/>
          <w:szCs w:val="24"/>
        </w:rPr>
        <w:t xml:space="preserve">previous </w:t>
      </w:r>
      <w:r w:rsidR="00D26BF5">
        <w:rPr>
          <w:rFonts w:ascii="Times New Roman" w:hAnsi="Times New Roman"/>
          <w:color w:val="000000"/>
          <w:sz w:val="24"/>
          <w:szCs w:val="24"/>
        </w:rPr>
        <w:t>approval was covered by the</w:t>
      </w:r>
      <w:r w:rsidRPr="00447AB1">
        <w:rPr>
          <w:rFonts w:ascii="Times New Roman" w:hAnsi="Times New Roman"/>
          <w:color w:val="000000"/>
          <w:sz w:val="24"/>
          <w:szCs w:val="24"/>
        </w:rPr>
        <w:t xml:space="preserve"> existing PIA, DHS/FEMA 013 – Grant Management Programs, approved by DHS on February 19, 2015. </w:t>
      </w:r>
      <w:r w:rsidR="00D26BF5">
        <w:rPr>
          <w:rFonts w:ascii="Times New Roman" w:hAnsi="Times New Roman"/>
          <w:color w:val="000000"/>
          <w:sz w:val="24"/>
          <w:szCs w:val="24"/>
        </w:rPr>
        <w:t>At that time n</w:t>
      </w:r>
      <w:r w:rsidRPr="00447AB1">
        <w:rPr>
          <w:rFonts w:ascii="Times New Roman" w:hAnsi="Times New Roman"/>
          <w:color w:val="000000"/>
          <w:sz w:val="24"/>
          <w:szCs w:val="24"/>
        </w:rPr>
        <w:t xml:space="preserve">o Privacy Act Statement nor SORN coverage </w:t>
      </w:r>
      <w:r w:rsidR="00D26BF5">
        <w:rPr>
          <w:rFonts w:ascii="Times New Roman" w:hAnsi="Times New Roman"/>
          <w:color w:val="000000"/>
          <w:sz w:val="24"/>
          <w:szCs w:val="24"/>
        </w:rPr>
        <w:t>wa</w:t>
      </w:r>
      <w:r w:rsidRPr="00447AB1">
        <w:rPr>
          <w:rFonts w:ascii="Times New Roman" w:hAnsi="Times New Roman"/>
          <w:color w:val="000000"/>
          <w:sz w:val="24"/>
          <w:szCs w:val="24"/>
        </w:rPr>
        <w:t xml:space="preserve">s required for the form. </w:t>
      </w:r>
    </w:p>
    <w:p w:rsidRPr="00447AB1" w:rsidR="00447AB1" w:rsidP="00447AB1" w:rsidRDefault="00447AB1" w14:paraId="1A3011C5" w14:textId="77777777">
      <w:pPr>
        <w:tabs>
          <w:tab w:val="left" w:pos="360"/>
        </w:tabs>
        <w:rPr>
          <w:rFonts w:ascii="Times New Roman" w:hAnsi="Times New Roman" w:eastAsia="Times New Roman"/>
          <w:sz w:val="24"/>
          <w:szCs w:val="24"/>
        </w:rPr>
      </w:pPr>
      <w:r w:rsidRPr="00447AB1">
        <w:rPr>
          <w:rFonts w:ascii="Times New Roman" w:hAnsi="Times New Roman" w:eastAsia="Times New Roman"/>
          <w:sz w:val="24"/>
          <w:szCs w:val="24"/>
        </w:rPr>
        <w:t>There are no assurances of confidentiality provided to the respondents for this information collection.</w:t>
      </w:r>
    </w:p>
    <w:p w:rsidRPr="006625E7" w:rsidR="00562915" w:rsidP="00562915" w:rsidRDefault="00562915" w14:paraId="41265F73" w14:textId="77777777">
      <w:pPr>
        <w:tabs>
          <w:tab w:val="left" w:pos="360"/>
        </w:tabs>
        <w:rPr>
          <w:rFonts w:ascii="Times New Roman" w:hAnsi="Times New Roman"/>
          <w:b/>
          <w:bCs/>
          <w:sz w:val="24"/>
          <w:szCs w:val="24"/>
        </w:rPr>
      </w:pPr>
      <w:r w:rsidRPr="006625E7">
        <w:rPr>
          <w:rFonts w:ascii="Times New Roman" w:hAnsi="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7767E8" w14:paraId="7828910C" w14:textId="77777777">
      <w:pPr>
        <w:rPr>
          <w:rFonts w:ascii="Times New Roman" w:hAnsi="Times New Roman"/>
          <w:sz w:val="24"/>
          <w:szCs w:val="24"/>
        </w:rPr>
      </w:pPr>
      <w:r w:rsidRPr="007767E8">
        <w:rPr>
          <w:rFonts w:ascii="Times New Roman" w:hAnsi="Times New Roman"/>
          <w:sz w:val="24"/>
          <w:szCs w:val="24"/>
        </w:rPr>
        <w:t>There are no questions of a sensitive nature.</w:t>
      </w:r>
    </w:p>
    <w:p w:rsidRPr="006625E7" w:rsidR="00562915" w:rsidP="00562915" w:rsidRDefault="00562915" w14:paraId="47516422" w14:textId="77777777">
      <w:pPr>
        <w:rPr>
          <w:rFonts w:ascii="Times New Roman" w:hAnsi="Times New Roman"/>
          <w:b/>
          <w:bCs/>
          <w:color w:val="FF0000"/>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 xml:space="preserve"> 12.  Provide estimates of the hour burden of the collection of information.  The statement should:</w:t>
      </w: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 xml:space="preserve">                                             </w:t>
      </w:r>
    </w:p>
    <w:p w:rsidR="00562915" w:rsidP="00562915" w:rsidRDefault="00562915" w14:paraId="187B400D" w14:textId="77777777">
      <w:pPr>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767E8" w:rsidR="007767E8" w:rsidP="007767E8" w:rsidRDefault="007767E8" w14:paraId="4B54E214" w14:textId="42609BBE">
      <w:pPr>
        <w:rPr>
          <w:rFonts w:ascii="Times New Roman" w:hAnsi="Times New Roman"/>
          <w:bCs/>
          <w:sz w:val="24"/>
          <w:szCs w:val="24"/>
        </w:rPr>
      </w:pPr>
      <w:r w:rsidRPr="007767E8">
        <w:rPr>
          <w:rFonts w:ascii="Times New Roman" w:hAnsi="Times New Roman"/>
          <w:bCs/>
          <w:sz w:val="24"/>
          <w:szCs w:val="24"/>
        </w:rPr>
        <w:t xml:space="preserve">The number of respondents has varied slightly from year to year.  </w:t>
      </w:r>
      <w:r w:rsidR="00DD69DE">
        <w:rPr>
          <w:rFonts w:ascii="Times New Roman" w:hAnsi="Times New Roman"/>
          <w:bCs/>
          <w:sz w:val="24"/>
          <w:szCs w:val="24"/>
        </w:rPr>
        <w:t>In FY 201</w:t>
      </w:r>
      <w:r w:rsidR="0021615E">
        <w:rPr>
          <w:rFonts w:ascii="Times New Roman" w:hAnsi="Times New Roman"/>
          <w:bCs/>
          <w:sz w:val="24"/>
          <w:szCs w:val="24"/>
        </w:rPr>
        <w:t>7</w:t>
      </w:r>
      <w:r w:rsidR="00DD69DE">
        <w:rPr>
          <w:rFonts w:ascii="Times New Roman" w:hAnsi="Times New Roman"/>
          <w:bCs/>
          <w:sz w:val="24"/>
          <w:szCs w:val="24"/>
        </w:rPr>
        <w:t xml:space="preserve">, </w:t>
      </w:r>
      <w:r w:rsidR="00C94C39">
        <w:rPr>
          <w:rFonts w:ascii="Times New Roman" w:hAnsi="Times New Roman"/>
          <w:bCs/>
          <w:sz w:val="24"/>
          <w:szCs w:val="24"/>
        </w:rPr>
        <w:t xml:space="preserve">FEMA </w:t>
      </w:r>
      <w:r w:rsidR="00DD69DE">
        <w:rPr>
          <w:rFonts w:ascii="Times New Roman" w:hAnsi="Times New Roman"/>
          <w:bCs/>
          <w:sz w:val="24"/>
          <w:szCs w:val="24"/>
        </w:rPr>
        <w:t>received approximately 2,000 responses.  In FY 201</w:t>
      </w:r>
      <w:r w:rsidR="0021615E">
        <w:rPr>
          <w:rFonts w:ascii="Times New Roman" w:hAnsi="Times New Roman"/>
          <w:bCs/>
          <w:sz w:val="24"/>
          <w:szCs w:val="24"/>
        </w:rPr>
        <w:t>8</w:t>
      </w:r>
      <w:r w:rsidR="00DD69DE">
        <w:rPr>
          <w:rFonts w:ascii="Times New Roman" w:hAnsi="Times New Roman"/>
          <w:bCs/>
          <w:sz w:val="24"/>
          <w:szCs w:val="24"/>
        </w:rPr>
        <w:t xml:space="preserve">, </w:t>
      </w:r>
      <w:r w:rsidR="00C94C39">
        <w:rPr>
          <w:rFonts w:ascii="Times New Roman" w:hAnsi="Times New Roman"/>
          <w:bCs/>
          <w:sz w:val="24"/>
          <w:szCs w:val="24"/>
        </w:rPr>
        <w:t xml:space="preserve">FEMA </w:t>
      </w:r>
      <w:r w:rsidRPr="00C27DF2" w:rsidR="00C27DF2">
        <w:rPr>
          <w:rFonts w:ascii="Times New Roman" w:hAnsi="Times New Roman"/>
          <w:bCs/>
          <w:sz w:val="24"/>
          <w:szCs w:val="24"/>
        </w:rPr>
        <w:t xml:space="preserve">received approximately </w:t>
      </w:r>
      <w:r w:rsidR="00C27DF2">
        <w:rPr>
          <w:rFonts w:ascii="Times New Roman" w:hAnsi="Times New Roman"/>
          <w:bCs/>
          <w:sz w:val="24"/>
          <w:szCs w:val="24"/>
        </w:rPr>
        <w:t xml:space="preserve">2,000 responses. </w:t>
      </w:r>
      <w:r w:rsidR="00C94C39">
        <w:rPr>
          <w:rFonts w:ascii="Times New Roman" w:hAnsi="Times New Roman"/>
          <w:bCs/>
          <w:sz w:val="24"/>
          <w:szCs w:val="24"/>
        </w:rPr>
        <w:t xml:space="preserve">FEMA </w:t>
      </w:r>
      <w:r w:rsidRPr="007767E8">
        <w:rPr>
          <w:rFonts w:ascii="Times New Roman" w:hAnsi="Times New Roman"/>
          <w:bCs/>
          <w:sz w:val="24"/>
          <w:szCs w:val="24"/>
        </w:rPr>
        <w:t>estimat</w:t>
      </w:r>
      <w:r w:rsidR="00C94C39">
        <w:rPr>
          <w:rFonts w:ascii="Times New Roman" w:hAnsi="Times New Roman"/>
          <w:bCs/>
          <w:sz w:val="24"/>
          <w:szCs w:val="24"/>
        </w:rPr>
        <w:t>es</w:t>
      </w:r>
      <w:r w:rsidRPr="007767E8">
        <w:rPr>
          <w:rFonts w:ascii="Times New Roman" w:hAnsi="Times New Roman"/>
          <w:bCs/>
          <w:sz w:val="24"/>
          <w:szCs w:val="24"/>
        </w:rPr>
        <w:t xml:space="preserve"> approximately </w:t>
      </w:r>
      <w:r w:rsidR="00C27DF2">
        <w:rPr>
          <w:rFonts w:ascii="Times New Roman" w:hAnsi="Times New Roman"/>
          <w:bCs/>
          <w:sz w:val="24"/>
          <w:szCs w:val="24"/>
        </w:rPr>
        <w:t>2</w:t>
      </w:r>
      <w:r w:rsidRPr="007767E8">
        <w:rPr>
          <w:rFonts w:ascii="Times New Roman" w:hAnsi="Times New Roman"/>
          <w:bCs/>
          <w:sz w:val="24"/>
          <w:szCs w:val="24"/>
        </w:rPr>
        <w:t xml:space="preserve">,000 responses per year over the next four years.  </w:t>
      </w:r>
    </w:p>
    <w:p w:rsidRPr="007767E8" w:rsidR="007767E8" w:rsidP="007767E8" w:rsidRDefault="0064612E" w14:paraId="1271EB51" w14:textId="6641F7B9">
      <w:pPr>
        <w:rPr>
          <w:rFonts w:ascii="Times New Roman" w:hAnsi="Times New Roman"/>
          <w:bCs/>
          <w:sz w:val="24"/>
          <w:szCs w:val="24"/>
        </w:rPr>
      </w:pPr>
      <w:r>
        <w:rPr>
          <w:rFonts w:ascii="Times New Roman" w:hAnsi="Times New Roman"/>
          <w:bCs/>
          <w:sz w:val="24"/>
          <w:szCs w:val="24"/>
        </w:rPr>
        <w:t xml:space="preserve">Based on its </w:t>
      </w:r>
      <w:r w:rsidRPr="007767E8" w:rsidR="007767E8">
        <w:rPr>
          <w:rFonts w:ascii="Times New Roman" w:hAnsi="Times New Roman"/>
          <w:bCs/>
          <w:sz w:val="24"/>
          <w:szCs w:val="24"/>
        </w:rPr>
        <w:t>experience</w:t>
      </w:r>
      <w:r>
        <w:rPr>
          <w:rFonts w:ascii="Times New Roman" w:hAnsi="Times New Roman"/>
          <w:bCs/>
          <w:sz w:val="24"/>
          <w:szCs w:val="24"/>
        </w:rPr>
        <w:t xml:space="preserve"> working </w:t>
      </w:r>
      <w:r w:rsidRPr="007767E8" w:rsidR="007767E8">
        <w:rPr>
          <w:rFonts w:ascii="Times New Roman" w:hAnsi="Times New Roman"/>
          <w:bCs/>
          <w:sz w:val="24"/>
          <w:szCs w:val="24"/>
        </w:rPr>
        <w:t xml:space="preserve">with </w:t>
      </w:r>
      <w:r>
        <w:rPr>
          <w:rFonts w:ascii="Times New Roman" w:hAnsi="Times New Roman"/>
          <w:bCs/>
          <w:sz w:val="24"/>
          <w:szCs w:val="24"/>
        </w:rPr>
        <w:t xml:space="preserve">respondents </w:t>
      </w:r>
      <w:r w:rsidRPr="007767E8" w:rsidR="007767E8">
        <w:rPr>
          <w:rFonts w:ascii="Times New Roman" w:hAnsi="Times New Roman"/>
          <w:bCs/>
          <w:sz w:val="24"/>
          <w:szCs w:val="24"/>
        </w:rPr>
        <w:t>on the submission of this form over the last several years</w:t>
      </w:r>
      <w:r>
        <w:rPr>
          <w:rFonts w:ascii="Times New Roman" w:hAnsi="Times New Roman"/>
          <w:bCs/>
          <w:sz w:val="24"/>
          <w:szCs w:val="24"/>
        </w:rPr>
        <w:t>, FEMA estimates</w:t>
      </w:r>
      <w:r w:rsidRPr="007767E8" w:rsidR="007767E8">
        <w:rPr>
          <w:rFonts w:ascii="Times New Roman" w:hAnsi="Times New Roman"/>
          <w:bCs/>
          <w:sz w:val="24"/>
          <w:szCs w:val="24"/>
        </w:rPr>
        <w:t xml:space="preserve"> that it takes a total of eight (8) hours to fill out the form and compile the requisite supporting documentation which comprises the collection.  </w:t>
      </w:r>
      <w:r w:rsidR="008634C2">
        <w:rPr>
          <w:rFonts w:ascii="Times New Roman" w:hAnsi="Times New Roman"/>
          <w:bCs/>
          <w:sz w:val="24"/>
          <w:szCs w:val="24"/>
        </w:rPr>
        <w:t>Recipient</w:t>
      </w:r>
      <w:r w:rsidRPr="007767E8" w:rsidR="008634C2">
        <w:rPr>
          <w:rFonts w:ascii="Times New Roman" w:hAnsi="Times New Roman"/>
          <w:bCs/>
          <w:sz w:val="24"/>
          <w:szCs w:val="24"/>
        </w:rPr>
        <w:t xml:space="preserve">s </w:t>
      </w:r>
      <w:r w:rsidRPr="007767E8" w:rsidR="007767E8">
        <w:rPr>
          <w:rFonts w:ascii="Times New Roman" w:hAnsi="Times New Roman"/>
          <w:bCs/>
          <w:sz w:val="24"/>
          <w:szCs w:val="24"/>
        </w:rPr>
        <w:t>are only required to submit one screening form per project.</w:t>
      </w:r>
    </w:p>
    <w:p w:rsidRPr="007767E8" w:rsidR="007767E8" w:rsidP="007767E8" w:rsidRDefault="007767E8" w14:paraId="375D31EE" w14:textId="5C7C356C">
      <w:pPr>
        <w:rPr>
          <w:rFonts w:ascii="Times New Roman" w:hAnsi="Times New Roman"/>
          <w:bCs/>
          <w:sz w:val="24"/>
          <w:szCs w:val="24"/>
        </w:rPr>
      </w:pPr>
      <w:r w:rsidRPr="007767E8">
        <w:rPr>
          <w:rFonts w:ascii="Times New Roman" w:hAnsi="Times New Roman"/>
          <w:bCs/>
          <w:sz w:val="24"/>
          <w:szCs w:val="24"/>
        </w:rPr>
        <w:lastRenderedPageBreak/>
        <w:t xml:space="preserve">FEMA has estimated that approximately </w:t>
      </w:r>
      <w:r w:rsidR="006F0E44">
        <w:rPr>
          <w:rFonts w:ascii="Times New Roman" w:hAnsi="Times New Roman"/>
          <w:bCs/>
          <w:sz w:val="24"/>
          <w:szCs w:val="24"/>
        </w:rPr>
        <w:t>1,800</w:t>
      </w:r>
      <w:r w:rsidRPr="007767E8">
        <w:rPr>
          <w:rFonts w:ascii="Times New Roman" w:hAnsi="Times New Roman"/>
          <w:bCs/>
          <w:sz w:val="24"/>
          <w:szCs w:val="24"/>
        </w:rPr>
        <w:t xml:space="preserve"> respondents</w:t>
      </w:r>
      <w:r w:rsidR="00EE63F2">
        <w:rPr>
          <w:rFonts w:ascii="Times New Roman" w:hAnsi="Times New Roman"/>
          <w:bCs/>
          <w:sz w:val="24"/>
          <w:szCs w:val="24"/>
        </w:rPr>
        <w:t xml:space="preserve"> who are State, Local, or Tribal gover</w:t>
      </w:r>
      <w:r w:rsidR="00DD69DE">
        <w:rPr>
          <w:rFonts w:ascii="Times New Roman" w:hAnsi="Times New Roman"/>
          <w:bCs/>
          <w:sz w:val="24"/>
          <w:szCs w:val="24"/>
        </w:rPr>
        <w:t>n</w:t>
      </w:r>
      <w:r w:rsidR="00EE63F2">
        <w:rPr>
          <w:rFonts w:ascii="Times New Roman" w:hAnsi="Times New Roman"/>
          <w:bCs/>
          <w:sz w:val="24"/>
          <w:szCs w:val="24"/>
        </w:rPr>
        <w:t>ments</w:t>
      </w:r>
      <w:r w:rsidRPr="007767E8">
        <w:rPr>
          <w:rFonts w:ascii="Times New Roman" w:hAnsi="Times New Roman"/>
          <w:bCs/>
          <w:sz w:val="24"/>
          <w:szCs w:val="24"/>
        </w:rPr>
        <w:t xml:space="preserve"> will complete the FEMA Form 024-0-1. There will be 1 response</w:t>
      </w:r>
      <w:r w:rsidR="0064612E">
        <w:rPr>
          <w:rFonts w:ascii="Times New Roman" w:hAnsi="Times New Roman"/>
          <w:bCs/>
          <w:sz w:val="24"/>
          <w:szCs w:val="24"/>
        </w:rPr>
        <w:t xml:space="preserve"> per respondent</w:t>
      </w:r>
      <w:r w:rsidRPr="007767E8">
        <w:rPr>
          <w:rFonts w:ascii="Times New Roman" w:hAnsi="Times New Roman"/>
          <w:bCs/>
          <w:sz w:val="24"/>
          <w:szCs w:val="24"/>
        </w:rPr>
        <w:t xml:space="preserve"> for a total of </w:t>
      </w:r>
      <w:r w:rsidR="006F0E44">
        <w:rPr>
          <w:rFonts w:ascii="Times New Roman" w:hAnsi="Times New Roman"/>
          <w:bCs/>
          <w:sz w:val="24"/>
          <w:szCs w:val="24"/>
        </w:rPr>
        <w:t>1,800</w:t>
      </w:r>
      <w:r w:rsidRPr="007767E8">
        <w:rPr>
          <w:rFonts w:ascii="Times New Roman" w:hAnsi="Times New Roman"/>
          <w:bCs/>
          <w:sz w:val="24"/>
          <w:szCs w:val="24"/>
        </w:rPr>
        <w:t xml:space="preserve">. Each form is estimated to take 8 hours to complete. The total annual burden is estimated to be </w:t>
      </w:r>
      <w:r w:rsidR="006F0E44">
        <w:rPr>
          <w:rFonts w:ascii="Times New Roman" w:hAnsi="Times New Roman"/>
          <w:bCs/>
          <w:sz w:val="24"/>
          <w:szCs w:val="24"/>
        </w:rPr>
        <w:t>1,800</w:t>
      </w:r>
      <w:r w:rsidRPr="007767E8">
        <w:rPr>
          <w:rFonts w:ascii="Times New Roman" w:hAnsi="Times New Roman"/>
          <w:bCs/>
          <w:sz w:val="24"/>
          <w:szCs w:val="24"/>
        </w:rPr>
        <w:t xml:space="preserve"> responses x 8 hours per response = </w:t>
      </w:r>
      <w:r w:rsidR="00C27DF2">
        <w:rPr>
          <w:rFonts w:ascii="Times New Roman" w:hAnsi="Times New Roman"/>
          <w:bCs/>
          <w:sz w:val="24"/>
          <w:szCs w:val="24"/>
        </w:rPr>
        <w:t>1</w:t>
      </w:r>
      <w:r w:rsidR="006F0E44">
        <w:rPr>
          <w:rFonts w:ascii="Times New Roman" w:hAnsi="Times New Roman"/>
          <w:bCs/>
          <w:sz w:val="24"/>
          <w:szCs w:val="24"/>
        </w:rPr>
        <w:t>4,400</w:t>
      </w:r>
      <w:r w:rsidRPr="007767E8">
        <w:rPr>
          <w:rFonts w:ascii="Times New Roman" w:hAnsi="Times New Roman"/>
          <w:bCs/>
          <w:sz w:val="24"/>
          <w:szCs w:val="24"/>
        </w:rPr>
        <w:t xml:space="preserve"> burden hours.</w:t>
      </w:r>
    </w:p>
    <w:p w:rsidRPr="007767E8" w:rsidR="007767E8" w:rsidP="007767E8" w:rsidRDefault="007767E8" w14:paraId="0D515773" w14:textId="13403BCF">
      <w:pPr>
        <w:rPr>
          <w:rFonts w:ascii="Times New Roman" w:hAnsi="Times New Roman"/>
          <w:bCs/>
          <w:sz w:val="24"/>
          <w:szCs w:val="24"/>
        </w:rPr>
      </w:pPr>
      <w:r w:rsidRPr="007767E8">
        <w:rPr>
          <w:rFonts w:ascii="Times New Roman" w:hAnsi="Times New Roman"/>
          <w:bCs/>
          <w:sz w:val="24"/>
          <w:szCs w:val="24"/>
        </w:rPr>
        <w:t xml:space="preserve">FEMA has estimated that approximately 200 respondents </w:t>
      </w:r>
      <w:r w:rsidR="00EE63F2">
        <w:rPr>
          <w:rFonts w:ascii="Times New Roman" w:hAnsi="Times New Roman"/>
          <w:bCs/>
          <w:sz w:val="24"/>
          <w:szCs w:val="24"/>
        </w:rPr>
        <w:t xml:space="preserve">who are Not-For-Profit </w:t>
      </w:r>
      <w:r w:rsidR="00013431">
        <w:rPr>
          <w:rFonts w:ascii="Times New Roman" w:hAnsi="Times New Roman"/>
          <w:bCs/>
          <w:sz w:val="24"/>
          <w:szCs w:val="24"/>
        </w:rPr>
        <w:t xml:space="preserve">Organizations </w:t>
      </w:r>
      <w:r w:rsidRPr="007767E8">
        <w:rPr>
          <w:rFonts w:ascii="Times New Roman" w:hAnsi="Times New Roman"/>
          <w:bCs/>
          <w:sz w:val="24"/>
          <w:szCs w:val="24"/>
        </w:rPr>
        <w:t>will complete the FEMA Form 024-0-1. There will be 1 response</w:t>
      </w:r>
      <w:r w:rsidR="0064612E">
        <w:rPr>
          <w:rFonts w:ascii="Times New Roman" w:hAnsi="Times New Roman"/>
          <w:bCs/>
          <w:sz w:val="24"/>
          <w:szCs w:val="24"/>
        </w:rPr>
        <w:t xml:space="preserve"> per respondent</w:t>
      </w:r>
      <w:r w:rsidRPr="007767E8">
        <w:rPr>
          <w:rFonts w:ascii="Times New Roman" w:hAnsi="Times New Roman"/>
          <w:bCs/>
          <w:sz w:val="24"/>
          <w:szCs w:val="24"/>
        </w:rPr>
        <w:t xml:space="preserve"> for a total of 200. Each form is estimated to take 8 hours to complete. The total annual burden is estimated to be 200 responses x 8 hours per response = 1,600 burden hours.</w:t>
      </w:r>
    </w:p>
    <w:p w:rsidR="00562915" w:rsidP="00562915" w:rsidRDefault="00562915" w14:paraId="04947E0B" w14:textId="77777777">
      <w:pPr>
        <w:rPr>
          <w:rFonts w:ascii="Times New Roman" w:hAnsi="Times New Roman"/>
          <w:b/>
          <w:bCs/>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sz w:val="24"/>
          <w:szCs w:val="24"/>
        </w:rPr>
        <w:tab/>
      </w:r>
      <w:r w:rsidRPr="006625E7">
        <w:rPr>
          <w:rFonts w:ascii="Times New Roman" w:hAnsi="Times New Roman"/>
          <w:b/>
          <w:bCs/>
          <w:sz w:val="24"/>
          <w:szCs w:val="24"/>
        </w:rPr>
        <w:t>b.  If this request for approval covers more than one form, provide separate hour burden estimates for each form and aggregate the hour burdens in Item 13 of OMB Form 83-I.</w:t>
      </w:r>
    </w:p>
    <w:p w:rsidRPr="00F9691C" w:rsidR="00F9691C" w:rsidP="00562915" w:rsidRDefault="00F9691C" w14:paraId="4FB4265D" w14:textId="77777777">
      <w:pPr>
        <w:rPr>
          <w:rFonts w:ascii="Times New Roman" w:hAnsi="Times New Roman"/>
          <w:bCs/>
          <w:sz w:val="24"/>
          <w:szCs w:val="24"/>
        </w:rPr>
      </w:pPr>
      <w:r w:rsidRPr="00F9691C">
        <w:rPr>
          <w:rFonts w:ascii="Times New Roman" w:hAnsi="Times New Roman"/>
          <w:bCs/>
          <w:sz w:val="24"/>
          <w:szCs w:val="24"/>
        </w:rPr>
        <w:t>This request only involves one form (FEMA Form 024-0-1).</w:t>
      </w:r>
    </w:p>
    <w:p w:rsidR="005D1DD4" w:rsidP="00562915" w:rsidRDefault="00562915" w14:paraId="4D30AABB" w14:textId="77777777">
      <w:pPr>
        <w:rPr>
          <w:rFonts w:ascii="Times New Roman" w:hAnsi="Times New Roman"/>
          <w:b/>
          <w:bCs/>
          <w:sz w:val="24"/>
          <w:szCs w:val="24"/>
        </w:rPr>
      </w:pPr>
      <w:r w:rsidRPr="006625E7">
        <w:rPr>
          <w:rFonts w:ascii="Times New Roman" w:hAnsi="Times New Roman"/>
          <w:b/>
          <w:bCs/>
          <w:sz w:val="24"/>
          <w:szCs w:val="24"/>
        </w:rPr>
        <w:tab/>
        <w:t xml:space="preserve">c. </w:t>
      </w:r>
      <w:r w:rsidR="00282D20">
        <w:rPr>
          <w:rFonts w:ascii="Times New Roman" w:hAnsi="Times New Roman"/>
          <w:b/>
          <w:bCs/>
          <w:sz w:val="24"/>
          <w:szCs w:val="24"/>
        </w:rPr>
        <w:t xml:space="preserve"> </w:t>
      </w:r>
      <w:r w:rsidRPr="006625E7">
        <w:rPr>
          <w:rFonts w:ascii="Times New Roman" w:hAnsi="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F9691C" w:rsidP="00562915" w:rsidRDefault="00F9691C" w14:paraId="5F12A5D1" w14:textId="77777777">
      <w:pPr>
        <w:rPr>
          <w:rFonts w:ascii="Times New Roman" w:hAnsi="Times New Roman"/>
          <w:b/>
          <w:bCs/>
          <w:sz w:val="24"/>
          <w:szCs w:val="24"/>
        </w:rPr>
      </w:pPr>
    </w:p>
    <w:tbl>
      <w:tblPr>
        <w:tblW w:w="10420" w:type="dxa"/>
        <w:jc w:val="center"/>
        <w:tblLook w:val="04A0" w:firstRow="1" w:lastRow="0" w:firstColumn="1" w:lastColumn="0" w:noHBand="0" w:noVBand="1"/>
      </w:tblPr>
      <w:tblGrid>
        <w:gridCol w:w="1520"/>
        <w:gridCol w:w="1884"/>
        <w:gridCol w:w="936"/>
        <w:gridCol w:w="936"/>
        <w:gridCol w:w="1177"/>
        <w:gridCol w:w="1077"/>
        <w:gridCol w:w="846"/>
        <w:gridCol w:w="787"/>
        <w:gridCol w:w="1257"/>
      </w:tblGrid>
      <w:tr w:rsidRPr="00F9691C" w:rsidR="00F9691C" w:rsidTr="006906A7" w14:paraId="1079156F" w14:textId="77777777">
        <w:trPr>
          <w:trHeight w:val="315"/>
          <w:jc w:val="center"/>
        </w:trPr>
        <w:tc>
          <w:tcPr>
            <w:tcW w:w="10420" w:type="dxa"/>
            <w:gridSpan w:val="9"/>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F9691C" w:rsidR="00F9691C" w:rsidP="00F9691C" w:rsidRDefault="00F9691C" w14:paraId="6970339E" w14:textId="77777777">
            <w:pPr>
              <w:spacing w:after="0" w:line="240" w:lineRule="auto"/>
              <w:jc w:val="center"/>
              <w:rPr>
                <w:rFonts w:ascii="Arial" w:hAnsi="Arial" w:eastAsia="Times New Roman" w:cs="Arial"/>
                <w:color w:val="000000"/>
                <w:sz w:val="18"/>
                <w:szCs w:val="18"/>
              </w:rPr>
            </w:pPr>
            <w:r w:rsidRPr="00F9691C">
              <w:rPr>
                <w:rFonts w:ascii="Arial" w:hAnsi="Arial" w:eastAsia="Times New Roman" w:cs="Arial"/>
                <w:color w:val="000000"/>
                <w:sz w:val="18"/>
                <w:szCs w:val="18"/>
              </w:rPr>
              <w:t>Estimated Annualized Burden Hours and Costs</w:t>
            </w:r>
          </w:p>
        </w:tc>
      </w:tr>
      <w:tr w:rsidRPr="00F9691C" w:rsidR="00F9691C" w:rsidTr="00915C50" w14:paraId="49476972" w14:textId="77777777">
        <w:trPr>
          <w:trHeight w:val="1230"/>
          <w:jc w:val="center"/>
        </w:trPr>
        <w:tc>
          <w:tcPr>
            <w:tcW w:w="1520" w:type="dxa"/>
            <w:tcBorders>
              <w:top w:val="nil"/>
              <w:left w:val="single" w:color="auto" w:sz="8" w:space="0"/>
              <w:bottom w:val="single" w:color="auto" w:sz="8" w:space="0"/>
              <w:right w:val="single" w:color="auto" w:sz="8" w:space="0"/>
            </w:tcBorders>
            <w:shd w:val="clear" w:color="auto" w:fill="8EAADB" w:themeFill="accent1" w:themeFillTint="99"/>
            <w:vAlign w:val="bottom"/>
            <w:hideMark/>
          </w:tcPr>
          <w:p w:rsidRPr="00F9691C" w:rsidR="00F9691C" w:rsidP="00F9691C" w:rsidRDefault="00F9691C" w14:paraId="1037FF6C" w14:textId="77777777">
            <w:pPr>
              <w:spacing w:after="0" w:line="240" w:lineRule="auto"/>
              <w:jc w:val="center"/>
              <w:rPr>
                <w:rFonts w:ascii="Arial" w:hAnsi="Arial" w:eastAsia="Times New Roman" w:cs="Arial"/>
                <w:b/>
                <w:bCs/>
                <w:color w:val="000000"/>
                <w:sz w:val="18"/>
                <w:szCs w:val="18"/>
              </w:rPr>
            </w:pPr>
            <w:r w:rsidRPr="00F9691C">
              <w:rPr>
                <w:rFonts w:ascii="Arial" w:hAnsi="Arial" w:eastAsia="Times New Roman" w:cs="Arial"/>
                <w:b/>
                <w:bCs/>
                <w:color w:val="000000"/>
                <w:sz w:val="18"/>
                <w:szCs w:val="18"/>
              </w:rPr>
              <w:t>Type of Respondent</w:t>
            </w:r>
          </w:p>
        </w:tc>
        <w:tc>
          <w:tcPr>
            <w:tcW w:w="1884" w:type="dxa"/>
            <w:tcBorders>
              <w:top w:val="nil"/>
              <w:left w:val="nil"/>
              <w:bottom w:val="single" w:color="auto" w:sz="8" w:space="0"/>
              <w:right w:val="single" w:color="auto" w:sz="8" w:space="0"/>
            </w:tcBorders>
            <w:shd w:val="clear" w:color="auto" w:fill="8EAADB" w:themeFill="accent1" w:themeFillTint="99"/>
            <w:vAlign w:val="bottom"/>
            <w:hideMark/>
          </w:tcPr>
          <w:p w:rsidRPr="00F9691C" w:rsidR="00F9691C" w:rsidP="00F9691C" w:rsidRDefault="00F9691C" w14:paraId="4F4E7945" w14:textId="77777777">
            <w:pPr>
              <w:spacing w:after="0" w:line="240" w:lineRule="auto"/>
              <w:jc w:val="center"/>
              <w:rPr>
                <w:rFonts w:ascii="Arial" w:hAnsi="Arial" w:eastAsia="Times New Roman" w:cs="Arial"/>
                <w:b/>
                <w:bCs/>
                <w:color w:val="000000"/>
                <w:sz w:val="18"/>
                <w:szCs w:val="18"/>
              </w:rPr>
            </w:pPr>
            <w:r w:rsidRPr="00F9691C">
              <w:rPr>
                <w:rFonts w:ascii="Arial" w:hAnsi="Arial" w:eastAsia="Times New Roman" w:cs="Arial"/>
                <w:b/>
                <w:bCs/>
                <w:color w:val="000000"/>
                <w:sz w:val="18"/>
                <w:szCs w:val="18"/>
              </w:rPr>
              <w:t>Form Name / Form Number</w:t>
            </w:r>
          </w:p>
        </w:tc>
        <w:tc>
          <w:tcPr>
            <w:tcW w:w="936" w:type="dxa"/>
            <w:tcBorders>
              <w:top w:val="nil"/>
              <w:left w:val="nil"/>
              <w:bottom w:val="single" w:color="auto" w:sz="8" w:space="0"/>
              <w:right w:val="single" w:color="auto" w:sz="8" w:space="0"/>
            </w:tcBorders>
            <w:shd w:val="clear" w:color="auto" w:fill="8EAADB" w:themeFill="accent1" w:themeFillTint="99"/>
            <w:vAlign w:val="bottom"/>
            <w:hideMark/>
          </w:tcPr>
          <w:p w:rsidRPr="00F9691C" w:rsidR="00F9691C" w:rsidP="00F9691C" w:rsidRDefault="00F9691C" w14:paraId="108F3E43" w14:textId="77777777">
            <w:pPr>
              <w:spacing w:after="0" w:line="240" w:lineRule="auto"/>
              <w:jc w:val="center"/>
              <w:rPr>
                <w:rFonts w:ascii="Arial" w:hAnsi="Arial" w:eastAsia="Times New Roman" w:cs="Arial"/>
                <w:b/>
                <w:bCs/>
                <w:color w:val="000000"/>
                <w:sz w:val="18"/>
                <w:szCs w:val="18"/>
              </w:rPr>
            </w:pPr>
            <w:r w:rsidRPr="00F9691C">
              <w:rPr>
                <w:rFonts w:ascii="Arial" w:hAnsi="Arial" w:eastAsia="Times New Roman" w:cs="Arial"/>
                <w:b/>
                <w:bCs/>
                <w:color w:val="000000"/>
                <w:sz w:val="18"/>
                <w:szCs w:val="18"/>
              </w:rPr>
              <w:t xml:space="preserve">No. of </w:t>
            </w:r>
            <w:proofErr w:type="spellStart"/>
            <w:r w:rsidRPr="00F9691C">
              <w:rPr>
                <w:rFonts w:ascii="Arial" w:hAnsi="Arial" w:eastAsia="Times New Roman" w:cs="Arial"/>
                <w:b/>
                <w:bCs/>
                <w:color w:val="000000"/>
                <w:sz w:val="18"/>
                <w:szCs w:val="18"/>
              </w:rPr>
              <w:t>Respon</w:t>
            </w:r>
            <w:proofErr w:type="spellEnd"/>
            <w:r w:rsidRPr="00F9691C">
              <w:rPr>
                <w:rFonts w:ascii="Arial" w:hAnsi="Arial" w:eastAsia="Times New Roman" w:cs="Arial"/>
                <w:b/>
                <w:bCs/>
                <w:color w:val="000000"/>
                <w:sz w:val="18"/>
                <w:szCs w:val="18"/>
              </w:rPr>
              <w:t>-dents</w:t>
            </w:r>
          </w:p>
        </w:tc>
        <w:tc>
          <w:tcPr>
            <w:tcW w:w="936" w:type="dxa"/>
            <w:tcBorders>
              <w:top w:val="nil"/>
              <w:left w:val="nil"/>
              <w:bottom w:val="single" w:color="auto" w:sz="8" w:space="0"/>
              <w:right w:val="single" w:color="auto" w:sz="8" w:space="0"/>
            </w:tcBorders>
            <w:shd w:val="clear" w:color="auto" w:fill="8EAADB" w:themeFill="accent1" w:themeFillTint="99"/>
            <w:vAlign w:val="bottom"/>
            <w:hideMark/>
          </w:tcPr>
          <w:p w:rsidRPr="00F9691C" w:rsidR="00F9691C" w:rsidP="00F9691C" w:rsidRDefault="00F9691C" w14:paraId="62543CEC" w14:textId="77777777">
            <w:pPr>
              <w:spacing w:after="0" w:line="240" w:lineRule="auto"/>
              <w:jc w:val="center"/>
              <w:rPr>
                <w:rFonts w:ascii="Arial" w:hAnsi="Arial" w:eastAsia="Times New Roman" w:cs="Arial"/>
                <w:b/>
                <w:bCs/>
                <w:color w:val="000000"/>
                <w:sz w:val="18"/>
                <w:szCs w:val="18"/>
              </w:rPr>
            </w:pPr>
            <w:r w:rsidRPr="00F9691C">
              <w:rPr>
                <w:rFonts w:ascii="Arial" w:hAnsi="Arial" w:eastAsia="Times New Roman" w:cs="Arial"/>
                <w:b/>
                <w:bCs/>
                <w:color w:val="000000"/>
                <w:sz w:val="18"/>
                <w:szCs w:val="18"/>
              </w:rPr>
              <w:t xml:space="preserve">No. of </w:t>
            </w:r>
            <w:proofErr w:type="spellStart"/>
            <w:r w:rsidRPr="00F9691C">
              <w:rPr>
                <w:rFonts w:ascii="Arial" w:hAnsi="Arial" w:eastAsia="Times New Roman" w:cs="Arial"/>
                <w:b/>
                <w:bCs/>
                <w:color w:val="000000"/>
                <w:sz w:val="18"/>
                <w:szCs w:val="18"/>
              </w:rPr>
              <w:t>Respon-ses</w:t>
            </w:r>
            <w:proofErr w:type="spellEnd"/>
            <w:r w:rsidRPr="00F9691C">
              <w:rPr>
                <w:rFonts w:ascii="Arial" w:hAnsi="Arial" w:eastAsia="Times New Roman" w:cs="Arial"/>
                <w:b/>
                <w:bCs/>
                <w:color w:val="000000"/>
                <w:sz w:val="18"/>
                <w:szCs w:val="18"/>
              </w:rPr>
              <w:t xml:space="preserve"> per </w:t>
            </w:r>
            <w:proofErr w:type="spellStart"/>
            <w:r w:rsidRPr="00F9691C">
              <w:rPr>
                <w:rFonts w:ascii="Arial" w:hAnsi="Arial" w:eastAsia="Times New Roman" w:cs="Arial"/>
                <w:b/>
                <w:bCs/>
                <w:color w:val="000000"/>
                <w:sz w:val="18"/>
                <w:szCs w:val="18"/>
              </w:rPr>
              <w:t>Respon</w:t>
            </w:r>
            <w:proofErr w:type="spellEnd"/>
            <w:r w:rsidRPr="00F9691C">
              <w:rPr>
                <w:rFonts w:ascii="Arial" w:hAnsi="Arial" w:eastAsia="Times New Roman" w:cs="Arial"/>
                <w:b/>
                <w:bCs/>
                <w:color w:val="000000"/>
                <w:sz w:val="18"/>
                <w:szCs w:val="18"/>
              </w:rPr>
              <w:t>-dent</w:t>
            </w:r>
          </w:p>
        </w:tc>
        <w:tc>
          <w:tcPr>
            <w:tcW w:w="1177" w:type="dxa"/>
            <w:tcBorders>
              <w:top w:val="nil"/>
              <w:left w:val="nil"/>
              <w:bottom w:val="single" w:color="auto" w:sz="8" w:space="0"/>
              <w:right w:val="single" w:color="auto" w:sz="8" w:space="0"/>
            </w:tcBorders>
            <w:shd w:val="clear" w:color="auto" w:fill="8EAADB" w:themeFill="accent1" w:themeFillTint="99"/>
            <w:vAlign w:val="bottom"/>
            <w:hideMark/>
          </w:tcPr>
          <w:p w:rsidRPr="00F9691C" w:rsidR="00F9691C" w:rsidP="00F9691C" w:rsidRDefault="00F9691C" w14:paraId="54B2067F" w14:textId="77777777">
            <w:pPr>
              <w:spacing w:after="0" w:line="240" w:lineRule="auto"/>
              <w:jc w:val="center"/>
              <w:rPr>
                <w:rFonts w:ascii="Arial" w:hAnsi="Arial" w:eastAsia="Times New Roman" w:cs="Arial"/>
                <w:b/>
                <w:bCs/>
                <w:color w:val="000000"/>
                <w:sz w:val="18"/>
                <w:szCs w:val="18"/>
              </w:rPr>
            </w:pPr>
            <w:r w:rsidRPr="00F9691C">
              <w:rPr>
                <w:rFonts w:ascii="Arial" w:hAnsi="Arial" w:eastAsia="Times New Roman" w:cs="Arial"/>
                <w:b/>
                <w:bCs/>
                <w:color w:val="000000"/>
                <w:sz w:val="18"/>
                <w:szCs w:val="18"/>
              </w:rPr>
              <w:t>Total No. of Responses</w:t>
            </w:r>
          </w:p>
        </w:tc>
        <w:tc>
          <w:tcPr>
            <w:tcW w:w="1077" w:type="dxa"/>
            <w:tcBorders>
              <w:top w:val="nil"/>
              <w:left w:val="nil"/>
              <w:bottom w:val="single" w:color="auto" w:sz="8" w:space="0"/>
              <w:right w:val="single" w:color="auto" w:sz="8" w:space="0"/>
            </w:tcBorders>
            <w:shd w:val="clear" w:color="auto" w:fill="8EAADB" w:themeFill="accent1" w:themeFillTint="99"/>
            <w:vAlign w:val="bottom"/>
            <w:hideMark/>
          </w:tcPr>
          <w:p w:rsidRPr="00F9691C" w:rsidR="00F9691C" w:rsidP="00F9691C" w:rsidRDefault="00F9691C" w14:paraId="4CB00B08" w14:textId="77777777">
            <w:pPr>
              <w:spacing w:after="0" w:line="240" w:lineRule="auto"/>
              <w:jc w:val="center"/>
              <w:rPr>
                <w:rFonts w:ascii="Arial" w:hAnsi="Arial" w:eastAsia="Times New Roman" w:cs="Arial"/>
                <w:b/>
                <w:bCs/>
                <w:color w:val="000000"/>
                <w:sz w:val="18"/>
                <w:szCs w:val="18"/>
              </w:rPr>
            </w:pPr>
            <w:r w:rsidRPr="00F9691C">
              <w:rPr>
                <w:rFonts w:ascii="Arial" w:hAnsi="Arial" w:eastAsia="Times New Roman" w:cs="Arial"/>
                <w:b/>
                <w:bCs/>
                <w:color w:val="000000"/>
                <w:sz w:val="18"/>
                <w:szCs w:val="18"/>
              </w:rPr>
              <w:t>Avg. Burden per Response (in hours)</w:t>
            </w:r>
          </w:p>
        </w:tc>
        <w:tc>
          <w:tcPr>
            <w:tcW w:w="846" w:type="dxa"/>
            <w:tcBorders>
              <w:top w:val="nil"/>
              <w:left w:val="nil"/>
              <w:bottom w:val="single" w:color="auto" w:sz="8" w:space="0"/>
              <w:right w:val="single" w:color="auto" w:sz="8" w:space="0"/>
            </w:tcBorders>
            <w:shd w:val="clear" w:color="auto" w:fill="8EAADB" w:themeFill="accent1" w:themeFillTint="99"/>
            <w:vAlign w:val="bottom"/>
            <w:hideMark/>
          </w:tcPr>
          <w:p w:rsidRPr="00F9691C" w:rsidR="00F9691C" w:rsidP="00F9691C" w:rsidRDefault="00F9691C" w14:paraId="18A40408" w14:textId="77777777">
            <w:pPr>
              <w:spacing w:after="0" w:line="240" w:lineRule="auto"/>
              <w:jc w:val="center"/>
              <w:rPr>
                <w:rFonts w:ascii="Arial" w:hAnsi="Arial" w:eastAsia="Times New Roman" w:cs="Arial"/>
                <w:b/>
                <w:bCs/>
                <w:color w:val="000000"/>
                <w:sz w:val="18"/>
                <w:szCs w:val="18"/>
              </w:rPr>
            </w:pPr>
            <w:r w:rsidRPr="00F9691C">
              <w:rPr>
                <w:rFonts w:ascii="Arial" w:hAnsi="Arial" w:eastAsia="Times New Roman" w:cs="Arial"/>
                <w:b/>
                <w:bCs/>
                <w:color w:val="000000"/>
                <w:sz w:val="18"/>
                <w:szCs w:val="18"/>
              </w:rPr>
              <w:t>Total Annual Burden (in hours)</w:t>
            </w:r>
          </w:p>
        </w:tc>
        <w:tc>
          <w:tcPr>
            <w:tcW w:w="787" w:type="dxa"/>
            <w:tcBorders>
              <w:top w:val="nil"/>
              <w:left w:val="nil"/>
              <w:bottom w:val="single" w:color="auto" w:sz="8" w:space="0"/>
              <w:right w:val="single" w:color="auto" w:sz="8" w:space="0"/>
            </w:tcBorders>
            <w:shd w:val="clear" w:color="auto" w:fill="8EAADB" w:themeFill="accent1" w:themeFillTint="99"/>
            <w:vAlign w:val="bottom"/>
            <w:hideMark/>
          </w:tcPr>
          <w:p w:rsidRPr="00F9691C" w:rsidR="00F9691C" w:rsidP="00F9691C" w:rsidRDefault="00F9691C" w14:paraId="673B5D61" w14:textId="77777777">
            <w:pPr>
              <w:spacing w:after="0" w:line="240" w:lineRule="auto"/>
              <w:jc w:val="center"/>
              <w:rPr>
                <w:rFonts w:ascii="Arial" w:hAnsi="Arial" w:eastAsia="Times New Roman" w:cs="Arial"/>
                <w:b/>
                <w:bCs/>
                <w:color w:val="000000"/>
                <w:sz w:val="18"/>
                <w:szCs w:val="18"/>
              </w:rPr>
            </w:pPr>
            <w:r w:rsidRPr="00F9691C">
              <w:rPr>
                <w:rFonts w:ascii="Arial" w:hAnsi="Arial" w:eastAsia="Times New Roman" w:cs="Arial"/>
                <w:b/>
                <w:bCs/>
                <w:color w:val="000000"/>
                <w:sz w:val="18"/>
                <w:szCs w:val="18"/>
              </w:rPr>
              <w:t>Avg. Hourly Wage Rate</w:t>
            </w:r>
          </w:p>
        </w:tc>
        <w:tc>
          <w:tcPr>
            <w:tcW w:w="1257" w:type="dxa"/>
            <w:tcBorders>
              <w:top w:val="nil"/>
              <w:left w:val="nil"/>
              <w:bottom w:val="single" w:color="auto" w:sz="8" w:space="0"/>
              <w:right w:val="single" w:color="auto" w:sz="8" w:space="0"/>
            </w:tcBorders>
            <w:shd w:val="clear" w:color="auto" w:fill="8EAADB" w:themeFill="accent1" w:themeFillTint="99"/>
            <w:vAlign w:val="bottom"/>
            <w:hideMark/>
          </w:tcPr>
          <w:p w:rsidRPr="00F9691C" w:rsidR="00F9691C" w:rsidP="00F9691C" w:rsidRDefault="00F9691C" w14:paraId="6B7A2E19" w14:textId="77777777">
            <w:pPr>
              <w:spacing w:after="0" w:line="240" w:lineRule="auto"/>
              <w:jc w:val="center"/>
              <w:rPr>
                <w:rFonts w:ascii="Arial" w:hAnsi="Arial" w:eastAsia="Times New Roman" w:cs="Arial"/>
                <w:b/>
                <w:bCs/>
                <w:color w:val="000000"/>
                <w:sz w:val="18"/>
                <w:szCs w:val="18"/>
              </w:rPr>
            </w:pPr>
            <w:r w:rsidRPr="00F9691C">
              <w:rPr>
                <w:rFonts w:ascii="Arial" w:hAnsi="Arial" w:eastAsia="Times New Roman" w:cs="Arial"/>
                <w:b/>
                <w:bCs/>
                <w:color w:val="000000"/>
                <w:sz w:val="18"/>
                <w:szCs w:val="18"/>
              </w:rPr>
              <w:t>Total Annual Respondent Cost</w:t>
            </w:r>
          </w:p>
        </w:tc>
      </w:tr>
      <w:tr w:rsidRPr="00941410" w:rsidR="00F9691C" w:rsidTr="006906A7" w14:paraId="7EDE4E6F" w14:textId="77777777">
        <w:trPr>
          <w:trHeight w:val="315"/>
          <w:jc w:val="center"/>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941410" w:rsidR="00F9691C" w:rsidP="00FF4C0D" w:rsidRDefault="00F9691C" w14:paraId="53A517B3"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State, Local or Tribal Government</w:t>
            </w:r>
          </w:p>
        </w:tc>
        <w:tc>
          <w:tcPr>
            <w:tcW w:w="1884" w:type="dxa"/>
            <w:tcBorders>
              <w:top w:val="nil"/>
              <w:left w:val="nil"/>
              <w:bottom w:val="single" w:color="auto" w:sz="8" w:space="0"/>
              <w:right w:val="single" w:color="auto" w:sz="8" w:space="0"/>
            </w:tcBorders>
            <w:shd w:val="clear" w:color="auto" w:fill="auto"/>
            <w:vAlign w:val="center"/>
            <w:hideMark/>
          </w:tcPr>
          <w:p w:rsidRPr="00941410" w:rsidR="00F9691C" w:rsidP="00F9691C" w:rsidRDefault="00F9691C" w14:paraId="7F8B0D55" w14:textId="0BC964FA">
            <w:pPr>
              <w:spacing w:after="0" w:line="240" w:lineRule="auto"/>
              <w:rPr>
                <w:rFonts w:ascii="Arial" w:hAnsi="Arial" w:eastAsia="Times New Roman" w:cs="Arial"/>
                <w:color w:val="000000"/>
                <w:sz w:val="18"/>
                <w:szCs w:val="18"/>
              </w:rPr>
            </w:pPr>
            <w:r w:rsidRPr="00941410">
              <w:rPr>
                <w:rFonts w:ascii="Arial" w:hAnsi="Arial" w:eastAsia="Times New Roman" w:cs="Arial"/>
                <w:color w:val="000000"/>
                <w:sz w:val="18"/>
                <w:szCs w:val="18"/>
              </w:rPr>
              <w:t>Environmental and Historic Preservation Screening Form / FEMA Form 024-0-1</w:t>
            </w:r>
          </w:p>
        </w:tc>
        <w:tc>
          <w:tcPr>
            <w:tcW w:w="936" w:type="dxa"/>
            <w:tcBorders>
              <w:top w:val="nil"/>
              <w:left w:val="nil"/>
              <w:bottom w:val="single" w:color="auto" w:sz="8" w:space="0"/>
              <w:right w:val="single" w:color="auto" w:sz="8" w:space="0"/>
            </w:tcBorders>
            <w:shd w:val="clear" w:color="auto" w:fill="auto"/>
            <w:vAlign w:val="center"/>
            <w:hideMark/>
          </w:tcPr>
          <w:p w:rsidRPr="00941410" w:rsidR="00F9691C" w:rsidP="00F9691C" w:rsidRDefault="006F0E44" w14:paraId="148B77E2"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1,800</w:t>
            </w:r>
          </w:p>
        </w:tc>
        <w:tc>
          <w:tcPr>
            <w:tcW w:w="936" w:type="dxa"/>
            <w:tcBorders>
              <w:top w:val="nil"/>
              <w:left w:val="nil"/>
              <w:bottom w:val="single" w:color="auto" w:sz="8" w:space="0"/>
              <w:right w:val="single" w:color="auto" w:sz="8" w:space="0"/>
            </w:tcBorders>
            <w:shd w:val="clear" w:color="auto" w:fill="auto"/>
            <w:vAlign w:val="center"/>
            <w:hideMark/>
          </w:tcPr>
          <w:p w:rsidRPr="00941410" w:rsidR="00F9691C" w:rsidP="00F9691C" w:rsidRDefault="00F9691C" w14:paraId="4582D246"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 xml:space="preserve"> 1</w:t>
            </w:r>
          </w:p>
        </w:tc>
        <w:tc>
          <w:tcPr>
            <w:tcW w:w="1177" w:type="dxa"/>
            <w:tcBorders>
              <w:top w:val="nil"/>
              <w:left w:val="nil"/>
              <w:bottom w:val="single" w:color="auto" w:sz="8" w:space="0"/>
              <w:right w:val="single" w:color="auto" w:sz="8" w:space="0"/>
            </w:tcBorders>
            <w:shd w:val="clear" w:color="auto" w:fill="auto"/>
            <w:vAlign w:val="center"/>
            <w:hideMark/>
          </w:tcPr>
          <w:p w:rsidRPr="00941410" w:rsidR="00F9691C" w:rsidP="00F9691C" w:rsidRDefault="006F0E44" w14:paraId="46C9919C"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1,800</w:t>
            </w:r>
          </w:p>
        </w:tc>
        <w:tc>
          <w:tcPr>
            <w:tcW w:w="1077" w:type="dxa"/>
            <w:tcBorders>
              <w:top w:val="nil"/>
              <w:left w:val="nil"/>
              <w:bottom w:val="single" w:color="auto" w:sz="8" w:space="0"/>
              <w:right w:val="single" w:color="auto" w:sz="8" w:space="0"/>
            </w:tcBorders>
            <w:shd w:val="clear" w:color="auto" w:fill="auto"/>
            <w:vAlign w:val="center"/>
            <w:hideMark/>
          </w:tcPr>
          <w:p w:rsidRPr="00941410" w:rsidR="00F9691C" w:rsidP="00F9691C" w:rsidRDefault="00F9691C" w14:paraId="3DE3E0C5"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8 hours</w:t>
            </w:r>
          </w:p>
        </w:tc>
        <w:tc>
          <w:tcPr>
            <w:tcW w:w="846" w:type="dxa"/>
            <w:tcBorders>
              <w:top w:val="nil"/>
              <w:left w:val="nil"/>
              <w:bottom w:val="single" w:color="auto" w:sz="8" w:space="0"/>
              <w:right w:val="single" w:color="auto" w:sz="8" w:space="0"/>
            </w:tcBorders>
            <w:shd w:val="clear" w:color="auto" w:fill="auto"/>
            <w:vAlign w:val="center"/>
            <w:hideMark/>
          </w:tcPr>
          <w:p w:rsidRPr="00941410" w:rsidR="00F9691C" w:rsidP="00F9691C" w:rsidRDefault="006F0E44" w14:paraId="6A32A9E6"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14,</w:t>
            </w:r>
            <w:r w:rsidRPr="00941410" w:rsidR="00F9691C">
              <w:rPr>
                <w:rFonts w:ascii="Arial" w:hAnsi="Arial" w:eastAsia="Times New Roman" w:cs="Arial"/>
                <w:color w:val="000000"/>
                <w:sz w:val="18"/>
                <w:szCs w:val="18"/>
              </w:rPr>
              <w:t>400</w:t>
            </w:r>
          </w:p>
        </w:tc>
        <w:tc>
          <w:tcPr>
            <w:tcW w:w="787" w:type="dxa"/>
            <w:tcBorders>
              <w:top w:val="nil"/>
              <w:left w:val="nil"/>
              <w:bottom w:val="single" w:color="auto" w:sz="8" w:space="0"/>
              <w:right w:val="single" w:color="auto" w:sz="8" w:space="0"/>
            </w:tcBorders>
            <w:shd w:val="clear" w:color="auto" w:fill="auto"/>
            <w:vAlign w:val="center"/>
            <w:hideMark/>
          </w:tcPr>
          <w:p w:rsidRPr="00941410" w:rsidR="00F9691C" w:rsidP="00B40BB9" w:rsidRDefault="00F9691C" w14:paraId="34ACCF92" w14:textId="48338C75">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w:t>
            </w:r>
            <w:r w:rsidR="00B75166">
              <w:rPr>
                <w:rFonts w:ascii="Arial" w:hAnsi="Arial" w:eastAsia="Times New Roman" w:cs="Arial"/>
                <w:color w:val="000000"/>
                <w:sz w:val="18"/>
                <w:szCs w:val="18"/>
              </w:rPr>
              <w:t>54.46</w:t>
            </w:r>
          </w:p>
        </w:tc>
        <w:tc>
          <w:tcPr>
            <w:tcW w:w="1257" w:type="dxa"/>
            <w:tcBorders>
              <w:top w:val="nil"/>
              <w:left w:val="nil"/>
              <w:bottom w:val="single" w:color="auto" w:sz="8" w:space="0"/>
              <w:right w:val="single" w:color="auto" w:sz="8" w:space="0"/>
            </w:tcBorders>
            <w:shd w:val="clear" w:color="auto" w:fill="auto"/>
            <w:vAlign w:val="center"/>
            <w:hideMark/>
          </w:tcPr>
          <w:p w:rsidRPr="00941410" w:rsidR="00F9691C" w:rsidP="006F0E44" w:rsidRDefault="00F9691C" w14:paraId="64A3E6E8" w14:textId="3E73BF3A">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w:t>
            </w:r>
            <w:r w:rsidR="00B75166">
              <w:rPr>
                <w:rFonts w:ascii="Arial" w:hAnsi="Arial" w:eastAsia="Times New Roman" w:cs="Arial"/>
                <w:color w:val="000000"/>
                <w:sz w:val="18"/>
                <w:szCs w:val="18"/>
              </w:rPr>
              <w:t>784,224</w:t>
            </w:r>
          </w:p>
        </w:tc>
      </w:tr>
      <w:tr w:rsidRPr="00941410" w:rsidR="00F9691C" w:rsidTr="006906A7" w14:paraId="46EA0D5D" w14:textId="77777777">
        <w:trPr>
          <w:trHeight w:val="315"/>
          <w:jc w:val="center"/>
        </w:trPr>
        <w:tc>
          <w:tcPr>
            <w:tcW w:w="1520" w:type="dxa"/>
            <w:tcBorders>
              <w:top w:val="nil"/>
              <w:left w:val="single" w:color="auto" w:sz="8" w:space="0"/>
              <w:bottom w:val="single" w:color="auto" w:sz="8" w:space="0"/>
              <w:right w:val="single" w:color="auto" w:sz="8" w:space="0"/>
            </w:tcBorders>
            <w:shd w:val="clear" w:color="auto" w:fill="auto"/>
            <w:vAlign w:val="center"/>
          </w:tcPr>
          <w:p w:rsidRPr="00941410" w:rsidR="00F9691C" w:rsidP="00FF4C0D" w:rsidRDefault="00F9691C" w14:paraId="3173F7B4"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Not-for-Profit Institutions</w:t>
            </w:r>
          </w:p>
        </w:tc>
        <w:tc>
          <w:tcPr>
            <w:tcW w:w="1884" w:type="dxa"/>
            <w:tcBorders>
              <w:top w:val="nil"/>
              <w:left w:val="nil"/>
              <w:bottom w:val="single" w:color="auto" w:sz="8" w:space="0"/>
              <w:right w:val="single" w:color="auto" w:sz="8" w:space="0"/>
            </w:tcBorders>
            <w:shd w:val="clear" w:color="auto" w:fill="auto"/>
            <w:vAlign w:val="center"/>
          </w:tcPr>
          <w:p w:rsidRPr="00941410" w:rsidR="00F9691C" w:rsidP="00F9691C" w:rsidRDefault="00F9691C" w14:paraId="48F28623" w14:textId="797BEA76">
            <w:pPr>
              <w:spacing w:after="0" w:line="240" w:lineRule="auto"/>
              <w:rPr>
                <w:rFonts w:ascii="Arial" w:hAnsi="Arial" w:eastAsia="Times New Roman" w:cs="Arial"/>
                <w:color w:val="000000"/>
                <w:sz w:val="18"/>
                <w:szCs w:val="18"/>
              </w:rPr>
            </w:pPr>
            <w:r w:rsidRPr="00941410">
              <w:rPr>
                <w:rFonts w:ascii="Arial" w:hAnsi="Arial" w:eastAsia="Times New Roman" w:cs="Arial"/>
                <w:color w:val="000000"/>
                <w:sz w:val="18"/>
                <w:szCs w:val="18"/>
              </w:rPr>
              <w:t>Environmental and Historic Preservation Screening Form / FEMA Form 024-0-1</w:t>
            </w:r>
          </w:p>
        </w:tc>
        <w:tc>
          <w:tcPr>
            <w:tcW w:w="936" w:type="dxa"/>
            <w:tcBorders>
              <w:top w:val="nil"/>
              <w:left w:val="nil"/>
              <w:bottom w:val="single" w:color="auto" w:sz="8" w:space="0"/>
              <w:right w:val="single" w:color="auto" w:sz="8" w:space="0"/>
            </w:tcBorders>
            <w:shd w:val="clear" w:color="auto" w:fill="auto"/>
            <w:vAlign w:val="center"/>
          </w:tcPr>
          <w:p w:rsidRPr="00941410" w:rsidR="00F9691C" w:rsidP="00F9691C" w:rsidRDefault="00F9691C" w14:paraId="1B10CD13"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200</w:t>
            </w:r>
          </w:p>
        </w:tc>
        <w:tc>
          <w:tcPr>
            <w:tcW w:w="936" w:type="dxa"/>
            <w:tcBorders>
              <w:top w:val="nil"/>
              <w:left w:val="nil"/>
              <w:bottom w:val="single" w:color="auto" w:sz="8" w:space="0"/>
              <w:right w:val="single" w:color="auto" w:sz="8" w:space="0"/>
            </w:tcBorders>
            <w:shd w:val="clear" w:color="auto" w:fill="auto"/>
            <w:vAlign w:val="center"/>
          </w:tcPr>
          <w:p w:rsidRPr="00941410" w:rsidR="00F9691C" w:rsidP="00F9691C" w:rsidRDefault="00F9691C" w14:paraId="6E981C01"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 xml:space="preserve">1 </w:t>
            </w:r>
          </w:p>
        </w:tc>
        <w:tc>
          <w:tcPr>
            <w:tcW w:w="1177" w:type="dxa"/>
            <w:tcBorders>
              <w:top w:val="nil"/>
              <w:left w:val="nil"/>
              <w:bottom w:val="single" w:color="auto" w:sz="8" w:space="0"/>
              <w:right w:val="single" w:color="auto" w:sz="8" w:space="0"/>
            </w:tcBorders>
            <w:shd w:val="clear" w:color="auto" w:fill="auto"/>
            <w:vAlign w:val="center"/>
          </w:tcPr>
          <w:p w:rsidRPr="00941410" w:rsidR="00F9691C" w:rsidP="00F9691C" w:rsidRDefault="00F9691C" w14:paraId="5C7744DA"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200</w:t>
            </w:r>
          </w:p>
        </w:tc>
        <w:tc>
          <w:tcPr>
            <w:tcW w:w="1077" w:type="dxa"/>
            <w:tcBorders>
              <w:top w:val="nil"/>
              <w:left w:val="nil"/>
              <w:bottom w:val="single" w:color="auto" w:sz="8" w:space="0"/>
              <w:right w:val="single" w:color="auto" w:sz="8" w:space="0"/>
            </w:tcBorders>
            <w:shd w:val="clear" w:color="auto" w:fill="auto"/>
            <w:vAlign w:val="center"/>
          </w:tcPr>
          <w:p w:rsidRPr="00941410" w:rsidR="00F9691C" w:rsidP="00F9691C" w:rsidRDefault="00F9691C" w14:paraId="66994E03"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8 hours</w:t>
            </w:r>
          </w:p>
        </w:tc>
        <w:tc>
          <w:tcPr>
            <w:tcW w:w="846" w:type="dxa"/>
            <w:tcBorders>
              <w:top w:val="nil"/>
              <w:left w:val="nil"/>
              <w:bottom w:val="single" w:color="auto" w:sz="8" w:space="0"/>
              <w:right w:val="single" w:color="auto" w:sz="8" w:space="0"/>
            </w:tcBorders>
            <w:shd w:val="clear" w:color="auto" w:fill="auto"/>
            <w:vAlign w:val="center"/>
          </w:tcPr>
          <w:p w:rsidRPr="00941410" w:rsidR="00F9691C" w:rsidP="00F9691C" w:rsidRDefault="00F9691C" w14:paraId="2252BBBB"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1,600</w:t>
            </w:r>
          </w:p>
        </w:tc>
        <w:tc>
          <w:tcPr>
            <w:tcW w:w="787" w:type="dxa"/>
            <w:tcBorders>
              <w:top w:val="nil"/>
              <w:left w:val="nil"/>
              <w:bottom w:val="single" w:color="auto" w:sz="8" w:space="0"/>
              <w:right w:val="single" w:color="auto" w:sz="8" w:space="0"/>
            </w:tcBorders>
            <w:shd w:val="clear" w:color="auto" w:fill="auto"/>
            <w:vAlign w:val="center"/>
          </w:tcPr>
          <w:p w:rsidRPr="00941410" w:rsidR="00F9691C" w:rsidP="00B40BB9" w:rsidRDefault="00F9691C" w14:paraId="5AF8CB53" w14:textId="21DE9B44">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w:t>
            </w:r>
            <w:r w:rsidR="00B75166">
              <w:rPr>
                <w:rFonts w:ascii="Arial" w:hAnsi="Arial" w:eastAsia="Times New Roman" w:cs="Arial"/>
                <w:color w:val="000000"/>
                <w:sz w:val="18"/>
                <w:szCs w:val="18"/>
              </w:rPr>
              <w:t>54.46</w:t>
            </w:r>
          </w:p>
        </w:tc>
        <w:tc>
          <w:tcPr>
            <w:tcW w:w="1257" w:type="dxa"/>
            <w:tcBorders>
              <w:top w:val="nil"/>
              <w:left w:val="nil"/>
              <w:bottom w:val="single" w:color="auto" w:sz="8" w:space="0"/>
              <w:right w:val="single" w:color="auto" w:sz="8" w:space="0"/>
            </w:tcBorders>
            <w:shd w:val="clear" w:color="auto" w:fill="auto"/>
            <w:vAlign w:val="center"/>
          </w:tcPr>
          <w:p w:rsidRPr="00941410" w:rsidR="00F9691C" w:rsidP="00B40BB9" w:rsidRDefault="00F9691C" w14:paraId="159D198E" w14:textId="73F756D8">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w:t>
            </w:r>
            <w:r w:rsidR="00B75166">
              <w:rPr>
                <w:rFonts w:ascii="Arial" w:hAnsi="Arial" w:eastAsia="Times New Roman" w:cs="Arial"/>
                <w:color w:val="000000"/>
                <w:sz w:val="18"/>
                <w:szCs w:val="18"/>
              </w:rPr>
              <w:t>87,136</w:t>
            </w:r>
          </w:p>
        </w:tc>
      </w:tr>
      <w:tr w:rsidRPr="00941410" w:rsidR="00F9691C" w:rsidTr="006906A7" w14:paraId="162D6D0D" w14:textId="77777777">
        <w:trPr>
          <w:trHeight w:val="315"/>
          <w:jc w:val="center"/>
        </w:trPr>
        <w:tc>
          <w:tcPr>
            <w:tcW w:w="1520" w:type="dxa"/>
            <w:tcBorders>
              <w:top w:val="nil"/>
              <w:left w:val="single" w:color="auto" w:sz="8" w:space="0"/>
              <w:bottom w:val="single" w:color="auto" w:sz="8" w:space="0"/>
              <w:right w:val="single" w:color="auto" w:sz="8" w:space="0"/>
            </w:tcBorders>
            <w:shd w:val="clear" w:color="auto" w:fill="auto"/>
            <w:vAlign w:val="bottom"/>
            <w:hideMark/>
          </w:tcPr>
          <w:p w:rsidRPr="00941410" w:rsidR="00F9691C" w:rsidP="00F9691C" w:rsidRDefault="00F9691C" w14:paraId="1C0F8C25" w14:textId="77777777">
            <w:pPr>
              <w:spacing w:after="0" w:line="240" w:lineRule="auto"/>
              <w:jc w:val="center"/>
              <w:rPr>
                <w:rFonts w:ascii="Arial" w:hAnsi="Arial" w:eastAsia="Times New Roman" w:cs="Arial"/>
                <w:b/>
                <w:bCs/>
                <w:color w:val="000000"/>
                <w:sz w:val="18"/>
                <w:szCs w:val="18"/>
              </w:rPr>
            </w:pPr>
            <w:r w:rsidRPr="00941410">
              <w:rPr>
                <w:rFonts w:ascii="Arial" w:hAnsi="Arial" w:eastAsia="Times New Roman" w:cs="Arial"/>
                <w:b/>
                <w:bCs/>
                <w:color w:val="000000"/>
                <w:sz w:val="18"/>
                <w:szCs w:val="18"/>
              </w:rPr>
              <w:t>Total</w:t>
            </w:r>
          </w:p>
        </w:tc>
        <w:tc>
          <w:tcPr>
            <w:tcW w:w="1884" w:type="dxa"/>
            <w:tcBorders>
              <w:top w:val="nil"/>
              <w:left w:val="nil"/>
              <w:bottom w:val="single" w:color="auto" w:sz="8" w:space="0"/>
              <w:right w:val="single" w:color="auto" w:sz="8" w:space="0"/>
            </w:tcBorders>
            <w:shd w:val="clear" w:color="000000" w:fill="000000"/>
            <w:vAlign w:val="bottom"/>
            <w:hideMark/>
          </w:tcPr>
          <w:p w:rsidRPr="00941410" w:rsidR="00F9691C" w:rsidP="00F9691C" w:rsidRDefault="00F9691C" w14:paraId="1B801560" w14:textId="77777777">
            <w:pPr>
              <w:spacing w:after="0" w:line="240" w:lineRule="auto"/>
              <w:rPr>
                <w:rFonts w:ascii="Arial" w:hAnsi="Arial" w:eastAsia="Times New Roman" w:cs="Arial"/>
                <w:color w:val="000000"/>
                <w:sz w:val="18"/>
                <w:szCs w:val="18"/>
              </w:rPr>
            </w:pPr>
            <w:r w:rsidRPr="00941410">
              <w:rPr>
                <w:rFonts w:ascii="Arial" w:hAnsi="Arial" w:eastAsia="Times New Roman" w:cs="Arial"/>
                <w:color w:val="000000"/>
                <w:sz w:val="18"/>
                <w:szCs w:val="18"/>
              </w:rPr>
              <w:t> </w:t>
            </w:r>
          </w:p>
        </w:tc>
        <w:tc>
          <w:tcPr>
            <w:tcW w:w="936" w:type="dxa"/>
            <w:tcBorders>
              <w:top w:val="nil"/>
              <w:left w:val="nil"/>
              <w:bottom w:val="single" w:color="auto" w:sz="8" w:space="0"/>
              <w:right w:val="single" w:color="auto" w:sz="8" w:space="0"/>
            </w:tcBorders>
            <w:shd w:val="clear" w:color="auto" w:fill="auto"/>
            <w:vAlign w:val="bottom"/>
            <w:hideMark/>
          </w:tcPr>
          <w:p w:rsidRPr="00941410" w:rsidR="00F9691C" w:rsidP="00724EAB" w:rsidRDefault="00F9691C" w14:paraId="1BC0C49E" w14:textId="77777777">
            <w:pPr>
              <w:spacing w:after="0" w:line="240" w:lineRule="auto"/>
              <w:jc w:val="center"/>
              <w:rPr>
                <w:rFonts w:ascii="Arial" w:hAnsi="Arial" w:eastAsia="Times New Roman" w:cs="Arial"/>
                <w:b/>
                <w:bCs/>
                <w:color w:val="000000"/>
                <w:sz w:val="18"/>
                <w:szCs w:val="18"/>
              </w:rPr>
            </w:pPr>
            <w:r w:rsidRPr="00941410">
              <w:rPr>
                <w:rFonts w:ascii="Arial" w:hAnsi="Arial" w:eastAsia="Times New Roman" w:cs="Arial"/>
                <w:b/>
                <w:bCs/>
                <w:color w:val="000000"/>
                <w:sz w:val="18"/>
                <w:szCs w:val="18"/>
              </w:rPr>
              <w:t> </w:t>
            </w:r>
            <w:r w:rsidR="00724EAB">
              <w:rPr>
                <w:rFonts w:ascii="Arial" w:hAnsi="Arial" w:eastAsia="Times New Roman" w:cs="Arial"/>
                <w:b/>
                <w:bCs/>
                <w:color w:val="000000"/>
                <w:sz w:val="18"/>
                <w:szCs w:val="18"/>
              </w:rPr>
              <w:t>2</w:t>
            </w:r>
            <w:r w:rsidRPr="00941410">
              <w:rPr>
                <w:rFonts w:ascii="Arial" w:hAnsi="Arial" w:eastAsia="Times New Roman" w:cs="Arial"/>
                <w:b/>
                <w:bCs/>
                <w:color w:val="000000"/>
                <w:sz w:val="18"/>
                <w:szCs w:val="18"/>
              </w:rPr>
              <w:t>,000</w:t>
            </w:r>
          </w:p>
        </w:tc>
        <w:tc>
          <w:tcPr>
            <w:tcW w:w="936" w:type="dxa"/>
            <w:tcBorders>
              <w:top w:val="nil"/>
              <w:left w:val="nil"/>
              <w:bottom w:val="single" w:color="auto" w:sz="8" w:space="0"/>
              <w:right w:val="single" w:color="auto" w:sz="8" w:space="0"/>
            </w:tcBorders>
            <w:shd w:val="clear" w:color="000000" w:fill="000000"/>
            <w:vAlign w:val="bottom"/>
            <w:hideMark/>
          </w:tcPr>
          <w:p w:rsidRPr="00941410" w:rsidR="00F9691C" w:rsidP="00F9691C" w:rsidRDefault="00F9691C" w14:paraId="4D43927A"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 </w:t>
            </w:r>
          </w:p>
        </w:tc>
        <w:tc>
          <w:tcPr>
            <w:tcW w:w="1177" w:type="dxa"/>
            <w:tcBorders>
              <w:top w:val="nil"/>
              <w:left w:val="nil"/>
              <w:bottom w:val="single" w:color="auto" w:sz="8" w:space="0"/>
              <w:right w:val="single" w:color="auto" w:sz="8" w:space="0"/>
            </w:tcBorders>
            <w:shd w:val="clear" w:color="000000" w:fill="FFFFFF"/>
            <w:vAlign w:val="bottom"/>
            <w:hideMark/>
          </w:tcPr>
          <w:p w:rsidRPr="00941410" w:rsidR="00F9691C" w:rsidP="00F9691C" w:rsidRDefault="00724EAB" w14:paraId="34572B30" w14:textId="77777777">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2</w:t>
            </w:r>
            <w:r w:rsidRPr="00941410" w:rsidR="00F9691C">
              <w:rPr>
                <w:rFonts w:ascii="Arial" w:hAnsi="Arial" w:eastAsia="Times New Roman" w:cs="Arial"/>
                <w:color w:val="000000"/>
                <w:sz w:val="18"/>
                <w:szCs w:val="18"/>
              </w:rPr>
              <w:t>,000 </w:t>
            </w:r>
          </w:p>
        </w:tc>
        <w:tc>
          <w:tcPr>
            <w:tcW w:w="1077" w:type="dxa"/>
            <w:tcBorders>
              <w:top w:val="nil"/>
              <w:left w:val="nil"/>
              <w:bottom w:val="single" w:color="auto" w:sz="8" w:space="0"/>
              <w:right w:val="single" w:color="auto" w:sz="8" w:space="0"/>
            </w:tcBorders>
            <w:shd w:val="clear" w:color="000000" w:fill="000000"/>
            <w:vAlign w:val="bottom"/>
            <w:hideMark/>
          </w:tcPr>
          <w:p w:rsidRPr="00941410" w:rsidR="00F9691C" w:rsidP="00F9691C" w:rsidRDefault="00F9691C" w14:paraId="0F209440"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 </w:t>
            </w:r>
          </w:p>
        </w:tc>
        <w:tc>
          <w:tcPr>
            <w:tcW w:w="846" w:type="dxa"/>
            <w:tcBorders>
              <w:top w:val="nil"/>
              <w:left w:val="nil"/>
              <w:bottom w:val="single" w:color="auto" w:sz="8" w:space="0"/>
              <w:right w:val="single" w:color="auto" w:sz="8" w:space="0"/>
            </w:tcBorders>
            <w:shd w:val="clear" w:color="auto" w:fill="auto"/>
            <w:vAlign w:val="bottom"/>
            <w:hideMark/>
          </w:tcPr>
          <w:p w:rsidRPr="00941410" w:rsidR="00F9691C" w:rsidP="00F9691C" w:rsidRDefault="00724EAB" w14:paraId="6FE41D7C" w14:textId="77777777">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16</w:t>
            </w:r>
            <w:r w:rsidRPr="00941410" w:rsidR="00F9691C">
              <w:rPr>
                <w:rFonts w:ascii="Arial" w:hAnsi="Arial" w:eastAsia="Times New Roman" w:cs="Arial"/>
                <w:b/>
                <w:bCs/>
                <w:color w:val="000000"/>
                <w:sz w:val="18"/>
                <w:szCs w:val="18"/>
              </w:rPr>
              <w:t>,000 </w:t>
            </w:r>
          </w:p>
        </w:tc>
        <w:tc>
          <w:tcPr>
            <w:tcW w:w="787" w:type="dxa"/>
            <w:tcBorders>
              <w:top w:val="nil"/>
              <w:left w:val="nil"/>
              <w:bottom w:val="single" w:color="auto" w:sz="8" w:space="0"/>
              <w:right w:val="single" w:color="auto" w:sz="8" w:space="0"/>
            </w:tcBorders>
            <w:shd w:val="clear" w:color="000000" w:fill="000000"/>
            <w:vAlign w:val="bottom"/>
            <w:hideMark/>
          </w:tcPr>
          <w:p w:rsidRPr="00941410" w:rsidR="00F9691C" w:rsidP="00F9691C" w:rsidRDefault="00F9691C" w14:paraId="1D4C0DC4" w14:textId="77777777">
            <w:pPr>
              <w:spacing w:after="0" w:line="240" w:lineRule="auto"/>
              <w:jc w:val="center"/>
              <w:rPr>
                <w:rFonts w:ascii="Arial" w:hAnsi="Arial" w:eastAsia="Times New Roman" w:cs="Arial"/>
                <w:color w:val="000000"/>
                <w:sz w:val="18"/>
                <w:szCs w:val="18"/>
              </w:rPr>
            </w:pPr>
            <w:r w:rsidRPr="00941410">
              <w:rPr>
                <w:rFonts w:ascii="Arial" w:hAnsi="Arial" w:eastAsia="Times New Roman" w:cs="Arial"/>
                <w:color w:val="000000"/>
                <w:sz w:val="18"/>
                <w:szCs w:val="18"/>
              </w:rPr>
              <w:t> </w:t>
            </w:r>
          </w:p>
        </w:tc>
        <w:tc>
          <w:tcPr>
            <w:tcW w:w="1257" w:type="dxa"/>
            <w:tcBorders>
              <w:top w:val="nil"/>
              <w:left w:val="nil"/>
              <w:bottom w:val="single" w:color="auto" w:sz="8" w:space="0"/>
              <w:right w:val="single" w:color="auto" w:sz="8" w:space="0"/>
            </w:tcBorders>
            <w:shd w:val="clear" w:color="auto" w:fill="auto"/>
            <w:vAlign w:val="bottom"/>
            <w:hideMark/>
          </w:tcPr>
          <w:p w:rsidRPr="00941410" w:rsidR="00F9691C" w:rsidP="006F0E44" w:rsidRDefault="00F9691C" w14:paraId="09B8EB74" w14:textId="03F3961A">
            <w:pPr>
              <w:spacing w:after="0" w:line="240" w:lineRule="auto"/>
              <w:jc w:val="center"/>
              <w:rPr>
                <w:rFonts w:ascii="Arial" w:hAnsi="Arial" w:eastAsia="Times New Roman" w:cs="Arial"/>
                <w:b/>
                <w:bCs/>
                <w:color w:val="000000"/>
                <w:sz w:val="18"/>
                <w:szCs w:val="18"/>
              </w:rPr>
            </w:pPr>
            <w:r w:rsidRPr="00941410">
              <w:rPr>
                <w:rFonts w:ascii="Arial" w:hAnsi="Arial" w:eastAsia="Times New Roman" w:cs="Arial"/>
                <w:b/>
                <w:bCs/>
                <w:color w:val="000000"/>
                <w:sz w:val="18"/>
                <w:szCs w:val="18"/>
              </w:rPr>
              <w:t>$</w:t>
            </w:r>
            <w:r w:rsidR="00B75166">
              <w:rPr>
                <w:rFonts w:ascii="Arial" w:hAnsi="Arial" w:eastAsia="Times New Roman" w:cs="Arial"/>
                <w:b/>
                <w:bCs/>
                <w:color w:val="000000"/>
                <w:sz w:val="18"/>
                <w:szCs w:val="18"/>
              </w:rPr>
              <w:t>871,360</w:t>
            </w:r>
          </w:p>
        </w:tc>
      </w:tr>
    </w:tbl>
    <w:p w:rsidR="00562915" w:rsidP="00562915" w:rsidRDefault="00562915" w14:paraId="64B7FBF8" w14:textId="25F641BF">
      <w:pPr>
        <w:tabs>
          <w:tab w:val="left" w:pos="-720"/>
        </w:tabs>
        <w:suppressAutoHyphens/>
      </w:pPr>
    </w:p>
    <w:p w:rsidR="00AD3C6C" w:rsidP="00562915" w:rsidRDefault="00AD3C6C" w14:paraId="7344FA80" w14:textId="384AF098">
      <w:pPr>
        <w:tabs>
          <w:tab w:val="left" w:pos="-720"/>
        </w:tabs>
        <w:suppressAutoHyphens/>
      </w:pPr>
    </w:p>
    <w:p w:rsidRPr="00AD6EF4" w:rsidR="00AD3C6C" w:rsidP="00AD3C6C" w:rsidRDefault="00AD3C6C" w14:paraId="47758385" w14:textId="0F8FB5FD">
      <w:pPr>
        <w:tabs>
          <w:tab w:val="left" w:pos="-720"/>
        </w:tabs>
        <w:suppressAutoHyphens/>
        <w:rPr>
          <w:rFonts w:ascii="Times New Roman" w:hAnsi="Times New Roman"/>
          <w:sz w:val="24"/>
          <w:szCs w:val="24"/>
        </w:rPr>
      </w:pPr>
      <w:r w:rsidRPr="00AD6EF4">
        <w:rPr>
          <w:rFonts w:ascii="Times New Roman" w:hAnsi="Times New Roman"/>
          <w:b/>
          <w:sz w:val="24"/>
          <w:szCs w:val="24"/>
        </w:rPr>
        <w:lastRenderedPageBreak/>
        <w:t>Instruction for Wage-rate category multiplier:  Take each non-loaded “Avg. Hourly Wage Rate” from the BLS website table and multiply that number by 1.46</w:t>
      </w:r>
      <w:r w:rsidR="003E757D">
        <w:rPr>
          <w:rFonts w:ascii="Times New Roman" w:hAnsi="Times New Roman"/>
          <w:b/>
          <w:sz w:val="24"/>
          <w:szCs w:val="24"/>
        </w:rPr>
        <w:t>.</w:t>
      </w:r>
      <w:r w:rsidRPr="00AD6EF4">
        <w:rPr>
          <w:rStyle w:val="FootnoteReference"/>
          <w:rFonts w:ascii="Times New Roman" w:hAnsi="Times New Roman"/>
          <w:b/>
          <w:sz w:val="24"/>
          <w:szCs w:val="24"/>
        </w:rPr>
        <w:footnoteReference w:id="1"/>
      </w:r>
      <w:r w:rsidRPr="00AD6EF4">
        <w:rPr>
          <w:rFonts w:ascii="Times New Roman" w:hAnsi="Times New Roman"/>
          <w:b/>
          <w:sz w:val="24"/>
          <w:szCs w:val="24"/>
        </w:rPr>
        <w:t xml:space="preserve">  For example, a non-loaded BLS table wage rate of $42.51 would be multiplied by 1.46, and the entry for the “Avg. Hourly Wage Rate” would be $62.06.</w:t>
      </w:r>
    </w:p>
    <w:p w:rsidRPr="00D33C35" w:rsidR="00AD3C6C" w:rsidP="00AD3C6C" w:rsidRDefault="00AD3C6C" w14:paraId="02436D52" w14:textId="174560F0">
      <w:pPr>
        <w:tabs>
          <w:tab w:val="left" w:pos="-720"/>
        </w:tabs>
        <w:suppressAutoHyphens/>
        <w:rPr>
          <w:rFonts w:ascii="Times New Roman" w:hAnsi="Times New Roman"/>
          <w:sz w:val="24"/>
          <w:szCs w:val="24"/>
        </w:rPr>
      </w:pPr>
      <w:r w:rsidRPr="00D33C35">
        <w:rPr>
          <w:rFonts w:ascii="Times New Roman" w:hAnsi="Times New Roman"/>
          <w:sz w:val="24"/>
          <w:szCs w:val="24"/>
        </w:rPr>
        <w:t>According to the U.S. Department of Labor, Bureau of Labor Statistics</w:t>
      </w:r>
      <w:r w:rsidRPr="00D33C35" w:rsidR="003E757D">
        <w:rPr>
          <w:rFonts w:ascii="Times New Roman" w:hAnsi="Times New Roman"/>
          <w:sz w:val="24"/>
          <w:szCs w:val="24"/>
        </w:rPr>
        <w:t>,</w:t>
      </w:r>
      <w:r w:rsidRPr="00D33C35">
        <w:rPr>
          <w:rStyle w:val="FootnoteReference"/>
          <w:rFonts w:ascii="Times New Roman" w:hAnsi="Times New Roman"/>
          <w:sz w:val="24"/>
          <w:szCs w:val="24"/>
        </w:rPr>
        <w:footnoteReference w:id="2"/>
      </w:r>
      <w:r w:rsidRPr="00D33C35">
        <w:rPr>
          <w:rFonts w:ascii="Times New Roman" w:hAnsi="Times New Roman"/>
          <w:sz w:val="24"/>
          <w:szCs w:val="24"/>
        </w:rPr>
        <w:t xml:space="preserve"> the May 2017 National Industry-Specific Occupational Employment and Wage Estimates wage rate for Environmental Specialists (Standard Occupational Classification 1</w:t>
      </w:r>
      <w:r w:rsidRPr="00D33C35" w:rsidR="00B75166">
        <w:rPr>
          <w:rFonts w:ascii="Times New Roman" w:hAnsi="Times New Roman"/>
          <w:sz w:val="24"/>
          <w:szCs w:val="24"/>
        </w:rPr>
        <w:t>9-2041</w:t>
      </w:r>
      <w:r w:rsidRPr="00D33C35">
        <w:rPr>
          <w:rFonts w:ascii="Times New Roman" w:hAnsi="Times New Roman"/>
          <w:sz w:val="24"/>
          <w:szCs w:val="24"/>
        </w:rPr>
        <w:t xml:space="preserve">) is estimated </w:t>
      </w:r>
      <w:r w:rsidRPr="00D33C35" w:rsidR="00B75166">
        <w:rPr>
          <w:rFonts w:ascii="Times New Roman" w:hAnsi="Times New Roman"/>
          <w:sz w:val="24"/>
          <w:szCs w:val="24"/>
        </w:rPr>
        <w:t>at</w:t>
      </w:r>
      <w:r w:rsidRPr="00D33C35">
        <w:rPr>
          <w:rFonts w:ascii="Times New Roman" w:hAnsi="Times New Roman"/>
          <w:sz w:val="24"/>
          <w:szCs w:val="24"/>
        </w:rPr>
        <w:t xml:space="preserve"> $</w:t>
      </w:r>
      <w:r w:rsidRPr="00D33C35" w:rsidR="00B75166">
        <w:rPr>
          <w:rFonts w:ascii="Times New Roman" w:hAnsi="Times New Roman"/>
          <w:sz w:val="24"/>
          <w:szCs w:val="24"/>
        </w:rPr>
        <w:t xml:space="preserve">37.30.  </w:t>
      </w:r>
      <w:r w:rsidRPr="00D33C35">
        <w:rPr>
          <w:rFonts w:ascii="Times New Roman" w:hAnsi="Times New Roman"/>
          <w:sz w:val="24"/>
          <w:szCs w:val="24"/>
        </w:rPr>
        <w:t>Including the wage rate multiplier of 1.46, the fully-loaded wage rate</w:t>
      </w:r>
      <w:r w:rsidRPr="00D33C35" w:rsidR="00B75166">
        <w:rPr>
          <w:rFonts w:ascii="Times New Roman" w:hAnsi="Times New Roman"/>
          <w:sz w:val="24"/>
          <w:szCs w:val="24"/>
        </w:rPr>
        <w:t xml:space="preserve"> is</w:t>
      </w:r>
      <w:r w:rsidRPr="00D33C35">
        <w:rPr>
          <w:rFonts w:ascii="Times New Roman" w:hAnsi="Times New Roman"/>
          <w:sz w:val="24"/>
          <w:szCs w:val="24"/>
        </w:rPr>
        <w:t xml:space="preserve"> estimated at $</w:t>
      </w:r>
      <w:r w:rsidRPr="00D33C35" w:rsidR="00B75166">
        <w:rPr>
          <w:rFonts w:ascii="Times New Roman" w:hAnsi="Times New Roman"/>
          <w:sz w:val="24"/>
          <w:szCs w:val="24"/>
        </w:rPr>
        <w:t>54.46</w:t>
      </w:r>
      <w:r w:rsidRPr="00D33C35">
        <w:rPr>
          <w:rFonts w:ascii="Times New Roman" w:hAnsi="Times New Roman"/>
          <w:sz w:val="24"/>
          <w:szCs w:val="24"/>
        </w:rPr>
        <w:t xml:space="preserve"> per hour.  Therefore, the estimated annual burden hour cost is estimated to be $</w:t>
      </w:r>
      <w:r w:rsidRPr="00D33C35" w:rsidR="00B75166">
        <w:rPr>
          <w:rFonts w:ascii="Times New Roman" w:hAnsi="Times New Roman"/>
          <w:sz w:val="24"/>
          <w:szCs w:val="24"/>
        </w:rPr>
        <w:t>871,360</w:t>
      </w:r>
      <w:r w:rsidRPr="00D33C35">
        <w:rPr>
          <w:rFonts w:ascii="Times New Roman" w:hAnsi="Times New Roman"/>
          <w:sz w:val="24"/>
          <w:szCs w:val="24"/>
        </w:rPr>
        <w:t xml:space="preserve"> ($</w:t>
      </w:r>
      <w:r w:rsidRPr="00D33C35" w:rsidR="00B75166">
        <w:rPr>
          <w:rFonts w:ascii="Times New Roman" w:hAnsi="Times New Roman"/>
          <w:sz w:val="24"/>
          <w:szCs w:val="24"/>
        </w:rPr>
        <w:t>54.46</w:t>
      </w:r>
      <w:r w:rsidRPr="00D33C35">
        <w:rPr>
          <w:rFonts w:ascii="Times New Roman" w:hAnsi="Times New Roman"/>
          <w:sz w:val="24"/>
          <w:szCs w:val="24"/>
        </w:rPr>
        <w:t xml:space="preserve"> x </w:t>
      </w:r>
      <w:r w:rsidRPr="00D33C35" w:rsidR="00B75166">
        <w:rPr>
          <w:rFonts w:ascii="Times New Roman" w:hAnsi="Times New Roman"/>
          <w:sz w:val="24"/>
          <w:szCs w:val="24"/>
        </w:rPr>
        <w:t>16,0</w:t>
      </w:r>
      <w:r w:rsidRPr="00D33C35">
        <w:rPr>
          <w:rFonts w:ascii="Times New Roman" w:hAnsi="Times New Roman"/>
          <w:sz w:val="24"/>
          <w:szCs w:val="24"/>
        </w:rPr>
        <w:t>00 hours).</w:t>
      </w:r>
    </w:p>
    <w:p w:rsidRPr="006625E7" w:rsidR="00562915" w:rsidP="00562915" w:rsidRDefault="00562915" w14:paraId="1AA71D6D" w14:textId="77777777">
      <w:pPr>
        <w:rPr>
          <w:rFonts w:ascii="Times New Roman" w:hAnsi="Times New Roman"/>
          <w:b/>
          <w:bCs/>
          <w:sz w:val="24"/>
          <w:szCs w:val="24"/>
        </w:rPr>
      </w:pP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r w:rsidRPr="006625E7">
        <w:rPr>
          <w:rFonts w:ascii="Times New Roman" w:hAnsi="Times New Roman"/>
          <w:b/>
          <w:sz w:val="24"/>
          <w:szCs w:val="24"/>
        </w:rPr>
        <w:t>13.</w:t>
      </w:r>
      <w:r w:rsidRPr="006625E7">
        <w:rPr>
          <w:rFonts w:ascii="Times New Roman" w:hAnsi="Times New Roman"/>
          <w:sz w:val="24"/>
          <w:szCs w:val="24"/>
        </w:rPr>
        <w:t xml:space="preserve">  </w:t>
      </w:r>
      <w:r w:rsidRPr="006625E7">
        <w:rPr>
          <w:rFonts w:ascii="Times New Roman" w:hAnsi="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18208DBB" w14:textId="77777777">
      <w:pPr>
        <w:rPr>
          <w:rFonts w:ascii="Times New Roman" w:hAnsi="Times New Roman"/>
          <w:b/>
          <w:bCs/>
          <w:color w:val="FF0000"/>
          <w:sz w:val="24"/>
          <w:szCs w:val="24"/>
        </w:rPr>
      </w:pPr>
      <w:r w:rsidRPr="006625E7">
        <w:rPr>
          <w:rFonts w:ascii="Times New Roman" w:hAnsi="Times New Roman"/>
          <w:b/>
          <w:bCs/>
          <w:sz w:val="24"/>
          <w:szCs w:val="24"/>
        </w:rPr>
        <w:t>The cost estimates should be split into two components:</w:t>
      </w:r>
    </w:p>
    <w:p w:rsidRPr="006625E7" w:rsidR="00562915" w:rsidP="00562915" w:rsidRDefault="00562915" w14:paraId="33EA0794" w14:textId="77777777">
      <w:pPr>
        <w:rPr>
          <w:rFonts w:ascii="Times New Roman" w:hAnsi="Times New Roman"/>
          <w:b/>
          <w:bCs/>
          <w:color w:val="FF0000"/>
          <w:sz w:val="24"/>
          <w:szCs w:val="24"/>
        </w:rPr>
      </w:pPr>
      <w:r w:rsidRPr="006625E7">
        <w:rPr>
          <w:rFonts w:ascii="Times New Roman" w:hAnsi="Times New Roman"/>
          <w:b/>
          <w:bCs/>
          <w:color w:val="FF0000"/>
          <w:sz w:val="24"/>
          <w:szCs w:val="24"/>
        </w:rPr>
        <w:tab/>
      </w:r>
      <w:r w:rsidRPr="006625E7">
        <w:rPr>
          <w:rFonts w:ascii="Times New Roman" w:hAnsi="Times New Roman"/>
          <w:b/>
          <w:bCs/>
          <w:sz w:val="24"/>
          <w:szCs w:val="24"/>
        </w:rPr>
        <w:t xml:space="preserve">a.  Operation and Maintenance and purchase of services component.  These </w:t>
      </w:r>
      <w:r w:rsidRPr="006625E7">
        <w:rPr>
          <w:rFonts w:ascii="Times New Roman" w:hAnsi="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884FB6" w:rsidP="00562915" w:rsidRDefault="00562915" w14:paraId="34318348" w14:textId="77777777">
      <w:pPr>
        <w:rPr>
          <w:rFonts w:ascii="Times New Roman" w:hAnsi="Times New Roman"/>
          <w:b/>
          <w:bCs/>
          <w:sz w:val="24"/>
          <w:szCs w:val="24"/>
        </w:rPr>
      </w:pPr>
      <w:r w:rsidRPr="006625E7">
        <w:rPr>
          <w:rFonts w:ascii="Times New Roman" w:hAnsi="Times New Roman"/>
          <w:b/>
          <w:bCs/>
          <w:color w:val="FF0000"/>
          <w:sz w:val="24"/>
          <w:szCs w:val="24"/>
        </w:rPr>
        <w:tab/>
      </w:r>
      <w:r w:rsidRPr="006625E7">
        <w:rPr>
          <w:rFonts w:ascii="Times New Roman" w:hAnsi="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b/>
          <w:bCs/>
          <w:sz w:val="24"/>
          <w:szCs w:val="24"/>
        </w:rPr>
        <w:t xml:space="preserve"> </w:t>
      </w:r>
      <w:r w:rsidRPr="006625E7">
        <w:rPr>
          <w:rFonts w:ascii="Times New Roman" w:hAnsi="Times New Roman"/>
          <w:b/>
          <w:bCs/>
          <w:sz w:val="24"/>
          <w:szCs w:val="24"/>
        </w:rPr>
        <w:t xml:space="preserve">software, monitoring sampling, drilling and testing equipment, and record storage facilities. </w:t>
      </w:r>
    </w:p>
    <w:p w:rsidR="00562915" w:rsidP="00562915" w:rsidRDefault="00884FB6" w14:paraId="6A86406D" w14:textId="77777777">
      <w:pPr>
        <w:rPr>
          <w:rFonts w:ascii="Times New Roman" w:hAnsi="Times New Roman"/>
          <w:bCs/>
          <w:sz w:val="24"/>
          <w:szCs w:val="24"/>
        </w:rPr>
      </w:pPr>
      <w:r w:rsidRPr="00884FB6">
        <w:rPr>
          <w:rFonts w:ascii="Times New Roman" w:hAnsi="Times New Roman"/>
          <w:bCs/>
          <w:sz w:val="24"/>
          <w:szCs w:val="24"/>
        </w:rPr>
        <w:t>There are no record keeping, capital, start-up or maintenance costs associated with this information collection.</w:t>
      </w:r>
    </w:p>
    <w:p w:rsidR="006E6E57" w:rsidP="00562915" w:rsidRDefault="006E6E57" w14:paraId="3B6280EF" w14:textId="77777777">
      <w:pPr>
        <w:rPr>
          <w:rFonts w:ascii="Times New Roman" w:hAnsi="Times New Roman"/>
          <w:bCs/>
          <w:sz w:val="24"/>
          <w:szCs w:val="24"/>
        </w:rPr>
      </w:pPr>
    </w:p>
    <w:p w:rsidR="00562915" w:rsidP="006625E7" w:rsidRDefault="00562915" w14:paraId="4CF91F33" w14:textId="77777777">
      <w:pPr>
        <w:rPr>
          <w:rFonts w:ascii="Times New Roman" w:hAnsi="Times New Roman"/>
          <w:b/>
          <w:bCs/>
          <w:sz w:val="24"/>
          <w:szCs w:val="24"/>
        </w:rPr>
      </w:pPr>
      <w:r w:rsidRPr="006625E7">
        <w:rPr>
          <w:rFonts w:ascii="Times New Roman" w:hAnsi="Times New Roman"/>
          <w:b/>
          <w:bCs/>
          <w:sz w:val="24"/>
          <w:szCs w:val="24"/>
        </w:rPr>
        <w:lastRenderedPageBreak/>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Style w:val="TableGrid2"/>
        <w:tblW w:w="0" w:type="auto"/>
        <w:tblLook w:val="04A0" w:firstRow="1" w:lastRow="0" w:firstColumn="1" w:lastColumn="0" w:noHBand="0" w:noVBand="1"/>
      </w:tblPr>
      <w:tblGrid>
        <w:gridCol w:w="6752"/>
        <w:gridCol w:w="1878"/>
      </w:tblGrid>
      <w:tr w:rsidRPr="00915C50" w:rsidR="00915C50" w:rsidTr="005A5EB6" w14:paraId="100CC62F" w14:textId="77777777">
        <w:tc>
          <w:tcPr>
            <w:tcW w:w="9350" w:type="dxa"/>
            <w:gridSpan w:val="2"/>
          </w:tcPr>
          <w:p w:rsidRPr="00915C50" w:rsidR="00915C50" w:rsidP="00915C50" w:rsidRDefault="00915C50" w14:paraId="7C8EDEF8" w14:textId="77777777">
            <w:pPr>
              <w:spacing w:after="0" w:line="240" w:lineRule="auto"/>
              <w:jc w:val="center"/>
              <w:rPr>
                <w:rFonts w:ascii="Times New Roman" w:hAnsi="Times New Roman"/>
                <w:b/>
                <w:sz w:val="20"/>
                <w:szCs w:val="20"/>
              </w:rPr>
            </w:pPr>
            <w:r w:rsidRPr="00915C50">
              <w:rPr>
                <w:rFonts w:ascii="Times New Roman" w:hAnsi="Times New Roman"/>
                <w:b/>
                <w:sz w:val="20"/>
                <w:szCs w:val="20"/>
              </w:rPr>
              <w:t>Annual Cost to the Federal Government</w:t>
            </w:r>
          </w:p>
        </w:tc>
      </w:tr>
      <w:tr w:rsidRPr="00915C50" w:rsidR="00915C50" w:rsidTr="005A5EB6" w14:paraId="2A8E61B6" w14:textId="77777777">
        <w:tc>
          <w:tcPr>
            <w:tcW w:w="7375" w:type="dxa"/>
            <w:shd w:val="clear" w:color="auto" w:fill="8EAADB"/>
          </w:tcPr>
          <w:p w:rsidRPr="00915C50" w:rsidR="00915C50" w:rsidP="00915C50" w:rsidRDefault="00915C50" w14:paraId="551BB6BD" w14:textId="77777777">
            <w:pPr>
              <w:spacing w:after="0" w:line="240" w:lineRule="auto"/>
              <w:jc w:val="center"/>
              <w:rPr>
                <w:rFonts w:ascii="Times New Roman" w:hAnsi="Times New Roman"/>
                <w:sz w:val="20"/>
                <w:szCs w:val="20"/>
              </w:rPr>
            </w:pPr>
            <w:r w:rsidRPr="00915C50">
              <w:rPr>
                <w:rFonts w:ascii="Times New Roman" w:hAnsi="Times New Roman"/>
                <w:sz w:val="20"/>
                <w:szCs w:val="20"/>
              </w:rPr>
              <w:t>Item</w:t>
            </w:r>
          </w:p>
        </w:tc>
        <w:tc>
          <w:tcPr>
            <w:tcW w:w="1975" w:type="dxa"/>
            <w:shd w:val="clear" w:color="auto" w:fill="8EAADB"/>
          </w:tcPr>
          <w:p w:rsidRPr="00915C50" w:rsidR="00915C50" w:rsidP="00915C50" w:rsidRDefault="00915C50" w14:paraId="233E5D4F" w14:textId="77777777">
            <w:pPr>
              <w:spacing w:after="0" w:line="240" w:lineRule="auto"/>
              <w:jc w:val="center"/>
              <w:rPr>
                <w:rFonts w:ascii="Times New Roman" w:hAnsi="Times New Roman"/>
                <w:sz w:val="20"/>
                <w:szCs w:val="20"/>
              </w:rPr>
            </w:pPr>
            <w:r w:rsidRPr="00915C50">
              <w:rPr>
                <w:rFonts w:ascii="Times New Roman" w:hAnsi="Times New Roman"/>
                <w:sz w:val="20"/>
                <w:szCs w:val="20"/>
              </w:rPr>
              <w:t>Cost ($)</w:t>
            </w:r>
          </w:p>
        </w:tc>
      </w:tr>
      <w:tr w:rsidRPr="00915C50" w:rsidR="00915C50" w:rsidTr="005A5EB6" w14:paraId="05DBCAD2" w14:textId="77777777">
        <w:tc>
          <w:tcPr>
            <w:tcW w:w="7375" w:type="dxa"/>
          </w:tcPr>
          <w:p w:rsidRPr="00915C50" w:rsidR="00915C50" w:rsidP="00915C50" w:rsidRDefault="00915C50" w14:paraId="33475DEE" w14:textId="77777777">
            <w:pPr>
              <w:spacing w:after="0" w:line="240" w:lineRule="auto"/>
              <w:rPr>
                <w:rFonts w:ascii="Times New Roman" w:hAnsi="Times New Roman"/>
                <w:sz w:val="20"/>
                <w:szCs w:val="20"/>
              </w:rPr>
            </w:pPr>
            <w:r w:rsidRPr="00915C50">
              <w:rPr>
                <w:rFonts w:ascii="Times New Roman" w:hAnsi="Times New Roman"/>
                <w:sz w:val="20"/>
                <w:szCs w:val="20"/>
              </w:rPr>
              <w:t>Contract Costs [Describe]</w:t>
            </w:r>
          </w:p>
        </w:tc>
        <w:tc>
          <w:tcPr>
            <w:tcW w:w="1975" w:type="dxa"/>
            <w:vAlign w:val="center"/>
          </w:tcPr>
          <w:p w:rsidRPr="00915C50" w:rsidR="00915C50" w:rsidP="00915C50" w:rsidRDefault="00915C50" w14:paraId="53EB52FE" w14:textId="77777777">
            <w:pPr>
              <w:spacing w:after="0" w:line="240" w:lineRule="auto"/>
              <w:jc w:val="right"/>
              <w:rPr>
                <w:rFonts w:ascii="Times New Roman" w:hAnsi="Times New Roman"/>
                <w:sz w:val="20"/>
                <w:szCs w:val="20"/>
              </w:rPr>
            </w:pPr>
            <w:r w:rsidRPr="00915C50">
              <w:rPr>
                <w:rFonts w:ascii="Times New Roman" w:hAnsi="Times New Roman"/>
                <w:sz w:val="20"/>
                <w:szCs w:val="20"/>
              </w:rPr>
              <w:t>$0</w:t>
            </w:r>
          </w:p>
        </w:tc>
      </w:tr>
      <w:tr w:rsidRPr="00915C50" w:rsidR="00915C50" w:rsidTr="005A5EB6" w14:paraId="4F68559B" w14:textId="77777777">
        <w:tc>
          <w:tcPr>
            <w:tcW w:w="7375" w:type="dxa"/>
          </w:tcPr>
          <w:p w:rsidRPr="00915C50" w:rsidR="00915C50" w:rsidP="00915C50" w:rsidRDefault="00915C50" w14:paraId="5C008705" w14:textId="73B5E490">
            <w:pPr>
              <w:spacing w:after="0" w:line="240" w:lineRule="auto"/>
              <w:rPr>
                <w:rFonts w:ascii="Times New Roman" w:hAnsi="Times New Roman"/>
                <w:sz w:val="20"/>
                <w:szCs w:val="20"/>
              </w:rPr>
            </w:pPr>
            <w:r w:rsidRPr="00915C50">
              <w:rPr>
                <w:rFonts w:ascii="Times New Roman" w:hAnsi="Times New Roman"/>
                <w:sz w:val="20"/>
                <w:szCs w:val="20"/>
              </w:rPr>
              <w:t>Staff Salaries</w:t>
            </w:r>
            <w:r w:rsidRPr="00915C50">
              <w:rPr>
                <w:rFonts w:ascii="Times New Roman" w:hAnsi="Times New Roman"/>
                <w:sz w:val="20"/>
                <w:szCs w:val="20"/>
                <w:vertAlign w:val="superscript"/>
              </w:rPr>
              <w:t>1</w:t>
            </w:r>
            <w:r w:rsidRPr="00915C50">
              <w:rPr>
                <w:rFonts w:ascii="Times New Roman" w:hAnsi="Times New Roman"/>
                <w:sz w:val="20"/>
                <w:szCs w:val="20"/>
              </w:rPr>
              <w:t xml:space="preserve"> </w:t>
            </w:r>
            <w:r>
              <w:rPr>
                <w:rFonts w:ascii="Times New Roman" w:hAnsi="Times New Roman"/>
                <w:sz w:val="20"/>
                <w:szCs w:val="20"/>
              </w:rPr>
              <w:t>30</w:t>
            </w:r>
            <w:r w:rsidRPr="00915C50">
              <w:rPr>
                <w:rFonts w:ascii="Times New Roman" w:hAnsi="Times New Roman"/>
                <w:sz w:val="20"/>
                <w:szCs w:val="20"/>
              </w:rPr>
              <w:t xml:space="preserve"> of GS </w:t>
            </w:r>
            <w:r>
              <w:rPr>
                <w:rFonts w:ascii="Times New Roman" w:hAnsi="Times New Roman"/>
                <w:sz w:val="20"/>
                <w:szCs w:val="20"/>
              </w:rPr>
              <w:t>12</w:t>
            </w:r>
            <w:r w:rsidRPr="00915C50">
              <w:rPr>
                <w:rFonts w:ascii="Times New Roman" w:hAnsi="Times New Roman"/>
                <w:sz w:val="20"/>
                <w:szCs w:val="20"/>
              </w:rPr>
              <w:t xml:space="preserve"> Step 5 employees spending approximately 5% of time annually inputting data collected into the Physical Access Control System for the data collection. (</w:t>
            </w:r>
            <w:r>
              <w:rPr>
                <w:rFonts w:ascii="Times New Roman" w:hAnsi="Times New Roman"/>
                <w:sz w:val="20"/>
                <w:szCs w:val="20"/>
              </w:rPr>
              <w:t>30</w:t>
            </w:r>
            <w:r w:rsidRPr="00915C50">
              <w:rPr>
                <w:rFonts w:ascii="Times New Roman" w:hAnsi="Times New Roman"/>
                <w:sz w:val="20"/>
                <w:szCs w:val="20"/>
              </w:rPr>
              <w:t xml:space="preserve"> x $</w:t>
            </w:r>
            <w:r>
              <w:rPr>
                <w:rFonts w:ascii="Times New Roman" w:hAnsi="Times New Roman"/>
                <w:sz w:val="20"/>
                <w:szCs w:val="20"/>
              </w:rPr>
              <w:t>97,848</w:t>
            </w:r>
            <w:r w:rsidRPr="00915C50">
              <w:rPr>
                <w:rFonts w:ascii="Times New Roman" w:hAnsi="Times New Roman"/>
                <w:sz w:val="20"/>
                <w:szCs w:val="20"/>
              </w:rPr>
              <w:t xml:space="preserve"> x 1.46</w:t>
            </w:r>
            <w:r w:rsidRPr="00915C50">
              <w:rPr>
                <w:rFonts w:ascii="Times New Roman" w:hAnsi="Times New Roman"/>
                <w:sz w:val="20"/>
                <w:szCs w:val="20"/>
                <w:vertAlign w:val="superscript"/>
              </w:rPr>
              <w:t>2</w:t>
            </w:r>
            <w:r w:rsidRPr="00915C50">
              <w:rPr>
                <w:rFonts w:ascii="Times New Roman" w:hAnsi="Times New Roman"/>
                <w:sz w:val="20"/>
                <w:szCs w:val="20"/>
              </w:rPr>
              <w:t xml:space="preserve"> = $)</w:t>
            </w:r>
          </w:p>
        </w:tc>
        <w:tc>
          <w:tcPr>
            <w:tcW w:w="1975" w:type="dxa"/>
            <w:vAlign w:val="center"/>
          </w:tcPr>
          <w:p w:rsidRPr="00915C50" w:rsidR="00915C50" w:rsidP="00915C50" w:rsidRDefault="00915C50" w14:paraId="1B48B584" w14:textId="322A373F">
            <w:pPr>
              <w:spacing w:after="0" w:line="240" w:lineRule="auto"/>
              <w:jc w:val="right"/>
              <w:rPr>
                <w:rFonts w:ascii="Times New Roman" w:hAnsi="Times New Roman"/>
                <w:sz w:val="20"/>
                <w:szCs w:val="20"/>
              </w:rPr>
            </w:pPr>
            <w:r w:rsidRPr="00915C50">
              <w:rPr>
                <w:rFonts w:ascii="Times New Roman" w:hAnsi="Times New Roman"/>
                <w:sz w:val="20"/>
                <w:szCs w:val="20"/>
              </w:rPr>
              <w:t>$</w:t>
            </w:r>
            <w:r>
              <w:rPr>
                <w:rFonts w:ascii="Times New Roman" w:hAnsi="Times New Roman"/>
                <w:sz w:val="20"/>
                <w:szCs w:val="20"/>
              </w:rPr>
              <w:t>4,285,742</w:t>
            </w:r>
          </w:p>
        </w:tc>
      </w:tr>
      <w:tr w:rsidRPr="00915C50" w:rsidR="00915C50" w:rsidTr="005A5EB6" w14:paraId="1D3F9DF5" w14:textId="77777777">
        <w:tc>
          <w:tcPr>
            <w:tcW w:w="7375" w:type="dxa"/>
          </w:tcPr>
          <w:p w:rsidRPr="00915C50" w:rsidR="00915C50" w:rsidP="00915C50" w:rsidRDefault="00915C50" w14:paraId="70A8EE2D" w14:textId="77777777">
            <w:pPr>
              <w:spacing w:after="0" w:line="240" w:lineRule="auto"/>
              <w:rPr>
                <w:rFonts w:ascii="Times New Roman" w:hAnsi="Times New Roman"/>
                <w:sz w:val="20"/>
                <w:szCs w:val="20"/>
              </w:rPr>
            </w:pPr>
            <w:r w:rsidRPr="00915C50">
              <w:rPr>
                <w:rFonts w:ascii="Times New Roman" w:hAnsi="Times New Roman"/>
                <w:sz w:val="20"/>
                <w:szCs w:val="20"/>
              </w:rPr>
              <w:t>Facilities [cost for renting, overhead, etc. for data collection activity]</w:t>
            </w:r>
          </w:p>
        </w:tc>
        <w:tc>
          <w:tcPr>
            <w:tcW w:w="1975" w:type="dxa"/>
            <w:vAlign w:val="center"/>
          </w:tcPr>
          <w:p w:rsidRPr="00915C50" w:rsidR="00915C50" w:rsidP="00915C50" w:rsidRDefault="00915C50" w14:paraId="1BC63082" w14:textId="77777777">
            <w:pPr>
              <w:spacing w:after="0" w:line="240" w:lineRule="auto"/>
              <w:jc w:val="right"/>
              <w:rPr>
                <w:rFonts w:ascii="Times New Roman" w:hAnsi="Times New Roman"/>
                <w:sz w:val="20"/>
                <w:szCs w:val="20"/>
              </w:rPr>
            </w:pPr>
            <w:r w:rsidRPr="00915C50">
              <w:rPr>
                <w:rFonts w:ascii="Times New Roman" w:hAnsi="Times New Roman"/>
                <w:sz w:val="20"/>
                <w:szCs w:val="20"/>
              </w:rPr>
              <w:t>$0</w:t>
            </w:r>
          </w:p>
        </w:tc>
      </w:tr>
      <w:tr w:rsidRPr="00915C50" w:rsidR="00915C50" w:rsidTr="005A5EB6" w14:paraId="39C8D317" w14:textId="77777777">
        <w:tc>
          <w:tcPr>
            <w:tcW w:w="7375" w:type="dxa"/>
          </w:tcPr>
          <w:p w:rsidRPr="00915C50" w:rsidR="00915C50" w:rsidP="00915C50" w:rsidRDefault="00915C50" w14:paraId="2C9B725B" w14:textId="77777777">
            <w:pPr>
              <w:spacing w:after="0" w:line="240" w:lineRule="auto"/>
              <w:rPr>
                <w:rFonts w:ascii="Times New Roman" w:hAnsi="Times New Roman"/>
                <w:sz w:val="20"/>
                <w:szCs w:val="20"/>
              </w:rPr>
            </w:pPr>
            <w:r w:rsidRPr="00915C50">
              <w:rPr>
                <w:rFonts w:ascii="Times New Roman" w:hAnsi="Times New Roman"/>
                <w:sz w:val="20"/>
                <w:szCs w:val="20"/>
              </w:rPr>
              <w:t>Computer Hardware and Software [cost of equipment annual lifecycle]</w:t>
            </w:r>
          </w:p>
        </w:tc>
        <w:tc>
          <w:tcPr>
            <w:tcW w:w="1975" w:type="dxa"/>
            <w:vAlign w:val="center"/>
          </w:tcPr>
          <w:p w:rsidRPr="00915C50" w:rsidR="00915C50" w:rsidP="00915C50" w:rsidRDefault="00915C50" w14:paraId="627EE94B" w14:textId="77777777">
            <w:pPr>
              <w:spacing w:after="0" w:line="240" w:lineRule="auto"/>
              <w:jc w:val="right"/>
              <w:rPr>
                <w:rFonts w:ascii="Times New Roman" w:hAnsi="Times New Roman"/>
                <w:sz w:val="20"/>
                <w:szCs w:val="20"/>
              </w:rPr>
            </w:pPr>
            <w:r w:rsidRPr="00915C50">
              <w:rPr>
                <w:rFonts w:ascii="Times New Roman" w:hAnsi="Times New Roman"/>
                <w:sz w:val="20"/>
                <w:szCs w:val="20"/>
              </w:rPr>
              <w:t>$0</w:t>
            </w:r>
          </w:p>
        </w:tc>
      </w:tr>
      <w:tr w:rsidRPr="00915C50" w:rsidR="00915C50" w:rsidTr="005A5EB6" w14:paraId="4CB04647" w14:textId="77777777">
        <w:tc>
          <w:tcPr>
            <w:tcW w:w="7375" w:type="dxa"/>
          </w:tcPr>
          <w:p w:rsidRPr="00915C50" w:rsidR="00915C50" w:rsidP="00915C50" w:rsidRDefault="00915C50" w14:paraId="6856E1F5" w14:textId="77777777">
            <w:pPr>
              <w:spacing w:after="0" w:line="240" w:lineRule="auto"/>
              <w:rPr>
                <w:rFonts w:ascii="Times New Roman" w:hAnsi="Times New Roman"/>
                <w:sz w:val="20"/>
                <w:szCs w:val="20"/>
              </w:rPr>
            </w:pPr>
            <w:r w:rsidRPr="00915C50">
              <w:rPr>
                <w:rFonts w:ascii="Times New Roman" w:hAnsi="Times New Roman"/>
                <w:sz w:val="20"/>
                <w:szCs w:val="20"/>
              </w:rPr>
              <w:t>Equipment Maintenance [cost of annual maintenance/service agreements for equipment]</w:t>
            </w:r>
          </w:p>
        </w:tc>
        <w:tc>
          <w:tcPr>
            <w:tcW w:w="1975" w:type="dxa"/>
            <w:vAlign w:val="center"/>
          </w:tcPr>
          <w:p w:rsidRPr="00915C50" w:rsidR="00915C50" w:rsidP="00915C50" w:rsidRDefault="00915C50" w14:paraId="68277494" w14:textId="77777777">
            <w:pPr>
              <w:spacing w:after="0" w:line="240" w:lineRule="auto"/>
              <w:jc w:val="right"/>
              <w:rPr>
                <w:rFonts w:ascii="Times New Roman" w:hAnsi="Times New Roman"/>
                <w:sz w:val="20"/>
                <w:szCs w:val="20"/>
              </w:rPr>
            </w:pPr>
            <w:r w:rsidRPr="00915C50">
              <w:rPr>
                <w:rFonts w:ascii="Times New Roman" w:hAnsi="Times New Roman"/>
                <w:sz w:val="20"/>
                <w:szCs w:val="20"/>
              </w:rPr>
              <w:t>$0</w:t>
            </w:r>
          </w:p>
        </w:tc>
      </w:tr>
      <w:tr w:rsidRPr="00915C50" w:rsidR="00915C50" w:rsidTr="005A5EB6" w14:paraId="428FB5D0" w14:textId="77777777">
        <w:tc>
          <w:tcPr>
            <w:tcW w:w="7375" w:type="dxa"/>
          </w:tcPr>
          <w:p w:rsidRPr="00915C50" w:rsidR="00915C50" w:rsidP="00915C50" w:rsidRDefault="00915C50" w14:paraId="2184FCF1" w14:textId="1F10E6A8">
            <w:pPr>
              <w:spacing w:after="0" w:line="240" w:lineRule="auto"/>
              <w:rPr>
                <w:rFonts w:ascii="Times New Roman" w:hAnsi="Times New Roman"/>
                <w:sz w:val="20"/>
                <w:szCs w:val="20"/>
              </w:rPr>
            </w:pPr>
            <w:r w:rsidRPr="00915C50">
              <w:rPr>
                <w:rFonts w:ascii="Times New Roman" w:hAnsi="Times New Roman"/>
                <w:sz w:val="20"/>
                <w:szCs w:val="20"/>
              </w:rPr>
              <w:t>Travel</w:t>
            </w:r>
            <w:r>
              <w:rPr>
                <w:rFonts w:ascii="Times New Roman" w:hAnsi="Times New Roman"/>
                <w:sz w:val="20"/>
                <w:szCs w:val="20"/>
              </w:rPr>
              <w:t>: 30 staff, 100 reviews each, $750 per review, which includes airfare, per diem, and two nights lodging.</w:t>
            </w:r>
          </w:p>
        </w:tc>
        <w:tc>
          <w:tcPr>
            <w:tcW w:w="1975" w:type="dxa"/>
            <w:vAlign w:val="center"/>
          </w:tcPr>
          <w:p w:rsidRPr="00915C50" w:rsidR="00915C50" w:rsidP="00915C50" w:rsidRDefault="00915C50" w14:paraId="05E879A7" w14:textId="222BE5AA">
            <w:pPr>
              <w:spacing w:after="0" w:line="240" w:lineRule="auto"/>
              <w:jc w:val="right"/>
              <w:rPr>
                <w:rFonts w:ascii="Times New Roman" w:hAnsi="Times New Roman"/>
                <w:sz w:val="20"/>
                <w:szCs w:val="20"/>
              </w:rPr>
            </w:pPr>
            <w:r w:rsidRPr="00915C50">
              <w:rPr>
                <w:rFonts w:ascii="Times New Roman" w:hAnsi="Times New Roman"/>
                <w:sz w:val="20"/>
                <w:szCs w:val="20"/>
              </w:rPr>
              <w:t>$</w:t>
            </w:r>
            <w:r>
              <w:rPr>
                <w:rFonts w:ascii="Times New Roman" w:hAnsi="Times New Roman"/>
                <w:sz w:val="20"/>
                <w:szCs w:val="20"/>
              </w:rPr>
              <w:t>2,250,000</w:t>
            </w:r>
          </w:p>
        </w:tc>
      </w:tr>
      <w:tr w:rsidRPr="00915C50" w:rsidR="00915C50" w:rsidTr="005A5EB6" w14:paraId="20D7715F" w14:textId="77777777">
        <w:tc>
          <w:tcPr>
            <w:tcW w:w="7375" w:type="dxa"/>
          </w:tcPr>
          <w:p w:rsidRPr="00915C50" w:rsidR="00915C50" w:rsidP="00915C50" w:rsidRDefault="00915C50" w14:paraId="1E3EC49B" w14:textId="77777777">
            <w:pPr>
              <w:spacing w:after="0" w:line="240" w:lineRule="auto"/>
              <w:rPr>
                <w:rFonts w:ascii="Times New Roman" w:hAnsi="Times New Roman"/>
                <w:b/>
                <w:sz w:val="20"/>
                <w:szCs w:val="20"/>
              </w:rPr>
            </w:pPr>
            <w:r w:rsidRPr="00915C50">
              <w:rPr>
                <w:rFonts w:ascii="Times New Roman" w:hAnsi="Times New Roman"/>
                <w:b/>
                <w:sz w:val="20"/>
                <w:szCs w:val="20"/>
              </w:rPr>
              <w:t>Total</w:t>
            </w:r>
          </w:p>
        </w:tc>
        <w:tc>
          <w:tcPr>
            <w:tcW w:w="1975" w:type="dxa"/>
            <w:vAlign w:val="center"/>
          </w:tcPr>
          <w:p w:rsidRPr="00915C50" w:rsidR="00915C50" w:rsidP="00915C50" w:rsidRDefault="00915C50" w14:paraId="69093231" w14:textId="5F70E2E8">
            <w:pPr>
              <w:spacing w:after="0" w:line="240" w:lineRule="auto"/>
              <w:jc w:val="right"/>
              <w:rPr>
                <w:rFonts w:ascii="Times New Roman" w:hAnsi="Times New Roman"/>
                <w:sz w:val="20"/>
                <w:szCs w:val="20"/>
              </w:rPr>
            </w:pPr>
            <w:r w:rsidRPr="00915C50">
              <w:rPr>
                <w:rFonts w:ascii="Times New Roman" w:hAnsi="Times New Roman"/>
                <w:sz w:val="20"/>
                <w:szCs w:val="20"/>
              </w:rPr>
              <w:t>$</w:t>
            </w:r>
            <w:r>
              <w:rPr>
                <w:rFonts w:ascii="Times New Roman" w:hAnsi="Times New Roman"/>
                <w:sz w:val="20"/>
                <w:szCs w:val="20"/>
              </w:rPr>
              <w:t>6,535,742</w:t>
            </w:r>
          </w:p>
        </w:tc>
      </w:tr>
      <w:tr w:rsidRPr="00915C50" w:rsidR="00915C50" w:rsidTr="005A5EB6" w14:paraId="2E99009B" w14:textId="77777777">
        <w:tc>
          <w:tcPr>
            <w:tcW w:w="9350" w:type="dxa"/>
            <w:gridSpan w:val="2"/>
          </w:tcPr>
          <w:p w:rsidRPr="00915C50" w:rsidR="00915C50" w:rsidP="00915C50" w:rsidRDefault="00915C50" w14:paraId="04250EC0" w14:textId="651DD0FB">
            <w:pPr>
              <w:spacing w:after="0" w:line="240" w:lineRule="auto"/>
              <w:rPr>
                <w:rFonts w:ascii="Times New Roman" w:hAnsi="Times New Roman"/>
                <w:sz w:val="20"/>
                <w:szCs w:val="20"/>
              </w:rPr>
            </w:pPr>
            <w:r w:rsidRPr="00915C50">
              <w:rPr>
                <w:rFonts w:ascii="Times New Roman" w:hAnsi="Times New Roman"/>
                <w:sz w:val="20"/>
                <w:szCs w:val="20"/>
                <w:vertAlign w:val="superscript"/>
              </w:rPr>
              <w:t>1</w:t>
            </w:r>
            <w:r w:rsidRPr="00915C50">
              <w:rPr>
                <w:rFonts w:ascii="Times New Roman" w:hAnsi="Times New Roman"/>
                <w:sz w:val="20"/>
                <w:szCs w:val="20"/>
              </w:rPr>
              <w:t xml:space="preserve"> Office of Personnel Management 20</w:t>
            </w:r>
            <w:r>
              <w:rPr>
                <w:rFonts w:ascii="Times New Roman" w:hAnsi="Times New Roman"/>
                <w:sz w:val="20"/>
                <w:szCs w:val="20"/>
              </w:rPr>
              <w:t>20</w:t>
            </w:r>
            <w:r w:rsidRPr="00915C50">
              <w:rPr>
                <w:rFonts w:ascii="Times New Roman" w:hAnsi="Times New Roman"/>
                <w:sz w:val="20"/>
                <w:szCs w:val="20"/>
              </w:rPr>
              <w:t xml:space="preserve"> Pay and Leave Tables for the Washington-Baltimore-Arlington, DC-MD-VA-WV-PA locality. Available online at </w:t>
            </w:r>
            <w:hyperlink w:history="1" r:id="rId10">
              <w:r w:rsidRPr="00915C50">
                <w:rPr>
                  <w:rStyle w:val="Hyperlink"/>
                  <w:rFonts w:ascii="Times New Roman" w:hAnsi="Times New Roman"/>
                  <w:sz w:val="20"/>
                  <w:szCs w:val="20"/>
                </w:rPr>
                <w:t>https://www.opm.gov/policy-data-oversight/pay-leave/salaries-wages/salary-tables/20Tables/html/DCB.aspx</w:t>
              </w:r>
              <w:r w:rsidRPr="00B74610">
                <w:rPr>
                  <w:rStyle w:val="Hyperlink"/>
                  <w:rFonts w:ascii="Times New Roman" w:hAnsi="Times New Roman"/>
                  <w:sz w:val="20"/>
                  <w:szCs w:val="20"/>
                </w:rPr>
                <w:t>. Accessed March 30</w:t>
              </w:r>
            </w:hyperlink>
            <w:r>
              <w:rPr>
                <w:rFonts w:ascii="Times New Roman" w:hAnsi="Times New Roman"/>
                <w:sz w:val="20"/>
                <w:szCs w:val="20"/>
              </w:rPr>
              <w:t>, 2020</w:t>
            </w:r>
            <w:r w:rsidRPr="00915C50">
              <w:rPr>
                <w:rFonts w:ascii="Times New Roman" w:hAnsi="Times New Roman"/>
                <w:sz w:val="20"/>
                <w:szCs w:val="20"/>
              </w:rPr>
              <w:t>.</w:t>
            </w:r>
          </w:p>
          <w:p w:rsidRPr="00915C50" w:rsidR="00915C50" w:rsidP="00915C50" w:rsidRDefault="00915C50" w14:paraId="1CB388EF" w14:textId="77777777">
            <w:pPr>
              <w:spacing w:after="0" w:line="240" w:lineRule="auto"/>
              <w:rPr>
                <w:rFonts w:ascii="Times New Roman" w:hAnsi="Times New Roman"/>
                <w:sz w:val="20"/>
                <w:szCs w:val="20"/>
              </w:rPr>
            </w:pPr>
            <w:r w:rsidRPr="00915C50">
              <w:rPr>
                <w:rFonts w:ascii="Times New Roman" w:hAnsi="Times New Roman"/>
                <w:sz w:val="20"/>
                <w:szCs w:val="20"/>
                <w:vertAlign w:val="superscript"/>
              </w:rPr>
              <w:t>2</w:t>
            </w:r>
            <w:r w:rsidRPr="00915C50">
              <w:rPr>
                <w:rFonts w:ascii="Times New Roman" w:hAnsi="Times New Roman"/>
                <w:sz w:val="20"/>
                <w:szCs w:val="20"/>
              </w:rPr>
              <w:t xml:space="preserve"> Wage rate includes a 1.46 multiplier to reflect the fully-loaded wage rate.</w:t>
            </w:r>
          </w:p>
        </w:tc>
      </w:tr>
    </w:tbl>
    <w:p w:rsidR="00113B8D" w:rsidP="006625E7" w:rsidRDefault="00113B8D" w14:paraId="0C2EC138" w14:textId="77777777">
      <w:pPr>
        <w:rPr>
          <w:rFonts w:ascii="Times New Roman" w:hAnsi="Times New Roman"/>
          <w:b/>
          <w:bCs/>
          <w:sz w:val="24"/>
          <w:szCs w:val="24"/>
        </w:rPr>
      </w:pPr>
    </w:p>
    <w:p w:rsidR="00113B8D" w:rsidP="006625E7" w:rsidRDefault="00113B8D" w14:paraId="78B74513" w14:textId="77777777">
      <w:pPr>
        <w:rPr>
          <w:rFonts w:ascii="Times New Roman" w:hAnsi="Times New Roman"/>
          <w:b/>
          <w:bCs/>
          <w:sz w:val="24"/>
          <w:szCs w:val="24"/>
        </w:rPr>
      </w:pPr>
    </w:p>
    <w:p w:rsidR="00447AB1" w:rsidP="00CF2647" w:rsidRDefault="00447AB1" w14:paraId="29E1F1E6" w14:textId="77777777">
      <w:pPr>
        <w:tabs>
          <w:tab w:val="left" w:pos="360"/>
        </w:tabs>
        <w:spacing w:after="0" w:line="240" w:lineRule="auto"/>
        <w:jc w:val="center"/>
        <w:rPr>
          <w:rFonts w:ascii="Times New Roman" w:hAnsi="Times New Roman"/>
          <w:b/>
          <w:bCs/>
          <w:color w:val="000000"/>
          <w:sz w:val="24"/>
          <w:szCs w:val="24"/>
        </w:rPr>
      </w:pPr>
    </w:p>
    <w:p w:rsidRPr="00B058BE" w:rsidR="00CF2647" w:rsidP="00CF2647" w:rsidRDefault="00CF2647" w14:paraId="5C09D21B" w14:textId="2D41F6C4">
      <w:pPr>
        <w:tabs>
          <w:tab w:val="left" w:pos="360"/>
        </w:tabs>
        <w:spacing w:after="0" w:line="240" w:lineRule="auto"/>
        <w:jc w:val="center"/>
        <w:rPr>
          <w:rFonts w:ascii="Times New Roman" w:hAnsi="Times New Roman"/>
          <w:b/>
          <w:bCs/>
          <w:color w:val="000000"/>
          <w:sz w:val="18"/>
          <w:szCs w:val="18"/>
        </w:rPr>
      </w:pPr>
    </w:p>
    <w:tbl>
      <w:tblPr>
        <w:tblW w:w="88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173"/>
      </w:tblGrid>
      <w:tr w:rsidRPr="00B058BE" w:rsidR="00884FB6" w:rsidTr="00CF2647" w14:paraId="44791A65" w14:textId="77777777">
        <w:trPr>
          <w:trHeight w:val="70"/>
        </w:trPr>
        <w:tc>
          <w:tcPr>
            <w:tcW w:w="7680" w:type="dxa"/>
            <w:shd w:val="clear" w:color="auto" w:fill="0070C0"/>
            <w:noWrap/>
            <w:vAlign w:val="center"/>
          </w:tcPr>
          <w:p w:rsidRPr="00B058BE" w:rsidR="00884FB6" w:rsidP="006906A7" w:rsidRDefault="00884FB6" w14:paraId="7FCE2F92" w14:textId="56A49757">
            <w:pPr>
              <w:jc w:val="center"/>
              <w:rPr>
                <w:rFonts w:ascii="Times New Roman" w:hAnsi="Times New Roman"/>
                <w:b/>
                <w:bCs/>
                <w:sz w:val="18"/>
                <w:szCs w:val="18"/>
              </w:rPr>
            </w:pPr>
          </w:p>
        </w:tc>
        <w:tc>
          <w:tcPr>
            <w:tcW w:w="1173" w:type="dxa"/>
            <w:shd w:val="clear" w:color="auto" w:fill="0070C0"/>
            <w:noWrap/>
          </w:tcPr>
          <w:p w:rsidRPr="00B058BE" w:rsidR="00884FB6" w:rsidP="006906A7" w:rsidRDefault="00884FB6" w14:paraId="2403E51C" w14:textId="034ED228">
            <w:pPr>
              <w:jc w:val="center"/>
              <w:rPr>
                <w:rFonts w:ascii="Times New Roman" w:hAnsi="Times New Roman"/>
                <w:b/>
                <w:bCs/>
                <w:sz w:val="18"/>
                <w:szCs w:val="18"/>
              </w:rPr>
            </w:pPr>
          </w:p>
        </w:tc>
      </w:tr>
      <w:tr w:rsidRPr="00B058BE" w:rsidR="00884FB6" w:rsidTr="00CF2647" w14:paraId="5DF6070E" w14:textId="77777777">
        <w:trPr>
          <w:trHeight w:val="495"/>
        </w:trPr>
        <w:tc>
          <w:tcPr>
            <w:tcW w:w="7680" w:type="dxa"/>
          </w:tcPr>
          <w:p w:rsidRPr="00B058BE" w:rsidR="00884FB6" w:rsidP="006906A7" w:rsidRDefault="00884FB6" w14:paraId="74F66982" w14:textId="1EDC8028">
            <w:pPr>
              <w:rPr>
                <w:rFonts w:ascii="Times New Roman" w:hAnsi="Times New Roman"/>
                <w:sz w:val="18"/>
                <w:szCs w:val="18"/>
              </w:rPr>
            </w:pPr>
          </w:p>
        </w:tc>
        <w:tc>
          <w:tcPr>
            <w:tcW w:w="1173" w:type="dxa"/>
          </w:tcPr>
          <w:p w:rsidRPr="00B058BE" w:rsidR="00884FB6" w:rsidP="006906A7" w:rsidRDefault="00884FB6" w14:paraId="2C3A91BF" w14:textId="0C2D341C">
            <w:pPr>
              <w:rPr>
                <w:rFonts w:ascii="Times New Roman" w:hAnsi="Times New Roman"/>
                <w:sz w:val="18"/>
                <w:szCs w:val="18"/>
              </w:rPr>
            </w:pPr>
          </w:p>
        </w:tc>
      </w:tr>
      <w:tr w:rsidRPr="00B058BE" w:rsidR="00884FB6" w:rsidTr="00CF2647" w14:paraId="57A4F662" w14:textId="77777777">
        <w:trPr>
          <w:trHeight w:val="510"/>
        </w:trPr>
        <w:tc>
          <w:tcPr>
            <w:tcW w:w="7680" w:type="dxa"/>
          </w:tcPr>
          <w:p w:rsidRPr="00B058BE" w:rsidR="00884FB6" w:rsidP="002D6A48" w:rsidRDefault="00884FB6" w14:paraId="4279868B" w14:textId="0219ED60">
            <w:pPr>
              <w:rPr>
                <w:rFonts w:ascii="Times New Roman" w:hAnsi="Times New Roman"/>
                <w:sz w:val="18"/>
                <w:szCs w:val="18"/>
              </w:rPr>
            </w:pPr>
          </w:p>
        </w:tc>
        <w:tc>
          <w:tcPr>
            <w:tcW w:w="1173" w:type="dxa"/>
            <w:noWrap/>
          </w:tcPr>
          <w:p w:rsidRPr="00B058BE" w:rsidR="00884FB6" w:rsidP="002D6A48" w:rsidRDefault="00884FB6" w14:paraId="4B2B4FE6" w14:textId="14057E57">
            <w:pPr>
              <w:rPr>
                <w:rFonts w:ascii="Times New Roman" w:hAnsi="Times New Roman"/>
                <w:sz w:val="18"/>
                <w:szCs w:val="18"/>
              </w:rPr>
            </w:pPr>
          </w:p>
        </w:tc>
      </w:tr>
      <w:tr w:rsidRPr="00B058BE" w:rsidR="00884FB6" w:rsidTr="00CF2647" w14:paraId="6A55A3CE" w14:textId="77777777">
        <w:trPr>
          <w:trHeight w:val="270"/>
        </w:trPr>
        <w:tc>
          <w:tcPr>
            <w:tcW w:w="7680" w:type="dxa"/>
            <w:noWrap/>
          </w:tcPr>
          <w:p w:rsidRPr="00B058BE" w:rsidR="00884FB6" w:rsidP="006906A7" w:rsidRDefault="00884FB6" w14:paraId="6E8CE08B" w14:textId="118AC33D">
            <w:pPr>
              <w:rPr>
                <w:rFonts w:ascii="Times New Roman" w:hAnsi="Times New Roman"/>
                <w:sz w:val="18"/>
                <w:szCs w:val="18"/>
              </w:rPr>
            </w:pPr>
          </w:p>
        </w:tc>
        <w:tc>
          <w:tcPr>
            <w:tcW w:w="1173" w:type="dxa"/>
            <w:noWrap/>
          </w:tcPr>
          <w:p w:rsidRPr="00B058BE" w:rsidR="00884FB6" w:rsidP="006906A7" w:rsidRDefault="00884FB6" w14:paraId="2D8F379F" w14:textId="1370B6F5">
            <w:pPr>
              <w:rPr>
                <w:rFonts w:ascii="Times New Roman" w:hAnsi="Times New Roman"/>
                <w:sz w:val="18"/>
                <w:szCs w:val="18"/>
              </w:rPr>
            </w:pPr>
          </w:p>
        </w:tc>
      </w:tr>
      <w:tr w:rsidRPr="00B058BE" w:rsidR="00884FB6" w:rsidTr="00CF2647" w14:paraId="316BC9B5" w14:textId="77777777">
        <w:trPr>
          <w:trHeight w:val="240"/>
        </w:trPr>
        <w:tc>
          <w:tcPr>
            <w:tcW w:w="7680" w:type="dxa"/>
            <w:noWrap/>
          </w:tcPr>
          <w:p w:rsidRPr="00B058BE" w:rsidR="00884FB6" w:rsidP="006906A7" w:rsidRDefault="00884FB6" w14:paraId="7279F5E4" w14:textId="1560EBB9">
            <w:pPr>
              <w:rPr>
                <w:rFonts w:ascii="Times New Roman" w:hAnsi="Times New Roman"/>
                <w:sz w:val="18"/>
                <w:szCs w:val="18"/>
              </w:rPr>
            </w:pPr>
          </w:p>
        </w:tc>
        <w:tc>
          <w:tcPr>
            <w:tcW w:w="1173" w:type="dxa"/>
            <w:noWrap/>
          </w:tcPr>
          <w:p w:rsidRPr="00B058BE" w:rsidR="00884FB6" w:rsidP="006906A7" w:rsidRDefault="00884FB6" w14:paraId="4BDB26C9" w14:textId="423FC34A">
            <w:pPr>
              <w:rPr>
                <w:rFonts w:ascii="Times New Roman" w:hAnsi="Times New Roman"/>
                <w:sz w:val="18"/>
                <w:szCs w:val="18"/>
              </w:rPr>
            </w:pPr>
          </w:p>
        </w:tc>
      </w:tr>
      <w:tr w:rsidRPr="00B058BE" w:rsidR="00884FB6" w:rsidTr="00CF2647" w14:paraId="354BE59A" w14:textId="77777777">
        <w:trPr>
          <w:trHeight w:val="255"/>
        </w:trPr>
        <w:tc>
          <w:tcPr>
            <w:tcW w:w="7680" w:type="dxa"/>
            <w:noWrap/>
          </w:tcPr>
          <w:p w:rsidRPr="00B058BE" w:rsidR="00884FB6" w:rsidP="006906A7" w:rsidRDefault="00884FB6" w14:paraId="0F25F2AF" w14:textId="1C66D750">
            <w:pPr>
              <w:rPr>
                <w:rFonts w:ascii="Times New Roman" w:hAnsi="Times New Roman"/>
                <w:sz w:val="18"/>
                <w:szCs w:val="18"/>
              </w:rPr>
            </w:pPr>
          </w:p>
        </w:tc>
        <w:tc>
          <w:tcPr>
            <w:tcW w:w="1173" w:type="dxa"/>
            <w:noWrap/>
          </w:tcPr>
          <w:p w:rsidRPr="00B058BE" w:rsidR="00884FB6" w:rsidP="006906A7" w:rsidRDefault="00884FB6" w14:paraId="3DDBD374" w14:textId="305EC83E">
            <w:pPr>
              <w:rPr>
                <w:rFonts w:ascii="Times New Roman" w:hAnsi="Times New Roman"/>
                <w:sz w:val="18"/>
                <w:szCs w:val="18"/>
              </w:rPr>
            </w:pPr>
          </w:p>
        </w:tc>
      </w:tr>
      <w:tr w:rsidRPr="00B058BE" w:rsidR="00884FB6" w:rsidTr="00CF2647" w14:paraId="764CB999" w14:textId="77777777">
        <w:trPr>
          <w:trHeight w:val="255"/>
        </w:trPr>
        <w:tc>
          <w:tcPr>
            <w:tcW w:w="7680" w:type="dxa"/>
            <w:noWrap/>
          </w:tcPr>
          <w:p w:rsidRPr="00B058BE" w:rsidR="00884FB6" w:rsidP="006906A7" w:rsidRDefault="00884FB6" w14:paraId="3BB42454" w14:textId="3F34C47F">
            <w:pPr>
              <w:rPr>
                <w:rFonts w:ascii="Times New Roman" w:hAnsi="Times New Roman"/>
                <w:sz w:val="18"/>
                <w:szCs w:val="18"/>
              </w:rPr>
            </w:pPr>
          </w:p>
        </w:tc>
        <w:tc>
          <w:tcPr>
            <w:tcW w:w="1173" w:type="dxa"/>
            <w:noWrap/>
          </w:tcPr>
          <w:p w:rsidRPr="00B058BE" w:rsidR="00884FB6" w:rsidP="006906A7" w:rsidRDefault="00884FB6" w14:paraId="08E28D20" w14:textId="66630B09">
            <w:pPr>
              <w:rPr>
                <w:rFonts w:ascii="Times New Roman" w:hAnsi="Times New Roman"/>
                <w:sz w:val="18"/>
                <w:szCs w:val="18"/>
              </w:rPr>
            </w:pPr>
          </w:p>
        </w:tc>
      </w:tr>
      <w:tr w:rsidRPr="00B058BE" w:rsidR="00884FB6" w:rsidTr="00CF2647" w14:paraId="4CEB27FB" w14:textId="77777777">
        <w:trPr>
          <w:trHeight w:val="255"/>
        </w:trPr>
        <w:tc>
          <w:tcPr>
            <w:tcW w:w="7680" w:type="dxa"/>
            <w:noWrap/>
          </w:tcPr>
          <w:p w:rsidRPr="00B058BE" w:rsidR="00884FB6" w:rsidP="006906A7" w:rsidRDefault="00884FB6" w14:paraId="78790C87" w14:textId="4437FC20">
            <w:pPr>
              <w:rPr>
                <w:rFonts w:ascii="Times New Roman" w:hAnsi="Times New Roman"/>
                <w:sz w:val="18"/>
                <w:szCs w:val="18"/>
              </w:rPr>
            </w:pPr>
          </w:p>
        </w:tc>
        <w:tc>
          <w:tcPr>
            <w:tcW w:w="1173" w:type="dxa"/>
            <w:noWrap/>
          </w:tcPr>
          <w:p w:rsidRPr="00B058BE" w:rsidR="00884FB6" w:rsidP="006906A7" w:rsidRDefault="00884FB6" w14:paraId="56E29140" w14:textId="32D03BE2">
            <w:pPr>
              <w:rPr>
                <w:rFonts w:ascii="Times New Roman" w:hAnsi="Times New Roman"/>
                <w:sz w:val="18"/>
                <w:szCs w:val="18"/>
              </w:rPr>
            </w:pPr>
          </w:p>
        </w:tc>
      </w:tr>
      <w:tr w:rsidRPr="00B058BE" w:rsidR="00884FB6" w:rsidTr="00CF2647" w14:paraId="1A9524E4" w14:textId="77777777">
        <w:trPr>
          <w:trHeight w:val="255"/>
        </w:trPr>
        <w:tc>
          <w:tcPr>
            <w:tcW w:w="7680" w:type="dxa"/>
            <w:noWrap/>
          </w:tcPr>
          <w:p w:rsidRPr="00B058BE" w:rsidR="00884FB6" w:rsidP="006906A7" w:rsidRDefault="00884FB6" w14:paraId="746998F4" w14:textId="067D0076">
            <w:pPr>
              <w:rPr>
                <w:rFonts w:ascii="Times New Roman" w:hAnsi="Times New Roman"/>
                <w:sz w:val="18"/>
                <w:szCs w:val="18"/>
              </w:rPr>
            </w:pPr>
          </w:p>
        </w:tc>
        <w:tc>
          <w:tcPr>
            <w:tcW w:w="1173" w:type="dxa"/>
            <w:noWrap/>
          </w:tcPr>
          <w:p w:rsidRPr="00B058BE" w:rsidR="00884FB6" w:rsidP="006906A7" w:rsidRDefault="00884FB6" w14:paraId="121DC181" w14:textId="0487510A">
            <w:pPr>
              <w:rPr>
                <w:rFonts w:ascii="Times New Roman" w:hAnsi="Times New Roman"/>
                <w:sz w:val="18"/>
                <w:szCs w:val="18"/>
              </w:rPr>
            </w:pPr>
          </w:p>
        </w:tc>
      </w:tr>
      <w:tr w:rsidRPr="00B058BE" w:rsidR="00884FB6" w:rsidTr="00CF2647" w14:paraId="272E0D16" w14:textId="77777777">
        <w:trPr>
          <w:trHeight w:val="255"/>
        </w:trPr>
        <w:tc>
          <w:tcPr>
            <w:tcW w:w="7680" w:type="dxa"/>
            <w:noWrap/>
          </w:tcPr>
          <w:p w:rsidRPr="00B058BE" w:rsidR="00884FB6" w:rsidP="006906A7" w:rsidRDefault="00884FB6" w14:paraId="66B50D0D" w14:textId="563C9984">
            <w:pPr>
              <w:rPr>
                <w:rFonts w:ascii="Times New Roman" w:hAnsi="Times New Roman"/>
                <w:sz w:val="18"/>
                <w:szCs w:val="18"/>
              </w:rPr>
            </w:pPr>
          </w:p>
        </w:tc>
        <w:tc>
          <w:tcPr>
            <w:tcW w:w="1173" w:type="dxa"/>
            <w:noWrap/>
          </w:tcPr>
          <w:p w:rsidRPr="00B058BE" w:rsidR="00884FB6" w:rsidP="006906A7" w:rsidRDefault="00884FB6" w14:paraId="4AC29DD7" w14:textId="6DDA2F39">
            <w:pPr>
              <w:rPr>
                <w:rFonts w:ascii="Times New Roman" w:hAnsi="Times New Roman"/>
                <w:sz w:val="18"/>
                <w:szCs w:val="18"/>
              </w:rPr>
            </w:pPr>
          </w:p>
        </w:tc>
      </w:tr>
      <w:tr w:rsidRPr="00B058BE" w:rsidR="00884FB6" w:rsidTr="00CF2647" w14:paraId="4A70DCD1" w14:textId="77777777">
        <w:trPr>
          <w:trHeight w:val="270"/>
        </w:trPr>
        <w:tc>
          <w:tcPr>
            <w:tcW w:w="7680" w:type="dxa"/>
            <w:noWrap/>
          </w:tcPr>
          <w:p w:rsidRPr="00B058BE" w:rsidR="00884FB6" w:rsidP="006906A7" w:rsidRDefault="00884FB6" w14:paraId="2CB8BF83" w14:textId="6652887A">
            <w:pPr>
              <w:rPr>
                <w:rFonts w:ascii="Times New Roman" w:hAnsi="Times New Roman"/>
                <w:b/>
                <w:bCs/>
                <w:sz w:val="18"/>
                <w:szCs w:val="18"/>
              </w:rPr>
            </w:pPr>
          </w:p>
        </w:tc>
        <w:tc>
          <w:tcPr>
            <w:tcW w:w="1173" w:type="dxa"/>
            <w:noWrap/>
          </w:tcPr>
          <w:p w:rsidRPr="00B058BE" w:rsidR="00884FB6" w:rsidP="002D6A48" w:rsidRDefault="00884FB6" w14:paraId="4697D91C" w14:textId="567720F5">
            <w:pPr>
              <w:rPr>
                <w:rFonts w:ascii="Times New Roman" w:hAnsi="Times New Roman"/>
                <w:b/>
                <w:bCs/>
                <w:sz w:val="18"/>
                <w:szCs w:val="18"/>
              </w:rPr>
            </w:pPr>
          </w:p>
        </w:tc>
      </w:tr>
    </w:tbl>
    <w:p w:rsidRPr="00113B8D" w:rsidR="00884FB6" w:rsidP="00884FB6" w:rsidRDefault="00884FB6" w14:paraId="6F6A4559" w14:textId="77777777">
      <w:pPr>
        <w:rPr>
          <w:rFonts w:ascii="Times New Roman" w:hAnsi="Times New Roman"/>
          <w:b/>
          <w:sz w:val="24"/>
          <w:szCs w:val="24"/>
        </w:rPr>
      </w:pPr>
      <w:r w:rsidRPr="00113B8D">
        <w:rPr>
          <w:rFonts w:ascii="Times New Roman" w:hAnsi="Times New Roman"/>
          <w:b/>
          <w:sz w:val="24"/>
          <w:szCs w:val="24"/>
        </w:rPr>
        <w:lastRenderedPageBreak/>
        <w:t>Explanation:</w:t>
      </w:r>
    </w:p>
    <w:p w:rsidRPr="00884FB6" w:rsidR="00884FB6" w:rsidP="00884FB6" w:rsidRDefault="00884FB6" w14:paraId="5AF36D4D" w14:textId="4F8B5CB4">
      <w:pPr>
        <w:rPr>
          <w:rFonts w:ascii="Times New Roman" w:hAnsi="Times New Roman"/>
          <w:sz w:val="24"/>
          <w:szCs w:val="24"/>
        </w:rPr>
      </w:pPr>
      <w:r w:rsidRPr="00884FB6">
        <w:rPr>
          <w:rFonts w:ascii="Times New Roman" w:hAnsi="Times New Roman"/>
          <w:sz w:val="24"/>
          <w:szCs w:val="24"/>
        </w:rPr>
        <w:t xml:space="preserve">If FEMA did not collect this information via the Screening Form, the staff would have to conduct site visits to gather the information.  The annual costs of the collection would include salaries of 30 full-time staff members plus travel expenses.  </w:t>
      </w:r>
      <w:r w:rsidR="00B75166">
        <w:rPr>
          <w:rFonts w:ascii="Times New Roman" w:hAnsi="Times New Roman"/>
          <w:sz w:val="24"/>
          <w:szCs w:val="24"/>
        </w:rPr>
        <w:t>FEMA</w:t>
      </w:r>
      <w:r w:rsidRPr="00884FB6" w:rsidR="00B75166">
        <w:rPr>
          <w:rFonts w:ascii="Times New Roman" w:hAnsi="Times New Roman"/>
          <w:sz w:val="24"/>
          <w:szCs w:val="24"/>
        </w:rPr>
        <w:t xml:space="preserve"> </w:t>
      </w:r>
      <w:r w:rsidRPr="00884FB6">
        <w:rPr>
          <w:rFonts w:ascii="Times New Roman" w:hAnsi="Times New Roman"/>
          <w:sz w:val="24"/>
          <w:szCs w:val="24"/>
        </w:rPr>
        <w:t>estimate</w:t>
      </w:r>
      <w:r w:rsidR="00B75166">
        <w:rPr>
          <w:rFonts w:ascii="Times New Roman" w:hAnsi="Times New Roman"/>
          <w:sz w:val="24"/>
          <w:szCs w:val="24"/>
        </w:rPr>
        <w:t>s</w:t>
      </w:r>
      <w:r w:rsidRPr="00884FB6">
        <w:rPr>
          <w:rFonts w:ascii="Times New Roman" w:hAnsi="Times New Roman"/>
          <w:sz w:val="24"/>
          <w:szCs w:val="24"/>
        </w:rPr>
        <w:t xml:space="preserve"> that a staff member could conduct two site visits/assessments per week including travel time.  </w:t>
      </w:r>
      <w:r w:rsidR="00B75166">
        <w:rPr>
          <w:rFonts w:ascii="Times New Roman" w:hAnsi="Times New Roman"/>
          <w:sz w:val="24"/>
          <w:szCs w:val="24"/>
        </w:rPr>
        <w:t>FEMA</w:t>
      </w:r>
      <w:r w:rsidRPr="00884FB6">
        <w:rPr>
          <w:rFonts w:ascii="Times New Roman" w:hAnsi="Times New Roman"/>
          <w:sz w:val="24"/>
          <w:szCs w:val="24"/>
        </w:rPr>
        <w:t xml:space="preserve"> conduct</w:t>
      </w:r>
      <w:r w:rsidR="00B75166">
        <w:rPr>
          <w:rFonts w:ascii="Times New Roman" w:hAnsi="Times New Roman"/>
          <w:sz w:val="24"/>
          <w:szCs w:val="24"/>
        </w:rPr>
        <w:t>s</w:t>
      </w:r>
      <w:r w:rsidRPr="00884FB6">
        <w:rPr>
          <w:rFonts w:ascii="Times New Roman" w:hAnsi="Times New Roman"/>
          <w:sz w:val="24"/>
          <w:szCs w:val="24"/>
        </w:rPr>
        <w:t xml:space="preserve"> 3,000 reviews per year, so 30 staff members would be necessary to conduct the visits/assessments (3,000 reviews divided by 30 staff equals 100 </w:t>
      </w:r>
      <w:r w:rsidRPr="00941410">
        <w:rPr>
          <w:rFonts w:ascii="Times New Roman" w:hAnsi="Times New Roman"/>
          <w:sz w:val="24"/>
          <w:szCs w:val="24"/>
        </w:rPr>
        <w:t xml:space="preserve">reviews per staff member or 2 reviews each week for 50 weeks).  A GS-12 Step </w:t>
      </w:r>
      <w:r w:rsidR="00915C50">
        <w:rPr>
          <w:rFonts w:ascii="Times New Roman" w:hAnsi="Times New Roman"/>
          <w:sz w:val="24"/>
          <w:szCs w:val="24"/>
        </w:rPr>
        <w:t>5</w:t>
      </w:r>
      <w:r w:rsidRPr="00941410" w:rsidR="00915C50">
        <w:rPr>
          <w:rFonts w:ascii="Times New Roman" w:hAnsi="Times New Roman"/>
          <w:sz w:val="24"/>
          <w:szCs w:val="24"/>
        </w:rPr>
        <w:t xml:space="preserve"> </w:t>
      </w:r>
      <w:r w:rsidRPr="00941410">
        <w:rPr>
          <w:rFonts w:ascii="Times New Roman" w:hAnsi="Times New Roman"/>
          <w:sz w:val="24"/>
          <w:szCs w:val="24"/>
        </w:rPr>
        <w:t>earns $</w:t>
      </w:r>
      <w:r w:rsidR="00915C50">
        <w:rPr>
          <w:rFonts w:ascii="Times New Roman" w:hAnsi="Times New Roman"/>
          <w:sz w:val="24"/>
          <w:szCs w:val="24"/>
        </w:rPr>
        <w:t>97,848</w:t>
      </w:r>
      <w:r w:rsidRPr="00941410">
        <w:rPr>
          <w:rFonts w:ascii="Times New Roman" w:hAnsi="Times New Roman"/>
          <w:sz w:val="24"/>
          <w:szCs w:val="24"/>
        </w:rPr>
        <w:t xml:space="preserve"> per year</w:t>
      </w:r>
      <w:r w:rsidR="00613171">
        <w:rPr>
          <w:rFonts w:ascii="Times New Roman" w:hAnsi="Times New Roman"/>
          <w:sz w:val="24"/>
          <w:szCs w:val="24"/>
        </w:rPr>
        <w:t>.</w:t>
      </w:r>
      <w:r w:rsidRPr="00941410">
        <w:rPr>
          <w:rFonts w:ascii="Times New Roman" w:hAnsi="Times New Roman"/>
          <w:sz w:val="24"/>
          <w:szCs w:val="24"/>
        </w:rPr>
        <w:t xml:space="preserve">  Using the Salary Rate multiplier, the annual cost per staff would be $</w:t>
      </w:r>
      <w:r w:rsidR="00915C50">
        <w:rPr>
          <w:rFonts w:ascii="Times New Roman" w:hAnsi="Times New Roman"/>
          <w:sz w:val="24"/>
          <w:szCs w:val="24"/>
        </w:rPr>
        <w:t>142,858</w:t>
      </w:r>
      <w:r w:rsidRPr="00941410">
        <w:rPr>
          <w:rFonts w:ascii="Times New Roman" w:hAnsi="Times New Roman"/>
          <w:sz w:val="24"/>
          <w:szCs w:val="24"/>
        </w:rPr>
        <w:t xml:space="preserve">.  </w:t>
      </w:r>
      <w:r w:rsidR="00B75166">
        <w:rPr>
          <w:rFonts w:ascii="Times New Roman" w:hAnsi="Times New Roman"/>
          <w:sz w:val="24"/>
          <w:szCs w:val="24"/>
        </w:rPr>
        <w:t>FEMA</w:t>
      </w:r>
      <w:r w:rsidRPr="00941410" w:rsidR="00B75166">
        <w:rPr>
          <w:rFonts w:ascii="Times New Roman" w:hAnsi="Times New Roman"/>
          <w:sz w:val="24"/>
          <w:szCs w:val="24"/>
        </w:rPr>
        <w:t xml:space="preserve"> </w:t>
      </w:r>
      <w:r w:rsidRPr="00941410">
        <w:rPr>
          <w:rFonts w:ascii="Times New Roman" w:hAnsi="Times New Roman"/>
          <w:sz w:val="24"/>
          <w:szCs w:val="24"/>
        </w:rPr>
        <w:t>estimate</w:t>
      </w:r>
      <w:r w:rsidR="00B75166">
        <w:rPr>
          <w:rFonts w:ascii="Times New Roman" w:hAnsi="Times New Roman"/>
          <w:sz w:val="24"/>
          <w:szCs w:val="24"/>
        </w:rPr>
        <w:t>s</w:t>
      </w:r>
      <w:r w:rsidRPr="00941410">
        <w:rPr>
          <w:rFonts w:ascii="Times New Roman" w:hAnsi="Times New Roman"/>
          <w:sz w:val="24"/>
          <w:szCs w:val="24"/>
        </w:rPr>
        <w:t xml:space="preserve"> that travel would be $750 per review which would include airfare, per diem,</w:t>
      </w:r>
      <w:r w:rsidRPr="00884FB6">
        <w:rPr>
          <w:rFonts w:ascii="Times New Roman" w:hAnsi="Times New Roman"/>
          <w:sz w:val="24"/>
          <w:szCs w:val="24"/>
        </w:rPr>
        <w:t xml:space="preserve"> and two nights lodging.  </w:t>
      </w:r>
    </w:p>
    <w:p w:rsidRPr="00884FB6" w:rsidR="00884FB6" w:rsidP="00942AD5" w:rsidRDefault="00884FB6" w14:paraId="47B51A7C" w14:textId="37E98E18">
      <w:pPr>
        <w:rPr>
          <w:rFonts w:ascii="Times New Roman" w:hAnsi="Times New Roman"/>
          <w:sz w:val="24"/>
          <w:szCs w:val="24"/>
        </w:rPr>
      </w:pPr>
      <w:r w:rsidRPr="00884FB6">
        <w:rPr>
          <w:rFonts w:ascii="Times New Roman" w:hAnsi="Times New Roman"/>
          <w:sz w:val="24"/>
          <w:szCs w:val="24"/>
        </w:rPr>
        <w:t xml:space="preserve">The use of contractor support is also an option, however far more expensive than the use of Federal staff.  It is estimated that contractors’ overhead and profit could almost double </w:t>
      </w:r>
      <w:r w:rsidRPr="00941410">
        <w:rPr>
          <w:rFonts w:ascii="Times New Roman" w:hAnsi="Times New Roman"/>
          <w:sz w:val="24"/>
          <w:szCs w:val="24"/>
        </w:rPr>
        <w:t xml:space="preserve">the </w:t>
      </w:r>
      <w:r w:rsidRPr="00941410">
        <w:rPr>
          <w:rFonts w:ascii="Times New Roman" w:hAnsi="Times New Roman"/>
          <w:b/>
          <w:sz w:val="24"/>
          <w:szCs w:val="24"/>
        </w:rPr>
        <w:t>$</w:t>
      </w:r>
      <w:r w:rsidR="00915C50">
        <w:rPr>
          <w:rFonts w:ascii="Times New Roman" w:hAnsi="Times New Roman"/>
          <w:b/>
          <w:sz w:val="24"/>
          <w:szCs w:val="24"/>
        </w:rPr>
        <w:t>6,535,742</w:t>
      </w:r>
      <w:r w:rsidRPr="00941410">
        <w:rPr>
          <w:rFonts w:ascii="Times New Roman" w:hAnsi="Times New Roman"/>
          <w:sz w:val="24"/>
          <w:szCs w:val="24"/>
        </w:rPr>
        <w:t xml:space="preserve"> costs li</w:t>
      </w:r>
      <w:r w:rsidRPr="00884FB6">
        <w:rPr>
          <w:rFonts w:ascii="Times New Roman" w:hAnsi="Times New Roman"/>
          <w:sz w:val="24"/>
          <w:szCs w:val="24"/>
        </w:rPr>
        <w:t>sted above.</w:t>
      </w:r>
    </w:p>
    <w:p w:rsidRPr="006625E7" w:rsidR="00562915" w:rsidP="00562915" w:rsidRDefault="00562915" w14:paraId="09C5D606" w14:textId="77777777">
      <w:pPr>
        <w:rPr>
          <w:rFonts w:ascii="Times New Roman" w:hAnsi="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05B068E5" w14:textId="56E451BA">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w:t>
      </w:r>
      <w:r w:rsidR="00613171">
        <w:rPr>
          <w:i/>
          <w:sz w:val="20"/>
          <w:szCs w:val="20"/>
        </w:rPr>
        <w:t>F</w:t>
      </w:r>
      <w:r w:rsidRPr="00106954">
        <w:rPr>
          <w:i/>
          <w:sz w:val="20"/>
          <w:szCs w:val="20"/>
        </w:rPr>
        <w:t xml:space="preserve">ederal </w:t>
      </w:r>
      <w:r w:rsidR="00613171">
        <w:rPr>
          <w:i/>
          <w:sz w:val="20"/>
          <w:szCs w:val="20"/>
        </w:rPr>
        <w:t>G</w:t>
      </w:r>
      <w:r w:rsidRPr="00106954">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5BB4BBF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3F9B8AA2"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9873" w:type="dxa"/>
        <w:jc w:val="center"/>
        <w:tblLook w:val="0000" w:firstRow="0" w:lastRow="0" w:firstColumn="0" w:lastColumn="0" w:noHBand="0" w:noVBand="0"/>
      </w:tblPr>
      <w:tblGrid>
        <w:gridCol w:w="2005"/>
        <w:gridCol w:w="1231"/>
        <w:gridCol w:w="958"/>
        <w:gridCol w:w="1249"/>
        <w:gridCol w:w="1388"/>
        <w:gridCol w:w="1407"/>
        <w:gridCol w:w="1635"/>
      </w:tblGrid>
      <w:tr w:rsidRPr="00411880" w:rsidR="00884FB6" w:rsidTr="006906A7" w14:paraId="3611F5B9" w14:textId="77777777">
        <w:trPr>
          <w:trHeight w:val="270"/>
          <w:jc w:val="center"/>
        </w:trPr>
        <w:tc>
          <w:tcPr>
            <w:tcW w:w="9873"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Pr="00411880" w:rsidR="00884FB6" w:rsidP="006906A7" w:rsidRDefault="00884FB6" w14:paraId="4D224084" w14:textId="77777777">
            <w:pPr>
              <w:jc w:val="center"/>
              <w:rPr>
                <w:b/>
                <w:bCs/>
                <w:sz w:val="18"/>
                <w:szCs w:val="18"/>
              </w:rPr>
            </w:pPr>
            <w:r w:rsidRPr="00411880">
              <w:rPr>
                <w:b/>
                <w:bCs/>
                <w:sz w:val="18"/>
                <w:szCs w:val="18"/>
              </w:rPr>
              <w:t>Itemized Changes in Annual Burden Hours</w:t>
            </w:r>
          </w:p>
        </w:tc>
      </w:tr>
      <w:tr w:rsidRPr="00411880" w:rsidR="00884FB6" w:rsidTr="00915C50" w14:paraId="65DAC688" w14:textId="77777777">
        <w:trPr>
          <w:trHeight w:val="1455"/>
          <w:jc w:val="center"/>
        </w:trPr>
        <w:tc>
          <w:tcPr>
            <w:tcW w:w="2005" w:type="dxa"/>
            <w:tcBorders>
              <w:top w:val="nil"/>
              <w:left w:val="single" w:color="auto" w:sz="8" w:space="0"/>
              <w:bottom w:val="single" w:color="auto" w:sz="8" w:space="0"/>
              <w:right w:val="single" w:color="auto" w:sz="8" w:space="0"/>
            </w:tcBorders>
            <w:shd w:val="clear" w:color="auto" w:fill="8EAADB" w:themeFill="accent1" w:themeFillTint="99"/>
            <w:vAlign w:val="bottom"/>
          </w:tcPr>
          <w:p w:rsidRPr="00411880" w:rsidR="00884FB6" w:rsidP="006906A7" w:rsidRDefault="00884FB6" w14:paraId="6A0C9804" w14:textId="77777777">
            <w:pPr>
              <w:jc w:val="center"/>
              <w:rPr>
                <w:b/>
                <w:bCs/>
                <w:sz w:val="18"/>
                <w:szCs w:val="18"/>
              </w:rPr>
            </w:pPr>
            <w:r w:rsidRPr="00411880">
              <w:rPr>
                <w:b/>
                <w:bCs/>
                <w:sz w:val="18"/>
                <w:szCs w:val="18"/>
              </w:rPr>
              <w:t>Data collection Activity/Instrument</w:t>
            </w:r>
          </w:p>
        </w:tc>
        <w:tc>
          <w:tcPr>
            <w:tcW w:w="1231" w:type="dxa"/>
            <w:tcBorders>
              <w:top w:val="nil"/>
              <w:left w:val="nil"/>
              <w:bottom w:val="single" w:color="auto" w:sz="8" w:space="0"/>
              <w:right w:val="single" w:color="auto" w:sz="8" w:space="0"/>
            </w:tcBorders>
            <w:shd w:val="clear" w:color="auto" w:fill="8EAADB" w:themeFill="accent1" w:themeFillTint="99"/>
            <w:vAlign w:val="bottom"/>
          </w:tcPr>
          <w:p w:rsidRPr="00411880" w:rsidR="00884FB6" w:rsidP="006906A7" w:rsidRDefault="00884FB6" w14:paraId="0030BB2E" w14:textId="77777777">
            <w:pPr>
              <w:jc w:val="center"/>
              <w:rPr>
                <w:b/>
                <w:bCs/>
                <w:sz w:val="18"/>
                <w:szCs w:val="18"/>
              </w:rPr>
            </w:pPr>
            <w:r w:rsidRPr="00411880">
              <w:rPr>
                <w:b/>
                <w:bCs/>
                <w:sz w:val="18"/>
                <w:szCs w:val="18"/>
              </w:rPr>
              <w:t xml:space="preserve">Program Change (hours currently on OMB Inventory) </w:t>
            </w:r>
          </w:p>
        </w:tc>
        <w:tc>
          <w:tcPr>
            <w:tcW w:w="958" w:type="dxa"/>
            <w:tcBorders>
              <w:top w:val="nil"/>
              <w:left w:val="nil"/>
              <w:bottom w:val="single" w:color="auto" w:sz="8" w:space="0"/>
              <w:right w:val="single" w:color="auto" w:sz="8" w:space="0"/>
            </w:tcBorders>
            <w:shd w:val="clear" w:color="auto" w:fill="8EAADB" w:themeFill="accent1" w:themeFillTint="99"/>
            <w:vAlign w:val="bottom"/>
          </w:tcPr>
          <w:p w:rsidRPr="00411880" w:rsidR="00884FB6" w:rsidP="006906A7" w:rsidRDefault="00884FB6" w14:paraId="68899280" w14:textId="77777777">
            <w:pPr>
              <w:jc w:val="center"/>
              <w:rPr>
                <w:b/>
                <w:bCs/>
                <w:sz w:val="18"/>
                <w:szCs w:val="18"/>
              </w:rPr>
            </w:pPr>
            <w:r w:rsidRPr="00411880">
              <w:rPr>
                <w:b/>
                <w:bCs/>
                <w:sz w:val="18"/>
                <w:szCs w:val="18"/>
              </w:rPr>
              <w:t xml:space="preserve">Program Change (New) </w:t>
            </w:r>
          </w:p>
        </w:tc>
        <w:tc>
          <w:tcPr>
            <w:tcW w:w="1249" w:type="dxa"/>
            <w:tcBorders>
              <w:top w:val="nil"/>
              <w:left w:val="nil"/>
              <w:bottom w:val="single" w:color="auto" w:sz="8" w:space="0"/>
              <w:right w:val="single" w:color="auto" w:sz="8" w:space="0"/>
            </w:tcBorders>
            <w:shd w:val="clear" w:color="auto" w:fill="8EAADB" w:themeFill="accent1" w:themeFillTint="99"/>
            <w:vAlign w:val="bottom"/>
          </w:tcPr>
          <w:p w:rsidRPr="00411880" w:rsidR="00884FB6" w:rsidP="006906A7" w:rsidRDefault="00884FB6" w14:paraId="00C61A96" w14:textId="77777777">
            <w:pPr>
              <w:jc w:val="center"/>
              <w:rPr>
                <w:b/>
                <w:bCs/>
                <w:sz w:val="18"/>
                <w:szCs w:val="18"/>
              </w:rPr>
            </w:pPr>
            <w:r w:rsidRPr="00411880">
              <w:rPr>
                <w:b/>
                <w:bCs/>
                <w:sz w:val="18"/>
                <w:szCs w:val="18"/>
              </w:rPr>
              <w:t>Difference</w:t>
            </w:r>
          </w:p>
        </w:tc>
        <w:tc>
          <w:tcPr>
            <w:tcW w:w="1388" w:type="dxa"/>
            <w:tcBorders>
              <w:top w:val="nil"/>
              <w:left w:val="nil"/>
              <w:bottom w:val="single" w:color="auto" w:sz="8" w:space="0"/>
              <w:right w:val="single" w:color="auto" w:sz="8" w:space="0"/>
            </w:tcBorders>
            <w:shd w:val="clear" w:color="auto" w:fill="8EAADB" w:themeFill="accent1" w:themeFillTint="99"/>
            <w:vAlign w:val="bottom"/>
          </w:tcPr>
          <w:p w:rsidRPr="00411880" w:rsidR="00884FB6" w:rsidP="006906A7" w:rsidRDefault="00884FB6" w14:paraId="4AF6A570" w14:textId="77777777">
            <w:pPr>
              <w:jc w:val="center"/>
              <w:rPr>
                <w:b/>
                <w:bCs/>
                <w:sz w:val="18"/>
                <w:szCs w:val="18"/>
              </w:rPr>
            </w:pPr>
            <w:r w:rsidRPr="00411880">
              <w:rPr>
                <w:b/>
                <w:bCs/>
                <w:sz w:val="18"/>
                <w:szCs w:val="18"/>
              </w:rPr>
              <w:t>Adjustment (hours currently on OMB Inventory)</w:t>
            </w:r>
          </w:p>
        </w:tc>
        <w:tc>
          <w:tcPr>
            <w:tcW w:w="1407" w:type="dxa"/>
            <w:tcBorders>
              <w:top w:val="nil"/>
              <w:left w:val="nil"/>
              <w:bottom w:val="single" w:color="auto" w:sz="8" w:space="0"/>
              <w:right w:val="single" w:color="auto" w:sz="8" w:space="0"/>
            </w:tcBorders>
            <w:shd w:val="clear" w:color="auto" w:fill="8EAADB" w:themeFill="accent1" w:themeFillTint="99"/>
            <w:vAlign w:val="bottom"/>
          </w:tcPr>
          <w:p w:rsidRPr="00411880" w:rsidR="00884FB6" w:rsidP="006906A7" w:rsidRDefault="00884FB6" w14:paraId="73359553" w14:textId="77777777">
            <w:pPr>
              <w:jc w:val="center"/>
              <w:rPr>
                <w:b/>
                <w:bCs/>
                <w:sz w:val="18"/>
                <w:szCs w:val="18"/>
              </w:rPr>
            </w:pPr>
            <w:r w:rsidRPr="00411880">
              <w:rPr>
                <w:b/>
                <w:bCs/>
                <w:sz w:val="18"/>
                <w:szCs w:val="18"/>
              </w:rPr>
              <w:t xml:space="preserve">Adjustment (New) </w:t>
            </w:r>
          </w:p>
        </w:tc>
        <w:tc>
          <w:tcPr>
            <w:tcW w:w="1635" w:type="dxa"/>
            <w:tcBorders>
              <w:top w:val="nil"/>
              <w:left w:val="nil"/>
              <w:bottom w:val="single" w:color="auto" w:sz="8" w:space="0"/>
              <w:right w:val="single" w:color="auto" w:sz="8" w:space="0"/>
            </w:tcBorders>
            <w:shd w:val="clear" w:color="auto" w:fill="8EAADB" w:themeFill="accent1" w:themeFillTint="99"/>
            <w:vAlign w:val="bottom"/>
          </w:tcPr>
          <w:p w:rsidRPr="00411880" w:rsidR="00884FB6" w:rsidP="006906A7" w:rsidRDefault="00884FB6" w14:paraId="69AE7C13" w14:textId="77777777">
            <w:pPr>
              <w:jc w:val="center"/>
              <w:rPr>
                <w:b/>
                <w:bCs/>
                <w:sz w:val="18"/>
                <w:szCs w:val="18"/>
              </w:rPr>
            </w:pPr>
            <w:r w:rsidRPr="00411880">
              <w:rPr>
                <w:b/>
                <w:bCs/>
                <w:sz w:val="18"/>
                <w:szCs w:val="18"/>
              </w:rPr>
              <w:t>Difference</w:t>
            </w:r>
          </w:p>
        </w:tc>
      </w:tr>
      <w:tr w:rsidRPr="00411880" w:rsidR="00113B8D" w:rsidTr="00CE10DB" w14:paraId="366D2911" w14:textId="77777777">
        <w:trPr>
          <w:trHeight w:val="1105"/>
          <w:jc w:val="center"/>
        </w:trPr>
        <w:tc>
          <w:tcPr>
            <w:tcW w:w="2005" w:type="dxa"/>
            <w:tcBorders>
              <w:top w:val="nil"/>
              <w:left w:val="single" w:color="auto" w:sz="8" w:space="0"/>
              <w:bottom w:val="single" w:color="auto" w:sz="8" w:space="0"/>
              <w:right w:val="single" w:color="auto" w:sz="8" w:space="0"/>
            </w:tcBorders>
            <w:shd w:val="clear" w:color="auto" w:fill="auto"/>
            <w:vAlign w:val="center"/>
          </w:tcPr>
          <w:p w:rsidRPr="00113B8D" w:rsidR="00113B8D" w:rsidP="00113B8D" w:rsidRDefault="00113B8D" w14:paraId="14FF4340" w14:textId="77777777">
            <w:pPr>
              <w:rPr>
                <w:rFonts w:ascii="Times New Roman" w:hAnsi="Times New Roman"/>
                <w:sz w:val="18"/>
                <w:szCs w:val="18"/>
              </w:rPr>
            </w:pPr>
            <w:r w:rsidRPr="00113B8D">
              <w:rPr>
                <w:rFonts w:ascii="Times New Roman" w:hAnsi="Times New Roman"/>
                <w:color w:val="000000"/>
                <w:sz w:val="18"/>
                <w:szCs w:val="18"/>
              </w:rPr>
              <w:lastRenderedPageBreak/>
              <w:t>Environmental and Historic Preservation Screening Form  / FEMA Form 024-0-1</w:t>
            </w:r>
          </w:p>
        </w:tc>
        <w:tc>
          <w:tcPr>
            <w:tcW w:w="1231" w:type="dxa"/>
            <w:tcBorders>
              <w:top w:val="nil"/>
              <w:left w:val="nil"/>
              <w:bottom w:val="single" w:color="auto" w:sz="8" w:space="0"/>
              <w:right w:val="single" w:color="auto" w:sz="8" w:space="0"/>
            </w:tcBorders>
            <w:shd w:val="clear" w:color="auto" w:fill="auto"/>
            <w:vAlign w:val="center"/>
          </w:tcPr>
          <w:p w:rsidRPr="00113B8D" w:rsidR="00113B8D" w:rsidP="00113B8D" w:rsidRDefault="00113B8D" w14:paraId="1FC39AAF" w14:textId="77777777">
            <w:pPr>
              <w:jc w:val="center"/>
              <w:rPr>
                <w:rFonts w:ascii="Times New Roman" w:hAnsi="Times New Roman"/>
                <w:sz w:val="18"/>
                <w:szCs w:val="18"/>
              </w:rPr>
            </w:pPr>
          </w:p>
        </w:tc>
        <w:tc>
          <w:tcPr>
            <w:tcW w:w="958" w:type="dxa"/>
            <w:tcBorders>
              <w:top w:val="nil"/>
              <w:left w:val="nil"/>
              <w:bottom w:val="single" w:color="auto" w:sz="8" w:space="0"/>
              <w:right w:val="single" w:color="auto" w:sz="8" w:space="0"/>
            </w:tcBorders>
            <w:shd w:val="clear" w:color="auto" w:fill="auto"/>
            <w:vAlign w:val="center"/>
          </w:tcPr>
          <w:p w:rsidRPr="00113B8D" w:rsidR="00113B8D" w:rsidP="00113B8D" w:rsidRDefault="00113B8D" w14:paraId="2E11FA66" w14:textId="77777777">
            <w:pPr>
              <w:jc w:val="center"/>
              <w:rPr>
                <w:rFonts w:ascii="Times New Roman" w:hAnsi="Times New Roman"/>
                <w:sz w:val="18"/>
                <w:szCs w:val="18"/>
              </w:rPr>
            </w:pPr>
          </w:p>
        </w:tc>
        <w:tc>
          <w:tcPr>
            <w:tcW w:w="1249" w:type="dxa"/>
            <w:tcBorders>
              <w:top w:val="nil"/>
              <w:left w:val="nil"/>
              <w:bottom w:val="single" w:color="auto" w:sz="8" w:space="0"/>
              <w:right w:val="single" w:color="auto" w:sz="8" w:space="0"/>
            </w:tcBorders>
            <w:shd w:val="clear" w:color="auto" w:fill="auto"/>
            <w:vAlign w:val="center"/>
          </w:tcPr>
          <w:p w:rsidRPr="00113B8D" w:rsidR="00113B8D" w:rsidP="00113B8D" w:rsidRDefault="00113B8D" w14:paraId="02BFF832" w14:textId="77777777">
            <w:pPr>
              <w:jc w:val="center"/>
              <w:rPr>
                <w:rFonts w:ascii="Times New Roman" w:hAnsi="Times New Roman"/>
                <w:sz w:val="18"/>
                <w:szCs w:val="18"/>
              </w:rPr>
            </w:pPr>
          </w:p>
        </w:tc>
        <w:tc>
          <w:tcPr>
            <w:tcW w:w="1388" w:type="dxa"/>
            <w:tcBorders>
              <w:top w:val="nil"/>
              <w:left w:val="nil"/>
              <w:bottom w:val="single" w:color="auto" w:sz="8" w:space="0"/>
              <w:right w:val="single" w:color="auto" w:sz="8" w:space="0"/>
            </w:tcBorders>
            <w:shd w:val="clear" w:color="auto" w:fill="auto"/>
            <w:vAlign w:val="center"/>
          </w:tcPr>
          <w:p w:rsidRPr="00113B8D" w:rsidR="00113B8D" w:rsidP="00CE10DB" w:rsidRDefault="00113B8D" w14:paraId="3A9A431E" w14:textId="7AD82FC5">
            <w:pPr>
              <w:spacing w:after="0" w:line="240" w:lineRule="auto"/>
              <w:jc w:val="center"/>
              <w:rPr>
                <w:rFonts w:ascii="Times New Roman" w:hAnsi="Times New Roman"/>
                <w:sz w:val="18"/>
                <w:szCs w:val="18"/>
              </w:rPr>
            </w:pPr>
          </w:p>
        </w:tc>
        <w:tc>
          <w:tcPr>
            <w:tcW w:w="1407" w:type="dxa"/>
            <w:tcBorders>
              <w:top w:val="nil"/>
              <w:left w:val="nil"/>
              <w:bottom w:val="single" w:color="auto" w:sz="8" w:space="0"/>
              <w:right w:val="single" w:color="auto" w:sz="8" w:space="0"/>
            </w:tcBorders>
            <w:shd w:val="clear" w:color="auto" w:fill="auto"/>
            <w:vAlign w:val="center"/>
          </w:tcPr>
          <w:p w:rsidRPr="00113B8D" w:rsidR="00113B8D" w:rsidP="00CE10DB" w:rsidRDefault="00113B8D" w14:paraId="35DF4CC9" w14:textId="52AD8DD4">
            <w:pPr>
              <w:spacing w:after="0" w:line="240" w:lineRule="auto"/>
              <w:jc w:val="center"/>
              <w:rPr>
                <w:rFonts w:ascii="Times New Roman" w:hAnsi="Times New Roman"/>
                <w:sz w:val="18"/>
                <w:szCs w:val="18"/>
              </w:rPr>
            </w:pPr>
          </w:p>
        </w:tc>
        <w:tc>
          <w:tcPr>
            <w:tcW w:w="1635" w:type="dxa"/>
            <w:tcBorders>
              <w:top w:val="nil"/>
              <w:left w:val="nil"/>
              <w:bottom w:val="single" w:color="auto" w:sz="8" w:space="0"/>
              <w:right w:val="single" w:color="auto" w:sz="8" w:space="0"/>
            </w:tcBorders>
            <w:shd w:val="clear" w:color="auto" w:fill="auto"/>
            <w:vAlign w:val="bottom"/>
          </w:tcPr>
          <w:p w:rsidRPr="00113B8D" w:rsidR="00113B8D" w:rsidP="00CE10DB" w:rsidRDefault="00113B8D" w14:paraId="5291977B" w14:textId="6726E231">
            <w:pPr>
              <w:spacing w:after="0" w:line="240" w:lineRule="auto"/>
              <w:jc w:val="center"/>
              <w:rPr>
                <w:rFonts w:ascii="Times New Roman" w:hAnsi="Times New Roman"/>
                <w:sz w:val="18"/>
                <w:szCs w:val="18"/>
              </w:rPr>
            </w:pPr>
          </w:p>
        </w:tc>
      </w:tr>
      <w:tr w:rsidRPr="00411880" w:rsidR="00113B8D" w:rsidTr="006906A7" w14:paraId="5D1A78AE" w14:textId="77777777">
        <w:trPr>
          <w:trHeight w:val="270"/>
          <w:jc w:val="center"/>
        </w:trPr>
        <w:tc>
          <w:tcPr>
            <w:tcW w:w="2005" w:type="dxa"/>
            <w:tcBorders>
              <w:top w:val="nil"/>
              <w:left w:val="single" w:color="auto" w:sz="8" w:space="0"/>
              <w:bottom w:val="single" w:color="auto" w:sz="8" w:space="0"/>
              <w:right w:val="single" w:color="auto" w:sz="8" w:space="0"/>
            </w:tcBorders>
            <w:shd w:val="clear" w:color="auto" w:fill="auto"/>
            <w:vAlign w:val="bottom"/>
          </w:tcPr>
          <w:p w:rsidRPr="00113B8D" w:rsidR="00113B8D" w:rsidP="00113B8D" w:rsidRDefault="00113B8D" w14:paraId="14CD53C9" w14:textId="77777777">
            <w:pPr>
              <w:jc w:val="center"/>
              <w:rPr>
                <w:rFonts w:ascii="Times New Roman" w:hAnsi="Times New Roman"/>
                <w:b/>
                <w:bCs/>
                <w:sz w:val="18"/>
                <w:szCs w:val="18"/>
              </w:rPr>
            </w:pPr>
            <w:r w:rsidRPr="00113B8D">
              <w:rPr>
                <w:rFonts w:ascii="Times New Roman" w:hAnsi="Times New Roman"/>
                <w:b/>
                <w:bCs/>
                <w:sz w:val="18"/>
                <w:szCs w:val="18"/>
              </w:rPr>
              <w:t>Total(s)</w:t>
            </w:r>
          </w:p>
        </w:tc>
        <w:tc>
          <w:tcPr>
            <w:tcW w:w="1231" w:type="dxa"/>
            <w:tcBorders>
              <w:top w:val="nil"/>
              <w:left w:val="nil"/>
              <w:bottom w:val="single" w:color="auto" w:sz="8" w:space="0"/>
              <w:right w:val="single" w:color="auto" w:sz="8" w:space="0"/>
            </w:tcBorders>
            <w:shd w:val="clear" w:color="auto" w:fill="auto"/>
            <w:vAlign w:val="bottom"/>
          </w:tcPr>
          <w:p w:rsidRPr="00113B8D" w:rsidR="00113B8D" w:rsidP="00113B8D" w:rsidRDefault="00113B8D" w14:paraId="2413FAFF" w14:textId="77777777">
            <w:pPr>
              <w:jc w:val="center"/>
              <w:rPr>
                <w:rFonts w:ascii="Times New Roman" w:hAnsi="Times New Roman"/>
                <w:b/>
                <w:bCs/>
                <w:sz w:val="18"/>
                <w:szCs w:val="18"/>
              </w:rPr>
            </w:pPr>
          </w:p>
        </w:tc>
        <w:tc>
          <w:tcPr>
            <w:tcW w:w="958" w:type="dxa"/>
            <w:tcBorders>
              <w:top w:val="nil"/>
              <w:left w:val="nil"/>
              <w:bottom w:val="single" w:color="auto" w:sz="8" w:space="0"/>
              <w:right w:val="single" w:color="auto" w:sz="8" w:space="0"/>
            </w:tcBorders>
            <w:shd w:val="clear" w:color="auto" w:fill="auto"/>
            <w:vAlign w:val="bottom"/>
          </w:tcPr>
          <w:p w:rsidRPr="00113B8D" w:rsidR="00113B8D" w:rsidP="00113B8D" w:rsidRDefault="00113B8D" w14:paraId="2D90CC39" w14:textId="77777777">
            <w:pPr>
              <w:jc w:val="center"/>
              <w:rPr>
                <w:rFonts w:ascii="Times New Roman" w:hAnsi="Times New Roman"/>
                <w:b/>
                <w:bCs/>
                <w:sz w:val="18"/>
                <w:szCs w:val="18"/>
              </w:rPr>
            </w:pPr>
          </w:p>
        </w:tc>
        <w:tc>
          <w:tcPr>
            <w:tcW w:w="1249" w:type="dxa"/>
            <w:tcBorders>
              <w:top w:val="nil"/>
              <w:left w:val="nil"/>
              <w:bottom w:val="single" w:color="auto" w:sz="8" w:space="0"/>
              <w:right w:val="single" w:color="auto" w:sz="8" w:space="0"/>
            </w:tcBorders>
            <w:shd w:val="clear" w:color="auto" w:fill="auto"/>
            <w:vAlign w:val="bottom"/>
          </w:tcPr>
          <w:p w:rsidRPr="00113B8D" w:rsidR="00113B8D" w:rsidP="00113B8D" w:rsidRDefault="00113B8D" w14:paraId="26F77A67" w14:textId="77777777">
            <w:pPr>
              <w:jc w:val="center"/>
              <w:rPr>
                <w:rFonts w:ascii="Times New Roman" w:hAnsi="Times New Roman"/>
                <w:b/>
                <w:bCs/>
                <w:sz w:val="18"/>
                <w:szCs w:val="18"/>
              </w:rPr>
            </w:pPr>
          </w:p>
        </w:tc>
        <w:tc>
          <w:tcPr>
            <w:tcW w:w="1388" w:type="dxa"/>
            <w:tcBorders>
              <w:top w:val="nil"/>
              <w:left w:val="nil"/>
              <w:bottom w:val="single" w:color="auto" w:sz="8" w:space="0"/>
              <w:right w:val="single" w:color="auto" w:sz="8" w:space="0"/>
            </w:tcBorders>
            <w:shd w:val="clear" w:color="auto" w:fill="auto"/>
            <w:vAlign w:val="bottom"/>
          </w:tcPr>
          <w:p w:rsidRPr="00113B8D" w:rsidR="00113B8D" w:rsidP="00CE10DB" w:rsidRDefault="00113B8D" w14:paraId="7F1F9722" w14:textId="59C06C62">
            <w:pPr>
              <w:spacing w:after="0" w:line="240" w:lineRule="auto"/>
              <w:jc w:val="center"/>
              <w:rPr>
                <w:rFonts w:ascii="Times New Roman" w:hAnsi="Times New Roman"/>
                <w:b/>
                <w:bCs/>
                <w:sz w:val="18"/>
                <w:szCs w:val="18"/>
              </w:rPr>
            </w:pPr>
          </w:p>
        </w:tc>
        <w:tc>
          <w:tcPr>
            <w:tcW w:w="1407" w:type="dxa"/>
            <w:tcBorders>
              <w:top w:val="nil"/>
              <w:left w:val="nil"/>
              <w:bottom w:val="single" w:color="auto" w:sz="8" w:space="0"/>
              <w:right w:val="single" w:color="auto" w:sz="8" w:space="0"/>
            </w:tcBorders>
            <w:shd w:val="clear" w:color="auto" w:fill="auto"/>
            <w:vAlign w:val="bottom"/>
          </w:tcPr>
          <w:p w:rsidRPr="00113B8D" w:rsidR="00113B8D" w:rsidP="00CE10DB" w:rsidRDefault="00113B8D" w14:paraId="79F5EBC2" w14:textId="460ACBBC">
            <w:pPr>
              <w:spacing w:after="0" w:line="240" w:lineRule="auto"/>
              <w:jc w:val="center"/>
              <w:rPr>
                <w:rFonts w:ascii="Times New Roman" w:hAnsi="Times New Roman"/>
                <w:b/>
                <w:bCs/>
                <w:sz w:val="18"/>
                <w:szCs w:val="18"/>
              </w:rPr>
            </w:pPr>
          </w:p>
        </w:tc>
        <w:tc>
          <w:tcPr>
            <w:tcW w:w="1635" w:type="dxa"/>
            <w:tcBorders>
              <w:top w:val="nil"/>
              <w:left w:val="nil"/>
              <w:bottom w:val="single" w:color="auto" w:sz="8" w:space="0"/>
              <w:right w:val="single" w:color="auto" w:sz="8" w:space="0"/>
            </w:tcBorders>
            <w:shd w:val="clear" w:color="auto" w:fill="auto"/>
            <w:vAlign w:val="bottom"/>
          </w:tcPr>
          <w:p w:rsidRPr="00113B8D" w:rsidR="00113B8D" w:rsidP="00CE10DB" w:rsidRDefault="00113B8D" w14:paraId="6A626DC8" w14:textId="2736C6DC">
            <w:pPr>
              <w:spacing w:after="0" w:line="240" w:lineRule="auto"/>
              <w:jc w:val="center"/>
              <w:rPr>
                <w:rFonts w:ascii="Times New Roman" w:hAnsi="Times New Roman"/>
                <w:b/>
                <w:bCs/>
                <w:sz w:val="18"/>
                <w:szCs w:val="18"/>
              </w:rPr>
            </w:pPr>
          </w:p>
        </w:tc>
      </w:tr>
    </w:tbl>
    <w:p w:rsidR="00113B8D" w:rsidP="00113B8D" w:rsidRDefault="00113B8D" w14:paraId="5B94A20C" w14:textId="77777777">
      <w:pPr>
        <w:rPr>
          <w:rFonts w:ascii="Times New Roman" w:hAnsi="Times New Roman" w:eastAsia="Times New Roman"/>
          <w:bCs/>
          <w:sz w:val="24"/>
          <w:szCs w:val="24"/>
        </w:rPr>
      </w:pPr>
      <w:r w:rsidRPr="00AB04C3">
        <w:rPr>
          <w:rFonts w:ascii="Times New Roman" w:hAnsi="Times New Roman"/>
          <w:b/>
          <w:bCs/>
          <w:i/>
          <w:sz w:val="24"/>
          <w:szCs w:val="24"/>
        </w:rPr>
        <w:t>Explain:</w:t>
      </w:r>
      <w:r w:rsidRPr="00064865">
        <w:rPr>
          <w:rFonts w:ascii="Times New Roman" w:hAnsi="Times New Roman" w:eastAsia="Times New Roman"/>
          <w:bCs/>
          <w:sz w:val="24"/>
          <w:szCs w:val="24"/>
        </w:rPr>
        <w:t xml:space="preserve"> </w:t>
      </w:r>
    </w:p>
    <w:p w:rsidR="005C75AA" w:rsidP="005C75AA" w:rsidRDefault="005C75AA" w14:paraId="1DD0B0C5" w14:textId="3BD0AFD7">
      <w:pPr>
        <w:rPr>
          <w:rFonts w:ascii="Times New Roman" w:hAnsi="Times New Roman"/>
          <w:b/>
          <w:bCs/>
          <w:i/>
          <w:sz w:val="24"/>
          <w:szCs w:val="24"/>
        </w:rPr>
      </w:pPr>
      <w:r w:rsidRPr="000537F2">
        <w:rPr>
          <w:rFonts w:ascii="Times New Roman" w:hAnsi="Times New Roman"/>
          <w:bCs/>
          <w:sz w:val="24"/>
          <w:szCs w:val="24"/>
        </w:rPr>
        <w:t>There has been no change to the information being collected.</w:t>
      </w:r>
      <w:r>
        <w:rPr>
          <w:rFonts w:ascii="Times New Roman" w:hAnsi="Times New Roman"/>
          <w:bCs/>
          <w:sz w:val="24"/>
          <w:szCs w:val="24"/>
        </w:rPr>
        <w:t xml:space="preserve"> </w:t>
      </w:r>
      <w:bookmarkStart w:name="_GoBack" w:id="0"/>
      <w:bookmarkEnd w:id="0"/>
    </w:p>
    <w:p w:rsidR="00113B8D" w:rsidP="00113B8D" w:rsidRDefault="00113B8D" w14:paraId="6A1A3B53" w14:textId="77777777">
      <w:pPr>
        <w:rPr>
          <w:rFonts w:ascii="Times New Roman" w:hAnsi="Times New Roman"/>
          <w:b/>
          <w:bCs/>
          <w:i/>
          <w:sz w:val="24"/>
          <w:szCs w:val="24"/>
        </w:rPr>
      </w:pPr>
      <w:r w:rsidRPr="00F54311">
        <w:rPr>
          <w:rFonts w:ascii="Times New Roman" w:hAnsi="Times New Roman"/>
          <w:b/>
          <w:bCs/>
          <w:i/>
          <w:sz w:val="24"/>
          <w:szCs w:val="24"/>
        </w:rPr>
        <w:t>Itemized Changes in Annual Cost Burden</w:t>
      </w:r>
    </w:p>
    <w:p w:rsidR="00113B8D" w:rsidP="00113B8D" w:rsidRDefault="00113B8D" w14:paraId="0B62BD1E" w14:textId="77777777">
      <w:pPr>
        <w:rPr>
          <w:rFonts w:ascii="Times New Roman" w:hAnsi="Times New Roman"/>
          <w:bCs/>
          <w:i/>
          <w:sz w:val="24"/>
          <w:szCs w:val="24"/>
        </w:rPr>
      </w:pPr>
      <w:r w:rsidRPr="00AB04C3">
        <w:rPr>
          <w:rFonts w:ascii="Times New Roman" w:hAnsi="Times New Roman"/>
          <w:b/>
          <w:bCs/>
          <w:i/>
          <w:sz w:val="24"/>
          <w:szCs w:val="24"/>
        </w:rPr>
        <w:t>Explain:</w:t>
      </w:r>
      <w:r w:rsidRPr="00AB04C3">
        <w:rPr>
          <w:rFonts w:ascii="Times New Roman" w:hAnsi="Times New Roman"/>
          <w:bCs/>
          <w:i/>
          <w:sz w:val="24"/>
          <w:szCs w:val="24"/>
        </w:rPr>
        <w:t xml:space="preserve"> </w:t>
      </w:r>
    </w:p>
    <w:p w:rsidRPr="006625E7" w:rsidR="00113B8D" w:rsidP="00113B8D" w:rsidRDefault="00113B8D" w14:paraId="65FDD2D5" w14:textId="77777777">
      <w:pPr>
        <w:spacing w:after="0" w:line="240" w:lineRule="auto"/>
        <w:rPr>
          <w:rFonts w:ascii="Times New Roman" w:hAnsi="Times New Roman"/>
          <w:b/>
          <w:bCs/>
          <w:sz w:val="24"/>
          <w:szCs w:val="24"/>
        </w:rPr>
      </w:pPr>
      <w:r w:rsidRPr="00255E78">
        <w:rPr>
          <w:rFonts w:ascii="Times New Roman" w:hAnsi="Times New Roman" w:eastAsia="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rsidR="00CB2BB4" w:rsidP="00562915" w:rsidRDefault="00113B8D" w14:paraId="558E124A" w14:textId="77777777">
      <w:pPr>
        <w:rPr>
          <w:rFonts w:ascii="Times New Roman" w:hAnsi="Times New Roman" w:eastAsia="Times New Roman"/>
          <w:bCs/>
          <w:sz w:val="24"/>
          <w:szCs w:val="24"/>
        </w:rPr>
      </w:pPr>
      <w:r w:rsidRPr="000537F2">
        <w:rPr>
          <w:rFonts w:ascii="Times New Roman" w:hAnsi="Times New Roman" w:eastAsia="Times New Roman"/>
          <w:bCs/>
          <w:sz w:val="24"/>
          <w:szCs w:val="24"/>
        </w:rPr>
        <w:t xml:space="preserve"> </w:t>
      </w:r>
    </w:p>
    <w:p w:rsidRPr="00CB2BB4" w:rsidR="00562915" w:rsidP="00562915" w:rsidRDefault="00562915" w14:paraId="466083B7" w14:textId="77777777">
      <w:pPr>
        <w:rPr>
          <w:rFonts w:ascii="Times New Roman" w:hAnsi="Times New Roman" w:eastAsia="Times New Roman"/>
          <w:bCs/>
          <w:sz w:val="24"/>
          <w:szCs w:val="24"/>
        </w:rPr>
      </w:pPr>
      <w:r w:rsidRPr="006625E7">
        <w:rPr>
          <w:rFonts w:ascii="Times New Roman" w:hAnsi="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sz w:val="24"/>
          <w:szCs w:val="24"/>
        </w:rPr>
        <w:fldChar w:fldCharType="begin"/>
      </w:r>
      <w:r w:rsidRPr="006625E7">
        <w:rPr>
          <w:rFonts w:ascii="Times New Roman" w:hAnsi="Times New Roman"/>
          <w:sz w:val="24"/>
          <w:szCs w:val="24"/>
        </w:rPr>
        <w:instrText>ADVANCE \R 0.95</w:instrText>
      </w:r>
      <w:r w:rsidRPr="006625E7">
        <w:rPr>
          <w:rFonts w:ascii="Times New Roman" w:hAnsi="Times New Roman"/>
          <w:sz w:val="24"/>
          <w:szCs w:val="24"/>
        </w:rPr>
        <w:fldChar w:fldCharType="end"/>
      </w:r>
    </w:p>
    <w:p w:rsidRPr="00884FB6" w:rsidR="00884FB6" w:rsidP="00884FB6" w:rsidRDefault="00884FB6" w14:paraId="7FA9CD5B" w14:textId="77777777">
      <w:pPr>
        <w:rPr>
          <w:rFonts w:ascii="Times New Roman" w:hAnsi="Times New Roman"/>
          <w:bCs/>
          <w:sz w:val="24"/>
          <w:szCs w:val="24"/>
        </w:rPr>
      </w:pPr>
      <w:r w:rsidRPr="00884FB6">
        <w:rPr>
          <w:rFonts w:ascii="Times New Roman" w:hAnsi="Times New Roman"/>
          <w:bCs/>
          <w:sz w:val="24"/>
          <w:szCs w:val="24"/>
        </w:rPr>
        <w:t xml:space="preserve">FEMA does not intend to employ the use of statistics or the publication thereof for this information collection. </w:t>
      </w:r>
    </w:p>
    <w:p w:rsidRPr="006625E7" w:rsidR="00562915" w:rsidP="00562915" w:rsidRDefault="00562915" w14:paraId="30382002" w14:textId="77777777">
      <w:pPr>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17.  If seeking approval not to display the expiration date for OMB approval of the information collection, explain reasons that display would be inappropriate.</w:t>
      </w:r>
    </w:p>
    <w:p w:rsidRPr="00411880" w:rsidR="00411880" w:rsidP="00411880" w:rsidRDefault="00411880" w14:paraId="7430C19E" w14:textId="77777777">
      <w:pPr>
        <w:rPr>
          <w:rFonts w:ascii="Times New Roman" w:hAnsi="Times New Roman"/>
          <w:bCs/>
          <w:sz w:val="24"/>
          <w:szCs w:val="24"/>
        </w:rPr>
      </w:pPr>
      <w:r w:rsidRPr="00411880">
        <w:rPr>
          <w:rFonts w:ascii="Times New Roman" w:hAnsi="Times New Roman"/>
          <w:bCs/>
          <w:sz w:val="24"/>
          <w:szCs w:val="24"/>
        </w:rPr>
        <w:t xml:space="preserve">FEMA will display the expiration date for OMB approval of this information collection. </w:t>
      </w:r>
    </w:p>
    <w:p w:rsidR="00562915" w:rsidP="00562915" w:rsidRDefault="00562915" w14:paraId="0D80C2E3" w14:textId="77777777">
      <w:pPr>
        <w:rPr>
          <w:rFonts w:ascii="Times New Roman" w:hAnsi="Times New Roman"/>
          <w:b/>
          <w:bCs/>
          <w:sz w:val="24"/>
          <w:szCs w:val="24"/>
        </w:rPr>
      </w:pPr>
      <w:r w:rsidRPr="006625E7">
        <w:rPr>
          <w:rFonts w:ascii="Times New Roman" w:hAnsi="Times New Roman"/>
          <w:b/>
          <w:bCs/>
          <w:sz w:val="24"/>
          <w:szCs w:val="24"/>
        </w:rPr>
        <w:fldChar w:fldCharType="begin"/>
      </w:r>
      <w:r w:rsidRPr="006625E7">
        <w:rPr>
          <w:rFonts w:ascii="Times New Roman" w:hAnsi="Times New Roman"/>
          <w:b/>
          <w:bCs/>
          <w:sz w:val="24"/>
          <w:szCs w:val="24"/>
        </w:rPr>
        <w:instrText>ADVANCE \R 0.95</w:instrText>
      </w:r>
      <w:r w:rsidRPr="006625E7">
        <w:rPr>
          <w:rFonts w:ascii="Times New Roman" w:hAnsi="Times New Roman"/>
          <w:b/>
          <w:bCs/>
          <w:sz w:val="24"/>
          <w:szCs w:val="24"/>
        </w:rPr>
        <w:fldChar w:fldCharType="end"/>
      </w:r>
      <w:r w:rsidRPr="006625E7">
        <w:rPr>
          <w:rFonts w:ascii="Times New Roman" w:hAnsi="Times New Roman"/>
          <w:b/>
          <w:bCs/>
          <w:sz w:val="24"/>
          <w:szCs w:val="24"/>
        </w:rPr>
        <w:t>18.  Explain each exception to the certification statement identified in Item 19 “Certification for Paperwork Reduction Act Submissions,” of OMB Form 83-I.</w:t>
      </w:r>
    </w:p>
    <w:p w:rsidRPr="00113B8D" w:rsidR="00411880" w:rsidP="00562915" w:rsidRDefault="00411880" w14:paraId="1FC134F1" w14:textId="77777777">
      <w:pPr>
        <w:rPr>
          <w:rFonts w:ascii="Times New Roman" w:hAnsi="Times New Roman"/>
          <w:bCs/>
          <w:sz w:val="24"/>
          <w:szCs w:val="24"/>
        </w:rPr>
      </w:pPr>
      <w:r w:rsidRPr="00113B8D">
        <w:rPr>
          <w:rFonts w:ascii="Times New Roman" w:hAnsi="Times New Roman"/>
          <w:bCs/>
          <w:sz w:val="24"/>
          <w:szCs w:val="24"/>
        </w:rPr>
        <w:t>FEMA does not request an exception to the certification of this information collection.</w:t>
      </w:r>
    </w:p>
    <w:p w:rsidRPr="00411880" w:rsidR="00411880" w:rsidP="00411880" w:rsidRDefault="00411880" w14:paraId="5218B70C" w14:textId="77777777">
      <w:pPr>
        <w:rPr>
          <w:rFonts w:ascii="Times New Roman" w:hAnsi="Times New Roman"/>
          <w:b/>
          <w:bCs/>
          <w:sz w:val="24"/>
          <w:szCs w:val="24"/>
        </w:rPr>
      </w:pPr>
      <w:r w:rsidRPr="00411880">
        <w:rPr>
          <w:rFonts w:ascii="Times New Roman" w:hAnsi="Times New Roman"/>
          <w:b/>
          <w:bCs/>
          <w:sz w:val="24"/>
          <w:szCs w:val="24"/>
        </w:rPr>
        <w:t>B.  Collections of Information Employing Statistical Methods.</w:t>
      </w:r>
    </w:p>
    <w:p w:rsidRPr="006625E7" w:rsidR="00411880" w:rsidP="00562915" w:rsidRDefault="00411880" w14:paraId="5D87056B" w14:textId="6C6DDA2E">
      <w:pPr>
        <w:rPr>
          <w:rFonts w:ascii="Times New Roman" w:hAnsi="Times New Roman"/>
          <w:b/>
          <w:bCs/>
          <w:sz w:val="24"/>
          <w:szCs w:val="24"/>
        </w:rPr>
      </w:pPr>
      <w:r w:rsidRPr="00411880">
        <w:rPr>
          <w:rFonts w:ascii="Times New Roman" w:hAnsi="Times New Roman"/>
          <w:bCs/>
          <w:sz w:val="24"/>
          <w:szCs w:val="24"/>
        </w:rPr>
        <w:t xml:space="preserve">There is no statistical methodology involved in this collection.  </w:t>
      </w:r>
    </w:p>
    <w:sectPr w:rsidRPr="006625E7" w:rsidR="0041188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1BD8F" w14:textId="77777777" w:rsidR="00F470A3" w:rsidRDefault="00F470A3">
      <w:pPr>
        <w:spacing w:after="0" w:line="240" w:lineRule="auto"/>
      </w:pPr>
      <w:r>
        <w:separator/>
      </w:r>
    </w:p>
  </w:endnote>
  <w:endnote w:type="continuationSeparator" w:id="0">
    <w:p w14:paraId="52C16E7B" w14:textId="77777777" w:rsidR="00F470A3" w:rsidRDefault="00F4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F9450" w14:textId="77777777" w:rsidR="006906A7" w:rsidRDefault="00562915" w:rsidP="00690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98254" w14:textId="77777777" w:rsidR="006906A7" w:rsidRDefault="006906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D0B1B" w14:textId="77777777" w:rsidR="006906A7" w:rsidRDefault="00562915" w:rsidP="00690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8FF">
      <w:rPr>
        <w:rStyle w:val="PageNumber"/>
        <w:noProof/>
      </w:rPr>
      <w:t>2</w:t>
    </w:r>
    <w:r>
      <w:rPr>
        <w:rStyle w:val="PageNumber"/>
      </w:rPr>
      <w:fldChar w:fldCharType="end"/>
    </w:r>
  </w:p>
  <w:p w14:paraId="6FAFF79A" w14:textId="77777777" w:rsidR="006906A7" w:rsidRDefault="006906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D4F7B" w14:textId="77777777" w:rsidR="00F470A3" w:rsidRDefault="00F470A3">
      <w:pPr>
        <w:spacing w:after="0" w:line="240" w:lineRule="auto"/>
      </w:pPr>
      <w:r>
        <w:separator/>
      </w:r>
    </w:p>
  </w:footnote>
  <w:footnote w:type="continuationSeparator" w:id="0">
    <w:p w14:paraId="1A596D99" w14:textId="77777777" w:rsidR="00F470A3" w:rsidRDefault="00F470A3">
      <w:pPr>
        <w:spacing w:after="0" w:line="240" w:lineRule="auto"/>
      </w:pPr>
      <w:r>
        <w:continuationSeparator/>
      </w:r>
    </w:p>
  </w:footnote>
  <w:footnote w:id="1">
    <w:p w14:paraId="6FC59AC2" w14:textId="4FE9AE17" w:rsidR="00AD3C6C" w:rsidRDefault="00AD3C6C" w:rsidP="00AD3C6C">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September 23, 2019.  The wage multiplier is calculated by dividing total compensation for all workers of $36.77 by wages and salaries for all workers of $25.22 per hour yielding a benefits multiplier of approximately 1.46</w:t>
      </w:r>
    </w:p>
  </w:footnote>
  <w:footnote w:id="2">
    <w:p w14:paraId="0ACEF89F" w14:textId="77777777" w:rsidR="00AD3C6C" w:rsidRDefault="00AD3C6C" w:rsidP="00AD3C6C">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is available online at: </w:t>
      </w:r>
      <w:hyperlink r:id="rId2" w:history="1">
        <w:r w:rsidRPr="00665CD8">
          <w:rPr>
            <w:rStyle w:val="Hyperlink"/>
            <w:rFonts w:ascii="Times New Roman" w:hAnsi="Times New Roman" w:cs="Times New Roman"/>
          </w:rPr>
          <w:t>https://www.bls.gov/oes/tables.htm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13431"/>
    <w:rsid w:val="00022C33"/>
    <w:rsid w:val="00026AE9"/>
    <w:rsid w:val="0003130A"/>
    <w:rsid w:val="000315B9"/>
    <w:rsid w:val="000325CA"/>
    <w:rsid w:val="00040C42"/>
    <w:rsid w:val="00040E52"/>
    <w:rsid w:val="0005242A"/>
    <w:rsid w:val="00054D8A"/>
    <w:rsid w:val="000A4CC2"/>
    <w:rsid w:val="000C107E"/>
    <w:rsid w:val="000D3C58"/>
    <w:rsid w:val="000E2546"/>
    <w:rsid w:val="000E7DD3"/>
    <w:rsid w:val="000F46B2"/>
    <w:rsid w:val="000F4FBA"/>
    <w:rsid w:val="00105A6E"/>
    <w:rsid w:val="00106954"/>
    <w:rsid w:val="00113B8D"/>
    <w:rsid w:val="00175541"/>
    <w:rsid w:val="00187066"/>
    <w:rsid w:val="00193934"/>
    <w:rsid w:val="001A1B3E"/>
    <w:rsid w:val="001B4BC4"/>
    <w:rsid w:val="001F4D25"/>
    <w:rsid w:val="002076AD"/>
    <w:rsid w:val="0021615E"/>
    <w:rsid w:val="00234D89"/>
    <w:rsid w:val="00252497"/>
    <w:rsid w:val="00265C27"/>
    <w:rsid w:val="00266D19"/>
    <w:rsid w:val="00267E30"/>
    <w:rsid w:val="0027258B"/>
    <w:rsid w:val="00282D20"/>
    <w:rsid w:val="002B27E9"/>
    <w:rsid w:val="002B2B7C"/>
    <w:rsid w:val="002B4A40"/>
    <w:rsid w:val="002B7817"/>
    <w:rsid w:val="002C01F1"/>
    <w:rsid w:val="002D6017"/>
    <w:rsid w:val="002D6A48"/>
    <w:rsid w:val="0031725F"/>
    <w:rsid w:val="003218EA"/>
    <w:rsid w:val="00372A10"/>
    <w:rsid w:val="00374258"/>
    <w:rsid w:val="00374C74"/>
    <w:rsid w:val="00382BF4"/>
    <w:rsid w:val="003946B1"/>
    <w:rsid w:val="00394B74"/>
    <w:rsid w:val="003C3F58"/>
    <w:rsid w:val="003E4550"/>
    <w:rsid w:val="003E757D"/>
    <w:rsid w:val="003F4DD0"/>
    <w:rsid w:val="004077DF"/>
    <w:rsid w:val="00411880"/>
    <w:rsid w:val="00413814"/>
    <w:rsid w:val="00440CB7"/>
    <w:rsid w:val="004434E0"/>
    <w:rsid w:val="00443902"/>
    <w:rsid w:val="00444BFD"/>
    <w:rsid w:val="00447AB1"/>
    <w:rsid w:val="004548E9"/>
    <w:rsid w:val="00455ECE"/>
    <w:rsid w:val="004768FF"/>
    <w:rsid w:val="00491045"/>
    <w:rsid w:val="004B1CE4"/>
    <w:rsid w:val="004E13EF"/>
    <w:rsid w:val="00503BC6"/>
    <w:rsid w:val="005119A9"/>
    <w:rsid w:val="0053468C"/>
    <w:rsid w:val="00545D3C"/>
    <w:rsid w:val="00562915"/>
    <w:rsid w:val="005656B3"/>
    <w:rsid w:val="00567B2C"/>
    <w:rsid w:val="00590888"/>
    <w:rsid w:val="005B3854"/>
    <w:rsid w:val="005B4343"/>
    <w:rsid w:val="005C75AA"/>
    <w:rsid w:val="005D1510"/>
    <w:rsid w:val="005D1DD4"/>
    <w:rsid w:val="005E1FB2"/>
    <w:rsid w:val="005E6793"/>
    <w:rsid w:val="005E7D9E"/>
    <w:rsid w:val="005F36C2"/>
    <w:rsid w:val="005F39DE"/>
    <w:rsid w:val="00607478"/>
    <w:rsid w:val="00613171"/>
    <w:rsid w:val="0064612E"/>
    <w:rsid w:val="006625E7"/>
    <w:rsid w:val="00667A0E"/>
    <w:rsid w:val="00677C34"/>
    <w:rsid w:val="00687E72"/>
    <w:rsid w:val="006906A7"/>
    <w:rsid w:val="0069592F"/>
    <w:rsid w:val="006D74C0"/>
    <w:rsid w:val="006E6E57"/>
    <w:rsid w:val="006F0E44"/>
    <w:rsid w:val="007050DB"/>
    <w:rsid w:val="007103B8"/>
    <w:rsid w:val="0071426B"/>
    <w:rsid w:val="007142CA"/>
    <w:rsid w:val="007220B0"/>
    <w:rsid w:val="00724EAB"/>
    <w:rsid w:val="00757122"/>
    <w:rsid w:val="007767E8"/>
    <w:rsid w:val="0079369A"/>
    <w:rsid w:val="007A5B24"/>
    <w:rsid w:val="007B279E"/>
    <w:rsid w:val="007B5775"/>
    <w:rsid w:val="007C1210"/>
    <w:rsid w:val="00825DED"/>
    <w:rsid w:val="008301DB"/>
    <w:rsid w:val="008508EF"/>
    <w:rsid w:val="00854313"/>
    <w:rsid w:val="00860EC4"/>
    <w:rsid w:val="008634C2"/>
    <w:rsid w:val="00865AF6"/>
    <w:rsid w:val="00884FB6"/>
    <w:rsid w:val="00890005"/>
    <w:rsid w:val="008F7367"/>
    <w:rsid w:val="00912876"/>
    <w:rsid w:val="00915C50"/>
    <w:rsid w:val="00921795"/>
    <w:rsid w:val="009366C6"/>
    <w:rsid w:val="00941410"/>
    <w:rsid w:val="00942AD5"/>
    <w:rsid w:val="00942BF3"/>
    <w:rsid w:val="00957DDE"/>
    <w:rsid w:val="009760D8"/>
    <w:rsid w:val="00977ED2"/>
    <w:rsid w:val="00997608"/>
    <w:rsid w:val="009B3A87"/>
    <w:rsid w:val="009F288F"/>
    <w:rsid w:val="009F42AD"/>
    <w:rsid w:val="00A2416F"/>
    <w:rsid w:val="00A418C9"/>
    <w:rsid w:val="00A44995"/>
    <w:rsid w:val="00A638AD"/>
    <w:rsid w:val="00A92D0D"/>
    <w:rsid w:val="00AB0809"/>
    <w:rsid w:val="00AB1B3D"/>
    <w:rsid w:val="00AD34F4"/>
    <w:rsid w:val="00AD3C6C"/>
    <w:rsid w:val="00AE5385"/>
    <w:rsid w:val="00B024E1"/>
    <w:rsid w:val="00B058BE"/>
    <w:rsid w:val="00B40BB9"/>
    <w:rsid w:val="00B52CE6"/>
    <w:rsid w:val="00B6472F"/>
    <w:rsid w:val="00B65504"/>
    <w:rsid w:val="00B72B3B"/>
    <w:rsid w:val="00B75166"/>
    <w:rsid w:val="00B92B09"/>
    <w:rsid w:val="00BA1EF2"/>
    <w:rsid w:val="00BA33B5"/>
    <w:rsid w:val="00BA7098"/>
    <w:rsid w:val="00BB543D"/>
    <w:rsid w:val="00BC379E"/>
    <w:rsid w:val="00BC42F9"/>
    <w:rsid w:val="00BC4902"/>
    <w:rsid w:val="00BE2C21"/>
    <w:rsid w:val="00BE42FA"/>
    <w:rsid w:val="00BE7C8E"/>
    <w:rsid w:val="00C27DF2"/>
    <w:rsid w:val="00C35EC0"/>
    <w:rsid w:val="00C94C39"/>
    <w:rsid w:val="00CB2BB4"/>
    <w:rsid w:val="00CC6B8B"/>
    <w:rsid w:val="00CE10DB"/>
    <w:rsid w:val="00CF2647"/>
    <w:rsid w:val="00D1518C"/>
    <w:rsid w:val="00D173AA"/>
    <w:rsid w:val="00D26BF5"/>
    <w:rsid w:val="00D31244"/>
    <w:rsid w:val="00D33C35"/>
    <w:rsid w:val="00D33DB5"/>
    <w:rsid w:val="00D50F25"/>
    <w:rsid w:val="00D545E2"/>
    <w:rsid w:val="00DC1737"/>
    <w:rsid w:val="00DD5A19"/>
    <w:rsid w:val="00DD69DE"/>
    <w:rsid w:val="00DE4B58"/>
    <w:rsid w:val="00E026A9"/>
    <w:rsid w:val="00E07A0D"/>
    <w:rsid w:val="00E3309A"/>
    <w:rsid w:val="00E97251"/>
    <w:rsid w:val="00EA692B"/>
    <w:rsid w:val="00EB739B"/>
    <w:rsid w:val="00EC1025"/>
    <w:rsid w:val="00EE380D"/>
    <w:rsid w:val="00EE63F2"/>
    <w:rsid w:val="00EF54E3"/>
    <w:rsid w:val="00F02167"/>
    <w:rsid w:val="00F02802"/>
    <w:rsid w:val="00F4334D"/>
    <w:rsid w:val="00F470A3"/>
    <w:rsid w:val="00F71F77"/>
    <w:rsid w:val="00F765D3"/>
    <w:rsid w:val="00F812D5"/>
    <w:rsid w:val="00F9691C"/>
    <w:rsid w:val="00FD5498"/>
    <w:rsid w:val="00FF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0679"/>
  <w15:docId w15:val="{F16E1E92-F6FF-4B1D-9BE0-23ED527A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b/>
      <w:sz w:val="32"/>
      <w:szCs w:val="20"/>
    </w:rPr>
  </w:style>
  <w:style w:type="character" w:customStyle="1" w:styleId="TitleChar">
    <w:name w:val="Title Char"/>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sz w:val="26"/>
      <w:szCs w:val="20"/>
    </w:rPr>
  </w:style>
  <w:style w:type="character" w:customStyle="1" w:styleId="BodyTextIndentChar">
    <w:name w:val="Body Text Indent Char"/>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uiPriority w:val="99"/>
    <w:semiHidden/>
    <w:unhideWhenUsed/>
    <w:rsid w:val="00977ED2"/>
    <w:rPr>
      <w:sz w:val="16"/>
      <w:szCs w:val="16"/>
    </w:rPr>
  </w:style>
  <w:style w:type="paragraph" w:styleId="CommentText">
    <w:name w:val="annotation text"/>
    <w:basedOn w:val="Normal"/>
    <w:link w:val="CommentTextChar"/>
    <w:uiPriority w:val="99"/>
    <w:semiHidden/>
    <w:unhideWhenUsed/>
    <w:rsid w:val="00977ED2"/>
    <w:rPr>
      <w:sz w:val="20"/>
      <w:szCs w:val="20"/>
    </w:rPr>
  </w:style>
  <w:style w:type="character" w:customStyle="1" w:styleId="CommentTextChar">
    <w:name w:val="Comment Text Char"/>
    <w:basedOn w:val="DefaultParagraphFont"/>
    <w:link w:val="CommentText"/>
    <w:uiPriority w:val="99"/>
    <w:semiHidden/>
    <w:rsid w:val="00977ED2"/>
  </w:style>
  <w:style w:type="paragraph" w:styleId="CommentSubject">
    <w:name w:val="annotation subject"/>
    <w:basedOn w:val="CommentText"/>
    <w:next w:val="CommentText"/>
    <w:link w:val="CommentSubjectChar"/>
    <w:uiPriority w:val="99"/>
    <w:semiHidden/>
    <w:unhideWhenUsed/>
    <w:rsid w:val="00977ED2"/>
    <w:rPr>
      <w:b/>
      <w:bCs/>
    </w:rPr>
  </w:style>
  <w:style w:type="character" w:customStyle="1" w:styleId="CommentSubjectChar">
    <w:name w:val="Comment Subject Char"/>
    <w:link w:val="CommentSubject"/>
    <w:uiPriority w:val="99"/>
    <w:semiHidden/>
    <w:rsid w:val="00977ED2"/>
    <w:rPr>
      <w:b/>
      <w:bCs/>
    </w:rPr>
  </w:style>
  <w:style w:type="paragraph" w:styleId="BalloonText">
    <w:name w:val="Balloon Text"/>
    <w:basedOn w:val="Normal"/>
    <w:link w:val="BalloonTextChar"/>
    <w:uiPriority w:val="99"/>
    <w:semiHidden/>
    <w:unhideWhenUsed/>
    <w:rsid w:val="00977ED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7ED2"/>
    <w:rPr>
      <w:rFonts w:ascii="Segoe UI" w:hAnsi="Segoe UI" w:cs="Segoe UI"/>
      <w:sz w:val="18"/>
      <w:szCs w:val="18"/>
    </w:rPr>
  </w:style>
  <w:style w:type="character" w:styleId="FollowedHyperlink">
    <w:name w:val="FollowedHyperlink"/>
    <w:basedOn w:val="DefaultParagraphFont"/>
    <w:uiPriority w:val="99"/>
    <w:semiHidden/>
    <w:unhideWhenUsed/>
    <w:rsid w:val="00677C34"/>
    <w:rPr>
      <w:color w:val="954F72" w:themeColor="followedHyperlink"/>
      <w:u w:val="single"/>
    </w:rPr>
  </w:style>
  <w:style w:type="paragraph" w:styleId="FootnoteText">
    <w:name w:val="footnote text"/>
    <w:basedOn w:val="Normal"/>
    <w:link w:val="FootnoteTextChar"/>
    <w:uiPriority w:val="99"/>
    <w:semiHidden/>
    <w:unhideWhenUsed/>
    <w:rsid w:val="00AD3C6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3C6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D3C6C"/>
    <w:rPr>
      <w:vertAlign w:val="superscript"/>
    </w:rPr>
  </w:style>
  <w:style w:type="character" w:styleId="UnresolvedMention">
    <w:name w:val="Unresolved Mention"/>
    <w:basedOn w:val="DefaultParagraphFont"/>
    <w:uiPriority w:val="99"/>
    <w:semiHidden/>
    <w:unhideWhenUsed/>
    <w:rsid w:val="00B75166"/>
    <w:rPr>
      <w:color w:val="605E5C"/>
      <w:shd w:val="clear" w:color="auto" w:fill="E1DFDD"/>
    </w:rPr>
  </w:style>
  <w:style w:type="paragraph" w:styleId="Revision">
    <w:name w:val="Revision"/>
    <w:hidden/>
    <w:uiPriority w:val="99"/>
    <w:semiHidden/>
    <w:rsid w:val="00613171"/>
    <w:rPr>
      <w:sz w:val="22"/>
      <w:szCs w:val="22"/>
    </w:rPr>
  </w:style>
  <w:style w:type="table" w:customStyle="1" w:styleId="TableGrid2">
    <w:name w:val="Table Grid2"/>
    <w:basedOn w:val="TableNormal"/>
    <w:next w:val="TableGrid"/>
    <w:uiPriority w:val="39"/>
    <w:rsid w:val="00915C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15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709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library/viewRecord.do?fromSearch=fromsearch&amp;id=48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20Tables/html/DCB.aspx.%20Accessed%20March%2030" TargetMode="External"/><Relationship Id="rId4" Type="http://schemas.openxmlformats.org/officeDocument/2006/relationships/settings" Target="settings.xml"/><Relationship Id="rId9" Type="http://schemas.openxmlformats.org/officeDocument/2006/relationships/hyperlink" Target="mailto:GPDEHPinfo@fema.dh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D44FB-2FEA-47A8-AF9E-3F0D0626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3457</Words>
  <Characters>21230</Characters>
  <Application>Microsoft Office Word</Application>
  <DocSecurity>0</DocSecurity>
  <Lines>359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24598</CharactersWithSpaces>
  <SharedDoc>false</SharedDoc>
  <HLinks>
    <vt:vector size="18" baseType="variant">
      <vt:variant>
        <vt:i4>1441878</vt:i4>
      </vt:variant>
      <vt:variant>
        <vt:i4>72</vt:i4>
      </vt:variant>
      <vt:variant>
        <vt:i4>0</vt:i4>
      </vt:variant>
      <vt:variant>
        <vt:i4>5</vt:i4>
      </vt:variant>
      <vt:variant>
        <vt:lpwstr>http://www.bls.gov/oes/current/oes192041.htm</vt:lpwstr>
      </vt:variant>
      <vt:variant>
        <vt:lpwstr/>
      </vt:variant>
      <vt:variant>
        <vt:i4>4456482</vt:i4>
      </vt:variant>
      <vt:variant>
        <vt:i4>9</vt:i4>
      </vt:variant>
      <vt:variant>
        <vt:i4>0</vt:i4>
      </vt:variant>
      <vt:variant>
        <vt:i4>5</vt:i4>
      </vt:variant>
      <vt:variant>
        <vt:lpwstr>mailto:GPDEHPinfo@fema.dhs.gov</vt:lpwstr>
      </vt:variant>
      <vt:variant>
        <vt:lpwstr/>
      </vt:variant>
      <vt:variant>
        <vt:i4>8192043</vt:i4>
      </vt:variant>
      <vt:variant>
        <vt:i4>6</vt:i4>
      </vt:variant>
      <vt:variant>
        <vt:i4>0</vt:i4>
      </vt:variant>
      <vt:variant>
        <vt:i4>5</vt:i4>
      </vt:variant>
      <vt:variant>
        <vt:lpwstr>http://www.fema.gov/library/viewRecord.do?fromSearch=fromsearch&amp;id=4802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Harrell, Levi</cp:lastModifiedBy>
  <cp:revision>4</cp:revision>
  <dcterms:created xsi:type="dcterms:W3CDTF">2020-04-28T17:53:00Z</dcterms:created>
  <dcterms:modified xsi:type="dcterms:W3CDTF">2020-04-28T18:32:00Z</dcterms:modified>
</cp:coreProperties>
</file>