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8A3D19" w14:textId="77777777" w:rsidR="00D25BF1" w:rsidRDefault="00D25BF1" w:rsidP="00D25BF1">
      <w:pPr>
        <w:jc w:val="right"/>
        <w:rPr>
          <w:rFonts w:ascii="Arial" w:hAnsi="Arial" w:cs="Arial"/>
          <w:b/>
          <w:sz w:val="36"/>
          <w:szCs w:val="36"/>
        </w:rPr>
      </w:pPr>
      <w:bookmarkStart w:id="0" w:name="_Hlk12025114"/>
      <w:bookmarkStart w:id="1" w:name="_GoBack"/>
      <w:bookmarkEnd w:id="1"/>
    </w:p>
    <w:p w14:paraId="0E56C66C" w14:textId="77777777" w:rsidR="00D25BF1" w:rsidRPr="001A0F26" w:rsidRDefault="00D25BF1" w:rsidP="00D25BF1">
      <w:pPr>
        <w:rPr>
          <w:rFonts w:ascii="Arial" w:hAnsi="Arial" w:cs="Arial"/>
        </w:rPr>
      </w:pPr>
    </w:p>
    <w:p w14:paraId="7F0C9B43" w14:textId="77777777" w:rsidR="00D25BF1" w:rsidRPr="001A0F26" w:rsidRDefault="00D25BF1" w:rsidP="00D25BF1">
      <w:pPr>
        <w:rPr>
          <w:rFonts w:ascii="Arial" w:hAnsi="Arial" w:cs="Arial"/>
        </w:rPr>
      </w:pPr>
    </w:p>
    <w:p w14:paraId="21A7314F" w14:textId="77777777" w:rsidR="00D25BF1" w:rsidRDefault="00D25BF1" w:rsidP="000C1E4C">
      <w:pPr>
        <w:pStyle w:val="Volume"/>
      </w:pPr>
      <w:r w:rsidRPr="00EE02C3">
        <w:t>Integrated Postsecondary Education Data System (IPEDS) 20</w:t>
      </w:r>
      <w:r>
        <w:t>19-20 through 2021</w:t>
      </w:r>
      <w:r w:rsidRPr="00EE02C3">
        <w:t>-</w:t>
      </w:r>
      <w:r>
        <w:t>22</w:t>
      </w:r>
    </w:p>
    <w:p w14:paraId="261B62A4" w14:textId="77777777" w:rsidR="00D25BF1" w:rsidRPr="00EE02C3" w:rsidRDefault="00D25BF1" w:rsidP="000C1E4C">
      <w:pPr>
        <w:pStyle w:val="Volume"/>
      </w:pPr>
    </w:p>
    <w:p w14:paraId="03A402BD" w14:textId="061D414F" w:rsidR="00D25BF1" w:rsidRDefault="00D25BF1" w:rsidP="000C1E4C">
      <w:pPr>
        <w:pStyle w:val="Volume"/>
      </w:pPr>
    </w:p>
    <w:p w14:paraId="76F98A8E" w14:textId="14E3B279" w:rsidR="00196057" w:rsidRDefault="003C4A5C" w:rsidP="00FD5054">
      <w:pPr>
        <w:pStyle w:val="Volume"/>
        <w:spacing w:after="360"/>
      </w:pPr>
      <w:r>
        <w:t>Appendix</w:t>
      </w:r>
      <w:r w:rsidR="00196057" w:rsidRPr="00196057">
        <w:t xml:space="preserve"> A</w:t>
      </w:r>
    </w:p>
    <w:p w14:paraId="7934A303" w14:textId="0C76028C" w:rsidR="00196057" w:rsidRPr="00196057" w:rsidRDefault="00196057" w:rsidP="000C1E4C">
      <w:pPr>
        <w:pStyle w:val="Volume"/>
        <w:spacing w:before="240"/>
      </w:pPr>
      <w:r w:rsidRPr="00196057">
        <w:t>Detailed Proposed Changes to Forms by IPEDS Survey Component</w:t>
      </w:r>
    </w:p>
    <w:p w14:paraId="4609BDA0" w14:textId="77777777" w:rsidR="00D25BF1" w:rsidRDefault="00D25BF1" w:rsidP="000C1E4C">
      <w:pPr>
        <w:pStyle w:val="Volume"/>
      </w:pPr>
    </w:p>
    <w:p w14:paraId="7EBC84B7" w14:textId="77777777" w:rsidR="00D25BF1" w:rsidRDefault="00D25BF1" w:rsidP="000C1E4C">
      <w:pPr>
        <w:pStyle w:val="Volume"/>
      </w:pPr>
    </w:p>
    <w:p w14:paraId="1F709BF7" w14:textId="77777777" w:rsidR="00FD5054" w:rsidRPr="00EE02C3" w:rsidRDefault="00FD5054" w:rsidP="000C1E4C">
      <w:pPr>
        <w:pStyle w:val="Volume"/>
      </w:pPr>
    </w:p>
    <w:p w14:paraId="213C640F" w14:textId="77777777" w:rsidR="00D25BF1" w:rsidRPr="00EE02C3" w:rsidRDefault="00D25BF1" w:rsidP="000C1E4C">
      <w:pPr>
        <w:pStyle w:val="Volume"/>
      </w:pPr>
      <w:r w:rsidRPr="0032728B">
        <w:t>OMB No. 1850-</w:t>
      </w:r>
      <w:r w:rsidRPr="00EF1C01">
        <w:t>0582 v.2</w:t>
      </w:r>
      <w:r>
        <w:t>4</w:t>
      </w:r>
    </w:p>
    <w:p w14:paraId="24D7456E" w14:textId="77777777" w:rsidR="00D25BF1" w:rsidRPr="00EE02C3" w:rsidRDefault="00D25BF1" w:rsidP="00D25BF1">
      <w:pPr>
        <w:rPr>
          <w:rFonts w:cs="Arial"/>
        </w:rPr>
      </w:pPr>
    </w:p>
    <w:p w14:paraId="718F465A" w14:textId="77777777" w:rsidR="00D25BF1" w:rsidRPr="00EE02C3" w:rsidRDefault="00D25BF1" w:rsidP="00D25BF1">
      <w:pPr>
        <w:rPr>
          <w:rFonts w:cs="Arial"/>
        </w:rPr>
      </w:pPr>
    </w:p>
    <w:p w14:paraId="208AF025" w14:textId="77777777" w:rsidR="00D25BF1" w:rsidRPr="00EE02C3" w:rsidRDefault="00D25BF1" w:rsidP="00D25BF1">
      <w:pPr>
        <w:rPr>
          <w:rFonts w:cs="Arial"/>
        </w:rPr>
      </w:pPr>
    </w:p>
    <w:p w14:paraId="0D2B8241" w14:textId="77777777" w:rsidR="00D25BF1" w:rsidRPr="00EE02C3" w:rsidRDefault="00D25BF1" w:rsidP="00D25BF1">
      <w:pPr>
        <w:pStyle w:val="submit"/>
        <w:spacing w:after="60"/>
        <w:jc w:val="both"/>
        <w:rPr>
          <w:rFonts w:asciiTheme="minorHAnsi" w:hAnsiTheme="minorHAnsi"/>
          <w:i/>
          <w:sz w:val="22"/>
          <w:szCs w:val="22"/>
        </w:rPr>
      </w:pPr>
    </w:p>
    <w:p w14:paraId="391DDA2D" w14:textId="77777777" w:rsidR="00D25BF1" w:rsidRPr="00CB434C" w:rsidRDefault="00D25BF1" w:rsidP="00D25BF1">
      <w:pPr>
        <w:pStyle w:val="submit"/>
        <w:spacing w:after="60"/>
        <w:jc w:val="both"/>
        <w:rPr>
          <w:rFonts w:asciiTheme="minorHAnsi" w:hAnsiTheme="minorHAnsi"/>
          <w:i/>
          <w:sz w:val="28"/>
          <w:szCs w:val="28"/>
        </w:rPr>
      </w:pPr>
      <w:r w:rsidRPr="00CB434C">
        <w:rPr>
          <w:rFonts w:asciiTheme="minorHAnsi" w:hAnsiTheme="minorHAnsi"/>
          <w:i/>
          <w:sz w:val="28"/>
          <w:szCs w:val="28"/>
        </w:rPr>
        <w:t>Submitted by:</w:t>
      </w:r>
    </w:p>
    <w:p w14:paraId="4947D281" w14:textId="7D1303CA" w:rsidR="00D25BF1" w:rsidRPr="00CB434C" w:rsidRDefault="00D25BF1" w:rsidP="000C1E4C">
      <w:pPr>
        <w:spacing w:after="0"/>
        <w:jc w:val="both"/>
        <w:rPr>
          <w:rFonts w:cs="Arial"/>
          <w:sz w:val="28"/>
          <w:szCs w:val="28"/>
        </w:rPr>
      </w:pPr>
      <w:r w:rsidRPr="00CB434C">
        <w:rPr>
          <w:rFonts w:cs="Arial"/>
          <w:sz w:val="28"/>
          <w:szCs w:val="28"/>
        </w:rPr>
        <w:t>National Center for Education Statistics</w:t>
      </w:r>
      <w:r w:rsidR="00CB434C">
        <w:rPr>
          <w:rFonts w:cs="Arial"/>
          <w:sz w:val="28"/>
          <w:szCs w:val="28"/>
        </w:rPr>
        <w:t xml:space="preserve"> (NCES)</w:t>
      </w:r>
    </w:p>
    <w:p w14:paraId="636376C1" w14:textId="77777777" w:rsidR="00D25BF1" w:rsidRPr="00CB434C" w:rsidRDefault="00D25BF1" w:rsidP="000C1E4C">
      <w:pPr>
        <w:spacing w:after="0"/>
        <w:jc w:val="both"/>
        <w:rPr>
          <w:rFonts w:cs="Arial"/>
          <w:sz w:val="28"/>
          <w:szCs w:val="28"/>
        </w:rPr>
      </w:pPr>
      <w:r w:rsidRPr="00CB434C">
        <w:rPr>
          <w:rFonts w:cs="Arial"/>
          <w:sz w:val="28"/>
          <w:szCs w:val="28"/>
        </w:rPr>
        <w:t>Institute of Education Sciences</w:t>
      </w:r>
    </w:p>
    <w:p w14:paraId="79CFA66C" w14:textId="77777777" w:rsidR="00D25BF1" w:rsidRPr="00CB434C" w:rsidRDefault="00D25BF1" w:rsidP="00D25BF1">
      <w:pPr>
        <w:jc w:val="both"/>
        <w:rPr>
          <w:rFonts w:cs="Arial"/>
          <w:sz w:val="28"/>
          <w:szCs w:val="28"/>
        </w:rPr>
      </w:pPr>
      <w:r w:rsidRPr="00CB434C">
        <w:rPr>
          <w:rFonts w:cs="Arial"/>
          <w:sz w:val="28"/>
          <w:szCs w:val="28"/>
        </w:rPr>
        <w:t>U.S. Department of Education</w:t>
      </w:r>
    </w:p>
    <w:p w14:paraId="2E30750C" w14:textId="77777777" w:rsidR="00D25BF1" w:rsidRPr="00EE02C3" w:rsidRDefault="00D25BF1" w:rsidP="00D25BF1">
      <w:pPr>
        <w:pStyle w:val="Text"/>
      </w:pPr>
    </w:p>
    <w:p w14:paraId="6E4745ED" w14:textId="77777777" w:rsidR="00D25BF1" w:rsidRPr="00EE02C3" w:rsidRDefault="00D25BF1" w:rsidP="00D25BF1">
      <w:pPr>
        <w:widowControl w:val="0"/>
        <w:rPr>
          <w:rFonts w:cs="Arial"/>
        </w:rPr>
      </w:pPr>
    </w:p>
    <w:p w14:paraId="4793830E" w14:textId="2CF6378D" w:rsidR="00B700CB" w:rsidRDefault="00D41916" w:rsidP="00B700CB">
      <w:pPr>
        <w:pStyle w:val="Heading4"/>
        <w:keepNext w:val="0"/>
        <w:keepLines w:val="0"/>
        <w:widowControl w:val="0"/>
        <w:spacing w:before="0" w:line="240" w:lineRule="auto"/>
        <w:rPr>
          <w:rFonts w:asciiTheme="minorHAnsi" w:eastAsia="Times New Roman" w:hAnsiTheme="minorHAnsi" w:cs="Arial"/>
          <w:bCs w:val="0"/>
          <w:i w:val="0"/>
          <w:iCs w:val="0"/>
          <w:color w:val="auto"/>
          <w:sz w:val="24"/>
          <w:szCs w:val="20"/>
        </w:rPr>
      </w:pPr>
      <w:r>
        <w:rPr>
          <w:rFonts w:asciiTheme="minorHAnsi" w:eastAsia="Times New Roman" w:hAnsiTheme="minorHAnsi" w:cs="Arial"/>
          <w:bCs w:val="0"/>
          <w:i w:val="0"/>
          <w:iCs w:val="0"/>
          <w:color w:val="auto"/>
          <w:sz w:val="24"/>
          <w:szCs w:val="20"/>
        </w:rPr>
        <w:t>March</w:t>
      </w:r>
      <w:r w:rsidR="00B700CB" w:rsidRPr="005A7673">
        <w:rPr>
          <w:rFonts w:asciiTheme="minorHAnsi" w:eastAsia="Times New Roman" w:hAnsiTheme="minorHAnsi" w:cs="Arial"/>
          <w:bCs w:val="0"/>
          <w:i w:val="0"/>
          <w:iCs w:val="0"/>
          <w:color w:val="auto"/>
          <w:sz w:val="24"/>
          <w:szCs w:val="20"/>
        </w:rPr>
        <w:t xml:space="preserve"> 2019</w:t>
      </w:r>
    </w:p>
    <w:p w14:paraId="01178489" w14:textId="004ECA48" w:rsidR="00B700CB" w:rsidRPr="006478B3" w:rsidRDefault="00B700CB" w:rsidP="00B700CB">
      <w:pPr>
        <w:pStyle w:val="Heading4"/>
        <w:keepNext w:val="0"/>
        <w:keepLines w:val="0"/>
        <w:widowControl w:val="0"/>
        <w:spacing w:before="0" w:line="240" w:lineRule="auto"/>
        <w:rPr>
          <w:rFonts w:asciiTheme="minorHAnsi" w:eastAsia="Times New Roman" w:hAnsiTheme="minorHAnsi" w:cs="Arial"/>
          <w:bCs w:val="0"/>
          <w:i w:val="0"/>
          <w:iCs w:val="0"/>
          <w:color w:val="auto"/>
          <w:sz w:val="24"/>
          <w:szCs w:val="20"/>
        </w:rPr>
      </w:pPr>
      <w:r w:rsidRPr="006478B3">
        <w:rPr>
          <w:rFonts w:asciiTheme="minorHAnsi" w:eastAsia="Times New Roman" w:hAnsiTheme="minorHAnsi" w:cs="Arial"/>
          <w:bCs w:val="0"/>
          <w:i w:val="0"/>
          <w:iCs w:val="0"/>
          <w:color w:val="auto"/>
          <w:sz w:val="24"/>
          <w:szCs w:val="20"/>
        </w:rPr>
        <w:t>revised Ju</w:t>
      </w:r>
      <w:r w:rsidR="00A34EFC" w:rsidRPr="006478B3">
        <w:rPr>
          <w:rFonts w:asciiTheme="minorHAnsi" w:eastAsia="Times New Roman" w:hAnsiTheme="minorHAnsi" w:cs="Arial"/>
          <w:bCs w:val="0"/>
          <w:i w:val="0"/>
          <w:iCs w:val="0"/>
          <w:color w:val="auto"/>
          <w:sz w:val="24"/>
          <w:szCs w:val="20"/>
        </w:rPr>
        <w:t xml:space="preserve">ly </w:t>
      </w:r>
      <w:r w:rsidRPr="006478B3">
        <w:rPr>
          <w:rFonts w:asciiTheme="minorHAnsi" w:eastAsia="Times New Roman" w:hAnsiTheme="minorHAnsi" w:cs="Arial"/>
          <w:bCs w:val="0"/>
          <w:i w:val="0"/>
          <w:iCs w:val="0"/>
          <w:color w:val="auto"/>
          <w:sz w:val="24"/>
          <w:szCs w:val="20"/>
        </w:rPr>
        <w:t>2019</w:t>
      </w:r>
    </w:p>
    <w:p w14:paraId="5B50DE16" w14:textId="60787462" w:rsidR="000C1E4C" w:rsidRDefault="000C1E4C">
      <w:r>
        <w:br w:type="page"/>
      </w:r>
    </w:p>
    <w:p w14:paraId="0646E897" w14:textId="2B5E44C7" w:rsidR="00BF26F2" w:rsidRPr="008E6EFA" w:rsidRDefault="003C4A5C" w:rsidP="00D60B3D">
      <w:pPr>
        <w:pStyle w:val="Heading2"/>
        <w:spacing w:after="0"/>
        <w:jc w:val="center"/>
        <w:rPr>
          <w:i/>
        </w:rPr>
      </w:pPr>
      <w:r>
        <w:rPr>
          <w:i/>
        </w:rPr>
        <w:lastRenderedPageBreak/>
        <w:t>Appendix</w:t>
      </w:r>
      <w:r w:rsidR="00BF26F2" w:rsidRPr="008E6EFA">
        <w:rPr>
          <w:i/>
        </w:rPr>
        <w:t xml:space="preserve"> A:</w:t>
      </w:r>
      <w:bookmarkStart w:id="2" w:name="_Toc437880603"/>
    </w:p>
    <w:p w14:paraId="6955AF36" w14:textId="5C655526" w:rsidR="00BF26F2" w:rsidRPr="008E6EFA" w:rsidRDefault="00BF26F2" w:rsidP="00BF26F2">
      <w:pPr>
        <w:pStyle w:val="Heading2"/>
        <w:spacing w:after="0"/>
        <w:jc w:val="center"/>
        <w:rPr>
          <w:i/>
        </w:rPr>
      </w:pPr>
      <w:r w:rsidRPr="008E6EFA">
        <w:rPr>
          <w:i/>
        </w:rPr>
        <w:t>Detailed Proposed Changes to Forms by IPEDS Survey Component</w:t>
      </w:r>
      <w:bookmarkEnd w:id="2"/>
    </w:p>
    <w:p w14:paraId="364EC0CA" w14:textId="6FDB7A70" w:rsidR="00BF26F2" w:rsidRDefault="00BF26F2">
      <w:pPr>
        <w:rPr>
          <w:rFonts w:ascii="Arial" w:hAnsi="Arial" w:cs="Arial"/>
          <w:b/>
        </w:rPr>
      </w:pPr>
    </w:p>
    <w:p w14:paraId="47A86C27" w14:textId="77777777" w:rsidR="006A24B2" w:rsidRDefault="00E50982" w:rsidP="00E50982">
      <w:pPr>
        <w:pBdr>
          <w:bottom w:val="single" w:sz="4" w:space="1" w:color="auto"/>
        </w:pBdr>
        <w:rPr>
          <w:rFonts w:ascii="Arial" w:hAnsi="Arial" w:cs="Arial"/>
          <w:b/>
        </w:rPr>
      </w:pPr>
      <w:r>
        <w:rPr>
          <w:rFonts w:ascii="Arial" w:hAnsi="Arial" w:cs="Arial"/>
          <w:b/>
        </w:rPr>
        <w:t>Fall Collection</w:t>
      </w:r>
    </w:p>
    <w:p w14:paraId="64A746A2" w14:textId="77777777" w:rsidR="006A24B2" w:rsidRDefault="009F6D11" w:rsidP="00A46A1F">
      <w:pPr>
        <w:rPr>
          <w:rFonts w:ascii="Arial" w:hAnsi="Arial" w:cs="Arial"/>
        </w:rPr>
      </w:pPr>
      <w:r w:rsidRPr="00742F7A">
        <w:rPr>
          <w:rFonts w:ascii="Arial" w:hAnsi="Arial" w:cs="Arial"/>
          <w:b/>
        </w:rPr>
        <w:t xml:space="preserve">Institutional Characteristics (IC, includes Header and Identification). </w:t>
      </w:r>
      <w:r w:rsidRPr="00742F7A">
        <w:rPr>
          <w:rFonts w:ascii="Arial" w:hAnsi="Arial" w:cs="Arial"/>
        </w:rPr>
        <w:t>The proposed changes to the IC</w:t>
      </w:r>
      <w:r w:rsidR="00E238F8" w:rsidRPr="00742F7A">
        <w:rPr>
          <w:rFonts w:ascii="Arial" w:hAnsi="Arial" w:cs="Arial"/>
        </w:rPr>
        <w:t>/ICH</w:t>
      </w:r>
      <w:r w:rsidRPr="00742F7A">
        <w:rPr>
          <w:rFonts w:ascii="Arial" w:hAnsi="Arial" w:cs="Arial"/>
        </w:rPr>
        <w:t xml:space="preserve"> survey component are mino</w:t>
      </w:r>
      <w:r w:rsidR="00182B76" w:rsidRPr="00742F7A">
        <w:rPr>
          <w:rFonts w:ascii="Arial" w:hAnsi="Arial" w:cs="Arial"/>
        </w:rPr>
        <w:t>r</w:t>
      </w:r>
      <w:r w:rsidR="007B0D0F" w:rsidRPr="00742F7A">
        <w:rPr>
          <w:rFonts w:ascii="Arial" w:hAnsi="Arial" w:cs="Arial"/>
        </w:rPr>
        <w:t xml:space="preserve"> and are the results of two meetings of the IPEDS </w:t>
      </w:r>
      <w:r w:rsidR="00742F7A" w:rsidRPr="00742F7A">
        <w:rPr>
          <w:rFonts w:ascii="Arial" w:hAnsi="Arial" w:cs="Arial"/>
        </w:rPr>
        <w:t>Technical Review Panel (</w:t>
      </w:r>
      <w:r w:rsidR="007B0D0F" w:rsidRPr="00742F7A">
        <w:rPr>
          <w:rFonts w:ascii="Arial" w:hAnsi="Arial" w:cs="Arial"/>
        </w:rPr>
        <w:t>TRP</w:t>
      </w:r>
      <w:r w:rsidR="00742F7A" w:rsidRPr="00742F7A">
        <w:rPr>
          <w:rFonts w:ascii="Arial" w:hAnsi="Arial" w:cs="Arial"/>
        </w:rPr>
        <w:t>)</w:t>
      </w:r>
      <w:r w:rsidR="007B0D0F" w:rsidRPr="00742F7A">
        <w:rPr>
          <w:rFonts w:ascii="Arial" w:hAnsi="Arial" w:cs="Arial"/>
        </w:rPr>
        <w:t xml:space="preserve">: </w:t>
      </w:r>
      <w:r w:rsidR="00AA5E56" w:rsidRPr="00742F7A">
        <w:rPr>
          <w:rFonts w:ascii="Arial" w:hAnsi="Arial" w:cs="Arial"/>
        </w:rPr>
        <w:t xml:space="preserve">one on Subbaccalaureate Certificates held in March 2017 and another on </w:t>
      </w:r>
      <w:r w:rsidR="00742F7A">
        <w:rPr>
          <w:rFonts w:ascii="Arial" w:hAnsi="Arial" w:cs="Arial"/>
        </w:rPr>
        <w:t>Capturing and Clarifying Dual Enrollment Data</w:t>
      </w:r>
      <w:r w:rsidR="00AA5E56" w:rsidRPr="00742F7A">
        <w:rPr>
          <w:rFonts w:ascii="Arial" w:hAnsi="Arial" w:cs="Arial"/>
        </w:rPr>
        <w:t xml:space="preserve"> in the IPEDS Data Collection held in </w:t>
      </w:r>
      <w:r w:rsidR="00742F7A">
        <w:rPr>
          <w:rFonts w:ascii="Arial" w:hAnsi="Arial" w:cs="Arial"/>
        </w:rPr>
        <w:t>March 2018</w:t>
      </w:r>
      <w:r w:rsidRPr="00742F7A">
        <w:rPr>
          <w:rFonts w:ascii="Arial" w:hAnsi="Arial" w:cs="Arial"/>
        </w:rPr>
        <w:t>.</w:t>
      </w:r>
    </w:p>
    <w:p w14:paraId="3B2E450D" w14:textId="77777777" w:rsidR="006A24B2" w:rsidRDefault="00CC4872" w:rsidP="00A46A1F">
      <w:pPr>
        <w:rPr>
          <w:rFonts w:ascii="Arial" w:hAnsi="Arial" w:cs="Arial"/>
        </w:rPr>
      </w:pPr>
      <w:r w:rsidRPr="00CC4872">
        <w:rPr>
          <w:rFonts w:ascii="Arial" w:hAnsi="Arial" w:cs="Arial"/>
          <w:i/>
        </w:rPr>
        <w:t>Subbac</w:t>
      </w:r>
      <w:r>
        <w:rPr>
          <w:rFonts w:ascii="Arial" w:hAnsi="Arial" w:cs="Arial"/>
          <w:i/>
        </w:rPr>
        <w:t>c</w:t>
      </w:r>
      <w:r w:rsidRPr="00CC4872">
        <w:rPr>
          <w:rFonts w:ascii="Arial" w:hAnsi="Arial" w:cs="Arial"/>
          <w:i/>
        </w:rPr>
        <w:t>al</w:t>
      </w:r>
      <w:r>
        <w:rPr>
          <w:rFonts w:ascii="Arial" w:hAnsi="Arial" w:cs="Arial"/>
          <w:i/>
        </w:rPr>
        <w:t>a</w:t>
      </w:r>
      <w:r w:rsidRPr="00CC4872">
        <w:rPr>
          <w:rFonts w:ascii="Arial" w:hAnsi="Arial" w:cs="Arial"/>
          <w:i/>
        </w:rPr>
        <w:t>ur</w:t>
      </w:r>
      <w:r>
        <w:rPr>
          <w:rFonts w:ascii="Arial" w:hAnsi="Arial" w:cs="Arial"/>
          <w:i/>
        </w:rPr>
        <w:t>e</w:t>
      </w:r>
      <w:r w:rsidRPr="00CC4872">
        <w:rPr>
          <w:rFonts w:ascii="Arial" w:hAnsi="Arial" w:cs="Arial"/>
          <w:i/>
        </w:rPr>
        <w:t xml:space="preserve">ate </w:t>
      </w:r>
      <w:r w:rsidR="00A731C4">
        <w:rPr>
          <w:rFonts w:ascii="Arial" w:hAnsi="Arial" w:cs="Arial"/>
          <w:i/>
        </w:rPr>
        <w:t>c</w:t>
      </w:r>
      <w:r w:rsidRPr="00CC4872">
        <w:rPr>
          <w:rFonts w:ascii="Arial" w:hAnsi="Arial" w:cs="Arial"/>
          <w:i/>
        </w:rPr>
        <w:t>ertificates</w:t>
      </w:r>
      <w:r>
        <w:rPr>
          <w:rFonts w:ascii="Arial" w:hAnsi="Arial" w:cs="Arial"/>
        </w:rPr>
        <w:t xml:space="preserve">. </w:t>
      </w:r>
      <w:r w:rsidR="00796F6D">
        <w:rPr>
          <w:rFonts w:ascii="Arial" w:hAnsi="Arial" w:cs="Arial"/>
        </w:rPr>
        <w:t>On the ICH</w:t>
      </w:r>
      <w:r w:rsidR="00E238F8">
        <w:rPr>
          <w:rFonts w:ascii="Arial" w:hAnsi="Arial" w:cs="Arial"/>
        </w:rPr>
        <w:t xml:space="preserve"> form</w:t>
      </w:r>
      <w:r w:rsidR="00D9206A">
        <w:rPr>
          <w:rFonts w:ascii="Arial" w:hAnsi="Arial" w:cs="Arial"/>
        </w:rPr>
        <w:t>, Part B,</w:t>
      </w:r>
      <w:r w:rsidR="00796F6D">
        <w:rPr>
          <w:rFonts w:ascii="Arial" w:hAnsi="Arial" w:cs="Arial"/>
        </w:rPr>
        <w:t xml:space="preserve"> </w:t>
      </w:r>
      <w:r w:rsidR="0040396E">
        <w:rPr>
          <w:rFonts w:ascii="Arial" w:hAnsi="Arial" w:cs="Arial"/>
        </w:rPr>
        <w:t>there is currently a checkbox question</w:t>
      </w:r>
      <w:r w:rsidR="007C0054">
        <w:rPr>
          <w:rFonts w:ascii="Arial" w:hAnsi="Arial" w:cs="Arial"/>
        </w:rPr>
        <w:t xml:space="preserve"> </w:t>
      </w:r>
      <w:r w:rsidR="0040396E">
        <w:rPr>
          <w:rFonts w:ascii="Arial" w:hAnsi="Arial" w:cs="Arial"/>
        </w:rPr>
        <w:t xml:space="preserve">asking institutions what award levels they offer. </w:t>
      </w:r>
      <w:r w:rsidR="0059454E" w:rsidRPr="0059454E">
        <w:rPr>
          <w:rFonts w:ascii="Arial" w:hAnsi="Arial" w:cs="Arial"/>
        </w:rPr>
        <w:t>Subbaccalaureate certificates are reported to IPEDS in three categories based on the program length,</w:t>
      </w:r>
      <w:r w:rsidR="0059454E">
        <w:rPr>
          <w:rFonts w:ascii="Arial" w:hAnsi="Arial" w:cs="Arial"/>
        </w:rPr>
        <w:t xml:space="preserve"> </w:t>
      </w:r>
      <w:r w:rsidR="0059454E" w:rsidRPr="0059454E">
        <w:rPr>
          <w:rFonts w:ascii="Arial" w:hAnsi="Arial" w:cs="Arial"/>
        </w:rPr>
        <w:t xml:space="preserve">and measured in terms of academic year, with a clock and credit hour equivalency. </w:t>
      </w:r>
      <w:r w:rsidR="00A46A1F">
        <w:rPr>
          <w:rFonts w:ascii="Arial" w:hAnsi="Arial" w:cs="Arial"/>
        </w:rPr>
        <w:t>T</w:t>
      </w:r>
      <w:r w:rsidR="00A46A1F" w:rsidRPr="00A46A1F">
        <w:rPr>
          <w:rFonts w:ascii="Arial" w:hAnsi="Arial" w:cs="Arial"/>
        </w:rPr>
        <w:t>he less-than-1-year certificate has become a catch-all category</w:t>
      </w:r>
      <w:r w:rsidR="00A46A1F">
        <w:rPr>
          <w:rFonts w:ascii="Arial" w:hAnsi="Arial" w:cs="Arial"/>
        </w:rPr>
        <w:t xml:space="preserve"> </w:t>
      </w:r>
      <w:r w:rsidR="00A46A1F" w:rsidRPr="00A46A1F">
        <w:rPr>
          <w:rFonts w:ascii="Arial" w:hAnsi="Arial" w:cs="Arial"/>
        </w:rPr>
        <w:t>for emerging alternative credentials such as stackable certificates and industry credentials</w:t>
      </w:r>
      <w:r w:rsidR="00E93975">
        <w:rPr>
          <w:rFonts w:ascii="Arial" w:hAnsi="Arial" w:cs="Arial"/>
        </w:rPr>
        <w:t xml:space="preserve">, and between 1998-99 and 2013-14, there has been an 88.1 percent increase in the reporting of </w:t>
      </w:r>
      <w:r w:rsidR="00352C1B">
        <w:rPr>
          <w:rFonts w:ascii="Arial" w:hAnsi="Arial" w:cs="Arial"/>
        </w:rPr>
        <w:t>such awards</w:t>
      </w:r>
      <w:r w:rsidR="00A46A1F" w:rsidRPr="00A46A1F">
        <w:rPr>
          <w:rFonts w:ascii="Arial" w:hAnsi="Arial" w:cs="Arial"/>
        </w:rPr>
        <w:t>.</w:t>
      </w:r>
    </w:p>
    <w:p w14:paraId="3A9FF96F" w14:textId="77777777" w:rsidR="006A24B2" w:rsidRDefault="00A46A1F" w:rsidP="00A46A1F">
      <w:pPr>
        <w:rPr>
          <w:rFonts w:ascii="Arial" w:hAnsi="Arial" w:cs="Arial"/>
        </w:rPr>
      </w:pPr>
      <w:r>
        <w:rPr>
          <w:rFonts w:ascii="Arial" w:hAnsi="Arial" w:cs="Arial"/>
        </w:rPr>
        <w:t xml:space="preserve">At the IPEDS TRP on Subbaccalaureate Certificates, the panel </w:t>
      </w:r>
      <w:r w:rsidRPr="00A46A1F">
        <w:rPr>
          <w:rFonts w:ascii="Arial" w:hAnsi="Arial" w:cs="Arial"/>
        </w:rPr>
        <w:t xml:space="preserve">considered possible alternatives to the classification system to </w:t>
      </w:r>
      <w:r w:rsidR="00103E51">
        <w:rPr>
          <w:rFonts w:ascii="Arial" w:hAnsi="Arial" w:cs="Arial"/>
        </w:rPr>
        <w:t xml:space="preserve">more </w:t>
      </w:r>
      <w:r w:rsidRPr="00A46A1F">
        <w:rPr>
          <w:rFonts w:ascii="Arial" w:hAnsi="Arial" w:cs="Arial"/>
        </w:rPr>
        <w:t>appropriately measure less-than-1-year</w:t>
      </w:r>
      <w:r w:rsidR="00103E51">
        <w:rPr>
          <w:rFonts w:ascii="Arial" w:hAnsi="Arial" w:cs="Arial"/>
        </w:rPr>
        <w:t xml:space="preserve"> </w:t>
      </w:r>
      <w:r w:rsidRPr="00A46A1F">
        <w:rPr>
          <w:rFonts w:ascii="Arial" w:hAnsi="Arial" w:cs="Arial"/>
        </w:rPr>
        <w:t>programs</w:t>
      </w:r>
      <w:r w:rsidR="00103E51">
        <w:rPr>
          <w:rFonts w:ascii="Arial" w:hAnsi="Arial" w:cs="Arial"/>
        </w:rPr>
        <w:t xml:space="preserve">. Based on suggestions from the TRP, such awards should be </w:t>
      </w:r>
      <w:r w:rsidR="00635438">
        <w:rPr>
          <w:rFonts w:ascii="Arial" w:hAnsi="Arial" w:cs="Arial"/>
        </w:rPr>
        <w:t>segmented</w:t>
      </w:r>
      <w:r w:rsidR="00103E51">
        <w:rPr>
          <w:rFonts w:ascii="Arial" w:hAnsi="Arial" w:cs="Arial"/>
        </w:rPr>
        <w:t xml:space="preserve"> into two categories</w:t>
      </w:r>
      <w:r w:rsidR="00635438">
        <w:rPr>
          <w:rFonts w:ascii="Arial" w:hAnsi="Arial" w:cs="Arial"/>
        </w:rPr>
        <w:t xml:space="preserve">, as noted in </w:t>
      </w:r>
      <w:r w:rsidR="00AE2992">
        <w:rPr>
          <w:rFonts w:ascii="Arial" w:hAnsi="Arial" w:cs="Arial"/>
        </w:rPr>
        <w:t>t</w:t>
      </w:r>
      <w:r w:rsidR="00635438" w:rsidRPr="00EB393D">
        <w:rPr>
          <w:rFonts w:ascii="Arial" w:hAnsi="Arial" w:cs="Arial"/>
        </w:rPr>
        <w:t>able A1</w:t>
      </w:r>
      <w:r w:rsidR="00635438">
        <w:rPr>
          <w:rFonts w:ascii="Arial" w:hAnsi="Arial" w:cs="Arial"/>
        </w:rPr>
        <w:t xml:space="preserve"> below. </w:t>
      </w:r>
      <w:r w:rsidR="00C6169D">
        <w:rPr>
          <w:rFonts w:ascii="Arial" w:hAnsi="Arial" w:cs="Arial"/>
        </w:rPr>
        <w:t xml:space="preserve">In addition, </w:t>
      </w:r>
      <w:r w:rsidR="00A90CAC">
        <w:rPr>
          <w:rFonts w:ascii="Arial" w:hAnsi="Arial" w:cs="Arial"/>
        </w:rPr>
        <w:t xml:space="preserve">references </w:t>
      </w:r>
      <w:r w:rsidR="00C6169D">
        <w:rPr>
          <w:rFonts w:ascii="Arial" w:hAnsi="Arial" w:cs="Arial"/>
        </w:rPr>
        <w:t xml:space="preserve">to </w:t>
      </w:r>
      <w:r w:rsidR="00A90CAC" w:rsidRPr="00A90CAC">
        <w:rPr>
          <w:rFonts w:ascii="Arial" w:hAnsi="Arial" w:cs="Arial"/>
        </w:rPr>
        <w:t xml:space="preserve">academic year </w:t>
      </w:r>
      <w:r w:rsidR="00A90CAC" w:rsidRPr="004249A5">
        <w:rPr>
          <w:rFonts w:ascii="Arial" w:hAnsi="Arial" w:cs="Arial"/>
        </w:rPr>
        <w:t xml:space="preserve">equivalencies </w:t>
      </w:r>
      <w:r w:rsidR="00F10446" w:rsidRPr="004249A5">
        <w:rPr>
          <w:rFonts w:ascii="Arial" w:hAnsi="Arial" w:cs="Arial"/>
        </w:rPr>
        <w:t xml:space="preserve">and to contact hours </w:t>
      </w:r>
      <w:r w:rsidR="00A90CAC" w:rsidRPr="004249A5">
        <w:rPr>
          <w:rFonts w:ascii="Arial" w:hAnsi="Arial" w:cs="Arial"/>
        </w:rPr>
        <w:t>have been removed for these two categories as they also have reported to be confusing.</w:t>
      </w:r>
      <w:r w:rsidR="00A90CAC">
        <w:rPr>
          <w:rFonts w:ascii="Arial" w:hAnsi="Arial" w:cs="Arial"/>
        </w:rPr>
        <w:t xml:space="preserve"> </w:t>
      </w:r>
      <w:r w:rsidR="00635438">
        <w:rPr>
          <w:rFonts w:ascii="Arial" w:hAnsi="Arial" w:cs="Arial"/>
        </w:rPr>
        <w:t>The</w:t>
      </w:r>
      <w:r w:rsidR="00A90CAC">
        <w:rPr>
          <w:rFonts w:ascii="Arial" w:hAnsi="Arial" w:cs="Arial"/>
        </w:rPr>
        <w:t>se</w:t>
      </w:r>
      <w:r w:rsidR="00635438">
        <w:rPr>
          <w:rFonts w:ascii="Arial" w:hAnsi="Arial" w:cs="Arial"/>
        </w:rPr>
        <w:t xml:space="preserve"> change</w:t>
      </w:r>
      <w:r w:rsidR="00A90CAC">
        <w:rPr>
          <w:rFonts w:ascii="Arial" w:hAnsi="Arial" w:cs="Arial"/>
        </w:rPr>
        <w:t>s</w:t>
      </w:r>
      <w:r w:rsidR="00635438">
        <w:rPr>
          <w:rFonts w:ascii="Arial" w:hAnsi="Arial" w:cs="Arial"/>
        </w:rPr>
        <w:t xml:space="preserve"> should have no impact on burden.</w:t>
      </w:r>
    </w:p>
    <w:p w14:paraId="043BE049" w14:textId="791BCD4D" w:rsidR="006B3578" w:rsidRDefault="00156CFB">
      <w:pPr>
        <w:rPr>
          <w:rFonts w:ascii="Arial" w:hAnsi="Arial" w:cs="Arial"/>
        </w:rPr>
      </w:pPr>
      <w:r>
        <w:rPr>
          <w:rFonts w:ascii="Arial" w:hAnsi="Arial" w:cs="Arial"/>
          <w:i/>
        </w:rPr>
        <w:t xml:space="preserve">Dual </w:t>
      </w:r>
      <w:r w:rsidR="00A731C4">
        <w:rPr>
          <w:rFonts w:ascii="Arial" w:hAnsi="Arial" w:cs="Arial"/>
          <w:i/>
        </w:rPr>
        <w:t>e</w:t>
      </w:r>
      <w:r>
        <w:rPr>
          <w:rFonts w:ascii="Arial" w:hAnsi="Arial" w:cs="Arial"/>
          <w:i/>
        </w:rPr>
        <w:t>nrollment</w:t>
      </w:r>
      <w:r w:rsidR="00CC4872">
        <w:rPr>
          <w:rFonts w:ascii="Arial" w:hAnsi="Arial" w:cs="Arial"/>
        </w:rPr>
        <w:t xml:space="preserve">. </w:t>
      </w:r>
      <w:r w:rsidR="009F6D11" w:rsidRPr="00BF26F2">
        <w:rPr>
          <w:rFonts w:ascii="Arial" w:hAnsi="Arial" w:cs="Arial"/>
        </w:rPr>
        <w:t>The IC survey component</w:t>
      </w:r>
      <w:r w:rsidR="00D9206A">
        <w:rPr>
          <w:rFonts w:ascii="Arial" w:hAnsi="Arial" w:cs="Arial"/>
        </w:rPr>
        <w:t xml:space="preserve">, Part C, </w:t>
      </w:r>
      <w:r w:rsidR="009F6D11" w:rsidRPr="00BF26F2">
        <w:rPr>
          <w:rFonts w:ascii="Arial" w:hAnsi="Arial" w:cs="Arial"/>
        </w:rPr>
        <w:t xml:space="preserve">collects information on whether the institution accepts credit earned prior to admission through dual credit, credit for life experiences, AP credits, or none of these. </w:t>
      </w:r>
      <w:r w:rsidR="00BF26F2" w:rsidRPr="00BF26F2">
        <w:rPr>
          <w:rFonts w:ascii="Arial" w:hAnsi="Arial" w:cs="Arial"/>
        </w:rPr>
        <w:t xml:space="preserve">Given the multiple definitions of the term “dual credit” and complexity with how credits are applied to degrees, the </w:t>
      </w:r>
      <w:r w:rsidR="00635438">
        <w:rPr>
          <w:rFonts w:ascii="Arial" w:hAnsi="Arial" w:cs="Arial"/>
        </w:rPr>
        <w:t xml:space="preserve">IPEDS </w:t>
      </w:r>
      <w:r w:rsidR="00BF26F2" w:rsidRPr="00BF26F2">
        <w:rPr>
          <w:rFonts w:ascii="Arial" w:hAnsi="Arial" w:cs="Arial"/>
        </w:rPr>
        <w:t>TRP</w:t>
      </w:r>
      <w:r w:rsidR="00635438" w:rsidRPr="00635438">
        <w:t xml:space="preserve"> </w:t>
      </w:r>
      <w:r w:rsidR="00635438" w:rsidRPr="00635438">
        <w:rPr>
          <w:rFonts w:ascii="Arial" w:hAnsi="Arial" w:cs="Arial"/>
        </w:rPr>
        <w:t>on Capturing and Clarifying Dual Enrollment Data</w:t>
      </w:r>
      <w:r w:rsidR="00BF26F2" w:rsidRPr="00BF26F2">
        <w:rPr>
          <w:rFonts w:ascii="Arial" w:hAnsi="Arial" w:cs="Arial"/>
        </w:rPr>
        <w:t xml:space="preserve"> noted that the question is confusing as written and should be changed</w:t>
      </w:r>
      <w:r w:rsidR="00AF0F90">
        <w:rPr>
          <w:rFonts w:ascii="Arial" w:hAnsi="Arial" w:cs="Arial"/>
        </w:rPr>
        <w:t xml:space="preserve"> as the terms dual credit and dual enrollment are inconsistently used in IPEDS</w:t>
      </w:r>
      <w:r w:rsidR="00BF26F2" w:rsidRPr="00BF26F2">
        <w:rPr>
          <w:rFonts w:ascii="Arial" w:hAnsi="Arial" w:cs="Arial"/>
        </w:rPr>
        <w:t xml:space="preserve">. </w:t>
      </w:r>
      <w:r w:rsidR="009F6D11" w:rsidRPr="00BF26F2">
        <w:rPr>
          <w:rFonts w:ascii="Arial" w:hAnsi="Arial" w:cs="Arial"/>
        </w:rPr>
        <w:t xml:space="preserve">Based on </w:t>
      </w:r>
      <w:r w:rsidR="00BF26F2" w:rsidRPr="00BF26F2">
        <w:rPr>
          <w:rFonts w:ascii="Arial" w:hAnsi="Arial" w:cs="Arial"/>
        </w:rPr>
        <w:t>the TRP input</w:t>
      </w:r>
      <w:r w:rsidR="009F6D11" w:rsidRPr="00BF26F2">
        <w:rPr>
          <w:rFonts w:ascii="Arial" w:hAnsi="Arial" w:cs="Arial"/>
        </w:rPr>
        <w:t xml:space="preserve">, NCES will </w:t>
      </w:r>
      <w:r w:rsidR="000016B5">
        <w:rPr>
          <w:rFonts w:ascii="Arial" w:hAnsi="Arial" w:cs="Arial"/>
        </w:rPr>
        <w:t>replace the</w:t>
      </w:r>
      <w:r w:rsidR="009F6D11" w:rsidRPr="00BF26F2">
        <w:rPr>
          <w:rFonts w:ascii="Arial" w:hAnsi="Arial" w:cs="Arial"/>
        </w:rPr>
        <w:t xml:space="preserve"> </w:t>
      </w:r>
      <w:r w:rsidR="000016B5">
        <w:rPr>
          <w:rFonts w:ascii="Arial" w:hAnsi="Arial" w:cs="Arial"/>
        </w:rPr>
        <w:t>“</w:t>
      </w:r>
      <w:r w:rsidR="009F6D11" w:rsidRPr="00BF26F2">
        <w:rPr>
          <w:rFonts w:ascii="Arial" w:hAnsi="Arial" w:cs="Arial"/>
        </w:rPr>
        <w:t>dual-credit</w:t>
      </w:r>
      <w:r w:rsidR="000016B5">
        <w:rPr>
          <w:rFonts w:ascii="Arial" w:hAnsi="Arial" w:cs="Arial"/>
        </w:rPr>
        <w:t>”</w:t>
      </w:r>
      <w:r w:rsidR="009F6D11" w:rsidRPr="00BF26F2">
        <w:rPr>
          <w:rFonts w:ascii="Arial" w:hAnsi="Arial" w:cs="Arial"/>
        </w:rPr>
        <w:t xml:space="preserve"> checkbox </w:t>
      </w:r>
      <w:r w:rsidR="000016B5">
        <w:rPr>
          <w:rFonts w:ascii="Arial" w:hAnsi="Arial" w:cs="Arial"/>
        </w:rPr>
        <w:t>option with a “dual enrollment” checkbox option.</w:t>
      </w:r>
      <w:r w:rsidR="009F6D11" w:rsidRPr="00BF26F2">
        <w:rPr>
          <w:rFonts w:ascii="Arial" w:hAnsi="Arial" w:cs="Arial"/>
        </w:rPr>
        <w:t xml:space="preserve"> </w:t>
      </w:r>
      <w:r w:rsidR="001C1565">
        <w:rPr>
          <w:rFonts w:ascii="Arial" w:hAnsi="Arial" w:cs="Arial"/>
        </w:rPr>
        <w:t>There would be no change in burden for this change.</w:t>
      </w:r>
    </w:p>
    <w:p w14:paraId="04D181BE" w14:textId="01F8EE39" w:rsidR="009F390A" w:rsidRDefault="00FB40C6">
      <w:pPr>
        <w:rPr>
          <w:rFonts w:ascii="Arial" w:hAnsi="Arial" w:cs="Arial"/>
        </w:rPr>
      </w:pPr>
      <w:r w:rsidRPr="0015106D">
        <w:rPr>
          <w:rFonts w:ascii="Arial" w:hAnsi="Arial" w:cs="Arial"/>
          <w:i/>
        </w:rPr>
        <w:t>New FAQ</w:t>
      </w:r>
      <w:r w:rsidR="0015106D">
        <w:rPr>
          <w:rFonts w:ascii="Arial" w:hAnsi="Arial" w:cs="Arial"/>
          <w:i/>
        </w:rPr>
        <w:t xml:space="preserve">. </w:t>
      </w:r>
      <w:r w:rsidR="001B20EE">
        <w:rPr>
          <w:rFonts w:ascii="Arial" w:hAnsi="Arial" w:cs="Arial"/>
        </w:rPr>
        <w:t>NCES is adding a new FAQ to help institutions that only have room or board, but not both, understand how to appropriately report cost of attendance.</w:t>
      </w:r>
    </w:p>
    <w:p w14:paraId="279111CD" w14:textId="6472010B" w:rsidR="0000332D" w:rsidRDefault="009F390A">
      <w:pPr>
        <w:rPr>
          <w:rFonts w:ascii="Arial" w:hAnsi="Arial" w:cs="Arial"/>
        </w:rPr>
      </w:pPr>
      <w:r>
        <w:rPr>
          <w:rFonts w:ascii="Arial" w:hAnsi="Arial" w:cs="Arial"/>
          <w:i/>
        </w:rPr>
        <w:t>Cross-cutting definition/terminology changes</w:t>
      </w:r>
      <w:r>
        <w:rPr>
          <w:rFonts w:ascii="Arial" w:hAnsi="Arial" w:cs="Arial"/>
        </w:rPr>
        <w:t>. The IC survey component will use the terminology of “recognized postsecondary credential” instead of “formal award” and “clock hours” instead of “contact hours”</w:t>
      </w:r>
      <w:r w:rsidR="00AE2C6D">
        <w:rPr>
          <w:rFonts w:ascii="Arial" w:hAnsi="Arial" w:cs="Arial"/>
        </w:rPr>
        <w:t>. No change in burden.</w:t>
      </w:r>
    </w:p>
    <w:p w14:paraId="51185599" w14:textId="049EE348" w:rsidR="0000332D" w:rsidRDefault="0000332D">
      <w:pPr>
        <w:rPr>
          <w:rFonts w:ascii="Arial" w:hAnsi="Arial" w:cs="Arial"/>
        </w:rPr>
      </w:pPr>
      <w:r>
        <w:rPr>
          <w:rFonts w:ascii="Arial" w:hAnsi="Arial" w:cs="Arial"/>
          <w:i/>
        </w:rPr>
        <w:t xml:space="preserve">Addition of instruction to exclude students receiving Experimental Pell. </w:t>
      </w:r>
      <w:r>
        <w:rPr>
          <w:rFonts w:ascii="Arial" w:hAnsi="Arial" w:cs="Arial"/>
        </w:rPr>
        <w:t xml:space="preserve">The IC component will include the instruction not to include students receiving Experimental Pell. </w:t>
      </w:r>
      <w:r w:rsidR="00AE2C6D">
        <w:rPr>
          <w:rFonts w:ascii="Arial" w:hAnsi="Arial" w:cs="Arial"/>
        </w:rPr>
        <w:t>No change in burden.</w:t>
      </w:r>
    </w:p>
    <w:tbl>
      <w:tblPr>
        <w:tblW w:w="5048"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5957"/>
        <w:gridCol w:w="1798"/>
        <w:gridCol w:w="1869"/>
        <w:gridCol w:w="1207"/>
      </w:tblGrid>
      <w:tr w:rsidR="00455F6F" w:rsidRPr="001A0F26" w14:paraId="7859AF60" w14:textId="77777777" w:rsidTr="00A35425">
        <w:trPr>
          <w:trHeight w:val="238"/>
          <w:tblHeader/>
        </w:trPr>
        <w:tc>
          <w:tcPr>
            <w:tcW w:w="5000" w:type="pct"/>
            <w:gridSpan w:val="4"/>
            <w:shd w:val="clear" w:color="auto" w:fill="4F81BD"/>
            <w:vAlign w:val="center"/>
          </w:tcPr>
          <w:p w14:paraId="492DAD2F" w14:textId="73845C29" w:rsidR="00455F6F" w:rsidRPr="001A0F26" w:rsidRDefault="00455F6F" w:rsidP="00A35425">
            <w:pPr>
              <w:pStyle w:val="TableTitle"/>
            </w:pPr>
            <w:bookmarkStart w:id="3" w:name="_Toc437880649"/>
            <w:r w:rsidRPr="001A0F26">
              <w:t xml:space="preserve">Table </w:t>
            </w:r>
            <w:r>
              <w:t>A1.</w:t>
            </w:r>
            <w:r w:rsidRPr="001A0F26">
              <w:t xml:space="preserve"> Proposed </w:t>
            </w:r>
            <w:r>
              <w:t>c</w:t>
            </w:r>
            <w:r w:rsidRPr="001A0F26">
              <w:t>hanges to the</w:t>
            </w:r>
            <w:r>
              <w:t xml:space="preserve"> </w:t>
            </w:r>
            <w:r w:rsidR="009209D5">
              <w:t>IC</w:t>
            </w:r>
            <w:r w:rsidRPr="001A0F26">
              <w:t xml:space="preserve"> Form </w:t>
            </w:r>
            <w:bookmarkEnd w:id="3"/>
          </w:p>
        </w:tc>
      </w:tr>
      <w:tr w:rsidR="00455F6F" w:rsidRPr="00534107" w14:paraId="5175EACA" w14:textId="77777777" w:rsidTr="0000332D">
        <w:trPr>
          <w:trHeight w:val="478"/>
          <w:tblHeader/>
        </w:trPr>
        <w:tc>
          <w:tcPr>
            <w:tcW w:w="2750" w:type="pct"/>
            <w:tcBorders>
              <w:bottom w:val="single" w:sz="8" w:space="0" w:color="7BA0CD"/>
              <w:right w:val="nil"/>
            </w:tcBorders>
            <w:shd w:val="clear" w:color="auto" w:fill="D3DFEE"/>
            <w:vAlign w:val="center"/>
          </w:tcPr>
          <w:p w14:paraId="23A9E4C5" w14:textId="77777777" w:rsidR="00455F6F" w:rsidRPr="00534107" w:rsidRDefault="00455F6F" w:rsidP="00A35425">
            <w:pPr>
              <w:pStyle w:val="TableHeader"/>
              <w:jc w:val="left"/>
            </w:pPr>
            <w:r w:rsidRPr="00534107">
              <w:t>Change</w:t>
            </w:r>
          </w:p>
        </w:tc>
        <w:tc>
          <w:tcPr>
            <w:tcW w:w="830" w:type="pct"/>
            <w:tcBorders>
              <w:left w:val="nil"/>
              <w:bottom w:val="single" w:sz="8" w:space="0" w:color="7BA0CD"/>
              <w:right w:val="nil"/>
            </w:tcBorders>
            <w:shd w:val="clear" w:color="auto" w:fill="D3DFEE"/>
            <w:vAlign w:val="center"/>
          </w:tcPr>
          <w:p w14:paraId="47BA2CD0" w14:textId="77777777" w:rsidR="00455F6F" w:rsidRPr="00534107" w:rsidRDefault="00455F6F" w:rsidP="00A35425">
            <w:pPr>
              <w:pStyle w:val="TableHeader"/>
              <w:jc w:val="left"/>
            </w:pPr>
            <w:r w:rsidRPr="00534107">
              <w:t xml:space="preserve">Implementation </w:t>
            </w:r>
            <w:r>
              <w:t>y</w:t>
            </w:r>
            <w:r w:rsidRPr="00534107">
              <w:t>ear</w:t>
            </w:r>
          </w:p>
        </w:tc>
        <w:tc>
          <w:tcPr>
            <w:tcW w:w="863" w:type="pct"/>
            <w:tcBorders>
              <w:left w:val="nil"/>
              <w:bottom w:val="single" w:sz="8" w:space="0" w:color="7BA0CD"/>
              <w:right w:val="nil"/>
            </w:tcBorders>
            <w:shd w:val="clear" w:color="auto" w:fill="D3DFEE"/>
            <w:vAlign w:val="center"/>
          </w:tcPr>
          <w:p w14:paraId="4C55F9D5" w14:textId="77777777" w:rsidR="00455F6F" w:rsidRPr="00534107" w:rsidRDefault="00455F6F" w:rsidP="00A35425">
            <w:pPr>
              <w:pStyle w:val="TableHeader"/>
              <w:jc w:val="left"/>
            </w:pPr>
            <w:r w:rsidRPr="00534107">
              <w:t>Source</w:t>
            </w:r>
          </w:p>
        </w:tc>
        <w:tc>
          <w:tcPr>
            <w:tcW w:w="557" w:type="pct"/>
            <w:tcBorders>
              <w:left w:val="nil"/>
              <w:bottom w:val="single" w:sz="8" w:space="0" w:color="7BA0CD"/>
            </w:tcBorders>
            <w:shd w:val="clear" w:color="auto" w:fill="D3DFEE"/>
            <w:vAlign w:val="center"/>
          </w:tcPr>
          <w:p w14:paraId="195E4B28" w14:textId="77777777" w:rsidR="00455F6F" w:rsidRPr="00534107" w:rsidRDefault="00455F6F" w:rsidP="00A35425">
            <w:pPr>
              <w:pStyle w:val="TableHeader"/>
              <w:jc w:val="left"/>
            </w:pPr>
            <w:r w:rsidRPr="00534107">
              <w:t xml:space="preserve">Estimated </w:t>
            </w:r>
            <w:r>
              <w:t>b</w:t>
            </w:r>
            <w:r w:rsidRPr="00534107">
              <w:t>urden</w:t>
            </w:r>
          </w:p>
        </w:tc>
      </w:tr>
      <w:tr w:rsidR="00175D65" w:rsidRPr="001A0F26" w14:paraId="525EB9A8" w14:textId="77777777" w:rsidTr="0000332D">
        <w:trPr>
          <w:trHeight w:val="844"/>
        </w:trPr>
        <w:tc>
          <w:tcPr>
            <w:tcW w:w="2750" w:type="pct"/>
            <w:tcBorders>
              <w:right w:val="nil"/>
            </w:tcBorders>
            <w:shd w:val="clear" w:color="auto" w:fill="auto"/>
          </w:tcPr>
          <w:p w14:paraId="5EBA9229" w14:textId="77777777" w:rsidR="00175D65" w:rsidRDefault="00175D65" w:rsidP="00A35425">
            <w:pPr>
              <w:pStyle w:val="TableText"/>
            </w:pPr>
            <w:r w:rsidRPr="000014F8">
              <w:t>Part B - Organization - Control and Levels</w:t>
            </w:r>
          </w:p>
          <w:p w14:paraId="36861865" w14:textId="77777777" w:rsidR="00175D65" w:rsidRDefault="00175D65" w:rsidP="00A35425">
            <w:pPr>
              <w:pStyle w:val="TableText"/>
            </w:pPr>
            <w:r>
              <w:t xml:space="preserve">Q2. </w:t>
            </w:r>
            <w:r w:rsidRPr="00C94E07">
              <w:t>2. What award levels are offered by your institution? [Check all that apply]</w:t>
            </w:r>
          </w:p>
          <w:p w14:paraId="5162B667" w14:textId="77777777" w:rsidR="00175D65" w:rsidRDefault="00175D65" w:rsidP="00A35425">
            <w:pPr>
              <w:pStyle w:val="TableText"/>
            </w:pPr>
            <w:r w:rsidRPr="00DB384D">
              <w:rPr>
                <w:i/>
              </w:rPr>
              <w:t xml:space="preserve">Split current options for certificates of less than one academic year in length into two </w:t>
            </w:r>
            <w:r>
              <w:rPr>
                <w:i/>
              </w:rPr>
              <w:t>award level categories</w:t>
            </w:r>
            <w:r w:rsidRPr="00DB384D">
              <w:rPr>
                <w:i/>
              </w:rPr>
              <w:t xml:space="preserve"> as follows</w:t>
            </w:r>
            <w:r>
              <w:t>:</w:t>
            </w:r>
          </w:p>
          <w:p w14:paraId="3FA35E4A" w14:textId="77777777" w:rsidR="006A24B2" w:rsidRDefault="00175D65" w:rsidP="00A35425">
            <w:pPr>
              <w:pStyle w:val="TableText"/>
            </w:pPr>
            <w:r>
              <w:t>1a. Postsecondary award, certificate, or diploma of</w:t>
            </w:r>
          </w:p>
          <w:p w14:paraId="37FCF3AC" w14:textId="77777777" w:rsidR="006A24B2" w:rsidRDefault="00175D65" w:rsidP="00A35425">
            <w:pPr>
              <w:pStyle w:val="TableText"/>
            </w:pPr>
            <w:r>
              <w:t xml:space="preserve">      - less than 300 clock hours, or</w:t>
            </w:r>
          </w:p>
          <w:p w14:paraId="32459678" w14:textId="77777777" w:rsidR="006A24B2" w:rsidRDefault="00175D65" w:rsidP="00A35425">
            <w:pPr>
              <w:pStyle w:val="TableText"/>
            </w:pPr>
            <w:r>
              <w:t xml:space="preserve">      - less than 9 semester or trimester credit hours, or</w:t>
            </w:r>
          </w:p>
          <w:p w14:paraId="034171F5" w14:textId="7E1CCF31" w:rsidR="00175D65" w:rsidRDefault="00175D65" w:rsidP="00A35425">
            <w:pPr>
              <w:pStyle w:val="TableText"/>
            </w:pPr>
            <w:r>
              <w:t xml:space="preserve">      - less than 13 quarter credit hours</w:t>
            </w:r>
          </w:p>
          <w:p w14:paraId="48E2B6EE" w14:textId="77777777" w:rsidR="006A24B2" w:rsidRDefault="00175D65" w:rsidP="00A35425">
            <w:pPr>
              <w:pStyle w:val="TableText"/>
            </w:pPr>
            <w:r>
              <w:t>1b. Postsecondary award, certificate, or diploma of</w:t>
            </w:r>
          </w:p>
          <w:p w14:paraId="14C8E8F9" w14:textId="77777777" w:rsidR="006A24B2" w:rsidRDefault="00175D65" w:rsidP="00A35425">
            <w:pPr>
              <w:pStyle w:val="TableText"/>
            </w:pPr>
            <w:r>
              <w:t xml:space="preserve">      - 300-899 clock hours, or</w:t>
            </w:r>
          </w:p>
          <w:p w14:paraId="287A42FA" w14:textId="77777777" w:rsidR="006A24B2" w:rsidRDefault="00175D65" w:rsidP="00A35425">
            <w:pPr>
              <w:pStyle w:val="TableText"/>
            </w:pPr>
            <w:r>
              <w:t xml:space="preserve">      - 9-29 semester or trimester credit hours, or</w:t>
            </w:r>
          </w:p>
          <w:p w14:paraId="7C95F26B" w14:textId="7A9E5D9D" w:rsidR="00175D65" w:rsidRDefault="00175D65" w:rsidP="00A35425">
            <w:pPr>
              <w:pStyle w:val="TableText"/>
            </w:pPr>
            <w:r>
              <w:t xml:space="preserve">      - 13-44 quarter credit hours</w:t>
            </w:r>
          </w:p>
          <w:p w14:paraId="053DBDB7" w14:textId="0A83E3C9" w:rsidR="00F052AD" w:rsidRPr="00767D4A" w:rsidRDefault="00F052AD" w:rsidP="00767D4A">
            <w:pPr>
              <w:pStyle w:val="TableText"/>
              <w:jc w:val="left"/>
              <w:rPr>
                <w:i/>
              </w:rPr>
            </w:pPr>
            <w:r w:rsidRPr="00767D4A">
              <w:rPr>
                <w:i/>
              </w:rPr>
              <w:t>I</w:t>
            </w:r>
            <w:r w:rsidR="00767D4A" w:rsidRPr="00767D4A">
              <w:rPr>
                <w:i/>
              </w:rPr>
              <w:t>n</w:t>
            </w:r>
            <w:r w:rsidRPr="00767D4A">
              <w:rPr>
                <w:i/>
              </w:rPr>
              <w:t xml:space="preserve"> addition, references to academic year equivalencies</w:t>
            </w:r>
            <w:r w:rsidR="00F10446">
              <w:rPr>
                <w:i/>
              </w:rPr>
              <w:t xml:space="preserve"> and to contact hours</w:t>
            </w:r>
            <w:r w:rsidRPr="00767D4A">
              <w:rPr>
                <w:i/>
              </w:rPr>
              <w:t xml:space="preserve"> have been removed</w:t>
            </w:r>
            <w:r w:rsidR="005A0083">
              <w:rPr>
                <w:i/>
              </w:rPr>
              <w:t xml:space="preserve"> from all levels of subbaccalaureate certificates.</w:t>
            </w:r>
          </w:p>
        </w:tc>
        <w:tc>
          <w:tcPr>
            <w:tcW w:w="830" w:type="pct"/>
            <w:tcBorders>
              <w:left w:val="nil"/>
              <w:right w:val="nil"/>
            </w:tcBorders>
            <w:shd w:val="clear" w:color="auto" w:fill="auto"/>
          </w:tcPr>
          <w:p w14:paraId="2CA3BAA5" w14:textId="77777777" w:rsidR="00175D65" w:rsidRPr="001A0F26" w:rsidRDefault="00175D65" w:rsidP="00A35425">
            <w:pPr>
              <w:pStyle w:val="TableTextCenter"/>
            </w:pPr>
            <w:r>
              <w:t>2020-21</w:t>
            </w:r>
          </w:p>
        </w:tc>
        <w:tc>
          <w:tcPr>
            <w:tcW w:w="863" w:type="pct"/>
            <w:tcBorders>
              <w:left w:val="nil"/>
              <w:right w:val="nil"/>
            </w:tcBorders>
            <w:shd w:val="clear" w:color="auto" w:fill="auto"/>
          </w:tcPr>
          <w:p w14:paraId="203C2961" w14:textId="36531EB2" w:rsidR="00175D65" w:rsidRPr="001A0F26" w:rsidRDefault="00E54530" w:rsidP="00E54530">
            <w:pPr>
              <w:pStyle w:val="TableText"/>
              <w:jc w:val="left"/>
            </w:pPr>
            <w:r w:rsidRPr="00525945">
              <w:rPr>
                <w:bCs/>
              </w:rPr>
              <w:t>TRP on Subbaccalaureate Certificates (March 2017</w:t>
            </w:r>
            <w:r w:rsidR="00742F7A">
              <w:rPr>
                <w:bCs/>
              </w:rPr>
              <w:t>)</w:t>
            </w:r>
          </w:p>
        </w:tc>
        <w:tc>
          <w:tcPr>
            <w:tcW w:w="557" w:type="pct"/>
            <w:tcBorders>
              <w:left w:val="nil"/>
            </w:tcBorders>
            <w:shd w:val="clear" w:color="auto" w:fill="auto"/>
          </w:tcPr>
          <w:p w14:paraId="3F0C351F" w14:textId="637C00CA" w:rsidR="00175D65" w:rsidRDefault="0011338E" w:rsidP="00A35425">
            <w:pPr>
              <w:pStyle w:val="TableText"/>
            </w:pPr>
            <w:r>
              <w:t>No change</w:t>
            </w:r>
          </w:p>
        </w:tc>
      </w:tr>
      <w:tr w:rsidR="00455F6F" w:rsidRPr="001A0F26" w14:paraId="3C3FFEDA" w14:textId="77777777" w:rsidTr="0000332D">
        <w:trPr>
          <w:trHeight w:val="844"/>
        </w:trPr>
        <w:tc>
          <w:tcPr>
            <w:tcW w:w="2750" w:type="pct"/>
            <w:tcBorders>
              <w:right w:val="nil"/>
            </w:tcBorders>
            <w:shd w:val="clear" w:color="auto" w:fill="auto"/>
          </w:tcPr>
          <w:p w14:paraId="54BBF86D" w14:textId="77777777" w:rsidR="00455F6F" w:rsidRDefault="00A75276" w:rsidP="00455F6F">
            <w:pPr>
              <w:pStyle w:val="TableText"/>
            </w:pPr>
            <w:r w:rsidRPr="00A75276">
              <w:t>Part C - Student Services - Special Learning Opportunities</w:t>
            </w:r>
          </w:p>
          <w:p w14:paraId="4EEEA295" w14:textId="77777777" w:rsidR="009550E6" w:rsidRDefault="009550E6" w:rsidP="00455F6F">
            <w:pPr>
              <w:pStyle w:val="TableText"/>
            </w:pPr>
            <w:r w:rsidRPr="009550E6">
              <w:t>Does your institution accept any of the following? [Check all that apply]</w:t>
            </w:r>
          </w:p>
          <w:p w14:paraId="5971F0BB" w14:textId="5C320C9C" w:rsidR="009550E6" w:rsidRPr="001A0F26" w:rsidRDefault="00945303" w:rsidP="00767D4A">
            <w:pPr>
              <w:pStyle w:val="TableText"/>
            </w:pPr>
            <w:r>
              <w:rPr>
                <w:i/>
              </w:rPr>
              <w:t>Repl</w:t>
            </w:r>
            <w:r w:rsidR="00AD0DFA">
              <w:rPr>
                <w:i/>
              </w:rPr>
              <w:t>ace checkbox</w:t>
            </w:r>
            <w:r w:rsidR="00CD7DF0">
              <w:rPr>
                <w:i/>
              </w:rPr>
              <w:t xml:space="preserve"> option</w:t>
            </w:r>
            <w:r w:rsidR="00B051E4" w:rsidRPr="00C94E07">
              <w:rPr>
                <w:i/>
              </w:rPr>
              <w:t xml:space="preserve"> “Dual credit (college credit earned while in high school)” </w:t>
            </w:r>
            <w:r w:rsidR="00CD7DF0">
              <w:rPr>
                <w:i/>
              </w:rPr>
              <w:t xml:space="preserve">with “Dual Enrollment” </w:t>
            </w:r>
            <w:r w:rsidR="00B051E4" w:rsidRPr="00C94E07">
              <w:rPr>
                <w:i/>
              </w:rPr>
              <w:t>checkbox option</w:t>
            </w:r>
            <w:r w:rsidR="00E82EF2">
              <w:rPr>
                <w:i/>
              </w:rPr>
              <w:t>.</w:t>
            </w:r>
          </w:p>
        </w:tc>
        <w:tc>
          <w:tcPr>
            <w:tcW w:w="830" w:type="pct"/>
            <w:tcBorders>
              <w:left w:val="nil"/>
              <w:right w:val="nil"/>
            </w:tcBorders>
            <w:shd w:val="clear" w:color="auto" w:fill="auto"/>
          </w:tcPr>
          <w:p w14:paraId="032D14B9" w14:textId="69AF45F4" w:rsidR="00455F6F" w:rsidRPr="001A0F26" w:rsidRDefault="002B4390" w:rsidP="00A35425">
            <w:pPr>
              <w:pStyle w:val="TableTextCenter"/>
            </w:pPr>
            <w:r>
              <w:t>2020-21</w:t>
            </w:r>
          </w:p>
        </w:tc>
        <w:tc>
          <w:tcPr>
            <w:tcW w:w="863" w:type="pct"/>
            <w:tcBorders>
              <w:left w:val="nil"/>
              <w:right w:val="nil"/>
            </w:tcBorders>
            <w:shd w:val="clear" w:color="auto" w:fill="auto"/>
          </w:tcPr>
          <w:p w14:paraId="7380A810" w14:textId="34777E9C" w:rsidR="00455F6F" w:rsidRPr="001A0F26" w:rsidRDefault="0011338E" w:rsidP="0011338E">
            <w:pPr>
              <w:pStyle w:val="TableText"/>
              <w:jc w:val="left"/>
            </w:pPr>
            <w:r w:rsidRPr="0011338E">
              <w:t xml:space="preserve">TRP on </w:t>
            </w:r>
            <w:bookmarkStart w:id="4" w:name="_Hlk529455564"/>
            <w:r w:rsidRPr="0011338E">
              <w:t xml:space="preserve">Capturing and Clarifying Dual Enrollment Data </w:t>
            </w:r>
            <w:bookmarkEnd w:id="4"/>
            <w:r w:rsidRPr="0011338E">
              <w:t>(March 2018)</w:t>
            </w:r>
          </w:p>
        </w:tc>
        <w:tc>
          <w:tcPr>
            <w:tcW w:w="557" w:type="pct"/>
            <w:tcBorders>
              <w:left w:val="nil"/>
            </w:tcBorders>
            <w:shd w:val="clear" w:color="auto" w:fill="auto"/>
          </w:tcPr>
          <w:p w14:paraId="29BC6A1F" w14:textId="269BA473" w:rsidR="00455F6F" w:rsidRPr="001A0F26" w:rsidRDefault="00455F6F" w:rsidP="00A35425">
            <w:pPr>
              <w:pStyle w:val="TableText"/>
            </w:pPr>
            <w:r>
              <w:t xml:space="preserve">No </w:t>
            </w:r>
            <w:r w:rsidR="00175D65">
              <w:t>change</w:t>
            </w:r>
          </w:p>
        </w:tc>
      </w:tr>
      <w:tr w:rsidR="00FB40C6" w:rsidRPr="001A0F26" w14:paraId="79CDFC26" w14:textId="77777777" w:rsidTr="0000332D">
        <w:trPr>
          <w:trHeight w:val="844"/>
        </w:trPr>
        <w:tc>
          <w:tcPr>
            <w:tcW w:w="2750" w:type="pct"/>
            <w:tcBorders>
              <w:right w:val="nil"/>
            </w:tcBorders>
            <w:shd w:val="clear" w:color="auto" w:fill="auto"/>
          </w:tcPr>
          <w:p w14:paraId="672ED51D" w14:textId="0AB2B4DF" w:rsidR="00FB40C6" w:rsidRDefault="00FB40C6" w:rsidP="00FB40C6">
            <w:pPr>
              <w:pStyle w:val="TableText"/>
            </w:pPr>
            <w:r>
              <w:t>New FAQ</w:t>
            </w:r>
          </w:p>
          <w:p w14:paraId="4082917B" w14:textId="240E1EE3" w:rsidR="00FB40C6" w:rsidRDefault="00FB40C6" w:rsidP="00FB40C6">
            <w:pPr>
              <w:pStyle w:val="TableText"/>
            </w:pPr>
            <w:r>
              <w:t xml:space="preserve">6) </w:t>
            </w:r>
            <w:r w:rsidRPr="00FB40C6">
              <w:rPr>
                <w:b/>
              </w:rPr>
              <w:t>If my institution offers room or board, but not both, how should I report this on the Cost of Attendance page?</w:t>
            </w:r>
          </w:p>
          <w:p w14:paraId="45A66E56" w14:textId="3523C605" w:rsidR="00FB40C6" w:rsidRPr="00A75276" w:rsidRDefault="00FB40C6" w:rsidP="00E20228">
            <w:pPr>
              <w:pStyle w:val="TableText"/>
              <w:jc w:val="left"/>
            </w:pPr>
            <w:r>
              <w:t>In this case, the “room and board” value must include both the known value and an estimate for the unknown value.</w:t>
            </w:r>
            <w:r w:rsidR="004023D4">
              <w:t xml:space="preserve"> </w:t>
            </w:r>
            <w:r>
              <w:t>Inclusion of both meal cost and housing cost is necessary to generate a total cost of attendance, which is subsequently needed for Net Price calculations.</w:t>
            </w:r>
            <w:r w:rsidR="004023D4">
              <w:t xml:space="preserve"> </w:t>
            </w:r>
            <w:r>
              <w:t>For example, if the institution offers meals but no housing, in the “on-campus room and board” field they would need to enter a total that includes the cost of the meal plan plus a</w:t>
            </w:r>
            <w:r w:rsidR="00E20228">
              <w:t>n</w:t>
            </w:r>
            <w:r>
              <w:t xml:space="preserve"> estimate of housing</w:t>
            </w:r>
            <w:r w:rsidR="00E20228">
              <w:t xml:space="preserve"> cost</w:t>
            </w:r>
            <w:r>
              <w:t xml:space="preserve"> (such as a housing cost similar to that</w:t>
            </w:r>
            <w:r w:rsidR="004023D4">
              <w:t xml:space="preserve"> of off-campus housing).</w:t>
            </w:r>
          </w:p>
        </w:tc>
        <w:tc>
          <w:tcPr>
            <w:tcW w:w="830" w:type="pct"/>
            <w:tcBorders>
              <w:left w:val="nil"/>
              <w:right w:val="nil"/>
            </w:tcBorders>
            <w:shd w:val="clear" w:color="auto" w:fill="auto"/>
          </w:tcPr>
          <w:p w14:paraId="1CE3BC60" w14:textId="4CC3B6D1" w:rsidR="00FB40C6" w:rsidRDefault="00FB40C6" w:rsidP="00A35425">
            <w:pPr>
              <w:pStyle w:val="TableTextCenter"/>
            </w:pPr>
            <w:r>
              <w:t>2019-20</w:t>
            </w:r>
          </w:p>
        </w:tc>
        <w:tc>
          <w:tcPr>
            <w:tcW w:w="863" w:type="pct"/>
            <w:tcBorders>
              <w:left w:val="nil"/>
              <w:right w:val="nil"/>
            </w:tcBorders>
            <w:shd w:val="clear" w:color="auto" w:fill="auto"/>
          </w:tcPr>
          <w:p w14:paraId="67BE6E43" w14:textId="0B494D4A" w:rsidR="00FB40C6" w:rsidRPr="0011338E" w:rsidRDefault="00FB40C6" w:rsidP="0011338E">
            <w:pPr>
              <w:pStyle w:val="TableText"/>
              <w:jc w:val="left"/>
            </w:pPr>
            <w:r>
              <w:t>NCES initiated</w:t>
            </w:r>
          </w:p>
        </w:tc>
        <w:tc>
          <w:tcPr>
            <w:tcW w:w="557" w:type="pct"/>
            <w:tcBorders>
              <w:left w:val="nil"/>
            </w:tcBorders>
            <w:shd w:val="clear" w:color="auto" w:fill="auto"/>
          </w:tcPr>
          <w:p w14:paraId="0F98F3CF" w14:textId="1626CFCD" w:rsidR="00FB40C6" w:rsidRDefault="00FB40C6" w:rsidP="00A35425">
            <w:pPr>
              <w:pStyle w:val="TableText"/>
            </w:pPr>
            <w:r>
              <w:t>No change</w:t>
            </w:r>
          </w:p>
        </w:tc>
      </w:tr>
      <w:tr w:rsidR="009F390A" w:rsidRPr="001A0F26" w14:paraId="17749858" w14:textId="77777777" w:rsidTr="00AE2C6D">
        <w:trPr>
          <w:trHeight w:val="1168"/>
        </w:trPr>
        <w:tc>
          <w:tcPr>
            <w:tcW w:w="2750" w:type="pct"/>
            <w:tcBorders>
              <w:right w:val="nil"/>
            </w:tcBorders>
            <w:shd w:val="clear" w:color="auto" w:fill="auto"/>
          </w:tcPr>
          <w:p w14:paraId="6F053717" w14:textId="361F665E" w:rsidR="009F390A" w:rsidRDefault="009F390A" w:rsidP="00FB40C6">
            <w:pPr>
              <w:pStyle w:val="TableText"/>
            </w:pPr>
            <w:r>
              <w:t>Cross-cutting definition and terminology changes:</w:t>
            </w:r>
          </w:p>
          <w:p w14:paraId="537F933E" w14:textId="7EF9F23C" w:rsidR="009F390A" w:rsidRDefault="000908C0" w:rsidP="00E20228">
            <w:pPr>
              <w:pStyle w:val="TableText"/>
              <w:jc w:val="left"/>
            </w:pPr>
            <w:r>
              <w:t>Replace “formal award” terminology with “recognized postsecondary credential”; replace “contact hour” with “clock hour”; add instruction to exclude students receiving Experimental Pell.</w:t>
            </w:r>
          </w:p>
        </w:tc>
        <w:tc>
          <w:tcPr>
            <w:tcW w:w="830" w:type="pct"/>
            <w:tcBorders>
              <w:left w:val="nil"/>
              <w:right w:val="nil"/>
            </w:tcBorders>
            <w:shd w:val="clear" w:color="auto" w:fill="auto"/>
          </w:tcPr>
          <w:p w14:paraId="604083F1" w14:textId="55CEE9CC" w:rsidR="009F390A" w:rsidRDefault="000908C0" w:rsidP="00A35425">
            <w:pPr>
              <w:pStyle w:val="TableTextCenter"/>
            </w:pPr>
            <w:r>
              <w:t>2019-20</w:t>
            </w:r>
          </w:p>
        </w:tc>
        <w:tc>
          <w:tcPr>
            <w:tcW w:w="863" w:type="pct"/>
            <w:tcBorders>
              <w:left w:val="nil"/>
              <w:right w:val="nil"/>
            </w:tcBorders>
            <w:shd w:val="clear" w:color="auto" w:fill="auto"/>
          </w:tcPr>
          <w:p w14:paraId="2612AD43" w14:textId="0FF837C2" w:rsidR="009F390A" w:rsidRDefault="000908C0" w:rsidP="0011338E">
            <w:pPr>
              <w:pStyle w:val="TableText"/>
              <w:jc w:val="left"/>
            </w:pPr>
            <w:r w:rsidRPr="00525945">
              <w:rPr>
                <w:bCs/>
              </w:rPr>
              <w:t>TRP on Subbaccalaureate Certificates (March 2017</w:t>
            </w:r>
            <w:r>
              <w:rPr>
                <w:bCs/>
              </w:rPr>
              <w:t>); NCES initiated</w:t>
            </w:r>
          </w:p>
        </w:tc>
        <w:tc>
          <w:tcPr>
            <w:tcW w:w="557" w:type="pct"/>
            <w:tcBorders>
              <w:left w:val="nil"/>
            </w:tcBorders>
            <w:shd w:val="clear" w:color="auto" w:fill="auto"/>
          </w:tcPr>
          <w:p w14:paraId="358DAEB8" w14:textId="407FDA21" w:rsidR="009F390A" w:rsidRDefault="000908C0" w:rsidP="00A35425">
            <w:pPr>
              <w:pStyle w:val="TableText"/>
            </w:pPr>
            <w:r>
              <w:t>No change</w:t>
            </w:r>
          </w:p>
        </w:tc>
      </w:tr>
    </w:tbl>
    <w:p w14:paraId="183F91AE" w14:textId="59C473AF" w:rsidR="00874333" w:rsidRDefault="00874333">
      <w:pPr>
        <w:rPr>
          <w:rFonts w:ascii="Arial" w:hAnsi="Arial" w:cs="Arial"/>
        </w:rPr>
      </w:pPr>
    </w:p>
    <w:p w14:paraId="3AEE5F1F" w14:textId="77777777" w:rsidR="006A24B2" w:rsidRDefault="00BF26F2" w:rsidP="00BF26F2">
      <w:pPr>
        <w:pStyle w:val="TableBullet"/>
        <w:numPr>
          <w:ilvl w:val="0"/>
          <w:numId w:val="0"/>
        </w:numPr>
        <w:rPr>
          <w:sz w:val="22"/>
          <w:szCs w:val="22"/>
        </w:rPr>
      </w:pPr>
      <w:r w:rsidRPr="00BF26F2">
        <w:rPr>
          <w:b/>
          <w:sz w:val="22"/>
          <w:szCs w:val="22"/>
        </w:rPr>
        <w:t xml:space="preserve">Completions (C). </w:t>
      </w:r>
      <w:r w:rsidRPr="00BF26F2">
        <w:rPr>
          <w:sz w:val="22"/>
          <w:szCs w:val="22"/>
        </w:rPr>
        <w:t>The proposed changes to the C</w:t>
      </w:r>
      <w:r w:rsidR="004D68D8">
        <w:rPr>
          <w:sz w:val="22"/>
          <w:szCs w:val="22"/>
        </w:rPr>
        <w:t>ompletions</w:t>
      </w:r>
      <w:r w:rsidRPr="00BF26F2">
        <w:rPr>
          <w:sz w:val="22"/>
          <w:szCs w:val="22"/>
        </w:rPr>
        <w:t xml:space="preserve"> survey</w:t>
      </w:r>
      <w:r w:rsidR="005B0F87">
        <w:rPr>
          <w:sz w:val="22"/>
          <w:szCs w:val="22"/>
        </w:rPr>
        <w:t xml:space="preserve"> form</w:t>
      </w:r>
      <w:r w:rsidRPr="00BF26F2">
        <w:rPr>
          <w:sz w:val="22"/>
          <w:szCs w:val="22"/>
        </w:rPr>
        <w:t xml:space="preserve"> are based on input from two separate meetings of the IPEDS TRP: one on Subbaccalaureate Certificates held in March 2017 and </w:t>
      </w:r>
      <w:r w:rsidR="005217A4">
        <w:rPr>
          <w:sz w:val="22"/>
          <w:szCs w:val="22"/>
        </w:rPr>
        <w:t>another</w:t>
      </w:r>
      <w:r w:rsidRPr="00BF26F2">
        <w:rPr>
          <w:sz w:val="22"/>
          <w:szCs w:val="22"/>
        </w:rPr>
        <w:t xml:space="preserve"> on Evaluating Distance Education Elements in the IPEDS Data Collection held in June 2017.</w:t>
      </w:r>
    </w:p>
    <w:p w14:paraId="1EB57782" w14:textId="75683CB8" w:rsidR="005217A4" w:rsidRDefault="005217A4" w:rsidP="00BF26F2">
      <w:pPr>
        <w:pStyle w:val="TableBullet"/>
        <w:numPr>
          <w:ilvl w:val="0"/>
          <w:numId w:val="0"/>
        </w:numPr>
        <w:rPr>
          <w:b/>
          <w:sz w:val="22"/>
          <w:szCs w:val="22"/>
        </w:rPr>
      </w:pPr>
    </w:p>
    <w:p w14:paraId="6BE1EFFD" w14:textId="280FAB5A" w:rsidR="00C32652" w:rsidRDefault="00D94799" w:rsidP="00BF26F2">
      <w:pPr>
        <w:pStyle w:val="TableBullet"/>
        <w:numPr>
          <w:ilvl w:val="0"/>
          <w:numId w:val="0"/>
        </w:numPr>
        <w:rPr>
          <w:sz w:val="22"/>
          <w:szCs w:val="22"/>
        </w:rPr>
      </w:pPr>
      <w:r w:rsidRPr="00456A38">
        <w:rPr>
          <w:i/>
          <w:sz w:val="22"/>
          <w:szCs w:val="22"/>
        </w:rPr>
        <w:t>Subbaccalaureate</w:t>
      </w:r>
      <w:r w:rsidR="00456A38" w:rsidRPr="00456A38">
        <w:rPr>
          <w:i/>
          <w:sz w:val="22"/>
          <w:szCs w:val="22"/>
        </w:rPr>
        <w:t xml:space="preserve"> </w:t>
      </w:r>
      <w:r w:rsidR="00A731C4">
        <w:rPr>
          <w:i/>
          <w:sz w:val="22"/>
          <w:szCs w:val="22"/>
        </w:rPr>
        <w:t>c</w:t>
      </w:r>
      <w:r w:rsidR="00456A38" w:rsidRPr="00456A38">
        <w:rPr>
          <w:i/>
          <w:sz w:val="22"/>
          <w:szCs w:val="22"/>
        </w:rPr>
        <w:t>ertificates</w:t>
      </w:r>
      <w:r w:rsidR="00456A38">
        <w:rPr>
          <w:sz w:val="22"/>
          <w:szCs w:val="22"/>
        </w:rPr>
        <w:t xml:space="preserve">. </w:t>
      </w:r>
      <w:r w:rsidR="00505746">
        <w:rPr>
          <w:sz w:val="22"/>
          <w:szCs w:val="22"/>
        </w:rPr>
        <w:t>Like</w:t>
      </w:r>
      <w:r w:rsidR="00A4532C">
        <w:rPr>
          <w:sz w:val="22"/>
          <w:szCs w:val="22"/>
        </w:rPr>
        <w:t xml:space="preserve"> the change on </w:t>
      </w:r>
      <w:r w:rsidR="007507E3">
        <w:rPr>
          <w:sz w:val="22"/>
          <w:szCs w:val="22"/>
        </w:rPr>
        <w:t xml:space="preserve">IC Header file, </w:t>
      </w:r>
      <w:r w:rsidR="009D09B2">
        <w:rPr>
          <w:sz w:val="22"/>
          <w:szCs w:val="22"/>
        </w:rPr>
        <w:t>subbaccalaureate</w:t>
      </w:r>
      <w:r w:rsidR="007507E3">
        <w:rPr>
          <w:sz w:val="22"/>
          <w:szCs w:val="22"/>
        </w:rPr>
        <w:t xml:space="preserve"> certificates that are less that an academic year </w:t>
      </w:r>
      <w:r w:rsidR="001A0610">
        <w:rPr>
          <w:sz w:val="22"/>
          <w:szCs w:val="22"/>
        </w:rPr>
        <w:t xml:space="preserve">will be broken into two categories for reporting </w:t>
      </w:r>
      <w:r w:rsidR="00505746">
        <w:rPr>
          <w:sz w:val="22"/>
          <w:szCs w:val="22"/>
        </w:rPr>
        <w:t>counts</w:t>
      </w:r>
      <w:r w:rsidR="001A0610">
        <w:rPr>
          <w:sz w:val="22"/>
          <w:szCs w:val="22"/>
        </w:rPr>
        <w:t xml:space="preserve"> of certificates awarded. </w:t>
      </w:r>
      <w:r w:rsidR="0074558E">
        <w:rPr>
          <w:sz w:val="22"/>
          <w:szCs w:val="22"/>
        </w:rPr>
        <w:t xml:space="preserve">In addition, for all </w:t>
      </w:r>
      <w:r w:rsidR="009D09B2">
        <w:rPr>
          <w:sz w:val="22"/>
          <w:szCs w:val="22"/>
        </w:rPr>
        <w:t>subbaccalaureate</w:t>
      </w:r>
      <w:r w:rsidR="0074558E">
        <w:rPr>
          <w:sz w:val="22"/>
          <w:szCs w:val="22"/>
        </w:rPr>
        <w:t xml:space="preserve"> certificates, references </w:t>
      </w:r>
      <w:r w:rsidR="009D09B2">
        <w:rPr>
          <w:sz w:val="22"/>
          <w:szCs w:val="22"/>
        </w:rPr>
        <w:t xml:space="preserve">to academic year </w:t>
      </w:r>
      <w:r w:rsidR="009D09B2" w:rsidRPr="004249A5">
        <w:rPr>
          <w:sz w:val="22"/>
          <w:szCs w:val="22"/>
        </w:rPr>
        <w:t>equivalencies</w:t>
      </w:r>
      <w:r w:rsidR="00F10446" w:rsidRPr="004249A5">
        <w:rPr>
          <w:sz w:val="22"/>
          <w:szCs w:val="22"/>
        </w:rPr>
        <w:t xml:space="preserve"> and to contact hours</w:t>
      </w:r>
      <w:r w:rsidR="009D09B2" w:rsidRPr="004249A5">
        <w:rPr>
          <w:sz w:val="22"/>
          <w:szCs w:val="22"/>
        </w:rPr>
        <w:t xml:space="preserve"> have</w:t>
      </w:r>
      <w:r w:rsidR="009D09B2">
        <w:rPr>
          <w:sz w:val="22"/>
          <w:szCs w:val="22"/>
        </w:rPr>
        <w:t xml:space="preserve"> been removed since the TRP noted that these tend to be confusing and can result in inconsistent data. </w:t>
      </w:r>
      <w:r w:rsidR="00F772B1">
        <w:rPr>
          <w:sz w:val="22"/>
          <w:szCs w:val="22"/>
        </w:rPr>
        <w:t xml:space="preserve">There will be a moderate increase in </w:t>
      </w:r>
      <w:r w:rsidR="006B1EDD">
        <w:rPr>
          <w:sz w:val="22"/>
          <w:szCs w:val="22"/>
        </w:rPr>
        <w:t xml:space="preserve">reporting burden in the first year as institutions will need to reclassify short-term programs into the new </w:t>
      </w:r>
      <w:r w:rsidR="006A2455">
        <w:rPr>
          <w:sz w:val="22"/>
          <w:szCs w:val="22"/>
        </w:rPr>
        <w:t>categories</w:t>
      </w:r>
      <w:r w:rsidR="006B1EDD">
        <w:rPr>
          <w:sz w:val="22"/>
          <w:szCs w:val="22"/>
        </w:rPr>
        <w:t>; subsequently, the chang</w:t>
      </w:r>
      <w:r w:rsidR="00623D58">
        <w:rPr>
          <w:sz w:val="22"/>
          <w:szCs w:val="22"/>
        </w:rPr>
        <w:t>e is minimal.</w:t>
      </w:r>
    </w:p>
    <w:p w14:paraId="5AEDB845" w14:textId="77777777" w:rsidR="00C32652" w:rsidRDefault="00C32652" w:rsidP="00BF26F2">
      <w:pPr>
        <w:pStyle w:val="TableBullet"/>
        <w:numPr>
          <w:ilvl w:val="0"/>
          <w:numId w:val="0"/>
        </w:numPr>
        <w:rPr>
          <w:sz w:val="22"/>
          <w:szCs w:val="22"/>
        </w:rPr>
      </w:pPr>
    </w:p>
    <w:p w14:paraId="0BAB1201" w14:textId="477962CB" w:rsidR="00AE2C6D" w:rsidRPr="00F84341" w:rsidRDefault="00C32652" w:rsidP="00F84341">
      <w:pPr>
        <w:pStyle w:val="TableBullet"/>
        <w:numPr>
          <w:ilvl w:val="0"/>
          <w:numId w:val="0"/>
        </w:numPr>
        <w:spacing w:after="160" w:line="259" w:lineRule="auto"/>
        <w:rPr>
          <w:sz w:val="22"/>
          <w:szCs w:val="22"/>
        </w:rPr>
      </w:pPr>
      <w:r w:rsidRPr="00C32652">
        <w:rPr>
          <w:i/>
          <w:sz w:val="22"/>
          <w:szCs w:val="22"/>
        </w:rPr>
        <w:t xml:space="preserve">Distance </w:t>
      </w:r>
      <w:r w:rsidR="00A731C4">
        <w:rPr>
          <w:i/>
          <w:sz w:val="22"/>
          <w:szCs w:val="22"/>
        </w:rPr>
        <w:t>e</w:t>
      </w:r>
      <w:r w:rsidRPr="00C32652">
        <w:rPr>
          <w:i/>
          <w:sz w:val="22"/>
          <w:szCs w:val="22"/>
        </w:rPr>
        <w:t>ducation.</w:t>
      </w:r>
      <w:r>
        <w:rPr>
          <w:sz w:val="22"/>
          <w:szCs w:val="22"/>
        </w:rPr>
        <w:t xml:space="preserve"> </w:t>
      </w:r>
      <w:r w:rsidR="005217A4" w:rsidRPr="005217A4">
        <w:rPr>
          <w:sz w:val="22"/>
          <w:szCs w:val="22"/>
        </w:rPr>
        <w:t xml:space="preserve">The IPEDS Completions component </w:t>
      </w:r>
      <w:r w:rsidR="00E778E4">
        <w:rPr>
          <w:sz w:val="22"/>
          <w:szCs w:val="22"/>
        </w:rPr>
        <w:t xml:space="preserve">currently </w:t>
      </w:r>
      <w:r w:rsidR="005217A4" w:rsidRPr="005217A4">
        <w:rPr>
          <w:sz w:val="22"/>
          <w:szCs w:val="22"/>
        </w:rPr>
        <w:t>collects whether the institution offers the full program (as defined by the Classification of Instructional Programs [CIP] code system and award level</w:t>
      </w:r>
      <w:r w:rsidR="00E778E4">
        <w:rPr>
          <w:sz w:val="22"/>
          <w:szCs w:val="22"/>
        </w:rPr>
        <w:t>)</w:t>
      </w:r>
      <w:r w:rsidR="005217A4" w:rsidRPr="005217A4">
        <w:rPr>
          <w:sz w:val="22"/>
          <w:szCs w:val="22"/>
        </w:rPr>
        <w:t xml:space="preserve"> through distance education. If more than one program is offered under a CIP code by award level, institutions are instructed to check “yes” to the distance education question if any of the programs are offered as a distance education program. </w:t>
      </w:r>
      <w:r w:rsidR="00AA0531">
        <w:rPr>
          <w:sz w:val="22"/>
          <w:szCs w:val="22"/>
        </w:rPr>
        <w:t>TRP p</w:t>
      </w:r>
      <w:r w:rsidR="005217A4" w:rsidRPr="005217A4">
        <w:rPr>
          <w:sz w:val="22"/>
          <w:szCs w:val="22"/>
        </w:rPr>
        <w:t xml:space="preserve">anelists noted that a constraint of the current format is the inability to identify the number of programs offered as distance education programs if more than one program is offered under a CIP code. </w:t>
      </w:r>
      <w:r w:rsidR="005217A4">
        <w:rPr>
          <w:sz w:val="22"/>
          <w:szCs w:val="22"/>
        </w:rPr>
        <w:t>The TRP</w:t>
      </w:r>
      <w:r w:rsidR="005217A4" w:rsidRPr="005217A4">
        <w:rPr>
          <w:sz w:val="22"/>
          <w:szCs w:val="22"/>
        </w:rPr>
        <w:t xml:space="preserve"> considered several options for categorizing exclusively distance education programs in ways that are better aligned with how institutions organize their programs.</w:t>
      </w:r>
      <w:r w:rsidR="006E0DFA">
        <w:rPr>
          <w:sz w:val="22"/>
          <w:szCs w:val="22"/>
        </w:rPr>
        <w:t xml:space="preserve"> Based on the TRP input, NCES will</w:t>
      </w:r>
      <w:r w:rsidR="00903B45">
        <w:rPr>
          <w:sz w:val="22"/>
          <w:szCs w:val="22"/>
        </w:rPr>
        <w:t xml:space="preserve"> revise the question about programs under a CIP being offered </w:t>
      </w:r>
      <w:r w:rsidR="00C96C67">
        <w:rPr>
          <w:sz w:val="22"/>
          <w:szCs w:val="22"/>
        </w:rPr>
        <w:t xml:space="preserve">as </w:t>
      </w:r>
      <w:r w:rsidR="004249A5">
        <w:rPr>
          <w:sz w:val="22"/>
          <w:szCs w:val="22"/>
        </w:rPr>
        <w:t>distance education</w:t>
      </w:r>
      <w:r w:rsidR="00903B45">
        <w:rPr>
          <w:sz w:val="22"/>
          <w:szCs w:val="22"/>
        </w:rPr>
        <w:t xml:space="preserve"> to clarify whether</w:t>
      </w:r>
      <w:r w:rsidR="004B03DB">
        <w:rPr>
          <w:sz w:val="22"/>
          <w:szCs w:val="22"/>
        </w:rPr>
        <w:t xml:space="preserve"> all or at least one program for the CIP </w:t>
      </w:r>
      <w:r w:rsidR="0068458A">
        <w:rPr>
          <w:sz w:val="22"/>
          <w:szCs w:val="22"/>
        </w:rPr>
        <w:t xml:space="preserve">and award level </w:t>
      </w:r>
      <w:r w:rsidR="004B03DB">
        <w:rPr>
          <w:sz w:val="22"/>
          <w:szCs w:val="22"/>
        </w:rPr>
        <w:t xml:space="preserve">is offered via distance education, </w:t>
      </w:r>
      <w:r w:rsidR="002D750C">
        <w:rPr>
          <w:sz w:val="22"/>
          <w:szCs w:val="22"/>
        </w:rPr>
        <w:t>and</w:t>
      </w:r>
      <w:r w:rsidR="00D8132F">
        <w:rPr>
          <w:sz w:val="22"/>
          <w:szCs w:val="22"/>
        </w:rPr>
        <w:t xml:space="preserve"> include details </w:t>
      </w:r>
      <w:r w:rsidR="00A50E0F">
        <w:rPr>
          <w:sz w:val="22"/>
          <w:szCs w:val="22"/>
        </w:rPr>
        <w:t xml:space="preserve">regarding whether </w:t>
      </w:r>
      <w:r w:rsidR="00B10E56">
        <w:rPr>
          <w:sz w:val="22"/>
          <w:szCs w:val="22"/>
        </w:rPr>
        <w:t>programs are</w:t>
      </w:r>
      <w:r w:rsidR="00A50E0F">
        <w:rPr>
          <w:sz w:val="22"/>
          <w:szCs w:val="22"/>
        </w:rPr>
        <w:t xml:space="preserve"> entirely </w:t>
      </w:r>
      <w:r w:rsidR="004249A5">
        <w:rPr>
          <w:sz w:val="22"/>
          <w:szCs w:val="22"/>
        </w:rPr>
        <w:t>distance education</w:t>
      </w:r>
      <w:r w:rsidR="0068458A">
        <w:rPr>
          <w:sz w:val="22"/>
          <w:szCs w:val="22"/>
        </w:rPr>
        <w:t xml:space="preserve"> or </w:t>
      </w:r>
      <w:r w:rsidR="00A50E0F">
        <w:rPr>
          <w:sz w:val="22"/>
          <w:szCs w:val="22"/>
        </w:rPr>
        <w:t>ha</w:t>
      </w:r>
      <w:r w:rsidR="00E230FE">
        <w:rPr>
          <w:sz w:val="22"/>
          <w:szCs w:val="22"/>
        </w:rPr>
        <w:t>ve</w:t>
      </w:r>
      <w:r w:rsidR="00A50E0F">
        <w:rPr>
          <w:sz w:val="22"/>
          <w:szCs w:val="22"/>
        </w:rPr>
        <w:t xml:space="preserve"> </w:t>
      </w:r>
      <w:r w:rsidR="004249A5">
        <w:rPr>
          <w:sz w:val="22"/>
          <w:szCs w:val="22"/>
        </w:rPr>
        <w:t xml:space="preserve">a </w:t>
      </w:r>
      <w:r w:rsidR="0068458A">
        <w:rPr>
          <w:sz w:val="22"/>
          <w:szCs w:val="22"/>
        </w:rPr>
        <w:t xml:space="preserve">mandatory or non-mandatory </w:t>
      </w:r>
      <w:r w:rsidR="004249A5">
        <w:rPr>
          <w:sz w:val="22"/>
          <w:szCs w:val="22"/>
        </w:rPr>
        <w:t>distance education</w:t>
      </w:r>
      <w:r w:rsidR="00A50E0F">
        <w:rPr>
          <w:sz w:val="22"/>
          <w:szCs w:val="22"/>
        </w:rPr>
        <w:t xml:space="preserve"> requirement</w:t>
      </w:r>
      <w:r w:rsidR="004C26DB">
        <w:rPr>
          <w:sz w:val="22"/>
          <w:szCs w:val="22"/>
        </w:rPr>
        <w:t xml:space="preserve">. </w:t>
      </w:r>
      <w:r w:rsidR="00623D58">
        <w:rPr>
          <w:sz w:val="22"/>
          <w:szCs w:val="22"/>
        </w:rPr>
        <w:t>The change in reporting burden should be minimal.</w:t>
      </w:r>
    </w:p>
    <w:p w14:paraId="5BCB500B" w14:textId="29626C59" w:rsidR="00AE2C6D" w:rsidRDefault="00AE2C6D" w:rsidP="00AE2C6D">
      <w:pPr>
        <w:rPr>
          <w:rFonts w:ascii="Arial" w:hAnsi="Arial" w:cs="Arial"/>
        </w:rPr>
      </w:pPr>
      <w:r>
        <w:rPr>
          <w:rFonts w:ascii="Arial" w:hAnsi="Arial" w:cs="Arial"/>
          <w:i/>
        </w:rPr>
        <w:t>Cross-cutting definition/terminology changes</w:t>
      </w:r>
      <w:r>
        <w:rPr>
          <w:rFonts w:ascii="Arial" w:hAnsi="Arial" w:cs="Arial"/>
        </w:rPr>
        <w:t>. The C survey component will use the terminology of “recognized postsecondary credential” instead of “formal award” and “clock hours” instead of “contact hours”. No change in burden.</w:t>
      </w:r>
    </w:p>
    <w:p w14:paraId="21CAAEDC" w14:textId="106A0914" w:rsidR="00AE2C6D" w:rsidRDefault="00AE2C6D" w:rsidP="00AE2C6D">
      <w:pPr>
        <w:rPr>
          <w:rFonts w:ascii="Arial" w:hAnsi="Arial" w:cs="Arial"/>
        </w:rPr>
      </w:pPr>
      <w:r>
        <w:rPr>
          <w:rFonts w:ascii="Arial" w:hAnsi="Arial" w:cs="Arial"/>
          <w:i/>
        </w:rPr>
        <w:t xml:space="preserve">Addition of instruction to exclude students receiving Experimental Pell. </w:t>
      </w:r>
      <w:r>
        <w:rPr>
          <w:rFonts w:ascii="Arial" w:hAnsi="Arial" w:cs="Arial"/>
        </w:rPr>
        <w:t>The C component will include the instruction not to include students receiving Experimental Pell. No change in burden.</w:t>
      </w:r>
    </w:p>
    <w:p w14:paraId="633D5187" w14:textId="22CF0661" w:rsidR="00762BD3" w:rsidRDefault="00762BD3" w:rsidP="00D96A4A">
      <w:pPr>
        <w:pStyle w:val="TableBullet"/>
        <w:numPr>
          <w:ilvl w:val="0"/>
          <w:numId w:val="0"/>
        </w:numPr>
        <w:spacing w:after="160" w:line="259" w:lineRule="auto"/>
        <w:rPr>
          <w:sz w:val="22"/>
          <w:szCs w:val="22"/>
        </w:rPr>
      </w:pPr>
      <w:r>
        <w:rPr>
          <w:sz w:val="22"/>
          <w:szCs w:val="22"/>
        </w:rPr>
        <w:t>Proposed changes to the Completions survey are summarized in table A2 below.</w:t>
      </w:r>
    </w:p>
    <w:tbl>
      <w:tblPr>
        <w:tblW w:w="5048"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5960"/>
        <w:gridCol w:w="1798"/>
        <w:gridCol w:w="1869"/>
        <w:gridCol w:w="1204"/>
      </w:tblGrid>
      <w:tr w:rsidR="00DB2833" w:rsidRPr="001A0F26" w14:paraId="3ABBF981" w14:textId="77777777" w:rsidTr="00A35425">
        <w:trPr>
          <w:trHeight w:val="238"/>
          <w:tblHeader/>
        </w:trPr>
        <w:tc>
          <w:tcPr>
            <w:tcW w:w="5000" w:type="pct"/>
            <w:gridSpan w:val="4"/>
            <w:shd w:val="clear" w:color="auto" w:fill="4F81BD"/>
            <w:vAlign w:val="center"/>
          </w:tcPr>
          <w:p w14:paraId="3DA69557" w14:textId="37D0760C" w:rsidR="00DB2833" w:rsidRPr="001A0F26" w:rsidRDefault="00DB2833" w:rsidP="00A35425">
            <w:pPr>
              <w:pStyle w:val="TableTitle"/>
            </w:pPr>
            <w:bookmarkStart w:id="5" w:name="_Hlk529190298"/>
            <w:r w:rsidRPr="001A0F26">
              <w:t xml:space="preserve">Table </w:t>
            </w:r>
            <w:r>
              <w:t>A2.</w:t>
            </w:r>
            <w:r w:rsidRPr="001A0F26">
              <w:t xml:space="preserve"> Proposed </w:t>
            </w:r>
            <w:r>
              <w:t>c</w:t>
            </w:r>
            <w:r w:rsidRPr="001A0F26">
              <w:t>hanges to the</w:t>
            </w:r>
            <w:r>
              <w:t xml:space="preserve"> </w:t>
            </w:r>
            <w:r w:rsidR="005D0758">
              <w:t>Completions</w:t>
            </w:r>
            <w:r w:rsidRPr="001A0F26">
              <w:t xml:space="preserve"> Form </w:t>
            </w:r>
          </w:p>
        </w:tc>
      </w:tr>
      <w:tr w:rsidR="00DB2833" w:rsidRPr="00534107" w14:paraId="7DD9A246" w14:textId="77777777" w:rsidTr="00D96A4A">
        <w:trPr>
          <w:trHeight w:val="478"/>
          <w:tblHeader/>
        </w:trPr>
        <w:tc>
          <w:tcPr>
            <w:tcW w:w="2751" w:type="pct"/>
            <w:tcBorders>
              <w:bottom w:val="single" w:sz="8" w:space="0" w:color="7BA0CD"/>
              <w:right w:val="nil"/>
            </w:tcBorders>
            <w:shd w:val="clear" w:color="auto" w:fill="D3DFEE"/>
            <w:vAlign w:val="center"/>
          </w:tcPr>
          <w:p w14:paraId="585FADF7" w14:textId="77777777" w:rsidR="00DB2833" w:rsidRPr="00534107" w:rsidRDefault="00DB2833" w:rsidP="00A35425">
            <w:pPr>
              <w:pStyle w:val="TableHeader"/>
              <w:jc w:val="left"/>
            </w:pPr>
            <w:r w:rsidRPr="00534107">
              <w:t>Change</w:t>
            </w:r>
          </w:p>
        </w:tc>
        <w:tc>
          <w:tcPr>
            <w:tcW w:w="830" w:type="pct"/>
            <w:tcBorders>
              <w:left w:val="nil"/>
              <w:bottom w:val="single" w:sz="8" w:space="0" w:color="7BA0CD"/>
              <w:right w:val="nil"/>
            </w:tcBorders>
            <w:shd w:val="clear" w:color="auto" w:fill="D3DFEE"/>
            <w:vAlign w:val="center"/>
          </w:tcPr>
          <w:p w14:paraId="69A1D058" w14:textId="77777777" w:rsidR="00DB2833" w:rsidRPr="00534107" w:rsidRDefault="00DB2833" w:rsidP="00A35425">
            <w:pPr>
              <w:pStyle w:val="TableHeader"/>
              <w:jc w:val="left"/>
            </w:pPr>
            <w:r w:rsidRPr="00534107">
              <w:t xml:space="preserve">Implementation </w:t>
            </w:r>
            <w:r>
              <w:t>y</w:t>
            </w:r>
            <w:r w:rsidRPr="00534107">
              <w:t>ear</w:t>
            </w:r>
          </w:p>
        </w:tc>
        <w:tc>
          <w:tcPr>
            <w:tcW w:w="863" w:type="pct"/>
            <w:tcBorders>
              <w:left w:val="nil"/>
              <w:bottom w:val="single" w:sz="8" w:space="0" w:color="7BA0CD"/>
              <w:right w:val="nil"/>
            </w:tcBorders>
            <w:shd w:val="clear" w:color="auto" w:fill="D3DFEE"/>
            <w:vAlign w:val="center"/>
          </w:tcPr>
          <w:p w14:paraId="7FC2A438" w14:textId="77777777" w:rsidR="00DB2833" w:rsidRPr="00534107" w:rsidRDefault="00DB2833" w:rsidP="00A35425">
            <w:pPr>
              <w:pStyle w:val="TableHeader"/>
              <w:jc w:val="left"/>
            </w:pPr>
            <w:r w:rsidRPr="00534107">
              <w:t>Source</w:t>
            </w:r>
          </w:p>
        </w:tc>
        <w:tc>
          <w:tcPr>
            <w:tcW w:w="556" w:type="pct"/>
            <w:tcBorders>
              <w:left w:val="nil"/>
              <w:bottom w:val="single" w:sz="8" w:space="0" w:color="7BA0CD"/>
            </w:tcBorders>
            <w:shd w:val="clear" w:color="auto" w:fill="D3DFEE"/>
            <w:vAlign w:val="center"/>
          </w:tcPr>
          <w:p w14:paraId="6922F9E5" w14:textId="77777777" w:rsidR="00DB2833" w:rsidRPr="00534107" w:rsidRDefault="00DB2833" w:rsidP="00A35425">
            <w:pPr>
              <w:pStyle w:val="TableHeader"/>
              <w:jc w:val="left"/>
            </w:pPr>
            <w:r w:rsidRPr="00534107">
              <w:t xml:space="preserve">Estimated </w:t>
            </w:r>
            <w:r>
              <w:t>b</w:t>
            </w:r>
            <w:r w:rsidRPr="00534107">
              <w:t>urden</w:t>
            </w:r>
          </w:p>
        </w:tc>
      </w:tr>
      <w:tr w:rsidR="00DB2833" w14:paraId="3F27411E" w14:textId="77777777" w:rsidTr="00D96A4A">
        <w:trPr>
          <w:trHeight w:val="844"/>
        </w:trPr>
        <w:tc>
          <w:tcPr>
            <w:tcW w:w="2751" w:type="pct"/>
            <w:tcBorders>
              <w:right w:val="nil"/>
            </w:tcBorders>
            <w:shd w:val="clear" w:color="auto" w:fill="auto"/>
          </w:tcPr>
          <w:p w14:paraId="79FD01D6" w14:textId="48AED216" w:rsidR="00DB2833" w:rsidRDefault="00DB2833" w:rsidP="00A35425">
            <w:pPr>
              <w:pStyle w:val="TableText"/>
            </w:pPr>
            <w:r w:rsidRPr="00DB384D">
              <w:rPr>
                <w:i/>
              </w:rPr>
              <w:t xml:space="preserve">Split current options for </w:t>
            </w:r>
            <w:r w:rsidR="00737EB7">
              <w:rPr>
                <w:i/>
              </w:rPr>
              <w:t xml:space="preserve">reporting the count of </w:t>
            </w:r>
            <w:r w:rsidRPr="00DB384D">
              <w:rPr>
                <w:i/>
              </w:rPr>
              <w:t xml:space="preserve">certificates of less than one academic year in length into two </w:t>
            </w:r>
            <w:r>
              <w:rPr>
                <w:i/>
              </w:rPr>
              <w:t>award level categories</w:t>
            </w:r>
            <w:r w:rsidRPr="00DB384D">
              <w:rPr>
                <w:i/>
              </w:rPr>
              <w:t xml:space="preserve"> as follows</w:t>
            </w:r>
            <w:r>
              <w:t>:</w:t>
            </w:r>
          </w:p>
          <w:p w14:paraId="2B637330" w14:textId="77777777" w:rsidR="006A24B2" w:rsidRDefault="00DB2833" w:rsidP="00A35425">
            <w:pPr>
              <w:pStyle w:val="TableText"/>
            </w:pPr>
            <w:r>
              <w:t>Postsecondary award, certificate, or diploma of</w:t>
            </w:r>
          </w:p>
          <w:p w14:paraId="334E92DD" w14:textId="77777777" w:rsidR="006A24B2" w:rsidRDefault="00DB2833" w:rsidP="00AE2C6D">
            <w:pPr>
              <w:pStyle w:val="NoSpacing"/>
            </w:pPr>
            <w:r>
              <w:t xml:space="preserve">      - less than 300 clock hours, or</w:t>
            </w:r>
          </w:p>
          <w:p w14:paraId="06A4D093" w14:textId="77777777" w:rsidR="006A24B2" w:rsidRDefault="00DB2833" w:rsidP="00AE2C6D">
            <w:pPr>
              <w:pStyle w:val="NoSpacing"/>
            </w:pPr>
            <w:r>
              <w:t xml:space="preserve">      - less than 9 semester or trimester credit hours, or</w:t>
            </w:r>
          </w:p>
          <w:p w14:paraId="5B4C5397" w14:textId="68650605" w:rsidR="00DB2833" w:rsidRDefault="00DB2833" w:rsidP="00AE2C6D">
            <w:pPr>
              <w:pStyle w:val="NoSpacing"/>
            </w:pPr>
            <w:r>
              <w:t xml:space="preserve">      - less than 13 quarter credit hours</w:t>
            </w:r>
          </w:p>
          <w:p w14:paraId="6CFB9C60" w14:textId="77777777" w:rsidR="00AE2C6D" w:rsidRPr="00AE2C6D" w:rsidRDefault="00AE2C6D" w:rsidP="00AE2C6D">
            <w:pPr>
              <w:pStyle w:val="NoSpacing"/>
              <w:rPr>
                <w:sz w:val="18"/>
                <w:szCs w:val="18"/>
              </w:rPr>
            </w:pPr>
          </w:p>
          <w:p w14:paraId="35AF90C5" w14:textId="77777777" w:rsidR="006A24B2" w:rsidRDefault="00DB2833" w:rsidP="00A35425">
            <w:pPr>
              <w:pStyle w:val="TableText"/>
            </w:pPr>
            <w:r>
              <w:t>Postsecondary award, certificate, or diploma of</w:t>
            </w:r>
          </w:p>
          <w:p w14:paraId="76F403C3" w14:textId="77777777" w:rsidR="006A24B2" w:rsidRDefault="00DB2833" w:rsidP="00AE2C6D">
            <w:pPr>
              <w:pStyle w:val="NoSpacing"/>
            </w:pPr>
            <w:r>
              <w:t xml:space="preserve">      - 300-899 clock hours, or</w:t>
            </w:r>
          </w:p>
          <w:p w14:paraId="05105A1C" w14:textId="77777777" w:rsidR="006A24B2" w:rsidRDefault="00DB2833" w:rsidP="00AE2C6D">
            <w:pPr>
              <w:pStyle w:val="NoSpacing"/>
            </w:pPr>
            <w:r>
              <w:t xml:space="preserve">      - 9-29 semester or trimester credit hours, or</w:t>
            </w:r>
          </w:p>
          <w:p w14:paraId="5E71EE74" w14:textId="0A414568" w:rsidR="00DB2833" w:rsidRDefault="00DB2833" w:rsidP="00AE2C6D">
            <w:pPr>
              <w:pStyle w:val="NoSpacing"/>
            </w:pPr>
            <w:r>
              <w:t xml:space="preserve">      - 13-44 quarter credit hours</w:t>
            </w:r>
          </w:p>
          <w:p w14:paraId="490D796B" w14:textId="77777777" w:rsidR="00AE2C6D" w:rsidRDefault="00AE2C6D" w:rsidP="00A35425">
            <w:pPr>
              <w:pStyle w:val="TableText"/>
              <w:jc w:val="left"/>
              <w:rPr>
                <w:i/>
              </w:rPr>
            </w:pPr>
          </w:p>
          <w:p w14:paraId="53D5C323" w14:textId="77777777" w:rsidR="00DB2833" w:rsidRPr="00767D4A" w:rsidRDefault="00DB2833" w:rsidP="00A35425">
            <w:pPr>
              <w:pStyle w:val="TableText"/>
              <w:jc w:val="left"/>
              <w:rPr>
                <w:i/>
              </w:rPr>
            </w:pPr>
            <w:r w:rsidRPr="00767D4A">
              <w:rPr>
                <w:i/>
              </w:rPr>
              <w:t>In addition, references to academic year equivalencies have been removed</w:t>
            </w:r>
            <w:r>
              <w:rPr>
                <w:i/>
              </w:rPr>
              <w:t xml:space="preserve"> from all levels of subbaccalaureate certificates.</w:t>
            </w:r>
          </w:p>
        </w:tc>
        <w:tc>
          <w:tcPr>
            <w:tcW w:w="830" w:type="pct"/>
            <w:tcBorders>
              <w:left w:val="nil"/>
              <w:right w:val="nil"/>
            </w:tcBorders>
            <w:shd w:val="clear" w:color="auto" w:fill="auto"/>
          </w:tcPr>
          <w:p w14:paraId="4AABFE3D" w14:textId="77777777" w:rsidR="00DB2833" w:rsidRPr="001A0F26" w:rsidRDefault="00DB2833" w:rsidP="00A35425">
            <w:pPr>
              <w:pStyle w:val="TableTextCenter"/>
            </w:pPr>
            <w:r>
              <w:t>2020-21</w:t>
            </w:r>
          </w:p>
        </w:tc>
        <w:tc>
          <w:tcPr>
            <w:tcW w:w="863" w:type="pct"/>
            <w:tcBorders>
              <w:left w:val="nil"/>
              <w:right w:val="nil"/>
            </w:tcBorders>
            <w:shd w:val="clear" w:color="auto" w:fill="auto"/>
          </w:tcPr>
          <w:p w14:paraId="434552E9" w14:textId="77777777" w:rsidR="00DB2833" w:rsidRPr="001A0F26" w:rsidRDefault="00DB2833" w:rsidP="00A35425">
            <w:pPr>
              <w:pStyle w:val="TableText"/>
              <w:jc w:val="left"/>
            </w:pPr>
            <w:r w:rsidRPr="00525945">
              <w:rPr>
                <w:bCs/>
              </w:rPr>
              <w:t>TRP on Subbaccalaureate Certificates (March 2017</w:t>
            </w:r>
          </w:p>
        </w:tc>
        <w:tc>
          <w:tcPr>
            <w:tcW w:w="556" w:type="pct"/>
            <w:tcBorders>
              <w:left w:val="nil"/>
            </w:tcBorders>
            <w:shd w:val="clear" w:color="auto" w:fill="auto"/>
          </w:tcPr>
          <w:p w14:paraId="558A8BEF" w14:textId="1950B0F9" w:rsidR="00DB2833" w:rsidRDefault="005D0758" w:rsidP="00D2638F">
            <w:pPr>
              <w:pStyle w:val="TableText"/>
              <w:jc w:val="left"/>
            </w:pPr>
            <w:r>
              <w:t xml:space="preserve">Moderate </w:t>
            </w:r>
            <w:r w:rsidR="00737EB7">
              <w:t xml:space="preserve">increase in </w:t>
            </w:r>
            <w:r w:rsidR="008E16C7">
              <w:t>first</w:t>
            </w:r>
            <w:r w:rsidR="00737EB7">
              <w:t xml:space="preserve"> year</w:t>
            </w:r>
            <w:r w:rsidR="00016B40">
              <w:t xml:space="preserve"> only</w:t>
            </w:r>
          </w:p>
        </w:tc>
      </w:tr>
      <w:tr w:rsidR="004F1947" w14:paraId="3F6E1D6E" w14:textId="77777777" w:rsidTr="00D96A4A">
        <w:trPr>
          <w:trHeight w:val="844"/>
        </w:trPr>
        <w:tc>
          <w:tcPr>
            <w:tcW w:w="2751" w:type="pct"/>
            <w:tcBorders>
              <w:right w:val="nil"/>
            </w:tcBorders>
            <w:shd w:val="clear" w:color="auto" w:fill="auto"/>
          </w:tcPr>
          <w:p w14:paraId="7DC902C5" w14:textId="788D9843" w:rsidR="004F1947" w:rsidRPr="00C96B96" w:rsidRDefault="00E046DB" w:rsidP="00EC0B40">
            <w:pPr>
              <w:pStyle w:val="TableText"/>
              <w:jc w:val="left"/>
              <w:rPr>
                <w:i/>
                <w:color w:val="auto"/>
              </w:rPr>
            </w:pPr>
            <w:r w:rsidRPr="00C96B96">
              <w:rPr>
                <w:i/>
                <w:color w:val="auto"/>
              </w:rPr>
              <w:t>Update</w:t>
            </w:r>
            <w:r w:rsidR="00712C69" w:rsidRPr="00C96B96">
              <w:rPr>
                <w:i/>
                <w:color w:val="auto"/>
              </w:rPr>
              <w:t xml:space="preserve"> the question, “Is this program offered as a distance education program?”</w:t>
            </w:r>
            <w:r w:rsidRPr="00C96B96">
              <w:rPr>
                <w:i/>
                <w:color w:val="auto"/>
              </w:rPr>
              <w:t xml:space="preserve"> to “</w:t>
            </w:r>
            <w:r w:rsidR="00A0395F" w:rsidRPr="00C96B96">
              <w:rPr>
                <w:i/>
                <w:color w:val="auto"/>
              </w:rPr>
              <w:t>Is at least one program within this CIP code offered as a distance education program?”</w:t>
            </w:r>
            <w:r w:rsidR="00712C69" w:rsidRPr="00C96B96">
              <w:rPr>
                <w:i/>
                <w:color w:val="auto"/>
              </w:rPr>
              <w:t xml:space="preserve">, </w:t>
            </w:r>
            <w:r w:rsidR="00A0395F" w:rsidRPr="00C96B96">
              <w:rPr>
                <w:i/>
                <w:color w:val="auto"/>
              </w:rPr>
              <w:t xml:space="preserve">and </w:t>
            </w:r>
            <w:r w:rsidR="00F862BF" w:rsidRPr="00C96B96">
              <w:rPr>
                <w:i/>
                <w:color w:val="auto"/>
              </w:rPr>
              <w:t>change answer option</w:t>
            </w:r>
            <w:r w:rsidR="0018681B" w:rsidRPr="00C96B96">
              <w:rPr>
                <w:i/>
                <w:color w:val="auto"/>
              </w:rPr>
              <w:t>s</w:t>
            </w:r>
            <w:r w:rsidR="00F862BF" w:rsidRPr="00C96B96">
              <w:rPr>
                <w:i/>
                <w:color w:val="auto"/>
              </w:rPr>
              <w:t xml:space="preserve"> from “yes” or “no” to:</w:t>
            </w:r>
          </w:p>
          <w:p w14:paraId="481285EE" w14:textId="7422CF32" w:rsidR="00F862BF" w:rsidRDefault="0043163A" w:rsidP="00EC0B40">
            <w:pPr>
              <w:pStyle w:val="TableText"/>
              <w:numPr>
                <w:ilvl w:val="0"/>
                <w:numId w:val="4"/>
              </w:numPr>
              <w:jc w:val="left"/>
            </w:pPr>
            <w:r>
              <w:t xml:space="preserve">All programs in </w:t>
            </w:r>
            <w:r w:rsidR="0025186D">
              <w:t>this</w:t>
            </w:r>
            <w:r>
              <w:t xml:space="preserve"> CIP</w:t>
            </w:r>
            <w:r w:rsidR="00D930CD">
              <w:t xml:space="preserve"> code in this award level</w:t>
            </w:r>
            <w:r>
              <w:t xml:space="preserve"> can be completed entirely </w:t>
            </w:r>
            <w:r w:rsidR="004249A5">
              <w:t>via distance education</w:t>
            </w:r>
            <w:r w:rsidR="00B81296">
              <w:t>.</w:t>
            </w:r>
            <w:r w:rsidR="00762B8A">
              <w:t xml:space="preserve"> (Radio button)</w:t>
            </w:r>
          </w:p>
          <w:p w14:paraId="5981DA2E" w14:textId="49FFD169" w:rsidR="00B81296" w:rsidRDefault="00D0054C" w:rsidP="00EC0B40">
            <w:pPr>
              <w:pStyle w:val="TableText"/>
              <w:numPr>
                <w:ilvl w:val="0"/>
                <w:numId w:val="4"/>
              </w:numPr>
              <w:jc w:val="left"/>
            </w:pPr>
            <w:r>
              <w:t>Some programs</w:t>
            </w:r>
            <w:r w:rsidR="00B81296">
              <w:t xml:space="preserve"> in this</w:t>
            </w:r>
            <w:r w:rsidR="004249A5">
              <w:t xml:space="preserve"> CIP </w:t>
            </w:r>
            <w:r w:rsidR="00461968">
              <w:t xml:space="preserve">code in this award level </w:t>
            </w:r>
            <w:r w:rsidR="004249A5">
              <w:t>can be complete</w:t>
            </w:r>
            <w:r w:rsidR="008317AA">
              <w:t>d</w:t>
            </w:r>
            <w:r w:rsidR="004249A5">
              <w:t xml:space="preserve"> entirely via distance education</w:t>
            </w:r>
            <w:r w:rsidR="00B81296">
              <w:t>.</w:t>
            </w:r>
            <w:r w:rsidR="00762B8A">
              <w:t xml:space="preserve"> (Radio button)</w:t>
            </w:r>
          </w:p>
          <w:p w14:paraId="2DE908C0" w14:textId="17486154" w:rsidR="0025186D" w:rsidRDefault="0025186D" w:rsidP="00EC0B40">
            <w:pPr>
              <w:pStyle w:val="TableText"/>
              <w:numPr>
                <w:ilvl w:val="0"/>
                <w:numId w:val="5"/>
              </w:numPr>
              <w:ind w:left="1230" w:hanging="450"/>
              <w:jc w:val="left"/>
            </w:pPr>
            <w:r>
              <w:t>At least one program in this CIP</w:t>
            </w:r>
            <w:r w:rsidR="001B20EE">
              <w:t xml:space="preserve"> </w:t>
            </w:r>
            <w:r w:rsidR="008B7367">
              <w:t>code in this award level has a mandatory onsite component</w:t>
            </w:r>
            <w:r w:rsidR="001B20EE">
              <w:t>.</w:t>
            </w:r>
            <w:r w:rsidR="006B2D40">
              <w:t xml:space="preserve"> (Checkbox)</w:t>
            </w:r>
          </w:p>
          <w:p w14:paraId="1A63963E" w14:textId="761149FB" w:rsidR="00771957" w:rsidRDefault="00771957" w:rsidP="00EC0B40">
            <w:pPr>
              <w:pStyle w:val="TableText"/>
              <w:numPr>
                <w:ilvl w:val="0"/>
                <w:numId w:val="5"/>
              </w:numPr>
              <w:ind w:left="1230" w:hanging="450"/>
              <w:jc w:val="left"/>
            </w:pPr>
            <w:r>
              <w:t>At least one program in this CIP code in this award level has a non-mandatory onsite component. (Checkbox)</w:t>
            </w:r>
          </w:p>
          <w:p w14:paraId="096E5FEA" w14:textId="268D7965" w:rsidR="005B0139" w:rsidRPr="0043163A" w:rsidRDefault="005B0139" w:rsidP="00EC0B40">
            <w:pPr>
              <w:pStyle w:val="TableText"/>
              <w:numPr>
                <w:ilvl w:val="0"/>
                <w:numId w:val="4"/>
              </w:numPr>
              <w:jc w:val="left"/>
            </w:pPr>
            <w:r w:rsidRPr="005B0139">
              <w:t xml:space="preserve">None of the programs in this CIP </w:t>
            </w:r>
            <w:r w:rsidR="00B6527E">
              <w:t xml:space="preserve">code in this award level </w:t>
            </w:r>
            <w:r w:rsidRPr="005B0139">
              <w:t xml:space="preserve">can be completed entirely </w:t>
            </w:r>
            <w:r w:rsidR="00B6527E">
              <w:t>via distance educat</w:t>
            </w:r>
            <w:r w:rsidR="00943078">
              <w:t>ion</w:t>
            </w:r>
            <w:r w:rsidRPr="005B0139">
              <w:t>.</w:t>
            </w:r>
          </w:p>
        </w:tc>
        <w:tc>
          <w:tcPr>
            <w:tcW w:w="830" w:type="pct"/>
            <w:tcBorders>
              <w:left w:val="nil"/>
              <w:right w:val="nil"/>
            </w:tcBorders>
            <w:shd w:val="clear" w:color="auto" w:fill="auto"/>
          </w:tcPr>
          <w:p w14:paraId="6A6257E4" w14:textId="57012440" w:rsidR="004F1947" w:rsidRDefault="006B2D40" w:rsidP="00A35425">
            <w:pPr>
              <w:pStyle w:val="TableTextCenter"/>
            </w:pPr>
            <w:r>
              <w:t>2020-21</w:t>
            </w:r>
          </w:p>
        </w:tc>
        <w:tc>
          <w:tcPr>
            <w:tcW w:w="863" w:type="pct"/>
            <w:tcBorders>
              <w:left w:val="nil"/>
              <w:right w:val="nil"/>
            </w:tcBorders>
            <w:shd w:val="clear" w:color="auto" w:fill="auto"/>
          </w:tcPr>
          <w:p w14:paraId="59D2B565" w14:textId="360170E4" w:rsidR="004F1947" w:rsidRPr="00525945" w:rsidRDefault="00F26727" w:rsidP="00A35425">
            <w:pPr>
              <w:pStyle w:val="TableText"/>
              <w:jc w:val="left"/>
              <w:rPr>
                <w:bCs/>
              </w:rPr>
            </w:pPr>
            <w:r w:rsidRPr="005E4E3B">
              <w:t>TRP on Evaluating Distance Education Elements in the IPEDS Data Collection (June 2017</w:t>
            </w:r>
          </w:p>
        </w:tc>
        <w:tc>
          <w:tcPr>
            <w:tcW w:w="556" w:type="pct"/>
            <w:tcBorders>
              <w:left w:val="nil"/>
            </w:tcBorders>
            <w:shd w:val="clear" w:color="auto" w:fill="auto"/>
          </w:tcPr>
          <w:p w14:paraId="0385CF4B" w14:textId="2D9F5C29" w:rsidR="004F1947" w:rsidRDefault="00C475CB" w:rsidP="00A35425">
            <w:pPr>
              <w:pStyle w:val="TableText"/>
            </w:pPr>
            <w:r>
              <w:t>Minimal increase</w:t>
            </w:r>
          </w:p>
        </w:tc>
      </w:tr>
      <w:tr w:rsidR="0000332D" w14:paraId="4A99DD9A" w14:textId="77777777" w:rsidTr="00D96A4A">
        <w:trPr>
          <w:trHeight w:val="844"/>
        </w:trPr>
        <w:tc>
          <w:tcPr>
            <w:tcW w:w="2751" w:type="pct"/>
            <w:tcBorders>
              <w:right w:val="nil"/>
            </w:tcBorders>
            <w:shd w:val="clear" w:color="auto" w:fill="auto"/>
          </w:tcPr>
          <w:p w14:paraId="68145EAF" w14:textId="77777777" w:rsidR="0000332D" w:rsidRDefault="0000332D" w:rsidP="000826A8">
            <w:pPr>
              <w:pStyle w:val="TableText"/>
              <w:jc w:val="left"/>
            </w:pPr>
            <w:r>
              <w:t>Cross-cutting definition and terminology changes:</w:t>
            </w:r>
          </w:p>
          <w:p w14:paraId="2CA1E08D" w14:textId="70815403" w:rsidR="0000332D" w:rsidRDefault="0000332D" w:rsidP="000826A8">
            <w:pPr>
              <w:pStyle w:val="TableText"/>
              <w:jc w:val="left"/>
              <w:rPr>
                <w:i/>
              </w:rPr>
            </w:pPr>
            <w:r>
              <w:t>Replace “formal award” terminology with “recognized postsecondary credential”; replace “contact hour” with “clock hour”; add instruction to exclude students receiving Experimental Pell.</w:t>
            </w:r>
          </w:p>
        </w:tc>
        <w:tc>
          <w:tcPr>
            <w:tcW w:w="830" w:type="pct"/>
            <w:tcBorders>
              <w:left w:val="nil"/>
              <w:right w:val="nil"/>
            </w:tcBorders>
            <w:shd w:val="clear" w:color="auto" w:fill="auto"/>
          </w:tcPr>
          <w:p w14:paraId="59304D46" w14:textId="2C80DB45" w:rsidR="0000332D" w:rsidRDefault="0000332D" w:rsidP="00A35425">
            <w:pPr>
              <w:pStyle w:val="TableTextCenter"/>
            </w:pPr>
            <w:r>
              <w:t>2019-20</w:t>
            </w:r>
          </w:p>
        </w:tc>
        <w:tc>
          <w:tcPr>
            <w:tcW w:w="863" w:type="pct"/>
            <w:tcBorders>
              <w:left w:val="nil"/>
              <w:right w:val="nil"/>
            </w:tcBorders>
            <w:shd w:val="clear" w:color="auto" w:fill="auto"/>
          </w:tcPr>
          <w:p w14:paraId="2D115E48" w14:textId="6668BA5C" w:rsidR="0000332D" w:rsidRPr="005E4E3B" w:rsidRDefault="0000332D" w:rsidP="00A35425">
            <w:pPr>
              <w:pStyle w:val="TableText"/>
              <w:jc w:val="left"/>
            </w:pPr>
            <w:r w:rsidRPr="00525945">
              <w:rPr>
                <w:bCs/>
              </w:rPr>
              <w:t>TRP on Subbaccalaureate Certificates (March 2017</w:t>
            </w:r>
            <w:r>
              <w:rPr>
                <w:bCs/>
              </w:rPr>
              <w:t>); NCES initiated</w:t>
            </w:r>
          </w:p>
        </w:tc>
        <w:tc>
          <w:tcPr>
            <w:tcW w:w="556" w:type="pct"/>
            <w:tcBorders>
              <w:left w:val="nil"/>
            </w:tcBorders>
            <w:shd w:val="clear" w:color="auto" w:fill="auto"/>
          </w:tcPr>
          <w:p w14:paraId="0E5AC08F" w14:textId="5AC24286" w:rsidR="0000332D" w:rsidRDefault="0000332D" w:rsidP="00A35425">
            <w:pPr>
              <w:pStyle w:val="TableText"/>
            </w:pPr>
            <w:r>
              <w:t>No change</w:t>
            </w:r>
          </w:p>
        </w:tc>
      </w:tr>
      <w:bookmarkEnd w:id="5"/>
    </w:tbl>
    <w:p w14:paraId="59E5EEE4" w14:textId="650A8096" w:rsidR="00B20EA7" w:rsidRDefault="00B20EA7" w:rsidP="00BF26F2">
      <w:pPr>
        <w:pStyle w:val="TableBullet"/>
        <w:numPr>
          <w:ilvl w:val="0"/>
          <w:numId w:val="0"/>
        </w:numPr>
        <w:rPr>
          <w:sz w:val="22"/>
          <w:szCs w:val="22"/>
        </w:rPr>
      </w:pPr>
    </w:p>
    <w:p w14:paraId="0B56FCA1" w14:textId="73881DA3" w:rsidR="009209D5" w:rsidRPr="001A71B4" w:rsidRDefault="00B20EA7" w:rsidP="00F57B47">
      <w:pPr>
        <w:pStyle w:val="TableBullet"/>
        <w:numPr>
          <w:ilvl w:val="0"/>
          <w:numId w:val="0"/>
        </w:numPr>
        <w:spacing w:after="160" w:line="259" w:lineRule="auto"/>
        <w:rPr>
          <w:sz w:val="22"/>
          <w:szCs w:val="22"/>
        </w:rPr>
      </w:pPr>
      <w:r w:rsidRPr="00B20EA7">
        <w:rPr>
          <w:b/>
          <w:sz w:val="22"/>
          <w:szCs w:val="22"/>
        </w:rPr>
        <w:t>12-Month Enrollment (E12)</w:t>
      </w:r>
      <w:r w:rsidR="0013606D">
        <w:rPr>
          <w:b/>
          <w:sz w:val="22"/>
          <w:szCs w:val="22"/>
        </w:rPr>
        <w:t xml:space="preserve">. </w:t>
      </w:r>
      <w:r w:rsidR="004D68D8" w:rsidRPr="001A71B4">
        <w:rPr>
          <w:sz w:val="22"/>
          <w:szCs w:val="22"/>
        </w:rPr>
        <w:t xml:space="preserve">The proposed changes to the E12 survey forms are </w:t>
      </w:r>
      <w:r w:rsidR="001A71B4">
        <w:rPr>
          <w:sz w:val="22"/>
          <w:szCs w:val="22"/>
        </w:rPr>
        <w:t>from two sources. The first change was ini</w:t>
      </w:r>
      <w:r w:rsidR="002E68D6">
        <w:rPr>
          <w:sz w:val="22"/>
          <w:szCs w:val="22"/>
        </w:rPr>
        <w:t>ti</w:t>
      </w:r>
      <w:r w:rsidR="001A71B4">
        <w:rPr>
          <w:sz w:val="22"/>
          <w:szCs w:val="22"/>
        </w:rPr>
        <w:t xml:space="preserve">ated by NCES to better align </w:t>
      </w:r>
      <w:r w:rsidR="00970150">
        <w:rPr>
          <w:sz w:val="22"/>
          <w:szCs w:val="22"/>
        </w:rPr>
        <w:t>(and integrate) the various survey compo</w:t>
      </w:r>
      <w:r w:rsidR="002E68D6">
        <w:rPr>
          <w:sz w:val="22"/>
          <w:szCs w:val="22"/>
        </w:rPr>
        <w:t>n</w:t>
      </w:r>
      <w:r w:rsidR="00970150">
        <w:rPr>
          <w:sz w:val="22"/>
          <w:szCs w:val="22"/>
        </w:rPr>
        <w:t>ents of IPEDS</w:t>
      </w:r>
      <w:r w:rsidR="002E68D6">
        <w:rPr>
          <w:sz w:val="22"/>
          <w:szCs w:val="22"/>
        </w:rPr>
        <w:t>,</w:t>
      </w:r>
      <w:r w:rsidR="00970150">
        <w:rPr>
          <w:sz w:val="22"/>
          <w:szCs w:val="22"/>
        </w:rPr>
        <w:t xml:space="preserve"> </w:t>
      </w:r>
      <w:r w:rsidR="001D423B">
        <w:rPr>
          <w:sz w:val="22"/>
          <w:szCs w:val="22"/>
        </w:rPr>
        <w:t>i</w:t>
      </w:r>
      <w:r w:rsidR="00970150">
        <w:rPr>
          <w:sz w:val="22"/>
          <w:szCs w:val="22"/>
        </w:rPr>
        <w:t xml:space="preserve">n this case, </w:t>
      </w:r>
      <w:r w:rsidR="001D423B">
        <w:rPr>
          <w:sz w:val="22"/>
          <w:szCs w:val="22"/>
        </w:rPr>
        <w:t xml:space="preserve">specifically </w:t>
      </w:r>
      <w:r w:rsidR="00970150">
        <w:rPr>
          <w:sz w:val="22"/>
          <w:szCs w:val="22"/>
        </w:rPr>
        <w:t>the E12 and OM compo</w:t>
      </w:r>
      <w:r w:rsidR="002E68D6">
        <w:rPr>
          <w:sz w:val="22"/>
          <w:szCs w:val="22"/>
        </w:rPr>
        <w:t>n</w:t>
      </w:r>
      <w:r w:rsidR="00970150">
        <w:rPr>
          <w:sz w:val="22"/>
          <w:szCs w:val="22"/>
        </w:rPr>
        <w:t xml:space="preserve">ents. The second </w:t>
      </w:r>
      <w:r w:rsidR="00B46430">
        <w:rPr>
          <w:sz w:val="22"/>
          <w:szCs w:val="22"/>
        </w:rPr>
        <w:t xml:space="preserve">change involves </w:t>
      </w:r>
      <w:r w:rsidR="001D423B">
        <w:rPr>
          <w:sz w:val="22"/>
          <w:szCs w:val="22"/>
        </w:rPr>
        <w:t>collecting</w:t>
      </w:r>
      <w:r w:rsidR="00B46430">
        <w:rPr>
          <w:sz w:val="22"/>
          <w:szCs w:val="22"/>
        </w:rPr>
        <w:t xml:space="preserve"> more accurate counts of students enrolled in distance education and is based on </w:t>
      </w:r>
      <w:r w:rsidR="00BE37DE">
        <w:rPr>
          <w:sz w:val="22"/>
          <w:szCs w:val="22"/>
        </w:rPr>
        <w:t>input from the meeting of the IPEDS TRP</w:t>
      </w:r>
      <w:r w:rsidR="004D68D8" w:rsidRPr="001A71B4">
        <w:rPr>
          <w:sz w:val="22"/>
          <w:szCs w:val="22"/>
        </w:rPr>
        <w:t xml:space="preserve"> on Evaluating Distance Education Elements in the IPEDS Data Collection.</w:t>
      </w:r>
    </w:p>
    <w:p w14:paraId="26FF50EA" w14:textId="77777777" w:rsidR="006A24B2" w:rsidRDefault="0013606D" w:rsidP="00F57B47">
      <w:pPr>
        <w:pStyle w:val="TableBullet"/>
        <w:numPr>
          <w:ilvl w:val="0"/>
          <w:numId w:val="0"/>
        </w:numPr>
        <w:spacing w:after="160" w:line="259" w:lineRule="auto"/>
        <w:rPr>
          <w:sz w:val="22"/>
          <w:szCs w:val="22"/>
        </w:rPr>
      </w:pPr>
      <w:r>
        <w:rPr>
          <w:i/>
          <w:sz w:val="22"/>
          <w:szCs w:val="22"/>
        </w:rPr>
        <w:t xml:space="preserve">E12/OM </w:t>
      </w:r>
      <w:r w:rsidR="00A731C4">
        <w:rPr>
          <w:i/>
          <w:sz w:val="22"/>
          <w:szCs w:val="22"/>
        </w:rPr>
        <w:t>a</w:t>
      </w:r>
      <w:r>
        <w:rPr>
          <w:i/>
          <w:sz w:val="22"/>
          <w:szCs w:val="22"/>
        </w:rPr>
        <w:t>lignment.</w:t>
      </w:r>
      <w:r w:rsidR="002C32AD">
        <w:rPr>
          <w:sz w:val="22"/>
          <w:szCs w:val="22"/>
        </w:rPr>
        <w:t xml:space="preserve"> Currently</w:t>
      </w:r>
      <w:r w:rsidR="00455AC1">
        <w:rPr>
          <w:sz w:val="22"/>
          <w:szCs w:val="22"/>
        </w:rPr>
        <w:t xml:space="preserve"> on the </w:t>
      </w:r>
      <w:r w:rsidR="00674DCD">
        <w:rPr>
          <w:sz w:val="22"/>
          <w:szCs w:val="22"/>
        </w:rPr>
        <w:t>E12</w:t>
      </w:r>
      <w:r w:rsidR="00455AC1">
        <w:rPr>
          <w:sz w:val="22"/>
          <w:szCs w:val="22"/>
        </w:rPr>
        <w:t xml:space="preserve"> survey, institutions report </w:t>
      </w:r>
      <w:r w:rsidR="00DB3697">
        <w:rPr>
          <w:sz w:val="22"/>
          <w:szCs w:val="22"/>
        </w:rPr>
        <w:t xml:space="preserve">the number of </w:t>
      </w:r>
      <w:r w:rsidR="00DF7DEE">
        <w:rPr>
          <w:sz w:val="22"/>
          <w:szCs w:val="22"/>
        </w:rPr>
        <w:t>undergraduate</w:t>
      </w:r>
      <w:r w:rsidR="00DB3697">
        <w:rPr>
          <w:sz w:val="22"/>
          <w:szCs w:val="22"/>
        </w:rPr>
        <w:t xml:space="preserve"> students and graduate students by race/ethnicity and gender. However, </w:t>
      </w:r>
      <w:r w:rsidR="00677829">
        <w:rPr>
          <w:sz w:val="22"/>
          <w:szCs w:val="22"/>
        </w:rPr>
        <w:t>to</w:t>
      </w:r>
      <w:r w:rsidR="00DB3697">
        <w:rPr>
          <w:sz w:val="22"/>
          <w:szCs w:val="22"/>
        </w:rPr>
        <w:t xml:space="preserve"> better align the survey components, NCES proposes t</w:t>
      </w:r>
      <w:r w:rsidR="008C599E">
        <w:rPr>
          <w:sz w:val="22"/>
          <w:szCs w:val="22"/>
        </w:rPr>
        <w:t xml:space="preserve">o disaggregate the information on undergraduate students into four categories that will help </w:t>
      </w:r>
      <w:r w:rsidR="00DF7DEE">
        <w:rPr>
          <w:sz w:val="22"/>
          <w:szCs w:val="22"/>
        </w:rPr>
        <w:t xml:space="preserve">establish </w:t>
      </w:r>
      <w:r w:rsidR="008C599E">
        <w:rPr>
          <w:sz w:val="22"/>
          <w:szCs w:val="22"/>
        </w:rPr>
        <w:t xml:space="preserve">the cohorts that are tracked and subsequently reported on in the Outcome Measures survey. </w:t>
      </w:r>
      <w:r w:rsidR="00DF7DEE">
        <w:rPr>
          <w:sz w:val="22"/>
          <w:szCs w:val="22"/>
        </w:rPr>
        <w:t xml:space="preserve">The change is initiated by NCES in its effort to better integrate the various components </w:t>
      </w:r>
      <w:r w:rsidR="00677829">
        <w:rPr>
          <w:sz w:val="22"/>
          <w:szCs w:val="22"/>
        </w:rPr>
        <w:t xml:space="preserve">of the IPEDS data collection and to improve data quality. </w:t>
      </w:r>
      <w:r w:rsidR="008F54A9">
        <w:rPr>
          <w:sz w:val="22"/>
          <w:szCs w:val="22"/>
        </w:rPr>
        <w:t>There will be a moderate change in reporting burden in the first year</w:t>
      </w:r>
      <w:r w:rsidR="00930366">
        <w:rPr>
          <w:sz w:val="22"/>
          <w:szCs w:val="22"/>
        </w:rPr>
        <w:t>. I</w:t>
      </w:r>
      <w:r w:rsidR="008F54A9">
        <w:rPr>
          <w:sz w:val="22"/>
          <w:szCs w:val="22"/>
        </w:rPr>
        <w:t>n subsequent years, the change should be minimal.</w:t>
      </w:r>
    </w:p>
    <w:p w14:paraId="62FCDDD7" w14:textId="77777777" w:rsidR="006A24B2" w:rsidRDefault="00197BCD" w:rsidP="00F57B47">
      <w:pPr>
        <w:pStyle w:val="TableBullet"/>
        <w:numPr>
          <w:ilvl w:val="0"/>
          <w:numId w:val="0"/>
        </w:numPr>
        <w:spacing w:after="160" w:line="259" w:lineRule="auto"/>
        <w:rPr>
          <w:sz w:val="22"/>
          <w:szCs w:val="22"/>
        </w:rPr>
      </w:pPr>
      <w:r w:rsidRPr="0013606D">
        <w:rPr>
          <w:i/>
          <w:sz w:val="22"/>
          <w:szCs w:val="22"/>
        </w:rPr>
        <w:t xml:space="preserve">Distance </w:t>
      </w:r>
      <w:r w:rsidR="00A731C4">
        <w:rPr>
          <w:i/>
          <w:sz w:val="22"/>
          <w:szCs w:val="22"/>
        </w:rPr>
        <w:t>e</w:t>
      </w:r>
      <w:r w:rsidRPr="0013606D">
        <w:rPr>
          <w:i/>
          <w:sz w:val="22"/>
          <w:szCs w:val="22"/>
        </w:rPr>
        <w:t>ducation.</w:t>
      </w:r>
      <w:r w:rsidRPr="00197BCD">
        <w:rPr>
          <w:b/>
          <w:sz w:val="22"/>
          <w:szCs w:val="22"/>
        </w:rPr>
        <w:t xml:space="preserve"> </w:t>
      </w:r>
      <w:r w:rsidRPr="00197BCD">
        <w:rPr>
          <w:sz w:val="22"/>
          <w:szCs w:val="22"/>
        </w:rPr>
        <w:t xml:space="preserve">Currently, distance education enrollments are only collected on the </w:t>
      </w:r>
      <w:r>
        <w:rPr>
          <w:sz w:val="22"/>
          <w:szCs w:val="22"/>
        </w:rPr>
        <w:t>Fall Enrollment</w:t>
      </w:r>
      <w:r w:rsidRPr="00197BCD">
        <w:rPr>
          <w:sz w:val="22"/>
          <w:szCs w:val="22"/>
        </w:rPr>
        <w:t xml:space="preserve"> component (</w:t>
      </w:r>
      <w:r w:rsidR="001D423B">
        <w:rPr>
          <w:sz w:val="22"/>
          <w:szCs w:val="22"/>
        </w:rPr>
        <w:t>a</w:t>
      </w:r>
      <w:r w:rsidRPr="00197BCD">
        <w:rPr>
          <w:sz w:val="22"/>
          <w:szCs w:val="22"/>
        </w:rPr>
        <w:t xml:space="preserve">cademic reporters report enrollment as of October 15, or as </w:t>
      </w:r>
      <w:r w:rsidR="001D423B">
        <w:rPr>
          <w:sz w:val="22"/>
          <w:szCs w:val="22"/>
        </w:rPr>
        <w:t xml:space="preserve">of </w:t>
      </w:r>
      <w:r w:rsidRPr="00197BCD">
        <w:rPr>
          <w:sz w:val="22"/>
          <w:szCs w:val="22"/>
        </w:rPr>
        <w:t xml:space="preserve">the institution’s official fall enrollment date; program reporters report enrollment during the 3-month period of August 1 to October 31). However, </w:t>
      </w:r>
      <w:r w:rsidR="001D423B">
        <w:rPr>
          <w:sz w:val="22"/>
          <w:szCs w:val="22"/>
        </w:rPr>
        <w:t xml:space="preserve">TRP </w:t>
      </w:r>
      <w:r w:rsidRPr="00197BCD">
        <w:rPr>
          <w:sz w:val="22"/>
          <w:szCs w:val="22"/>
        </w:rPr>
        <w:t>panelists noted that completely distance education institutions are more likely to enroll students continuously throughout the year and would benefit from reporting distance education enrollments on the</w:t>
      </w:r>
      <w:r w:rsidR="00755A13">
        <w:rPr>
          <w:sz w:val="22"/>
          <w:szCs w:val="22"/>
        </w:rPr>
        <w:t xml:space="preserve"> </w:t>
      </w:r>
      <w:r w:rsidRPr="00197BCD">
        <w:rPr>
          <w:sz w:val="22"/>
          <w:szCs w:val="22"/>
        </w:rPr>
        <w:t>E12 survey component. The resulting data would more accurately reflect the total institutional enrollments, which in some cases are nearly double those of the fall.</w:t>
      </w:r>
      <w:r w:rsidR="00A4386B">
        <w:rPr>
          <w:sz w:val="22"/>
          <w:szCs w:val="22"/>
        </w:rPr>
        <w:t xml:space="preserve"> </w:t>
      </w:r>
      <w:r w:rsidR="00A4309C">
        <w:rPr>
          <w:sz w:val="22"/>
          <w:szCs w:val="22"/>
        </w:rPr>
        <w:t>The addition of this data collection for E12 will</w:t>
      </w:r>
      <w:r w:rsidR="00AE2687">
        <w:rPr>
          <w:sz w:val="22"/>
          <w:szCs w:val="22"/>
        </w:rPr>
        <w:t xml:space="preserve"> result in a moderate increase in reporting burden.</w:t>
      </w:r>
    </w:p>
    <w:p w14:paraId="51550739" w14:textId="2BCFEE7C" w:rsidR="00AE2C6D" w:rsidRDefault="00AE2C6D" w:rsidP="00F57B47">
      <w:pPr>
        <w:rPr>
          <w:rFonts w:ascii="Arial" w:hAnsi="Arial" w:cs="Arial"/>
        </w:rPr>
      </w:pPr>
      <w:r>
        <w:rPr>
          <w:rFonts w:ascii="Arial" w:hAnsi="Arial" w:cs="Arial"/>
          <w:i/>
        </w:rPr>
        <w:t>Cross-cutting definition/terminology changes</w:t>
      </w:r>
      <w:r>
        <w:rPr>
          <w:rFonts w:ascii="Arial" w:hAnsi="Arial" w:cs="Arial"/>
        </w:rPr>
        <w:t>. The E12 survey component will use the terminology of “recognized postsecondary credential” instead of “formal award” and “clock hours” instead of “contact hours”. No change in burden.</w:t>
      </w:r>
    </w:p>
    <w:p w14:paraId="4602EE0C" w14:textId="5B815CCC" w:rsidR="00AE2C6D" w:rsidRDefault="00AE2C6D" w:rsidP="00F57B47">
      <w:pPr>
        <w:rPr>
          <w:rFonts w:ascii="Arial" w:hAnsi="Arial" w:cs="Arial"/>
        </w:rPr>
      </w:pPr>
      <w:r>
        <w:rPr>
          <w:rFonts w:ascii="Arial" w:hAnsi="Arial" w:cs="Arial"/>
          <w:i/>
        </w:rPr>
        <w:t xml:space="preserve">Addition of instruction to exclude students receiving Experimental Pell. </w:t>
      </w:r>
      <w:r>
        <w:rPr>
          <w:rFonts w:ascii="Arial" w:hAnsi="Arial" w:cs="Arial"/>
        </w:rPr>
        <w:t>The E12 component will include the instruction not to include students receiving Experimental Pell. No change in burden.</w:t>
      </w:r>
    </w:p>
    <w:p w14:paraId="4618769E" w14:textId="621EB673" w:rsidR="00231A05" w:rsidRPr="00197BCD" w:rsidRDefault="00A4386B" w:rsidP="00F57B47">
      <w:pPr>
        <w:pStyle w:val="TableBullet"/>
        <w:numPr>
          <w:ilvl w:val="0"/>
          <w:numId w:val="0"/>
        </w:numPr>
        <w:spacing w:after="160" w:line="259" w:lineRule="auto"/>
        <w:rPr>
          <w:sz w:val="22"/>
          <w:szCs w:val="22"/>
        </w:rPr>
      </w:pPr>
      <w:r w:rsidRPr="00A4386B">
        <w:rPr>
          <w:sz w:val="22"/>
          <w:szCs w:val="22"/>
        </w:rPr>
        <w:t xml:space="preserve">Proposed changes to the </w:t>
      </w:r>
      <w:r w:rsidR="00755A13">
        <w:rPr>
          <w:sz w:val="22"/>
          <w:szCs w:val="22"/>
        </w:rPr>
        <w:t>E12</w:t>
      </w:r>
      <w:r w:rsidRPr="00A4386B">
        <w:rPr>
          <w:sz w:val="22"/>
          <w:szCs w:val="22"/>
        </w:rPr>
        <w:t xml:space="preserve"> survey from are summarized in table A</w:t>
      </w:r>
      <w:r w:rsidR="00755A13">
        <w:rPr>
          <w:sz w:val="22"/>
          <w:szCs w:val="22"/>
        </w:rPr>
        <w:t>3</w:t>
      </w:r>
      <w:r w:rsidRPr="00A4386B">
        <w:rPr>
          <w:sz w:val="22"/>
          <w:szCs w:val="22"/>
        </w:rPr>
        <w:t xml:space="preserve"> below.</w:t>
      </w:r>
    </w:p>
    <w:tbl>
      <w:tblPr>
        <w:tblW w:w="5048"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6029"/>
        <w:gridCol w:w="1865"/>
        <w:gridCol w:w="1668"/>
        <w:gridCol w:w="1269"/>
      </w:tblGrid>
      <w:tr w:rsidR="009209D5" w:rsidRPr="001A0F26" w14:paraId="2ACEFB22" w14:textId="77777777" w:rsidTr="00A35425">
        <w:trPr>
          <w:trHeight w:val="238"/>
          <w:tblHeader/>
        </w:trPr>
        <w:tc>
          <w:tcPr>
            <w:tcW w:w="5000" w:type="pct"/>
            <w:gridSpan w:val="4"/>
            <w:shd w:val="clear" w:color="auto" w:fill="4F81BD"/>
            <w:vAlign w:val="center"/>
          </w:tcPr>
          <w:p w14:paraId="0E8BF8A8" w14:textId="534D8C97" w:rsidR="009209D5" w:rsidRPr="001A0F26" w:rsidRDefault="009209D5" w:rsidP="00A35425">
            <w:pPr>
              <w:pStyle w:val="TableTitle"/>
            </w:pPr>
            <w:r w:rsidRPr="001A0F26">
              <w:t xml:space="preserve">Table </w:t>
            </w:r>
            <w:r>
              <w:t>A3.</w:t>
            </w:r>
            <w:r w:rsidRPr="001A0F26">
              <w:t xml:space="preserve"> Proposed </w:t>
            </w:r>
            <w:r>
              <w:t>c</w:t>
            </w:r>
            <w:r w:rsidRPr="001A0F26">
              <w:t>hanges to the</w:t>
            </w:r>
            <w:r>
              <w:t xml:space="preserve"> E12</w:t>
            </w:r>
            <w:r w:rsidRPr="001A0F26">
              <w:t xml:space="preserve"> Form </w:t>
            </w:r>
          </w:p>
        </w:tc>
      </w:tr>
      <w:tr w:rsidR="009209D5" w:rsidRPr="00534107" w14:paraId="4DCEA315" w14:textId="77777777" w:rsidTr="00D96A4A">
        <w:trPr>
          <w:trHeight w:val="478"/>
          <w:tblHeader/>
        </w:trPr>
        <w:tc>
          <w:tcPr>
            <w:tcW w:w="2783" w:type="pct"/>
            <w:tcBorders>
              <w:bottom w:val="single" w:sz="8" w:space="0" w:color="7BA0CD"/>
              <w:right w:val="nil"/>
            </w:tcBorders>
            <w:shd w:val="clear" w:color="auto" w:fill="D3DFEE"/>
            <w:vAlign w:val="center"/>
          </w:tcPr>
          <w:p w14:paraId="6185005F" w14:textId="77777777" w:rsidR="009209D5" w:rsidRPr="00534107" w:rsidRDefault="009209D5" w:rsidP="00A35425">
            <w:pPr>
              <w:pStyle w:val="TableHeader"/>
              <w:jc w:val="left"/>
            </w:pPr>
            <w:r w:rsidRPr="00534107">
              <w:t>Change</w:t>
            </w:r>
          </w:p>
        </w:tc>
        <w:tc>
          <w:tcPr>
            <w:tcW w:w="861" w:type="pct"/>
            <w:tcBorders>
              <w:left w:val="nil"/>
              <w:bottom w:val="single" w:sz="8" w:space="0" w:color="7BA0CD"/>
              <w:right w:val="nil"/>
            </w:tcBorders>
            <w:shd w:val="clear" w:color="auto" w:fill="D3DFEE"/>
            <w:vAlign w:val="center"/>
          </w:tcPr>
          <w:p w14:paraId="466C1F1E" w14:textId="77777777" w:rsidR="009209D5" w:rsidRPr="00534107" w:rsidRDefault="009209D5" w:rsidP="00A35425">
            <w:pPr>
              <w:pStyle w:val="TableHeader"/>
              <w:jc w:val="left"/>
            </w:pPr>
            <w:r w:rsidRPr="00534107">
              <w:t xml:space="preserve">Implementation </w:t>
            </w:r>
            <w:r>
              <w:t>y</w:t>
            </w:r>
            <w:r w:rsidRPr="00534107">
              <w:t>ear</w:t>
            </w:r>
          </w:p>
        </w:tc>
        <w:tc>
          <w:tcPr>
            <w:tcW w:w="770" w:type="pct"/>
            <w:tcBorders>
              <w:left w:val="nil"/>
              <w:bottom w:val="single" w:sz="8" w:space="0" w:color="7BA0CD"/>
              <w:right w:val="nil"/>
            </w:tcBorders>
            <w:shd w:val="clear" w:color="auto" w:fill="D3DFEE"/>
            <w:vAlign w:val="center"/>
          </w:tcPr>
          <w:p w14:paraId="3CF29D3D" w14:textId="77777777" w:rsidR="009209D5" w:rsidRPr="00534107" w:rsidRDefault="009209D5" w:rsidP="00A35425">
            <w:pPr>
              <w:pStyle w:val="TableHeader"/>
              <w:jc w:val="left"/>
            </w:pPr>
            <w:r w:rsidRPr="00534107">
              <w:t>Source</w:t>
            </w:r>
          </w:p>
        </w:tc>
        <w:tc>
          <w:tcPr>
            <w:tcW w:w="586" w:type="pct"/>
            <w:tcBorders>
              <w:left w:val="nil"/>
              <w:bottom w:val="single" w:sz="8" w:space="0" w:color="7BA0CD"/>
            </w:tcBorders>
            <w:shd w:val="clear" w:color="auto" w:fill="D3DFEE"/>
            <w:vAlign w:val="center"/>
          </w:tcPr>
          <w:p w14:paraId="4286F0BF" w14:textId="77777777" w:rsidR="009209D5" w:rsidRPr="00534107" w:rsidRDefault="009209D5" w:rsidP="00A35425">
            <w:pPr>
              <w:pStyle w:val="TableHeader"/>
              <w:jc w:val="left"/>
            </w:pPr>
            <w:r w:rsidRPr="00534107">
              <w:t xml:space="preserve">Estimated </w:t>
            </w:r>
            <w:r>
              <w:t>b</w:t>
            </w:r>
            <w:r w:rsidRPr="00534107">
              <w:t>urden</w:t>
            </w:r>
          </w:p>
        </w:tc>
      </w:tr>
      <w:tr w:rsidR="009209D5" w14:paraId="4DD549E7" w14:textId="77777777" w:rsidTr="00D96A4A">
        <w:trPr>
          <w:trHeight w:val="844"/>
        </w:trPr>
        <w:tc>
          <w:tcPr>
            <w:tcW w:w="2783" w:type="pct"/>
            <w:tcBorders>
              <w:right w:val="nil"/>
            </w:tcBorders>
            <w:shd w:val="clear" w:color="auto" w:fill="auto"/>
          </w:tcPr>
          <w:p w14:paraId="1B75AE31" w14:textId="67331F42" w:rsidR="009209D5" w:rsidRDefault="008A5B5E" w:rsidP="00A35425">
            <w:pPr>
              <w:pStyle w:val="TableText"/>
              <w:jc w:val="left"/>
              <w:rPr>
                <w:i/>
              </w:rPr>
            </w:pPr>
            <w:r>
              <w:rPr>
                <w:i/>
              </w:rPr>
              <w:t>Disaggregate</w:t>
            </w:r>
            <w:r w:rsidR="001165EB">
              <w:rPr>
                <w:i/>
              </w:rPr>
              <w:t xml:space="preserve"> reporting of</w:t>
            </w:r>
            <w:r>
              <w:rPr>
                <w:i/>
              </w:rPr>
              <w:t xml:space="preserve"> </w:t>
            </w:r>
            <w:r w:rsidR="00DB0CB7">
              <w:rPr>
                <w:i/>
              </w:rPr>
              <w:t xml:space="preserve">undergraduate student </w:t>
            </w:r>
            <w:r w:rsidR="00C475CB">
              <w:rPr>
                <w:i/>
              </w:rPr>
              <w:t>by race/ethnicity</w:t>
            </w:r>
            <w:r w:rsidR="004737B0">
              <w:rPr>
                <w:i/>
              </w:rPr>
              <w:t xml:space="preserve"> and gender</w:t>
            </w:r>
            <w:r w:rsidR="001165EB">
              <w:rPr>
                <w:i/>
              </w:rPr>
              <w:t xml:space="preserve"> into</w:t>
            </w:r>
            <w:r w:rsidR="00DB0CB7">
              <w:rPr>
                <w:i/>
              </w:rPr>
              <w:t xml:space="preserve"> the following categories:</w:t>
            </w:r>
          </w:p>
          <w:p w14:paraId="131D41F1" w14:textId="6958FB0C" w:rsidR="00DB0CB7" w:rsidRPr="00EC1E6B" w:rsidRDefault="00382E95" w:rsidP="00EC1E6B">
            <w:pPr>
              <w:pStyle w:val="TableText"/>
              <w:numPr>
                <w:ilvl w:val="0"/>
                <w:numId w:val="4"/>
              </w:numPr>
              <w:jc w:val="left"/>
            </w:pPr>
            <w:r w:rsidRPr="00EC1E6B">
              <w:t>Degree/certificate</w:t>
            </w:r>
            <w:r w:rsidR="0030105F" w:rsidRPr="00EC1E6B">
              <w:t>-</w:t>
            </w:r>
            <w:r w:rsidRPr="00EC1E6B">
              <w:t xml:space="preserve">seeking, </w:t>
            </w:r>
            <w:r w:rsidR="00BC7991">
              <w:t>F</w:t>
            </w:r>
            <w:r w:rsidRPr="00EC1E6B">
              <w:t>irst-time</w:t>
            </w:r>
            <w:r w:rsidR="001165EB" w:rsidRPr="00EC1E6B">
              <w:t xml:space="preserve"> student</w:t>
            </w:r>
          </w:p>
          <w:p w14:paraId="726AB499" w14:textId="4B802D37" w:rsidR="0030105F" w:rsidRPr="00EC1E6B" w:rsidRDefault="0030105F" w:rsidP="00EC1E6B">
            <w:pPr>
              <w:pStyle w:val="TableText"/>
              <w:numPr>
                <w:ilvl w:val="0"/>
                <w:numId w:val="4"/>
              </w:numPr>
              <w:jc w:val="left"/>
            </w:pPr>
            <w:r w:rsidRPr="00EC1E6B">
              <w:t>Degree/certificate-seeking, Transfer-in</w:t>
            </w:r>
            <w:r w:rsidR="001165EB" w:rsidRPr="00EC1E6B">
              <w:t xml:space="preserve"> student</w:t>
            </w:r>
          </w:p>
          <w:p w14:paraId="0B98783F" w14:textId="4422950F" w:rsidR="0030105F" w:rsidRPr="00EC1E6B" w:rsidRDefault="0030105F" w:rsidP="00EC1E6B">
            <w:pPr>
              <w:pStyle w:val="TableText"/>
              <w:numPr>
                <w:ilvl w:val="0"/>
                <w:numId w:val="4"/>
              </w:numPr>
              <w:jc w:val="left"/>
            </w:pPr>
            <w:r w:rsidRPr="00EC1E6B">
              <w:t>Degree/</w:t>
            </w:r>
            <w:r w:rsidR="001165EB" w:rsidRPr="00EC1E6B">
              <w:t>certificate-seeking, Continuing/Returning student</w:t>
            </w:r>
          </w:p>
          <w:p w14:paraId="1B6C8208" w14:textId="591B9EF5" w:rsidR="00382E95" w:rsidRPr="00BC7991" w:rsidRDefault="001165EB" w:rsidP="00A35425">
            <w:pPr>
              <w:pStyle w:val="TableText"/>
              <w:numPr>
                <w:ilvl w:val="0"/>
                <w:numId w:val="4"/>
              </w:numPr>
              <w:jc w:val="left"/>
            </w:pPr>
            <w:r w:rsidRPr="00EC1E6B">
              <w:t>Non-degree/certificate seeking</w:t>
            </w:r>
          </w:p>
        </w:tc>
        <w:tc>
          <w:tcPr>
            <w:tcW w:w="861" w:type="pct"/>
            <w:tcBorders>
              <w:left w:val="nil"/>
              <w:right w:val="nil"/>
            </w:tcBorders>
            <w:shd w:val="clear" w:color="auto" w:fill="auto"/>
          </w:tcPr>
          <w:p w14:paraId="2CC52AE0" w14:textId="77777777" w:rsidR="009209D5" w:rsidRPr="001A0F26" w:rsidRDefault="009209D5" w:rsidP="00A35425">
            <w:pPr>
              <w:pStyle w:val="TableTextCenter"/>
            </w:pPr>
            <w:r>
              <w:t>2020-21</w:t>
            </w:r>
          </w:p>
        </w:tc>
        <w:tc>
          <w:tcPr>
            <w:tcW w:w="770" w:type="pct"/>
            <w:tcBorders>
              <w:left w:val="nil"/>
              <w:right w:val="nil"/>
            </w:tcBorders>
            <w:shd w:val="clear" w:color="auto" w:fill="auto"/>
          </w:tcPr>
          <w:p w14:paraId="230A8F2B" w14:textId="64F74C33" w:rsidR="009209D5" w:rsidRPr="001A0F26" w:rsidRDefault="00FD74DE" w:rsidP="00A35425">
            <w:pPr>
              <w:pStyle w:val="TableText"/>
              <w:jc w:val="left"/>
            </w:pPr>
            <w:r>
              <w:rPr>
                <w:bCs/>
              </w:rPr>
              <w:t>NCES initiated</w:t>
            </w:r>
            <w:r w:rsidR="00EC1E6B">
              <w:rPr>
                <w:bCs/>
              </w:rPr>
              <w:t xml:space="preserve"> to align with OM</w:t>
            </w:r>
            <w:r>
              <w:rPr>
                <w:bCs/>
              </w:rPr>
              <w:t>; QC</w:t>
            </w:r>
          </w:p>
        </w:tc>
        <w:tc>
          <w:tcPr>
            <w:tcW w:w="586" w:type="pct"/>
            <w:tcBorders>
              <w:left w:val="nil"/>
            </w:tcBorders>
            <w:shd w:val="clear" w:color="auto" w:fill="auto"/>
          </w:tcPr>
          <w:p w14:paraId="67233C83" w14:textId="0A538DE5" w:rsidR="009209D5" w:rsidRDefault="009209D5" w:rsidP="00EC1E6B">
            <w:pPr>
              <w:pStyle w:val="TableText"/>
              <w:jc w:val="left"/>
            </w:pPr>
            <w:r>
              <w:t xml:space="preserve">Moderate increase </w:t>
            </w:r>
          </w:p>
        </w:tc>
      </w:tr>
      <w:tr w:rsidR="009209D5" w14:paraId="133AE114" w14:textId="77777777" w:rsidTr="00D96A4A">
        <w:trPr>
          <w:trHeight w:val="844"/>
        </w:trPr>
        <w:tc>
          <w:tcPr>
            <w:tcW w:w="2783" w:type="pct"/>
            <w:tcBorders>
              <w:right w:val="nil"/>
            </w:tcBorders>
            <w:shd w:val="clear" w:color="auto" w:fill="auto"/>
          </w:tcPr>
          <w:p w14:paraId="0A80F45E" w14:textId="2C60D074" w:rsidR="009209D5" w:rsidRDefault="001538B5" w:rsidP="00A35425">
            <w:pPr>
              <w:pStyle w:val="TableText"/>
              <w:rPr>
                <w:i/>
              </w:rPr>
            </w:pPr>
            <w:r w:rsidRPr="001538B5">
              <w:rPr>
                <w:i/>
              </w:rPr>
              <w:t xml:space="preserve">Add </w:t>
            </w:r>
            <w:r w:rsidR="00023DA7">
              <w:rPr>
                <w:i/>
              </w:rPr>
              <w:t xml:space="preserve">a </w:t>
            </w:r>
            <w:r>
              <w:rPr>
                <w:i/>
              </w:rPr>
              <w:t>d</w:t>
            </w:r>
            <w:r w:rsidRPr="001538B5">
              <w:rPr>
                <w:i/>
              </w:rPr>
              <w:t xml:space="preserve">istance </w:t>
            </w:r>
            <w:r>
              <w:rPr>
                <w:i/>
              </w:rPr>
              <w:t>e</w:t>
            </w:r>
            <w:r w:rsidRPr="001538B5">
              <w:rPr>
                <w:i/>
              </w:rPr>
              <w:t>ducation question to E12</w:t>
            </w:r>
            <w:r w:rsidR="00274C4A">
              <w:rPr>
                <w:i/>
              </w:rPr>
              <w:t xml:space="preserve"> to report counts of students in distance education</w:t>
            </w:r>
            <w:r w:rsidR="009209D5">
              <w:rPr>
                <w:i/>
              </w:rPr>
              <w:t>:</w:t>
            </w:r>
          </w:p>
          <w:p w14:paraId="184846EB" w14:textId="24775DEC" w:rsidR="009209D5" w:rsidRDefault="00274C4A" w:rsidP="00303FD3">
            <w:pPr>
              <w:pStyle w:val="TableText"/>
              <w:jc w:val="left"/>
            </w:pPr>
            <w:r>
              <w:t>Report number of undergraduate degree</w:t>
            </w:r>
            <w:r w:rsidR="00303FD3">
              <w:t>/certificate</w:t>
            </w:r>
            <w:r>
              <w:t>-seeking, undergraduate non-degree</w:t>
            </w:r>
            <w:r w:rsidR="00303FD3">
              <w:t>/certificate</w:t>
            </w:r>
            <w:r>
              <w:t>-seeking, and graduate students that are:</w:t>
            </w:r>
          </w:p>
          <w:p w14:paraId="02EA3E02" w14:textId="77777777" w:rsidR="00303FD3" w:rsidRDefault="00E85F5B" w:rsidP="00303FD3">
            <w:pPr>
              <w:pStyle w:val="TableText"/>
              <w:numPr>
                <w:ilvl w:val="0"/>
                <w:numId w:val="5"/>
              </w:numPr>
            </w:pPr>
            <w:r>
              <w:t xml:space="preserve">Enrolled </w:t>
            </w:r>
            <w:r w:rsidRPr="00E85F5B">
              <w:rPr>
                <w:i/>
              </w:rPr>
              <w:t>exclusively</w:t>
            </w:r>
            <w:r>
              <w:t xml:space="preserve"> in distance education courses</w:t>
            </w:r>
          </w:p>
          <w:p w14:paraId="0ADD0027" w14:textId="77777777" w:rsidR="00E85F5B" w:rsidRDefault="00E85F5B" w:rsidP="00303FD3">
            <w:pPr>
              <w:pStyle w:val="TableText"/>
              <w:numPr>
                <w:ilvl w:val="0"/>
                <w:numId w:val="5"/>
              </w:numPr>
            </w:pPr>
            <w:r>
              <w:t xml:space="preserve">Enrolled in </w:t>
            </w:r>
            <w:r>
              <w:rPr>
                <w:i/>
              </w:rPr>
              <w:t xml:space="preserve">at least one </w:t>
            </w:r>
            <w:r>
              <w:t>but not all distance education courses</w:t>
            </w:r>
          </w:p>
          <w:p w14:paraId="5C367DC0" w14:textId="321DCCA9" w:rsidR="009B4C8E" w:rsidRPr="0043163A" w:rsidRDefault="0050012E" w:rsidP="000A5207">
            <w:pPr>
              <w:pStyle w:val="TableText"/>
              <w:numPr>
                <w:ilvl w:val="0"/>
                <w:numId w:val="5"/>
              </w:numPr>
            </w:pPr>
            <w:r>
              <w:rPr>
                <w:i/>
              </w:rPr>
              <w:t xml:space="preserve">Not enrolled </w:t>
            </w:r>
            <w:r>
              <w:t>in any distance education courses</w:t>
            </w:r>
          </w:p>
        </w:tc>
        <w:tc>
          <w:tcPr>
            <w:tcW w:w="861" w:type="pct"/>
            <w:tcBorders>
              <w:left w:val="nil"/>
              <w:right w:val="nil"/>
            </w:tcBorders>
            <w:shd w:val="clear" w:color="auto" w:fill="auto"/>
          </w:tcPr>
          <w:p w14:paraId="31832716" w14:textId="77777777" w:rsidR="009209D5" w:rsidRDefault="009209D5" w:rsidP="00A35425">
            <w:pPr>
              <w:pStyle w:val="TableTextCenter"/>
            </w:pPr>
            <w:r>
              <w:t>2020-21</w:t>
            </w:r>
          </w:p>
        </w:tc>
        <w:tc>
          <w:tcPr>
            <w:tcW w:w="770" w:type="pct"/>
            <w:tcBorders>
              <w:left w:val="nil"/>
              <w:right w:val="nil"/>
            </w:tcBorders>
            <w:shd w:val="clear" w:color="auto" w:fill="auto"/>
          </w:tcPr>
          <w:p w14:paraId="0F7F45E5" w14:textId="77777777" w:rsidR="009209D5" w:rsidRPr="00525945" w:rsidRDefault="009209D5" w:rsidP="00A35425">
            <w:pPr>
              <w:pStyle w:val="TableText"/>
              <w:jc w:val="left"/>
              <w:rPr>
                <w:bCs/>
              </w:rPr>
            </w:pPr>
            <w:r w:rsidRPr="005E4E3B">
              <w:t>TRP on Evaluating Distance Education Elements in the IPEDS Data Collection (June 2017</w:t>
            </w:r>
          </w:p>
        </w:tc>
        <w:tc>
          <w:tcPr>
            <w:tcW w:w="586" w:type="pct"/>
            <w:tcBorders>
              <w:left w:val="nil"/>
            </w:tcBorders>
            <w:shd w:val="clear" w:color="auto" w:fill="auto"/>
          </w:tcPr>
          <w:p w14:paraId="20A91FEF" w14:textId="1FAC8D41" w:rsidR="009209D5" w:rsidRDefault="00DE3279" w:rsidP="00A35425">
            <w:pPr>
              <w:pStyle w:val="TableText"/>
            </w:pPr>
            <w:r>
              <w:t>Moderate</w:t>
            </w:r>
            <w:r w:rsidR="00EC1E6B">
              <w:t xml:space="preserve"> increase</w:t>
            </w:r>
          </w:p>
        </w:tc>
      </w:tr>
      <w:tr w:rsidR="00A35425" w14:paraId="2BAF9D80" w14:textId="77777777" w:rsidTr="00D96A4A">
        <w:trPr>
          <w:trHeight w:val="844"/>
        </w:trPr>
        <w:tc>
          <w:tcPr>
            <w:tcW w:w="2783" w:type="pct"/>
            <w:tcBorders>
              <w:right w:val="nil"/>
            </w:tcBorders>
            <w:shd w:val="clear" w:color="auto" w:fill="auto"/>
          </w:tcPr>
          <w:p w14:paraId="2371B351" w14:textId="77777777" w:rsidR="00A35425" w:rsidRDefault="00A35425" w:rsidP="00A35425">
            <w:pPr>
              <w:pStyle w:val="TableText"/>
            </w:pPr>
            <w:r>
              <w:t>Cross-cutting definition and terminology changes:</w:t>
            </w:r>
          </w:p>
          <w:p w14:paraId="786FE57E" w14:textId="5BF8F31B" w:rsidR="00A35425" w:rsidRPr="001538B5" w:rsidRDefault="00A35425" w:rsidP="00A35425">
            <w:pPr>
              <w:pStyle w:val="TableText"/>
              <w:rPr>
                <w:i/>
              </w:rPr>
            </w:pPr>
            <w:r>
              <w:t>Replace “formal award” terminology with “recognized postsecondary credential”; replace “contact hour” with “clock hour”; add instruction to exclude students receiving Experimental Pell.</w:t>
            </w:r>
          </w:p>
        </w:tc>
        <w:tc>
          <w:tcPr>
            <w:tcW w:w="861" w:type="pct"/>
            <w:tcBorders>
              <w:left w:val="nil"/>
              <w:right w:val="nil"/>
            </w:tcBorders>
            <w:shd w:val="clear" w:color="auto" w:fill="auto"/>
          </w:tcPr>
          <w:p w14:paraId="77C3FEBE" w14:textId="789333FD" w:rsidR="00A35425" w:rsidRDefault="00A35425" w:rsidP="00A35425">
            <w:pPr>
              <w:pStyle w:val="TableTextCenter"/>
            </w:pPr>
            <w:r>
              <w:t>2019-20</w:t>
            </w:r>
          </w:p>
        </w:tc>
        <w:tc>
          <w:tcPr>
            <w:tcW w:w="770" w:type="pct"/>
            <w:tcBorders>
              <w:left w:val="nil"/>
              <w:right w:val="nil"/>
            </w:tcBorders>
            <w:shd w:val="clear" w:color="auto" w:fill="auto"/>
          </w:tcPr>
          <w:p w14:paraId="3510B57C" w14:textId="423E614E" w:rsidR="00A35425" w:rsidRPr="005E4E3B" w:rsidRDefault="00A35425" w:rsidP="00A35425">
            <w:pPr>
              <w:pStyle w:val="TableText"/>
              <w:jc w:val="left"/>
            </w:pPr>
            <w:r w:rsidRPr="00525945">
              <w:rPr>
                <w:bCs/>
              </w:rPr>
              <w:t>TRP on Subbaccalaureate Certificates (March 2017</w:t>
            </w:r>
            <w:r>
              <w:rPr>
                <w:bCs/>
              </w:rPr>
              <w:t>); NCES initiated</w:t>
            </w:r>
          </w:p>
        </w:tc>
        <w:tc>
          <w:tcPr>
            <w:tcW w:w="586" w:type="pct"/>
            <w:tcBorders>
              <w:left w:val="nil"/>
            </w:tcBorders>
            <w:shd w:val="clear" w:color="auto" w:fill="auto"/>
          </w:tcPr>
          <w:p w14:paraId="5D0F36A1" w14:textId="6E27B27E" w:rsidR="00A35425" w:rsidRDefault="00A35425" w:rsidP="00A35425">
            <w:pPr>
              <w:pStyle w:val="TableText"/>
            </w:pPr>
            <w:r>
              <w:t>No change</w:t>
            </w:r>
          </w:p>
        </w:tc>
      </w:tr>
    </w:tbl>
    <w:p w14:paraId="42145465" w14:textId="77777777" w:rsidR="00692507" w:rsidRDefault="00692507" w:rsidP="00E50982">
      <w:pPr>
        <w:pStyle w:val="TableBullet"/>
        <w:numPr>
          <w:ilvl w:val="0"/>
          <w:numId w:val="0"/>
        </w:numPr>
        <w:pBdr>
          <w:bottom w:val="single" w:sz="4" w:space="1" w:color="auto"/>
        </w:pBdr>
        <w:rPr>
          <w:b/>
          <w:sz w:val="22"/>
          <w:szCs w:val="22"/>
        </w:rPr>
      </w:pPr>
    </w:p>
    <w:p w14:paraId="4F96F66F" w14:textId="16CFEF19" w:rsidR="00E50982" w:rsidRDefault="00E50982" w:rsidP="00E50982">
      <w:pPr>
        <w:pStyle w:val="TableBullet"/>
        <w:numPr>
          <w:ilvl w:val="0"/>
          <w:numId w:val="0"/>
        </w:numPr>
        <w:pBdr>
          <w:bottom w:val="single" w:sz="4" w:space="1" w:color="auto"/>
        </w:pBdr>
        <w:rPr>
          <w:b/>
          <w:sz w:val="22"/>
          <w:szCs w:val="22"/>
        </w:rPr>
      </w:pPr>
      <w:r>
        <w:rPr>
          <w:b/>
          <w:sz w:val="22"/>
          <w:szCs w:val="22"/>
        </w:rPr>
        <w:t>Winter Collection</w:t>
      </w:r>
    </w:p>
    <w:p w14:paraId="554FD667" w14:textId="53F0E54B" w:rsidR="00E50982" w:rsidRDefault="00E50982" w:rsidP="00BF26F2">
      <w:pPr>
        <w:pStyle w:val="TableBullet"/>
        <w:numPr>
          <w:ilvl w:val="0"/>
          <w:numId w:val="0"/>
        </w:numPr>
        <w:rPr>
          <w:b/>
          <w:sz w:val="22"/>
          <w:szCs w:val="22"/>
        </w:rPr>
      </w:pPr>
    </w:p>
    <w:p w14:paraId="5B994C94" w14:textId="4B0A6337" w:rsidR="00181FD1" w:rsidRPr="00692507" w:rsidRDefault="004F595A" w:rsidP="00BF26F2">
      <w:pPr>
        <w:pStyle w:val="TableBullet"/>
        <w:numPr>
          <w:ilvl w:val="0"/>
          <w:numId w:val="0"/>
        </w:numPr>
        <w:rPr>
          <w:sz w:val="22"/>
          <w:szCs w:val="22"/>
        </w:rPr>
      </w:pPr>
      <w:r w:rsidRPr="00692507">
        <w:rPr>
          <w:b/>
          <w:sz w:val="22"/>
          <w:szCs w:val="22"/>
        </w:rPr>
        <w:t>Graduation Rates (GR), Graduation Rates 200 (GR200), and Outcome Measures (OM).</w:t>
      </w:r>
      <w:r w:rsidR="0003589D" w:rsidRPr="00692507">
        <w:rPr>
          <w:b/>
          <w:sz w:val="22"/>
          <w:szCs w:val="22"/>
        </w:rPr>
        <w:t xml:space="preserve"> </w:t>
      </w:r>
      <w:r w:rsidR="0003589D" w:rsidRPr="00692507">
        <w:rPr>
          <w:sz w:val="22"/>
          <w:szCs w:val="22"/>
        </w:rPr>
        <w:t>The changes being proposed are based on comment</w:t>
      </w:r>
      <w:r w:rsidR="00692507" w:rsidRPr="00692507">
        <w:rPr>
          <w:sz w:val="22"/>
          <w:szCs w:val="22"/>
        </w:rPr>
        <w:t>s</w:t>
      </w:r>
      <w:r w:rsidR="0003589D" w:rsidRPr="00692507">
        <w:rPr>
          <w:sz w:val="22"/>
          <w:szCs w:val="22"/>
        </w:rPr>
        <w:t xml:space="preserve"> from the 60-day comment period for this data collection</w:t>
      </w:r>
      <w:r w:rsidR="00D7587D" w:rsidRPr="00692507">
        <w:rPr>
          <w:sz w:val="22"/>
          <w:szCs w:val="22"/>
        </w:rPr>
        <w:t xml:space="preserve"> and are to clarify reporting </w:t>
      </w:r>
      <w:r w:rsidR="00C06938" w:rsidRPr="00692507">
        <w:rPr>
          <w:sz w:val="22"/>
          <w:szCs w:val="22"/>
        </w:rPr>
        <w:t>by coordinated institutions to ensure that students are not being double counted</w:t>
      </w:r>
      <w:r w:rsidR="0003589D" w:rsidRPr="00692507">
        <w:rPr>
          <w:sz w:val="22"/>
          <w:szCs w:val="22"/>
        </w:rPr>
        <w:t xml:space="preserve">. </w:t>
      </w:r>
      <w:r w:rsidR="007E2EFD" w:rsidRPr="00692507">
        <w:rPr>
          <w:sz w:val="22"/>
          <w:szCs w:val="22"/>
        </w:rPr>
        <w:t>The changes include modifications to glossary terms and to FAQs, as well as the addition of a new FAQ.</w:t>
      </w:r>
    </w:p>
    <w:tbl>
      <w:tblPr>
        <w:tblW w:w="5048"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6107"/>
        <w:gridCol w:w="1945"/>
        <w:gridCol w:w="1432"/>
        <w:gridCol w:w="1347"/>
      </w:tblGrid>
      <w:tr w:rsidR="00547FBD" w:rsidRPr="00692507" w14:paraId="702B2EAC" w14:textId="77777777" w:rsidTr="00425B14">
        <w:trPr>
          <w:trHeight w:val="238"/>
          <w:tblHeader/>
        </w:trPr>
        <w:tc>
          <w:tcPr>
            <w:tcW w:w="5000" w:type="pct"/>
            <w:gridSpan w:val="4"/>
            <w:shd w:val="clear" w:color="auto" w:fill="4F81BD"/>
            <w:vAlign w:val="center"/>
          </w:tcPr>
          <w:p w14:paraId="00D7C19C" w14:textId="7F153F95" w:rsidR="00547FBD" w:rsidRPr="00692507" w:rsidRDefault="00547FBD" w:rsidP="00692507">
            <w:pPr>
              <w:pStyle w:val="TableTitle"/>
              <w:keepNext/>
            </w:pPr>
            <w:r w:rsidRPr="00692507">
              <w:t xml:space="preserve">Table A4. Proposed changes to the GR, GR200, and OM Forms </w:t>
            </w:r>
          </w:p>
        </w:tc>
      </w:tr>
      <w:tr w:rsidR="00547FBD" w:rsidRPr="00692507" w14:paraId="25500C72" w14:textId="77777777" w:rsidTr="00425B14">
        <w:trPr>
          <w:trHeight w:val="478"/>
          <w:tblHeader/>
        </w:trPr>
        <w:tc>
          <w:tcPr>
            <w:tcW w:w="2819" w:type="pct"/>
            <w:tcBorders>
              <w:bottom w:val="single" w:sz="8" w:space="0" w:color="7BA0CD"/>
              <w:right w:val="nil"/>
            </w:tcBorders>
            <w:shd w:val="clear" w:color="auto" w:fill="D3DFEE"/>
            <w:vAlign w:val="center"/>
          </w:tcPr>
          <w:p w14:paraId="43AA74BF" w14:textId="77777777" w:rsidR="00547FBD" w:rsidRPr="00692507" w:rsidRDefault="00547FBD" w:rsidP="00692507">
            <w:pPr>
              <w:pStyle w:val="TableHeader"/>
              <w:keepNext/>
              <w:jc w:val="left"/>
            </w:pPr>
            <w:r w:rsidRPr="00692507">
              <w:t>Change</w:t>
            </w:r>
          </w:p>
        </w:tc>
        <w:tc>
          <w:tcPr>
            <w:tcW w:w="898" w:type="pct"/>
            <w:tcBorders>
              <w:left w:val="nil"/>
              <w:bottom w:val="single" w:sz="8" w:space="0" w:color="7BA0CD"/>
              <w:right w:val="nil"/>
            </w:tcBorders>
            <w:shd w:val="clear" w:color="auto" w:fill="D3DFEE"/>
            <w:vAlign w:val="center"/>
          </w:tcPr>
          <w:p w14:paraId="7D4D96EE" w14:textId="77777777" w:rsidR="00547FBD" w:rsidRPr="00692507" w:rsidRDefault="00547FBD" w:rsidP="00425B14">
            <w:pPr>
              <w:pStyle w:val="TableHeader"/>
              <w:jc w:val="left"/>
            </w:pPr>
            <w:r w:rsidRPr="00692507">
              <w:t>Implementation year</w:t>
            </w:r>
          </w:p>
        </w:tc>
        <w:tc>
          <w:tcPr>
            <w:tcW w:w="661" w:type="pct"/>
            <w:tcBorders>
              <w:left w:val="nil"/>
              <w:bottom w:val="single" w:sz="8" w:space="0" w:color="7BA0CD"/>
              <w:right w:val="nil"/>
            </w:tcBorders>
            <w:shd w:val="clear" w:color="auto" w:fill="D3DFEE"/>
            <w:vAlign w:val="center"/>
          </w:tcPr>
          <w:p w14:paraId="24A4169C" w14:textId="77777777" w:rsidR="00547FBD" w:rsidRPr="00692507" w:rsidRDefault="00547FBD" w:rsidP="00425B14">
            <w:pPr>
              <w:pStyle w:val="TableHeader"/>
              <w:jc w:val="left"/>
            </w:pPr>
            <w:r w:rsidRPr="00692507">
              <w:t>Source</w:t>
            </w:r>
          </w:p>
        </w:tc>
        <w:tc>
          <w:tcPr>
            <w:tcW w:w="622" w:type="pct"/>
            <w:tcBorders>
              <w:left w:val="nil"/>
              <w:bottom w:val="single" w:sz="8" w:space="0" w:color="7BA0CD"/>
            </w:tcBorders>
            <w:shd w:val="clear" w:color="auto" w:fill="D3DFEE"/>
            <w:vAlign w:val="center"/>
          </w:tcPr>
          <w:p w14:paraId="460412BF" w14:textId="77777777" w:rsidR="00547FBD" w:rsidRPr="00692507" w:rsidRDefault="00547FBD" w:rsidP="00425B14">
            <w:pPr>
              <w:pStyle w:val="TableHeader"/>
              <w:jc w:val="left"/>
            </w:pPr>
            <w:r w:rsidRPr="00692507">
              <w:t>Estimated burden</w:t>
            </w:r>
          </w:p>
        </w:tc>
      </w:tr>
      <w:tr w:rsidR="00547FBD" w:rsidRPr="00692507" w14:paraId="35E0C7E7" w14:textId="77777777" w:rsidTr="00425B14">
        <w:trPr>
          <w:trHeight w:val="844"/>
        </w:trPr>
        <w:tc>
          <w:tcPr>
            <w:tcW w:w="2819" w:type="pct"/>
            <w:tcBorders>
              <w:right w:val="nil"/>
            </w:tcBorders>
            <w:shd w:val="clear" w:color="auto" w:fill="auto"/>
          </w:tcPr>
          <w:p w14:paraId="2FE44A6A" w14:textId="77777777" w:rsidR="00547FBD" w:rsidRPr="00692507" w:rsidRDefault="00547FBD" w:rsidP="00692507">
            <w:pPr>
              <w:pStyle w:val="TableText"/>
              <w:keepNext/>
              <w:jc w:val="left"/>
              <w:rPr>
                <w:i/>
              </w:rPr>
            </w:pPr>
            <w:r w:rsidRPr="00692507">
              <w:rPr>
                <w:i/>
              </w:rPr>
              <w:t>Clarify the term “transfer-in student</w:t>
            </w:r>
            <w:r w:rsidR="001669AC" w:rsidRPr="00692507">
              <w:rPr>
                <w:i/>
              </w:rPr>
              <w:t>” by adding “</w:t>
            </w:r>
            <w:r w:rsidR="00F81105" w:rsidRPr="00692507">
              <w:rPr>
                <w:i/>
              </w:rPr>
              <w:t>For systems of coordinated institutions (multi-campus system), students are to be identified as transfer-in students upon entering an institution from another institution within the same coordinated system.”</w:t>
            </w:r>
          </w:p>
          <w:p w14:paraId="3F7683C8" w14:textId="77777777" w:rsidR="00F81105" w:rsidRPr="00692507" w:rsidRDefault="00F81105" w:rsidP="00692507">
            <w:pPr>
              <w:pStyle w:val="TableText"/>
              <w:keepNext/>
              <w:jc w:val="left"/>
            </w:pPr>
            <w:r w:rsidRPr="00692507">
              <w:t>The complete new definition for transfer-in student is:</w:t>
            </w:r>
          </w:p>
          <w:p w14:paraId="5A4146C0" w14:textId="222CBF9B" w:rsidR="00F81105" w:rsidRPr="00692507" w:rsidRDefault="00D7587D" w:rsidP="00692507">
            <w:pPr>
              <w:pStyle w:val="TableText"/>
              <w:keepNext/>
              <w:jc w:val="left"/>
            </w:pPr>
            <w:r w:rsidRPr="00692507">
              <w:t>A student entering the reporting institution for the first time but known to have previously attended a postsecondary institution at the same level (e.g., undergraduate, graduate). This includes new students enrolled in the fall term who transferred into the reporting institution the prior summer term. The student may transfer with or without credit. For systems of coordinated institutions (multi-campus system), students are to be identified as transfer-in students upon entering an institution from another institution within the same coordinated system.</w:t>
            </w:r>
          </w:p>
        </w:tc>
        <w:tc>
          <w:tcPr>
            <w:tcW w:w="898" w:type="pct"/>
            <w:tcBorders>
              <w:left w:val="nil"/>
              <w:right w:val="nil"/>
            </w:tcBorders>
            <w:shd w:val="clear" w:color="auto" w:fill="auto"/>
          </w:tcPr>
          <w:p w14:paraId="15440DAB" w14:textId="2F9637D8" w:rsidR="00547FBD" w:rsidRPr="00692507" w:rsidRDefault="00547FBD" w:rsidP="00425B14">
            <w:pPr>
              <w:pStyle w:val="TableTextCenter"/>
            </w:pPr>
            <w:r w:rsidRPr="00692507">
              <w:t>2019-20</w:t>
            </w:r>
          </w:p>
        </w:tc>
        <w:tc>
          <w:tcPr>
            <w:tcW w:w="661" w:type="pct"/>
            <w:tcBorders>
              <w:left w:val="nil"/>
              <w:right w:val="nil"/>
            </w:tcBorders>
            <w:shd w:val="clear" w:color="auto" w:fill="auto"/>
          </w:tcPr>
          <w:p w14:paraId="6ECD0B65" w14:textId="305E899F" w:rsidR="00547FBD" w:rsidRPr="00692507" w:rsidRDefault="00547FBD" w:rsidP="00425B14">
            <w:pPr>
              <w:pStyle w:val="TableText"/>
              <w:jc w:val="left"/>
            </w:pPr>
            <w:r w:rsidRPr="00692507">
              <w:t>NCES initiated based on 60-day comment period</w:t>
            </w:r>
          </w:p>
        </w:tc>
        <w:tc>
          <w:tcPr>
            <w:tcW w:w="622" w:type="pct"/>
            <w:tcBorders>
              <w:left w:val="nil"/>
            </w:tcBorders>
            <w:shd w:val="clear" w:color="auto" w:fill="auto"/>
          </w:tcPr>
          <w:p w14:paraId="4B3B1D53" w14:textId="4C26C5E5" w:rsidR="00547FBD" w:rsidRPr="00692507" w:rsidRDefault="00547FBD" w:rsidP="00425B14">
            <w:pPr>
              <w:pStyle w:val="TableText"/>
            </w:pPr>
            <w:r w:rsidRPr="00692507">
              <w:t>No change</w:t>
            </w:r>
          </w:p>
        </w:tc>
      </w:tr>
      <w:tr w:rsidR="00B36AF2" w:rsidRPr="00692507" w14:paraId="42B0116E" w14:textId="77777777" w:rsidTr="00425B14">
        <w:trPr>
          <w:trHeight w:val="844"/>
        </w:trPr>
        <w:tc>
          <w:tcPr>
            <w:tcW w:w="2819" w:type="pct"/>
            <w:tcBorders>
              <w:right w:val="nil"/>
            </w:tcBorders>
            <w:shd w:val="clear" w:color="auto" w:fill="auto"/>
          </w:tcPr>
          <w:p w14:paraId="0BA4BEDE" w14:textId="77777777" w:rsidR="00B36AF2" w:rsidRPr="00692507" w:rsidRDefault="00B36AF2" w:rsidP="00B36AF2">
            <w:pPr>
              <w:pStyle w:val="TableText"/>
              <w:jc w:val="left"/>
              <w:rPr>
                <w:i/>
              </w:rPr>
            </w:pPr>
            <w:r w:rsidRPr="00692507">
              <w:rPr>
                <w:i/>
              </w:rPr>
              <w:t>Clarify the term “transfer-out student” by adding “For systems of coordinated institutions (multi-campus system), students are to be identified as transfer-out students when leaving an institution to enroll into another institution within the same coordinated system.”</w:t>
            </w:r>
          </w:p>
          <w:p w14:paraId="647AE562" w14:textId="77777777" w:rsidR="00B36AF2" w:rsidRPr="00692507" w:rsidRDefault="00B36AF2" w:rsidP="00B36AF2">
            <w:pPr>
              <w:pStyle w:val="TableText"/>
              <w:jc w:val="left"/>
            </w:pPr>
            <w:r w:rsidRPr="00692507">
              <w:t>The complete new definition for transfer-out student is:</w:t>
            </w:r>
          </w:p>
          <w:p w14:paraId="4AB56A72" w14:textId="4ED8A375" w:rsidR="00B36AF2" w:rsidRPr="00692507" w:rsidRDefault="00B36AF2" w:rsidP="00B36AF2">
            <w:pPr>
              <w:pStyle w:val="TableText"/>
              <w:jc w:val="left"/>
            </w:pPr>
            <w:r w:rsidRPr="00692507">
              <w:t>A student that leaves the reporting institution and enrolls at another institution. For systems of coordinated institutions (multi-campus system), students are to be identified as transfer-out students when leaving an institution to enroll into another institution within the same coordinated system.</w:t>
            </w:r>
          </w:p>
        </w:tc>
        <w:tc>
          <w:tcPr>
            <w:tcW w:w="898" w:type="pct"/>
            <w:tcBorders>
              <w:left w:val="nil"/>
              <w:right w:val="nil"/>
            </w:tcBorders>
            <w:shd w:val="clear" w:color="auto" w:fill="auto"/>
          </w:tcPr>
          <w:p w14:paraId="2CC185C9" w14:textId="218880AC" w:rsidR="00B36AF2" w:rsidRPr="00692507" w:rsidRDefault="00B36AF2" w:rsidP="00B36AF2">
            <w:pPr>
              <w:pStyle w:val="TableTextCenter"/>
            </w:pPr>
            <w:r w:rsidRPr="00692507">
              <w:t>2019-20</w:t>
            </w:r>
          </w:p>
        </w:tc>
        <w:tc>
          <w:tcPr>
            <w:tcW w:w="661" w:type="pct"/>
            <w:tcBorders>
              <w:left w:val="nil"/>
              <w:right w:val="nil"/>
            </w:tcBorders>
            <w:shd w:val="clear" w:color="auto" w:fill="auto"/>
          </w:tcPr>
          <w:p w14:paraId="173638DA" w14:textId="0CBD03DB" w:rsidR="00B36AF2" w:rsidRPr="00692507" w:rsidRDefault="00B36AF2" w:rsidP="00B36AF2">
            <w:pPr>
              <w:pStyle w:val="TableText"/>
              <w:jc w:val="left"/>
            </w:pPr>
            <w:r w:rsidRPr="00692507">
              <w:t>NCES initiated based on 60-day comment period</w:t>
            </w:r>
          </w:p>
        </w:tc>
        <w:tc>
          <w:tcPr>
            <w:tcW w:w="622" w:type="pct"/>
            <w:tcBorders>
              <w:left w:val="nil"/>
            </w:tcBorders>
            <w:shd w:val="clear" w:color="auto" w:fill="auto"/>
          </w:tcPr>
          <w:p w14:paraId="162FCBF4" w14:textId="4A4992F8" w:rsidR="00B36AF2" w:rsidRPr="00692507" w:rsidRDefault="00B36AF2" w:rsidP="00B36AF2">
            <w:pPr>
              <w:pStyle w:val="TableText"/>
            </w:pPr>
            <w:r w:rsidRPr="00692507">
              <w:t>No change</w:t>
            </w:r>
          </w:p>
        </w:tc>
      </w:tr>
      <w:tr w:rsidR="00A65777" w:rsidRPr="00692507" w14:paraId="5D50B53B" w14:textId="77777777" w:rsidTr="00425B14">
        <w:trPr>
          <w:trHeight w:val="844"/>
        </w:trPr>
        <w:tc>
          <w:tcPr>
            <w:tcW w:w="2819" w:type="pct"/>
            <w:tcBorders>
              <w:right w:val="nil"/>
            </w:tcBorders>
            <w:shd w:val="clear" w:color="auto" w:fill="auto"/>
          </w:tcPr>
          <w:p w14:paraId="59FE4306" w14:textId="77777777" w:rsidR="00A65777" w:rsidRPr="00692507" w:rsidRDefault="00A65777" w:rsidP="00A65777">
            <w:pPr>
              <w:pStyle w:val="TableText"/>
              <w:jc w:val="left"/>
              <w:rPr>
                <w:i/>
              </w:rPr>
            </w:pPr>
            <w:r w:rsidRPr="00692507">
              <w:rPr>
                <w:i/>
              </w:rPr>
              <w:t xml:space="preserve">Modify existing OM FAQ#30 “Counting Transfer-in and Transfer-out Students” by adding “For systems of coordinated institutions (multi-campus systems), each reporting entity with an IPEDS UnitID is recognized as an individual reporting institution for Outcome Measures purposes. Only the institution that confers the degree or award can report the students as a completer. Thus, if a student transfers out of the initial institution (institution A) and transfers-in to another institution (institution B) within a coordinated system, that student is reported as a transfer-out by the initial institution (institution A), regardless of whether or not that student received a degree or award at another institution (institution B) within the coordinated system.” to the answer. </w:t>
            </w:r>
          </w:p>
          <w:p w14:paraId="1FC4327D" w14:textId="77777777" w:rsidR="00A65777" w:rsidRPr="00692507" w:rsidRDefault="00A65777" w:rsidP="00A65777">
            <w:pPr>
              <w:pStyle w:val="TableText"/>
              <w:jc w:val="left"/>
            </w:pPr>
            <w:r w:rsidRPr="00692507">
              <w:t>The complete new OM FAQ #30 is:</w:t>
            </w:r>
          </w:p>
          <w:p w14:paraId="15DCF391" w14:textId="77777777" w:rsidR="00A65777" w:rsidRPr="00692507" w:rsidRDefault="00A65777" w:rsidP="00A65777">
            <w:pPr>
              <w:pStyle w:val="TableText"/>
            </w:pPr>
            <w:r w:rsidRPr="00692507">
              <w:t>Q: Are first-time or non-first-time students who transfer-out to another institution included in the non-first-time entering cohort of the transfer-in institution?</w:t>
            </w:r>
          </w:p>
          <w:p w14:paraId="5878CE7A" w14:textId="77777777" w:rsidR="00A65777" w:rsidRPr="00692507" w:rsidRDefault="00A65777" w:rsidP="00A65777">
            <w:pPr>
              <w:pStyle w:val="TableText"/>
            </w:pPr>
            <w:r w:rsidRPr="00692507">
              <w:t xml:space="preserve">A: Yes. If first-time or non-first-time students transfer into your institution and have never been previously enrolled in your institution, you should report them in the appropriate non-first-time entering subcohort. </w:t>
            </w:r>
          </w:p>
          <w:p w14:paraId="173D391E" w14:textId="2D95FF21" w:rsidR="00A65777" w:rsidRPr="00692507" w:rsidRDefault="00A65777" w:rsidP="00A65777">
            <w:pPr>
              <w:pStyle w:val="TableText"/>
              <w:jc w:val="left"/>
            </w:pPr>
            <w:r w:rsidRPr="00692507">
              <w:t>For systems of coordinated institutions (multi-campus systems), each reporting entity with an IPEDS UnitID is recognized as an individual reporting institution for Outcome Measures purposes. Only the institution that confers the degree or award can report the students as a completer. Thus, if a student transfers out of the initial institution (institution A) and transfers-in to another institution (institution B) within a coordinated system, that student is reported as a transfer-out by the initial institution (institution A), regardless of whether or not that student received a degree or award at another institution (institution B) within the coordinated system.</w:t>
            </w:r>
          </w:p>
        </w:tc>
        <w:tc>
          <w:tcPr>
            <w:tcW w:w="898" w:type="pct"/>
            <w:tcBorders>
              <w:left w:val="nil"/>
              <w:right w:val="nil"/>
            </w:tcBorders>
            <w:shd w:val="clear" w:color="auto" w:fill="auto"/>
          </w:tcPr>
          <w:p w14:paraId="22C4EF05" w14:textId="64D3AE12" w:rsidR="00A65777" w:rsidRPr="00692507" w:rsidRDefault="00A65777" w:rsidP="00A65777">
            <w:pPr>
              <w:pStyle w:val="TableTextCenter"/>
            </w:pPr>
            <w:r w:rsidRPr="00692507">
              <w:t>2019-20</w:t>
            </w:r>
          </w:p>
        </w:tc>
        <w:tc>
          <w:tcPr>
            <w:tcW w:w="661" w:type="pct"/>
            <w:tcBorders>
              <w:left w:val="nil"/>
              <w:right w:val="nil"/>
            </w:tcBorders>
            <w:shd w:val="clear" w:color="auto" w:fill="auto"/>
          </w:tcPr>
          <w:p w14:paraId="7812525A" w14:textId="27C9C261" w:rsidR="00A65777" w:rsidRPr="00692507" w:rsidRDefault="00A65777" w:rsidP="00A65777">
            <w:pPr>
              <w:pStyle w:val="TableText"/>
              <w:jc w:val="left"/>
            </w:pPr>
            <w:r w:rsidRPr="00692507">
              <w:t>NCES initiated based on 60-day comment period</w:t>
            </w:r>
          </w:p>
        </w:tc>
        <w:tc>
          <w:tcPr>
            <w:tcW w:w="622" w:type="pct"/>
            <w:tcBorders>
              <w:left w:val="nil"/>
            </w:tcBorders>
            <w:shd w:val="clear" w:color="auto" w:fill="auto"/>
          </w:tcPr>
          <w:p w14:paraId="71EE4818" w14:textId="0232D4EA" w:rsidR="00A65777" w:rsidRPr="00692507" w:rsidRDefault="00A65777" w:rsidP="00A65777">
            <w:pPr>
              <w:pStyle w:val="TableText"/>
            </w:pPr>
            <w:r w:rsidRPr="00692507">
              <w:t>No change</w:t>
            </w:r>
          </w:p>
        </w:tc>
      </w:tr>
      <w:tr w:rsidR="00006A8F" w14:paraId="50770CCE" w14:textId="77777777" w:rsidTr="00425B14">
        <w:trPr>
          <w:trHeight w:val="844"/>
        </w:trPr>
        <w:tc>
          <w:tcPr>
            <w:tcW w:w="2819" w:type="pct"/>
            <w:tcBorders>
              <w:right w:val="nil"/>
            </w:tcBorders>
            <w:shd w:val="clear" w:color="auto" w:fill="auto"/>
          </w:tcPr>
          <w:p w14:paraId="7A9E9590" w14:textId="77777777" w:rsidR="00006A8F" w:rsidRPr="00692507" w:rsidRDefault="00006A8F" w:rsidP="00006A8F">
            <w:pPr>
              <w:pStyle w:val="TableText"/>
              <w:rPr>
                <w:i/>
              </w:rPr>
            </w:pPr>
            <w:r w:rsidRPr="00692507">
              <w:rPr>
                <w:i/>
              </w:rPr>
              <w:t>New GR/GR200 FAQ (For GR, this FAQ will be the new FAQ #4 under “Transfer Out” category. For GR 200, this would new FAQ would also initiate a new FAQ section for GR200).</w:t>
            </w:r>
          </w:p>
          <w:p w14:paraId="30DCC181" w14:textId="77777777" w:rsidR="00006A8F" w:rsidRPr="00692507" w:rsidRDefault="00006A8F" w:rsidP="00006A8F">
            <w:pPr>
              <w:pStyle w:val="TableText"/>
            </w:pPr>
            <w:r w:rsidRPr="00692507">
              <w:t>Q: My institution is part of a coordinated system of institutions. If a student transfers out of my institution and goes to another institution within the coordinated system, can I count that student at my institution as a completer?</w:t>
            </w:r>
          </w:p>
          <w:p w14:paraId="117E294D" w14:textId="1FF84603" w:rsidR="00006A8F" w:rsidRPr="00692507" w:rsidRDefault="00006A8F" w:rsidP="00006A8F">
            <w:pPr>
              <w:pStyle w:val="TableText"/>
              <w:jc w:val="left"/>
              <w:rPr>
                <w:i/>
              </w:rPr>
            </w:pPr>
            <w:r w:rsidRPr="00692507">
              <w:t>A: No. Your institution may not count that student as completer because that student is considered a transfer-out student. Each reporting entity that has an IPEDS UnitID is recognized as an individual reporting institution for Graduation Rates purposes and can only report completers if that campus confers the award or degree.</w:t>
            </w:r>
          </w:p>
        </w:tc>
        <w:tc>
          <w:tcPr>
            <w:tcW w:w="898" w:type="pct"/>
            <w:tcBorders>
              <w:left w:val="nil"/>
              <w:right w:val="nil"/>
            </w:tcBorders>
            <w:shd w:val="clear" w:color="auto" w:fill="auto"/>
          </w:tcPr>
          <w:p w14:paraId="30032153" w14:textId="7EF01E9D" w:rsidR="00006A8F" w:rsidRPr="00692507" w:rsidRDefault="00006A8F" w:rsidP="00006A8F">
            <w:pPr>
              <w:pStyle w:val="TableTextCenter"/>
            </w:pPr>
            <w:r w:rsidRPr="00692507">
              <w:t>2019-20</w:t>
            </w:r>
          </w:p>
        </w:tc>
        <w:tc>
          <w:tcPr>
            <w:tcW w:w="661" w:type="pct"/>
            <w:tcBorders>
              <w:left w:val="nil"/>
              <w:right w:val="nil"/>
            </w:tcBorders>
            <w:shd w:val="clear" w:color="auto" w:fill="auto"/>
          </w:tcPr>
          <w:p w14:paraId="03224965" w14:textId="5CD366F1" w:rsidR="00006A8F" w:rsidRPr="00692507" w:rsidRDefault="00006A8F" w:rsidP="00006A8F">
            <w:pPr>
              <w:pStyle w:val="TableText"/>
              <w:jc w:val="left"/>
            </w:pPr>
            <w:r w:rsidRPr="00692507">
              <w:t>NCES initiated based on 60-day comment period</w:t>
            </w:r>
          </w:p>
        </w:tc>
        <w:tc>
          <w:tcPr>
            <w:tcW w:w="622" w:type="pct"/>
            <w:tcBorders>
              <w:left w:val="nil"/>
            </w:tcBorders>
            <w:shd w:val="clear" w:color="auto" w:fill="auto"/>
          </w:tcPr>
          <w:p w14:paraId="55664BCE" w14:textId="352119C5" w:rsidR="00006A8F" w:rsidRDefault="00006A8F" w:rsidP="00006A8F">
            <w:pPr>
              <w:pStyle w:val="TableText"/>
            </w:pPr>
            <w:r w:rsidRPr="00692507">
              <w:t>No change</w:t>
            </w:r>
          </w:p>
        </w:tc>
      </w:tr>
    </w:tbl>
    <w:p w14:paraId="7A513595" w14:textId="77777777" w:rsidR="00181FD1" w:rsidRDefault="00181FD1" w:rsidP="00BF26F2">
      <w:pPr>
        <w:pStyle w:val="TableBullet"/>
        <w:numPr>
          <w:ilvl w:val="0"/>
          <w:numId w:val="0"/>
        </w:numPr>
        <w:rPr>
          <w:b/>
          <w:sz w:val="22"/>
          <w:szCs w:val="22"/>
        </w:rPr>
      </w:pPr>
    </w:p>
    <w:p w14:paraId="5B8EB6A3" w14:textId="77777777" w:rsidR="00181FD1" w:rsidRDefault="00181FD1" w:rsidP="00BF26F2">
      <w:pPr>
        <w:pStyle w:val="TableBullet"/>
        <w:numPr>
          <w:ilvl w:val="0"/>
          <w:numId w:val="0"/>
        </w:numPr>
        <w:rPr>
          <w:b/>
          <w:sz w:val="22"/>
          <w:szCs w:val="22"/>
        </w:rPr>
      </w:pPr>
    </w:p>
    <w:p w14:paraId="0E03C86B" w14:textId="0D57A426" w:rsidR="00181FD1" w:rsidRDefault="00181FD1" w:rsidP="00181FD1">
      <w:pPr>
        <w:pStyle w:val="TableBullet"/>
        <w:numPr>
          <w:ilvl w:val="0"/>
          <w:numId w:val="0"/>
        </w:numPr>
        <w:pBdr>
          <w:bottom w:val="single" w:sz="4" w:space="1" w:color="auto"/>
        </w:pBdr>
        <w:rPr>
          <w:b/>
          <w:sz w:val="22"/>
          <w:szCs w:val="22"/>
        </w:rPr>
      </w:pPr>
      <w:r>
        <w:rPr>
          <w:b/>
          <w:sz w:val="22"/>
          <w:szCs w:val="22"/>
        </w:rPr>
        <w:t>Spring Collection</w:t>
      </w:r>
    </w:p>
    <w:p w14:paraId="764101BF" w14:textId="77777777" w:rsidR="00181FD1" w:rsidRDefault="00181FD1" w:rsidP="00BF26F2">
      <w:pPr>
        <w:pStyle w:val="TableBullet"/>
        <w:numPr>
          <w:ilvl w:val="0"/>
          <w:numId w:val="0"/>
        </w:numPr>
        <w:rPr>
          <w:b/>
          <w:sz w:val="22"/>
          <w:szCs w:val="22"/>
        </w:rPr>
      </w:pPr>
    </w:p>
    <w:p w14:paraId="37A22DE4" w14:textId="270D04BB" w:rsidR="00C56F4D" w:rsidRDefault="00A91F9E" w:rsidP="005B2A9E">
      <w:pPr>
        <w:pStyle w:val="TableBullet"/>
        <w:numPr>
          <w:ilvl w:val="0"/>
          <w:numId w:val="0"/>
        </w:numPr>
        <w:spacing w:after="160" w:line="259" w:lineRule="auto"/>
        <w:rPr>
          <w:sz w:val="22"/>
          <w:szCs w:val="22"/>
        </w:rPr>
      </w:pPr>
      <w:r w:rsidRPr="00A91F9E">
        <w:rPr>
          <w:b/>
          <w:sz w:val="22"/>
          <w:szCs w:val="22"/>
        </w:rPr>
        <w:t>Academic Libraries (AL)</w:t>
      </w:r>
      <w:r w:rsidR="00181FD1">
        <w:rPr>
          <w:b/>
          <w:sz w:val="22"/>
          <w:szCs w:val="22"/>
        </w:rPr>
        <w:t xml:space="preserve">. </w:t>
      </w:r>
      <w:r w:rsidR="005B37A4">
        <w:rPr>
          <w:sz w:val="22"/>
          <w:szCs w:val="22"/>
        </w:rPr>
        <w:t>The proposed change to the AL form w</w:t>
      </w:r>
      <w:r w:rsidR="00CB4023">
        <w:rPr>
          <w:sz w:val="22"/>
          <w:szCs w:val="22"/>
        </w:rPr>
        <w:t>as</w:t>
      </w:r>
      <w:r w:rsidR="005B37A4">
        <w:rPr>
          <w:sz w:val="22"/>
          <w:szCs w:val="22"/>
        </w:rPr>
        <w:t xml:space="preserve"> initiated by NCES with input </w:t>
      </w:r>
      <w:r w:rsidR="001B20EE">
        <w:rPr>
          <w:sz w:val="22"/>
          <w:szCs w:val="22"/>
        </w:rPr>
        <w:t xml:space="preserve">from </w:t>
      </w:r>
      <w:r w:rsidR="005B37A4">
        <w:rPr>
          <w:sz w:val="22"/>
          <w:szCs w:val="22"/>
        </w:rPr>
        <w:t>the IPEDS Academic Libr</w:t>
      </w:r>
      <w:r w:rsidR="00133A7D">
        <w:rPr>
          <w:sz w:val="22"/>
          <w:szCs w:val="22"/>
        </w:rPr>
        <w:t xml:space="preserve">aries Task Force. </w:t>
      </w:r>
      <w:r w:rsidR="00E053BD">
        <w:rPr>
          <w:sz w:val="22"/>
          <w:szCs w:val="22"/>
        </w:rPr>
        <w:t xml:space="preserve">Currently, data on library staff are collected as an occupational category on the HR survey. These occupational categories will be removed from HR, so to retain information on </w:t>
      </w:r>
      <w:r w:rsidR="002E1521">
        <w:rPr>
          <w:sz w:val="22"/>
          <w:szCs w:val="22"/>
        </w:rPr>
        <w:t xml:space="preserve">library staff, a question will be added to capture this </w:t>
      </w:r>
      <w:r w:rsidR="001B20EE">
        <w:rPr>
          <w:sz w:val="22"/>
          <w:szCs w:val="22"/>
        </w:rPr>
        <w:t xml:space="preserve">detailed </w:t>
      </w:r>
      <w:r w:rsidR="002E1521">
        <w:rPr>
          <w:sz w:val="22"/>
          <w:szCs w:val="22"/>
        </w:rPr>
        <w:t>information on the AL form.</w:t>
      </w:r>
      <w:r w:rsidR="00B67446">
        <w:rPr>
          <w:sz w:val="22"/>
          <w:szCs w:val="22"/>
        </w:rPr>
        <w:t xml:space="preserve"> </w:t>
      </w:r>
      <w:r w:rsidR="00CB4023">
        <w:rPr>
          <w:sz w:val="22"/>
          <w:szCs w:val="22"/>
        </w:rPr>
        <w:t xml:space="preserve">This change should have no impact on </w:t>
      </w:r>
      <w:r w:rsidR="003A6B1A">
        <w:rPr>
          <w:sz w:val="22"/>
          <w:szCs w:val="22"/>
        </w:rPr>
        <w:t>reporting burden. The proposed change is detailed in table A4.</w:t>
      </w:r>
      <w:r w:rsidR="00C56F4D">
        <w:rPr>
          <w:sz w:val="22"/>
          <w:szCs w:val="22"/>
        </w:rPr>
        <w:t xml:space="preserve"> In addition, based on the recommendation of the Task Force, digital/electronic serials will be included in the total counts for library circulations</w:t>
      </w:r>
    </w:p>
    <w:tbl>
      <w:tblPr>
        <w:tblW w:w="5048"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6107"/>
        <w:gridCol w:w="1945"/>
        <w:gridCol w:w="1432"/>
        <w:gridCol w:w="1347"/>
      </w:tblGrid>
      <w:tr w:rsidR="001363AE" w:rsidRPr="001A0F26" w14:paraId="56E3B061" w14:textId="77777777" w:rsidTr="00A35425">
        <w:trPr>
          <w:trHeight w:val="238"/>
          <w:tblHeader/>
        </w:trPr>
        <w:tc>
          <w:tcPr>
            <w:tcW w:w="5000" w:type="pct"/>
            <w:gridSpan w:val="4"/>
            <w:shd w:val="clear" w:color="auto" w:fill="4F81BD"/>
            <w:vAlign w:val="center"/>
          </w:tcPr>
          <w:p w14:paraId="64096139" w14:textId="45024044" w:rsidR="001363AE" w:rsidRPr="001A0F26" w:rsidRDefault="001363AE" w:rsidP="00A35425">
            <w:pPr>
              <w:pStyle w:val="TableTitle"/>
            </w:pPr>
            <w:bookmarkStart w:id="6" w:name="_Hlk529193010"/>
            <w:r w:rsidRPr="001A0F26">
              <w:t xml:space="preserve">Table </w:t>
            </w:r>
            <w:r>
              <w:t>A</w:t>
            </w:r>
            <w:r w:rsidR="00006A8F">
              <w:t>5</w:t>
            </w:r>
            <w:r>
              <w:t>.</w:t>
            </w:r>
            <w:r w:rsidRPr="001A0F26">
              <w:t xml:space="preserve"> Proposed </w:t>
            </w:r>
            <w:r>
              <w:t>c</w:t>
            </w:r>
            <w:r w:rsidRPr="001A0F26">
              <w:t>hanges to the</w:t>
            </w:r>
            <w:r>
              <w:t xml:space="preserve"> AL</w:t>
            </w:r>
            <w:r w:rsidRPr="001A0F26">
              <w:t xml:space="preserve"> Form </w:t>
            </w:r>
          </w:p>
        </w:tc>
      </w:tr>
      <w:tr w:rsidR="001363AE" w:rsidRPr="00534107" w14:paraId="3F417CFB" w14:textId="77777777" w:rsidTr="00A35425">
        <w:trPr>
          <w:trHeight w:val="478"/>
          <w:tblHeader/>
        </w:trPr>
        <w:tc>
          <w:tcPr>
            <w:tcW w:w="2819" w:type="pct"/>
            <w:tcBorders>
              <w:bottom w:val="single" w:sz="8" w:space="0" w:color="7BA0CD"/>
              <w:right w:val="nil"/>
            </w:tcBorders>
            <w:shd w:val="clear" w:color="auto" w:fill="D3DFEE"/>
            <w:vAlign w:val="center"/>
          </w:tcPr>
          <w:p w14:paraId="77F26FEC" w14:textId="77777777" w:rsidR="001363AE" w:rsidRPr="00534107" w:rsidRDefault="001363AE" w:rsidP="00A35425">
            <w:pPr>
              <w:pStyle w:val="TableHeader"/>
              <w:jc w:val="left"/>
            </w:pPr>
            <w:r w:rsidRPr="00534107">
              <w:t>Change</w:t>
            </w:r>
          </w:p>
        </w:tc>
        <w:tc>
          <w:tcPr>
            <w:tcW w:w="898" w:type="pct"/>
            <w:tcBorders>
              <w:left w:val="nil"/>
              <w:bottom w:val="single" w:sz="8" w:space="0" w:color="7BA0CD"/>
              <w:right w:val="nil"/>
            </w:tcBorders>
            <w:shd w:val="clear" w:color="auto" w:fill="D3DFEE"/>
            <w:vAlign w:val="center"/>
          </w:tcPr>
          <w:p w14:paraId="2ABCA626" w14:textId="77777777" w:rsidR="001363AE" w:rsidRPr="00534107" w:rsidRDefault="001363AE" w:rsidP="00A35425">
            <w:pPr>
              <w:pStyle w:val="TableHeader"/>
              <w:jc w:val="left"/>
            </w:pPr>
            <w:r w:rsidRPr="00534107">
              <w:t xml:space="preserve">Implementation </w:t>
            </w:r>
            <w:r>
              <w:t>y</w:t>
            </w:r>
            <w:r w:rsidRPr="00534107">
              <w:t>ear</w:t>
            </w:r>
          </w:p>
        </w:tc>
        <w:tc>
          <w:tcPr>
            <w:tcW w:w="661" w:type="pct"/>
            <w:tcBorders>
              <w:left w:val="nil"/>
              <w:bottom w:val="single" w:sz="8" w:space="0" w:color="7BA0CD"/>
              <w:right w:val="nil"/>
            </w:tcBorders>
            <w:shd w:val="clear" w:color="auto" w:fill="D3DFEE"/>
            <w:vAlign w:val="center"/>
          </w:tcPr>
          <w:p w14:paraId="223ECB8F" w14:textId="77777777" w:rsidR="001363AE" w:rsidRPr="00534107" w:rsidRDefault="001363AE" w:rsidP="00A35425">
            <w:pPr>
              <w:pStyle w:val="TableHeader"/>
              <w:jc w:val="left"/>
            </w:pPr>
            <w:r w:rsidRPr="00534107">
              <w:t>Source</w:t>
            </w:r>
          </w:p>
        </w:tc>
        <w:tc>
          <w:tcPr>
            <w:tcW w:w="622" w:type="pct"/>
            <w:tcBorders>
              <w:left w:val="nil"/>
              <w:bottom w:val="single" w:sz="8" w:space="0" w:color="7BA0CD"/>
            </w:tcBorders>
            <w:shd w:val="clear" w:color="auto" w:fill="D3DFEE"/>
            <w:vAlign w:val="center"/>
          </w:tcPr>
          <w:p w14:paraId="5E13F8ED" w14:textId="77777777" w:rsidR="001363AE" w:rsidRPr="00534107" w:rsidRDefault="001363AE" w:rsidP="00A35425">
            <w:pPr>
              <w:pStyle w:val="TableHeader"/>
              <w:jc w:val="left"/>
            </w:pPr>
            <w:r w:rsidRPr="00534107">
              <w:t xml:space="preserve">Estimated </w:t>
            </w:r>
            <w:r>
              <w:t>b</w:t>
            </w:r>
            <w:r w:rsidRPr="00534107">
              <w:t>urden</w:t>
            </w:r>
          </w:p>
        </w:tc>
      </w:tr>
      <w:tr w:rsidR="001363AE" w14:paraId="2CC4AA0C" w14:textId="77777777" w:rsidTr="00A35425">
        <w:trPr>
          <w:trHeight w:val="844"/>
        </w:trPr>
        <w:tc>
          <w:tcPr>
            <w:tcW w:w="2819" w:type="pct"/>
            <w:tcBorders>
              <w:right w:val="nil"/>
            </w:tcBorders>
            <w:shd w:val="clear" w:color="auto" w:fill="auto"/>
          </w:tcPr>
          <w:p w14:paraId="4E647DB4" w14:textId="4EAAAC46" w:rsidR="001363AE" w:rsidRDefault="00ED3D7F" w:rsidP="0024190E">
            <w:pPr>
              <w:pStyle w:val="TableText"/>
              <w:jc w:val="left"/>
              <w:rPr>
                <w:i/>
              </w:rPr>
            </w:pPr>
            <w:r>
              <w:rPr>
                <w:i/>
              </w:rPr>
              <w:t>Add question regarding library staff (</w:t>
            </w:r>
            <w:r w:rsidR="001B20EE">
              <w:rPr>
                <w:i/>
              </w:rPr>
              <w:t xml:space="preserve">detail </w:t>
            </w:r>
            <w:r>
              <w:rPr>
                <w:i/>
              </w:rPr>
              <w:t>moved from HR survey</w:t>
            </w:r>
            <w:r w:rsidR="001B20EE">
              <w:rPr>
                <w:i/>
              </w:rPr>
              <w:t>, higher level numbers still collected on HR</w:t>
            </w:r>
            <w:r>
              <w:rPr>
                <w:i/>
              </w:rPr>
              <w:t>)</w:t>
            </w:r>
            <w:r w:rsidR="00BC3A63">
              <w:rPr>
                <w:i/>
              </w:rPr>
              <w:t>:</w:t>
            </w:r>
          </w:p>
          <w:p w14:paraId="79E1F861" w14:textId="77777777" w:rsidR="006A24B2" w:rsidRDefault="00EB6F19" w:rsidP="0024190E">
            <w:pPr>
              <w:pStyle w:val="TableText"/>
              <w:jc w:val="left"/>
            </w:pPr>
            <w:r>
              <w:t>Do you have Library Staff?</w:t>
            </w:r>
          </w:p>
          <w:p w14:paraId="0D9D0E87" w14:textId="19D7764C" w:rsidR="00EB6F19" w:rsidRDefault="00EB6F19" w:rsidP="00EB6F19">
            <w:pPr>
              <w:pStyle w:val="TableText"/>
              <w:numPr>
                <w:ilvl w:val="0"/>
                <w:numId w:val="7"/>
              </w:numPr>
              <w:jc w:val="left"/>
            </w:pPr>
            <w:r>
              <w:t>Yes</w:t>
            </w:r>
          </w:p>
          <w:p w14:paraId="7BF35AE2" w14:textId="05A7BBAE" w:rsidR="00EB6F19" w:rsidRDefault="00EB6F19" w:rsidP="00EB6F19">
            <w:pPr>
              <w:pStyle w:val="TableText"/>
              <w:numPr>
                <w:ilvl w:val="0"/>
                <w:numId w:val="7"/>
              </w:numPr>
              <w:jc w:val="left"/>
            </w:pPr>
            <w:r>
              <w:t>No</w:t>
            </w:r>
          </w:p>
          <w:p w14:paraId="0ED7B10B" w14:textId="0CF24BBD" w:rsidR="00EB6F19" w:rsidRDefault="00EB6F19" w:rsidP="00EB6F19">
            <w:pPr>
              <w:pStyle w:val="TableText"/>
              <w:jc w:val="left"/>
            </w:pPr>
            <w:r>
              <w:t xml:space="preserve">Report </w:t>
            </w:r>
            <w:r w:rsidR="00CB68BB">
              <w:t>Number of FTEs for:</w:t>
            </w:r>
          </w:p>
          <w:p w14:paraId="46503D58" w14:textId="30969FAF" w:rsidR="00CB68BB" w:rsidRDefault="00CB68BB" w:rsidP="00CB68BB">
            <w:pPr>
              <w:pStyle w:val="TableText"/>
              <w:numPr>
                <w:ilvl w:val="0"/>
                <w:numId w:val="8"/>
              </w:numPr>
              <w:jc w:val="left"/>
            </w:pPr>
            <w:r>
              <w:t>Librarians</w:t>
            </w:r>
          </w:p>
          <w:p w14:paraId="1D78D96A" w14:textId="4BCF4493" w:rsidR="00CB68BB" w:rsidRDefault="00CB68BB" w:rsidP="00CB68BB">
            <w:pPr>
              <w:pStyle w:val="TableText"/>
              <w:numPr>
                <w:ilvl w:val="0"/>
                <w:numId w:val="8"/>
              </w:numPr>
              <w:jc w:val="left"/>
            </w:pPr>
            <w:r>
              <w:t>Other Professional Staff</w:t>
            </w:r>
          </w:p>
          <w:p w14:paraId="6986A93F" w14:textId="6BBDE57B" w:rsidR="00CB68BB" w:rsidRDefault="00CB68BB" w:rsidP="00CB68BB">
            <w:pPr>
              <w:pStyle w:val="TableText"/>
              <w:numPr>
                <w:ilvl w:val="0"/>
                <w:numId w:val="8"/>
              </w:numPr>
              <w:jc w:val="left"/>
            </w:pPr>
            <w:r>
              <w:t>All Other Paid Staff (Except Student Assistants)</w:t>
            </w:r>
          </w:p>
          <w:p w14:paraId="0BFFEFCE" w14:textId="77777777" w:rsidR="006E082C" w:rsidRDefault="00C314A3" w:rsidP="006E082C">
            <w:pPr>
              <w:pStyle w:val="TableText"/>
              <w:numPr>
                <w:ilvl w:val="0"/>
                <w:numId w:val="8"/>
              </w:numPr>
              <w:jc w:val="left"/>
              <w:rPr>
                <w:i/>
              </w:rPr>
            </w:pPr>
            <w:r>
              <w:t>Student Assistants</w:t>
            </w:r>
          </w:p>
          <w:p w14:paraId="397C56E4" w14:textId="367E9E12" w:rsidR="006E082C" w:rsidRPr="005F1EA8" w:rsidRDefault="005F1EA8" w:rsidP="005F1EA8">
            <w:pPr>
              <w:pStyle w:val="TableText"/>
              <w:jc w:val="left"/>
              <w:rPr>
                <w:i/>
              </w:rPr>
            </w:pPr>
            <w:r>
              <w:rPr>
                <w:i/>
              </w:rPr>
              <w:t>See associated instructions in AL package attachment</w:t>
            </w:r>
          </w:p>
        </w:tc>
        <w:tc>
          <w:tcPr>
            <w:tcW w:w="898" w:type="pct"/>
            <w:tcBorders>
              <w:left w:val="nil"/>
              <w:right w:val="nil"/>
            </w:tcBorders>
            <w:shd w:val="clear" w:color="auto" w:fill="auto"/>
          </w:tcPr>
          <w:p w14:paraId="721E2884" w14:textId="77777777" w:rsidR="001363AE" w:rsidRPr="001A0F26" w:rsidRDefault="001363AE" w:rsidP="00A35425">
            <w:pPr>
              <w:pStyle w:val="TableTextCenter"/>
            </w:pPr>
            <w:r>
              <w:t>2020-21</w:t>
            </w:r>
          </w:p>
        </w:tc>
        <w:tc>
          <w:tcPr>
            <w:tcW w:w="661" w:type="pct"/>
            <w:tcBorders>
              <w:left w:val="nil"/>
              <w:right w:val="nil"/>
            </w:tcBorders>
            <w:shd w:val="clear" w:color="auto" w:fill="auto"/>
          </w:tcPr>
          <w:p w14:paraId="0A0538EE" w14:textId="22F82A68" w:rsidR="001363AE" w:rsidRPr="001A0F26" w:rsidRDefault="00740782" w:rsidP="00A35425">
            <w:pPr>
              <w:pStyle w:val="TableText"/>
              <w:jc w:val="left"/>
            </w:pPr>
            <w:r>
              <w:t xml:space="preserve">NCES initiated; </w:t>
            </w:r>
            <w:r w:rsidR="006C4E46">
              <w:t xml:space="preserve">QC; </w:t>
            </w:r>
            <w:r w:rsidRPr="00740782">
              <w:t>IPEDS Academic Libraries Joint Task Force</w:t>
            </w:r>
          </w:p>
        </w:tc>
        <w:tc>
          <w:tcPr>
            <w:tcW w:w="622" w:type="pct"/>
            <w:tcBorders>
              <w:left w:val="nil"/>
            </w:tcBorders>
            <w:shd w:val="clear" w:color="auto" w:fill="auto"/>
          </w:tcPr>
          <w:p w14:paraId="0565C85F" w14:textId="4DFD74C1" w:rsidR="001363AE" w:rsidRDefault="0009451D" w:rsidP="00A35425">
            <w:pPr>
              <w:pStyle w:val="TableText"/>
            </w:pPr>
            <w:r>
              <w:t>Increase to AL (moved from HR)</w:t>
            </w:r>
          </w:p>
        </w:tc>
      </w:tr>
      <w:tr w:rsidR="006E082C" w14:paraId="5F00D8F1" w14:textId="77777777" w:rsidTr="00A35425">
        <w:trPr>
          <w:trHeight w:val="844"/>
        </w:trPr>
        <w:tc>
          <w:tcPr>
            <w:tcW w:w="2819" w:type="pct"/>
            <w:tcBorders>
              <w:right w:val="nil"/>
            </w:tcBorders>
            <w:shd w:val="clear" w:color="auto" w:fill="auto"/>
          </w:tcPr>
          <w:p w14:paraId="1C35A325" w14:textId="51B0B43D" w:rsidR="006E082C" w:rsidRDefault="006E082C" w:rsidP="007F00DA">
            <w:pPr>
              <w:pStyle w:val="TableText"/>
              <w:jc w:val="left"/>
            </w:pPr>
            <w:r w:rsidRPr="000A5207">
              <w:rPr>
                <w:i/>
              </w:rPr>
              <w:t>Add instruction related to inclusion of digital/electronic serials</w:t>
            </w:r>
            <w:r w:rsidR="00C56F4D">
              <w:rPr>
                <w:i/>
              </w:rPr>
              <w:t xml:space="preserve"> in library circulations</w:t>
            </w:r>
            <w:r>
              <w:rPr>
                <w:i/>
              </w:rPr>
              <w:t>:</w:t>
            </w:r>
          </w:p>
          <w:p w14:paraId="17B36C57" w14:textId="77777777" w:rsidR="006A24B2" w:rsidRDefault="006E082C" w:rsidP="007F00DA">
            <w:pPr>
              <w:pStyle w:val="TableText"/>
              <w:jc w:val="left"/>
            </w:pPr>
            <w:r>
              <w:t>An e-serial is a periodical publication issued in successive parts bearing numerical or chronological designations, is intended to be continued indefinitely, and is published in digital form to be displayed on a computer screen in any medium. This definition includes digital and digitized periodicals, newspapers, and annuals (reports, yearbooks, etc.); the journals, memoirs, proceedings, transactions, etc. of societies; and numbered monographic series. If possible,</w:t>
            </w:r>
          </w:p>
          <w:p w14:paraId="6CD123C3" w14:textId="77777777" w:rsidR="006A24B2" w:rsidRDefault="006E082C" w:rsidP="007F00DA">
            <w:pPr>
              <w:pStyle w:val="TableText"/>
              <w:jc w:val="left"/>
            </w:pPr>
            <w:r>
              <w:t>+</w:t>
            </w:r>
            <w:r>
              <w:tab/>
              <w:t>report the count of only those de-duplicated or otherwise unique e-serial titles searchable through the library’s catalog or discovery system.</w:t>
            </w:r>
          </w:p>
          <w:p w14:paraId="31512E78" w14:textId="77777777" w:rsidR="006A24B2" w:rsidRDefault="006E082C" w:rsidP="007F00DA">
            <w:pPr>
              <w:pStyle w:val="TableText"/>
              <w:jc w:val="left"/>
            </w:pPr>
            <w:r>
              <w:t>+</w:t>
            </w:r>
            <w:r>
              <w:tab/>
              <w:t>include ceased electronic serial titles.</w:t>
            </w:r>
          </w:p>
          <w:p w14:paraId="223FC6FC" w14:textId="77777777" w:rsidR="006A24B2" w:rsidRDefault="006E082C" w:rsidP="007F00DA">
            <w:pPr>
              <w:pStyle w:val="TableText"/>
              <w:jc w:val="left"/>
            </w:pPr>
            <w:r>
              <w:t>+</w:t>
            </w:r>
            <w:r>
              <w:tab/>
              <w:t>do not count earlier title changes; however, do not worry about removing them if it is not possible/feasible. A source for counting e-serials may be a library- or vendor-developed A-Z title list of e-journals.</w:t>
            </w:r>
          </w:p>
          <w:p w14:paraId="414887AD" w14:textId="3515D958" w:rsidR="006E082C" w:rsidRDefault="006E082C" w:rsidP="007F00DA">
            <w:pPr>
              <w:pStyle w:val="TableText"/>
              <w:jc w:val="left"/>
              <w:rPr>
                <w:i/>
              </w:rPr>
            </w:pPr>
            <w:r>
              <w:t>Include open access (OA) titles if the individual titles are searchable through the library’s catalog or discovery system, except do not count e-serial titles from HathiTrust Center for Research Libraries, Internet Archive, and similar collections unless the library owns the digitized item and it is accessible under current copyright law.”</w:t>
            </w:r>
          </w:p>
        </w:tc>
        <w:tc>
          <w:tcPr>
            <w:tcW w:w="898" w:type="pct"/>
            <w:tcBorders>
              <w:left w:val="nil"/>
              <w:right w:val="nil"/>
            </w:tcBorders>
            <w:shd w:val="clear" w:color="auto" w:fill="auto"/>
          </w:tcPr>
          <w:p w14:paraId="1689DF54" w14:textId="21793D2B" w:rsidR="006E082C" w:rsidRDefault="006E082C" w:rsidP="00A35425">
            <w:pPr>
              <w:pStyle w:val="TableTextCenter"/>
            </w:pPr>
            <w:r>
              <w:t>2020-21</w:t>
            </w:r>
          </w:p>
        </w:tc>
        <w:tc>
          <w:tcPr>
            <w:tcW w:w="661" w:type="pct"/>
            <w:tcBorders>
              <w:left w:val="nil"/>
              <w:right w:val="nil"/>
            </w:tcBorders>
            <w:shd w:val="clear" w:color="auto" w:fill="auto"/>
          </w:tcPr>
          <w:p w14:paraId="42494712" w14:textId="6ACB7AFB" w:rsidR="006E082C" w:rsidRDefault="006E082C" w:rsidP="00A35425">
            <w:pPr>
              <w:pStyle w:val="TableText"/>
              <w:jc w:val="left"/>
            </w:pPr>
            <w:r w:rsidRPr="00740782">
              <w:t>IPEDS Academic Libraries Joint Task Force</w:t>
            </w:r>
          </w:p>
        </w:tc>
        <w:tc>
          <w:tcPr>
            <w:tcW w:w="622" w:type="pct"/>
            <w:tcBorders>
              <w:left w:val="nil"/>
            </w:tcBorders>
            <w:shd w:val="clear" w:color="auto" w:fill="auto"/>
          </w:tcPr>
          <w:p w14:paraId="1038682A" w14:textId="1B39EDD1" w:rsidR="006E082C" w:rsidRDefault="006E082C" w:rsidP="00A35425">
            <w:pPr>
              <w:pStyle w:val="TableText"/>
            </w:pPr>
            <w:r>
              <w:t>No change</w:t>
            </w:r>
          </w:p>
        </w:tc>
      </w:tr>
      <w:tr w:rsidR="00850B34" w14:paraId="5AE2DCC3" w14:textId="77777777" w:rsidTr="00A35425">
        <w:trPr>
          <w:trHeight w:val="844"/>
        </w:trPr>
        <w:tc>
          <w:tcPr>
            <w:tcW w:w="2819" w:type="pct"/>
            <w:tcBorders>
              <w:right w:val="nil"/>
            </w:tcBorders>
            <w:shd w:val="clear" w:color="auto" w:fill="auto"/>
          </w:tcPr>
          <w:p w14:paraId="2388836D" w14:textId="77777777" w:rsidR="006A24B2" w:rsidRDefault="004D570B" w:rsidP="007F00DA">
            <w:pPr>
              <w:pStyle w:val="TableText"/>
              <w:jc w:val="left"/>
              <w:rPr>
                <w:i/>
              </w:rPr>
            </w:pPr>
            <w:r>
              <w:rPr>
                <w:i/>
              </w:rPr>
              <w:t>Change instructions for Total Digital/Electronic Circulation or Usage to:</w:t>
            </w:r>
          </w:p>
          <w:p w14:paraId="139D026A" w14:textId="419245B2" w:rsidR="004D570B" w:rsidRDefault="004D570B" w:rsidP="007F00DA">
            <w:pPr>
              <w:pStyle w:val="TableText"/>
              <w:jc w:val="left"/>
            </w:pPr>
            <w:r>
              <w:t>Report usage of digital/electronic titles whether viewed, downloaded, or streamed. Do not include institutional repository documents.</w:t>
            </w:r>
          </w:p>
          <w:p w14:paraId="019006EE" w14:textId="44E908F0" w:rsidR="004D570B" w:rsidRDefault="004D570B" w:rsidP="007F00DA">
            <w:pPr>
              <w:pStyle w:val="TableText"/>
              <w:jc w:val="left"/>
            </w:pPr>
            <w:r>
              <w:t>Include usage for e-books and e-media titles only, even if the title was purchased as part of a database. Do not include usage of titles in Demand-Driven Acquisition (DDA) or Patron-Driven Acquisition (PDA) collections until they have been purchased or leased by the library. Do not include transactions of VHS, CDs, or DVDs, as the transactions of these materials are reported under "physical circulation".</w:t>
            </w:r>
          </w:p>
          <w:p w14:paraId="0D6688A5" w14:textId="77777777" w:rsidR="004D570B" w:rsidRDefault="004D570B" w:rsidP="007F00DA">
            <w:pPr>
              <w:pStyle w:val="TableText"/>
              <w:jc w:val="left"/>
            </w:pPr>
            <w:r>
              <w:t>Many vendors will provide usage statistics in COUNTER reports. Project COUNTER Code of Practice is available here. Relevant COUNTER reports for e-books are: BR1-Number of Successful Title Requests by Month and Title; and BR2- Number of Successful Section Requests by Month and Title. For media, the report MR1-Number of Successful Multimedia Full Content Unit Requests by Month and Collection, is most relevant.</w:t>
            </w:r>
          </w:p>
          <w:p w14:paraId="3194CD8D" w14:textId="77777777" w:rsidR="004D570B" w:rsidRDefault="004D570B" w:rsidP="007F00DA">
            <w:pPr>
              <w:pStyle w:val="TableText"/>
              <w:jc w:val="left"/>
            </w:pPr>
            <w:r>
              <w:t>If COUNTER reports are available, IPEDS suggest that libraries report counts from BR1 and MR1. If BR1 and MR1 statistics are not available, BR2 and MR2 statistics can be used. In cases where vendors do not provide COUNTER reports, libraries may report using other means for monitoring digital/electronic circulation/usage (downloads, session views, transaction logs, etc.).</w:t>
            </w:r>
          </w:p>
          <w:p w14:paraId="322DAFAD" w14:textId="4BC6FB1B" w:rsidR="006A24B2" w:rsidRDefault="004D570B" w:rsidP="007F00DA">
            <w:pPr>
              <w:pStyle w:val="TableText"/>
              <w:jc w:val="left"/>
            </w:pPr>
            <w:r>
              <w:t>Report usage of e-serial titles whether viewed, downloaded, or streamed. Include usage for e-serial titles only, even if the title was purchased as part of a database.</w:t>
            </w:r>
            <w:r w:rsidR="004023D4">
              <w:t xml:space="preserve"> </w:t>
            </w:r>
            <w:r>
              <w:t>Viewing a document is defined as having the full text of a digital document or electronic resource downloaded. [NISO Z39.7-2013, section 7.7] If available, include the count for open access e-journal usage if the title is accessible through the library’s catalog or discovery system.</w:t>
            </w:r>
          </w:p>
          <w:p w14:paraId="69DE5978" w14:textId="4726AFA9" w:rsidR="004D570B" w:rsidRDefault="004D570B" w:rsidP="007F00DA">
            <w:pPr>
              <w:pStyle w:val="TableText"/>
              <w:jc w:val="left"/>
            </w:pPr>
            <w:r>
              <w:t>Libraries may need to ask vendors for e-serial usage reports; reports may not be delivered automatically or in easily-understood formats by the vendor to the library. Many vendors will provide usage statistics in COUNTER reports. When possible, record usage at the article level. The most relevant COUNTER report is JR1 (defined as the "Number of Successful Full-Text Article Requests by Month and Journal") which includes any use in JR1GOA (defined as the "Number of Successful Gold Open Access Full-Text Article Requests by Month and Journal") and JR1a reports (defined as the "Number of Successful Full-Text Article Requests from an Archive by Month and Journal").</w:t>
            </w:r>
          </w:p>
          <w:p w14:paraId="68A75E25" w14:textId="77777777" w:rsidR="006A24B2" w:rsidRDefault="004D570B" w:rsidP="007F00DA">
            <w:pPr>
              <w:pStyle w:val="TableText"/>
              <w:jc w:val="left"/>
            </w:pPr>
            <w:r>
              <w:t>Applicable COUNTER definitions:</w:t>
            </w:r>
          </w:p>
          <w:p w14:paraId="76AB2711" w14:textId="1DB94C0D" w:rsidR="004D570B" w:rsidRDefault="004D570B" w:rsidP="007F00DA">
            <w:pPr>
              <w:pStyle w:val="TableText"/>
              <w:jc w:val="left"/>
            </w:pPr>
            <w:r>
              <w:t>+ eJournal: "Serial content that is published online".</w:t>
            </w:r>
          </w:p>
          <w:p w14:paraId="0CAC7723" w14:textId="1DF3746D" w:rsidR="006A24B2" w:rsidRDefault="004D570B" w:rsidP="007F00DA">
            <w:pPr>
              <w:pStyle w:val="TableText"/>
              <w:jc w:val="left"/>
            </w:pPr>
            <w:r>
              <w:t>+</w:t>
            </w:r>
            <w:r w:rsidR="004023D4">
              <w:t xml:space="preserve"> </w:t>
            </w:r>
            <w:r>
              <w:t>Full-Text Article: "The complete text, including all references, figures and tables, of an article, plus links to any supplementary material published with it.”</w:t>
            </w:r>
          </w:p>
          <w:p w14:paraId="5C1B1F92" w14:textId="14C11547" w:rsidR="004D570B" w:rsidRDefault="004D570B" w:rsidP="007F00DA">
            <w:pPr>
              <w:pStyle w:val="TableText"/>
              <w:jc w:val="left"/>
            </w:pPr>
            <w:r>
              <w:t>+</w:t>
            </w:r>
            <w:r w:rsidR="004023D4">
              <w:t xml:space="preserve"> </w:t>
            </w:r>
            <w:r>
              <w:t>Gold Open Access: "Access, immediately upon publication and at no charge to the user (but usually supported financially by the author or the author’s funding agency), of peer-reviewed, full-text articles that have been accepted for publication in a journal."</w:t>
            </w:r>
          </w:p>
          <w:p w14:paraId="2CBDABF9" w14:textId="6FA41D8F" w:rsidR="006A24B2" w:rsidRDefault="004D570B" w:rsidP="007F00DA">
            <w:pPr>
              <w:pStyle w:val="TableText"/>
              <w:jc w:val="left"/>
            </w:pPr>
            <w:r>
              <w:t>+</w:t>
            </w:r>
            <w:r w:rsidR="004023D4">
              <w:t xml:space="preserve"> </w:t>
            </w:r>
            <w:r>
              <w:t>Archive: "Non-current collections of journals, books, articles, or other publications that are preserved because of their continuing value and which are frequently made available by publishers as separate acquisitions."</w:t>
            </w:r>
          </w:p>
          <w:p w14:paraId="6D52CC71" w14:textId="4F633A3A" w:rsidR="00850B34" w:rsidRPr="00840E93" w:rsidRDefault="004D570B" w:rsidP="007F00DA">
            <w:pPr>
              <w:pStyle w:val="TableText"/>
              <w:jc w:val="left"/>
            </w:pPr>
            <w:r>
              <w:t xml:space="preserve">In cases where vendors do not provide COUNTER reports, libraries may report using other means for monitoring digital/electronic circulation/usage (downloads, session views, transaction logs, etc.), or report zero. An electronic resource management system (ERMS) and/or a usage consolidation service may be helpful for collecting e-serial usage statistics. Do not include usage of titles in Demand-Driven Acquisition (DDA) or Patron-Driven Acquisition (PDA) collections until they have been purchased or leased by the library.” </w:t>
            </w:r>
          </w:p>
        </w:tc>
        <w:tc>
          <w:tcPr>
            <w:tcW w:w="898" w:type="pct"/>
            <w:tcBorders>
              <w:left w:val="nil"/>
              <w:right w:val="nil"/>
            </w:tcBorders>
            <w:shd w:val="clear" w:color="auto" w:fill="auto"/>
          </w:tcPr>
          <w:p w14:paraId="1C79F048" w14:textId="4E391D60" w:rsidR="00850B34" w:rsidRDefault="00850B34" w:rsidP="00A35425">
            <w:pPr>
              <w:pStyle w:val="TableTextCenter"/>
            </w:pPr>
            <w:r>
              <w:t>2020-21</w:t>
            </w:r>
          </w:p>
        </w:tc>
        <w:tc>
          <w:tcPr>
            <w:tcW w:w="661" w:type="pct"/>
            <w:tcBorders>
              <w:left w:val="nil"/>
              <w:right w:val="nil"/>
            </w:tcBorders>
            <w:shd w:val="clear" w:color="auto" w:fill="auto"/>
          </w:tcPr>
          <w:p w14:paraId="0D03BCEC" w14:textId="14B64AF6" w:rsidR="00850B34" w:rsidRDefault="00850B34" w:rsidP="00A35425">
            <w:pPr>
              <w:pStyle w:val="TableText"/>
              <w:jc w:val="left"/>
            </w:pPr>
            <w:r w:rsidRPr="00740782">
              <w:t>IPEDS Academic Libraries Joint Task Force</w:t>
            </w:r>
          </w:p>
        </w:tc>
        <w:tc>
          <w:tcPr>
            <w:tcW w:w="622" w:type="pct"/>
            <w:tcBorders>
              <w:left w:val="nil"/>
            </w:tcBorders>
            <w:shd w:val="clear" w:color="auto" w:fill="auto"/>
          </w:tcPr>
          <w:p w14:paraId="63735724" w14:textId="30668A12" w:rsidR="00850B34" w:rsidRDefault="00850B34" w:rsidP="00A35425">
            <w:pPr>
              <w:pStyle w:val="TableText"/>
            </w:pPr>
            <w:r>
              <w:t>No change</w:t>
            </w:r>
          </w:p>
        </w:tc>
      </w:tr>
      <w:tr w:rsidR="00850B34" w14:paraId="280F8D49" w14:textId="77777777" w:rsidTr="00A35425">
        <w:trPr>
          <w:trHeight w:val="844"/>
        </w:trPr>
        <w:tc>
          <w:tcPr>
            <w:tcW w:w="2819" w:type="pct"/>
            <w:tcBorders>
              <w:right w:val="nil"/>
            </w:tcBorders>
            <w:shd w:val="clear" w:color="auto" w:fill="auto"/>
          </w:tcPr>
          <w:p w14:paraId="77ABEF6D" w14:textId="15FDA378" w:rsidR="00850B34" w:rsidRDefault="00850B34" w:rsidP="007E21A0">
            <w:pPr>
              <w:pStyle w:val="TableText"/>
              <w:jc w:val="left"/>
            </w:pPr>
            <w:r>
              <w:t xml:space="preserve">Update </w:t>
            </w:r>
            <w:r w:rsidR="009E06A2" w:rsidRPr="009E06A2">
              <w:t>Reporting Digital/Electronic Collections</w:t>
            </w:r>
            <w:r w:rsidR="009E06A2">
              <w:t xml:space="preserve"> </w:t>
            </w:r>
            <w:r>
              <w:t>FAQ 9 to:</w:t>
            </w:r>
          </w:p>
          <w:p w14:paraId="5C65284B" w14:textId="412116E1" w:rsidR="00850B34" w:rsidRDefault="00850B34" w:rsidP="007E21A0">
            <w:pPr>
              <w:pStyle w:val="TableText"/>
              <w:jc w:val="left"/>
            </w:pPr>
            <w:r>
              <w:t>9) What is a digital/electronic serial and how do I report digital/electronic serials in collection and circulation?</w:t>
            </w:r>
          </w:p>
          <w:p w14:paraId="27ACE8D7" w14:textId="77777777" w:rsidR="006A24B2" w:rsidRDefault="00850B34" w:rsidP="007E21A0">
            <w:pPr>
              <w:pStyle w:val="TableText"/>
              <w:jc w:val="left"/>
            </w:pPr>
            <w:r>
              <w:t>An e-serial is a periodical publication issued in successive parts bearing numerical or chronological designations, is intended to be continued indefinitely, and is published in digital form to be displayed on a computer screen in any medium. This definition includes digital and digitized periodicals, newspapers, and annuals (reports, yearbooks, etc.); the journals, memoirs, proceedings, transactions, etc. of societies; and numbered monographic series. If possible,</w:t>
            </w:r>
          </w:p>
          <w:p w14:paraId="0F2C4118" w14:textId="5F1764ED" w:rsidR="006A24B2" w:rsidRDefault="00605AB2" w:rsidP="007E21A0">
            <w:pPr>
              <w:pStyle w:val="TableText"/>
              <w:jc w:val="left"/>
            </w:pPr>
            <w:r>
              <w:t xml:space="preserve"> </w:t>
            </w:r>
            <w:r w:rsidR="009E06A2">
              <w:t xml:space="preserve"> </w:t>
            </w:r>
            <w:r w:rsidR="00850B34">
              <w:t>+</w:t>
            </w:r>
            <w:r w:rsidR="009E06A2">
              <w:t xml:space="preserve"> </w:t>
            </w:r>
            <w:r w:rsidR="00850B34">
              <w:t>report the count of only those de-duplicated or otherwise unique e-serial titles searchable through the library’s catalog or discovery system.</w:t>
            </w:r>
          </w:p>
          <w:p w14:paraId="6E2C8A0B" w14:textId="33E7742E" w:rsidR="006A24B2" w:rsidRDefault="00605AB2" w:rsidP="007E21A0">
            <w:pPr>
              <w:pStyle w:val="TableText"/>
              <w:jc w:val="left"/>
            </w:pPr>
            <w:r>
              <w:t xml:space="preserve"> </w:t>
            </w:r>
            <w:r w:rsidR="009E06A2">
              <w:t xml:space="preserve"> </w:t>
            </w:r>
            <w:r w:rsidR="00850B34">
              <w:t>+</w:t>
            </w:r>
            <w:r w:rsidR="009E06A2">
              <w:t xml:space="preserve"> </w:t>
            </w:r>
            <w:r w:rsidR="00850B34">
              <w:t>include ceased electronic serial titles.</w:t>
            </w:r>
          </w:p>
          <w:p w14:paraId="2D72C72C" w14:textId="0A8747ED" w:rsidR="006A24B2" w:rsidRDefault="00605AB2" w:rsidP="007E21A0">
            <w:pPr>
              <w:pStyle w:val="TableText"/>
              <w:jc w:val="left"/>
            </w:pPr>
            <w:r>
              <w:t xml:space="preserve"> </w:t>
            </w:r>
            <w:r w:rsidR="009E06A2">
              <w:t xml:space="preserve"> + </w:t>
            </w:r>
            <w:r w:rsidR="00850B34">
              <w:t>do not count earlier title changes; however, do not worry about removing them if it is not possible/feasible. A source for counting e-serials may be a library- or vendor-developed A-Z title list of e-journals.</w:t>
            </w:r>
          </w:p>
          <w:p w14:paraId="7B380742" w14:textId="03C16600" w:rsidR="00850B34" w:rsidRDefault="00850B34" w:rsidP="007E21A0">
            <w:pPr>
              <w:pStyle w:val="TableText"/>
              <w:jc w:val="left"/>
            </w:pPr>
            <w:r>
              <w:t>Include open access (OA) titles if the individual titles are searchable through the library’s catalog or discovery system, except do not count e-serial titles from HathiTrust Center for Research Libraries, Internet Archive, and similar collections unless the library owns the digitized item and it is accessible under current copyright law.”</w:t>
            </w:r>
          </w:p>
          <w:p w14:paraId="21491D88" w14:textId="045E4513" w:rsidR="006A24B2" w:rsidRDefault="009E06A2" w:rsidP="007E21A0">
            <w:pPr>
              <w:pStyle w:val="TableText"/>
              <w:jc w:val="left"/>
            </w:pPr>
            <w:r>
              <w:t>Report usage of e-serial titles whether viewed, downloaded, or streamed. Include usage for e-serial titles only, even if the title was purchased as part of a database.</w:t>
            </w:r>
            <w:r w:rsidR="00605AB2">
              <w:t xml:space="preserve"> </w:t>
            </w:r>
            <w:r>
              <w:t>Viewing a document is defined as having the full text of a digital document or electronic resource downloaded. [NISO Z39.7-2013, section 7.7] If available, include the count for open access e-journal usage if the title is accessible through the library’s catalog or discovery system.</w:t>
            </w:r>
          </w:p>
          <w:p w14:paraId="068F87B3" w14:textId="1137B5E0" w:rsidR="009E06A2" w:rsidRDefault="009E06A2" w:rsidP="007E21A0">
            <w:pPr>
              <w:pStyle w:val="TableText"/>
              <w:jc w:val="left"/>
            </w:pPr>
            <w:r>
              <w:t>Libraries may need to ask vendors for e-serial usage reports; reports may not be delivered automatically or in easily-understood formats by the vendor to the library. Many vendors will provide usage statistics in COUNTER reports. When possible, record usage at the article level. The most relevant COUNTER report is JR1 (defined as the "Number of Successful Full-Text Article Requests by Month and Journal") which includes any use in JR1GOA (defined as the "Number of Successful Gold Open Access Full-Text Article Requests by Month and Journal") and JR1a reports (defined as the "Number of Successful Full-Text Article Requests from an Archive by Month and Journal").</w:t>
            </w:r>
          </w:p>
          <w:p w14:paraId="200CCC7D" w14:textId="77777777" w:rsidR="006A24B2" w:rsidRDefault="009E06A2" w:rsidP="007E21A0">
            <w:pPr>
              <w:pStyle w:val="TableText"/>
              <w:jc w:val="left"/>
            </w:pPr>
            <w:r>
              <w:t>Applicable COUNTER definitions:</w:t>
            </w:r>
          </w:p>
          <w:p w14:paraId="7BF9D056" w14:textId="42F955FA" w:rsidR="009E06A2" w:rsidRDefault="00605AB2" w:rsidP="007E21A0">
            <w:pPr>
              <w:pStyle w:val="TableText"/>
              <w:jc w:val="left"/>
            </w:pPr>
            <w:r>
              <w:t xml:space="preserve"> </w:t>
            </w:r>
            <w:r w:rsidR="009E06A2">
              <w:t xml:space="preserve"> + eJournal: "Serial content that is published online".</w:t>
            </w:r>
          </w:p>
          <w:p w14:paraId="7516A446" w14:textId="07C6B51A" w:rsidR="006A24B2" w:rsidRDefault="00605AB2" w:rsidP="007E21A0">
            <w:pPr>
              <w:pStyle w:val="TableText"/>
              <w:jc w:val="left"/>
            </w:pPr>
            <w:r>
              <w:t xml:space="preserve"> </w:t>
            </w:r>
            <w:r w:rsidR="009E06A2">
              <w:t xml:space="preserve"> +</w:t>
            </w:r>
            <w:r>
              <w:t xml:space="preserve"> </w:t>
            </w:r>
            <w:r w:rsidR="009E06A2">
              <w:t>Full-Text Article: "The complete text, including all references, figures and tables, of an article, plus links to any supplementary material published with it.”</w:t>
            </w:r>
          </w:p>
          <w:p w14:paraId="425E7D67" w14:textId="3EF1157A" w:rsidR="009E06A2" w:rsidRDefault="00605AB2" w:rsidP="007E21A0">
            <w:pPr>
              <w:pStyle w:val="TableText"/>
              <w:jc w:val="left"/>
            </w:pPr>
            <w:r>
              <w:t xml:space="preserve"> </w:t>
            </w:r>
            <w:r w:rsidR="009E06A2">
              <w:t xml:space="preserve"> +</w:t>
            </w:r>
            <w:r>
              <w:t xml:space="preserve"> </w:t>
            </w:r>
            <w:r w:rsidR="009E06A2">
              <w:t>Gold Open Access: "Access, immediately upon publication and at no charge to the user (but usually supported financially by the author or the author’s funding agency), of peer-reviewed, full-text articles that have been accepted for publication in a journal."</w:t>
            </w:r>
          </w:p>
          <w:p w14:paraId="7094EB57" w14:textId="28300272" w:rsidR="006A24B2" w:rsidRDefault="00605AB2" w:rsidP="007E21A0">
            <w:pPr>
              <w:pStyle w:val="TableText"/>
              <w:jc w:val="left"/>
            </w:pPr>
            <w:r>
              <w:t xml:space="preserve"> </w:t>
            </w:r>
            <w:r w:rsidR="009E06A2">
              <w:t xml:space="preserve"> +</w:t>
            </w:r>
            <w:r>
              <w:t xml:space="preserve"> </w:t>
            </w:r>
            <w:r w:rsidR="009E06A2">
              <w:t>Archive: "Non-current collections of journals, books, articles, or other publications that are preserved because of their continuing value and which are frequently made available by publishers as separate acquisitions."</w:t>
            </w:r>
          </w:p>
          <w:p w14:paraId="744BF35E" w14:textId="00A90E44" w:rsidR="009E06A2" w:rsidRDefault="009E06A2" w:rsidP="007E21A0">
            <w:pPr>
              <w:pStyle w:val="TableText"/>
              <w:jc w:val="left"/>
            </w:pPr>
            <w:r>
              <w:t>In cases where vendors do not provide COUNTER reports, libraries may report using other means for monitoring digital/electronic circulation/usage (downloads, session views, transaction logs, etc.), or report zero. An electronic resource management system (ERMS) and/or a usage consolidation service may be helpful for collecting e-serial usage statistics.</w:t>
            </w:r>
          </w:p>
          <w:p w14:paraId="7B2FEBF7" w14:textId="2483C261" w:rsidR="009E06A2" w:rsidRDefault="009E06A2" w:rsidP="009E06A2">
            <w:pPr>
              <w:pStyle w:val="TableText"/>
              <w:jc w:val="left"/>
            </w:pPr>
            <w:r>
              <w:t>Do not include usage of titles in Demand-Driven Acquisition (DDA) or Patron-Driven Acquisition (PDA) collections until they have been purchased or leased by the library.”</w:t>
            </w:r>
          </w:p>
        </w:tc>
        <w:tc>
          <w:tcPr>
            <w:tcW w:w="898" w:type="pct"/>
            <w:tcBorders>
              <w:left w:val="nil"/>
              <w:right w:val="nil"/>
            </w:tcBorders>
            <w:shd w:val="clear" w:color="auto" w:fill="auto"/>
          </w:tcPr>
          <w:p w14:paraId="787C6F38" w14:textId="4793ECBA" w:rsidR="00850B34" w:rsidRDefault="009E06A2" w:rsidP="00A35425">
            <w:pPr>
              <w:pStyle w:val="TableTextCenter"/>
            </w:pPr>
            <w:r>
              <w:t>2020-21</w:t>
            </w:r>
          </w:p>
        </w:tc>
        <w:tc>
          <w:tcPr>
            <w:tcW w:w="661" w:type="pct"/>
            <w:tcBorders>
              <w:left w:val="nil"/>
              <w:right w:val="nil"/>
            </w:tcBorders>
            <w:shd w:val="clear" w:color="auto" w:fill="auto"/>
          </w:tcPr>
          <w:p w14:paraId="58C3A75C" w14:textId="317481D8" w:rsidR="00850B34" w:rsidRPr="00740782" w:rsidRDefault="009E06A2" w:rsidP="00A35425">
            <w:pPr>
              <w:pStyle w:val="TableText"/>
              <w:jc w:val="left"/>
            </w:pPr>
            <w:r w:rsidRPr="00740782">
              <w:t>IPEDS Academic Libraries Joint Task Force</w:t>
            </w:r>
          </w:p>
        </w:tc>
        <w:tc>
          <w:tcPr>
            <w:tcW w:w="622" w:type="pct"/>
            <w:tcBorders>
              <w:left w:val="nil"/>
            </w:tcBorders>
            <w:shd w:val="clear" w:color="auto" w:fill="auto"/>
          </w:tcPr>
          <w:p w14:paraId="64F8638A" w14:textId="5DA5F6E3" w:rsidR="00850B34" w:rsidRDefault="009E06A2" w:rsidP="00A35425">
            <w:pPr>
              <w:pStyle w:val="TableText"/>
            </w:pPr>
            <w:r>
              <w:t>No change</w:t>
            </w:r>
          </w:p>
        </w:tc>
      </w:tr>
      <w:tr w:rsidR="009E06A2" w14:paraId="59B98F26" w14:textId="77777777" w:rsidTr="00A35425">
        <w:trPr>
          <w:trHeight w:val="844"/>
        </w:trPr>
        <w:tc>
          <w:tcPr>
            <w:tcW w:w="2819" w:type="pct"/>
            <w:tcBorders>
              <w:right w:val="nil"/>
            </w:tcBorders>
            <w:shd w:val="clear" w:color="auto" w:fill="auto"/>
          </w:tcPr>
          <w:p w14:paraId="65B3DAC5" w14:textId="3FDCA962" w:rsidR="009E06A2" w:rsidRDefault="009E06A2" w:rsidP="007E21A0">
            <w:pPr>
              <w:pStyle w:val="TableText"/>
              <w:jc w:val="left"/>
            </w:pPr>
            <w:r>
              <w:t xml:space="preserve">Add to </w:t>
            </w:r>
            <w:r w:rsidRPr="009E06A2">
              <w:t>Reporting Digital/Electronic Circulation</w:t>
            </w:r>
            <w:r>
              <w:t xml:space="preserve"> FAQ 4:</w:t>
            </w:r>
          </w:p>
          <w:p w14:paraId="62E06875" w14:textId="77777777" w:rsidR="009E06A2" w:rsidRDefault="009E06A2" w:rsidP="007E21A0">
            <w:pPr>
              <w:pStyle w:val="TableText"/>
              <w:jc w:val="left"/>
            </w:pPr>
            <w:r>
              <w:t>Libraries may need to ask vendors for e-serial usage reports; reports may not be delivered automatically or in easily-understood formats by the vendor to the library. Many vendors will provide usage statistics in COUNTER reports. When possible, record usage at the article level. The most relevant COUNTER report is JR1 (defined as the "Number of Successful Full-Text Article Requests by Month and Journal") which includes any use in JR1GOA (defined as the "Number of Successful Gold Open Access Full-Text Article Requests by Month and Journal") and JR1a reports (defined as the "Number of Successful Full-Text Article Requests from an Archive by Month and Journal").</w:t>
            </w:r>
          </w:p>
          <w:p w14:paraId="7B5D162D" w14:textId="77777777" w:rsidR="006A24B2" w:rsidRDefault="009E06A2" w:rsidP="006A24B2">
            <w:pPr>
              <w:pStyle w:val="TableText"/>
              <w:jc w:val="left"/>
            </w:pPr>
            <w:r>
              <w:t>Applicable COUNTER definitions:</w:t>
            </w:r>
          </w:p>
          <w:p w14:paraId="102C8190" w14:textId="622C04D6" w:rsidR="009E06A2" w:rsidRDefault="00605AB2" w:rsidP="006A24B2">
            <w:pPr>
              <w:pStyle w:val="TableText"/>
              <w:jc w:val="left"/>
            </w:pPr>
            <w:r>
              <w:t xml:space="preserve"> </w:t>
            </w:r>
            <w:r w:rsidR="009E06A2">
              <w:t xml:space="preserve"> + eJournal: "Serial content that is published online".</w:t>
            </w:r>
          </w:p>
          <w:p w14:paraId="167322D8" w14:textId="391837EB" w:rsidR="009E06A2" w:rsidRDefault="00605AB2" w:rsidP="006A24B2">
            <w:pPr>
              <w:pStyle w:val="TableText"/>
              <w:jc w:val="left"/>
            </w:pPr>
            <w:r>
              <w:t xml:space="preserve"> </w:t>
            </w:r>
            <w:r w:rsidR="009E06A2">
              <w:t xml:space="preserve"> +</w:t>
            </w:r>
            <w:r>
              <w:t xml:space="preserve"> </w:t>
            </w:r>
            <w:r w:rsidR="009E06A2">
              <w:t>Full-Text Article: "The complete text, including all references, figures and tables, of an article, plus links to any supplementa</w:t>
            </w:r>
            <w:r w:rsidR="006A24B2">
              <w:t>ry material published with it.”</w:t>
            </w:r>
          </w:p>
          <w:p w14:paraId="5A0C6E6A" w14:textId="5822EE28" w:rsidR="009E06A2" w:rsidRDefault="00605AB2" w:rsidP="006A24B2">
            <w:pPr>
              <w:pStyle w:val="TableText"/>
              <w:jc w:val="left"/>
            </w:pPr>
            <w:r>
              <w:t xml:space="preserve"> </w:t>
            </w:r>
            <w:r w:rsidR="009E06A2">
              <w:t xml:space="preserve"> +</w:t>
            </w:r>
            <w:r>
              <w:t xml:space="preserve"> </w:t>
            </w:r>
            <w:r w:rsidR="009E06A2">
              <w:t>Gold Open Access: "Access, immediately upon publication and at no charge to the user (but usually supported financially by the author or the author’s funding agency), of peer-reviewed, full-text articles that have been accepted for publication in a journal."</w:t>
            </w:r>
          </w:p>
          <w:p w14:paraId="38CD5E0A" w14:textId="4BC4A895" w:rsidR="006A24B2" w:rsidRDefault="00605AB2" w:rsidP="006A24B2">
            <w:pPr>
              <w:pStyle w:val="TableText"/>
              <w:jc w:val="left"/>
            </w:pPr>
            <w:r>
              <w:t xml:space="preserve"> </w:t>
            </w:r>
            <w:r w:rsidR="009E06A2">
              <w:t xml:space="preserve"> +</w:t>
            </w:r>
            <w:r>
              <w:t xml:space="preserve"> </w:t>
            </w:r>
            <w:r w:rsidR="009E06A2">
              <w:t>Archive: "Non-current collections of journals, books, articles, or other publications that are preserved because of their continuing value and which are frequently made available by publishers as separate acquisitions."</w:t>
            </w:r>
          </w:p>
          <w:p w14:paraId="5072EFF4" w14:textId="085B7CBF" w:rsidR="009E06A2" w:rsidRDefault="009E06A2" w:rsidP="006A24B2">
            <w:pPr>
              <w:pStyle w:val="TableText"/>
              <w:jc w:val="left"/>
            </w:pPr>
            <w:r>
              <w:t>In cases where vendors do not provide COUNTER reports, libraries may report using other means for monitoring digital/electronic circulation/usage (downloads, session views, transaction logs, etc.), or report zero. An electronic resource management system (ERMS) and/or a usage consolidation service may be helpful for collecting e-serial usage statistics.</w:t>
            </w:r>
          </w:p>
        </w:tc>
        <w:tc>
          <w:tcPr>
            <w:tcW w:w="898" w:type="pct"/>
            <w:tcBorders>
              <w:left w:val="nil"/>
              <w:right w:val="nil"/>
            </w:tcBorders>
            <w:shd w:val="clear" w:color="auto" w:fill="auto"/>
          </w:tcPr>
          <w:p w14:paraId="646C4C50" w14:textId="040A76F4" w:rsidR="009E06A2" w:rsidRDefault="009E06A2" w:rsidP="00A35425">
            <w:pPr>
              <w:pStyle w:val="TableTextCenter"/>
            </w:pPr>
            <w:r>
              <w:t>2020-21</w:t>
            </w:r>
          </w:p>
        </w:tc>
        <w:tc>
          <w:tcPr>
            <w:tcW w:w="661" w:type="pct"/>
            <w:tcBorders>
              <w:left w:val="nil"/>
              <w:right w:val="nil"/>
            </w:tcBorders>
            <w:shd w:val="clear" w:color="auto" w:fill="auto"/>
          </w:tcPr>
          <w:p w14:paraId="29B88FC0" w14:textId="3980C04C" w:rsidR="009E06A2" w:rsidRPr="00740782" w:rsidRDefault="009E06A2" w:rsidP="00A35425">
            <w:pPr>
              <w:pStyle w:val="TableText"/>
              <w:jc w:val="left"/>
            </w:pPr>
            <w:r w:rsidRPr="00740782">
              <w:t>IPEDS Academic Libraries Joint Task Force</w:t>
            </w:r>
          </w:p>
        </w:tc>
        <w:tc>
          <w:tcPr>
            <w:tcW w:w="622" w:type="pct"/>
            <w:tcBorders>
              <w:left w:val="nil"/>
            </w:tcBorders>
            <w:shd w:val="clear" w:color="auto" w:fill="auto"/>
          </w:tcPr>
          <w:p w14:paraId="286F87CD" w14:textId="1B5DFECD" w:rsidR="009E06A2" w:rsidRDefault="009E06A2" w:rsidP="00A35425">
            <w:pPr>
              <w:pStyle w:val="TableText"/>
            </w:pPr>
            <w:r>
              <w:t>No change</w:t>
            </w:r>
          </w:p>
        </w:tc>
      </w:tr>
      <w:bookmarkEnd w:id="6"/>
    </w:tbl>
    <w:p w14:paraId="43FED082" w14:textId="2191D1F6" w:rsidR="001363AE" w:rsidRDefault="001363AE" w:rsidP="00BF26F2">
      <w:pPr>
        <w:pStyle w:val="TableBullet"/>
        <w:numPr>
          <w:ilvl w:val="0"/>
          <w:numId w:val="0"/>
        </w:numPr>
        <w:rPr>
          <w:b/>
          <w:sz w:val="22"/>
          <w:szCs w:val="22"/>
        </w:rPr>
      </w:pPr>
    </w:p>
    <w:p w14:paraId="56655C93" w14:textId="0BCDC53F" w:rsidR="006A24B2" w:rsidRDefault="00EB393D" w:rsidP="00707E9F">
      <w:pPr>
        <w:pStyle w:val="TableBullet"/>
        <w:numPr>
          <w:ilvl w:val="0"/>
          <w:numId w:val="0"/>
        </w:numPr>
        <w:spacing w:before="240" w:after="160" w:line="259" w:lineRule="auto"/>
        <w:rPr>
          <w:sz w:val="22"/>
          <w:szCs w:val="22"/>
        </w:rPr>
      </w:pPr>
      <w:r w:rsidRPr="00297641">
        <w:rPr>
          <w:b/>
          <w:sz w:val="22"/>
          <w:szCs w:val="22"/>
        </w:rPr>
        <w:t>Finance</w:t>
      </w:r>
      <w:r w:rsidR="00856121" w:rsidRPr="00297641">
        <w:rPr>
          <w:b/>
          <w:sz w:val="22"/>
          <w:szCs w:val="22"/>
        </w:rPr>
        <w:t xml:space="preserve"> (F)</w:t>
      </w:r>
      <w:r w:rsidRPr="00297641">
        <w:rPr>
          <w:b/>
          <w:sz w:val="22"/>
          <w:szCs w:val="22"/>
        </w:rPr>
        <w:t>.</w:t>
      </w:r>
      <w:r w:rsidR="00605AB2">
        <w:rPr>
          <w:b/>
          <w:sz w:val="22"/>
          <w:szCs w:val="22"/>
        </w:rPr>
        <w:t xml:space="preserve"> </w:t>
      </w:r>
      <w:r w:rsidR="00297641" w:rsidRPr="00297641">
        <w:rPr>
          <w:sz w:val="22"/>
          <w:szCs w:val="22"/>
        </w:rPr>
        <w:t>IPEDS finance data are heavily grounded in the accounting-based conventions that</w:t>
      </w:r>
      <w:r w:rsidR="00297641">
        <w:rPr>
          <w:sz w:val="22"/>
          <w:szCs w:val="22"/>
        </w:rPr>
        <w:t xml:space="preserve"> </w:t>
      </w:r>
      <w:r w:rsidR="00297641" w:rsidRPr="00297641">
        <w:rPr>
          <w:sz w:val="22"/>
          <w:szCs w:val="22"/>
        </w:rPr>
        <w:t xml:space="preserve">govern how and what data are collected. </w:t>
      </w:r>
      <w:r w:rsidR="00297641">
        <w:rPr>
          <w:sz w:val="22"/>
          <w:szCs w:val="22"/>
        </w:rPr>
        <w:t xml:space="preserve">Therefore, the first two changes to the F </w:t>
      </w:r>
      <w:r w:rsidR="00CB0F7B" w:rsidRPr="00297641">
        <w:rPr>
          <w:sz w:val="22"/>
          <w:szCs w:val="22"/>
        </w:rPr>
        <w:t xml:space="preserve">component </w:t>
      </w:r>
      <w:r w:rsidR="00547715" w:rsidRPr="00297641">
        <w:rPr>
          <w:sz w:val="22"/>
          <w:szCs w:val="22"/>
        </w:rPr>
        <w:t xml:space="preserve">are based </w:t>
      </w:r>
      <w:r w:rsidR="005B3CB3">
        <w:rPr>
          <w:sz w:val="22"/>
          <w:szCs w:val="22"/>
        </w:rPr>
        <w:t xml:space="preserve">on </w:t>
      </w:r>
      <w:r w:rsidR="00CB0F7B" w:rsidRPr="00297641">
        <w:rPr>
          <w:sz w:val="22"/>
          <w:szCs w:val="22"/>
        </w:rPr>
        <w:t>changes to GASB Statements 74/75</w:t>
      </w:r>
      <w:r w:rsidR="00297641">
        <w:rPr>
          <w:sz w:val="22"/>
          <w:szCs w:val="22"/>
        </w:rPr>
        <w:t>.</w:t>
      </w:r>
      <w:r w:rsidR="007F55CF" w:rsidRPr="00297641">
        <w:rPr>
          <w:sz w:val="22"/>
          <w:szCs w:val="22"/>
        </w:rPr>
        <w:t>The</w:t>
      </w:r>
      <w:r w:rsidR="00297641">
        <w:rPr>
          <w:sz w:val="22"/>
          <w:szCs w:val="22"/>
        </w:rPr>
        <w:t>se</w:t>
      </w:r>
      <w:r w:rsidR="007F55CF" w:rsidRPr="00297641">
        <w:rPr>
          <w:sz w:val="22"/>
          <w:szCs w:val="22"/>
        </w:rPr>
        <w:t xml:space="preserve"> </w:t>
      </w:r>
      <w:r w:rsidR="00297641">
        <w:rPr>
          <w:sz w:val="22"/>
          <w:szCs w:val="22"/>
        </w:rPr>
        <w:t>modifications that are</w:t>
      </w:r>
      <w:r w:rsidR="007F55CF" w:rsidRPr="00297641">
        <w:rPr>
          <w:sz w:val="22"/>
          <w:szCs w:val="22"/>
        </w:rPr>
        <w:t xml:space="preserve"> based on changes to the GASB forms will only impact the public institutions that use that form and will ensure that the IPEDS Finance </w:t>
      </w:r>
      <w:r w:rsidR="002048EE" w:rsidRPr="00297641">
        <w:rPr>
          <w:sz w:val="22"/>
          <w:szCs w:val="22"/>
        </w:rPr>
        <w:t>components</w:t>
      </w:r>
      <w:r w:rsidR="007F55CF" w:rsidRPr="00297641">
        <w:rPr>
          <w:sz w:val="22"/>
          <w:szCs w:val="22"/>
        </w:rPr>
        <w:t xml:space="preserve"> continue to align with what is reported </w:t>
      </w:r>
      <w:r w:rsidR="002048EE" w:rsidRPr="00297641">
        <w:rPr>
          <w:sz w:val="22"/>
          <w:szCs w:val="22"/>
        </w:rPr>
        <w:t>for GASB. These changes will have a minimal impact on burden for those institutions.</w:t>
      </w:r>
    </w:p>
    <w:p w14:paraId="724D1955" w14:textId="3D7D9968" w:rsidR="006A24B2" w:rsidRDefault="00833A89" w:rsidP="00707E9F">
      <w:pPr>
        <w:pStyle w:val="TableBullet"/>
        <w:numPr>
          <w:ilvl w:val="0"/>
          <w:numId w:val="0"/>
        </w:numPr>
        <w:spacing w:after="160" w:line="259" w:lineRule="auto"/>
        <w:rPr>
          <w:sz w:val="22"/>
          <w:szCs w:val="22"/>
        </w:rPr>
      </w:pPr>
      <w:r w:rsidRPr="00E70B24">
        <w:rPr>
          <w:sz w:val="22"/>
          <w:szCs w:val="22"/>
        </w:rPr>
        <w:t xml:space="preserve">The TRP on IPEDS Financial Metrics </w:t>
      </w:r>
      <w:r w:rsidR="00E70B24" w:rsidRPr="00E70B24">
        <w:rPr>
          <w:sz w:val="22"/>
          <w:szCs w:val="22"/>
        </w:rPr>
        <w:t xml:space="preserve">also </w:t>
      </w:r>
      <w:r w:rsidR="00197C13">
        <w:rPr>
          <w:sz w:val="22"/>
          <w:szCs w:val="22"/>
        </w:rPr>
        <w:t xml:space="preserve">resulted in </w:t>
      </w:r>
      <w:r w:rsidR="00E70B24" w:rsidRPr="00E70B24">
        <w:rPr>
          <w:sz w:val="22"/>
          <w:szCs w:val="22"/>
        </w:rPr>
        <w:t xml:space="preserve">four changes to be made to the Finance </w:t>
      </w:r>
      <w:r w:rsidR="00197C13">
        <w:rPr>
          <w:sz w:val="22"/>
          <w:szCs w:val="22"/>
        </w:rPr>
        <w:t>component</w:t>
      </w:r>
      <w:r w:rsidR="00E70B24" w:rsidRPr="00E70B24">
        <w:rPr>
          <w:sz w:val="22"/>
          <w:szCs w:val="22"/>
        </w:rPr>
        <w:t xml:space="preserve">. </w:t>
      </w:r>
      <w:r w:rsidR="00197C13">
        <w:rPr>
          <w:sz w:val="22"/>
          <w:szCs w:val="22"/>
        </w:rPr>
        <w:t xml:space="preserve">The </w:t>
      </w:r>
      <w:r w:rsidR="00197C13" w:rsidRPr="00B71933">
        <w:rPr>
          <w:sz w:val="22"/>
          <w:szCs w:val="22"/>
        </w:rPr>
        <w:t xml:space="preserve">specific purpose </w:t>
      </w:r>
      <w:r w:rsidR="00197C13">
        <w:rPr>
          <w:sz w:val="22"/>
          <w:szCs w:val="22"/>
        </w:rPr>
        <w:t xml:space="preserve">of the TRP, which </w:t>
      </w:r>
      <w:r w:rsidR="005B3CB3">
        <w:rPr>
          <w:sz w:val="22"/>
          <w:szCs w:val="22"/>
        </w:rPr>
        <w:t xml:space="preserve">was </w:t>
      </w:r>
      <w:r w:rsidR="00197C13">
        <w:rPr>
          <w:sz w:val="22"/>
          <w:szCs w:val="22"/>
        </w:rPr>
        <w:t xml:space="preserve">held in October 2018, </w:t>
      </w:r>
      <w:r w:rsidR="00B71933" w:rsidRPr="00B71933">
        <w:rPr>
          <w:sz w:val="22"/>
          <w:szCs w:val="22"/>
        </w:rPr>
        <w:t>was to discuss opportunities to improve the utility of IPEDS data</w:t>
      </w:r>
      <w:r w:rsidR="00197C13">
        <w:rPr>
          <w:sz w:val="22"/>
          <w:szCs w:val="22"/>
        </w:rPr>
        <w:t xml:space="preserve"> </w:t>
      </w:r>
      <w:r w:rsidR="00B71933" w:rsidRPr="00B71933">
        <w:rPr>
          <w:sz w:val="22"/>
          <w:szCs w:val="22"/>
        </w:rPr>
        <w:t xml:space="preserve">by collecting new finance </w:t>
      </w:r>
      <w:r w:rsidR="00B90EBD">
        <w:rPr>
          <w:sz w:val="22"/>
          <w:szCs w:val="22"/>
        </w:rPr>
        <w:t>data</w:t>
      </w:r>
      <w:r w:rsidR="00B71933" w:rsidRPr="00B71933">
        <w:rPr>
          <w:sz w:val="22"/>
          <w:szCs w:val="22"/>
        </w:rPr>
        <w:t xml:space="preserve"> that the postsecondary community and IPEDS</w:t>
      </w:r>
      <w:r w:rsidR="00711009">
        <w:rPr>
          <w:sz w:val="22"/>
          <w:szCs w:val="22"/>
        </w:rPr>
        <w:t xml:space="preserve"> </w:t>
      </w:r>
      <w:r w:rsidR="00B71933" w:rsidRPr="00B71933">
        <w:rPr>
          <w:sz w:val="22"/>
          <w:szCs w:val="22"/>
        </w:rPr>
        <w:t>stakeholders consider important, while also maintaining the quality (reliability and validity) of the</w:t>
      </w:r>
      <w:r w:rsidR="00711009">
        <w:rPr>
          <w:sz w:val="22"/>
          <w:szCs w:val="22"/>
        </w:rPr>
        <w:t xml:space="preserve"> </w:t>
      </w:r>
      <w:r w:rsidR="00B71933" w:rsidRPr="00B71933">
        <w:rPr>
          <w:sz w:val="22"/>
          <w:szCs w:val="22"/>
        </w:rPr>
        <w:t>data and balancing burden for data reporters</w:t>
      </w:r>
      <w:r w:rsidR="00A07587">
        <w:rPr>
          <w:sz w:val="22"/>
          <w:szCs w:val="22"/>
        </w:rPr>
        <w:t>.</w:t>
      </w:r>
    </w:p>
    <w:p w14:paraId="13282767" w14:textId="77777777" w:rsidR="006A24B2" w:rsidRDefault="00B90EBD" w:rsidP="00707E9F">
      <w:pPr>
        <w:pStyle w:val="TableBullet"/>
        <w:numPr>
          <w:ilvl w:val="0"/>
          <w:numId w:val="0"/>
        </w:numPr>
        <w:spacing w:after="160" w:line="259" w:lineRule="auto"/>
        <w:rPr>
          <w:sz w:val="22"/>
          <w:szCs w:val="22"/>
        </w:rPr>
      </w:pPr>
      <w:r w:rsidRPr="00B90EBD">
        <w:rPr>
          <w:i/>
          <w:sz w:val="22"/>
          <w:szCs w:val="22"/>
        </w:rPr>
        <w:t>Athletics.</w:t>
      </w:r>
      <w:r>
        <w:rPr>
          <w:sz w:val="22"/>
          <w:szCs w:val="22"/>
        </w:rPr>
        <w:t xml:space="preserve"> </w:t>
      </w:r>
      <w:r w:rsidR="00DA1030" w:rsidRPr="00DA1030">
        <w:rPr>
          <w:sz w:val="22"/>
          <w:szCs w:val="22"/>
        </w:rPr>
        <w:t>The Finance survey component includes a checkbox asking institutions to indicate whether</w:t>
      </w:r>
      <w:r>
        <w:rPr>
          <w:sz w:val="22"/>
          <w:szCs w:val="22"/>
        </w:rPr>
        <w:t xml:space="preserve"> </w:t>
      </w:r>
      <w:r w:rsidR="00DA1030" w:rsidRPr="00DA1030">
        <w:rPr>
          <w:sz w:val="22"/>
          <w:szCs w:val="22"/>
        </w:rPr>
        <w:t>intercollegiate athletics expenses are reported as an auxiliary enterprise, a student service, in another</w:t>
      </w:r>
      <w:r w:rsidR="00DA1030">
        <w:rPr>
          <w:sz w:val="22"/>
          <w:szCs w:val="22"/>
        </w:rPr>
        <w:t xml:space="preserve"> </w:t>
      </w:r>
      <w:r w:rsidR="00DA1030" w:rsidRPr="00DA1030">
        <w:rPr>
          <w:sz w:val="22"/>
          <w:szCs w:val="22"/>
        </w:rPr>
        <w:t>functional category, or if the institution does not participate in intercollegiate athletics. The panel</w:t>
      </w:r>
      <w:r w:rsidR="00DA1030">
        <w:rPr>
          <w:sz w:val="22"/>
          <w:szCs w:val="22"/>
        </w:rPr>
        <w:t xml:space="preserve"> </w:t>
      </w:r>
      <w:r w:rsidR="00DA1030" w:rsidRPr="00DA1030">
        <w:rPr>
          <w:sz w:val="22"/>
          <w:szCs w:val="22"/>
        </w:rPr>
        <w:t>suggested adding a similar question to capture information about where athletics revenues are</w:t>
      </w:r>
      <w:r w:rsidR="00FD14FD">
        <w:rPr>
          <w:sz w:val="22"/>
          <w:szCs w:val="22"/>
        </w:rPr>
        <w:t xml:space="preserve"> </w:t>
      </w:r>
      <w:r w:rsidR="00DA1030" w:rsidRPr="00DA1030">
        <w:rPr>
          <w:sz w:val="22"/>
          <w:szCs w:val="22"/>
        </w:rPr>
        <w:t>included. To make the information more useful for data users, responses to both the expense and</w:t>
      </w:r>
      <w:r w:rsidR="00FD14FD">
        <w:rPr>
          <w:sz w:val="22"/>
          <w:szCs w:val="22"/>
        </w:rPr>
        <w:t xml:space="preserve"> </w:t>
      </w:r>
      <w:r w:rsidR="00DA1030" w:rsidRPr="00DA1030">
        <w:rPr>
          <w:sz w:val="22"/>
          <w:szCs w:val="22"/>
        </w:rPr>
        <w:t xml:space="preserve">revenue checkboxes </w:t>
      </w:r>
      <w:r w:rsidR="001B4049">
        <w:rPr>
          <w:sz w:val="22"/>
          <w:szCs w:val="22"/>
        </w:rPr>
        <w:t>w</w:t>
      </w:r>
      <w:r w:rsidR="00DA1030" w:rsidRPr="00DA1030">
        <w:rPr>
          <w:sz w:val="22"/>
          <w:szCs w:val="22"/>
        </w:rPr>
        <w:t>ould be included as separate variables (rather than response status flags)</w:t>
      </w:r>
      <w:r w:rsidR="00FD14FD">
        <w:rPr>
          <w:sz w:val="22"/>
          <w:szCs w:val="22"/>
        </w:rPr>
        <w:t xml:space="preserve"> </w:t>
      </w:r>
      <w:r w:rsidR="00DA1030" w:rsidRPr="00DA1030">
        <w:rPr>
          <w:sz w:val="22"/>
          <w:szCs w:val="22"/>
        </w:rPr>
        <w:t>within the published data.</w:t>
      </w:r>
      <w:r w:rsidR="0093510F">
        <w:rPr>
          <w:sz w:val="22"/>
          <w:szCs w:val="22"/>
        </w:rPr>
        <w:t xml:space="preserve"> Th</w:t>
      </w:r>
      <w:r w:rsidR="005F6A03">
        <w:rPr>
          <w:sz w:val="22"/>
          <w:szCs w:val="22"/>
        </w:rPr>
        <w:t>is new checkbox question would only be reported by degree-granting institutions, and would have a minimal increase on reporting burden.</w:t>
      </w:r>
    </w:p>
    <w:p w14:paraId="735A3FC5" w14:textId="3467BEDA" w:rsidR="001B4049" w:rsidRDefault="001B4049" w:rsidP="00707E9F">
      <w:pPr>
        <w:pStyle w:val="TableBullet"/>
        <w:numPr>
          <w:ilvl w:val="0"/>
          <w:numId w:val="0"/>
        </w:numPr>
        <w:spacing w:after="160" w:line="259" w:lineRule="auto"/>
        <w:rPr>
          <w:sz w:val="22"/>
          <w:szCs w:val="22"/>
        </w:rPr>
      </w:pPr>
      <w:r>
        <w:rPr>
          <w:sz w:val="22"/>
          <w:szCs w:val="22"/>
        </w:rPr>
        <w:t>The panelists also discussed whether IPEDS should collect actual</w:t>
      </w:r>
      <w:r w:rsidR="00CC4128">
        <w:rPr>
          <w:sz w:val="22"/>
          <w:szCs w:val="22"/>
        </w:rPr>
        <w:t xml:space="preserve"> </w:t>
      </w:r>
      <w:r w:rsidRPr="001B4049">
        <w:rPr>
          <w:sz w:val="22"/>
          <w:szCs w:val="22"/>
        </w:rPr>
        <w:t>total athletics revenue and expenses (or athletics</w:t>
      </w:r>
      <w:r w:rsidR="00CC4128">
        <w:rPr>
          <w:sz w:val="22"/>
          <w:szCs w:val="22"/>
        </w:rPr>
        <w:t xml:space="preserve"> </w:t>
      </w:r>
      <w:r w:rsidRPr="001B4049">
        <w:rPr>
          <w:sz w:val="22"/>
          <w:szCs w:val="22"/>
        </w:rPr>
        <w:t xml:space="preserve">revenue and expenses as a percent of the total) </w:t>
      </w:r>
      <w:r w:rsidR="00EB7FE3">
        <w:rPr>
          <w:sz w:val="22"/>
          <w:szCs w:val="22"/>
        </w:rPr>
        <w:t xml:space="preserve">and whether the collected data </w:t>
      </w:r>
      <w:r w:rsidRPr="001B4049">
        <w:rPr>
          <w:sz w:val="22"/>
          <w:szCs w:val="22"/>
        </w:rPr>
        <w:t>would be useful</w:t>
      </w:r>
      <w:r w:rsidR="00CC4128">
        <w:rPr>
          <w:sz w:val="22"/>
          <w:szCs w:val="22"/>
        </w:rPr>
        <w:t xml:space="preserve">. While they generally agreed </w:t>
      </w:r>
      <w:r w:rsidR="00EB7FE3">
        <w:rPr>
          <w:sz w:val="22"/>
          <w:szCs w:val="22"/>
        </w:rPr>
        <w:t>they</w:t>
      </w:r>
      <w:r w:rsidR="00CC4128">
        <w:rPr>
          <w:sz w:val="22"/>
          <w:szCs w:val="22"/>
        </w:rPr>
        <w:t xml:space="preserve"> could be, they also </w:t>
      </w:r>
      <w:r w:rsidRPr="001B4049">
        <w:rPr>
          <w:sz w:val="22"/>
          <w:szCs w:val="22"/>
        </w:rPr>
        <w:t>noted possible duplication with</w:t>
      </w:r>
      <w:r w:rsidR="00CC4128">
        <w:rPr>
          <w:sz w:val="22"/>
          <w:szCs w:val="22"/>
        </w:rPr>
        <w:t xml:space="preserve"> </w:t>
      </w:r>
      <w:r w:rsidRPr="001B4049">
        <w:rPr>
          <w:sz w:val="22"/>
          <w:szCs w:val="22"/>
        </w:rPr>
        <w:t>an existing federal source of data that collects financial data on intercollegiate athletics at a more</w:t>
      </w:r>
      <w:r w:rsidR="00CC4128">
        <w:rPr>
          <w:sz w:val="22"/>
          <w:szCs w:val="22"/>
        </w:rPr>
        <w:t xml:space="preserve"> </w:t>
      </w:r>
      <w:r w:rsidRPr="001B4049">
        <w:rPr>
          <w:sz w:val="22"/>
          <w:szCs w:val="22"/>
        </w:rPr>
        <w:t xml:space="preserve">granular </w:t>
      </w:r>
      <w:r w:rsidR="00273129">
        <w:rPr>
          <w:sz w:val="22"/>
          <w:szCs w:val="22"/>
        </w:rPr>
        <w:t>l</w:t>
      </w:r>
      <w:r w:rsidRPr="001B4049">
        <w:rPr>
          <w:sz w:val="22"/>
          <w:szCs w:val="22"/>
        </w:rPr>
        <w:t>evel than what is included on institutions’ audited statements -- the Office of Postsecondary</w:t>
      </w:r>
      <w:r w:rsidR="00273129">
        <w:rPr>
          <w:sz w:val="22"/>
          <w:szCs w:val="22"/>
        </w:rPr>
        <w:t xml:space="preserve"> </w:t>
      </w:r>
      <w:r w:rsidRPr="001B4049">
        <w:rPr>
          <w:sz w:val="22"/>
          <w:szCs w:val="22"/>
        </w:rPr>
        <w:t>Education’s (OPE) Equity in Athletics Disclosure Act (EADA) Survey collects financial data on</w:t>
      </w:r>
      <w:r w:rsidR="00273129">
        <w:rPr>
          <w:sz w:val="22"/>
          <w:szCs w:val="22"/>
        </w:rPr>
        <w:t xml:space="preserve"> </w:t>
      </w:r>
      <w:r w:rsidRPr="001B4049">
        <w:rPr>
          <w:sz w:val="22"/>
          <w:szCs w:val="22"/>
        </w:rPr>
        <w:t>operating (game day) expenses, recruiting expenses, and total revenues and expenses by sport and by</w:t>
      </w:r>
      <w:r w:rsidR="00273129">
        <w:rPr>
          <w:sz w:val="22"/>
          <w:szCs w:val="22"/>
        </w:rPr>
        <w:t xml:space="preserve"> </w:t>
      </w:r>
      <w:r w:rsidRPr="001B4049">
        <w:rPr>
          <w:sz w:val="22"/>
          <w:szCs w:val="22"/>
        </w:rPr>
        <w:t xml:space="preserve">gender of team (men/ women). </w:t>
      </w:r>
      <w:r w:rsidR="0093510F">
        <w:rPr>
          <w:sz w:val="22"/>
          <w:szCs w:val="22"/>
        </w:rPr>
        <w:t>NCES has decided not to pursue the collection of these data at this time for these reasons.</w:t>
      </w:r>
    </w:p>
    <w:p w14:paraId="68580C49" w14:textId="15DAD0EC" w:rsidR="006A24B2" w:rsidRDefault="00B90EBD" w:rsidP="00707E9F">
      <w:pPr>
        <w:pStyle w:val="TableBullet"/>
        <w:numPr>
          <w:ilvl w:val="0"/>
          <w:numId w:val="0"/>
        </w:numPr>
        <w:spacing w:after="160" w:line="259" w:lineRule="auto"/>
        <w:rPr>
          <w:sz w:val="22"/>
          <w:szCs w:val="22"/>
        </w:rPr>
      </w:pPr>
      <w:r w:rsidRPr="00B90EBD">
        <w:rPr>
          <w:i/>
          <w:sz w:val="22"/>
          <w:szCs w:val="22"/>
        </w:rPr>
        <w:t>Financial Health Indicators.</w:t>
      </w:r>
      <w:r>
        <w:rPr>
          <w:sz w:val="22"/>
          <w:szCs w:val="22"/>
        </w:rPr>
        <w:t xml:space="preserve"> </w:t>
      </w:r>
      <w:r w:rsidR="001F477D">
        <w:rPr>
          <w:sz w:val="22"/>
          <w:szCs w:val="22"/>
        </w:rPr>
        <w:t>Panelists at the TRP also noted that t</w:t>
      </w:r>
      <w:r w:rsidR="001F477D" w:rsidRPr="001F477D">
        <w:rPr>
          <w:sz w:val="22"/>
          <w:szCs w:val="22"/>
        </w:rPr>
        <w:t>he financial health of higher education institutions is noted</w:t>
      </w:r>
      <w:r w:rsidR="001F477D">
        <w:rPr>
          <w:sz w:val="22"/>
          <w:szCs w:val="22"/>
        </w:rPr>
        <w:t xml:space="preserve"> </w:t>
      </w:r>
      <w:r w:rsidR="001F477D" w:rsidRPr="001F477D">
        <w:rPr>
          <w:sz w:val="22"/>
          <w:szCs w:val="22"/>
        </w:rPr>
        <w:t>a</w:t>
      </w:r>
      <w:r w:rsidR="00861AB0">
        <w:rPr>
          <w:sz w:val="22"/>
          <w:szCs w:val="22"/>
        </w:rPr>
        <w:t>s</w:t>
      </w:r>
      <w:r w:rsidR="001F477D" w:rsidRPr="001F477D">
        <w:rPr>
          <w:sz w:val="22"/>
          <w:szCs w:val="22"/>
        </w:rPr>
        <w:t xml:space="preserve"> important issue for policymakers</w:t>
      </w:r>
      <w:r w:rsidR="001F477D">
        <w:rPr>
          <w:sz w:val="22"/>
          <w:szCs w:val="22"/>
        </w:rPr>
        <w:t xml:space="preserve"> </w:t>
      </w:r>
      <w:r w:rsidR="001F477D" w:rsidRPr="001F477D">
        <w:rPr>
          <w:sz w:val="22"/>
          <w:szCs w:val="22"/>
        </w:rPr>
        <w:t>and consumers</w:t>
      </w:r>
      <w:r w:rsidR="00393FE8">
        <w:rPr>
          <w:sz w:val="22"/>
          <w:szCs w:val="22"/>
        </w:rPr>
        <w:t xml:space="preserve">, yet there is </w:t>
      </w:r>
      <w:r w:rsidR="00AD3BA9">
        <w:rPr>
          <w:sz w:val="22"/>
          <w:szCs w:val="22"/>
        </w:rPr>
        <w:t xml:space="preserve">a </w:t>
      </w:r>
      <w:r w:rsidR="00AD3BA9" w:rsidRPr="001F477D">
        <w:rPr>
          <w:sz w:val="22"/>
          <w:szCs w:val="22"/>
        </w:rPr>
        <w:t>lack</w:t>
      </w:r>
      <w:r w:rsidR="001F477D" w:rsidRPr="001F477D">
        <w:rPr>
          <w:sz w:val="22"/>
          <w:szCs w:val="22"/>
        </w:rPr>
        <w:t xml:space="preserve"> of metrics regarding financial health currently available in</w:t>
      </w:r>
      <w:r w:rsidR="00393FE8">
        <w:rPr>
          <w:sz w:val="22"/>
          <w:szCs w:val="22"/>
        </w:rPr>
        <w:t xml:space="preserve"> </w:t>
      </w:r>
      <w:r w:rsidR="001F477D" w:rsidRPr="001F477D">
        <w:rPr>
          <w:sz w:val="22"/>
          <w:szCs w:val="22"/>
        </w:rPr>
        <w:t>IPEDS</w:t>
      </w:r>
      <w:r w:rsidR="00D14180">
        <w:rPr>
          <w:sz w:val="22"/>
          <w:szCs w:val="22"/>
        </w:rPr>
        <w:t xml:space="preserve">. Therefore, the panelists suggested </w:t>
      </w:r>
      <w:r w:rsidR="001F477D" w:rsidRPr="001F477D">
        <w:rPr>
          <w:sz w:val="22"/>
          <w:szCs w:val="22"/>
        </w:rPr>
        <w:t>that NCES should make available to the industry financial health indicators that</w:t>
      </w:r>
      <w:r w:rsidR="00D14180">
        <w:rPr>
          <w:sz w:val="22"/>
          <w:szCs w:val="22"/>
        </w:rPr>
        <w:t xml:space="preserve"> </w:t>
      </w:r>
      <w:r w:rsidR="001F477D" w:rsidRPr="001F477D">
        <w:rPr>
          <w:sz w:val="22"/>
          <w:szCs w:val="22"/>
        </w:rPr>
        <w:t>expand on the revenue, expenditure, and balance sheet portions of the current Finance survey</w:t>
      </w:r>
      <w:r w:rsidR="00D14180">
        <w:rPr>
          <w:sz w:val="22"/>
          <w:szCs w:val="22"/>
        </w:rPr>
        <w:t xml:space="preserve"> </w:t>
      </w:r>
      <w:r w:rsidR="001F477D" w:rsidRPr="001F477D">
        <w:rPr>
          <w:sz w:val="22"/>
          <w:szCs w:val="22"/>
        </w:rPr>
        <w:t>component. They suggested adding a new screen to the Finance survey component for institutions to</w:t>
      </w:r>
      <w:r w:rsidR="00D14180">
        <w:rPr>
          <w:sz w:val="22"/>
          <w:szCs w:val="22"/>
        </w:rPr>
        <w:t xml:space="preserve"> </w:t>
      </w:r>
      <w:r w:rsidR="001F477D" w:rsidRPr="001F477D">
        <w:rPr>
          <w:sz w:val="22"/>
          <w:szCs w:val="22"/>
        </w:rPr>
        <w:t xml:space="preserve">report the underlying data for NCES to calculate the following ratios (based on </w:t>
      </w:r>
      <w:r w:rsidR="00303493">
        <w:rPr>
          <w:sz w:val="22"/>
          <w:szCs w:val="22"/>
        </w:rPr>
        <w:t xml:space="preserve">the </w:t>
      </w:r>
      <w:r w:rsidR="00303493" w:rsidRPr="001F477D">
        <w:rPr>
          <w:sz w:val="22"/>
          <w:szCs w:val="22"/>
        </w:rPr>
        <w:t>Composite Financial Index calculations</w:t>
      </w:r>
      <w:r w:rsidR="00303493">
        <w:rPr>
          <w:sz w:val="22"/>
          <w:szCs w:val="22"/>
        </w:rPr>
        <w:t xml:space="preserve"> </w:t>
      </w:r>
      <w:r w:rsidR="00D14180">
        <w:rPr>
          <w:sz w:val="22"/>
          <w:szCs w:val="22"/>
        </w:rPr>
        <w:t xml:space="preserve">that </w:t>
      </w:r>
      <w:r w:rsidR="00303493">
        <w:rPr>
          <w:sz w:val="22"/>
          <w:szCs w:val="22"/>
        </w:rPr>
        <w:t xml:space="preserve">the </w:t>
      </w:r>
      <w:r w:rsidR="001F477D" w:rsidRPr="001F477D">
        <w:rPr>
          <w:sz w:val="22"/>
          <w:szCs w:val="22"/>
        </w:rPr>
        <w:t>N</w:t>
      </w:r>
      <w:r w:rsidR="00D14180">
        <w:rPr>
          <w:sz w:val="22"/>
          <w:szCs w:val="22"/>
        </w:rPr>
        <w:t xml:space="preserve">ational </w:t>
      </w:r>
      <w:r w:rsidR="001F477D" w:rsidRPr="001F477D">
        <w:rPr>
          <w:sz w:val="22"/>
          <w:szCs w:val="22"/>
        </w:rPr>
        <w:t>A</w:t>
      </w:r>
      <w:r w:rsidR="00D14180">
        <w:rPr>
          <w:sz w:val="22"/>
          <w:szCs w:val="22"/>
        </w:rPr>
        <w:t>ssociation of College and University Business</w:t>
      </w:r>
      <w:r w:rsidR="00303493">
        <w:rPr>
          <w:sz w:val="22"/>
          <w:szCs w:val="22"/>
        </w:rPr>
        <w:t xml:space="preserve"> Officers pu</w:t>
      </w:r>
      <w:r w:rsidR="00AD3BA9">
        <w:rPr>
          <w:sz w:val="22"/>
          <w:szCs w:val="22"/>
        </w:rPr>
        <w:t>blishes for its members, a subset of the IPEDS universe</w:t>
      </w:r>
      <w:r w:rsidR="001F477D" w:rsidRPr="001F477D">
        <w:rPr>
          <w:sz w:val="22"/>
          <w:szCs w:val="22"/>
        </w:rPr>
        <w:t>).</w:t>
      </w:r>
      <w:r w:rsidR="0024657B">
        <w:rPr>
          <w:sz w:val="22"/>
          <w:szCs w:val="22"/>
        </w:rPr>
        <w:t xml:space="preserve"> These data would be collected only from degree-granting institutions and would have a minimal impact on burden.</w:t>
      </w:r>
    </w:p>
    <w:p w14:paraId="5124F9FF" w14:textId="07C6C79A" w:rsidR="00B90EBD" w:rsidRDefault="001C4633" w:rsidP="00707E9F">
      <w:pPr>
        <w:pStyle w:val="TableBullet"/>
        <w:numPr>
          <w:ilvl w:val="0"/>
          <w:numId w:val="0"/>
        </w:numPr>
        <w:spacing w:after="160" w:line="259" w:lineRule="auto"/>
        <w:rPr>
          <w:sz w:val="22"/>
          <w:szCs w:val="22"/>
        </w:rPr>
      </w:pPr>
      <w:r>
        <w:rPr>
          <w:i/>
          <w:sz w:val="22"/>
          <w:szCs w:val="22"/>
        </w:rPr>
        <w:t xml:space="preserve">Discounts and Allowances. </w:t>
      </w:r>
      <w:r w:rsidR="00525726">
        <w:rPr>
          <w:sz w:val="22"/>
          <w:szCs w:val="22"/>
        </w:rPr>
        <w:t>Panelists at the IPEDS TRP on Financial Metrics also discussed how s</w:t>
      </w:r>
      <w:r w:rsidRPr="001C4633">
        <w:rPr>
          <w:sz w:val="22"/>
          <w:szCs w:val="22"/>
        </w:rPr>
        <w:t>cholarships and fellowships may be used to pay tuition and fees and other institutional charges such as room and board or bookstore charges. Under GASB and FASB accounting standards, the amounts</w:t>
      </w:r>
      <w:r>
        <w:rPr>
          <w:sz w:val="22"/>
          <w:szCs w:val="22"/>
        </w:rPr>
        <w:t xml:space="preserve"> </w:t>
      </w:r>
      <w:r w:rsidRPr="001C4633">
        <w:rPr>
          <w:sz w:val="22"/>
          <w:szCs w:val="22"/>
        </w:rPr>
        <w:t>used to pay tuition and other institutional charges are considered discounts or allowances, reducing</w:t>
      </w:r>
      <w:r>
        <w:rPr>
          <w:sz w:val="22"/>
          <w:szCs w:val="22"/>
        </w:rPr>
        <w:t xml:space="preserve"> </w:t>
      </w:r>
      <w:r w:rsidRPr="001C4633">
        <w:rPr>
          <w:sz w:val="22"/>
          <w:szCs w:val="22"/>
        </w:rPr>
        <w:t xml:space="preserve">the amount the student actually pays to attend the institution. </w:t>
      </w:r>
      <w:r>
        <w:rPr>
          <w:sz w:val="22"/>
          <w:szCs w:val="22"/>
        </w:rPr>
        <w:t>NCES</w:t>
      </w:r>
      <w:r w:rsidRPr="001C4633">
        <w:rPr>
          <w:sz w:val="22"/>
          <w:szCs w:val="22"/>
        </w:rPr>
        <w:t xml:space="preserve"> currently collects the portion of revenues coming from financial aid sources and is interested</w:t>
      </w:r>
      <w:r>
        <w:rPr>
          <w:sz w:val="22"/>
          <w:szCs w:val="22"/>
        </w:rPr>
        <w:t xml:space="preserve"> </w:t>
      </w:r>
      <w:r w:rsidRPr="001C4633">
        <w:rPr>
          <w:sz w:val="22"/>
          <w:szCs w:val="22"/>
        </w:rPr>
        <w:t>in expanding the Scholarships and Fellowships screen to understand how financial aid sources</w:t>
      </w:r>
      <w:r w:rsidR="00525726">
        <w:rPr>
          <w:sz w:val="22"/>
          <w:szCs w:val="22"/>
        </w:rPr>
        <w:t xml:space="preserve"> </w:t>
      </w:r>
      <w:r w:rsidRPr="001C4633">
        <w:rPr>
          <w:sz w:val="22"/>
          <w:szCs w:val="22"/>
        </w:rPr>
        <w:t>contribute to the institutional revenues and scholarship discounts.</w:t>
      </w:r>
      <w:r w:rsidR="007D07CB">
        <w:rPr>
          <w:sz w:val="22"/>
          <w:szCs w:val="22"/>
        </w:rPr>
        <w:t xml:space="preserve"> </w:t>
      </w:r>
      <w:r w:rsidRPr="001C4633">
        <w:rPr>
          <w:sz w:val="22"/>
          <w:szCs w:val="22"/>
        </w:rPr>
        <w:t>Panelists suggested adding new fields to collect additional detail on discounts and allow</w:t>
      </w:r>
      <w:r w:rsidR="007D07CB">
        <w:rPr>
          <w:sz w:val="22"/>
          <w:szCs w:val="22"/>
        </w:rPr>
        <w:t>a</w:t>
      </w:r>
      <w:r w:rsidRPr="001C4633">
        <w:rPr>
          <w:sz w:val="22"/>
          <w:szCs w:val="22"/>
        </w:rPr>
        <w:t>nces by</w:t>
      </w:r>
      <w:r w:rsidR="007D07CB">
        <w:rPr>
          <w:sz w:val="22"/>
          <w:szCs w:val="22"/>
        </w:rPr>
        <w:t xml:space="preserve"> </w:t>
      </w:r>
      <w:r w:rsidRPr="001C4633">
        <w:rPr>
          <w:sz w:val="22"/>
          <w:szCs w:val="22"/>
        </w:rPr>
        <w:t xml:space="preserve">grant type (discounts from Pell, other federal </w:t>
      </w:r>
      <w:r w:rsidR="007D07CB">
        <w:rPr>
          <w:sz w:val="22"/>
          <w:szCs w:val="22"/>
        </w:rPr>
        <w:t>grants</w:t>
      </w:r>
      <w:r w:rsidRPr="001C4633">
        <w:rPr>
          <w:sz w:val="22"/>
          <w:szCs w:val="22"/>
        </w:rPr>
        <w:t>, state government, local government,</w:t>
      </w:r>
      <w:r w:rsidR="007D07CB">
        <w:rPr>
          <w:sz w:val="22"/>
          <w:szCs w:val="22"/>
        </w:rPr>
        <w:t xml:space="preserve"> </w:t>
      </w:r>
      <w:r w:rsidRPr="001C4633">
        <w:rPr>
          <w:sz w:val="22"/>
          <w:szCs w:val="22"/>
        </w:rPr>
        <w:t>endowments and gifts, other institution sources).</w:t>
      </w:r>
      <w:r w:rsidR="007D07CB">
        <w:rPr>
          <w:sz w:val="22"/>
          <w:szCs w:val="22"/>
        </w:rPr>
        <w:t xml:space="preserve"> </w:t>
      </w:r>
      <w:r w:rsidRPr="001C4633">
        <w:rPr>
          <w:sz w:val="22"/>
          <w:szCs w:val="22"/>
        </w:rPr>
        <w:t>This approach focuses on institutional resources and aligns with the current Finance survey</w:t>
      </w:r>
      <w:r w:rsidR="007D07CB">
        <w:rPr>
          <w:sz w:val="22"/>
          <w:szCs w:val="22"/>
        </w:rPr>
        <w:t xml:space="preserve"> </w:t>
      </w:r>
      <w:r w:rsidRPr="001C4633">
        <w:rPr>
          <w:sz w:val="22"/>
          <w:szCs w:val="22"/>
        </w:rPr>
        <w:t>component in terms of reporting period (fiscal year) and coverage (all students, credit and noncredit).</w:t>
      </w:r>
      <w:r w:rsidR="00E15BD2">
        <w:rPr>
          <w:sz w:val="22"/>
          <w:szCs w:val="22"/>
        </w:rPr>
        <w:t xml:space="preserve"> A</w:t>
      </w:r>
      <w:r w:rsidRPr="001C4633">
        <w:rPr>
          <w:sz w:val="22"/>
          <w:szCs w:val="22"/>
        </w:rPr>
        <w:t>lthough the resulting data would provide more information on discount rates and student aid</w:t>
      </w:r>
      <w:r w:rsidR="00E15BD2">
        <w:rPr>
          <w:sz w:val="22"/>
          <w:szCs w:val="22"/>
        </w:rPr>
        <w:t xml:space="preserve"> </w:t>
      </w:r>
      <w:r w:rsidRPr="001C4633">
        <w:rPr>
          <w:sz w:val="22"/>
          <w:szCs w:val="22"/>
        </w:rPr>
        <w:t>expense, panelists recognized that the proposed changes do not fully capture aid sources for student</w:t>
      </w:r>
      <w:r w:rsidR="00E15BD2">
        <w:rPr>
          <w:sz w:val="22"/>
          <w:szCs w:val="22"/>
        </w:rPr>
        <w:t xml:space="preserve"> </w:t>
      </w:r>
      <w:r w:rsidRPr="001C4633">
        <w:rPr>
          <w:sz w:val="22"/>
          <w:szCs w:val="22"/>
        </w:rPr>
        <w:t>subgroups (e.g., graduate, noncredit students).</w:t>
      </w:r>
      <w:r w:rsidR="00D25744">
        <w:rPr>
          <w:sz w:val="22"/>
          <w:szCs w:val="22"/>
        </w:rPr>
        <w:t xml:space="preserve"> The proposed change would apply to all reporting institutions and result in a minimal increase in burden.</w:t>
      </w:r>
    </w:p>
    <w:p w14:paraId="0B100776" w14:textId="6B8F1648" w:rsidR="00050121" w:rsidRDefault="00050121" w:rsidP="00707E9F">
      <w:pPr>
        <w:pStyle w:val="TableBullet"/>
        <w:numPr>
          <w:ilvl w:val="0"/>
          <w:numId w:val="0"/>
        </w:numPr>
        <w:spacing w:after="160" w:line="259" w:lineRule="auto"/>
        <w:rPr>
          <w:sz w:val="22"/>
          <w:szCs w:val="22"/>
        </w:rPr>
      </w:pPr>
      <w:r w:rsidRPr="00050121">
        <w:rPr>
          <w:i/>
          <w:sz w:val="22"/>
          <w:szCs w:val="22"/>
        </w:rPr>
        <w:t xml:space="preserve">Endowments. </w:t>
      </w:r>
      <w:r w:rsidR="00984343" w:rsidRPr="00984343">
        <w:rPr>
          <w:sz w:val="22"/>
          <w:szCs w:val="22"/>
        </w:rPr>
        <w:t>IPEDS currently collects the value of institutions’ endowment assets at the beginning</w:t>
      </w:r>
      <w:r w:rsidR="00984343">
        <w:rPr>
          <w:sz w:val="22"/>
          <w:szCs w:val="22"/>
        </w:rPr>
        <w:t xml:space="preserve"> </w:t>
      </w:r>
      <w:r w:rsidR="00984343" w:rsidRPr="00984343">
        <w:rPr>
          <w:sz w:val="22"/>
          <w:szCs w:val="22"/>
        </w:rPr>
        <w:t>and end of the fiscal year from applicable private not-for-profit FASB institutions and GASB</w:t>
      </w:r>
      <w:r w:rsidR="00984343">
        <w:rPr>
          <w:sz w:val="22"/>
          <w:szCs w:val="22"/>
        </w:rPr>
        <w:t xml:space="preserve"> </w:t>
      </w:r>
      <w:r w:rsidR="00984343" w:rsidRPr="00984343">
        <w:rPr>
          <w:sz w:val="22"/>
          <w:szCs w:val="22"/>
        </w:rPr>
        <w:t>institutions. The panel agreed to use “endowment net assets” instead of “endowment assets”</w:t>
      </w:r>
      <w:r w:rsidR="00537DBA">
        <w:rPr>
          <w:sz w:val="22"/>
          <w:szCs w:val="22"/>
        </w:rPr>
        <w:t>,</w:t>
      </w:r>
      <w:r w:rsidR="00984343" w:rsidRPr="00984343">
        <w:rPr>
          <w:sz w:val="22"/>
          <w:szCs w:val="22"/>
        </w:rPr>
        <w:t xml:space="preserve"> where</w:t>
      </w:r>
      <w:r w:rsidR="00537DBA">
        <w:rPr>
          <w:sz w:val="22"/>
          <w:szCs w:val="22"/>
        </w:rPr>
        <w:t xml:space="preserve"> </w:t>
      </w:r>
      <w:r w:rsidR="00984343" w:rsidRPr="00984343">
        <w:rPr>
          <w:sz w:val="22"/>
          <w:szCs w:val="22"/>
        </w:rPr>
        <w:t>applicable, to clarify this section could include endowment liabilities and to add a field to calculate</w:t>
      </w:r>
      <w:r w:rsidR="00537DBA">
        <w:rPr>
          <w:sz w:val="22"/>
          <w:szCs w:val="22"/>
        </w:rPr>
        <w:t xml:space="preserve"> </w:t>
      </w:r>
      <w:r w:rsidR="00984343" w:rsidRPr="00984343">
        <w:rPr>
          <w:sz w:val="22"/>
          <w:szCs w:val="22"/>
        </w:rPr>
        <w:t xml:space="preserve">amount of the change in value of endowment net assets. The panel </w:t>
      </w:r>
      <w:r w:rsidR="00537DBA">
        <w:rPr>
          <w:sz w:val="22"/>
          <w:szCs w:val="22"/>
        </w:rPr>
        <w:t xml:space="preserve">also </w:t>
      </w:r>
      <w:r w:rsidR="00984343" w:rsidRPr="00984343">
        <w:rPr>
          <w:sz w:val="22"/>
          <w:szCs w:val="22"/>
        </w:rPr>
        <w:t xml:space="preserve">suggested </w:t>
      </w:r>
      <w:r w:rsidR="00537DBA">
        <w:rPr>
          <w:sz w:val="22"/>
          <w:szCs w:val="22"/>
        </w:rPr>
        <w:t>collcting</w:t>
      </w:r>
      <w:r w:rsidR="00984343" w:rsidRPr="00984343">
        <w:rPr>
          <w:sz w:val="22"/>
          <w:szCs w:val="22"/>
        </w:rPr>
        <w:t xml:space="preserve"> more detail on the change in the value of endowment assets</w:t>
      </w:r>
      <w:r w:rsidR="00537DBA">
        <w:rPr>
          <w:sz w:val="22"/>
          <w:szCs w:val="22"/>
        </w:rPr>
        <w:t>. The change will have minimal effect on reporting burden for institutions.</w:t>
      </w:r>
    </w:p>
    <w:p w14:paraId="6BA34B6F" w14:textId="74819591" w:rsidR="00537DBA" w:rsidRPr="00984343" w:rsidRDefault="00537DBA" w:rsidP="00707E9F">
      <w:pPr>
        <w:pStyle w:val="TableBullet"/>
        <w:numPr>
          <w:ilvl w:val="0"/>
          <w:numId w:val="0"/>
        </w:numPr>
        <w:spacing w:after="160" w:line="259" w:lineRule="auto"/>
        <w:rPr>
          <w:sz w:val="22"/>
          <w:szCs w:val="22"/>
        </w:rPr>
      </w:pPr>
      <w:r>
        <w:rPr>
          <w:sz w:val="22"/>
          <w:szCs w:val="22"/>
        </w:rPr>
        <w:t>All the Finance component changes are detailed in table A6 below.</w:t>
      </w:r>
    </w:p>
    <w:tbl>
      <w:tblPr>
        <w:tblW w:w="5048"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6107"/>
        <w:gridCol w:w="1945"/>
        <w:gridCol w:w="1432"/>
        <w:gridCol w:w="1347"/>
      </w:tblGrid>
      <w:tr w:rsidR="00840E93" w:rsidRPr="001A0F26" w14:paraId="17A5BF3B" w14:textId="77777777" w:rsidTr="00A35425">
        <w:trPr>
          <w:trHeight w:val="238"/>
          <w:tblHeader/>
        </w:trPr>
        <w:tc>
          <w:tcPr>
            <w:tcW w:w="5000" w:type="pct"/>
            <w:gridSpan w:val="4"/>
            <w:shd w:val="clear" w:color="auto" w:fill="4F81BD"/>
            <w:vAlign w:val="center"/>
          </w:tcPr>
          <w:p w14:paraId="0922D082" w14:textId="7764F821" w:rsidR="00840E93" w:rsidRPr="001A0F26" w:rsidRDefault="00840E93" w:rsidP="00CF21AE">
            <w:pPr>
              <w:pStyle w:val="TableTitle"/>
              <w:keepNext/>
            </w:pPr>
            <w:r w:rsidRPr="001A0F26">
              <w:t xml:space="preserve">Table </w:t>
            </w:r>
            <w:r w:rsidR="00953F1E">
              <w:t>A</w:t>
            </w:r>
            <w:r w:rsidR="00006A8F">
              <w:t>6</w:t>
            </w:r>
            <w:r>
              <w:t>.</w:t>
            </w:r>
            <w:r w:rsidRPr="001A0F26">
              <w:t xml:space="preserve"> Proposed </w:t>
            </w:r>
            <w:r>
              <w:t>c</w:t>
            </w:r>
            <w:r w:rsidRPr="001A0F26">
              <w:t>hanges to the</w:t>
            </w:r>
            <w:r>
              <w:t xml:space="preserve"> Finance</w:t>
            </w:r>
            <w:r w:rsidRPr="001A0F26">
              <w:t xml:space="preserve"> Form</w:t>
            </w:r>
            <w:r>
              <w:t>s</w:t>
            </w:r>
          </w:p>
        </w:tc>
      </w:tr>
      <w:tr w:rsidR="00840E93" w:rsidRPr="00534107" w14:paraId="46FD8624" w14:textId="77777777" w:rsidTr="00A35425">
        <w:trPr>
          <w:trHeight w:val="478"/>
          <w:tblHeader/>
        </w:trPr>
        <w:tc>
          <w:tcPr>
            <w:tcW w:w="2819" w:type="pct"/>
            <w:tcBorders>
              <w:bottom w:val="single" w:sz="8" w:space="0" w:color="7BA0CD"/>
              <w:right w:val="nil"/>
            </w:tcBorders>
            <w:shd w:val="clear" w:color="auto" w:fill="D3DFEE"/>
            <w:vAlign w:val="center"/>
          </w:tcPr>
          <w:p w14:paraId="4CA5F028" w14:textId="77777777" w:rsidR="00840E93" w:rsidRPr="00534107" w:rsidRDefault="00840E93" w:rsidP="00CF21AE">
            <w:pPr>
              <w:pStyle w:val="TableHeader"/>
              <w:keepNext/>
              <w:jc w:val="left"/>
            </w:pPr>
            <w:r w:rsidRPr="00534107">
              <w:t>Change</w:t>
            </w:r>
          </w:p>
        </w:tc>
        <w:tc>
          <w:tcPr>
            <w:tcW w:w="898" w:type="pct"/>
            <w:tcBorders>
              <w:left w:val="nil"/>
              <w:bottom w:val="single" w:sz="8" w:space="0" w:color="7BA0CD"/>
              <w:right w:val="nil"/>
            </w:tcBorders>
            <w:shd w:val="clear" w:color="auto" w:fill="D3DFEE"/>
            <w:vAlign w:val="center"/>
          </w:tcPr>
          <w:p w14:paraId="14FB1171" w14:textId="77777777" w:rsidR="00840E93" w:rsidRPr="00534107" w:rsidRDefault="00840E93" w:rsidP="00CF21AE">
            <w:pPr>
              <w:pStyle w:val="TableHeader"/>
              <w:keepNext/>
              <w:jc w:val="left"/>
            </w:pPr>
            <w:r w:rsidRPr="00534107">
              <w:t xml:space="preserve">Implementation </w:t>
            </w:r>
            <w:r>
              <w:t>y</w:t>
            </w:r>
            <w:r w:rsidRPr="00534107">
              <w:t>ear</w:t>
            </w:r>
          </w:p>
        </w:tc>
        <w:tc>
          <w:tcPr>
            <w:tcW w:w="661" w:type="pct"/>
            <w:tcBorders>
              <w:left w:val="nil"/>
              <w:bottom w:val="single" w:sz="8" w:space="0" w:color="7BA0CD"/>
              <w:right w:val="nil"/>
            </w:tcBorders>
            <w:shd w:val="clear" w:color="auto" w:fill="D3DFEE"/>
            <w:vAlign w:val="center"/>
          </w:tcPr>
          <w:p w14:paraId="7ED8C688" w14:textId="77777777" w:rsidR="00840E93" w:rsidRPr="00534107" w:rsidRDefault="00840E93" w:rsidP="00CF21AE">
            <w:pPr>
              <w:pStyle w:val="TableHeader"/>
              <w:keepNext/>
              <w:jc w:val="left"/>
            </w:pPr>
            <w:r w:rsidRPr="00534107">
              <w:t>Source</w:t>
            </w:r>
          </w:p>
        </w:tc>
        <w:tc>
          <w:tcPr>
            <w:tcW w:w="622" w:type="pct"/>
            <w:tcBorders>
              <w:left w:val="nil"/>
              <w:bottom w:val="single" w:sz="8" w:space="0" w:color="7BA0CD"/>
            </w:tcBorders>
            <w:shd w:val="clear" w:color="auto" w:fill="D3DFEE"/>
            <w:vAlign w:val="center"/>
          </w:tcPr>
          <w:p w14:paraId="5D454F3C" w14:textId="77777777" w:rsidR="00840E93" w:rsidRPr="00534107" w:rsidRDefault="00840E93" w:rsidP="00CF21AE">
            <w:pPr>
              <w:pStyle w:val="TableHeader"/>
              <w:keepNext/>
              <w:jc w:val="left"/>
            </w:pPr>
            <w:r w:rsidRPr="00534107">
              <w:t xml:space="preserve">Estimated </w:t>
            </w:r>
            <w:r>
              <w:t>b</w:t>
            </w:r>
            <w:r w:rsidRPr="00534107">
              <w:t>urden</w:t>
            </w:r>
          </w:p>
        </w:tc>
      </w:tr>
      <w:tr w:rsidR="00840E93" w14:paraId="2D0ED8D8" w14:textId="77777777" w:rsidTr="00A35425">
        <w:trPr>
          <w:trHeight w:val="844"/>
        </w:trPr>
        <w:tc>
          <w:tcPr>
            <w:tcW w:w="2819" w:type="pct"/>
            <w:tcBorders>
              <w:right w:val="nil"/>
            </w:tcBorders>
            <w:shd w:val="clear" w:color="auto" w:fill="auto"/>
          </w:tcPr>
          <w:p w14:paraId="070FE8A6" w14:textId="37339765" w:rsidR="00840E93" w:rsidRDefault="00840E93" w:rsidP="00A35425">
            <w:pPr>
              <w:pStyle w:val="TableText"/>
              <w:jc w:val="left"/>
              <w:rPr>
                <w:bCs/>
                <w:i/>
              </w:rPr>
            </w:pPr>
            <w:r w:rsidRPr="00B22592">
              <w:rPr>
                <w:bCs/>
                <w:i/>
              </w:rPr>
              <w:t xml:space="preserve">GASB institutions only: </w:t>
            </w:r>
            <w:r>
              <w:rPr>
                <w:bCs/>
                <w:i/>
              </w:rPr>
              <w:t>Revise s</w:t>
            </w:r>
            <w:r w:rsidRPr="00B22592">
              <w:rPr>
                <w:bCs/>
                <w:i/>
              </w:rPr>
              <w:t>creening question to add defined benefit pension or postemployment benefits other than pension (OPEB) liabilities:</w:t>
            </w:r>
          </w:p>
          <w:p w14:paraId="085CEC6B" w14:textId="41407EDD" w:rsidR="00840E93" w:rsidRPr="00B22592" w:rsidRDefault="00840E93" w:rsidP="00A35425">
            <w:pPr>
              <w:pStyle w:val="TableText"/>
              <w:jc w:val="left"/>
              <w:rPr>
                <w:i/>
              </w:rPr>
            </w:pPr>
            <w:r w:rsidRPr="005D33F4">
              <w:rPr>
                <w:rFonts w:eastAsia="Arial"/>
                <w:bCs/>
                <w:spacing w:val="1"/>
              </w:rPr>
              <w:t>Does your institution include defined benefit pension</w:t>
            </w:r>
            <w:r>
              <w:rPr>
                <w:rFonts w:eastAsia="Arial"/>
                <w:bCs/>
                <w:spacing w:val="1"/>
              </w:rPr>
              <w:t xml:space="preserve"> or postemployment benefits other than pension (OPEB)</w:t>
            </w:r>
            <w:r w:rsidRPr="005D33F4">
              <w:rPr>
                <w:rFonts w:eastAsia="Arial"/>
                <w:bCs/>
                <w:spacing w:val="1"/>
              </w:rPr>
              <w:t xml:space="preserve"> liabilities, expenses, and/or deferrals in its General Purpose Financial Statements?</w:t>
            </w:r>
          </w:p>
        </w:tc>
        <w:tc>
          <w:tcPr>
            <w:tcW w:w="898" w:type="pct"/>
            <w:tcBorders>
              <w:left w:val="nil"/>
              <w:right w:val="nil"/>
            </w:tcBorders>
            <w:shd w:val="clear" w:color="auto" w:fill="auto"/>
          </w:tcPr>
          <w:p w14:paraId="6FE67C9D" w14:textId="77777777" w:rsidR="00840E93" w:rsidRPr="001A0F26" w:rsidRDefault="00840E93" w:rsidP="00A35425">
            <w:pPr>
              <w:pStyle w:val="TableTextCenter"/>
              <w:jc w:val="left"/>
            </w:pPr>
            <w:r>
              <w:t>2019-20</w:t>
            </w:r>
          </w:p>
        </w:tc>
        <w:tc>
          <w:tcPr>
            <w:tcW w:w="661" w:type="pct"/>
            <w:tcBorders>
              <w:left w:val="nil"/>
              <w:right w:val="nil"/>
            </w:tcBorders>
            <w:shd w:val="clear" w:color="auto" w:fill="auto"/>
          </w:tcPr>
          <w:p w14:paraId="784798A1" w14:textId="77777777" w:rsidR="00840E93" w:rsidRPr="00B22592" w:rsidRDefault="00840E93" w:rsidP="00A35425">
            <w:pPr>
              <w:pStyle w:val="TableText"/>
              <w:jc w:val="left"/>
            </w:pPr>
            <w:r w:rsidRPr="00B22592">
              <w:rPr>
                <w:bCs/>
              </w:rPr>
              <w:t>GASB Statements 74/75</w:t>
            </w:r>
          </w:p>
        </w:tc>
        <w:tc>
          <w:tcPr>
            <w:tcW w:w="622" w:type="pct"/>
            <w:tcBorders>
              <w:left w:val="nil"/>
            </w:tcBorders>
            <w:shd w:val="clear" w:color="auto" w:fill="auto"/>
          </w:tcPr>
          <w:p w14:paraId="6DB75398" w14:textId="77777777" w:rsidR="00840E93" w:rsidRDefault="00840E93" w:rsidP="00A35425">
            <w:pPr>
              <w:pStyle w:val="TableText"/>
            </w:pPr>
            <w:r>
              <w:t>Minimal increase</w:t>
            </w:r>
          </w:p>
        </w:tc>
      </w:tr>
      <w:tr w:rsidR="00840E93" w14:paraId="68B69C29" w14:textId="77777777" w:rsidTr="00A35425">
        <w:trPr>
          <w:trHeight w:val="844"/>
        </w:trPr>
        <w:tc>
          <w:tcPr>
            <w:tcW w:w="2819" w:type="pct"/>
            <w:tcBorders>
              <w:right w:val="nil"/>
            </w:tcBorders>
            <w:shd w:val="clear" w:color="auto" w:fill="auto"/>
          </w:tcPr>
          <w:p w14:paraId="2DA19C3A" w14:textId="77777777" w:rsidR="00840E93" w:rsidRDefault="00840E93" w:rsidP="00A35425">
            <w:pPr>
              <w:pStyle w:val="TableText"/>
              <w:jc w:val="left"/>
              <w:rPr>
                <w:bCs/>
                <w:i/>
              </w:rPr>
            </w:pPr>
            <w:r w:rsidRPr="00B22592">
              <w:rPr>
                <w:bCs/>
                <w:i/>
              </w:rPr>
              <w:t>GASB institutions only: In Part M, include new data elements to collect data on pension and postemployment benefits other than pension (OPEB)</w:t>
            </w:r>
            <w:r>
              <w:rPr>
                <w:bCs/>
                <w:i/>
              </w:rPr>
              <w:t xml:space="preserve"> for:</w:t>
            </w:r>
          </w:p>
          <w:p w14:paraId="2BF33B08" w14:textId="77777777" w:rsidR="00840E93" w:rsidRDefault="00840E93" w:rsidP="00A35425">
            <w:pPr>
              <w:pStyle w:val="TableText"/>
              <w:jc w:val="left"/>
              <w:rPr>
                <w:bCs/>
              </w:rPr>
            </w:pPr>
            <w:r>
              <w:rPr>
                <w:bCs/>
              </w:rPr>
              <w:t>05 OPEB expense</w:t>
            </w:r>
          </w:p>
          <w:p w14:paraId="2D2C7334" w14:textId="77777777" w:rsidR="00840E93" w:rsidRDefault="00840E93" w:rsidP="00A35425">
            <w:pPr>
              <w:pStyle w:val="TableText"/>
              <w:jc w:val="left"/>
              <w:rPr>
                <w:bCs/>
              </w:rPr>
            </w:pPr>
            <w:r>
              <w:rPr>
                <w:bCs/>
              </w:rPr>
              <w:t>06 Net OPEB liability</w:t>
            </w:r>
          </w:p>
          <w:p w14:paraId="1D4C6ECE" w14:textId="77777777" w:rsidR="00840E93" w:rsidRDefault="00840E93" w:rsidP="00A35425">
            <w:pPr>
              <w:pStyle w:val="TableText"/>
              <w:jc w:val="left"/>
              <w:rPr>
                <w:bCs/>
              </w:rPr>
            </w:pPr>
            <w:r>
              <w:rPr>
                <w:bCs/>
              </w:rPr>
              <w:t>07 Deferred inflows related to OPEB</w:t>
            </w:r>
          </w:p>
          <w:p w14:paraId="1843914E" w14:textId="77777777" w:rsidR="00840E93" w:rsidRPr="00097B3C" w:rsidRDefault="00840E93" w:rsidP="00A35425">
            <w:pPr>
              <w:pStyle w:val="TableText"/>
              <w:jc w:val="left"/>
              <w:rPr>
                <w:bCs/>
              </w:rPr>
            </w:pPr>
            <w:r>
              <w:rPr>
                <w:bCs/>
              </w:rPr>
              <w:t>08 Deferred outflows related to OPEPB</w:t>
            </w:r>
          </w:p>
        </w:tc>
        <w:tc>
          <w:tcPr>
            <w:tcW w:w="898" w:type="pct"/>
            <w:tcBorders>
              <w:left w:val="nil"/>
              <w:right w:val="nil"/>
            </w:tcBorders>
            <w:shd w:val="clear" w:color="auto" w:fill="auto"/>
          </w:tcPr>
          <w:p w14:paraId="732A2736" w14:textId="77777777" w:rsidR="00840E93" w:rsidRDefault="00840E93" w:rsidP="00A35425">
            <w:pPr>
              <w:pStyle w:val="TableTextCenter"/>
              <w:jc w:val="left"/>
            </w:pPr>
            <w:r>
              <w:t>2019-20</w:t>
            </w:r>
          </w:p>
        </w:tc>
        <w:tc>
          <w:tcPr>
            <w:tcW w:w="661" w:type="pct"/>
            <w:tcBorders>
              <w:left w:val="nil"/>
              <w:right w:val="nil"/>
            </w:tcBorders>
            <w:shd w:val="clear" w:color="auto" w:fill="auto"/>
          </w:tcPr>
          <w:p w14:paraId="332F4691" w14:textId="77777777" w:rsidR="00840E93" w:rsidRPr="00B22592" w:rsidRDefault="00840E93" w:rsidP="00A35425">
            <w:pPr>
              <w:pStyle w:val="TableText"/>
              <w:jc w:val="left"/>
            </w:pPr>
            <w:r w:rsidRPr="00B22592">
              <w:rPr>
                <w:bCs/>
              </w:rPr>
              <w:t>GASB Statements 74/75</w:t>
            </w:r>
          </w:p>
        </w:tc>
        <w:tc>
          <w:tcPr>
            <w:tcW w:w="622" w:type="pct"/>
            <w:tcBorders>
              <w:left w:val="nil"/>
            </w:tcBorders>
            <w:shd w:val="clear" w:color="auto" w:fill="auto"/>
          </w:tcPr>
          <w:p w14:paraId="37B2FD92" w14:textId="77777777" w:rsidR="00840E93" w:rsidRDefault="00840E93" w:rsidP="00A35425">
            <w:pPr>
              <w:pStyle w:val="TableText"/>
            </w:pPr>
            <w:r>
              <w:t>Minimal increase</w:t>
            </w:r>
          </w:p>
        </w:tc>
      </w:tr>
      <w:tr w:rsidR="00840E93" w14:paraId="12AB1CDC" w14:textId="77777777" w:rsidTr="00A35425">
        <w:trPr>
          <w:trHeight w:val="844"/>
        </w:trPr>
        <w:tc>
          <w:tcPr>
            <w:tcW w:w="2819" w:type="pct"/>
            <w:tcBorders>
              <w:right w:val="nil"/>
            </w:tcBorders>
            <w:shd w:val="clear" w:color="auto" w:fill="auto"/>
          </w:tcPr>
          <w:p w14:paraId="4091ADBB" w14:textId="77777777" w:rsidR="00840E93" w:rsidRDefault="00840E93" w:rsidP="00A25835">
            <w:pPr>
              <w:pStyle w:val="TableText"/>
              <w:jc w:val="left"/>
              <w:rPr>
                <w:bCs/>
                <w:i/>
              </w:rPr>
            </w:pPr>
            <w:r w:rsidRPr="00097B3C">
              <w:rPr>
                <w:bCs/>
                <w:i/>
              </w:rPr>
              <w:t>Degree-granting institutions only: New screening question to determine where/whether institutions will report intercollegiate athletics revenues</w:t>
            </w:r>
            <w:r>
              <w:rPr>
                <w:bCs/>
                <w:i/>
              </w:rPr>
              <w:t>:</w:t>
            </w:r>
          </w:p>
          <w:p w14:paraId="2FC2BACC" w14:textId="77777777" w:rsidR="00840E93" w:rsidRPr="00097B3C" w:rsidRDefault="00840E93" w:rsidP="00A25835">
            <w:pPr>
              <w:pStyle w:val="TableText"/>
              <w:jc w:val="left"/>
              <w:rPr>
                <w:bCs/>
              </w:rPr>
            </w:pPr>
            <w:r w:rsidRPr="00097B3C">
              <w:rPr>
                <w:bCs/>
              </w:rPr>
              <w:t>If your institution participates in intercollegiate athletics, indicate the category where these revenues are included (check all that apply):</w:t>
            </w:r>
          </w:p>
          <w:p w14:paraId="5C84F21C" w14:textId="77777777" w:rsidR="00840E93" w:rsidRPr="00DE0F5F" w:rsidRDefault="00840E93" w:rsidP="00A25835">
            <w:pPr>
              <w:pStyle w:val="TableText"/>
              <w:jc w:val="left"/>
              <w:rPr>
                <w:bCs/>
              </w:rPr>
            </w:pPr>
            <w:r>
              <w:rPr>
                <w:bCs/>
              </w:rPr>
              <w:t xml:space="preserve">     </w:t>
            </w:r>
            <w:r w:rsidRPr="00DE0F5F">
              <w:rPr>
                <w:bCs/>
              </w:rPr>
              <w:t></w:t>
            </w:r>
            <w:r>
              <w:rPr>
                <w:bCs/>
              </w:rPr>
              <w:t xml:space="preserve"> </w:t>
            </w:r>
            <w:r w:rsidRPr="00DE0F5F">
              <w:rPr>
                <w:bCs/>
              </w:rPr>
              <w:t>Sales and services of educational activities</w:t>
            </w:r>
          </w:p>
          <w:p w14:paraId="7348F961" w14:textId="77777777" w:rsidR="00840E93" w:rsidRPr="00DE0F5F" w:rsidRDefault="00840E93" w:rsidP="00A25835">
            <w:pPr>
              <w:pStyle w:val="TableText"/>
              <w:jc w:val="left"/>
              <w:rPr>
                <w:bCs/>
              </w:rPr>
            </w:pPr>
            <w:r>
              <w:rPr>
                <w:bCs/>
              </w:rPr>
              <w:t xml:space="preserve">     </w:t>
            </w:r>
            <w:r w:rsidRPr="00DE0F5F">
              <w:rPr>
                <w:bCs/>
              </w:rPr>
              <w:t></w:t>
            </w:r>
            <w:r>
              <w:rPr>
                <w:bCs/>
              </w:rPr>
              <w:t xml:space="preserve"> </w:t>
            </w:r>
            <w:r w:rsidRPr="00DE0F5F">
              <w:rPr>
                <w:bCs/>
              </w:rPr>
              <w:t>Sales and services of auxiliary enterprises</w:t>
            </w:r>
          </w:p>
          <w:p w14:paraId="5193FCF1" w14:textId="77777777" w:rsidR="00840E93" w:rsidRPr="00DE0F5F" w:rsidRDefault="00840E93" w:rsidP="00A25835">
            <w:pPr>
              <w:pStyle w:val="TableText"/>
              <w:jc w:val="left"/>
              <w:rPr>
                <w:bCs/>
              </w:rPr>
            </w:pPr>
            <w:r>
              <w:rPr>
                <w:bCs/>
              </w:rPr>
              <w:t xml:space="preserve">     </w:t>
            </w:r>
            <w:r w:rsidRPr="00DE0F5F">
              <w:rPr>
                <w:bCs/>
              </w:rPr>
              <w:t></w:t>
            </w:r>
            <w:r>
              <w:rPr>
                <w:bCs/>
              </w:rPr>
              <w:t xml:space="preserve"> </w:t>
            </w:r>
            <w:r w:rsidRPr="00DE0F5F">
              <w:rPr>
                <w:bCs/>
              </w:rPr>
              <w:t>Other (explain in c</w:t>
            </w:r>
            <w:r>
              <w:rPr>
                <w:bCs/>
              </w:rPr>
              <w:t>ontext</w:t>
            </w:r>
            <w:r w:rsidRPr="00DE0F5F">
              <w:rPr>
                <w:bCs/>
              </w:rPr>
              <w:t xml:space="preserve"> box)</w:t>
            </w:r>
          </w:p>
          <w:p w14:paraId="355B8963" w14:textId="77777777" w:rsidR="00840E93" w:rsidRPr="00097B3C" w:rsidRDefault="00840E93" w:rsidP="00A25835">
            <w:pPr>
              <w:pStyle w:val="TableText"/>
              <w:jc w:val="left"/>
              <w:rPr>
                <w:bCs/>
                <w:i/>
              </w:rPr>
            </w:pPr>
            <w:r>
              <w:rPr>
                <w:bCs/>
              </w:rPr>
              <w:t xml:space="preserve">     </w:t>
            </w:r>
            <w:r w:rsidRPr="00DE0F5F">
              <w:rPr>
                <w:bCs/>
              </w:rPr>
              <w:t></w:t>
            </w:r>
            <w:r>
              <w:rPr>
                <w:bCs/>
              </w:rPr>
              <w:t xml:space="preserve"> </w:t>
            </w:r>
            <w:r w:rsidRPr="00DE0F5F">
              <w:rPr>
                <w:bCs/>
              </w:rPr>
              <w:t>Does not have intercollegiate athletics revenue</w:t>
            </w:r>
          </w:p>
        </w:tc>
        <w:tc>
          <w:tcPr>
            <w:tcW w:w="898" w:type="pct"/>
            <w:tcBorders>
              <w:left w:val="nil"/>
              <w:right w:val="nil"/>
            </w:tcBorders>
            <w:shd w:val="clear" w:color="auto" w:fill="auto"/>
          </w:tcPr>
          <w:p w14:paraId="13B25AA8" w14:textId="77777777" w:rsidR="00840E93" w:rsidRDefault="00840E93" w:rsidP="00A35425">
            <w:pPr>
              <w:pStyle w:val="TableTextCenter"/>
              <w:jc w:val="left"/>
            </w:pPr>
            <w:r>
              <w:t>2020-21</w:t>
            </w:r>
          </w:p>
        </w:tc>
        <w:tc>
          <w:tcPr>
            <w:tcW w:w="661" w:type="pct"/>
            <w:tcBorders>
              <w:left w:val="nil"/>
              <w:right w:val="nil"/>
            </w:tcBorders>
            <w:shd w:val="clear" w:color="auto" w:fill="auto"/>
          </w:tcPr>
          <w:p w14:paraId="3C4CA1A5" w14:textId="77777777" w:rsidR="00840E93" w:rsidRPr="00DE0F5F" w:rsidRDefault="00840E93" w:rsidP="00A35425">
            <w:pPr>
              <w:pStyle w:val="TableText"/>
              <w:jc w:val="left"/>
              <w:rPr>
                <w:bCs/>
              </w:rPr>
            </w:pPr>
            <w:r w:rsidRPr="00DE0F5F">
              <w:rPr>
                <w:bCs/>
              </w:rPr>
              <w:t>TRP on Financial Metrics (October 2018)</w:t>
            </w:r>
          </w:p>
        </w:tc>
        <w:tc>
          <w:tcPr>
            <w:tcW w:w="622" w:type="pct"/>
            <w:tcBorders>
              <w:left w:val="nil"/>
            </w:tcBorders>
            <w:shd w:val="clear" w:color="auto" w:fill="auto"/>
          </w:tcPr>
          <w:p w14:paraId="62E1FCC6" w14:textId="77777777" w:rsidR="00840E93" w:rsidRDefault="00840E93" w:rsidP="00A35425">
            <w:pPr>
              <w:pStyle w:val="TableText"/>
            </w:pPr>
            <w:r>
              <w:t>Minimal increase</w:t>
            </w:r>
          </w:p>
        </w:tc>
      </w:tr>
      <w:tr w:rsidR="00840E93" w14:paraId="34EAEAAD" w14:textId="77777777" w:rsidTr="00A35425">
        <w:trPr>
          <w:trHeight w:val="844"/>
        </w:trPr>
        <w:tc>
          <w:tcPr>
            <w:tcW w:w="2819" w:type="pct"/>
            <w:tcBorders>
              <w:right w:val="nil"/>
            </w:tcBorders>
            <w:shd w:val="clear" w:color="auto" w:fill="auto"/>
          </w:tcPr>
          <w:p w14:paraId="497EF119" w14:textId="7CD9D7A1" w:rsidR="00840E93" w:rsidRPr="00C96B96" w:rsidRDefault="00840E93" w:rsidP="00A25835">
            <w:pPr>
              <w:pStyle w:val="TableText"/>
              <w:jc w:val="left"/>
              <w:rPr>
                <w:bCs/>
                <w:i/>
                <w:color w:val="auto"/>
              </w:rPr>
            </w:pPr>
            <w:r w:rsidRPr="00C96B96">
              <w:rPr>
                <w:bCs/>
                <w:i/>
                <w:color w:val="auto"/>
              </w:rPr>
              <w:t>Degree-granting institutions only: Add new screen</w:t>
            </w:r>
            <w:r w:rsidR="00025B15" w:rsidRPr="00C96B96">
              <w:rPr>
                <w:bCs/>
                <w:i/>
                <w:color w:val="auto"/>
              </w:rPr>
              <w:t xml:space="preserve"> </w:t>
            </w:r>
            <w:r w:rsidRPr="00C96B96">
              <w:rPr>
                <w:bCs/>
                <w:i/>
                <w:color w:val="auto"/>
              </w:rPr>
              <w:t>to collect numerator and denominator for calculating financial health ratios</w:t>
            </w:r>
            <w:r w:rsidR="0018685F" w:rsidRPr="00C96B96">
              <w:rPr>
                <w:bCs/>
                <w:i/>
                <w:color w:val="auto"/>
              </w:rPr>
              <w:t xml:space="preserve"> (note: ratios will not be calculated</w:t>
            </w:r>
            <w:r w:rsidR="000A718E" w:rsidRPr="00C96B96">
              <w:rPr>
                <w:bCs/>
                <w:i/>
                <w:color w:val="auto"/>
              </w:rPr>
              <w:t xml:space="preserve">; terminology </w:t>
            </w:r>
            <w:r w:rsidR="002B0FE7" w:rsidRPr="00C96B96">
              <w:rPr>
                <w:bCs/>
                <w:i/>
                <w:color w:val="auto"/>
              </w:rPr>
              <w:t>changed to more</w:t>
            </w:r>
            <w:r w:rsidR="000A718E" w:rsidRPr="00C96B96">
              <w:rPr>
                <w:bCs/>
                <w:i/>
                <w:color w:val="auto"/>
              </w:rPr>
              <w:t xml:space="preserve"> </w:t>
            </w:r>
            <w:r w:rsidR="002B0FE7" w:rsidRPr="00C96B96">
              <w:rPr>
                <w:bCs/>
                <w:i/>
                <w:color w:val="auto"/>
              </w:rPr>
              <w:t>accurately</w:t>
            </w:r>
            <w:r w:rsidR="000A718E" w:rsidRPr="00C96B96">
              <w:rPr>
                <w:bCs/>
                <w:i/>
                <w:color w:val="auto"/>
              </w:rPr>
              <w:t xml:space="preserve"> reflect existing </w:t>
            </w:r>
            <w:r w:rsidR="00EC5867" w:rsidRPr="00C96B96">
              <w:rPr>
                <w:bCs/>
                <w:i/>
                <w:color w:val="auto"/>
              </w:rPr>
              <w:t>standards</w:t>
            </w:r>
            <w:r w:rsidR="000A718E" w:rsidRPr="00C96B96">
              <w:rPr>
                <w:bCs/>
                <w:i/>
                <w:color w:val="auto"/>
              </w:rPr>
              <w:t xml:space="preserve"> for FASB and for-profit institutions</w:t>
            </w:r>
            <w:r w:rsidR="0018685F" w:rsidRPr="00C96B96">
              <w:rPr>
                <w:bCs/>
                <w:i/>
                <w:color w:val="auto"/>
              </w:rPr>
              <w:t>)</w:t>
            </w:r>
          </w:p>
          <w:p w14:paraId="18F1D2DA" w14:textId="5B9AD61F" w:rsidR="00615D91" w:rsidRPr="00C96B96" w:rsidRDefault="0070385D" w:rsidP="00A25835">
            <w:pPr>
              <w:pStyle w:val="TableText"/>
              <w:jc w:val="left"/>
              <w:rPr>
                <w:bCs/>
                <w:i/>
                <w:color w:val="auto"/>
              </w:rPr>
            </w:pPr>
            <w:r w:rsidRPr="00C96B96">
              <w:rPr>
                <w:bCs/>
                <w:i/>
                <w:color w:val="auto"/>
              </w:rPr>
              <w:t>GASB</w:t>
            </w:r>
            <w:r w:rsidR="00112AF7" w:rsidRPr="00C96B96">
              <w:rPr>
                <w:bCs/>
                <w:i/>
                <w:color w:val="auto"/>
              </w:rPr>
              <w:t xml:space="preserve"> </w:t>
            </w:r>
            <w:r w:rsidRPr="00C96B96">
              <w:rPr>
                <w:bCs/>
                <w:i/>
                <w:color w:val="auto"/>
              </w:rPr>
              <w:t>/FASB/</w:t>
            </w:r>
            <w:r w:rsidR="00112AF7" w:rsidRPr="00C96B96">
              <w:rPr>
                <w:bCs/>
                <w:i/>
                <w:color w:val="auto"/>
              </w:rPr>
              <w:t xml:space="preserve"> </w:t>
            </w:r>
            <w:r w:rsidRPr="00C96B96">
              <w:rPr>
                <w:bCs/>
                <w:i/>
                <w:color w:val="auto"/>
              </w:rPr>
              <w:t>For profit</w:t>
            </w:r>
          </w:p>
          <w:p w14:paraId="25F4295F" w14:textId="4715AFA2" w:rsidR="00840E93" w:rsidRPr="00C96B96" w:rsidRDefault="00840E93" w:rsidP="00A25835">
            <w:pPr>
              <w:pStyle w:val="TableText"/>
              <w:jc w:val="left"/>
              <w:rPr>
                <w:bCs/>
                <w:color w:val="auto"/>
              </w:rPr>
            </w:pPr>
            <w:r w:rsidRPr="00C96B96">
              <w:rPr>
                <w:bCs/>
                <w:color w:val="auto"/>
              </w:rPr>
              <w:t xml:space="preserve">01 </w:t>
            </w:r>
            <w:r w:rsidR="00864C95" w:rsidRPr="00C96B96">
              <w:rPr>
                <w:bCs/>
                <w:color w:val="auto"/>
              </w:rPr>
              <w:t>Operating income (loss) + net nonoperating revenues (expenses)</w:t>
            </w:r>
            <w:r w:rsidR="0038251F" w:rsidRPr="00C96B96">
              <w:rPr>
                <w:bCs/>
                <w:color w:val="auto"/>
              </w:rPr>
              <w:t>/</w:t>
            </w:r>
            <w:r w:rsidR="00E87C75" w:rsidRPr="00C96B96">
              <w:rPr>
                <w:bCs/>
                <w:color w:val="auto"/>
              </w:rPr>
              <w:t xml:space="preserve"> </w:t>
            </w:r>
            <w:r w:rsidR="0038251F" w:rsidRPr="00C96B96">
              <w:rPr>
                <w:bCs/>
                <w:color w:val="auto"/>
              </w:rPr>
              <w:t>Changes in unrestricted net assets/</w:t>
            </w:r>
            <w:r w:rsidR="00112AF7" w:rsidRPr="00C96B96">
              <w:rPr>
                <w:bCs/>
                <w:color w:val="auto"/>
              </w:rPr>
              <w:t xml:space="preserve"> </w:t>
            </w:r>
            <w:r w:rsidR="0038251F" w:rsidRPr="00C96B96">
              <w:rPr>
                <w:bCs/>
                <w:color w:val="auto"/>
              </w:rPr>
              <w:t>Pretax income</w:t>
            </w:r>
          </w:p>
          <w:p w14:paraId="22E3DA76" w14:textId="2033029D" w:rsidR="00840E93" w:rsidRPr="00C96B96" w:rsidRDefault="00840E93" w:rsidP="00A25835">
            <w:pPr>
              <w:pStyle w:val="TableText"/>
              <w:jc w:val="left"/>
              <w:rPr>
                <w:bCs/>
                <w:color w:val="auto"/>
              </w:rPr>
            </w:pPr>
            <w:r w:rsidRPr="00C96B96">
              <w:rPr>
                <w:bCs/>
                <w:color w:val="auto"/>
              </w:rPr>
              <w:t>0</w:t>
            </w:r>
            <w:r w:rsidR="00471CD1" w:rsidRPr="00C96B96">
              <w:rPr>
                <w:bCs/>
                <w:color w:val="auto"/>
              </w:rPr>
              <w:t>2</w:t>
            </w:r>
            <w:r w:rsidRPr="00C96B96">
              <w:rPr>
                <w:bCs/>
                <w:color w:val="auto"/>
              </w:rPr>
              <w:t xml:space="preserve"> </w:t>
            </w:r>
            <w:r w:rsidR="00864C95" w:rsidRPr="00C96B96">
              <w:rPr>
                <w:bCs/>
                <w:color w:val="auto"/>
              </w:rPr>
              <w:t>Operating revenues + nonoperating revenues</w:t>
            </w:r>
            <w:r w:rsidR="0038251F" w:rsidRPr="00C96B96">
              <w:rPr>
                <w:bCs/>
                <w:color w:val="auto"/>
              </w:rPr>
              <w:t>/</w:t>
            </w:r>
            <w:r w:rsidR="00E87C75" w:rsidRPr="00C96B96">
              <w:rPr>
                <w:bCs/>
                <w:color w:val="auto"/>
              </w:rPr>
              <w:t xml:space="preserve"> </w:t>
            </w:r>
            <w:r w:rsidR="0038251F" w:rsidRPr="00C96B96">
              <w:rPr>
                <w:bCs/>
                <w:color w:val="auto"/>
              </w:rPr>
              <w:t>Total unrestricted operating revenues/</w:t>
            </w:r>
            <w:r w:rsidR="00112AF7" w:rsidRPr="00C96B96">
              <w:rPr>
                <w:bCs/>
                <w:color w:val="auto"/>
              </w:rPr>
              <w:t xml:space="preserve"> </w:t>
            </w:r>
            <w:r w:rsidR="0026675E" w:rsidRPr="00C96B96">
              <w:rPr>
                <w:bCs/>
                <w:color w:val="auto"/>
              </w:rPr>
              <w:t>Total revenues</w:t>
            </w:r>
            <w:r w:rsidR="00C944F2" w:rsidRPr="00C96B96">
              <w:rPr>
                <w:bCs/>
                <w:color w:val="auto"/>
              </w:rPr>
              <w:t xml:space="preserve"> (preloaded)</w:t>
            </w:r>
          </w:p>
          <w:p w14:paraId="3ACCC28A" w14:textId="2662325E" w:rsidR="00840E93" w:rsidRPr="00C96B96" w:rsidRDefault="00840E93" w:rsidP="00A25835">
            <w:pPr>
              <w:pStyle w:val="TableText"/>
              <w:jc w:val="left"/>
              <w:rPr>
                <w:bCs/>
                <w:color w:val="auto"/>
              </w:rPr>
            </w:pPr>
            <w:r w:rsidRPr="00C96B96">
              <w:rPr>
                <w:bCs/>
                <w:color w:val="auto"/>
              </w:rPr>
              <w:t>0</w:t>
            </w:r>
            <w:r w:rsidR="00895474" w:rsidRPr="00C96B96">
              <w:rPr>
                <w:bCs/>
                <w:color w:val="auto"/>
              </w:rPr>
              <w:t>3</w:t>
            </w:r>
            <w:r w:rsidRPr="00C96B96">
              <w:rPr>
                <w:bCs/>
                <w:color w:val="auto"/>
              </w:rPr>
              <w:t xml:space="preserve"> </w:t>
            </w:r>
            <w:r w:rsidR="00864C95" w:rsidRPr="00C96B96">
              <w:rPr>
                <w:bCs/>
                <w:color w:val="auto"/>
              </w:rPr>
              <w:t xml:space="preserve">Change in net </w:t>
            </w:r>
            <w:r w:rsidR="00895474" w:rsidRPr="00C96B96">
              <w:rPr>
                <w:bCs/>
                <w:color w:val="auto"/>
              </w:rPr>
              <w:t>position</w:t>
            </w:r>
            <w:r w:rsidR="0026675E" w:rsidRPr="00C96B96">
              <w:rPr>
                <w:bCs/>
                <w:color w:val="auto"/>
              </w:rPr>
              <w:t>/</w:t>
            </w:r>
            <w:r w:rsidR="00112AF7" w:rsidRPr="00C96B96">
              <w:rPr>
                <w:bCs/>
                <w:color w:val="auto"/>
              </w:rPr>
              <w:t xml:space="preserve"> </w:t>
            </w:r>
            <w:r w:rsidR="0026675E" w:rsidRPr="00C96B96">
              <w:rPr>
                <w:bCs/>
                <w:color w:val="auto"/>
              </w:rPr>
              <w:t>Change in net assets</w:t>
            </w:r>
            <w:r w:rsidR="00E87C75" w:rsidRPr="00C96B96">
              <w:rPr>
                <w:bCs/>
                <w:color w:val="auto"/>
              </w:rPr>
              <w:t xml:space="preserve"> (preloaded)</w:t>
            </w:r>
            <w:r w:rsidR="0026675E" w:rsidRPr="00C96B96">
              <w:rPr>
                <w:bCs/>
                <w:color w:val="auto"/>
              </w:rPr>
              <w:t>/</w:t>
            </w:r>
            <w:r w:rsidR="00E87C75" w:rsidRPr="00C96B96">
              <w:rPr>
                <w:bCs/>
                <w:color w:val="auto"/>
              </w:rPr>
              <w:t xml:space="preserve"> </w:t>
            </w:r>
            <w:r w:rsidR="0026675E" w:rsidRPr="00C96B96">
              <w:rPr>
                <w:bCs/>
                <w:color w:val="auto"/>
              </w:rPr>
              <w:t>Total equity</w:t>
            </w:r>
            <w:r w:rsidR="00C944F2" w:rsidRPr="00C96B96">
              <w:rPr>
                <w:bCs/>
                <w:color w:val="auto"/>
              </w:rPr>
              <w:t xml:space="preserve"> (preloaded)</w:t>
            </w:r>
          </w:p>
          <w:p w14:paraId="51C755B4" w14:textId="712B54D4" w:rsidR="00C62C22" w:rsidRPr="00C96B96" w:rsidRDefault="00C62C22" w:rsidP="00A25835">
            <w:pPr>
              <w:pStyle w:val="TableText"/>
              <w:jc w:val="left"/>
              <w:rPr>
                <w:bCs/>
                <w:color w:val="auto"/>
              </w:rPr>
            </w:pPr>
            <w:r w:rsidRPr="00C96B96">
              <w:rPr>
                <w:bCs/>
                <w:color w:val="auto"/>
              </w:rPr>
              <w:t>04 Net position</w:t>
            </w:r>
            <w:r w:rsidR="0026675E" w:rsidRPr="00C96B96">
              <w:rPr>
                <w:bCs/>
                <w:color w:val="auto"/>
              </w:rPr>
              <w:t>/Total net assets</w:t>
            </w:r>
            <w:r w:rsidR="00E87C75" w:rsidRPr="00C96B96">
              <w:rPr>
                <w:bCs/>
                <w:color w:val="auto"/>
              </w:rPr>
              <w:t xml:space="preserve"> (preloaded)</w:t>
            </w:r>
            <w:r w:rsidR="0026675E" w:rsidRPr="00C96B96">
              <w:rPr>
                <w:bCs/>
                <w:color w:val="auto"/>
              </w:rPr>
              <w:t>/</w:t>
            </w:r>
            <w:r w:rsidR="00E87C75" w:rsidRPr="00C96B96">
              <w:rPr>
                <w:bCs/>
                <w:color w:val="auto"/>
              </w:rPr>
              <w:t xml:space="preserve"> </w:t>
            </w:r>
            <w:r w:rsidR="00153DBB" w:rsidRPr="00C96B96">
              <w:rPr>
                <w:bCs/>
                <w:color w:val="auto"/>
              </w:rPr>
              <w:t>Total assets</w:t>
            </w:r>
            <w:r w:rsidR="00C944F2" w:rsidRPr="00C96B96">
              <w:rPr>
                <w:bCs/>
                <w:color w:val="auto"/>
              </w:rPr>
              <w:t xml:space="preserve"> (preloaded)</w:t>
            </w:r>
          </w:p>
          <w:p w14:paraId="20D10366" w14:textId="427A841E" w:rsidR="00840E93" w:rsidRPr="00C96B96" w:rsidRDefault="00C62C22" w:rsidP="00A25835">
            <w:pPr>
              <w:pStyle w:val="TableText"/>
              <w:jc w:val="left"/>
              <w:rPr>
                <w:bCs/>
                <w:color w:val="auto"/>
              </w:rPr>
            </w:pPr>
            <w:r w:rsidRPr="00C96B96">
              <w:rPr>
                <w:bCs/>
                <w:color w:val="auto"/>
              </w:rPr>
              <w:t>05</w:t>
            </w:r>
            <w:r w:rsidR="00840E93" w:rsidRPr="00C96B96">
              <w:rPr>
                <w:bCs/>
                <w:color w:val="auto"/>
              </w:rPr>
              <w:t xml:space="preserve"> </w:t>
            </w:r>
            <w:r w:rsidR="00864C95" w:rsidRPr="00C96B96">
              <w:rPr>
                <w:bCs/>
                <w:color w:val="auto"/>
              </w:rPr>
              <w:t>Expendable net assets</w:t>
            </w:r>
            <w:r w:rsidR="00153DBB" w:rsidRPr="00C96B96">
              <w:rPr>
                <w:bCs/>
                <w:color w:val="auto"/>
              </w:rPr>
              <w:t>/ Expendable net assets/</w:t>
            </w:r>
            <w:r w:rsidR="00112AF7" w:rsidRPr="00C96B96">
              <w:rPr>
                <w:bCs/>
                <w:color w:val="auto"/>
              </w:rPr>
              <w:t xml:space="preserve"> </w:t>
            </w:r>
            <w:r w:rsidR="00153DBB" w:rsidRPr="00C96B96">
              <w:rPr>
                <w:bCs/>
                <w:color w:val="auto"/>
              </w:rPr>
              <w:t>Adjusted equity</w:t>
            </w:r>
          </w:p>
          <w:p w14:paraId="0D7C303C" w14:textId="63E77B85" w:rsidR="00840E93" w:rsidRPr="00C96B96" w:rsidRDefault="001862B5" w:rsidP="00A25835">
            <w:pPr>
              <w:pStyle w:val="TableText"/>
              <w:jc w:val="left"/>
              <w:rPr>
                <w:bCs/>
                <w:color w:val="auto"/>
              </w:rPr>
            </w:pPr>
            <w:r w:rsidRPr="00C96B96">
              <w:rPr>
                <w:bCs/>
                <w:color w:val="auto"/>
              </w:rPr>
              <w:t>06</w:t>
            </w:r>
            <w:r w:rsidR="00840E93" w:rsidRPr="00C96B96">
              <w:rPr>
                <w:bCs/>
                <w:color w:val="auto"/>
              </w:rPr>
              <w:t xml:space="preserve"> Plant-related debt</w:t>
            </w:r>
            <w:r w:rsidR="000A3C77" w:rsidRPr="00C96B96">
              <w:rPr>
                <w:bCs/>
                <w:color w:val="auto"/>
              </w:rPr>
              <w:t>/ Plant-related debt</w:t>
            </w:r>
            <w:r w:rsidR="00112AF7" w:rsidRPr="00C96B96">
              <w:rPr>
                <w:bCs/>
                <w:color w:val="auto"/>
              </w:rPr>
              <w:t xml:space="preserve"> (preloaded)</w:t>
            </w:r>
            <w:r w:rsidR="000A3C77" w:rsidRPr="00C96B96">
              <w:rPr>
                <w:bCs/>
                <w:color w:val="auto"/>
              </w:rPr>
              <w:t>/</w:t>
            </w:r>
            <w:r w:rsidR="00112AF7" w:rsidRPr="00C96B96">
              <w:rPr>
                <w:bCs/>
                <w:color w:val="auto"/>
              </w:rPr>
              <w:t xml:space="preserve"> </w:t>
            </w:r>
            <w:r w:rsidR="000A3C77" w:rsidRPr="00C96B96">
              <w:rPr>
                <w:bCs/>
                <w:color w:val="auto"/>
              </w:rPr>
              <w:t>Plant-related debt (preloaded)</w:t>
            </w:r>
          </w:p>
          <w:p w14:paraId="2861B61E" w14:textId="0BB1A4D4" w:rsidR="0041090D" w:rsidRPr="00C96B96" w:rsidRDefault="001862B5" w:rsidP="00112AF7">
            <w:pPr>
              <w:pStyle w:val="TableText"/>
              <w:jc w:val="left"/>
              <w:rPr>
                <w:bCs/>
                <w:color w:val="auto"/>
              </w:rPr>
            </w:pPr>
            <w:r w:rsidRPr="00C96B96">
              <w:rPr>
                <w:bCs/>
                <w:color w:val="auto"/>
              </w:rPr>
              <w:t>07</w:t>
            </w:r>
            <w:r w:rsidR="00840E93" w:rsidRPr="00C96B96">
              <w:rPr>
                <w:bCs/>
                <w:color w:val="auto"/>
              </w:rPr>
              <w:t xml:space="preserve"> Total expenses</w:t>
            </w:r>
            <w:r w:rsidR="000A3C77" w:rsidRPr="00C96B96">
              <w:rPr>
                <w:bCs/>
                <w:color w:val="auto"/>
              </w:rPr>
              <w:t>/ Total expenses</w:t>
            </w:r>
            <w:r w:rsidR="00112AF7" w:rsidRPr="00C96B96">
              <w:rPr>
                <w:bCs/>
                <w:color w:val="auto"/>
              </w:rPr>
              <w:t xml:space="preserve"> (preloaded)</w:t>
            </w:r>
            <w:r w:rsidR="000A3C77" w:rsidRPr="00C96B96">
              <w:rPr>
                <w:bCs/>
                <w:color w:val="auto"/>
              </w:rPr>
              <w:t>/ Total expenses (preloaded)</w:t>
            </w:r>
          </w:p>
        </w:tc>
        <w:tc>
          <w:tcPr>
            <w:tcW w:w="898" w:type="pct"/>
            <w:tcBorders>
              <w:left w:val="nil"/>
              <w:right w:val="nil"/>
            </w:tcBorders>
            <w:shd w:val="clear" w:color="auto" w:fill="auto"/>
          </w:tcPr>
          <w:p w14:paraId="47945B2A" w14:textId="77777777" w:rsidR="00840E93" w:rsidRDefault="00840E93" w:rsidP="00A35425">
            <w:pPr>
              <w:pStyle w:val="TableTextCenter"/>
              <w:jc w:val="left"/>
            </w:pPr>
            <w:r>
              <w:t>2020-21</w:t>
            </w:r>
          </w:p>
        </w:tc>
        <w:tc>
          <w:tcPr>
            <w:tcW w:w="661" w:type="pct"/>
            <w:tcBorders>
              <w:left w:val="nil"/>
              <w:right w:val="nil"/>
            </w:tcBorders>
            <w:shd w:val="clear" w:color="auto" w:fill="auto"/>
          </w:tcPr>
          <w:p w14:paraId="217A31ED" w14:textId="77777777" w:rsidR="00840E93" w:rsidRPr="00DE0F5F" w:rsidRDefault="00840E93" w:rsidP="00A35425">
            <w:pPr>
              <w:pStyle w:val="TableText"/>
              <w:jc w:val="left"/>
              <w:rPr>
                <w:bCs/>
              </w:rPr>
            </w:pPr>
            <w:r w:rsidRPr="00DE0F5F">
              <w:rPr>
                <w:bCs/>
              </w:rPr>
              <w:t>TRP on Financial Metrics (October 2018)</w:t>
            </w:r>
          </w:p>
        </w:tc>
        <w:tc>
          <w:tcPr>
            <w:tcW w:w="622" w:type="pct"/>
            <w:tcBorders>
              <w:left w:val="nil"/>
            </w:tcBorders>
            <w:shd w:val="clear" w:color="auto" w:fill="auto"/>
          </w:tcPr>
          <w:p w14:paraId="67DA1881" w14:textId="77777777" w:rsidR="00840E93" w:rsidRDefault="00840E93" w:rsidP="00A35425">
            <w:pPr>
              <w:pStyle w:val="TableText"/>
            </w:pPr>
            <w:r>
              <w:t>Minimal increase</w:t>
            </w:r>
          </w:p>
        </w:tc>
      </w:tr>
      <w:tr w:rsidR="00840E93" w14:paraId="2F066B87" w14:textId="77777777" w:rsidTr="00947DA4">
        <w:trPr>
          <w:trHeight w:val="664"/>
        </w:trPr>
        <w:tc>
          <w:tcPr>
            <w:tcW w:w="2819" w:type="pct"/>
            <w:tcBorders>
              <w:right w:val="nil"/>
            </w:tcBorders>
            <w:shd w:val="clear" w:color="auto" w:fill="auto"/>
          </w:tcPr>
          <w:p w14:paraId="3339B236" w14:textId="689CB291" w:rsidR="00840E93" w:rsidRDefault="00840E93" w:rsidP="00A35425">
            <w:pPr>
              <w:pStyle w:val="TableText"/>
              <w:jc w:val="left"/>
              <w:rPr>
                <w:bCs/>
                <w:i/>
              </w:rPr>
            </w:pPr>
            <w:r w:rsidRPr="00292844">
              <w:rPr>
                <w:bCs/>
                <w:i/>
              </w:rPr>
              <w:t>All institutions: Add new screen</w:t>
            </w:r>
            <w:r w:rsidR="00663CB3">
              <w:rPr>
                <w:bCs/>
                <w:i/>
              </w:rPr>
              <w:t xml:space="preserve"> </w:t>
            </w:r>
            <w:r w:rsidRPr="00292844">
              <w:rPr>
                <w:bCs/>
                <w:i/>
              </w:rPr>
              <w:t xml:space="preserve">to collect sources of discounts </w:t>
            </w:r>
            <w:r w:rsidR="00DD0011">
              <w:rPr>
                <w:bCs/>
                <w:i/>
              </w:rPr>
              <w:t>and</w:t>
            </w:r>
            <w:r w:rsidRPr="00292844">
              <w:rPr>
                <w:bCs/>
                <w:i/>
              </w:rPr>
              <w:t xml:space="preserve"> allowances</w:t>
            </w:r>
          </w:p>
          <w:p w14:paraId="47768068" w14:textId="77B23C3A" w:rsidR="00840E93" w:rsidRDefault="00840E93" w:rsidP="00A35425">
            <w:pPr>
              <w:pStyle w:val="TableText"/>
              <w:jc w:val="left"/>
              <w:rPr>
                <w:bCs/>
              </w:rPr>
            </w:pPr>
            <w:r>
              <w:rPr>
                <w:bCs/>
              </w:rPr>
              <w:t xml:space="preserve">Collect tuition and fees discounts </w:t>
            </w:r>
            <w:r w:rsidR="00DD0011">
              <w:rPr>
                <w:bCs/>
              </w:rPr>
              <w:t>and</w:t>
            </w:r>
            <w:r>
              <w:rPr>
                <w:bCs/>
              </w:rPr>
              <w:t xml:space="preserve"> allowances and auxiliary enterprises discounts and allowances (then calculate a total) for:</w:t>
            </w:r>
          </w:p>
          <w:p w14:paraId="2828F7DD" w14:textId="77777777" w:rsidR="00840E93" w:rsidRDefault="00840E93" w:rsidP="00A35425">
            <w:pPr>
              <w:pStyle w:val="TableText"/>
              <w:jc w:val="left"/>
              <w:rPr>
                <w:bCs/>
              </w:rPr>
            </w:pPr>
            <w:r>
              <w:rPr>
                <w:bCs/>
              </w:rPr>
              <w:t>01 Pell grants (federal)</w:t>
            </w:r>
          </w:p>
          <w:p w14:paraId="46B9AA35" w14:textId="77777777" w:rsidR="00840E93" w:rsidRDefault="00840E93" w:rsidP="00A35425">
            <w:pPr>
              <w:pStyle w:val="TableText"/>
              <w:jc w:val="left"/>
              <w:rPr>
                <w:bCs/>
              </w:rPr>
            </w:pPr>
            <w:r>
              <w:rPr>
                <w:bCs/>
              </w:rPr>
              <w:t>02 Other federal grants (Do NOT include FDSL amounts)</w:t>
            </w:r>
          </w:p>
          <w:p w14:paraId="5BC393AF" w14:textId="77777777" w:rsidR="00840E93" w:rsidRDefault="00840E93" w:rsidP="00A35425">
            <w:pPr>
              <w:pStyle w:val="TableText"/>
              <w:jc w:val="left"/>
              <w:rPr>
                <w:bCs/>
              </w:rPr>
            </w:pPr>
            <w:r>
              <w:rPr>
                <w:bCs/>
              </w:rPr>
              <w:t>03 Grants by state government</w:t>
            </w:r>
          </w:p>
          <w:p w14:paraId="79059802" w14:textId="77777777" w:rsidR="00840E93" w:rsidRDefault="00840E93" w:rsidP="00A35425">
            <w:pPr>
              <w:pStyle w:val="TableText"/>
              <w:jc w:val="left"/>
              <w:rPr>
                <w:bCs/>
              </w:rPr>
            </w:pPr>
            <w:r>
              <w:rPr>
                <w:bCs/>
              </w:rPr>
              <w:t>04 Grants by local government</w:t>
            </w:r>
          </w:p>
          <w:p w14:paraId="66A57318" w14:textId="77777777" w:rsidR="00840E93" w:rsidRDefault="00840E93" w:rsidP="00A35425">
            <w:pPr>
              <w:pStyle w:val="TableText"/>
              <w:jc w:val="left"/>
              <w:rPr>
                <w:bCs/>
              </w:rPr>
            </w:pPr>
            <w:r>
              <w:rPr>
                <w:bCs/>
              </w:rPr>
              <w:t>05 Endowments and gifts</w:t>
            </w:r>
          </w:p>
          <w:p w14:paraId="743D4EFC" w14:textId="77777777" w:rsidR="00840E93" w:rsidRDefault="00840E93" w:rsidP="00A35425">
            <w:pPr>
              <w:pStyle w:val="TableText"/>
              <w:jc w:val="left"/>
              <w:rPr>
                <w:bCs/>
              </w:rPr>
            </w:pPr>
            <w:r>
              <w:rPr>
                <w:bCs/>
              </w:rPr>
              <w:t>06 Other institutional sources (calculated value = 07 – (sum of 01 through 05))</w:t>
            </w:r>
          </w:p>
          <w:p w14:paraId="6F0C0FA2" w14:textId="77777777" w:rsidR="00840E93" w:rsidRPr="00292844" w:rsidRDefault="00840E93" w:rsidP="00A35425">
            <w:pPr>
              <w:pStyle w:val="TableText"/>
              <w:jc w:val="left"/>
              <w:rPr>
                <w:bCs/>
              </w:rPr>
            </w:pPr>
            <w:r>
              <w:rPr>
                <w:bCs/>
              </w:rPr>
              <w:t>07 Total (preloaded into new screen)</w:t>
            </w:r>
          </w:p>
        </w:tc>
        <w:tc>
          <w:tcPr>
            <w:tcW w:w="898" w:type="pct"/>
            <w:tcBorders>
              <w:left w:val="nil"/>
              <w:right w:val="nil"/>
            </w:tcBorders>
            <w:shd w:val="clear" w:color="auto" w:fill="auto"/>
          </w:tcPr>
          <w:p w14:paraId="3CC09DE2" w14:textId="77777777" w:rsidR="00840E93" w:rsidRDefault="00840E93" w:rsidP="00A35425">
            <w:pPr>
              <w:pStyle w:val="TableTextCenter"/>
              <w:jc w:val="left"/>
            </w:pPr>
            <w:r>
              <w:t>2020-21</w:t>
            </w:r>
          </w:p>
        </w:tc>
        <w:tc>
          <w:tcPr>
            <w:tcW w:w="661" w:type="pct"/>
            <w:tcBorders>
              <w:left w:val="nil"/>
              <w:right w:val="nil"/>
            </w:tcBorders>
            <w:shd w:val="clear" w:color="auto" w:fill="auto"/>
          </w:tcPr>
          <w:p w14:paraId="4475AD76" w14:textId="77777777" w:rsidR="00840E93" w:rsidRPr="00DE0F5F" w:rsidRDefault="00840E93" w:rsidP="00A35425">
            <w:pPr>
              <w:pStyle w:val="TableText"/>
              <w:jc w:val="left"/>
              <w:rPr>
                <w:bCs/>
              </w:rPr>
            </w:pPr>
            <w:r w:rsidRPr="00DE0F5F">
              <w:rPr>
                <w:bCs/>
              </w:rPr>
              <w:t>TRP on Financial Metrics (October 2018)</w:t>
            </w:r>
          </w:p>
        </w:tc>
        <w:tc>
          <w:tcPr>
            <w:tcW w:w="622" w:type="pct"/>
            <w:tcBorders>
              <w:left w:val="nil"/>
            </w:tcBorders>
            <w:shd w:val="clear" w:color="auto" w:fill="auto"/>
          </w:tcPr>
          <w:p w14:paraId="718C50D8" w14:textId="77777777" w:rsidR="00840E93" w:rsidRDefault="00840E93" w:rsidP="00A35425">
            <w:pPr>
              <w:pStyle w:val="TableText"/>
            </w:pPr>
            <w:r>
              <w:t>Moderate increase, especially in year 1</w:t>
            </w:r>
          </w:p>
        </w:tc>
      </w:tr>
      <w:tr w:rsidR="00840E93" w14:paraId="0125FC71" w14:textId="77777777" w:rsidTr="00A35425">
        <w:trPr>
          <w:trHeight w:val="844"/>
        </w:trPr>
        <w:tc>
          <w:tcPr>
            <w:tcW w:w="2819" w:type="pct"/>
            <w:tcBorders>
              <w:right w:val="nil"/>
            </w:tcBorders>
            <w:shd w:val="clear" w:color="auto" w:fill="auto"/>
          </w:tcPr>
          <w:p w14:paraId="2457D3AA" w14:textId="5C297C3E" w:rsidR="00840E93" w:rsidRDefault="00840E93" w:rsidP="00947DA4">
            <w:pPr>
              <w:pStyle w:val="TableText"/>
              <w:jc w:val="left"/>
              <w:rPr>
                <w:bCs/>
                <w:i/>
              </w:rPr>
            </w:pPr>
            <w:r w:rsidRPr="00292844">
              <w:rPr>
                <w:bCs/>
                <w:i/>
              </w:rPr>
              <w:t>GASB and FASB not-for-profit institutions only: Add fields to collect detail on changes to endowment net assets</w:t>
            </w:r>
            <w:r>
              <w:rPr>
                <w:bCs/>
                <w:i/>
              </w:rPr>
              <w:t>. This included new data elements added to Part H and rewording:</w:t>
            </w:r>
          </w:p>
          <w:p w14:paraId="585FEE62" w14:textId="77777777" w:rsidR="00840E93" w:rsidRDefault="00840E93" w:rsidP="00947DA4">
            <w:pPr>
              <w:pStyle w:val="TableText"/>
              <w:jc w:val="left"/>
              <w:rPr>
                <w:bCs/>
              </w:rPr>
            </w:pPr>
            <w:r>
              <w:rPr>
                <w:bCs/>
              </w:rPr>
              <w:t>Rewording of “endowment assets” to “endowment net assets”</w:t>
            </w:r>
          </w:p>
          <w:p w14:paraId="4BA35B40" w14:textId="77777777" w:rsidR="0005605E" w:rsidRDefault="0005605E" w:rsidP="00947DA4">
            <w:pPr>
              <w:pStyle w:val="TableText"/>
              <w:jc w:val="left"/>
              <w:rPr>
                <w:rFonts w:eastAsia="Arial"/>
                <w:bCs/>
                <w:spacing w:val="1"/>
              </w:rPr>
            </w:pPr>
            <w:r>
              <w:rPr>
                <w:rFonts w:eastAsia="Arial"/>
                <w:bCs/>
                <w:spacing w:val="1"/>
              </w:rPr>
              <w:t>Added lines 03-03d to Part H to collect more detail on the change in endowments (see below)</w:t>
            </w:r>
          </w:p>
          <w:p w14:paraId="5384D7D3" w14:textId="54F0845C" w:rsidR="00840E93" w:rsidRDefault="00840E93" w:rsidP="00947DA4">
            <w:pPr>
              <w:pStyle w:val="TableText"/>
              <w:jc w:val="left"/>
              <w:rPr>
                <w:bCs/>
              </w:rPr>
            </w:pPr>
            <w:r>
              <w:rPr>
                <w:bCs/>
              </w:rPr>
              <w:t xml:space="preserve">03 </w:t>
            </w:r>
            <w:r w:rsidRPr="00292844">
              <w:rPr>
                <w:bCs/>
              </w:rPr>
              <w:t>Change in value of endowment net assets</w:t>
            </w:r>
            <w:r>
              <w:rPr>
                <w:bCs/>
              </w:rPr>
              <w:t xml:space="preserve"> (calculated value = </w:t>
            </w:r>
            <w:r w:rsidRPr="00292844">
              <w:rPr>
                <w:bCs/>
              </w:rPr>
              <w:t>02</w:t>
            </w:r>
            <w:r>
              <w:rPr>
                <w:bCs/>
              </w:rPr>
              <w:t xml:space="preserve"> </w:t>
            </w:r>
            <w:r w:rsidRPr="00292844">
              <w:rPr>
                <w:bCs/>
              </w:rPr>
              <w:t>-</w:t>
            </w:r>
            <w:r>
              <w:rPr>
                <w:bCs/>
              </w:rPr>
              <w:t xml:space="preserve"> </w:t>
            </w:r>
            <w:r w:rsidRPr="00292844">
              <w:rPr>
                <w:bCs/>
              </w:rPr>
              <w:t>01</w:t>
            </w:r>
            <w:r>
              <w:rPr>
                <w:bCs/>
              </w:rPr>
              <w:t>)</w:t>
            </w:r>
          </w:p>
          <w:p w14:paraId="2A5897B0" w14:textId="77777777" w:rsidR="00840E93" w:rsidRDefault="00840E93" w:rsidP="00947DA4">
            <w:pPr>
              <w:pStyle w:val="TableText"/>
              <w:jc w:val="left"/>
              <w:rPr>
                <w:bCs/>
              </w:rPr>
            </w:pPr>
            <w:r>
              <w:rPr>
                <w:bCs/>
              </w:rPr>
              <w:t xml:space="preserve">     03a New gifts and additions</w:t>
            </w:r>
          </w:p>
          <w:p w14:paraId="23C01334" w14:textId="77777777" w:rsidR="00840E93" w:rsidRDefault="00840E93" w:rsidP="00947DA4">
            <w:pPr>
              <w:pStyle w:val="TableText"/>
              <w:jc w:val="left"/>
              <w:rPr>
                <w:bCs/>
              </w:rPr>
            </w:pPr>
            <w:r>
              <w:rPr>
                <w:bCs/>
              </w:rPr>
              <w:t xml:space="preserve">     03b Endowment and investment return</w:t>
            </w:r>
          </w:p>
          <w:p w14:paraId="1AAD8AAF" w14:textId="77777777" w:rsidR="00840E93" w:rsidRDefault="00840E93" w:rsidP="00947DA4">
            <w:pPr>
              <w:pStyle w:val="TableText"/>
              <w:jc w:val="left"/>
              <w:rPr>
                <w:bCs/>
              </w:rPr>
            </w:pPr>
            <w:r>
              <w:rPr>
                <w:bCs/>
              </w:rPr>
              <w:t xml:space="preserve">     03c Spending distribution use</w:t>
            </w:r>
          </w:p>
          <w:p w14:paraId="0EAE186B" w14:textId="77777777" w:rsidR="00840E93" w:rsidRPr="00292844" w:rsidRDefault="00840E93" w:rsidP="00947DA4">
            <w:pPr>
              <w:pStyle w:val="TableText"/>
              <w:jc w:val="left"/>
              <w:rPr>
                <w:bCs/>
              </w:rPr>
            </w:pPr>
            <w:r>
              <w:rPr>
                <w:bCs/>
              </w:rPr>
              <w:t xml:space="preserve">     03d Other (calculated value 03 – (03a+03b+03c)</w:t>
            </w:r>
          </w:p>
        </w:tc>
        <w:tc>
          <w:tcPr>
            <w:tcW w:w="898" w:type="pct"/>
            <w:tcBorders>
              <w:left w:val="nil"/>
              <w:right w:val="nil"/>
            </w:tcBorders>
            <w:shd w:val="clear" w:color="auto" w:fill="auto"/>
          </w:tcPr>
          <w:p w14:paraId="47EB873B" w14:textId="77777777" w:rsidR="00840E93" w:rsidRDefault="00840E93" w:rsidP="00A35425">
            <w:pPr>
              <w:pStyle w:val="TableTextCenter"/>
              <w:jc w:val="left"/>
            </w:pPr>
            <w:r>
              <w:t>2020-21</w:t>
            </w:r>
          </w:p>
        </w:tc>
        <w:tc>
          <w:tcPr>
            <w:tcW w:w="661" w:type="pct"/>
            <w:tcBorders>
              <w:left w:val="nil"/>
              <w:right w:val="nil"/>
            </w:tcBorders>
            <w:shd w:val="clear" w:color="auto" w:fill="auto"/>
          </w:tcPr>
          <w:p w14:paraId="31AFAB6A" w14:textId="77777777" w:rsidR="00840E93" w:rsidRPr="00DE0F5F" w:rsidRDefault="00840E93" w:rsidP="00A35425">
            <w:pPr>
              <w:pStyle w:val="TableText"/>
              <w:jc w:val="left"/>
              <w:rPr>
                <w:bCs/>
              </w:rPr>
            </w:pPr>
            <w:r w:rsidRPr="00DE0F5F">
              <w:rPr>
                <w:bCs/>
              </w:rPr>
              <w:t>TRP on Financial Metrics (October 2018)</w:t>
            </w:r>
          </w:p>
        </w:tc>
        <w:tc>
          <w:tcPr>
            <w:tcW w:w="622" w:type="pct"/>
            <w:tcBorders>
              <w:left w:val="nil"/>
            </w:tcBorders>
            <w:shd w:val="clear" w:color="auto" w:fill="auto"/>
          </w:tcPr>
          <w:p w14:paraId="3B4FD833" w14:textId="77777777" w:rsidR="00840E93" w:rsidRDefault="00840E93" w:rsidP="00A35425">
            <w:pPr>
              <w:pStyle w:val="TableText"/>
            </w:pPr>
            <w:r>
              <w:t>Moderate increase, especially in year 1</w:t>
            </w:r>
          </w:p>
        </w:tc>
      </w:tr>
    </w:tbl>
    <w:p w14:paraId="00E8863A" w14:textId="77777777" w:rsidR="00823A76" w:rsidRDefault="00823A76" w:rsidP="00BF26F2">
      <w:pPr>
        <w:pStyle w:val="TableBullet"/>
        <w:numPr>
          <w:ilvl w:val="0"/>
          <w:numId w:val="0"/>
        </w:numPr>
        <w:rPr>
          <w:sz w:val="22"/>
          <w:szCs w:val="22"/>
        </w:rPr>
      </w:pPr>
    </w:p>
    <w:p w14:paraId="6058DF52" w14:textId="77777777" w:rsidR="006A24B2" w:rsidRDefault="00D00173" w:rsidP="00425D17">
      <w:pPr>
        <w:pStyle w:val="TableBullet"/>
        <w:numPr>
          <w:ilvl w:val="0"/>
          <w:numId w:val="0"/>
        </w:numPr>
        <w:spacing w:after="160" w:line="259" w:lineRule="auto"/>
        <w:rPr>
          <w:sz w:val="22"/>
          <w:szCs w:val="22"/>
        </w:rPr>
      </w:pPr>
      <w:r>
        <w:rPr>
          <w:b/>
          <w:sz w:val="22"/>
          <w:szCs w:val="22"/>
        </w:rPr>
        <w:t>Definition</w:t>
      </w:r>
      <w:r w:rsidR="00583C7E">
        <w:rPr>
          <w:b/>
          <w:sz w:val="22"/>
          <w:szCs w:val="22"/>
        </w:rPr>
        <w:t xml:space="preserve"> and Instructions</w:t>
      </w:r>
      <w:r>
        <w:rPr>
          <w:b/>
          <w:sz w:val="22"/>
          <w:szCs w:val="22"/>
        </w:rPr>
        <w:t xml:space="preserve"> (Cross-cutting). </w:t>
      </w:r>
      <w:r w:rsidR="0025550A" w:rsidRPr="00473BD3">
        <w:rPr>
          <w:sz w:val="22"/>
          <w:szCs w:val="22"/>
        </w:rPr>
        <w:t>In addition to the changes proposed for specific survey forms, there are some changes to definitions and instructions that would cut across surveys. First, a change to the definition of “</w:t>
      </w:r>
      <w:r w:rsidR="00473BD3">
        <w:rPr>
          <w:sz w:val="22"/>
          <w:szCs w:val="22"/>
        </w:rPr>
        <w:t>d</w:t>
      </w:r>
      <w:r w:rsidR="0025550A" w:rsidRPr="00473BD3">
        <w:rPr>
          <w:sz w:val="22"/>
          <w:szCs w:val="22"/>
        </w:rPr>
        <w:t xml:space="preserve">ual enrollment” that was suggested by the TRP on </w:t>
      </w:r>
      <w:r w:rsidR="00473BD3" w:rsidRPr="00473BD3">
        <w:rPr>
          <w:sz w:val="22"/>
          <w:szCs w:val="22"/>
        </w:rPr>
        <w:t>Capturing and Clarifying Dual Enrollment Data</w:t>
      </w:r>
      <w:r w:rsidR="00473BD3">
        <w:rPr>
          <w:sz w:val="22"/>
          <w:szCs w:val="22"/>
        </w:rPr>
        <w:t>. Second is the replacement of the term “</w:t>
      </w:r>
      <w:r w:rsidR="00C75CBB">
        <w:rPr>
          <w:sz w:val="22"/>
          <w:szCs w:val="22"/>
        </w:rPr>
        <w:t>f</w:t>
      </w:r>
      <w:r w:rsidR="00473BD3">
        <w:rPr>
          <w:sz w:val="22"/>
          <w:szCs w:val="22"/>
        </w:rPr>
        <w:t xml:space="preserve">ormal award” with “recognized educational credential” that came out of a discussion by NPEC. Finally, how to handle </w:t>
      </w:r>
      <w:r w:rsidR="00DF5785">
        <w:rPr>
          <w:sz w:val="22"/>
          <w:szCs w:val="22"/>
        </w:rPr>
        <w:t>experimental</w:t>
      </w:r>
      <w:r w:rsidR="00473BD3">
        <w:rPr>
          <w:sz w:val="22"/>
          <w:szCs w:val="22"/>
        </w:rPr>
        <w:t xml:space="preserve"> Pell Grants </w:t>
      </w:r>
      <w:r w:rsidR="00DF5785">
        <w:rPr>
          <w:sz w:val="22"/>
          <w:szCs w:val="22"/>
        </w:rPr>
        <w:t>for reporting purposes will be clarified in the instructions.</w:t>
      </w:r>
    </w:p>
    <w:p w14:paraId="17A49836" w14:textId="08F62A06" w:rsidR="00DF5785" w:rsidRDefault="00DF5785" w:rsidP="00425D17">
      <w:pPr>
        <w:pStyle w:val="TableBullet"/>
        <w:numPr>
          <w:ilvl w:val="0"/>
          <w:numId w:val="0"/>
        </w:numPr>
        <w:spacing w:after="160" w:line="259" w:lineRule="auto"/>
        <w:rPr>
          <w:sz w:val="22"/>
          <w:szCs w:val="22"/>
        </w:rPr>
      </w:pPr>
      <w:r>
        <w:rPr>
          <w:i/>
          <w:sz w:val="22"/>
          <w:szCs w:val="22"/>
        </w:rPr>
        <w:t xml:space="preserve">Dual enrollment. </w:t>
      </w:r>
      <w:r w:rsidR="00EC44A7" w:rsidRPr="00EC44A7">
        <w:rPr>
          <w:sz w:val="22"/>
          <w:szCs w:val="22"/>
        </w:rPr>
        <w:t>The expansion of dual enrollment—in terms of location (e.g., high school, college campus, and online delivery), instructor qualification (e.g., high school teacher, college instructor), student eligibility, and funding arrangement—blurs the line between the secondary and postsecondary education sectors. Although growth in dual enrollment has been observed in all sectors of postsecondary institutions, the degree to which IPEDS measures dual enrollment is unclear. The IPEDS collection does not differentiate high school students taking college courses for credit from other students enrolled for credit at the undergraduate level or students who enter with advanced standing (earned college credit or postsecondary award before graduation from high school) from other entering first-time students. Thus, it is likely that dual enrollment affects the data and metrics comparability of IPEDS survey components, which answer questions about student enrollment and progression, institutional revenues and spending, and investment in instructional and staff support.</w:t>
      </w:r>
    </w:p>
    <w:p w14:paraId="670D914D" w14:textId="6EA55E38" w:rsidR="007C7E73" w:rsidRDefault="00C626FC" w:rsidP="00425D17">
      <w:pPr>
        <w:pStyle w:val="TableBullet"/>
        <w:numPr>
          <w:ilvl w:val="0"/>
          <w:numId w:val="0"/>
        </w:numPr>
        <w:spacing w:after="160" w:line="259" w:lineRule="auto"/>
        <w:rPr>
          <w:sz w:val="22"/>
          <w:szCs w:val="22"/>
        </w:rPr>
      </w:pPr>
      <w:r>
        <w:rPr>
          <w:sz w:val="22"/>
          <w:szCs w:val="22"/>
        </w:rPr>
        <w:t>NPEC</w:t>
      </w:r>
      <w:r w:rsidRPr="00C626FC">
        <w:rPr>
          <w:sz w:val="22"/>
          <w:szCs w:val="22"/>
        </w:rPr>
        <w:t xml:space="preserve"> commissioned a research paper to</w:t>
      </w:r>
      <w:r>
        <w:rPr>
          <w:sz w:val="22"/>
          <w:szCs w:val="22"/>
        </w:rPr>
        <w:t xml:space="preserve"> </w:t>
      </w:r>
      <w:r w:rsidRPr="00C626FC">
        <w:rPr>
          <w:sz w:val="22"/>
          <w:szCs w:val="22"/>
        </w:rPr>
        <w:t>examine how the IPEDS collection can capture and clarify dual enrollment data</w:t>
      </w:r>
      <w:r w:rsidR="00865A70">
        <w:rPr>
          <w:sz w:val="22"/>
          <w:szCs w:val="22"/>
        </w:rPr>
        <w:t xml:space="preserve">. </w:t>
      </w:r>
      <w:r w:rsidR="00865A70" w:rsidRPr="00865A70">
        <w:rPr>
          <w:sz w:val="22"/>
          <w:szCs w:val="22"/>
        </w:rPr>
        <w:t>One finding</w:t>
      </w:r>
      <w:r w:rsidR="00865A70">
        <w:rPr>
          <w:sz w:val="22"/>
          <w:szCs w:val="22"/>
        </w:rPr>
        <w:t xml:space="preserve"> </w:t>
      </w:r>
      <w:r w:rsidR="00865A70" w:rsidRPr="00865A70">
        <w:rPr>
          <w:sz w:val="22"/>
          <w:szCs w:val="22"/>
        </w:rPr>
        <w:t xml:space="preserve">of this exploratory research indicates </w:t>
      </w:r>
      <w:r w:rsidR="00AC7738">
        <w:rPr>
          <w:sz w:val="22"/>
          <w:szCs w:val="22"/>
        </w:rPr>
        <w:t xml:space="preserve">that </w:t>
      </w:r>
      <w:r w:rsidR="00865A70" w:rsidRPr="00865A70">
        <w:rPr>
          <w:sz w:val="22"/>
          <w:szCs w:val="22"/>
        </w:rPr>
        <w:t>IPEDS definitions and terms related to dual enrollment are</w:t>
      </w:r>
      <w:r w:rsidR="00865A70">
        <w:rPr>
          <w:sz w:val="22"/>
          <w:szCs w:val="22"/>
        </w:rPr>
        <w:t xml:space="preserve"> </w:t>
      </w:r>
      <w:r w:rsidR="00865A70" w:rsidRPr="00865A70">
        <w:rPr>
          <w:sz w:val="22"/>
          <w:szCs w:val="22"/>
        </w:rPr>
        <w:t>unclear and inconsistent with varied institutional practices for measuring the number of high school</w:t>
      </w:r>
      <w:r w:rsidR="00C11C45">
        <w:rPr>
          <w:sz w:val="22"/>
          <w:szCs w:val="22"/>
        </w:rPr>
        <w:t xml:space="preserve"> </w:t>
      </w:r>
      <w:r w:rsidR="00865A70" w:rsidRPr="00865A70">
        <w:rPr>
          <w:sz w:val="22"/>
          <w:szCs w:val="22"/>
        </w:rPr>
        <w:t>students taking college courses and first-time-in-college students who took college courses in high</w:t>
      </w:r>
      <w:r w:rsidR="00C11C45">
        <w:rPr>
          <w:sz w:val="22"/>
          <w:szCs w:val="22"/>
        </w:rPr>
        <w:t xml:space="preserve"> </w:t>
      </w:r>
      <w:r w:rsidR="00865A70" w:rsidRPr="00865A70">
        <w:rPr>
          <w:sz w:val="22"/>
          <w:szCs w:val="22"/>
        </w:rPr>
        <w:t>school.</w:t>
      </w:r>
      <w:r w:rsidR="00C11C45">
        <w:rPr>
          <w:sz w:val="22"/>
          <w:szCs w:val="22"/>
        </w:rPr>
        <w:t xml:space="preserve"> </w:t>
      </w:r>
      <w:r w:rsidR="007C7E73">
        <w:rPr>
          <w:sz w:val="22"/>
          <w:szCs w:val="22"/>
        </w:rPr>
        <w:t xml:space="preserve">The IPEDS TRP was convened </w:t>
      </w:r>
      <w:r w:rsidR="00245DA0">
        <w:rPr>
          <w:sz w:val="22"/>
          <w:szCs w:val="22"/>
        </w:rPr>
        <w:t>in March 2018 to</w:t>
      </w:r>
      <w:r w:rsidR="00A9663A">
        <w:rPr>
          <w:sz w:val="22"/>
          <w:szCs w:val="22"/>
        </w:rPr>
        <w:t xml:space="preserve"> discuss </w:t>
      </w:r>
      <w:r w:rsidR="00A9663A" w:rsidRPr="00A9663A">
        <w:rPr>
          <w:sz w:val="22"/>
          <w:szCs w:val="22"/>
        </w:rPr>
        <w:t>Capturing and Clarifying Dual Enrollment Data</w:t>
      </w:r>
      <w:r w:rsidR="007C7E73">
        <w:rPr>
          <w:sz w:val="22"/>
          <w:szCs w:val="22"/>
        </w:rPr>
        <w:t>.</w:t>
      </w:r>
    </w:p>
    <w:p w14:paraId="538F0CE4" w14:textId="2571E380" w:rsidR="006A24B2" w:rsidRDefault="00564F3F" w:rsidP="00425D17">
      <w:pPr>
        <w:pStyle w:val="TableBullet"/>
        <w:numPr>
          <w:ilvl w:val="0"/>
          <w:numId w:val="0"/>
        </w:numPr>
        <w:spacing w:after="160" w:line="259" w:lineRule="auto"/>
        <w:rPr>
          <w:sz w:val="22"/>
          <w:szCs w:val="22"/>
        </w:rPr>
      </w:pPr>
      <w:r w:rsidRPr="00564F3F">
        <w:rPr>
          <w:sz w:val="22"/>
          <w:szCs w:val="22"/>
        </w:rPr>
        <w:t xml:space="preserve">IPEDS </w:t>
      </w:r>
      <w:r>
        <w:rPr>
          <w:sz w:val="22"/>
          <w:szCs w:val="22"/>
        </w:rPr>
        <w:t>currently defines “</w:t>
      </w:r>
      <w:r w:rsidRPr="00564F3F">
        <w:rPr>
          <w:sz w:val="22"/>
          <w:szCs w:val="22"/>
        </w:rPr>
        <w:t>dual enrollment</w:t>
      </w:r>
      <w:r>
        <w:rPr>
          <w:sz w:val="22"/>
          <w:szCs w:val="22"/>
        </w:rPr>
        <w:t>” as “a</w:t>
      </w:r>
      <w:r w:rsidRPr="00564F3F">
        <w:rPr>
          <w:sz w:val="22"/>
          <w:szCs w:val="22"/>
        </w:rPr>
        <w:t xml:space="preserve"> program through which high school students may</w:t>
      </w:r>
      <w:r>
        <w:rPr>
          <w:sz w:val="22"/>
          <w:szCs w:val="22"/>
        </w:rPr>
        <w:t xml:space="preserve"> </w:t>
      </w:r>
      <w:r w:rsidRPr="00564F3F">
        <w:rPr>
          <w:sz w:val="22"/>
          <w:szCs w:val="22"/>
        </w:rPr>
        <w:t>enroll in college courses while still enrolled in high school</w:t>
      </w:r>
      <w:r>
        <w:rPr>
          <w:sz w:val="22"/>
          <w:szCs w:val="22"/>
        </w:rPr>
        <w:t>.”</w:t>
      </w:r>
      <w:r w:rsidR="00605AB2">
        <w:rPr>
          <w:sz w:val="22"/>
          <w:szCs w:val="22"/>
        </w:rPr>
        <w:t xml:space="preserve"> </w:t>
      </w:r>
      <w:r w:rsidR="007C7E73" w:rsidRPr="007C7E73">
        <w:rPr>
          <w:sz w:val="22"/>
          <w:szCs w:val="22"/>
        </w:rPr>
        <w:t>The panel discussed limitations of th</w:t>
      </w:r>
      <w:r w:rsidR="00A9663A">
        <w:rPr>
          <w:sz w:val="22"/>
          <w:szCs w:val="22"/>
        </w:rPr>
        <w:t>at</w:t>
      </w:r>
      <w:r w:rsidR="007C7E73" w:rsidRPr="007C7E73">
        <w:rPr>
          <w:sz w:val="22"/>
          <w:szCs w:val="22"/>
        </w:rPr>
        <w:t xml:space="preserve"> language</w:t>
      </w:r>
      <w:r w:rsidR="00A9663A">
        <w:rPr>
          <w:sz w:val="22"/>
          <w:szCs w:val="22"/>
        </w:rPr>
        <w:t xml:space="preserve">, noting </w:t>
      </w:r>
      <w:r w:rsidR="007C7E73" w:rsidRPr="007C7E73">
        <w:rPr>
          <w:sz w:val="22"/>
          <w:szCs w:val="22"/>
        </w:rPr>
        <w:t xml:space="preserve">the current definition refers to high school students who </w:t>
      </w:r>
      <w:r w:rsidR="007C7E73" w:rsidRPr="00A9663A">
        <w:rPr>
          <w:i/>
          <w:sz w:val="22"/>
          <w:szCs w:val="22"/>
        </w:rPr>
        <w:t>may</w:t>
      </w:r>
      <w:r w:rsidR="007C7E73" w:rsidRPr="007C7E73">
        <w:rPr>
          <w:sz w:val="22"/>
          <w:szCs w:val="22"/>
        </w:rPr>
        <w:t xml:space="preserve"> enroll in college courses while still enrolled in high school, but it is unclear whether that includes AP and other types of college credits earned through </w:t>
      </w:r>
      <w:r w:rsidR="00DF29A9">
        <w:rPr>
          <w:sz w:val="22"/>
          <w:szCs w:val="22"/>
        </w:rPr>
        <w:t xml:space="preserve">an </w:t>
      </w:r>
      <w:r w:rsidR="007C7E73" w:rsidRPr="007C7E73">
        <w:rPr>
          <w:sz w:val="22"/>
          <w:szCs w:val="22"/>
        </w:rPr>
        <w:t>exam, such as International Baccalaureate. Panelists noted these credits operate like dual enrollment in that students can earn postsecondary credit in high school. A key difference, however, is that high school students do not enroll in postsecondary courses when they participate in exam</w:t>
      </w:r>
      <w:r w:rsidR="007C7E73">
        <w:rPr>
          <w:sz w:val="22"/>
          <w:szCs w:val="22"/>
        </w:rPr>
        <w:t>-</w:t>
      </w:r>
      <w:r w:rsidR="007C7E73" w:rsidRPr="007C7E73">
        <w:rPr>
          <w:sz w:val="22"/>
          <w:szCs w:val="22"/>
        </w:rPr>
        <w:t>based credit but earn credit by passing an exam with a qualifying score. Panelists suggested clarifying that the dual enrollment definition should include enrollment in courses for which postsecondary credit is awarded for successfully completing the course, rather than examples of models where students may earn postsecondary credit through an examination or other means that do not require postsecondary enrollment. Panelists noted that postsecondary coursework at the remedial or developmental level would be considered dual enrollment if the postsecondary institution awards the student credit (as defined by the institution) for successfully completing the course and the postsecondary credit is recorded on the student’s college transcript. Given the multiple and varied delivery models available across and within institutions (e.g., traditional seated instruction, distance education, hybrid models), the panel suggested IPEDS clarify that dual enrollment should include courses identified as postsecondary courses, independent of course delivery mode, funding, location, or type of instructor.</w:t>
      </w:r>
    </w:p>
    <w:p w14:paraId="491EFDC9" w14:textId="0187490F" w:rsidR="00900AC3" w:rsidRDefault="007C7E73" w:rsidP="00425D17">
      <w:pPr>
        <w:pStyle w:val="TableBullet"/>
        <w:numPr>
          <w:ilvl w:val="0"/>
          <w:numId w:val="0"/>
        </w:numPr>
        <w:spacing w:after="160" w:line="259" w:lineRule="auto"/>
        <w:rPr>
          <w:sz w:val="22"/>
          <w:szCs w:val="22"/>
        </w:rPr>
      </w:pPr>
      <w:r w:rsidRPr="007C7E73">
        <w:rPr>
          <w:sz w:val="22"/>
          <w:szCs w:val="22"/>
        </w:rPr>
        <w:t>The current dual enrollment definition also specifies “while still enrolled in high school.” The panel noted this language would exclude students who participate in dual enrollment but do not attend a high school, such as home-schooled students or middle school students. Panelists suggested maintaining the element of duality in the current definition of dual enrollment—high school students enrolled in college courses while still in high school—and expanding it to be more inclusive of students who do not have a high school diploma but are enrolled in secondary education while taking college-credit coursework.</w:t>
      </w:r>
      <w:r w:rsidR="00A9663A">
        <w:rPr>
          <w:sz w:val="22"/>
          <w:szCs w:val="22"/>
        </w:rPr>
        <w:t xml:space="preserve"> </w:t>
      </w:r>
      <w:r w:rsidR="00A0451C">
        <w:rPr>
          <w:sz w:val="22"/>
          <w:szCs w:val="22"/>
        </w:rPr>
        <w:t xml:space="preserve">The specific change in definition for dual enrollment proposed by the TRP is provide in table </w:t>
      </w:r>
      <w:r w:rsidR="00542A66">
        <w:rPr>
          <w:sz w:val="22"/>
          <w:szCs w:val="22"/>
        </w:rPr>
        <w:t>A7. The change should not impact reporting burden.</w:t>
      </w:r>
    </w:p>
    <w:p w14:paraId="5D52305A" w14:textId="1241AE33" w:rsidR="006A24B2" w:rsidRDefault="00C75CBB" w:rsidP="00425D17">
      <w:pPr>
        <w:pStyle w:val="TableBullet"/>
        <w:numPr>
          <w:ilvl w:val="0"/>
          <w:numId w:val="0"/>
        </w:numPr>
        <w:spacing w:after="160" w:line="259" w:lineRule="auto"/>
        <w:rPr>
          <w:sz w:val="22"/>
          <w:szCs w:val="22"/>
        </w:rPr>
      </w:pPr>
      <w:r>
        <w:rPr>
          <w:i/>
          <w:sz w:val="22"/>
          <w:szCs w:val="22"/>
        </w:rPr>
        <w:t>Formal award.</w:t>
      </w:r>
      <w:r w:rsidR="00E554C8">
        <w:rPr>
          <w:i/>
          <w:sz w:val="22"/>
          <w:szCs w:val="22"/>
        </w:rPr>
        <w:t xml:space="preserve"> </w:t>
      </w:r>
      <w:r>
        <w:rPr>
          <w:sz w:val="22"/>
          <w:szCs w:val="22"/>
        </w:rPr>
        <w:t xml:space="preserve">IPEDS currently uses the </w:t>
      </w:r>
      <w:r w:rsidR="000F215B">
        <w:rPr>
          <w:sz w:val="22"/>
          <w:szCs w:val="22"/>
        </w:rPr>
        <w:t>phrase</w:t>
      </w:r>
      <w:r>
        <w:rPr>
          <w:sz w:val="22"/>
          <w:szCs w:val="22"/>
        </w:rPr>
        <w:t xml:space="preserve"> “formal </w:t>
      </w:r>
      <w:r w:rsidR="00217A14">
        <w:rPr>
          <w:sz w:val="22"/>
          <w:szCs w:val="22"/>
        </w:rPr>
        <w:t>a</w:t>
      </w:r>
      <w:r>
        <w:rPr>
          <w:sz w:val="22"/>
          <w:szCs w:val="22"/>
        </w:rPr>
        <w:t xml:space="preserve">ward” </w:t>
      </w:r>
      <w:r w:rsidR="006D68E6">
        <w:rPr>
          <w:sz w:val="22"/>
          <w:szCs w:val="22"/>
        </w:rPr>
        <w:t xml:space="preserve">across surveys to </w:t>
      </w:r>
      <w:r>
        <w:rPr>
          <w:sz w:val="22"/>
          <w:szCs w:val="22"/>
        </w:rPr>
        <w:t xml:space="preserve">refer to </w:t>
      </w:r>
      <w:r w:rsidR="00217A14">
        <w:rPr>
          <w:sz w:val="22"/>
          <w:szCs w:val="22"/>
        </w:rPr>
        <w:t>the certificate</w:t>
      </w:r>
      <w:r w:rsidR="006D68E6">
        <w:rPr>
          <w:sz w:val="22"/>
          <w:szCs w:val="22"/>
        </w:rPr>
        <w:t>s</w:t>
      </w:r>
      <w:r w:rsidR="00217A14">
        <w:rPr>
          <w:sz w:val="22"/>
          <w:szCs w:val="22"/>
        </w:rPr>
        <w:t xml:space="preserve"> or degree</w:t>
      </w:r>
      <w:r w:rsidR="006D68E6">
        <w:rPr>
          <w:sz w:val="22"/>
          <w:szCs w:val="22"/>
        </w:rPr>
        <w:t>s</w:t>
      </w:r>
      <w:r w:rsidR="00217A14">
        <w:rPr>
          <w:sz w:val="22"/>
          <w:szCs w:val="22"/>
        </w:rPr>
        <w:t xml:space="preserve"> being </w:t>
      </w:r>
      <w:r w:rsidR="006D68E6">
        <w:rPr>
          <w:sz w:val="22"/>
          <w:szCs w:val="22"/>
        </w:rPr>
        <w:t xml:space="preserve">awarded by an institution. However, </w:t>
      </w:r>
      <w:r w:rsidR="004C5342">
        <w:rPr>
          <w:sz w:val="22"/>
          <w:szCs w:val="22"/>
        </w:rPr>
        <w:t xml:space="preserve">there is currently no definition of “formal award” in the IPEDS dictionary and the term does not align with language used by other parts of the U.S. Department of Education or in legislation. Indeed, </w:t>
      </w:r>
      <w:r w:rsidR="007F500C">
        <w:rPr>
          <w:sz w:val="22"/>
          <w:szCs w:val="22"/>
        </w:rPr>
        <w:t>Federal</w:t>
      </w:r>
      <w:r w:rsidR="00FC0A83">
        <w:rPr>
          <w:sz w:val="22"/>
          <w:szCs w:val="22"/>
        </w:rPr>
        <w:t xml:space="preserve"> Student Aid </w:t>
      </w:r>
      <w:r w:rsidR="00D11D53">
        <w:rPr>
          <w:sz w:val="22"/>
          <w:szCs w:val="22"/>
        </w:rPr>
        <w:t xml:space="preserve">(FSA) </w:t>
      </w:r>
      <w:r w:rsidR="00FC0A83">
        <w:rPr>
          <w:sz w:val="22"/>
          <w:szCs w:val="22"/>
        </w:rPr>
        <w:t>uses the term</w:t>
      </w:r>
      <w:r w:rsidR="008540F0">
        <w:rPr>
          <w:sz w:val="22"/>
          <w:szCs w:val="22"/>
        </w:rPr>
        <w:t xml:space="preserve"> to describe financial aid awarded, not a degree or certificate. NCES raised this inconsistently with NPEC, which discussed how the term could be changed to </w:t>
      </w:r>
      <w:r w:rsidR="008B1A0D">
        <w:rPr>
          <w:sz w:val="22"/>
          <w:szCs w:val="22"/>
        </w:rPr>
        <w:t>align with other postsecondary offices and terms defined in legislation</w:t>
      </w:r>
      <w:r w:rsidR="008540F0">
        <w:rPr>
          <w:sz w:val="22"/>
          <w:szCs w:val="22"/>
        </w:rPr>
        <w:t xml:space="preserve">. </w:t>
      </w:r>
      <w:r w:rsidR="000F215B">
        <w:rPr>
          <w:sz w:val="22"/>
          <w:szCs w:val="22"/>
        </w:rPr>
        <w:t xml:space="preserve">NPEC members noted that FSA uses the phrase </w:t>
      </w:r>
      <w:r w:rsidR="000F215B" w:rsidRPr="000F215B">
        <w:rPr>
          <w:sz w:val="22"/>
          <w:szCs w:val="22"/>
        </w:rPr>
        <w:t xml:space="preserve">“recognized credential” </w:t>
      </w:r>
      <w:r w:rsidR="00122AF4">
        <w:rPr>
          <w:sz w:val="22"/>
          <w:szCs w:val="22"/>
        </w:rPr>
        <w:t>to refer to degrees and certificates</w:t>
      </w:r>
      <w:r w:rsidR="00982ECC">
        <w:rPr>
          <w:sz w:val="22"/>
          <w:szCs w:val="22"/>
        </w:rPr>
        <w:t xml:space="preserve"> in</w:t>
      </w:r>
      <w:r w:rsidR="00122AF4">
        <w:rPr>
          <w:sz w:val="22"/>
          <w:szCs w:val="22"/>
        </w:rPr>
        <w:t xml:space="preserve"> programs </w:t>
      </w:r>
      <w:r w:rsidR="00982ECC">
        <w:rPr>
          <w:sz w:val="22"/>
          <w:szCs w:val="22"/>
        </w:rPr>
        <w:t>eligible</w:t>
      </w:r>
      <w:r w:rsidR="00122AF4">
        <w:rPr>
          <w:sz w:val="22"/>
          <w:szCs w:val="22"/>
        </w:rPr>
        <w:t xml:space="preserve"> to award HEA Title IV federal stu</w:t>
      </w:r>
      <w:r w:rsidR="00982ECC">
        <w:rPr>
          <w:sz w:val="22"/>
          <w:szCs w:val="22"/>
        </w:rPr>
        <w:t>dent aid programs. I</w:t>
      </w:r>
      <w:r w:rsidR="00413ED1">
        <w:rPr>
          <w:sz w:val="22"/>
          <w:szCs w:val="22"/>
        </w:rPr>
        <w:t>n</w:t>
      </w:r>
      <w:r w:rsidR="00982ECC">
        <w:rPr>
          <w:sz w:val="22"/>
          <w:szCs w:val="22"/>
        </w:rPr>
        <w:t xml:space="preserve"> addition, the Higher Education Act also makes references to credentials rather than awards. Therefore, NCES proposes globally replacing the phrase “formal award” with “recognized </w:t>
      </w:r>
      <w:r w:rsidR="00413ED1">
        <w:rPr>
          <w:sz w:val="22"/>
          <w:szCs w:val="22"/>
        </w:rPr>
        <w:t xml:space="preserve">postsecondary </w:t>
      </w:r>
      <w:r w:rsidR="00982ECC">
        <w:rPr>
          <w:sz w:val="22"/>
          <w:szCs w:val="22"/>
        </w:rPr>
        <w:t>credential” across the IPEDS survey components</w:t>
      </w:r>
      <w:r w:rsidR="00413ED1">
        <w:rPr>
          <w:sz w:val="22"/>
          <w:szCs w:val="22"/>
        </w:rPr>
        <w:t xml:space="preserve"> and adding a definition of</w:t>
      </w:r>
      <w:r w:rsidR="00605AB2">
        <w:rPr>
          <w:sz w:val="22"/>
          <w:szCs w:val="22"/>
        </w:rPr>
        <w:t xml:space="preserve"> </w:t>
      </w:r>
      <w:r w:rsidR="00413ED1">
        <w:rPr>
          <w:sz w:val="22"/>
          <w:szCs w:val="22"/>
        </w:rPr>
        <w:t>“recognized postsecondary credential” to the glossary</w:t>
      </w:r>
      <w:r w:rsidR="00982ECC">
        <w:rPr>
          <w:sz w:val="22"/>
          <w:szCs w:val="22"/>
        </w:rPr>
        <w:t>. This change will have no impact on reporting burden.</w:t>
      </w:r>
      <w:r w:rsidR="0092553F">
        <w:rPr>
          <w:sz w:val="22"/>
          <w:szCs w:val="22"/>
        </w:rPr>
        <w:t xml:space="preserve"> </w:t>
      </w:r>
      <w:r w:rsidR="0090204D" w:rsidRPr="00692507">
        <w:rPr>
          <w:sz w:val="22"/>
          <w:szCs w:val="22"/>
        </w:rPr>
        <w:t>While the definition of r</w:t>
      </w:r>
      <w:r w:rsidR="0092553F" w:rsidRPr="00692507">
        <w:rPr>
          <w:sz w:val="22"/>
          <w:szCs w:val="22"/>
        </w:rPr>
        <w:t xml:space="preserve">ecognized postsecondary credential will be </w:t>
      </w:r>
      <w:r w:rsidR="003B3FD4" w:rsidRPr="00692507">
        <w:rPr>
          <w:sz w:val="22"/>
          <w:szCs w:val="22"/>
        </w:rPr>
        <w:t xml:space="preserve">similar to the definition </w:t>
      </w:r>
      <w:r w:rsidR="0092553F" w:rsidRPr="00692507">
        <w:rPr>
          <w:sz w:val="22"/>
          <w:szCs w:val="22"/>
        </w:rPr>
        <w:t>in Title IV of the Workforce Innova</w:t>
      </w:r>
      <w:r w:rsidR="00425D17" w:rsidRPr="00692507">
        <w:rPr>
          <w:sz w:val="22"/>
          <w:szCs w:val="22"/>
        </w:rPr>
        <w:t>tion and Opportunity Act (WIOA)</w:t>
      </w:r>
      <w:r w:rsidR="00B43783" w:rsidRPr="00692507">
        <w:rPr>
          <w:sz w:val="22"/>
          <w:szCs w:val="22"/>
        </w:rPr>
        <w:t xml:space="preserve">, </w:t>
      </w:r>
      <w:r w:rsidR="008009CE" w:rsidRPr="00692507">
        <w:rPr>
          <w:sz w:val="22"/>
          <w:szCs w:val="22"/>
        </w:rPr>
        <w:t>credentials for programs that are eligible for Title IV are all reported to IPEDS and should continue to be reported to IPEDS</w:t>
      </w:r>
      <w:r w:rsidR="0092553F" w:rsidRPr="00692507">
        <w:rPr>
          <w:sz w:val="22"/>
          <w:szCs w:val="22"/>
        </w:rPr>
        <w:t>.</w:t>
      </w:r>
    </w:p>
    <w:p w14:paraId="1E9CE51E" w14:textId="5DF24497" w:rsidR="006A24B2" w:rsidRDefault="009179FF" w:rsidP="00425D17">
      <w:pPr>
        <w:pStyle w:val="TableBullet"/>
        <w:numPr>
          <w:ilvl w:val="0"/>
          <w:numId w:val="0"/>
        </w:numPr>
        <w:spacing w:after="160" w:line="259" w:lineRule="auto"/>
        <w:rPr>
          <w:sz w:val="22"/>
          <w:szCs w:val="22"/>
        </w:rPr>
      </w:pPr>
      <w:r w:rsidRPr="00EE37C5">
        <w:rPr>
          <w:i/>
          <w:sz w:val="22"/>
          <w:szCs w:val="22"/>
        </w:rPr>
        <w:t xml:space="preserve">Experimental </w:t>
      </w:r>
      <w:r w:rsidR="00A731C4">
        <w:rPr>
          <w:i/>
          <w:sz w:val="22"/>
          <w:szCs w:val="22"/>
        </w:rPr>
        <w:t>s</w:t>
      </w:r>
      <w:r w:rsidR="006C0061" w:rsidRPr="00EE37C5">
        <w:rPr>
          <w:i/>
          <w:sz w:val="22"/>
          <w:szCs w:val="22"/>
        </w:rPr>
        <w:t>ites</w:t>
      </w:r>
      <w:r w:rsidRPr="00EE37C5">
        <w:rPr>
          <w:i/>
          <w:sz w:val="22"/>
          <w:szCs w:val="22"/>
        </w:rPr>
        <w:t>.</w:t>
      </w:r>
      <w:r w:rsidR="006C0061" w:rsidRPr="00EE37C5">
        <w:t xml:space="preserve"> </w:t>
      </w:r>
      <w:r w:rsidR="006C0061" w:rsidRPr="00EE37C5">
        <w:rPr>
          <w:sz w:val="22"/>
          <w:szCs w:val="22"/>
        </w:rPr>
        <w:t>Congress</w:t>
      </w:r>
      <w:r w:rsidR="006C0061" w:rsidRPr="006C0061">
        <w:rPr>
          <w:sz w:val="22"/>
          <w:szCs w:val="22"/>
        </w:rPr>
        <w:t xml:space="preserve"> authorized the Experimental Sites Initiative under section 487A(b) of the Higher Education Act of 1965, as amended. This Initiative—or "experiments," as they are frequently called—tests the effectiveness of statutory and regulatory flexibility for participating institutions disbursing Title IV student aid. The Department of Education has waived specific statutory or regulatory requirements at the postsecondary institutions, or consortia of institutions, approved to participate in the experiments. </w:t>
      </w:r>
      <w:r w:rsidR="006C0061" w:rsidRPr="004957CB">
        <w:rPr>
          <w:sz w:val="22"/>
          <w:szCs w:val="22"/>
        </w:rPr>
        <w:t xml:space="preserve">By contrasting the results achieved </w:t>
      </w:r>
      <w:r w:rsidR="004957CB">
        <w:rPr>
          <w:sz w:val="22"/>
          <w:szCs w:val="22"/>
        </w:rPr>
        <w:t>when granted</w:t>
      </w:r>
      <w:r w:rsidR="006C0061" w:rsidRPr="004957CB">
        <w:rPr>
          <w:sz w:val="22"/>
          <w:szCs w:val="22"/>
        </w:rPr>
        <w:t xml:space="preserve"> the flexibilities with results under current regulations, </w:t>
      </w:r>
      <w:r w:rsidR="004957CB">
        <w:rPr>
          <w:sz w:val="22"/>
          <w:szCs w:val="22"/>
        </w:rPr>
        <w:t xml:space="preserve">without the flexibilities, </w:t>
      </w:r>
      <w:r w:rsidR="006C0061" w:rsidRPr="004957CB">
        <w:rPr>
          <w:sz w:val="22"/>
          <w:szCs w:val="22"/>
        </w:rPr>
        <w:t>t</w:t>
      </w:r>
      <w:r w:rsidR="006C0061" w:rsidRPr="006C0061">
        <w:rPr>
          <w:sz w:val="22"/>
          <w:szCs w:val="22"/>
        </w:rPr>
        <w:t>he Department has data to support changes to regulations and statute. The outcomes of experiments have the potential to benefit all postsecondary institutions and the students they serve.</w:t>
      </w:r>
      <w:r w:rsidR="008D3467">
        <w:rPr>
          <w:sz w:val="22"/>
          <w:szCs w:val="22"/>
        </w:rPr>
        <w:t xml:space="preserve"> More information about experimental sites can be found at: </w:t>
      </w:r>
      <w:hyperlink r:id="rId9" w:history="1">
        <w:r w:rsidR="008D3467" w:rsidRPr="006A7124">
          <w:rPr>
            <w:rStyle w:val="Hyperlink"/>
            <w:sz w:val="22"/>
            <w:szCs w:val="22"/>
          </w:rPr>
          <w:t>https://experimentalsites.ed.gov/exp/index.html</w:t>
        </w:r>
      </w:hyperlink>
      <w:r w:rsidR="008D3467">
        <w:rPr>
          <w:sz w:val="22"/>
          <w:szCs w:val="22"/>
        </w:rPr>
        <w:t>.</w:t>
      </w:r>
    </w:p>
    <w:p w14:paraId="5A7FEEAF" w14:textId="6BF7C6E5" w:rsidR="006C0061" w:rsidRDefault="006C0061" w:rsidP="00425D17">
      <w:pPr>
        <w:rPr>
          <w:rFonts w:ascii="Arial" w:hAnsi="Arial" w:cs="Arial"/>
        </w:rPr>
      </w:pPr>
      <w:r w:rsidRPr="008D3467">
        <w:rPr>
          <w:rFonts w:ascii="Arial" w:hAnsi="Arial" w:cs="Arial"/>
        </w:rPr>
        <w:t xml:space="preserve">There are two main experiments that can have an impact on IPEDS reporting: </w:t>
      </w:r>
      <w:r w:rsidR="008C6602">
        <w:rPr>
          <w:rFonts w:ascii="Arial" w:hAnsi="Arial" w:cs="Arial"/>
        </w:rPr>
        <w:t xml:space="preserve">(1) </w:t>
      </w:r>
      <w:r w:rsidRPr="008D3467">
        <w:rPr>
          <w:rFonts w:ascii="Arial" w:hAnsi="Arial" w:cs="Arial"/>
        </w:rPr>
        <w:t>the Dual Enrollment Experiment</w:t>
      </w:r>
      <w:r w:rsidR="008D3467" w:rsidRPr="008D3467">
        <w:rPr>
          <w:rFonts w:ascii="Arial" w:hAnsi="Arial" w:cs="Arial"/>
        </w:rPr>
        <w:t xml:space="preserve">, wherein </w:t>
      </w:r>
      <w:r w:rsidRPr="008D3467">
        <w:rPr>
          <w:rFonts w:ascii="Arial" w:hAnsi="Arial" w:cs="Arial"/>
        </w:rPr>
        <w:t>participating institutions will be provided a waiver of the specific statutory and regulatory provisions that prevent students who are enrolled in secondary school from receiving Federal Pell Grants for enrollment in title IV-eligible postsecondary programs</w:t>
      </w:r>
      <w:r w:rsidR="008D3467" w:rsidRPr="008D3467">
        <w:rPr>
          <w:rFonts w:ascii="Arial" w:hAnsi="Arial" w:cs="Arial"/>
        </w:rPr>
        <w:t xml:space="preserve"> (f</w:t>
      </w:r>
      <w:r w:rsidRPr="008D3467">
        <w:rPr>
          <w:rFonts w:ascii="Arial" w:hAnsi="Arial" w:cs="Arial"/>
        </w:rPr>
        <w:t>or more details about the experimen</w:t>
      </w:r>
      <w:r w:rsidR="008D3467" w:rsidRPr="008D3467">
        <w:rPr>
          <w:rFonts w:ascii="Arial" w:hAnsi="Arial" w:cs="Arial"/>
        </w:rPr>
        <w:t xml:space="preserve">t, refer to the October 15, 2015 Federal Register Notice at </w:t>
      </w:r>
      <w:hyperlink r:id="rId10" w:history="1">
        <w:r w:rsidR="008D3467" w:rsidRPr="008D3467">
          <w:rPr>
            <w:rStyle w:val="Hyperlink"/>
            <w:rFonts w:ascii="Arial" w:hAnsi="Arial" w:cs="Arial"/>
          </w:rPr>
          <w:t>http://ifap.ed.gov/fregisters/FR101515InvitationtoParticipateintheExperSitesInitiative.html</w:t>
        </w:r>
      </w:hyperlink>
      <w:r w:rsidR="008D3467" w:rsidRPr="008D3467">
        <w:rPr>
          <w:rFonts w:ascii="Arial" w:hAnsi="Arial" w:cs="Arial"/>
        </w:rPr>
        <w:t xml:space="preserve">) and </w:t>
      </w:r>
      <w:r w:rsidR="008C6602">
        <w:rPr>
          <w:rFonts w:ascii="Arial" w:hAnsi="Arial" w:cs="Arial"/>
        </w:rPr>
        <w:t xml:space="preserve">(2) </w:t>
      </w:r>
      <w:r w:rsidR="008D3467" w:rsidRPr="008D3467">
        <w:rPr>
          <w:rFonts w:ascii="Arial" w:hAnsi="Arial" w:cs="Arial"/>
        </w:rPr>
        <w:t>the Second Chance Pell Experiment, wherein participating institutions will provide Federal Pell Grant funding to otherwise eligible students who are incarcerated in Federal or State penal institutions</w:t>
      </w:r>
      <w:r w:rsidR="008C6602">
        <w:rPr>
          <w:rFonts w:ascii="Arial" w:hAnsi="Arial" w:cs="Arial"/>
        </w:rPr>
        <w:t xml:space="preserve"> (f</w:t>
      </w:r>
      <w:r w:rsidR="008D3467" w:rsidRPr="008D3467">
        <w:rPr>
          <w:rFonts w:ascii="Arial" w:hAnsi="Arial" w:cs="Arial"/>
        </w:rPr>
        <w:t xml:space="preserve">or more details about the experiment, refer to the August 3, 2015 Federal Register Notice at </w:t>
      </w:r>
      <w:hyperlink r:id="rId11" w:history="1">
        <w:r w:rsidR="008D3467" w:rsidRPr="008D3467">
          <w:rPr>
            <w:rStyle w:val="Hyperlink"/>
            <w:rFonts w:ascii="Arial" w:hAnsi="Arial" w:cs="Arial"/>
          </w:rPr>
          <w:t>http://ifap.ed.gov/fregisters/FR080315NoticeInvitePostEDInstitutionsToParticipateinUndertheExperimentalSiteInit.html</w:t>
        </w:r>
      </w:hyperlink>
      <w:r w:rsidR="008D3467" w:rsidRPr="008D3467">
        <w:rPr>
          <w:rFonts w:ascii="Arial" w:hAnsi="Arial" w:cs="Arial"/>
        </w:rPr>
        <w:t>).</w:t>
      </w:r>
    </w:p>
    <w:p w14:paraId="39AAAD28" w14:textId="0662FAA2" w:rsidR="006A24B2" w:rsidRDefault="008D3467" w:rsidP="00425D17">
      <w:pPr>
        <w:rPr>
          <w:rFonts w:ascii="Arial" w:hAnsi="Arial" w:cs="Arial"/>
        </w:rPr>
      </w:pPr>
      <w:r>
        <w:rPr>
          <w:rFonts w:ascii="Arial" w:hAnsi="Arial" w:cs="Arial"/>
        </w:rPr>
        <w:t xml:space="preserve">NCES has received numerous questions from institutions and has told institutions on a case by case basis to exclude these students from reporting. NCES </w:t>
      </w:r>
      <w:r w:rsidR="006D6522">
        <w:rPr>
          <w:rFonts w:ascii="Arial" w:hAnsi="Arial" w:cs="Arial"/>
        </w:rPr>
        <w:t>is</w:t>
      </w:r>
      <w:r>
        <w:rPr>
          <w:rFonts w:ascii="Arial" w:hAnsi="Arial" w:cs="Arial"/>
        </w:rPr>
        <w:t xml:space="preserve"> includ</w:t>
      </w:r>
      <w:r w:rsidR="006D6522">
        <w:rPr>
          <w:rFonts w:ascii="Arial" w:hAnsi="Arial" w:cs="Arial"/>
        </w:rPr>
        <w:t>ing</w:t>
      </w:r>
      <w:r>
        <w:rPr>
          <w:rFonts w:ascii="Arial" w:hAnsi="Arial" w:cs="Arial"/>
        </w:rPr>
        <w:t xml:space="preserve"> a new general FAQ, impacting all surveys except for Academic Libraries, Finance, and Human Resources, </w:t>
      </w:r>
      <w:r w:rsidR="006D6522">
        <w:rPr>
          <w:rFonts w:ascii="Arial" w:hAnsi="Arial" w:cs="Arial"/>
        </w:rPr>
        <w:t>to</w:t>
      </w:r>
      <w:r>
        <w:rPr>
          <w:rFonts w:ascii="Arial" w:hAnsi="Arial" w:cs="Arial"/>
        </w:rPr>
        <w:t xml:space="preserve"> clarify this for </w:t>
      </w:r>
      <w:r w:rsidR="006D6522">
        <w:rPr>
          <w:rFonts w:ascii="Arial" w:hAnsi="Arial" w:cs="Arial"/>
        </w:rPr>
        <w:t xml:space="preserve">all </w:t>
      </w:r>
      <w:r>
        <w:rPr>
          <w:rFonts w:ascii="Arial" w:hAnsi="Arial" w:cs="Arial"/>
        </w:rPr>
        <w:t>institutions.</w:t>
      </w:r>
    </w:p>
    <w:p w14:paraId="31F4B604" w14:textId="040E74FC" w:rsidR="008D3467" w:rsidRDefault="00EE37C5" w:rsidP="00425D17">
      <w:pPr>
        <w:rPr>
          <w:rFonts w:ascii="Arial" w:hAnsi="Arial" w:cs="Arial"/>
          <w:i/>
        </w:rPr>
      </w:pPr>
      <w:r>
        <w:rPr>
          <w:rFonts w:ascii="Arial" w:hAnsi="Arial" w:cs="Arial"/>
          <w:i/>
        </w:rPr>
        <w:t xml:space="preserve">Clock and </w:t>
      </w:r>
      <w:r w:rsidR="00A731C4">
        <w:rPr>
          <w:rFonts w:ascii="Arial" w:hAnsi="Arial" w:cs="Arial"/>
          <w:i/>
        </w:rPr>
        <w:t>c</w:t>
      </w:r>
      <w:r>
        <w:rPr>
          <w:rFonts w:ascii="Arial" w:hAnsi="Arial" w:cs="Arial"/>
          <w:i/>
        </w:rPr>
        <w:t xml:space="preserve">ontact hours. </w:t>
      </w:r>
      <w:r>
        <w:rPr>
          <w:rFonts w:ascii="Arial" w:hAnsi="Arial" w:cs="Arial"/>
        </w:rPr>
        <w:t xml:space="preserve">The IPEDS TRP </w:t>
      </w:r>
      <w:r w:rsidR="00D94799">
        <w:rPr>
          <w:rFonts w:ascii="Arial" w:hAnsi="Arial" w:cs="Arial"/>
        </w:rPr>
        <w:t>on Subbaccalaureate</w:t>
      </w:r>
      <w:r w:rsidRPr="00742F7A">
        <w:rPr>
          <w:rFonts w:ascii="Arial" w:hAnsi="Arial" w:cs="Arial"/>
        </w:rPr>
        <w:t xml:space="preserve"> Certificates</w:t>
      </w:r>
      <w:r>
        <w:rPr>
          <w:rFonts w:ascii="Arial" w:hAnsi="Arial" w:cs="Arial"/>
        </w:rPr>
        <w:t xml:space="preserve"> suggested that the term “contact hour” was confusing and not generally used in the postsecondary community. The Office of Federal Student Aid (FSA) refers only to clock hours in the </w:t>
      </w:r>
      <w:r>
        <w:rPr>
          <w:rFonts w:ascii="Arial" w:hAnsi="Arial" w:cs="Arial"/>
          <w:i/>
        </w:rPr>
        <w:t>Federal Student Aid Handbook</w:t>
      </w:r>
      <w:r>
        <w:rPr>
          <w:rFonts w:ascii="Arial" w:hAnsi="Arial" w:cs="Arial"/>
        </w:rPr>
        <w:t xml:space="preserve">. NCES will therefore remove the term “contact hour” from the data collection and use only “clock hour”. In addition, NCES will update the definition of clock hour to add detail outlined in </w:t>
      </w:r>
      <w:r>
        <w:rPr>
          <w:rFonts w:ascii="Arial" w:hAnsi="Arial" w:cs="Arial"/>
          <w:i/>
        </w:rPr>
        <w:t>34 CFR 600.2.</w:t>
      </w:r>
    </w:p>
    <w:p w14:paraId="1745CC21" w14:textId="77777777" w:rsidR="006A24B2" w:rsidRDefault="001B20EE" w:rsidP="00425D17">
      <w:pPr>
        <w:rPr>
          <w:rFonts w:ascii="Arial" w:hAnsi="Arial" w:cs="Arial"/>
        </w:rPr>
      </w:pPr>
      <w:r>
        <w:rPr>
          <w:rFonts w:ascii="Arial" w:hAnsi="Arial" w:cs="Arial"/>
          <w:i/>
        </w:rPr>
        <w:t xml:space="preserve">Other glossary terms. </w:t>
      </w:r>
      <w:r>
        <w:rPr>
          <w:rFonts w:ascii="Arial" w:hAnsi="Arial" w:cs="Arial"/>
        </w:rPr>
        <w:t>After a review of the IPEDS glossary, NCES determined that some terms needed to be added to the glossary. The terms being added include cost of attendance, cohort year, child institution, and parent institution.</w:t>
      </w:r>
    </w:p>
    <w:tbl>
      <w:tblPr>
        <w:tblW w:w="5048"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6029"/>
        <w:gridCol w:w="1865"/>
        <w:gridCol w:w="1668"/>
        <w:gridCol w:w="1269"/>
      </w:tblGrid>
      <w:tr w:rsidR="00220CEE" w:rsidRPr="001A0F26" w14:paraId="5BCE79AE" w14:textId="77777777" w:rsidTr="00A35425">
        <w:trPr>
          <w:trHeight w:val="238"/>
          <w:tblHeader/>
        </w:trPr>
        <w:tc>
          <w:tcPr>
            <w:tcW w:w="5000" w:type="pct"/>
            <w:gridSpan w:val="4"/>
            <w:shd w:val="clear" w:color="auto" w:fill="4F81BD"/>
            <w:vAlign w:val="center"/>
          </w:tcPr>
          <w:p w14:paraId="50CCCC82" w14:textId="65B1E14E" w:rsidR="00220CEE" w:rsidRPr="001A0F26" w:rsidRDefault="00220CEE" w:rsidP="00A35425">
            <w:pPr>
              <w:pStyle w:val="TableTitle"/>
            </w:pPr>
            <w:r w:rsidRPr="001A0F26">
              <w:t xml:space="preserve">Table </w:t>
            </w:r>
            <w:r w:rsidR="00953F1E">
              <w:t>A</w:t>
            </w:r>
            <w:r w:rsidR="00006A8F">
              <w:t>7.</w:t>
            </w:r>
            <w:r w:rsidRPr="001A0F26">
              <w:t xml:space="preserve"> Proposed </w:t>
            </w:r>
            <w:r>
              <w:t>c</w:t>
            </w:r>
            <w:r w:rsidRPr="001A0F26">
              <w:t xml:space="preserve">hanges to </w:t>
            </w:r>
            <w:r>
              <w:t>Definitions and Instructions</w:t>
            </w:r>
            <w:r w:rsidRPr="001A0F26">
              <w:t xml:space="preserve"> </w:t>
            </w:r>
            <w:r w:rsidR="00823E40">
              <w:t>(Cross-cutting)</w:t>
            </w:r>
          </w:p>
        </w:tc>
      </w:tr>
      <w:tr w:rsidR="00220CEE" w:rsidRPr="00534107" w14:paraId="27012BFC" w14:textId="77777777" w:rsidTr="00425D17">
        <w:trPr>
          <w:trHeight w:val="478"/>
          <w:tblHeader/>
        </w:trPr>
        <w:tc>
          <w:tcPr>
            <w:tcW w:w="2783" w:type="pct"/>
            <w:tcBorders>
              <w:bottom w:val="single" w:sz="8" w:space="0" w:color="7BA0CD"/>
              <w:right w:val="nil"/>
            </w:tcBorders>
            <w:shd w:val="clear" w:color="auto" w:fill="D3DFEE"/>
            <w:vAlign w:val="center"/>
          </w:tcPr>
          <w:p w14:paraId="1B1EFBFA" w14:textId="77777777" w:rsidR="00220CEE" w:rsidRPr="00534107" w:rsidRDefault="00220CEE" w:rsidP="00A35425">
            <w:pPr>
              <w:pStyle w:val="TableHeader"/>
              <w:jc w:val="left"/>
            </w:pPr>
            <w:r w:rsidRPr="00534107">
              <w:t>Change</w:t>
            </w:r>
          </w:p>
        </w:tc>
        <w:tc>
          <w:tcPr>
            <w:tcW w:w="861" w:type="pct"/>
            <w:tcBorders>
              <w:left w:val="nil"/>
              <w:bottom w:val="single" w:sz="8" w:space="0" w:color="7BA0CD"/>
              <w:right w:val="nil"/>
            </w:tcBorders>
            <w:shd w:val="clear" w:color="auto" w:fill="D3DFEE"/>
            <w:vAlign w:val="center"/>
          </w:tcPr>
          <w:p w14:paraId="0EB571A7" w14:textId="77777777" w:rsidR="00220CEE" w:rsidRPr="00534107" w:rsidRDefault="00220CEE" w:rsidP="00A35425">
            <w:pPr>
              <w:pStyle w:val="TableHeader"/>
              <w:jc w:val="left"/>
            </w:pPr>
            <w:r w:rsidRPr="00534107">
              <w:t xml:space="preserve">Implementation </w:t>
            </w:r>
            <w:r>
              <w:t>y</w:t>
            </w:r>
            <w:r w:rsidRPr="00534107">
              <w:t>ear</w:t>
            </w:r>
          </w:p>
        </w:tc>
        <w:tc>
          <w:tcPr>
            <w:tcW w:w="770" w:type="pct"/>
            <w:tcBorders>
              <w:left w:val="nil"/>
              <w:bottom w:val="single" w:sz="8" w:space="0" w:color="7BA0CD"/>
              <w:right w:val="nil"/>
            </w:tcBorders>
            <w:shd w:val="clear" w:color="auto" w:fill="D3DFEE"/>
            <w:vAlign w:val="center"/>
          </w:tcPr>
          <w:p w14:paraId="61D5C040" w14:textId="77777777" w:rsidR="00220CEE" w:rsidRPr="00534107" w:rsidRDefault="00220CEE" w:rsidP="00A35425">
            <w:pPr>
              <w:pStyle w:val="TableHeader"/>
              <w:jc w:val="left"/>
            </w:pPr>
            <w:r w:rsidRPr="00534107">
              <w:t>Source</w:t>
            </w:r>
          </w:p>
        </w:tc>
        <w:tc>
          <w:tcPr>
            <w:tcW w:w="586" w:type="pct"/>
            <w:tcBorders>
              <w:left w:val="nil"/>
              <w:bottom w:val="single" w:sz="8" w:space="0" w:color="7BA0CD"/>
            </w:tcBorders>
            <w:shd w:val="clear" w:color="auto" w:fill="D3DFEE"/>
            <w:vAlign w:val="center"/>
          </w:tcPr>
          <w:p w14:paraId="603D3402" w14:textId="77777777" w:rsidR="00220CEE" w:rsidRPr="00534107" w:rsidRDefault="00220CEE" w:rsidP="00A35425">
            <w:pPr>
              <w:pStyle w:val="TableHeader"/>
              <w:jc w:val="left"/>
            </w:pPr>
            <w:r w:rsidRPr="00534107">
              <w:t xml:space="preserve">Estimated </w:t>
            </w:r>
            <w:r>
              <w:t>b</w:t>
            </w:r>
            <w:r w:rsidRPr="00534107">
              <w:t>urden</w:t>
            </w:r>
          </w:p>
        </w:tc>
      </w:tr>
      <w:tr w:rsidR="00220CEE" w14:paraId="48C6579A" w14:textId="77777777" w:rsidTr="00425D17">
        <w:trPr>
          <w:trHeight w:val="844"/>
        </w:trPr>
        <w:tc>
          <w:tcPr>
            <w:tcW w:w="2783" w:type="pct"/>
            <w:tcBorders>
              <w:right w:val="nil"/>
            </w:tcBorders>
            <w:shd w:val="clear" w:color="auto" w:fill="auto"/>
          </w:tcPr>
          <w:p w14:paraId="2C2E7ACF" w14:textId="77777777" w:rsidR="00220CEE" w:rsidRDefault="00B329F6" w:rsidP="00133F68">
            <w:pPr>
              <w:pStyle w:val="TableText"/>
              <w:jc w:val="left"/>
              <w:rPr>
                <w:i/>
              </w:rPr>
            </w:pPr>
            <w:r>
              <w:rPr>
                <w:i/>
              </w:rPr>
              <w:t>Change definition of “dual enrollment” from “</w:t>
            </w:r>
            <w:r w:rsidRPr="00B329F6">
              <w:rPr>
                <w:i/>
              </w:rPr>
              <w:t>a program through which high school students may enroll in college courses while still enrolled in high school</w:t>
            </w:r>
            <w:r>
              <w:rPr>
                <w:i/>
              </w:rPr>
              <w:t>” to the following:</w:t>
            </w:r>
          </w:p>
          <w:p w14:paraId="10C7DFE5" w14:textId="77777777" w:rsidR="006A24B2" w:rsidRDefault="0016531F" w:rsidP="00133F68">
            <w:pPr>
              <w:pStyle w:val="TableText"/>
              <w:jc w:val="left"/>
            </w:pPr>
            <w:r w:rsidRPr="0016531F">
              <w:t>Dual enrollment: Refers to students who enroll in college courses offered by an institution of higher education while enrolled in high school or seeking a recognized equivalent. Student performance is recorded on a college transcript and postsecondary credit is awarded for a passing grade in the course.</w:t>
            </w:r>
          </w:p>
          <w:p w14:paraId="172F9115" w14:textId="77777777" w:rsidR="006A24B2" w:rsidRDefault="0016531F" w:rsidP="00133F68">
            <w:pPr>
              <w:pStyle w:val="TableText"/>
              <w:numPr>
                <w:ilvl w:val="0"/>
                <w:numId w:val="10"/>
              </w:numPr>
              <w:ind w:left="360" w:hanging="180"/>
              <w:jc w:val="left"/>
            </w:pPr>
            <w:r w:rsidRPr="0016531F">
              <w:t>Includes: All postsecondary courses, independent of course delivery mode, course location, course instructor, whether secondary credit is also offered, and whether the student enrolls through a formal state/local program or enrolls outside a formal state/local program.</w:t>
            </w:r>
          </w:p>
          <w:p w14:paraId="75E491A9" w14:textId="5EE520FE" w:rsidR="00B329F6" w:rsidRPr="00B329F6" w:rsidRDefault="0016531F" w:rsidP="00133F68">
            <w:pPr>
              <w:pStyle w:val="TableText"/>
              <w:numPr>
                <w:ilvl w:val="0"/>
                <w:numId w:val="10"/>
              </w:numPr>
              <w:ind w:left="360" w:hanging="180"/>
              <w:jc w:val="left"/>
            </w:pPr>
            <w:r w:rsidRPr="0016531F">
              <w:t>Excludes: Credit-by-exam models such as Advanced Placement and International Baccalaureate in which the student is not enrolled in a postsecondary institution.</w:t>
            </w:r>
          </w:p>
        </w:tc>
        <w:tc>
          <w:tcPr>
            <w:tcW w:w="861" w:type="pct"/>
            <w:tcBorders>
              <w:left w:val="nil"/>
              <w:right w:val="nil"/>
            </w:tcBorders>
            <w:shd w:val="clear" w:color="auto" w:fill="auto"/>
          </w:tcPr>
          <w:p w14:paraId="5CB500F8" w14:textId="77777777" w:rsidR="00220CEE" w:rsidRPr="001A0F26" w:rsidRDefault="00220CEE" w:rsidP="00A35425">
            <w:pPr>
              <w:pStyle w:val="TableTextCenter"/>
            </w:pPr>
            <w:r>
              <w:t>2020-21</w:t>
            </w:r>
          </w:p>
        </w:tc>
        <w:tc>
          <w:tcPr>
            <w:tcW w:w="770" w:type="pct"/>
            <w:tcBorders>
              <w:left w:val="nil"/>
              <w:right w:val="nil"/>
            </w:tcBorders>
            <w:shd w:val="clear" w:color="auto" w:fill="auto"/>
          </w:tcPr>
          <w:p w14:paraId="26F31E9C" w14:textId="1E67F9FA" w:rsidR="00220CEE" w:rsidRPr="001A0F26" w:rsidRDefault="00101166" w:rsidP="00A35425">
            <w:pPr>
              <w:pStyle w:val="TableText"/>
              <w:jc w:val="left"/>
            </w:pPr>
            <w:r w:rsidRPr="0011338E">
              <w:t>TRP on Capturing and Clarifying Dual Enrollment Data (March 2018)</w:t>
            </w:r>
          </w:p>
        </w:tc>
        <w:tc>
          <w:tcPr>
            <w:tcW w:w="586" w:type="pct"/>
            <w:tcBorders>
              <w:left w:val="nil"/>
            </w:tcBorders>
            <w:shd w:val="clear" w:color="auto" w:fill="auto"/>
          </w:tcPr>
          <w:p w14:paraId="57EA0B74" w14:textId="77777777" w:rsidR="00220CEE" w:rsidRDefault="00220CEE" w:rsidP="00A35425">
            <w:pPr>
              <w:pStyle w:val="TableText"/>
            </w:pPr>
            <w:r>
              <w:t>No change</w:t>
            </w:r>
          </w:p>
        </w:tc>
      </w:tr>
      <w:tr w:rsidR="009B16DB" w14:paraId="52EDB98A" w14:textId="77777777" w:rsidTr="00425D17">
        <w:trPr>
          <w:trHeight w:val="844"/>
        </w:trPr>
        <w:tc>
          <w:tcPr>
            <w:tcW w:w="2783" w:type="pct"/>
            <w:tcBorders>
              <w:right w:val="nil"/>
            </w:tcBorders>
            <w:shd w:val="clear" w:color="auto" w:fill="auto"/>
          </w:tcPr>
          <w:p w14:paraId="5F0D55A9" w14:textId="17C35172" w:rsidR="009B16DB" w:rsidRPr="0090056C" w:rsidRDefault="009B16DB" w:rsidP="00BD4BF1">
            <w:pPr>
              <w:pStyle w:val="TableText"/>
              <w:jc w:val="left"/>
              <w:rPr>
                <w:i/>
                <w:highlight w:val="yellow"/>
              </w:rPr>
            </w:pPr>
            <w:r w:rsidRPr="0090056C">
              <w:rPr>
                <w:i/>
              </w:rPr>
              <w:t xml:space="preserve">Replace “formal award” with “recognized </w:t>
            </w:r>
            <w:r w:rsidR="00413ED1" w:rsidRPr="0090056C">
              <w:rPr>
                <w:i/>
              </w:rPr>
              <w:t>postsecondary</w:t>
            </w:r>
            <w:r w:rsidRPr="0090056C">
              <w:rPr>
                <w:i/>
              </w:rPr>
              <w:t xml:space="preserve"> credential” throughout IPEDS forms and </w:t>
            </w:r>
            <w:r w:rsidR="00FB502C" w:rsidRPr="0090056C">
              <w:rPr>
                <w:i/>
              </w:rPr>
              <w:t>add the FAQ and</w:t>
            </w:r>
            <w:r w:rsidR="00413ED1" w:rsidRPr="0090056C">
              <w:rPr>
                <w:i/>
              </w:rPr>
              <w:t xml:space="preserve"> definition below:</w:t>
            </w:r>
          </w:p>
          <w:p w14:paraId="16BB5B9B" w14:textId="77777777" w:rsidR="00AA75D3" w:rsidRPr="0090056C" w:rsidRDefault="00FB502C" w:rsidP="00AA75D3">
            <w:pPr>
              <w:rPr>
                <w:rFonts w:ascii="Arial" w:hAnsi="Arial" w:cs="Arial"/>
                <w:sz w:val="18"/>
                <w:szCs w:val="18"/>
              </w:rPr>
            </w:pPr>
            <w:r w:rsidRPr="0090056C">
              <w:rPr>
                <w:rFonts w:ascii="Arial" w:hAnsi="Arial" w:cs="Arial"/>
                <w:sz w:val="18"/>
                <w:szCs w:val="18"/>
              </w:rPr>
              <w:t xml:space="preserve">FAQ: </w:t>
            </w:r>
          </w:p>
          <w:p w14:paraId="75531EE4" w14:textId="2BAC9420" w:rsidR="00AA75D3" w:rsidRPr="0090056C" w:rsidRDefault="00AA75D3" w:rsidP="00AA75D3">
            <w:pPr>
              <w:rPr>
                <w:rFonts w:ascii="Arial" w:hAnsi="Arial" w:cs="Arial"/>
                <w:sz w:val="18"/>
                <w:szCs w:val="18"/>
              </w:rPr>
            </w:pPr>
            <w:r w:rsidRPr="0090056C">
              <w:rPr>
                <w:rFonts w:ascii="Arial" w:hAnsi="Arial" w:cs="Arial"/>
                <w:sz w:val="18"/>
                <w:szCs w:val="18"/>
              </w:rPr>
              <w:t>Q: What types of credentials should be included in IPEDS?</w:t>
            </w:r>
          </w:p>
          <w:p w14:paraId="10D504BF" w14:textId="77777777" w:rsidR="00AA75D3" w:rsidRPr="0090056C" w:rsidRDefault="00AA75D3" w:rsidP="00AA75D3">
            <w:pPr>
              <w:rPr>
                <w:rFonts w:ascii="Arial" w:hAnsi="Arial" w:cs="Arial"/>
                <w:sz w:val="18"/>
                <w:szCs w:val="18"/>
              </w:rPr>
            </w:pPr>
            <w:r w:rsidRPr="0090056C">
              <w:rPr>
                <w:rFonts w:ascii="Arial" w:hAnsi="Arial" w:cs="Arial"/>
                <w:sz w:val="18"/>
                <w:szCs w:val="18"/>
              </w:rPr>
              <w:t xml:space="preserve">A: Institutions are required to report all credentials from both Title IV eligible and non-Title IV eligible programs, including all degrees, certificates, and other recognized postsecondary credentials to the IPEDS.  </w:t>
            </w:r>
          </w:p>
          <w:p w14:paraId="5723C6DD" w14:textId="77777777" w:rsidR="00AA75D3" w:rsidRPr="0090056C" w:rsidRDefault="00AA75D3" w:rsidP="00AA75D3">
            <w:pPr>
              <w:pStyle w:val="ListParagraph"/>
              <w:numPr>
                <w:ilvl w:val="0"/>
                <w:numId w:val="14"/>
              </w:numPr>
              <w:rPr>
                <w:rFonts w:ascii="Arial" w:hAnsi="Arial" w:cs="Arial"/>
                <w:sz w:val="18"/>
                <w:szCs w:val="18"/>
              </w:rPr>
            </w:pPr>
            <w:r w:rsidRPr="0090056C">
              <w:rPr>
                <w:rFonts w:ascii="Arial" w:hAnsi="Arial" w:cs="Arial"/>
                <w:sz w:val="18"/>
                <w:szCs w:val="18"/>
              </w:rPr>
              <w:t xml:space="preserve">Any credential that is received after completion of a program that is eligible for Title IV federal student aid needs to be included in IPEDS reporting. </w:t>
            </w:r>
          </w:p>
          <w:p w14:paraId="1290DDF6" w14:textId="77777777" w:rsidR="00AA75D3" w:rsidRPr="0090056C" w:rsidRDefault="00AA75D3" w:rsidP="00AA75D3">
            <w:pPr>
              <w:pStyle w:val="ListParagraph"/>
              <w:numPr>
                <w:ilvl w:val="0"/>
                <w:numId w:val="14"/>
              </w:numPr>
              <w:rPr>
                <w:rFonts w:ascii="Arial" w:hAnsi="Arial" w:cs="Arial"/>
                <w:sz w:val="18"/>
                <w:szCs w:val="18"/>
              </w:rPr>
            </w:pPr>
            <w:r w:rsidRPr="0090056C">
              <w:rPr>
                <w:rFonts w:ascii="Arial" w:hAnsi="Arial" w:cs="Arial"/>
                <w:sz w:val="18"/>
                <w:szCs w:val="18"/>
              </w:rPr>
              <w:t>Credentials that are awarded to recognize an individual’s attainment of measurable technical or industry/occupational skills necessary to obtain employment or advance within an industry/occupation. (generally based on standards developed or endorsed by employers or industry associations).</w:t>
            </w:r>
          </w:p>
          <w:p w14:paraId="4470692C" w14:textId="77777777" w:rsidR="0090056C" w:rsidRDefault="0090056C" w:rsidP="00A24068">
            <w:pPr>
              <w:spacing w:after="0" w:line="240" w:lineRule="auto"/>
              <w:rPr>
                <w:rFonts w:ascii="Arial" w:hAnsi="Arial" w:cs="Arial"/>
                <w:sz w:val="18"/>
                <w:szCs w:val="18"/>
              </w:rPr>
            </w:pPr>
          </w:p>
          <w:p w14:paraId="277F969A" w14:textId="77777777" w:rsidR="0090056C" w:rsidRDefault="0090056C" w:rsidP="00A24068">
            <w:pPr>
              <w:spacing w:after="0" w:line="240" w:lineRule="auto"/>
              <w:rPr>
                <w:rFonts w:ascii="Arial" w:hAnsi="Arial" w:cs="Arial"/>
                <w:sz w:val="18"/>
                <w:szCs w:val="18"/>
              </w:rPr>
            </w:pPr>
          </w:p>
          <w:p w14:paraId="2E397693" w14:textId="40C642A4" w:rsidR="00FB502C" w:rsidRPr="0090056C" w:rsidRDefault="00AA75D3" w:rsidP="00A24068">
            <w:pPr>
              <w:spacing w:after="0" w:line="240" w:lineRule="auto"/>
              <w:rPr>
                <w:rFonts w:ascii="Arial" w:hAnsi="Arial" w:cs="Arial"/>
                <w:sz w:val="18"/>
                <w:szCs w:val="18"/>
              </w:rPr>
            </w:pPr>
            <w:r w:rsidRPr="0090056C">
              <w:rPr>
                <w:rFonts w:ascii="Arial" w:hAnsi="Arial" w:cs="Arial"/>
                <w:sz w:val="18"/>
                <w:szCs w:val="18"/>
              </w:rPr>
              <w:t>Glossary term:</w:t>
            </w:r>
          </w:p>
          <w:p w14:paraId="6366B616" w14:textId="77777777" w:rsidR="00FB502C" w:rsidRPr="0090056C" w:rsidRDefault="00FB502C" w:rsidP="00A24068">
            <w:pPr>
              <w:spacing w:after="0" w:line="240" w:lineRule="auto"/>
              <w:rPr>
                <w:rFonts w:ascii="Arial" w:hAnsi="Arial" w:cs="Arial"/>
                <w:sz w:val="18"/>
                <w:szCs w:val="18"/>
              </w:rPr>
            </w:pPr>
          </w:p>
          <w:p w14:paraId="1DEA62EC" w14:textId="6D86B1FA" w:rsidR="00A24068" w:rsidRPr="0090056C" w:rsidRDefault="00A24068" w:rsidP="00A24068">
            <w:pPr>
              <w:spacing w:after="0" w:line="240" w:lineRule="auto"/>
              <w:rPr>
                <w:rFonts w:ascii="Arial" w:hAnsi="Arial" w:cs="Arial"/>
                <w:sz w:val="18"/>
                <w:szCs w:val="18"/>
              </w:rPr>
            </w:pPr>
            <w:r w:rsidRPr="003E3B57">
              <w:rPr>
                <w:rFonts w:ascii="Arial" w:hAnsi="Arial" w:cs="Arial"/>
                <w:sz w:val="18"/>
                <w:szCs w:val="18"/>
              </w:rPr>
              <w:t>A recognized postsecondary credential includes any credential that is received after completion of a program that is eligible for Title IV federal student aid or that is awarded</w:t>
            </w:r>
            <w:r w:rsidRPr="0090056C">
              <w:rPr>
                <w:rFonts w:ascii="Arial" w:hAnsi="Arial" w:cs="Arial"/>
                <w:sz w:val="18"/>
                <w:szCs w:val="18"/>
              </w:rPr>
              <w:t xml:space="preserve"> in recognition of an individual’s attainment of measurable technical or industry/occupational skills necessary to obtain employment or advance within an industry/occupation. These technical or industry/occupational skills generally are based on standards developed or endorsed by employers or industry associations. </w:t>
            </w:r>
          </w:p>
          <w:p w14:paraId="28A226F4" w14:textId="360C1C4B" w:rsidR="00A731C4" w:rsidRPr="00A731C4" w:rsidRDefault="00A731C4" w:rsidP="00BD4BF1">
            <w:pPr>
              <w:pStyle w:val="TableText"/>
              <w:jc w:val="left"/>
              <w:rPr>
                <w:highlight w:val="yellow"/>
              </w:rPr>
            </w:pPr>
            <w:r w:rsidRPr="0090056C">
              <w:rPr>
                <w:strike/>
              </w:rPr>
              <w:t>This definition is drawn from Title IV of the Workforce Innovation and Opportunity Act (WIOA).</w:t>
            </w:r>
          </w:p>
        </w:tc>
        <w:tc>
          <w:tcPr>
            <w:tcW w:w="861" w:type="pct"/>
            <w:tcBorders>
              <w:left w:val="nil"/>
              <w:right w:val="nil"/>
            </w:tcBorders>
            <w:shd w:val="clear" w:color="auto" w:fill="auto"/>
          </w:tcPr>
          <w:p w14:paraId="6FBD1F3A" w14:textId="5B00CB66" w:rsidR="009B16DB" w:rsidRDefault="00A731C4" w:rsidP="00A35425">
            <w:pPr>
              <w:pStyle w:val="TableTextCenter"/>
            </w:pPr>
            <w:r>
              <w:t>2019-20</w:t>
            </w:r>
          </w:p>
        </w:tc>
        <w:tc>
          <w:tcPr>
            <w:tcW w:w="770" w:type="pct"/>
            <w:tcBorders>
              <w:left w:val="nil"/>
              <w:right w:val="nil"/>
            </w:tcBorders>
            <w:shd w:val="clear" w:color="auto" w:fill="auto"/>
          </w:tcPr>
          <w:p w14:paraId="4563E3F0" w14:textId="324E736A" w:rsidR="009B16DB" w:rsidRPr="0011338E" w:rsidRDefault="009B16DB" w:rsidP="00A35425">
            <w:pPr>
              <w:pStyle w:val="TableText"/>
              <w:jc w:val="left"/>
            </w:pPr>
            <w:r>
              <w:t>NCES-initiated with input from NPEC</w:t>
            </w:r>
          </w:p>
        </w:tc>
        <w:tc>
          <w:tcPr>
            <w:tcW w:w="586" w:type="pct"/>
            <w:tcBorders>
              <w:left w:val="nil"/>
            </w:tcBorders>
            <w:shd w:val="clear" w:color="auto" w:fill="auto"/>
          </w:tcPr>
          <w:p w14:paraId="242C4F5F" w14:textId="2E0E18D1" w:rsidR="009B16DB" w:rsidRDefault="009B16DB" w:rsidP="00A35425">
            <w:pPr>
              <w:pStyle w:val="TableText"/>
            </w:pPr>
            <w:r>
              <w:t>No change</w:t>
            </w:r>
          </w:p>
        </w:tc>
      </w:tr>
      <w:tr w:rsidR="009179FF" w14:paraId="16B9B57C" w14:textId="77777777" w:rsidTr="00425D17">
        <w:trPr>
          <w:trHeight w:val="844"/>
        </w:trPr>
        <w:tc>
          <w:tcPr>
            <w:tcW w:w="2783" w:type="pct"/>
            <w:tcBorders>
              <w:right w:val="nil"/>
            </w:tcBorders>
            <w:shd w:val="clear" w:color="auto" w:fill="auto"/>
          </w:tcPr>
          <w:p w14:paraId="4F57F625" w14:textId="7C8AC91F" w:rsidR="009179FF" w:rsidRDefault="008D3467" w:rsidP="00BD4BF1">
            <w:pPr>
              <w:pStyle w:val="TableText"/>
              <w:jc w:val="left"/>
              <w:rPr>
                <w:i/>
              </w:rPr>
            </w:pPr>
            <w:r>
              <w:rPr>
                <w:i/>
              </w:rPr>
              <w:t>New FAQ re: Experimental Sites</w:t>
            </w:r>
          </w:p>
          <w:p w14:paraId="483F403A" w14:textId="4F76A92E" w:rsidR="008D3467" w:rsidRPr="008D3467" w:rsidRDefault="008D3467" w:rsidP="00BD4BF1">
            <w:pPr>
              <w:pStyle w:val="TableText"/>
              <w:jc w:val="left"/>
            </w:pPr>
            <w:r w:rsidRPr="008D3467">
              <w:t xml:space="preserve">Should my institution, which is participating as an experimental site, report high school students </w:t>
            </w:r>
            <w:r>
              <w:t xml:space="preserve">or incarcerated students </w:t>
            </w:r>
            <w:r w:rsidRPr="008D3467">
              <w:t>who have received a Pell Grant while taking college coursework?</w:t>
            </w:r>
          </w:p>
          <w:p w14:paraId="7237F74B" w14:textId="4D601BD8" w:rsidR="008D3467" w:rsidRDefault="008D3467" w:rsidP="00BD4BF1">
            <w:pPr>
              <w:pStyle w:val="TableText"/>
              <w:jc w:val="left"/>
              <w:rPr>
                <w:i/>
              </w:rPr>
            </w:pPr>
            <w:r w:rsidRPr="008D3467">
              <w:rPr>
                <w:i/>
              </w:rPr>
              <w:t xml:space="preserve">If your institution is participating in the </w:t>
            </w:r>
            <w:r>
              <w:rPr>
                <w:i/>
              </w:rPr>
              <w:t xml:space="preserve">Dual Enrollment experimental site or the Second Chance Pell </w:t>
            </w:r>
            <w:r w:rsidRPr="008D3467">
              <w:rPr>
                <w:i/>
              </w:rPr>
              <w:t xml:space="preserve">experimental site program, </w:t>
            </w:r>
            <w:r>
              <w:rPr>
                <w:i/>
              </w:rPr>
              <w:t>exclude these students from r</w:t>
            </w:r>
            <w:r w:rsidRPr="008D3467">
              <w:rPr>
                <w:i/>
              </w:rPr>
              <w:t>eporting.</w:t>
            </w:r>
          </w:p>
        </w:tc>
        <w:tc>
          <w:tcPr>
            <w:tcW w:w="861" w:type="pct"/>
            <w:tcBorders>
              <w:left w:val="nil"/>
              <w:right w:val="nil"/>
            </w:tcBorders>
            <w:shd w:val="clear" w:color="auto" w:fill="auto"/>
          </w:tcPr>
          <w:p w14:paraId="6816F9DF" w14:textId="6F624211" w:rsidR="009179FF" w:rsidRDefault="008D3467" w:rsidP="00A35425">
            <w:pPr>
              <w:pStyle w:val="TableTextCenter"/>
            </w:pPr>
            <w:r>
              <w:t>2019-20</w:t>
            </w:r>
          </w:p>
        </w:tc>
        <w:tc>
          <w:tcPr>
            <w:tcW w:w="770" w:type="pct"/>
            <w:tcBorders>
              <w:left w:val="nil"/>
              <w:right w:val="nil"/>
            </w:tcBorders>
            <w:shd w:val="clear" w:color="auto" w:fill="auto"/>
          </w:tcPr>
          <w:p w14:paraId="547CC324" w14:textId="5C1B9A84" w:rsidR="009179FF" w:rsidRPr="0011338E" w:rsidRDefault="008D3467" w:rsidP="00A35425">
            <w:pPr>
              <w:pStyle w:val="TableText"/>
              <w:jc w:val="left"/>
            </w:pPr>
            <w:r>
              <w:t>NCES initiated – based on calls from institutions</w:t>
            </w:r>
          </w:p>
        </w:tc>
        <w:tc>
          <w:tcPr>
            <w:tcW w:w="586" w:type="pct"/>
            <w:tcBorders>
              <w:left w:val="nil"/>
            </w:tcBorders>
            <w:shd w:val="clear" w:color="auto" w:fill="auto"/>
          </w:tcPr>
          <w:p w14:paraId="515721D4" w14:textId="2A03A447" w:rsidR="009179FF" w:rsidRDefault="008D3467" w:rsidP="00A35425">
            <w:pPr>
              <w:pStyle w:val="TableText"/>
            </w:pPr>
            <w:r>
              <w:t>No change</w:t>
            </w:r>
          </w:p>
        </w:tc>
      </w:tr>
      <w:tr w:rsidR="00EE37C5" w14:paraId="7784AE7C" w14:textId="77777777" w:rsidTr="006647BE">
        <w:trPr>
          <w:trHeight w:val="304"/>
        </w:trPr>
        <w:tc>
          <w:tcPr>
            <w:tcW w:w="2783" w:type="pct"/>
            <w:tcBorders>
              <w:right w:val="nil"/>
            </w:tcBorders>
            <w:shd w:val="clear" w:color="auto" w:fill="auto"/>
          </w:tcPr>
          <w:p w14:paraId="0237F82F" w14:textId="55082960" w:rsidR="00EE37C5" w:rsidRDefault="00EE37C5" w:rsidP="00BD4BF1">
            <w:pPr>
              <w:pStyle w:val="TableText"/>
              <w:jc w:val="left"/>
            </w:pPr>
            <w:r>
              <w:rPr>
                <w:i/>
              </w:rPr>
              <w:t>Remove the term “contact hour” and only use the term “clock hour” throughout IPEDS. Update the definition of “clock hour” to the following definition</w:t>
            </w:r>
            <w:r w:rsidR="00944095">
              <w:rPr>
                <w:i/>
              </w:rPr>
              <w:t xml:space="preserve"> per CFR 34 600.2</w:t>
            </w:r>
            <w:r>
              <w:rPr>
                <w:i/>
              </w:rPr>
              <w:t>:</w:t>
            </w:r>
          </w:p>
          <w:p w14:paraId="7FF8F7E7" w14:textId="22E146D2" w:rsidR="00EE37C5" w:rsidRPr="00EE37C5" w:rsidRDefault="00944095" w:rsidP="00BD4BF1">
            <w:pPr>
              <w:pStyle w:val="TableText"/>
              <w:jc w:val="left"/>
            </w:pPr>
            <w:r>
              <w:t>A period of time consisting of (1) A 50- to 60-minute class, lecture, or recitation in a 60-minute period; (2) A 50- to 60-minute faculty-supervised laboratory, shop training, or internship in a 60-minute period; or (3) Sixty minutes of preparation in a correspondence course.</w:t>
            </w:r>
          </w:p>
        </w:tc>
        <w:tc>
          <w:tcPr>
            <w:tcW w:w="861" w:type="pct"/>
            <w:tcBorders>
              <w:left w:val="nil"/>
              <w:right w:val="nil"/>
            </w:tcBorders>
            <w:shd w:val="clear" w:color="auto" w:fill="auto"/>
          </w:tcPr>
          <w:p w14:paraId="0D4B48A4" w14:textId="3766BBDC" w:rsidR="00EE37C5" w:rsidRDefault="00944095" w:rsidP="00A35425">
            <w:pPr>
              <w:pStyle w:val="TableTextCenter"/>
            </w:pPr>
            <w:r>
              <w:t>2019-20</w:t>
            </w:r>
          </w:p>
        </w:tc>
        <w:tc>
          <w:tcPr>
            <w:tcW w:w="770" w:type="pct"/>
            <w:tcBorders>
              <w:left w:val="nil"/>
              <w:right w:val="nil"/>
            </w:tcBorders>
            <w:shd w:val="clear" w:color="auto" w:fill="auto"/>
          </w:tcPr>
          <w:p w14:paraId="1C2E6876" w14:textId="214B3005" w:rsidR="00EE37C5" w:rsidRDefault="00944095" w:rsidP="00944095">
            <w:pPr>
              <w:pStyle w:val="TableText"/>
              <w:jc w:val="left"/>
            </w:pPr>
            <w:r>
              <w:t>TRP on Subbaccalaureate Certificates (March 2017)</w:t>
            </w:r>
          </w:p>
        </w:tc>
        <w:tc>
          <w:tcPr>
            <w:tcW w:w="586" w:type="pct"/>
            <w:tcBorders>
              <w:left w:val="nil"/>
            </w:tcBorders>
            <w:shd w:val="clear" w:color="auto" w:fill="auto"/>
          </w:tcPr>
          <w:p w14:paraId="3B6A4924" w14:textId="5C7DE8B0" w:rsidR="00EE37C5" w:rsidRDefault="00944095" w:rsidP="00A35425">
            <w:pPr>
              <w:pStyle w:val="TableText"/>
            </w:pPr>
            <w:r>
              <w:t>No change</w:t>
            </w:r>
          </w:p>
        </w:tc>
      </w:tr>
      <w:tr w:rsidR="001B20EE" w14:paraId="2ADEFD25" w14:textId="77777777" w:rsidTr="00425D17">
        <w:trPr>
          <w:trHeight w:val="844"/>
        </w:trPr>
        <w:tc>
          <w:tcPr>
            <w:tcW w:w="2783" w:type="pct"/>
            <w:tcBorders>
              <w:right w:val="nil"/>
            </w:tcBorders>
            <w:shd w:val="clear" w:color="auto" w:fill="auto"/>
          </w:tcPr>
          <w:p w14:paraId="03174F50" w14:textId="77777777" w:rsidR="001B20EE" w:rsidRDefault="001B20EE" w:rsidP="00BD4BF1">
            <w:pPr>
              <w:pStyle w:val="TableText"/>
              <w:jc w:val="left"/>
            </w:pPr>
            <w:r>
              <w:t>Add definitions for cohort year, cost of attendance, child institution, and parent institution to the glossary.</w:t>
            </w:r>
          </w:p>
          <w:p w14:paraId="1BDE3E33" w14:textId="77777777" w:rsidR="0092553F" w:rsidRDefault="0092553F" w:rsidP="00BD4BF1">
            <w:pPr>
              <w:pStyle w:val="TableText"/>
              <w:jc w:val="left"/>
              <w:rPr>
                <w:rFonts w:ascii="Verdana" w:hAnsi="Verdana"/>
              </w:rPr>
            </w:pPr>
            <w:r>
              <w:t xml:space="preserve">Cohort year: </w:t>
            </w:r>
            <w:r w:rsidRPr="00A24068">
              <w:t>The year that a cohort of students begins attending college.</w:t>
            </w:r>
          </w:p>
          <w:p w14:paraId="50BECC50" w14:textId="45259E3E" w:rsidR="0092553F" w:rsidRDefault="0092553F" w:rsidP="00BD4BF1">
            <w:pPr>
              <w:pStyle w:val="TableText"/>
              <w:jc w:val="left"/>
            </w:pPr>
            <w:r w:rsidRPr="0092553F">
              <w:t xml:space="preserve">Cost of attendance: </w:t>
            </w:r>
            <w:r>
              <w:t>T</w:t>
            </w:r>
            <w:r w:rsidRPr="0092553F">
              <w:t xml:space="preserve">he amount of tuition and fees, room and board, books and supplies, and other expenses that a full-time, first-time degree/certificate-seeking student can expect to pay to go to college for an academic year. Costs reported by the institutions are those amounts used by the financial aid office to determine </w:t>
            </w:r>
            <w:r>
              <w:t xml:space="preserve">a </w:t>
            </w:r>
            <w:r w:rsidRPr="0092553F">
              <w:t>student</w:t>
            </w:r>
            <w:r>
              <w:t>’s</w:t>
            </w:r>
            <w:r w:rsidRPr="0092553F">
              <w:t xml:space="preserve"> financial need.</w:t>
            </w:r>
          </w:p>
          <w:p w14:paraId="1E0F4218" w14:textId="77777777" w:rsidR="0092553F" w:rsidRDefault="0092553F" w:rsidP="00BD4BF1">
            <w:pPr>
              <w:pStyle w:val="TableText"/>
              <w:jc w:val="left"/>
            </w:pPr>
            <w:r>
              <w:t xml:space="preserve">Child institution: </w:t>
            </w:r>
            <w:r w:rsidRPr="0092553F">
              <w:t>An institution that has</w:t>
            </w:r>
            <w:r>
              <w:t xml:space="preserve"> some or all of</w:t>
            </w:r>
            <w:r w:rsidRPr="0092553F">
              <w:t xml:space="preserve"> its data reported by another institution, known as the parent institution.</w:t>
            </w:r>
          </w:p>
          <w:p w14:paraId="54A1229A" w14:textId="03E1310B" w:rsidR="0092553F" w:rsidRPr="0092553F" w:rsidRDefault="0092553F" w:rsidP="004023D4">
            <w:pPr>
              <w:pStyle w:val="TableText"/>
              <w:jc w:val="left"/>
            </w:pPr>
            <w:r>
              <w:t xml:space="preserve">Parent institution: </w:t>
            </w:r>
            <w:r w:rsidRPr="0092553F">
              <w:t>An institution that reports</w:t>
            </w:r>
            <w:r>
              <w:t xml:space="preserve"> some or all </w:t>
            </w:r>
            <w:r w:rsidRPr="0092553F">
              <w:t>data for another institution, known as the child institution.</w:t>
            </w:r>
          </w:p>
        </w:tc>
        <w:tc>
          <w:tcPr>
            <w:tcW w:w="861" w:type="pct"/>
            <w:tcBorders>
              <w:left w:val="nil"/>
              <w:right w:val="nil"/>
            </w:tcBorders>
            <w:shd w:val="clear" w:color="auto" w:fill="auto"/>
          </w:tcPr>
          <w:p w14:paraId="44B942D7" w14:textId="2851D0AF" w:rsidR="001B20EE" w:rsidRDefault="001B20EE" w:rsidP="00A35425">
            <w:pPr>
              <w:pStyle w:val="TableTextCenter"/>
            </w:pPr>
            <w:r>
              <w:t>2019-20</w:t>
            </w:r>
          </w:p>
        </w:tc>
        <w:tc>
          <w:tcPr>
            <w:tcW w:w="770" w:type="pct"/>
            <w:tcBorders>
              <w:left w:val="nil"/>
              <w:right w:val="nil"/>
            </w:tcBorders>
            <w:shd w:val="clear" w:color="auto" w:fill="auto"/>
          </w:tcPr>
          <w:p w14:paraId="1246043B" w14:textId="1EE094E0" w:rsidR="001B20EE" w:rsidRDefault="001B20EE" w:rsidP="00944095">
            <w:pPr>
              <w:pStyle w:val="TableText"/>
              <w:jc w:val="left"/>
            </w:pPr>
            <w:r>
              <w:t>NCES initiated – based on glossary review</w:t>
            </w:r>
          </w:p>
        </w:tc>
        <w:tc>
          <w:tcPr>
            <w:tcW w:w="586" w:type="pct"/>
            <w:tcBorders>
              <w:left w:val="nil"/>
            </w:tcBorders>
            <w:shd w:val="clear" w:color="auto" w:fill="auto"/>
          </w:tcPr>
          <w:p w14:paraId="231D01E9" w14:textId="134BE36D" w:rsidR="001B20EE" w:rsidRDefault="0092553F" w:rsidP="00A35425">
            <w:pPr>
              <w:pStyle w:val="TableText"/>
            </w:pPr>
            <w:r>
              <w:t>No change</w:t>
            </w:r>
          </w:p>
        </w:tc>
      </w:tr>
      <w:bookmarkEnd w:id="0"/>
    </w:tbl>
    <w:p w14:paraId="147995C0" w14:textId="77777777" w:rsidR="00220CEE" w:rsidRPr="00900AC3" w:rsidRDefault="00220CEE" w:rsidP="00564F3F">
      <w:pPr>
        <w:pStyle w:val="TableBullet"/>
        <w:numPr>
          <w:ilvl w:val="0"/>
          <w:numId w:val="0"/>
        </w:numPr>
        <w:rPr>
          <w:sz w:val="22"/>
          <w:szCs w:val="22"/>
        </w:rPr>
      </w:pPr>
    </w:p>
    <w:sectPr w:rsidR="00220CEE" w:rsidRPr="00900AC3" w:rsidSect="00D25BF1">
      <w:footerReference w:type="default" r:id="rId12"/>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625759" w14:textId="77777777" w:rsidR="00D14032" w:rsidRDefault="00D14032" w:rsidP="00E82EF2">
      <w:pPr>
        <w:spacing w:after="0" w:line="240" w:lineRule="auto"/>
      </w:pPr>
      <w:r>
        <w:separator/>
      </w:r>
    </w:p>
  </w:endnote>
  <w:endnote w:type="continuationSeparator" w:id="0">
    <w:p w14:paraId="7792585C" w14:textId="77777777" w:rsidR="00D14032" w:rsidRDefault="00D14032" w:rsidP="00E82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25172"/>
      <w:docPartObj>
        <w:docPartGallery w:val="Page Numbers (Bottom of Page)"/>
        <w:docPartUnique/>
      </w:docPartObj>
    </w:sdtPr>
    <w:sdtEndPr>
      <w:rPr>
        <w:noProof/>
      </w:rPr>
    </w:sdtEndPr>
    <w:sdtContent>
      <w:p w14:paraId="3ABABABA" w14:textId="204BB62A" w:rsidR="00A35425" w:rsidRDefault="00A35425" w:rsidP="005A7673">
        <w:pPr>
          <w:pStyle w:val="Footer"/>
          <w:jc w:val="center"/>
        </w:pPr>
        <w:r>
          <w:t>A-</w:t>
        </w:r>
        <w:r>
          <w:fldChar w:fldCharType="begin"/>
        </w:r>
        <w:r>
          <w:instrText xml:space="preserve"> PAGE   \* MERGEFORMAT </w:instrText>
        </w:r>
        <w:r>
          <w:fldChar w:fldCharType="separate"/>
        </w:r>
        <w:r w:rsidR="00F730FC">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7BB198" w14:textId="77777777" w:rsidR="00D14032" w:rsidRDefault="00D14032" w:rsidP="00E82EF2">
      <w:pPr>
        <w:spacing w:after="0" w:line="240" w:lineRule="auto"/>
      </w:pPr>
      <w:r>
        <w:separator/>
      </w:r>
    </w:p>
  </w:footnote>
  <w:footnote w:type="continuationSeparator" w:id="0">
    <w:p w14:paraId="573C85F9" w14:textId="77777777" w:rsidR="00D14032" w:rsidRDefault="00D14032" w:rsidP="00E82E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131DD"/>
    <w:multiLevelType w:val="hybridMultilevel"/>
    <w:tmpl w:val="476A2D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A32805"/>
    <w:multiLevelType w:val="hybridMultilevel"/>
    <w:tmpl w:val="C1103C2A"/>
    <w:lvl w:ilvl="0" w:tplc="04090001">
      <w:start w:val="1"/>
      <w:numFmt w:val="bullet"/>
      <w:lvlText w:val=""/>
      <w:lvlJc w:val="left"/>
      <w:pPr>
        <w:ind w:left="720" w:hanging="360"/>
      </w:pPr>
      <w:rPr>
        <w:rFonts w:ascii="Symbol" w:hAnsi="Symbol" w:hint="default"/>
      </w:rPr>
    </w:lvl>
    <w:lvl w:ilvl="1" w:tplc="77AA5428">
      <w:start w:val="1"/>
      <w:numFmt w:val="bullet"/>
      <w:pStyle w:val="TableBullet2"/>
      <w:lvlText w:val="o"/>
      <w:lvlJc w:val="left"/>
      <w:pPr>
        <w:ind w:left="1440" w:hanging="360"/>
      </w:pPr>
      <w:rPr>
        <w:rFonts w:ascii="Courier New" w:hAnsi="Courier New" w:cs="Courier New" w:hint="default"/>
      </w:rPr>
    </w:lvl>
    <w:lvl w:ilvl="2" w:tplc="ABE4D760">
      <w:start w:val="1"/>
      <w:numFmt w:val="bullet"/>
      <w:pStyle w:val="Table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4E4567"/>
    <w:multiLevelType w:val="hybridMultilevel"/>
    <w:tmpl w:val="6932406C"/>
    <w:lvl w:ilvl="0" w:tplc="121614B0">
      <w:start w:val="20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4D607D"/>
    <w:multiLevelType w:val="hybridMultilevel"/>
    <w:tmpl w:val="E1E8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1463EF"/>
    <w:multiLevelType w:val="hybridMultilevel"/>
    <w:tmpl w:val="33C45ED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
    <w:nsid w:val="3C82148F"/>
    <w:multiLevelType w:val="hybridMultilevel"/>
    <w:tmpl w:val="B0A09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7B3448"/>
    <w:multiLevelType w:val="hybridMultilevel"/>
    <w:tmpl w:val="F410A3CA"/>
    <w:lvl w:ilvl="0" w:tplc="121614B0">
      <w:start w:val="20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A56CDE"/>
    <w:multiLevelType w:val="hybridMultilevel"/>
    <w:tmpl w:val="6834036C"/>
    <w:lvl w:ilvl="0" w:tplc="121614B0">
      <w:start w:val="20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426D0A"/>
    <w:multiLevelType w:val="hybridMultilevel"/>
    <w:tmpl w:val="F1004FF4"/>
    <w:lvl w:ilvl="0" w:tplc="121614B0">
      <w:start w:val="20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FC5A4D"/>
    <w:multiLevelType w:val="hybridMultilevel"/>
    <w:tmpl w:val="0052B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7305B7"/>
    <w:multiLevelType w:val="hybridMultilevel"/>
    <w:tmpl w:val="E380519A"/>
    <w:lvl w:ilvl="0" w:tplc="121614B0">
      <w:start w:val="20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6A5E6D"/>
    <w:multiLevelType w:val="hybridMultilevel"/>
    <w:tmpl w:val="D46002A2"/>
    <w:lvl w:ilvl="0" w:tplc="04090001">
      <w:start w:val="1"/>
      <w:numFmt w:val="bullet"/>
      <w:lvlText w:val=""/>
      <w:lvlJc w:val="left"/>
      <w:pPr>
        <w:ind w:left="360" w:hanging="360"/>
      </w:pPr>
      <w:rPr>
        <w:rFonts w:ascii="Symbol" w:hAnsi="Symbol" w:hint="default"/>
      </w:rPr>
    </w:lvl>
    <w:lvl w:ilvl="1" w:tplc="658C01B2">
      <w:start w:val="1"/>
      <w:numFmt w:val="bullet"/>
      <w:pStyle w:val="Table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B77F3E"/>
    <w:multiLevelType w:val="hybridMultilevel"/>
    <w:tmpl w:val="A8847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7CE9395E"/>
    <w:multiLevelType w:val="hybridMultilevel"/>
    <w:tmpl w:val="246A4408"/>
    <w:lvl w:ilvl="0" w:tplc="121614B0">
      <w:start w:val="20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
  </w:num>
  <w:num w:numId="4">
    <w:abstractNumId w:val="7"/>
  </w:num>
  <w:num w:numId="5">
    <w:abstractNumId w:val="13"/>
  </w:num>
  <w:num w:numId="6">
    <w:abstractNumId w:val="10"/>
  </w:num>
  <w:num w:numId="7">
    <w:abstractNumId w:val="8"/>
  </w:num>
  <w:num w:numId="8">
    <w:abstractNumId w:val="2"/>
  </w:num>
  <w:num w:numId="9">
    <w:abstractNumId w:val="6"/>
  </w:num>
  <w:num w:numId="10">
    <w:abstractNumId w:val="0"/>
  </w:num>
  <w:num w:numId="11">
    <w:abstractNumId w:val="5"/>
  </w:num>
  <w:num w:numId="12">
    <w:abstractNumId w:val="9"/>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D11"/>
    <w:rsid w:val="000014F8"/>
    <w:rsid w:val="000016B5"/>
    <w:rsid w:val="000021B0"/>
    <w:rsid w:val="0000332D"/>
    <w:rsid w:val="00006A8F"/>
    <w:rsid w:val="00016B40"/>
    <w:rsid w:val="00023DA7"/>
    <w:rsid w:val="00025B15"/>
    <w:rsid w:val="000263EE"/>
    <w:rsid w:val="0003035A"/>
    <w:rsid w:val="0003589D"/>
    <w:rsid w:val="00050121"/>
    <w:rsid w:val="0005605E"/>
    <w:rsid w:val="00063B59"/>
    <w:rsid w:val="000656E7"/>
    <w:rsid w:val="00067569"/>
    <w:rsid w:val="000826A8"/>
    <w:rsid w:val="000908C0"/>
    <w:rsid w:val="0009451D"/>
    <w:rsid w:val="000A3C77"/>
    <w:rsid w:val="000A5207"/>
    <w:rsid w:val="000A718E"/>
    <w:rsid w:val="000C1E4C"/>
    <w:rsid w:val="000F215B"/>
    <w:rsid w:val="00101166"/>
    <w:rsid w:val="00103E51"/>
    <w:rsid w:val="00112AF7"/>
    <w:rsid w:val="0011338E"/>
    <w:rsid w:val="001165EB"/>
    <w:rsid w:val="00122AF4"/>
    <w:rsid w:val="00123421"/>
    <w:rsid w:val="00133A7D"/>
    <w:rsid w:val="00133F68"/>
    <w:rsid w:val="0013606D"/>
    <w:rsid w:val="001363AE"/>
    <w:rsid w:val="001379C0"/>
    <w:rsid w:val="0015106D"/>
    <w:rsid w:val="001538B5"/>
    <w:rsid w:val="00153DBB"/>
    <w:rsid w:val="00156CFB"/>
    <w:rsid w:val="0016531F"/>
    <w:rsid w:val="001669AC"/>
    <w:rsid w:val="00175D65"/>
    <w:rsid w:val="00181FD1"/>
    <w:rsid w:val="00182B76"/>
    <w:rsid w:val="001862B5"/>
    <w:rsid w:val="0018681B"/>
    <w:rsid w:val="0018685F"/>
    <w:rsid w:val="00196057"/>
    <w:rsid w:val="00197BCD"/>
    <w:rsid w:val="00197C13"/>
    <w:rsid w:val="001A0610"/>
    <w:rsid w:val="001A71B4"/>
    <w:rsid w:val="001B20EE"/>
    <w:rsid w:val="001B4049"/>
    <w:rsid w:val="001C1565"/>
    <w:rsid w:val="001C2446"/>
    <w:rsid w:val="001C4633"/>
    <w:rsid w:val="001C553D"/>
    <w:rsid w:val="001D423B"/>
    <w:rsid w:val="001D467B"/>
    <w:rsid w:val="001E7C5C"/>
    <w:rsid w:val="001F0775"/>
    <w:rsid w:val="001F477D"/>
    <w:rsid w:val="002048EE"/>
    <w:rsid w:val="002055E8"/>
    <w:rsid w:val="00206F1D"/>
    <w:rsid w:val="00217A14"/>
    <w:rsid w:val="00220CEE"/>
    <w:rsid w:val="0023035E"/>
    <w:rsid w:val="00231A05"/>
    <w:rsid w:val="00233610"/>
    <w:rsid w:val="0024190E"/>
    <w:rsid w:val="00245DA0"/>
    <w:rsid w:val="0024657B"/>
    <w:rsid w:val="0025186D"/>
    <w:rsid w:val="0025550A"/>
    <w:rsid w:val="00265AA4"/>
    <w:rsid w:val="0026675E"/>
    <w:rsid w:val="00273129"/>
    <w:rsid w:val="00274C4A"/>
    <w:rsid w:val="00275244"/>
    <w:rsid w:val="00297641"/>
    <w:rsid w:val="002A1A37"/>
    <w:rsid w:val="002B0FE7"/>
    <w:rsid w:val="002B4390"/>
    <w:rsid w:val="002C32AD"/>
    <w:rsid w:val="002D750C"/>
    <w:rsid w:val="002E1521"/>
    <w:rsid w:val="002E68D6"/>
    <w:rsid w:val="0030105F"/>
    <w:rsid w:val="00303493"/>
    <w:rsid w:val="00303FD3"/>
    <w:rsid w:val="0031445F"/>
    <w:rsid w:val="003252CA"/>
    <w:rsid w:val="003277D4"/>
    <w:rsid w:val="00334E16"/>
    <w:rsid w:val="003402FB"/>
    <w:rsid w:val="00344227"/>
    <w:rsid w:val="00352C1B"/>
    <w:rsid w:val="0035644B"/>
    <w:rsid w:val="0036129B"/>
    <w:rsid w:val="003678C7"/>
    <w:rsid w:val="00371215"/>
    <w:rsid w:val="0038251F"/>
    <w:rsid w:val="00382E95"/>
    <w:rsid w:val="00393FE8"/>
    <w:rsid w:val="003A6B1A"/>
    <w:rsid w:val="003A7D93"/>
    <w:rsid w:val="003B3FD4"/>
    <w:rsid w:val="003B7512"/>
    <w:rsid w:val="003C4A5C"/>
    <w:rsid w:val="003D52EC"/>
    <w:rsid w:val="003E0195"/>
    <w:rsid w:val="003E3B57"/>
    <w:rsid w:val="003E3CF6"/>
    <w:rsid w:val="004023D4"/>
    <w:rsid w:val="0040396E"/>
    <w:rsid w:val="004058BD"/>
    <w:rsid w:val="0041090D"/>
    <w:rsid w:val="00413ED1"/>
    <w:rsid w:val="004249A5"/>
    <w:rsid w:val="00425D17"/>
    <w:rsid w:val="0043163A"/>
    <w:rsid w:val="00433E85"/>
    <w:rsid w:val="00455AC1"/>
    <w:rsid w:val="00455F6F"/>
    <w:rsid w:val="00456A38"/>
    <w:rsid w:val="00461968"/>
    <w:rsid w:val="00466384"/>
    <w:rsid w:val="00471CD1"/>
    <w:rsid w:val="004737B0"/>
    <w:rsid w:val="00473BD3"/>
    <w:rsid w:val="004957CB"/>
    <w:rsid w:val="004975DB"/>
    <w:rsid w:val="004B03DB"/>
    <w:rsid w:val="004B27F9"/>
    <w:rsid w:val="004C26DB"/>
    <w:rsid w:val="004C5342"/>
    <w:rsid w:val="004D570B"/>
    <w:rsid w:val="004D68D8"/>
    <w:rsid w:val="004F1947"/>
    <w:rsid w:val="004F2192"/>
    <w:rsid w:val="004F595A"/>
    <w:rsid w:val="0050012E"/>
    <w:rsid w:val="00503D20"/>
    <w:rsid w:val="00505746"/>
    <w:rsid w:val="00507DE4"/>
    <w:rsid w:val="005217A4"/>
    <w:rsid w:val="00525726"/>
    <w:rsid w:val="00537DBA"/>
    <w:rsid w:val="00542A66"/>
    <w:rsid w:val="00547715"/>
    <w:rsid w:val="00547FBD"/>
    <w:rsid w:val="005522A9"/>
    <w:rsid w:val="00564F3F"/>
    <w:rsid w:val="0057226B"/>
    <w:rsid w:val="00573B64"/>
    <w:rsid w:val="00583C7E"/>
    <w:rsid w:val="005878EA"/>
    <w:rsid w:val="0059454E"/>
    <w:rsid w:val="00596F3E"/>
    <w:rsid w:val="00597C92"/>
    <w:rsid w:val="005A0083"/>
    <w:rsid w:val="005A1D29"/>
    <w:rsid w:val="005A7673"/>
    <w:rsid w:val="005B0139"/>
    <w:rsid w:val="005B0F87"/>
    <w:rsid w:val="005B2A9E"/>
    <w:rsid w:val="005B37A4"/>
    <w:rsid w:val="005B3CB3"/>
    <w:rsid w:val="005C4A83"/>
    <w:rsid w:val="005D0758"/>
    <w:rsid w:val="005F1EA8"/>
    <w:rsid w:val="005F6A03"/>
    <w:rsid w:val="00605AB2"/>
    <w:rsid w:val="00615D91"/>
    <w:rsid w:val="006170E6"/>
    <w:rsid w:val="00623D58"/>
    <w:rsid w:val="006323D0"/>
    <w:rsid w:val="00635438"/>
    <w:rsid w:val="00642BA8"/>
    <w:rsid w:val="006478B3"/>
    <w:rsid w:val="00663CB3"/>
    <w:rsid w:val="006647BE"/>
    <w:rsid w:val="006727A6"/>
    <w:rsid w:val="00674DCD"/>
    <w:rsid w:val="00677829"/>
    <w:rsid w:val="0068458A"/>
    <w:rsid w:val="0068569C"/>
    <w:rsid w:val="0069191C"/>
    <w:rsid w:val="00692507"/>
    <w:rsid w:val="006A2455"/>
    <w:rsid w:val="006A24B2"/>
    <w:rsid w:val="006B1EDD"/>
    <w:rsid w:val="006B2D40"/>
    <w:rsid w:val="006B3413"/>
    <w:rsid w:val="006B3578"/>
    <w:rsid w:val="006C0061"/>
    <w:rsid w:val="006C4E46"/>
    <w:rsid w:val="006D6522"/>
    <w:rsid w:val="006D68E6"/>
    <w:rsid w:val="006E082C"/>
    <w:rsid w:val="006E0DFA"/>
    <w:rsid w:val="006F2B2A"/>
    <w:rsid w:val="0070385D"/>
    <w:rsid w:val="00707E9F"/>
    <w:rsid w:val="00711009"/>
    <w:rsid w:val="00711E1C"/>
    <w:rsid w:val="00712C69"/>
    <w:rsid w:val="007156C4"/>
    <w:rsid w:val="00716504"/>
    <w:rsid w:val="007358BC"/>
    <w:rsid w:val="00737EB7"/>
    <w:rsid w:val="00740782"/>
    <w:rsid w:val="00742F7A"/>
    <w:rsid w:val="0074558E"/>
    <w:rsid w:val="007507E3"/>
    <w:rsid w:val="00754DC0"/>
    <w:rsid w:val="00755A13"/>
    <w:rsid w:val="00757676"/>
    <w:rsid w:val="00762B8A"/>
    <w:rsid w:val="00762BD3"/>
    <w:rsid w:val="00767D4A"/>
    <w:rsid w:val="00770AE2"/>
    <w:rsid w:val="00771957"/>
    <w:rsid w:val="00796F6D"/>
    <w:rsid w:val="007A1B19"/>
    <w:rsid w:val="007B0D0F"/>
    <w:rsid w:val="007C0054"/>
    <w:rsid w:val="007C7E73"/>
    <w:rsid w:val="007D07CB"/>
    <w:rsid w:val="007D2B72"/>
    <w:rsid w:val="007E21A0"/>
    <w:rsid w:val="007E2EFD"/>
    <w:rsid w:val="007F00DA"/>
    <w:rsid w:val="007F0D85"/>
    <w:rsid w:val="007F500C"/>
    <w:rsid w:val="007F55CF"/>
    <w:rsid w:val="007F62A3"/>
    <w:rsid w:val="008009CE"/>
    <w:rsid w:val="00806019"/>
    <w:rsid w:val="00812509"/>
    <w:rsid w:val="00820284"/>
    <w:rsid w:val="00823A76"/>
    <w:rsid w:val="00823E40"/>
    <w:rsid w:val="008260AF"/>
    <w:rsid w:val="008317AA"/>
    <w:rsid w:val="00833A89"/>
    <w:rsid w:val="00837D43"/>
    <w:rsid w:val="00840E93"/>
    <w:rsid w:val="008471D8"/>
    <w:rsid w:val="00850B34"/>
    <w:rsid w:val="008540F0"/>
    <w:rsid w:val="00856121"/>
    <w:rsid w:val="00861AB0"/>
    <w:rsid w:val="00864C95"/>
    <w:rsid w:val="00865A70"/>
    <w:rsid w:val="00874333"/>
    <w:rsid w:val="00895474"/>
    <w:rsid w:val="008A5B5E"/>
    <w:rsid w:val="008B1A0D"/>
    <w:rsid w:val="008B5728"/>
    <w:rsid w:val="008B7367"/>
    <w:rsid w:val="008C599E"/>
    <w:rsid w:val="008C6602"/>
    <w:rsid w:val="008D3467"/>
    <w:rsid w:val="008E16C7"/>
    <w:rsid w:val="008E2BFE"/>
    <w:rsid w:val="008E6EFA"/>
    <w:rsid w:val="008F54A9"/>
    <w:rsid w:val="0090056C"/>
    <w:rsid w:val="009008D3"/>
    <w:rsid w:val="00900AC3"/>
    <w:rsid w:val="0090204D"/>
    <w:rsid w:val="00903B45"/>
    <w:rsid w:val="00906816"/>
    <w:rsid w:val="009179FF"/>
    <w:rsid w:val="009209D5"/>
    <w:rsid w:val="00922AE7"/>
    <w:rsid w:val="0092553F"/>
    <w:rsid w:val="00930366"/>
    <w:rsid w:val="0093510F"/>
    <w:rsid w:val="00943078"/>
    <w:rsid w:val="00944095"/>
    <w:rsid w:val="00945303"/>
    <w:rsid w:val="00947DA4"/>
    <w:rsid w:val="00953F1E"/>
    <w:rsid w:val="009550E6"/>
    <w:rsid w:val="00970150"/>
    <w:rsid w:val="00981892"/>
    <w:rsid w:val="00982ECC"/>
    <w:rsid w:val="00984343"/>
    <w:rsid w:val="009B16DB"/>
    <w:rsid w:val="009B4C8E"/>
    <w:rsid w:val="009D09B2"/>
    <w:rsid w:val="009E06A2"/>
    <w:rsid w:val="009F1A6B"/>
    <w:rsid w:val="009F390A"/>
    <w:rsid w:val="009F6D11"/>
    <w:rsid w:val="00A0395F"/>
    <w:rsid w:val="00A0451C"/>
    <w:rsid w:val="00A07587"/>
    <w:rsid w:val="00A110B1"/>
    <w:rsid w:val="00A24068"/>
    <w:rsid w:val="00A25835"/>
    <w:rsid w:val="00A34EFC"/>
    <w:rsid w:val="00A35425"/>
    <w:rsid w:val="00A4309C"/>
    <w:rsid w:val="00A4386B"/>
    <w:rsid w:val="00A4532C"/>
    <w:rsid w:val="00A46A1F"/>
    <w:rsid w:val="00A50E0F"/>
    <w:rsid w:val="00A65777"/>
    <w:rsid w:val="00A657CB"/>
    <w:rsid w:val="00A731C4"/>
    <w:rsid w:val="00A73699"/>
    <w:rsid w:val="00A75276"/>
    <w:rsid w:val="00A90CAC"/>
    <w:rsid w:val="00A91F9E"/>
    <w:rsid w:val="00A9663A"/>
    <w:rsid w:val="00AA0531"/>
    <w:rsid w:val="00AA5E56"/>
    <w:rsid w:val="00AA75D3"/>
    <w:rsid w:val="00AC07EF"/>
    <w:rsid w:val="00AC256F"/>
    <w:rsid w:val="00AC5EB9"/>
    <w:rsid w:val="00AC7738"/>
    <w:rsid w:val="00AD0DFA"/>
    <w:rsid w:val="00AD3BA9"/>
    <w:rsid w:val="00AE2687"/>
    <w:rsid w:val="00AE2992"/>
    <w:rsid w:val="00AE2C6D"/>
    <w:rsid w:val="00AF0F90"/>
    <w:rsid w:val="00B03893"/>
    <w:rsid w:val="00B051E4"/>
    <w:rsid w:val="00B10E56"/>
    <w:rsid w:val="00B2089C"/>
    <w:rsid w:val="00B20EA7"/>
    <w:rsid w:val="00B329F6"/>
    <w:rsid w:val="00B36AF2"/>
    <w:rsid w:val="00B43783"/>
    <w:rsid w:val="00B46430"/>
    <w:rsid w:val="00B617D9"/>
    <w:rsid w:val="00B6527E"/>
    <w:rsid w:val="00B66FDB"/>
    <w:rsid w:val="00B67446"/>
    <w:rsid w:val="00B700CB"/>
    <w:rsid w:val="00B71933"/>
    <w:rsid w:val="00B81296"/>
    <w:rsid w:val="00B850D9"/>
    <w:rsid w:val="00B90EBD"/>
    <w:rsid w:val="00B951A6"/>
    <w:rsid w:val="00BA1961"/>
    <w:rsid w:val="00BC04B3"/>
    <w:rsid w:val="00BC3A63"/>
    <w:rsid w:val="00BC7991"/>
    <w:rsid w:val="00BD4BF1"/>
    <w:rsid w:val="00BD6A8C"/>
    <w:rsid w:val="00BE37DE"/>
    <w:rsid w:val="00BE3829"/>
    <w:rsid w:val="00BF26F2"/>
    <w:rsid w:val="00C00E39"/>
    <w:rsid w:val="00C06938"/>
    <w:rsid w:val="00C11C45"/>
    <w:rsid w:val="00C312C7"/>
    <w:rsid w:val="00C314A3"/>
    <w:rsid w:val="00C32652"/>
    <w:rsid w:val="00C475CB"/>
    <w:rsid w:val="00C5561E"/>
    <w:rsid w:val="00C56F4D"/>
    <w:rsid w:val="00C6169D"/>
    <w:rsid w:val="00C626FC"/>
    <w:rsid w:val="00C62C22"/>
    <w:rsid w:val="00C631EE"/>
    <w:rsid w:val="00C75CBB"/>
    <w:rsid w:val="00C76498"/>
    <w:rsid w:val="00C83A1B"/>
    <w:rsid w:val="00C944F2"/>
    <w:rsid w:val="00C94E07"/>
    <w:rsid w:val="00C96B96"/>
    <w:rsid w:val="00C96C67"/>
    <w:rsid w:val="00CA1576"/>
    <w:rsid w:val="00CA3A7A"/>
    <w:rsid w:val="00CA4DDC"/>
    <w:rsid w:val="00CA7FD0"/>
    <w:rsid w:val="00CB0F7B"/>
    <w:rsid w:val="00CB4023"/>
    <w:rsid w:val="00CB434C"/>
    <w:rsid w:val="00CB68BB"/>
    <w:rsid w:val="00CC4128"/>
    <w:rsid w:val="00CC4872"/>
    <w:rsid w:val="00CC6105"/>
    <w:rsid w:val="00CD7DF0"/>
    <w:rsid w:val="00CE00F8"/>
    <w:rsid w:val="00CF21AE"/>
    <w:rsid w:val="00CF2E4B"/>
    <w:rsid w:val="00D00173"/>
    <w:rsid w:val="00D0054C"/>
    <w:rsid w:val="00D03B4D"/>
    <w:rsid w:val="00D11D53"/>
    <w:rsid w:val="00D14032"/>
    <w:rsid w:val="00D14180"/>
    <w:rsid w:val="00D164C5"/>
    <w:rsid w:val="00D202C3"/>
    <w:rsid w:val="00D25744"/>
    <w:rsid w:val="00D25BF1"/>
    <w:rsid w:val="00D2638F"/>
    <w:rsid w:val="00D34795"/>
    <w:rsid w:val="00D41916"/>
    <w:rsid w:val="00D519C4"/>
    <w:rsid w:val="00D60B3D"/>
    <w:rsid w:val="00D60FA2"/>
    <w:rsid w:val="00D7587D"/>
    <w:rsid w:val="00D75F76"/>
    <w:rsid w:val="00D8132F"/>
    <w:rsid w:val="00D9206A"/>
    <w:rsid w:val="00D930CD"/>
    <w:rsid w:val="00D94799"/>
    <w:rsid w:val="00D96A4A"/>
    <w:rsid w:val="00DA1030"/>
    <w:rsid w:val="00DB0CB7"/>
    <w:rsid w:val="00DB2833"/>
    <w:rsid w:val="00DB3697"/>
    <w:rsid w:val="00DB384D"/>
    <w:rsid w:val="00DC123B"/>
    <w:rsid w:val="00DD0011"/>
    <w:rsid w:val="00DD6412"/>
    <w:rsid w:val="00DE3279"/>
    <w:rsid w:val="00DF29A9"/>
    <w:rsid w:val="00DF5785"/>
    <w:rsid w:val="00DF7DEE"/>
    <w:rsid w:val="00E046DB"/>
    <w:rsid w:val="00E053BD"/>
    <w:rsid w:val="00E0723A"/>
    <w:rsid w:val="00E15BD2"/>
    <w:rsid w:val="00E1753A"/>
    <w:rsid w:val="00E20228"/>
    <w:rsid w:val="00E230FE"/>
    <w:rsid w:val="00E238F8"/>
    <w:rsid w:val="00E47C92"/>
    <w:rsid w:val="00E50982"/>
    <w:rsid w:val="00E54530"/>
    <w:rsid w:val="00E554C8"/>
    <w:rsid w:val="00E70B24"/>
    <w:rsid w:val="00E778E4"/>
    <w:rsid w:val="00E82EF2"/>
    <w:rsid w:val="00E84E98"/>
    <w:rsid w:val="00E85F5B"/>
    <w:rsid w:val="00E87C75"/>
    <w:rsid w:val="00E93975"/>
    <w:rsid w:val="00EB393D"/>
    <w:rsid w:val="00EB6E01"/>
    <w:rsid w:val="00EB6F19"/>
    <w:rsid w:val="00EB7FE3"/>
    <w:rsid w:val="00EC0B40"/>
    <w:rsid w:val="00EC1E6B"/>
    <w:rsid w:val="00EC44A7"/>
    <w:rsid w:val="00EC5867"/>
    <w:rsid w:val="00ED3D7F"/>
    <w:rsid w:val="00ED5F04"/>
    <w:rsid w:val="00ED7189"/>
    <w:rsid w:val="00EE0C9D"/>
    <w:rsid w:val="00EE37C5"/>
    <w:rsid w:val="00EF0E3F"/>
    <w:rsid w:val="00EF646D"/>
    <w:rsid w:val="00F052AD"/>
    <w:rsid w:val="00F10446"/>
    <w:rsid w:val="00F26727"/>
    <w:rsid w:val="00F53283"/>
    <w:rsid w:val="00F57584"/>
    <w:rsid w:val="00F57B47"/>
    <w:rsid w:val="00F730FC"/>
    <w:rsid w:val="00F772B1"/>
    <w:rsid w:val="00F81105"/>
    <w:rsid w:val="00F84341"/>
    <w:rsid w:val="00F862BF"/>
    <w:rsid w:val="00F91F9B"/>
    <w:rsid w:val="00F96857"/>
    <w:rsid w:val="00FA2CBB"/>
    <w:rsid w:val="00FB40C6"/>
    <w:rsid w:val="00FB502C"/>
    <w:rsid w:val="00FB64DC"/>
    <w:rsid w:val="00FC0A83"/>
    <w:rsid w:val="00FC320E"/>
    <w:rsid w:val="00FC54DA"/>
    <w:rsid w:val="00FD14FD"/>
    <w:rsid w:val="00FD5054"/>
    <w:rsid w:val="00FD74DE"/>
    <w:rsid w:val="00FF4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76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A76"/>
  </w:style>
  <w:style w:type="paragraph" w:styleId="Heading1">
    <w:name w:val="heading 1"/>
    <w:basedOn w:val="Normal"/>
    <w:next w:val="Normal"/>
    <w:link w:val="Heading1Char"/>
    <w:uiPriority w:val="9"/>
    <w:qFormat/>
    <w:rsid w:val="006C006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9"/>
    <w:qFormat/>
    <w:rsid w:val="009F6D11"/>
    <w:pPr>
      <w:keepNext/>
      <w:widowControl w:val="0"/>
      <w:tabs>
        <w:tab w:val="left" w:pos="727"/>
        <w:tab w:val="left" w:pos="1090"/>
      </w:tabs>
      <w:spacing w:after="240" w:line="240" w:lineRule="auto"/>
      <w:jc w:val="both"/>
      <w:outlineLvl w:val="1"/>
    </w:pPr>
    <w:rPr>
      <w:rFonts w:ascii="Arial" w:eastAsia="Times New Roman" w:hAnsi="Arial" w:cs="Times New Roman"/>
      <w:b/>
      <w:sz w:val="24"/>
      <w:szCs w:val="20"/>
    </w:rPr>
  </w:style>
  <w:style w:type="paragraph" w:styleId="Heading4">
    <w:name w:val="heading 4"/>
    <w:basedOn w:val="Normal"/>
    <w:next w:val="Normal"/>
    <w:link w:val="Heading4Char"/>
    <w:uiPriority w:val="99"/>
    <w:unhideWhenUsed/>
    <w:qFormat/>
    <w:rsid w:val="00D25BF1"/>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F6D11"/>
    <w:rPr>
      <w:rFonts w:ascii="Arial" w:eastAsia="Times New Roman" w:hAnsi="Arial" w:cs="Times New Roman"/>
      <w:b/>
      <w:sz w:val="24"/>
      <w:szCs w:val="20"/>
    </w:rPr>
  </w:style>
  <w:style w:type="paragraph" w:customStyle="1" w:styleId="TableBullet">
    <w:name w:val="TableBullet"/>
    <w:basedOn w:val="Normal"/>
    <w:qFormat/>
    <w:rsid w:val="00BF26F2"/>
    <w:pPr>
      <w:numPr>
        <w:ilvl w:val="1"/>
        <w:numId w:val="1"/>
      </w:numPr>
      <w:spacing w:after="0" w:line="240" w:lineRule="auto"/>
      <w:ind w:left="216" w:hanging="216"/>
    </w:pPr>
    <w:rPr>
      <w:rFonts w:ascii="Arial" w:eastAsia="Times New Roman" w:hAnsi="Arial" w:cs="Arial"/>
      <w:bCs/>
      <w:sz w:val="18"/>
      <w:szCs w:val="20"/>
    </w:rPr>
  </w:style>
  <w:style w:type="paragraph" w:customStyle="1" w:styleId="TableTitle">
    <w:name w:val="TableTitle"/>
    <w:basedOn w:val="Normal"/>
    <w:qFormat/>
    <w:rsid w:val="00455F6F"/>
    <w:pPr>
      <w:autoSpaceDE w:val="0"/>
      <w:autoSpaceDN w:val="0"/>
      <w:adjustRightInd w:val="0"/>
      <w:spacing w:after="0" w:line="240" w:lineRule="auto"/>
      <w:ind w:left="720" w:hanging="720"/>
    </w:pPr>
    <w:rPr>
      <w:rFonts w:ascii="Arial" w:eastAsia="Times New Roman" w:hAnsi="Arial" w:cs="Arial"/>
      <w:b/>
      <w:color w:val="FFFFFF"/>
      <w:sz w:val="20"/>
      <w:szCs w:val="20"/>
    </w:rPr>
  </w:style>
  <w:style w:type="paragraph" w:customStyle="1" w:styleId="TableHeader">
    <w:name w:val="TableHeader"/>
    <w:basedOn w:val="Normal"/>
    <w:qFormat/>
    <w:rsid w:val="00455F6F"/>
    <w:pPr>
      <w:autoSpaceDE w:val="0"/>
      <w:autoSpaceDN w:val="0"/>
      <w:adjustRightInd w:val="0"/>
      <w:spacing w:after="0" w:line="240" w:lineRule="auto"/>
      <w:jc w:val="center"/>
    </w:pPr>
    <w:rPr>
      <w:rFonts w:ascii="Arial" w:eastAsia="Times New Roman" w:hAnsi="Arial" w:cs="Arial"/>
      <w:b/>
      <w:color w:val="1F497D"/>
      <w:sz w:val="18"/>
      <w:szCs w:val="20"/>
    </w:rPr>
  </w:style>
  <w:style w:type="paragraph" w:customStyle="1" w:styleId="TableText">
    <w:name w:val="TableText"/>
    <w:basedOn w:val="Normal"/>
    <w:qFormat/>
    <w:rsid w:val="00455F6F"/>
    <w:pPr>
      <w:autoSpaceDE w:val="0"/>
      <w:autoSpaceDN w:val="0"/>
      <w:adjustRightInd w:val="0"/>
      <w:spacing w:after="120" w:line="240" w:lineRule="auto"/>
      <w:jc w:val="both"/>
    </w:pPr>
    <w:rPr>
      <w:rFonts w:ascii="Arial" w:eastAsia="Times New Roman" w:hAnsi="Arial" w:cs="Arial"/>
      <w:color w:val="000000"/>
      <w:sz w:val="18"/>
      <w:szCs w:val="18"/>
    </w:rPr>
  </w:style>
  <w:style w:type="paragraph" w:customStyle="1" w:styleId="TableBullet2">
    <w:name w:val="TableBullet2"/>
    <w:basedOn w:val="NoSpacing"/>
    <w:qFormat/>
    <w:rsid w:val="00455F6F"/>
    <w:pPr>
      <w:numPr>
        <w:ilvl w:val="1"/>
        <w:numId w:val="3"/>
      </w:numPr>
      <w:tabs>
        <w:tab w:val="num" w:pos="360"/>
      </w:tabs>
      <w:ind w:left="432" w:hanging="216"/>
    </w:pPr>
    <w:rPr>
      <w:rFonts w:ascii="Arial" w:eastAsia="Times New Roman" w:hAnsi="Arial" w:cs="Arial"/>
      <w:sz w:val="18"/>
      <w:szCs w:val="18"/>
    </w:rPr>
  </w:style>
  <w:style w:type="paragraph" w:customStyle="1" w:styleId="TableBullet3">
    <w:name w:val="TableBullet3"/>
    <w:basedOn w:val="NoSpacing"/>
    <w:qFormat/>
    <w:rsid w:val="00455F6F"/>
    <w:pPr>
      <w:numPr>
        <w:ilvl w:val="2"/>
        <w:numId w:val="3"/>
      </w:numPr>
      <w:tabs>
        <w:tab w:val="num" w:pos="360"/>
      </w:tabs>
      <w:ind w:left="692" w:hanging="270"/>
    </w:pPr>
    <w:rPr>
      <w:rFonts w:ascii="Arial" w:eastAsia="Times New Roman" w:hAnsi="Arial" w:cs="Arial"/>
      <w:sz w:val="18"/>
      <w:szCs w:val="18"/>
    </w:rPr>
  </w:style>
  <w:style w:type="paragraph" w:customStyle="1" w:styleId="TableTextCenter">
    <w:name w:val="TableTextCenter"/>
    <w:basedOn w:val="TableText"/>
    <w:qFormat/>
    <w:rsid w:val="00455F6F"/>
    <w:pPr>
      <w:jc w:val="center"/>
    </w:pPr>
    <w:rPr>
      <w:szCs w:val="22"/>
    </w:rPr>
  </w:style>
  <w:style w:type="paragraph" w:styleId="NoSpacing">
    <w:name w:val="No Spacing"/>
    <w:uiPriority w:val="1"/>
    <w:qFormat/>
    <w:rsid w:val="00455F6F"/>
    <w:pPr>
      <w:spacing w:after="0" w:line="240" w:lineRule="auto"/>
    </w:pPr>
  </w:style>
  <w:style w:type="paragraph" w:styleId="Header">
    <w:name w:val="header"/>
    <w:basedOn w:val="Normal"/>
    <w:link w:val="HeaderChar"/>
    <w:uiPriority w:val="99"/>
    <w:unhideWhenUsed/>
    <w:rsid w:val="00E82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EF2"/>
  </w:style>
  <w:style w:type="paragraph" w:styleId="Footer">
    <w:name w:val="footer"/>
    <w:basedOn w:val="Normal"/>
    <w:link w:val="FooterChar"/>
    <w:uiPriority w:val="99"/>
    <w:unhideWhenUsed/>
    <w:rsid w:val="00E82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EF2"/>
  </w:style>
  <w:style w:type="character" w:customStyle="1" w:styleId="Heading1Char">
    <w:name w:val="Heading 1 Char"/>
    <w:basedOn w:val="DefaultParagraphFont"/>
    <w:link w:val="Heading1"/>
    <w:uiPriority w:val="9"/>
    <w:rsid w:val="006C0061"/>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unhideWhenUsed/>
    <w:rsid w:val="008D3467"/>
    <w:rPr>
      <w:color w:val="0563C1" w:themeColor="hyperlink"/>
      <w:u w:val="single"/>
    </w:rPr>
  </w:style>
  <w:style w:type="character" w:styleId="CommentReference">
    <w:name w:val="annotation reference"/>
    <w:basedOn w:val="DefaultParagraphFont"/>
    <w:uiPriority w:val="99"/>
    <w:semiHidden/>
    <w:unhideWhenUsed/>
    <w:rsid w:val="00B850D9"/>
    <w:rPr>
      <w:sz w:val="16"/>
      <w:szCs w:val="16"/>
    </w:rPr>
  </w:style>
  <w:style w:type="paragraph" w:styleId="CommentText">
    <w:name w:val="annotation text"/>
    <w:basedOn w:val="Normal"/>
    <w:link w:val="CommentTextChar"/>
    <w:uiPriority w:val="99"/>
    <w:semiHidden/>
    <w:unhideWhenUsed/>
    <w:rsid w:val="00B850D9"/>
    <w:pPr>
      <w:spacing w:line="240" w:lineRule="auto"/>
    </w:pPr>
    <w:rPr>
      <w:sz w:val="20"/>
      <w:szCs w:val="20"/>
    </w:rPr>
  </w:style>
  <w:style w:type="character" w:customStyle="1" w:styleId="CommentTextChar">
    <w:name w:val="Comment Text Char"/>
    <w:basedOn w:val="DefaultParagraphFont"/>
    <w:link w:val="CommentText"/>
    <w:uiPriority w:val="99"/>
    <w:semiHidden/>
    <w:rsid w:val="00B850D9"/>
    <w:rPr>
      <w:sz w:val="20"/>
      <w:szCs w:val="20"/>
    </w:rPr>
  </w:style>
  <w:style w:type="paragraph" w:styleId="CommentSubject">
    <w:name w:val="annotation subject"/>
    <w:basedOn w:val="CommentText"/>
    <w:next w:val="CommentText"/>
    <w:link w:val="CommentSubjectChar"/>
    <w:uiPriority w:val="99"/>
    <w:semiHidden/>
    <w:unhideWhenUsed/>
    <w:rsid w:val="00B850D9"/>
    <w:rPr>
      <w:b/>
      <w:bCs/>
    </w:rPr>
  </w:style>
  <w:style w:type="character" w:customStyle="1" w:styleId="CommentSubjectChar">
    <w:name w:val="Comment Subject Char"/>
    <w:basedOn w:val="CommentTextChar"/>
    <w:link w:val="CommentSubject"/>
    <w:uiPriority w:val="99"/>
    <w:semiHidden/>
    <w:rsid w:val="00B850D9"/>
    <w:rPr>
      <w:b/>
      <w:bCs/>
      <w:sz w:val="20"/>
      <w:szCs w:val="20"/>
    </w:rPr>
  </w:style>
  <w:style w:type="paragraph" w:styleId="BalloonText">
    <w:name w:val="Balloon Text"/>
    <w:basedOn w:val="Normal"/>
    <w:link w:val="BalloonTextChar"/>
    <w:uiPriority w:val="99"/>
    <w:semiHidden/>
    <w:unhideWhenUsed/>
    <w:rsid w:val="00B85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0D9"/>
    <w:rPr>
      <w:rFonts w:ascii="Segoe UI" w:hAnsi="Segoe UI" w:cs="Segoe UI"/>
      <w:sz w:val="18"/>
      <w:szCs w:val="18"/>
    </w:rPr>
  </w:style>
  <w:style w:type="character" w:customStyle="1" w:styleId="Heading4Char">
    <w:name w:val="Heading 4 Char"/>
    <w:basedOn w:val="DefaultParagraphFont"/>
    <w:link w:val="Heading4"/>
    <w:uiPriority w:val="99"/>
    <w:rsid w:val="00D25BF1"/>
    <w:rPr>
      <w:rFonts w:asciiTheme="majorHAnsi" w:eastAsiaTheme="majorEastAsia" w:hAnsiTheme="majorHAnsi" w:cstheme="majorBidi"/>
      <w:b/>
      <w:bCs/>
      <w:i/>
      <w:iCs/>
      <w:color w:val="4472C4" w:themeColor="accent1"/>
    </w:rPr>
  </w:style>
  <w:style w:type="paragraph" w:customStyle="1" w:styleId="Volume">
    <w:name w:val="Volume"/>
    <w:basedOn w:val="Normal"/>
    <w:autoRedefine/>
    <w:uiPriority w:val="99"/>
    <w:rsid w:val="000C1E4C"/>
    <w:pPr>
      <w:spacing w:after="0" w:line="240" w:lineRule="auto"/>
    </w:pPr>
    <w:rPr>
      <w:rFonts w:eastAsia="Times New Roman" w:cs="Arial"/>
      <w:b/>
      <w:kern w:val="28"/>
      <w:sz w:val="48"/>
      <w:szCs w:val="48"/>
    </w:rPr>
  </w:style>
  <w:style w:type="paragraph" w:customStyle="1" w:styleId="submit">
    <w:name w:val="submit"/>
    <w:basedOn w:val="Heading2"/>
    <w:uiPriority w:val="99"/>
    <w:rsid w:val="00D25BF1"/>
    <w:pPr>
      <w:widowControl/>
      <w:tabs>
        <w:tab w:val="clear" w:pos="727"/>
        <w:tab w:val="clear" w:pos="1090"/>
      </w:tabs>
      <w:spacing w:before="240" w:after="120"/>
      <w:jc w:val="left"/>
    </w:pPr>
    <w:rPr>
      <w:rFonts w:cs="Arial"/>
      <w:sz w:val="18"/>
    </w:rPr>
  </w:style>
  <w:style w:type="paragraph" w:customStyle="1" w:styleId="Text">
    <w:name w:val="Text"/>
    <w:basedOn w:val="Normal"/>
    <w:autoRedefine/>
    <w:uiPriority w:val="99"/>
    <w:rsid w:val="00D25BF1"/>
    <w:pPr>
      <w:spacing w:after="0" w:line="240" w:lineRule="auto"/>
      <w:ind w:left="720"/>
    </w:pPr>
    <w:rPr>
      <w:rFonts w:eastAsia="Times New Roman" w:cs="Times New Roman"/>
      <w:b/>
      <w:i/>
      <w:sz w:val="24"/>
      <w:szCs w:val="24"/>
    </w:rPr>
  </w:style>
  <w:style w:type="paragraph" w:customStyle="1" w:styleId="Default">
    <w:name w:val="Default"/>
    <w:rsid w:val="00A2406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A75D3"/>
    <w:pPr>
      <w:spacing w:after="200" w:line="276" w:lineRule="auto"/>
      <w:ind w:left="720"/>
      <w:contextualSpacing/>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A76"/>
  </w:style>
  <w:style w:type="paragraph" w:styleId="Heading1">
    <w:name w:val="heading 1"/>
    <w:basedOn w:val="Normal"/>
    <w:next w:val="Normal"/>
    <w:link w:val="Heading1Char"/>
    <w:uiPriority w:val="9"/>
    <w:qFormat/>
    <w:rsid w:val="006C006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9"/>
    <w:qFormat/>
    <w:rsid w:val="009F6D11"/>
    <w:pPr>
      <w:keepNext/>
      <w:widowControl w:val="0"/>
      <w:tabs>
        <w:tab w:val="left" w:pos="727"/>
        <w:tab w:val="left" w:pos="1090"/>
      </w:tabs>
      <w:spacing w:after="240" w:line="240" w:lineRule="auto"/>
      <w:jc w:val="both"/>
      <w:outlineLvl w:val="1"/>
    </w:pPr>
    <w:rPr>
      <w:rFonts w:ascii="Arial" w:eastAsia="Times New Roman" w:hAnsi="Arial" w:cs="Times New Roman"/>
      <w:b/>
      <w:sz w:val="24"/>
      <w:szCs w:val="20"/>
    </w:rPr>
  </w:style>
  <w:style w:type="paragraph" w:styleId="Heading4">
    <w:name w:val="heading 4"/>
    <w:basedOn w:val="Normal"/>
    <w:next w:val="Normal"/>
    <w:link w:val="Heading4Char"/>
    <w:uiPriority w:val="99"/>
    <w:unhideWhenUsed/>
    <w:qFormat/>
    <w:rsid w:val="00D25BF1"/>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F6D11"/>
    <w:rPr>
      <w:rFonts w:ascii="Arial" w:eastAsia="Times New Roman" w:hAnsi="Arial" w:cs="Times New Roman"/>
      <w:b/>
      <w:sz w:val="24"/>
      <w:szCs w:val="20"/>
    </w:rPr>
  </w:style>
  <w:style w:type="paragraph" w:customStyle="1" w:styleId="TableBullet">
    <w:name w:val="TableBullet"/>
    <w:basedOn w:val="Normal"/>
    <w:qFormat/>
    <w:rsid w:val="00BF26F2"/>
    <w:pPr>
      <w:numPr>
        <w:ilvl w:val="1"/>
        <w:numId w:val="1"/>
      </w:numPr>
      <w:spacing w:after="0" w:line="240" w:lineRule="auto"/>
      <w:ind w:left="216" w:hanging="216"/>
    </w:pPr>
    <w:rPr>
      <w:rFonts w:ascii="Arial" w:eastAsia="Times New Roman" w:hAnsi="Arial" w:cs="Arial"/>
      <w:bCs/>
      <w:sz w:val="18"/>
      <w:szCs w:val="20"/>
    </w:rPr>
  </w:style>
  <w:style w:type="paragraph" w:customStyle="1" w:styleId="TableTitle">
    <w:name w:val="TableTitle"/>
    <w:basedOn w:val="Normal"/>
    <w:qFormat/>
    <w:rsid w:val="00455F6F"/>
    <w:pPr>
      <w:autoSpaceDE w:val="0"/>
      <w:autoSpaceDN w:val="0"/>
      <w:adjustRightInd w:val="0"/>
      <w:spacing w:after="0" w:line="240" w:lineRule="auto"/>
      <w:ind w:left="720" w:hanging="720"/>
    </w:pPr>
    <w:rPr>
      <w:rFonts w:ascii="Arial" w:eastAsia="Times New Roman" w:hAnsi="Arial" w:cs="Arial"/>
      <w:b/>
      <w:color w:val="FFFFFF"/>
      <w:sz w:val="20"/>
      <w:szCs w:val="20"/>
    </w:rPr>
  </w:style>
  <w:style w:type="paragraph" w:customStyle="1" w:styleId="TableHeader">
    <w:name w:val="TableHeader"/>
    <w:basedOn w:val="Normal"/>
    <w:qFormat/>
    <w:rsid w:val="00455F6F"/>
    <w:pPr>
      <w:autoSpaceDE w:val="0"/>
      <w:autoSpaceDN w:val="0"/>
      <w:adjustRightInd w:val="0"/>
      <w:spacing w:after="0" w:line="240" w:lineRule="auto"/>
      <w:jc w:val="center"/>
    </w:pPr>
    <w:rPr>
      <w:rFonts w:ascii="Arial" w:eastAsia="Times New Roman" w:hAnsi="Arial" w:cs="Arial"/>
      <w:b/>
      <w:color w:val="1F497D"/>
      <w:sz w:val="18"/>
      <w:szCs w:val="20"/>
    </w:rPr>
  </w:style>
  <w:style w:type="paragraph" w:customStyle="1" w:styleId="TableText">
    <w:name w:val="TableText"/>
    <w:basedOn w:val="Normal"/>
    <w:qFormat/>
    <w:rsid w:val="00455F6F"/>
    <w:pPr>
      <w:autoSpaceDE w:val="0"/>
      <w:autoSpaceDN w:val="0"/>
      <w:adjustRightInd w:val="0"/>
      <w:spacing w:after="120" w:line="240" w:lineRule="auto"/>
      <w:jc w:val="both"/>
    </w:pPr>
    <w:rPr>
      <w:rFonts w:ascii="Arial" w:eastAsia="Times New Roman" w:hAnsi="Arial" w:cs="Arial"/>
      <w:color w:val="000000"/>
      <w:sz w:val="18"/>
      <w:szCs w:val="18"/>
    </w:rPr>
  </w:style>
  <w:style w:type="paragraph" w:customStyle="1" w:styleId="TableBullet2">
    <w:name w:val="TableBullet2"/>
    <w:basedOn w:val="NoSpacing"/>
    <w:qFormat/>
    <w:rsid w:val="00455F6F"/>
    <w:pPr>
      <w:numPr>
        <w:ilvl w:val="1"/>
        <w:numId w:val="3"/>
      </w:numPr>
      <w:tabs>
        <w:tab w:val="num" w:pos="360"/>
      </w:tabs>
      <w:ind w:left="432" w:hanging="216"/>
    </w:pPr>
    <w:rPr>
      <w:rFonts w:ascii="Arial" w:eastAsia="Times New Roman" w:hAnsi="Arial" w:cs="Arial"/>
      <w:sz w:val="18"/>
      <w:szCs w:val="18"/>
    </w:rPr>
  </w:style>
  <w:style w:type="paragraph" w:customStyle="1" w:styleId="TableBullet3">
    <w:name w:val="TableBullet3"/>
    <w:basedOn w:val="NoSpacing"/>
    <w:qFormat/>
    <w:rsid w:val="00455F6F"/>
    <w:pPr>
      <w:numPr>
        <w:ilvl w:val="2"/>
        <w:numId w:val="3"/>
      </w:numPr>
      <w:tabs>
        <w:tab w:val="num" w:pos="360"/>
      </w:tabs>
      <w:ind w:left="692" w:hanging="270"/>
    </w:pPr>
    <w:rPr>
      <w:rFonts w:ascii="Arial" w:eastAsia="Times New Roman" w:hAnsi="Arial" w:cs="Arial"/>
      <w:sz w:val="18"/>
      <w:szCs w:val="18"/>
    </w:rPr>
  </w:style>
  <w:style w:type="paragraph" w:customStyle="1" w:styleId="TableTextCenter">
    <w:name w:val="TableTextCenter"/>
    <w:basedOn w:val="TableText"/>
    <w:qFormat/>
    <w:rsid w:val="00455F6F"/>
    <w:pPr>
      <w:jc w:val="center"/>
    </w:pPr>
    <w:rPr>
      <w:szCs w:val="22"/>
    </w:rPr>
  </w:style>
  <w:style w:type="paragraph" w:styleId="NoSpacing">
    <w:name w:val="No Spacing"/>
    <w:uiPriority w:val="1"/>
    <w:qFormat/>
    <w:rsid w:val="00455F6F"/>
    <w:pPr>
      <w:spacing w:after="0" w:line="240" w:lineRule="auto"/>
    </w:pPr>
  </w:style>
  <w:style w:type="paragraph" w:styleId="Header">
    <w:name w:val="header"/>
    <w:basedOn w:val="Normal"/>
    <w:link w:val="HeaderChar"/>
    <w:uiPriority w:val="99"/>
    <w:unhideWhenUsed/>
    <w:rsid w:val="00E82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EF2"/>
  </w:style>
  <w:style w:type="paragraph" w:styleId="Footer">
    <w:name w:val="footer"/>
    <w:basedOn w:val="Normal"/>
    <w:link w:val="FooterChar"/>
    <w:uiPriority w:val="99"/>
    <w:unhideWhenUsed/>
    <w:rsid w:val="00E82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EF2"/>
  </w:style>
  <w:style w:type="character" w:customStyle="1" w:styleId="Heading1Char">
    <w:name w:val="Heading 1 Char"/>
    <w:basedOn w:val="DefaultParagraphFont"/>
    <w:link w:val="Heading1"/>
    <w:uiPriority w:val="9"/>
    <w:rsid w:val="006C0061"/>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unhideWhenUsed/>
    <w:rsid w:val="008D3467"/>
    <w:rPr>
      <w:color w:val="0563C1" w:themeColor="hyperlink"/>
      <w:u w:val="single"/>
    </w:rPr>
  </w:style>
  <w:style w:type="character" w:styleId="CommentReference">
    <w:name w:val="annotation reference"/>
    <w:basedOn w:val="DefaultParagraphFont"/>
    <w:uiPriority w:val="99"/>
    <w:semiHidden/>
    <w:unhideWhenUsed/>
    <w:rsid w:val="00B850D9"/>
    <w:rPr>
      <w:sz w:val="16"/>
      <w:szCs w:val="16"/>
    </w:rPr>
  </w:style>
  <w:style w:type="paragraph" w:styleId="CommentText">
    <w:name w:val="annotation text"/>
    <w:basedOn w:val="Normal"/>
    <w:link w:val="CommentTextChar"/>
    <w:uiPriority w:val="99"/>
    <w:semiHidden/>
    <w:unhideWhenUsed/>
    <w:rsid w:val="00B850D9"/>
    <w:pPr>
      <w:spacing w:line="240" w:lineRule="auto"/>
    </w:pPr>
    <w:rPr>
      <w:sz w:val="20"/>
      <w:szCs w:val="20"/>
    </w:rPr>
  </w:style>
  <w:style w:type="character" w:customStyle="1" w:styleId="CommentTextChar">
    <w:name w:val="Comment Text Char"/>
    <w:basedOn w:val="DefaultParagraphFont"/>
    <w:link w:val="CommentText"/>
    <w:uiPriority w:val="99"/>
    <w:semiHidden/>
    <w:rsid w:val="00B850D9"/>
    <w:rPr>
      <w:sz w:val="20"/>
      <w:szCs w:val="20"/>
    </w:rPr>
  </w:style>
  <w:style w:type="paragraph" w:styleId="CommentSubject">
    <w:name w:val="annotation subject"/>
    <w:basedOn w:val="CommentText"/>
    <w:next w:val="CommentText"/>
    <w:link w:val="CommentSubjectChar"/>
    <w:uiPriority w:val="99"/>
    <w:semiHidden/>
    <w:unhideWhenUsed/>
    <w:rsid w:val="00B850D9"/>
    <w:rPr>
      <w:b/>
      <w:bCs/>
    </w:rPr>
  </w:style>
  <w:style w:type="character" w:customStyle="1" w:styleId="CommentSubjectChar">
    <w:name w:val="Comment Subject Char"/>
    <w:basedOn w:val="CommentTextChar"/>
    <w:link w:val="CommentSubject"/>
    <w:uiPriority w:val="99"/>
    <w:semiHidden/>
    <w:rsid w:val="00B850D9"/>
    <w:rPr>
      <w:b/>
      <w:bCs/>
      <w:sz w:val="20"/>
      <w:szCs w:val="20"/>
    </w:rPr>
  </w:style>
  <w:style w:type="paragraph" w:styleId="BalloonText">
    <w:name w:val="Balloon Text"/>
    <w:basedOn w:val="Normal"/>
    <w:link w:val="BalloonTextChar"/>
    <w:uiPriority w:val="99"/>
    <w:semiHidden/>
    <w:unhideWhenUsed/>
    <w:rsid w:val="00B85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0D9"/>
    <w:rPr>
      <w:rFonts w:ascii="Segoe UI" w:hAnsi="Segoe UI" w:cs="Segoe UI"/>
      <w:sz w:val="18"/>
      <w:szCs w:val="18"/>
    </w:rPr>
  </w:style>
  <w:style w:type="character" w:customStyle="1" w:styleId="Heading4Char">
    <w:name w:val="Heading 4 Char"/>
    <w:basedOn w:val="DefaultParagraphFont"/>
    <w:link w:val="Heading4"/>
    <w:uiPriority w:val="99"/>
    <w:rsid w:val="00D25BF1"/>
    <w:rPr>
      <w:rFonts w:asciiTheme="majorHAnsi" w:eastAsiaTheme="majorEastAsia" w:hAnsiTheme="majorHAnsi" w:cstheme="majorBidi"/>
      <w:b/>
      <w:bCs/>
      <w:i/>
      <w:iCs/>
      <w:color w:val="4472C4" w:themeColor="accent1"/>
    </w:rPr>
  </w:style>
  <w:style w:type="paragraph" w:customStyle="1" w:styleId="Volume">
    <w:name w:val="Volume"/>
    <w:basedOn w:val="Normal"/>
    <w:autoRedefine/>
    <w:uiPriority w:val="99"/>
    <w:rsid w:val="000C1E4C"/>
    <w:pPr>
      <w:spacing w:after="0" w:line="240" w:lineRule="auto"/>
    </w:pPr>
    <w:rPr>
      <w:rFonts w:eastAsia="Times New Roman" w:cs="Arial"/>
      <w:b/>
      <w:kern w:val="28"/>
      <w:sz w:val="48"/>
      <w:szCs w:val="48"/>
    </w:rPr>
  </w:style>
  <w:style w:type="paragraph" w:customStyle="1" w:styleId="submit">
    <w:name w:val="submit"/>
    <w:basedOn w:val="Heading2"/>
    <w:uiPriority w:val="99"/>
    <w:rsid w:val="00D25BF1"/>
    <w:pPr>
      <w:widowControl/>
      <w:tabs>
        <w:tab w:val="clear" w:pos="727"/>
        <w:tab w:val="clear" w:pos="1090"/>
      </w:tabs>
      <w:spacing w:before="240" w:after="120"/>
      <w:jc w:val="left"/>
    </w:pPr>
    <w:rPr>
      <w:rFonts w:cs="Arial"/>
      <w:sz w:val="18"/>
    </w:rPr>
  </w:style>
  <w:style w:type="paragraph" w:customStyle="1" w:styleId="Text">
    <w:name w:val="Text"/>
    <w:basedOn w:val="Normal"/>
    <w:autoRedefine/>
    <w:uiPriority w:val="99"/>
    <w:rsid w:val="00D25BF1"/>
    <w:pPr>
      <w:spacing w:after="0" w:line="240" w:lineRule="auto"/>
      <w:ind w:left="720"/>
    </w:pPr>
    <w:rPr>
      <w:rFonts w:eastAsia="Times New Roman" w:cs="Times New Roman"/>
      <w:b/>
      <w:i/>
      <w:sz w:val="24"/>
      <w:szCs w:val="24"/>
    </w:rPr>
  </w:style>
  <w:style w:type="paragraph" w:customStyle="1" w:styleId="Default">
    <w:name w:val="Default"/>
    <w:rsid w:val="00A2406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A75D3"/>
    <w:pPr>
      <w:spacing w:after="200" w:line="276" w:lineRule="auto"/>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2078">
      <w:bodyDiv w:val="1"/>
      <w:marLeft w:val="0"/>
      <w:marRight w:val="0"/>
      <w:marTop w:val="0"/>
      <w:marBottom w:val="0"/>
      <w:divBdr>
        <w:top w:val="none" w:sz="0" w:space="0" w:color="auto"/>
        <w:left w:val="none" w:sz="0" w:space="0" w:color="auto"/>
        <w:bottom w:val="none" w:sz="0" w:space="0" w:color="auto"/>
        <w:right w:val="none" w:sz="0" w:space="0" w:color="auto"/>
      </w:divBdr>
    </w:div>
    <w:div w:id="175731381">
      <w:bodyDiv w:val="1"/>
      <w:marLeft w:val="0"/>
      <w:marRight w:val="0"/>
      <w:marTop w:val="0"/>
      <w:marBottom w:val="0"/>
      <w:divBdr>
        <w:top w:val="none" w:sz="0" w:space="0" w:color="auto"/>
        <w:left w:val="none" w:sz="0" w:space="0" w:color="auto"/>
        <w:bottom w:val="none" w:sz="0" w:space="0" w:color="auto"/>
        <w:right w:val="none" w:sz="0" w:space="0" w:color="auto"/>
      </w:divBdr>
    </w:div>
    <w:div w:id="295332881">
      <w:bodyDiv w:val="1"/>
      <w:marLeft w:val="0"/>
      <w:marRight w:val="0"/>
      <w:marTop w:val="0"/>
      <w:marBottom w:val="0"/>
      <w:divBdr>
        <w:top w:val="none" w:sz="0" w:space="0" w:color="auto"/>
        <w:left w:val="none" w:sz="0" w:space="0" w:color="auto"/>
        <w:bottom w:val="none" w:sz="0" w:space="0" w:color="auto"/>
        <w:right w:val="none" w:sz="0" w:space="0" w:color="auto"/>
      </w:divBdr>
    </w:div>
    <w:div w:id="318464071">
      <w:bodyDiv w:val="1"/>
      <w:marLeft w:val="0"/>
      <w:marRight w:val="0"/>
      <w:marTop w:val="0"/>
      <w:marBottom w:val="0"/>
      <w:divBdr>
        <w:top w:val="none" w:sz="0" w:space="0" w:color="auto"/>
        <w:left w:val="none" w:sz="0" w:space="0" w:color="auto"/>
        <w:bottom w:val="none" w:sz="0" w:space="0" w:color="auto"/>
        <w:right w:val="none" w:sz="0" w:space="0" w:color="auto"/>
      </w:divBdr>
    </w:div>
    <w:div w:id="428818240">
      <w:bodyDiv w:val="1"/>
      <w:marLeft w:val="0"/>
      <w:marRight w:val="0"/>
      <w:marTop w:val="0"/>
      <w:marBottom w:val="0"/>
      <w:divBdr>
        <w:top w:val="none" w:sz="0" w:space="0" w:color="auto"/>
        <w:left w:val="none" w:sz="0" w:space="0" w:color="auto"/>
        <w:bottom w:val="none" w:sz="0" w:space="0" w:color="auto"/>
        <w:right w:val="none" w:sz="0" w:space="0" w:color="auto"/>
      </w:divBdr>
    </w:div>
    <w:div w:id="1143503393">
      <w:bodyDiv w:val="1"/>
      <w:marLeft w:val="0"/>
      <w:marRight w:val="0"/>
      <w:marTop w:val="0"/>
      <w:marBottom w:val="0"/>
      <w:divBdr>
        <w:top w:val="none" w:sz="0" w:space="0" w:color="auto"/>
        <w:left w:val="none" w:sz="0" w:space="0" w:color="auto"/>
        <w:bottom w:val="none" w:sz="0" w:space="0" w:color="auto"/>
        <w:right w:val="none" w:sz="0" w:space="0" w:color="auto"/>
      </w:divBdr>
    </w:div>
    <w:div w:id="1479882283">
      <w:bodyDiv w:val="1"/>
      <w:marLeft w:val="0"/>
      <w:marRight w:val="0"/>
      <w:marTop w:val="0"/>
      <w:marBottom w:val="0"/>
      <w:divBdr>
        <w:top w:val="none" w:sz="0" w:space="0" w:color="auto"/>
        <w:left w:val="none" w:sz="0" w:space="0" w:color="auto"/>
        <w:bottom w:val="none" w:sz="0" w:space="0" w:color="auto"/>
        <w:right w:val="none" w:sz="0" w:space="0" w:color="auto"/>
      </w:divBdr>
    </w:div>
    <w:div w:id="1557084504">
      <w:bodyDiv w:val="1"/>
      <w:marLeft w:val="0"/>
      <w:marRight w:val="0"/>
      <w:marTop w:val="0"/>
      <w:marBottom w:val="0"/>
      <w:divBdr>
        <w:top w:val="none" w:sz="0" w:space="0" w:color="auto"/>
        <w:left w:val="none" w:sz="0" w:space="0" w:color="auto"/>
        <w:bottom w:val="none" w:sz="0" w:space="0" w:color="auto"/>
        <w:right w:val="none" w:sz="0" w:space="0" w:color="auto"/>
      </w:divBdr>
    </w:div>
    <w:div w:id="1939210386">
      <w:bodyDiv w:val="1"/>
      <w:marLeft w:val="0"/>
      <w:marRight w:val="0"/>
      <w:marTop w:val="0"/>
      <w:marBottom w:val="0"/>
      <w:divBdr>
        <w:top w:val="none" w:sz="0" w:space="0" w:color="auto"/>
        <w:left w:val="none" w:sz="0" w:space="0" w:color="auto"/>
        <w:bottom w:val="none" w:sz="0" w:space="0" w:color="auto"/>
        <w:right w:val="none" w:sz="0" w:space="0" w:color="auto"/>
      </w:divBdr>
    </w:div>
    <w:div w:id="213046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fap.ed.gov/fregisters/FR080315NoticeInvitePostEDInstitutionsToParticipateinUndertheExperimentalSiteInit.html" TargetMode="External"/><Relationship Id="rId5" Type="http://schemas.openxmlformats.org/officeDocument/2006/relationships/settings" Target="settings.xml"/><Relationship Id="rId10" Type="http://schemas.openxmlformats.org/officeDocument/2006/relationships/hyperlink" Target="http://ifap.ed.gov/fregisters/FR101515InvitationtoParticipateintheExperSitesInitiative.html" TargetMode="External"/><Relationship Id="rId4" Type="http://schemas.microsoft.com/office/2007/relationships/stylesWithEffects" Target="stylesWithEffects.xml"/><Relationship Id="rId9" Type="http://schemas.openxmlformats.org/officeDocument/2006/relationships/hyperlink" Target="https://experimentalsites.ed.gov/exp/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1AB4C-6D3C-45D5-8F3E-92DCA037A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8090</Words>
  <Characters>46115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Elise</dc:creator>
  <cp:lastModifiedBy>SYSTEM</cp:lastModifiedBy>
  <cp:revision>2</cp:revision>
  <dcterms:created xsi:type="dcterms:W3CDTF">2019-07-25T20:30:00Z</dcterms:created>
  <dcterms:modified xsi:type="dcterms:W3CDTF">2019-07-25T20:30:00Z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