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9BD" w:rsidRDefault="004C4741" w14:paraId="7F34E46F" w14:textId="77777777">
      <w:pPr>
        <w:jc w:val="center"/>
      </w:pPr>
      <w:bookmarkStart w:name="_GoBack" w:id="0"/>
      <w:bookmarkEnd w:id="0"/>
      <w:r>
        <w:t>170 FERC ¶ 61,219</w:t>
      </w:r>
    </w:p>
    <w:p w:rsidRPr="00395600" w:rsidR="00247449" w:rsidP="002B1046" w:rsidRDefault="00247449" w14:paraId="1B6E4C74" w14:textId="77777777">
      <w:pPr>
        <w:jc w:val="center"/>
      </w:pPr>
      <w:r w:rsidRPr="00395600">
        <w:t>DEPARTMENT OF ENERGY</w:t>
      </w:r>
    </w:p>
    <w:p w:rsidRPr="00395600" w:rsidR="00247449" w:rsidP="002B1046" w:rsidRDefault="00247449" w14:paraId="7177AF71" w14:textId="77777777">
      <w:pPr>
        <w:jc w:val="center"/>
      </w:pPr>
      <w:r w:rsidRPr="00395600">
        <w:t>Federal Energy Regulatory Commission</w:t>
      </w:r>
    </w:p>
    <w:p w:rsidRPr="00395600" w:rsidR="00247449" w:rsidP="002B1046" w:rsidRDefault="00247449" w14:paraId="17926FD3" w14:textId="77777777">
      <w:pPr>
        <w:jc w:val="center"/>
      </w:pPr>
    </w:p>
    <w:p w:rsidRPr="00395600" w:rsidR="00247449" w:rsidP="002B1046" w:rsidRDefault="00247449" w14:paraId="67D8A92C" w14:textId="71A81FEC">
      <w:pPr>
        <w:jc w:val="center"/>
      </w:pPr>
      <w:r w:rsidRPr="00395600">
        <w:t xml:space="preserve">18 CFR Part </w:t>
      </w:r>
      <w:r w:rsidR="00AB59B6">
        <w:t>35</w:t>
      </w:r>
    </w:p>
    <w:p w:rsidRPr="00395600" w:rsidR="00247449" w:rsidP="002B1046" w:rsidRDefault="00247449" w14:paraId="7DDEEDAC" w14:textId="77777777">
      <w:pPr>
        <w:jc w:val="center"/>
      </w:pPr>
    </w:p>
    <w:p w:rsidR="00247449" w:rsidP="002B1046" w:rsidRDefault="00247449" w14:paraId="6C50E6E1" w14:textId="0A25A6F1">
      <w:pPr>
        <w:jc w:val="center"/>
      </w:pPr>
      <w:r w:rsidRPr="00395600">
        <w:t>[</w:t>
      </w:r>
      <w:r>
        <w:t xml:space="preserve">Docket No. </w:t>
      </w:r>
      <w:r w:rsidR="00AB59B6">
        <w:t>RM20-</w:t>
      </w:r>
      <w:r w:rsidR="001C2851">
        <w:t>11</w:t>
      </w:r>
      <w:r w:rsidR="00AB59B6">
        <w:t>-000</w:t>
      </w:r>
      <w:r w:rsidRPr="00395600">
        <w:t>; Order No.</w:t>
      </w:r>
      <w:r w:rsidR="00C26468">
        <w:t xml:space="preserve"> 869</w:t>
      </w:r>
      <w:r w:rsidRPr="00395600">
        <w:t>]</w:t>
      </w:r>
    </w:p>
    <w:p w:rsidR="00247449" w:rsidP="00B1666A" w:rsidRDefault="00247449" w14:paraId="4533B383" w14:textId="5731BD0D"/>
    <w:p w:rsidR="00EC5810" w:rsidP="00EC5810" w:rsidRDefault="00EC5810" w14:paraId="2A2E8466" w14:textId="0C270112">
      <w:pPr>
        <w:widowControl/>
        <w:jc w:val="center"/>
      </w:pPr>
      <w:r w:rsidRPr="00EC5810">
        <w:t>(Issued March 1</w:t>
      </w:r>
      <w:r>
        <w:t>9</w:t>
      </w:r>
      <w:r w:rsidRPr="00EC5810">
        <w:t>, 2020)</w:t>
      </w:r>
    </w:p>
    <w:p w:rsidRPr="00EC5810" w:rsidR="00EC5810" w:rsidP="00EC5810" w:rsidRDefault="00EC5810" w14:paraId="7FAC4ACA" w14:textId="77777777">
      <w:pPr>
        <w:widowControl/>
      </w:pPr>
    </w:p>
    <w:p w:rsidRPr="00395600" w:rsidR="00247449" w:rsidP="002B1046" w:rsidRDefault="00247449" w14:paraId="60ACF392" w14:textId="77777777">
      <w:pPr>
        <w:spacing w:after="260"/>
      </w:pPr>
      <w:r w:rsidRPr="00395600">
        <w:rPr>
          <w:u w:val="single"/>
        </w:rPr>
        <w:t>AGENCY</w:t>
      </w:r>
      <w:r w:rsidRPr="00395600">
        <w:t>:  Federal Energy Regulatory Commission.</w:t>
      </w:r>
    </w:p>
    <w:p w:rsidRPr="00395600" w:rsidR="00247449" w:rsidP="002B1046" w:rsidRDefault="00247449" w14:paraId="6609197A" w14:textId="76EDBD83">
      <w:pPr>
        <w:spacing w:after="260"/>
      </w:pPr>
      <w:r w:rsidRPr="00395600">
        <w:rPr>
          <w:u w:val="single"/>
        </w:rPr>
        <w:t>ACTION</w:t>
      </w:r>
      <w:r w:rsidRPr="00395600">
        <w:t>:</w:t>
      </w:r>
      <w:r w:rsidR="00CF63E8">
        <w:t xml:space="preserve">  </w:t>
      </w:r>
      <w:r w:rsidRPr="00395600">
        <w:t>Final Rule</w:t>
      </w:r>
    </w:p>
    <w:p w:rsidRPr="00395600" w:rsidR="00247449" w:rsidP="002B1046" w:rsidRDefault="00247449" w14:paraId="06235DAD" w14:textId="37B3F770">
      <w:pPr>
        <w:spacing w:line="480" w:lineRule="auto"/>
      </w:pPr>
      <w:r w:rsidRPr="00395600">
        <w:rPr>
          <w:u w:val="single"/>
        </w:rPr>
        <w:t>SUMMARY</w:t>
      </w:r>
      <w:r w:rsidRPr="00395600">
        <w:t>:</w:t>
      </w:r>
      <w:r w:rsidR="00260018">
        <w:t xml:space="preserve">  The Federal Energy Regulatory Commission (Commission) </w:t>
      </w:r>
      <w:r w:rsidR="006907CD">
        <w:t>clarifies</w:t>
      </w:r>
      <w:r w:rsidR="00260018">
        <w:t xml:space="preserve"> its filing instructions for form FERC-730.</w:t>
      </w:r>
      <w:r w:rsidR="00CE63E9">
        <w:t xml:space="preserve"> </w:t>
      </w:r>
      <w:r w:rsidR="00CF63E8">
        <w:t xml:space="preserve"> </w:t>
      </w:r>
      <w:r w:rsidR="00CE63E9">
        <w:t xml:space="preserve">The Commission makes no modifications or amendments to the Code of Federal Regulations. </w:t>
      </w:r>
    </w:p>
    <w:p w:rsidRPr="00395600" w:rsidR="00247449" w:rsidP="002B1046" w:rsidRDefault="00247449" w14:paraId="15CD6F19" w14:textId="5D8BEEB4">
      <w:pPr>
        <w:spacing w:line="480" w:lineRule="auto"/>
      </w:pPr>
      <w:r w:rsidRPr="00395600">
        <w:rPr>
          <w:u w:val="single"/>
        </w:rPr>
        <w:t>DATE</w:t>
      </w:r>
      <w:r w:rsidR="00EC5810">
        <w:rPr>
          <w:u w:val="single"/>
        </w:rPr>
        <w:t>S</w:t>
      </w:r>
      <w:r w:rsidRPr="00395600">
        <w:t>:</w:t>
      </w:r>
      <w:r w:rsidR="00CF63E8">
        <w:t xml:space="preserve">  </w:t>
      </w:r>
      <w:r w:rsidRPr="00395600">
        <w:t xml:space="preserve">This rule will become effective </w:t>
      </w:r>
      <w:bookmarkStart w:name="_Hlk33632207" w:id="1"/>
      <w:r w:rsidRPr="00395600">
        <w:rPr>
          <w:b/>
        </w:rPr>
        <w:t>[</w:t>
      </w:r>
      <w:r w:rsidR="00341147">
        <w:rPr>
          <w:b/>
        </w:rPr>
        <w:t xml:space="preserve">INSERT DATE </w:t>
      </w:r>
      <w:r w:rsidR="00341147">
        <w:rPr>
          <w:b/>
          <w:bCs/>
        </w:rPr>
        <w:t xml:space="preserve">60 days after date </w:t>
      </w:r>
      <w:r w:rsidR="00AB59B6">
        <w:rPr>
          <w:b/>
        </w:rPr>
        <w:t>of</w:t>
      </w:r>
      <w:r w:rsidRPr="00395600">
        <w:rPr>
          <w:b/>
        </w:rPr>
        <w:t xml:space="preserve"> publication in the FEDERAL REGISTER]</w:t>
      </w:r>
      <w:bookmarkEnd w:id="1"/>
    </w:p>
    <w:p w:rsidR="00247449" w:rsidP="002B1046" w:rsidRDefault="00247449" w14:paraId="052BBCDF" w14:textId="77777777">
      <w:r w:rsidRPr="00395600">
        <w:rPr>
          <w:u w:val="single"/>
        </w:rPr>
        <w:t>FOR FURTHER INFORMATION CONTACT</w:t>
      </w:r>
      <w:r w:rsidRPr="00395600">
        <w:t>:</w:t>
      </w:r>
    </w:p>
    <w:p w:rsidRPr="00395600" w:rsidR="00247449" w:rsidP="002B1046" w:rsidRDefault="00247449" w14:paraId="79F95F9F" w14:textId="77777777"/>
    <w:p w:rsidRPr="00395600" w:rsidR="00247449" w:rsidP="002B1046" w:rsidRDefault="0031076B" w14:paraId="6ED641D5" w14:textId="7D2D234B">
      <w:r>
        <w:t>Laura Farkas</w:t>
      </w:r>
    </w:p>
    <w:p w:rsidRPr="00395600" w:rsidR="00247449" w:rsidP="002B1046" w:rsidRDefault="00247449" w14:paraId="2CA877F3" w14:textId="77777777"/>
    <w:p w:rsidR="00B1666A" w:rsidP="002B1046" w:rsidRDefault="00247449" w14:paraId="2E84296B" w14:textId="77777777">
      <w:r w:rsidRPr="00395600">
        <w:fldChar w:fldCharType="begin"/>
      </w:r>
      <w:r w:rsidRPr="00395600">
        <w:instrText xml:space="preserve"> MACROBUTTON  AcceptAllChangesInDoc </w:instrText>
      </w:r>
      <w:r w:rsidRPr="00395600">
        <w:fldChar w:fldCharType="end"/>
      </w:r>
      <w:r w:rsidRPr="00395600">
        <w:fldChar w:fldCharType="begin"/>
      </w:r>
      <w:r w:rsidRPr="00395600">
        <w:instrText xml:space="preserve"> MACROBUTTON  AcceptAllChangesInDoc </w:instrText>
      </w:r>
      <w:r w:rsidRPr="00395600">
        <w:fldChar w:fldCharType="end"/>
      </w:r>
      <w:r w:rsidR="00B1666A">
        <w:t>Federal Energy Regulatory Commission</w:t>
      </w:r>
    </w:p>
    <w:p w:rsidR="00247449" w:rsidP="002B1046" w:rsidRDefault="00164788" w14:paraId="560E6A96" w14:textId="0E285669">
      <w:r>
        <w:t>888 First Street</w:t>
      </w:r>
      <w:r w:rsidR="00CF63E8">
        <w:t>,</w:t>
      </w:r>
      <w:r>
        <w:t xml:space="preserve"> </w:t>
      </w:r>
      <w:r w:rsidR="00B1666A">
        <w:t>NE</w:t>
      </w:r>
    </w:p>
    <w:p w:rsidRPr="00395600" w:rsidR="00164788" w:rsidP="002B1046" w:rsidRDefault="00164788" w14:paraId="1810EFD0" w14:textId="4BD5D4C7">
      <w:r>
        <w:t>Washington, DC 20426</w:t>
      </w:r>
    </w:p>
    <w:p w:rsidRPr="00395600" w:rsidR="00247449" w:rsidP="002B1046" w:rsidRDefault="00247449" w14:paraId="021BD702" w14:textId="77777777"/>
    <w:p w:rsidR="00247449" w:rsidP="002B1046" w:rsidRDefault="00C26468" w14:paraId="01142B64" w14:textId="6EF4699B">
      <w:r>
        <w:t>(</w:t>
      </w:r>
      <w:r w:rsidR="0031076B">
        <w:t>202</w:t>
      </w:r>
      <w:r>
        <w:t xml:space="preserve">) </w:t>
      </w:r>
      <w:r w:rsidR="0031076B">
        <w:t>502-6060</w:t>
      </w:r>
    </w:p>
    <w:p w:rsidRPr="00395600" w:rsidR="00247449" w:rsidP="002B1046" w:rsidRDefault="00247449" w14:paraId="7DD14FA1" w14:textId="77777777"/>
    <w:p w:rsidRPr="00395600" w:rsidR="00247449" w:rsidP="002B1046" w:rsidRDefault="0031076B" w14:paraId="61E8BC15" w14:textId="171C3D40">
      <w:r>
        <w:t>laura.farkas@ferc.gov</w:t>
      </w:r>
    </w:p>
    <w:p w:rsidR="00247449" w:rsidP="002B1046" w:rsidRDefault="00247449" w14:paraId="38844E51" w14:textId="77777777"/>
    <w:p w:rsidRPr="00395600" w:rsidR="00247449" w:rsidP="002B1046" w:rsidRDefault="00247449" w14:paraId="46BD475A" w14:textId="77777777">
      <w:pPr>
        <w:sectPr w:rsidRPr="00395600" w:rsidR="00247449" w:rsidSect="0024744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1440" w:gutter="0"/>
          <w:pgNumType w:fmt="lowerRoman" w:start="1"/>
          <w:cols w:space="720"/>
          <w:noEndnote/>
          <w:titlePg/>
          <w:docGrid w:linePitch="354"/>
        </w:sectPr>
      </w:pPr>
      <w:r w:rsidRPr="00395600">
        <w:rPr>
          <w:u w:val="single"/>
        </w:rPr>
        <w:t>SUPPLEMENTARY INFORMATION</w:t>
      </w:r>
      <w:r w:rsidRPr="00395600">
        <w:t>:</w:t>
      </w:r>
    </w:p>
    <w:p w:rsidRPr="005F031C" w:rsidR="005F031C" w:rsidP="002B1046" w:rsidRDefault="005F031C" w14:paraId="1BA8983F" w14:textId="0247FBB0">
      <w:pPr>
        <w:jc w:val="center"/>
      </w:pPr>
      <w:r>
        <w:lastRenderedPageBreak/>
        <w:t>170 FERC ¶ 61,219</w:t>
      </w:r>
    </w:p>
    <w:p w:rsidRPr="00395600" w:rsidR="00247449" w:rsidP="002B1046" w:rsidRDefault="00247449" w14:paraId="66671DF0" w14:textId="1B5EB73E">
      <w:pPr>
        <w:jc w:val="center"/>
      </w:pPr>
      <w:r w:rsidRPr="00395600">
        <w:t>UNITED STATES OF AMERICA</w:t>
      </w:r>
    </w:p>
    <w:p w:rsidRPr="00395600" w:rsidR="00247449" w:rsidP="002B1046" w:rsidRDefault="00247449" w14:paraId="1CF45CA7" w14:textId="77777777">
      <w:pPr>
        <w:jc w:val="center"/>
      </w:pPr>
      <w:r w:rsidRPr="00395600">
        <w:t>FEDERAL ENERGY REGULATORY COMMISSION</w:t>
      </w:r>
    </w:p>
    <w:p w:rsidRPr="00395600" w:rsidR="00247449" w:rsidP="002B1046" w:rsidRDefault="00247449" w14:paraId="65932BB0" w14:textId="77777777"/>
    <w:p w:rsidRPr="00C26468" w:rsidR="00247449" w:rsidP="00C26468" w:rsidRDefault="00C26468" w14:paraId="59FFE18B" w14:textId="1960F3F9">
      <w:pPr>
        <w:widowControl/>
      </w:pPr>
      <w:r w:rsidRPr="00C26468">
        <w:t>Before Commissioners:  Neil Chatterjee, Chairman;</w:t>
      </w:r>
    </w:p>
    <w:p w:rsidRPr="00C26468" w:rsidR="00C26468" w:rsidP="00C26468" w:rsidRDefault="00C26468" w14:paraId="377C67B5" w14:textId="26ADAB8B">
      <w:pPr>
        <w:widowControl/>
      </w:pPr>
      <w:r w:rsidRPr="00C26468">
        <w:t xml:space="preserve">                                        Richard Glick and Bernard L. McNamee.</w:t>
      </w:r>
    </w:p>
    <w:p w:rsidRPr="00395600" w:rsidR="00C26468" w:rsidP="00C26468" w:rsidRDefault="00C26468" w14:paraId="6F9AB821" w14:textId="1D96B284">
      <w:pPr>
        <w:widowControl/>
      </w:pPr>
      <w:r w:rsidRPr="00C26468">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927"/>
        <w:gridCol w:w="1453"/>
        <w:gridCol w:w="1980"/>
      </w:tblGrid>
      <w:tr w:rsidRPr="00395600" w:rsidR="00247449" w:rsidTr="00C26468" w14:paraId="07685D4B" w14:textId="77777777">
        <w:tc>
          <w:tcPr>
            <w:tcW w:w="5927" w:type="dxa"/>
            <w:shd w:val="clear" w:color="auto" w:fill="auto"/>
          </w:tcPr>
          <w:p w:rsidRPr="00395600" w:rsidR="00247449" w:rsidP="002B1046" w:rsidRDefault="00AB59B6" w14:paraId="68681153" w14:textId="0BE7FE47">
            <w:pPr>
              <w:widowControl/>
              <w:autoSpaceDE/>
              <w:autoSpaceDN/>
              <w:adjustRightInd/>
              <w:rPr>
                <w:rFonts w:cstheme="minorBidi"/>
                <w:szCs w:val="22"/>
              </w:rPr>
            </w:pPr>
            <w:r>
              <w:rPr>
                <w:rFonts w:cstheme="minorBidi"/>
                <w:szCs w:val="22"/>
              </w:rPr>
              <w:t xml:space="preserve">Reporting of Transmission Investments </w:t>
            </w:r>
          </w:p>
        </w:tc>
        <w:tc>
          <w:tcPr>
            <w:tcW w:w="1453" w:type="dxa"/>
            <w:shd w:val="clear" w:color="auto" w:fill="auto"/>
          </w:tcPr>
          <w:p w:rsidRPr="00395600" w:rsidR="00247449" w:rsidP="002B1046" w:rsidRDefault="00247449" w14:paraId="7B6D9735" w14:textId="77777777">
            <w:pPr>
              <w:widowControl/>
              <w:autoSpaceDE/>
              <w:autoSpaceDN/>
              <w:adjustRightInd/>
              <w:rPr>
                <w:rFonts w:cstheme="minorBidi"/>
                <w:szCs w:val="22"/>
              </w:rPr>
            </w:pPr>
            <w:r>
              <w:rPr>
                <w:rFonts w:cstheme="minorBidi"/>
                <w:szCs w:val="22"/>
              </w:rPr>
              <w:t>Docket No.</w:t>
            </w:r>
          </w:p>
        </w:tc>
        <w:tc>
          <w:tcPr>
            <w:tcW w:w="1980" w:type="dxa"/>
            <w:shd w:val="clear" w:color="auto" w:fill="auto"/>
          </w:tcPr>
          <w:p w:rsidRPr="00395600" w:rsidR="00247449" w:rsidP="00C26468" w:rsidRDefault="00AB59B6" w14:paraId="364EC856" w14:textId="68C0003A">
            <w:pPr>
              <w:widowControl/>
              <w:autoSpaceDE/>
              <w:autoSpaceDN/>
              <w:adjustRightInd/>
              <w:ind w:hanging="110"/>
              <w:rPr>
                <w:rFonts w:cstheme="minorBidi"/>
                <w:szCs w:val="22"/>
              </w:rPr>
            </w:pPr>
            <w:r>
              <w:rPr>
                <w:rFonts w:cstheme="minorBidi"/>
                <w:szCs w:val="22"/>
              </w:rPr>
              <w:t>RM20-</w:t>
            </w:r>
            <w:r w:rsidR="001C2851">
              <w:rPr>
                <w:rFonts w:cstheme="minorBidi"/>
                <w:szCs w:val="22"/>
              </w:rPr>
              <w:t>11</w:t>
            </w:r>
            <w:r>
              <w:rPr>
                <w:rFonts w:cstheme="minorBidi"/>
                <w:szCs w:val="22"/>
              </w:rPr>
              <w:t>-000</w:t>
            </w:r>
          </w:p>
        </w:tc>
      </w:tr>
    </w:tbl>
    <w:p w:rsidRPr="00395600" w:rsidR="00247449" w:rsidP="002B1046" w:rsidRDefault="00247449" w14:paraId="407C66BC" w14:textId="77777777"/>
    <w:p w:rsidR="00247449" w:rsidP="002B1046" w:rsidRDefault="00247449" w14:paraId="7F7E07EB" w14:textId="30DF0AE7">
      <w:pPr>
        <w:jc w:val="center"/>
      </w:pPr>
      <w:r w:rsidRPr="00395600">
        <w:t>ORDER NO.</w:t>
      </w:r>
      <w:r>
        <w:t xml:space="preserve">  </w:t>
      </w:r>
      <w:r w:rsidR="00C26468">
        <w:t>869</w:t>
      </w:r>
    </w:p>
    <w:p w:rsidR="00247449" w:rsidP="002B1046" w:rsidRDefault="00247449" w14:paraId="2102C978" w14:textId="77777777">
      <w:pPr>
        <w:jc w:val="center"/>
      </w:pPr>
    </w:p>
    <w:p w:rsidR="00247449" w:rsidP="002B1046" w:rsidRDefault="00247449" w14:paraId="02F7C741" w14:textId="77777777">
      <w:pPr>
        <w:jc w:val="center"/>
      </w:pPr>
      <w:r w:rsidRPr="00395600">
        <w:t>FINAL RULE</w:t>
      </w:r>
    </w:p>
    <w:p w:rsidR="00247449" w:rsidP="002B1046" w:rsidRDefault="00247449" w14:paraId="76A3C71A" w14:textId="77777777">
      <w:pPr>
        <w:jc w:val="center"/>
      </w:pPr>
    </w:p>
    <w:p w:rsidR="00247449" w:rsidP="00C26468" w:rsidRDefault="00C26468" w14:paraId="041A1D06" w14:textId="3EC3F12A">
      <w:pPr>
        <w:widowControl/>
        <w:jc w:val="center"/>
      </w:pPr>
      <w:r w:rsidRPr="00C26468">
        <w:t>(Issued March 1</w:t>
      </w:r>
      <w:r>
        <w:t>9</w:t>
      </w:r>
      <w:r w:rsidRPr="00C26468">
        <w:t>, 2020)</w:t>
      </w:r>
    </w:p>
    <w:p w:rsidRPr="00C26468" w:rsidR="00C26468" w:rsidP="00C26468" w:rsidRDefault="00C26468" w14:paraId="4B9B5BE5" w14:textId="77777777">
      <w:pPr>
        <w:widowControl/>
      </w:pPr>
    </w:p>
    <w:p w:rsidRPr="00395600" w:rsidR="00247449" w:rsidP="00247449" w:rsidRDefault="00134006" w14:paraId="03328955" w14:textId="77777777">
      <w:pPr>
        <w:pStyle w:val="Heading1"/>
      </w:pPr>
      <w:bookmarkStart w:name="_Start_TOC" w:id="2"/>
      <w:bookmarkEnd w:id="2"/>
      <w:r>
        <w:t>Introduction</w:t>
      </w:r>
    </w:p>
    <w:p w:rsidR="00134006" w:rsidP="00CC09E4" w:rsidRDefault="00134006" w14:paraId="44CB22FF" w14:textId="48CC5B79">
      <w:pPr>
        <w:pStyle w:val="FERCparanumber"/>
      </w:pPr>
      <w:r>
        <w:t xml:space="preserve">By this </w:t>
      </w:r>
      <w:r w:rsidR="0000502C">
        <w:t>i</w:t>
      </w:r>
      <w:r>
        <w:t xml:space="preserve">nstant </w:t>
      </w:r>
      <w:r w:rsidR="00AB59B6">
        <w:t>f</w:t>
      </w:r>
      <w:r>
        <w:t xml:space="preserve">inal </w:t>
      </w:r>
      <w:r w:rsidR="00AB59B6">
        <w:t>r</w:t>
      </w:r>
      <w:r>
        <w:t xml:space="preserve">ule, </w:t>
      </w:r>
      <w:r w:rsidRPr="00C61B04">
        <w:t>the Commission is amending form FERC-730</w:t>
      </w:r>
      <w:r w:rsidR="00AB59B6">
        <w:t xml:space="preserve">, originally adopted in </w:t>
      </w:r>
      <w:r w:rsidRPr="00CC09E4" w:rsidR="00AB59B6">
        <w:t>Order No. 679</w:t>
      </w:r>
      <w:r w:rsidRPr="00C61B04" w:rsidR="00AB59B6">
        <w:t>.</w:t>
      </w:r>
      <w:r w:rsidR="00AB59B6">
        <w:rPr>
          <w:rStyle w:val="FootnoteReference"/>
        </w:rPr>
        <w:footnoteReference w:id="2"/>
      </w:r>
      <w:r w:rsidRPr="00C61B04">
        <w:t xml:space="preserve"> </w:t>
      </w:r>
      <w:r w:rsidR="00C26468">
        <w:t xml:space="preserve"> </w:t>
      </w:r>
      <w:r w:rsidRPr="00C61B04">
        <w:t>This form must be filed on an annual basis by public utilities that have been granted incentive rate treatment for transmission projects.</w:t>
      </w:r>
      <w:r w:rsidRPr="00C61B04">
        <w:rPr>
          <w:vertAlign w:val="superscript"/>
        </w:rPr>
        <w:footnoteReference w:id="3"/>
      </w:r>
      <w:r w:rsidRPr="00C61B04">
        <w:t xml:space="preserve"> </w:t>
      </w:r>
      <w:r w:rsidR="00C26468">
        <w:t xml:space="preserve"> </w:t>
      </w:r>
      <w:r w:rsidR="001D0AF4">
        <w:t xml:space="preserve">This </w:t>
      </w:r>
      <w:r w:rsidR="0000502C">
        <w:t>i</w:t>
      </w:r>
      <w:r w:rsidR="001D0AF4">
        <w:t xml:space="preserve">nstant </w:t>
      </w:r>
      <w:r w:rsidR="00932DA8">
        <w:t>f</w:t>
      </w:r>
      <w:r w:rsidR="001D0AF4">
        <w:t xml:space="preserve">inal </w:t>
      </w:r>
      <w:r w:rsidR="00932DA8">
        <w:t>r</w:t>
      </w:r>
      <w:r w:rsidR="001D0AF4">
        <w:t>ule does not amend or modify the</w:t>
      </w:r>
      <w:r w:rsidR="00BC5787">
        <w:t xml:space="preserve"> text of the</w:t>
      </w:r>
      <w:r w:rsidR="001D0AF4">
        <w:t xml:space="preserve"> Code of Federal Regulations</w:t>
      </w:r>
      <w:r w:rsidR="00AB59B6">
        <w:t xml:space="preserve"> nor does it amend or modify the information collected by the form</w:t>
      </w:r>
      <w:r w:rsidR="001D0AF4">
        <w:t>.</w:t>
      </w:r>
      <w:r w:rsidR="00CF63E8">
        <w:t xml:space="preserve">  </w:t>
      </w:r>
      <w:r>
        <w:t xml:space="preserve">This </w:t>
      </w:r>
      <w:r w:rsidR="0000502C">
        <w:t>i</w:t>
      </w:r>
      <w:r>
        <w:t xml:space="preserve">nstant </w:t>
      </w:r>
      <w:r w:rsidR="00AB59B6">
        <w:t>f</w:t>
      </w:r>
      <w:r>
        <w:t xml:space="preserve">inal </w:t>
      </w:r>
      <w:r w:rsidR="00AB59B6">
        <w:t>r</w:t>
      </w:r>
      <w:r>
        <w:t xml:space="preserve">ule imposes no new </w:t>
      </w:r>
      <w:r w:rsidR="00AB59B6">
        <w:t xml:space="preserve">reporting or other </w:t>
      </w:r>
      <w:r>
        <w:t xml:space="preserve">obligations on </w:t>
      </w:r>
      <w:r w:rsidR="00AB59B6">
        <w:t>public</w:t>
      </w:r>
      <w:r w:rsidR="009C637B">
        <w:t xml:space="preserve"> utilities or </w:t>
      </w:r>
      <w:r w:rsidR="00AB59B6">
        <w:t xml:space="preserve">on </w:t>
      </w:r>
      <w:r w:rsidR="009C637B">
        <w:t>the</w:t>
      </w:r>
      <w:r>
        <w:t xml:space="preserve"> public.</w:t>
      </w:r>
      <w:r w:rsidR="00AB59B6">
        <w:t xml:space="preserve">  Rather</w:t>
      </w:r>
      <w:r w:rsidR="001818BF">
        <w:t>,</w:t>
      </w:r>
      <w:r w:rsidR="00AB59B6">
        <w:t xml:space="preserve"> </w:t>
      </w:r>
      <w:r w:rsidR="00F2657C">
        <w:t>at the request of the Office of Management and Budget</w:t>
      </w:r>
      <w:r w:rsidR="00A023E1">
        <w:t xml:space="preserve"> (OMB)</w:t>
      </w:r>
      <w:r w:rsidR="00F2657C">
        <w:t xml:space="preserve">, </w:t>
      </w:r>
      <w:r w:rsidR="00AB59B6">
        <w:t>this instant final rule</w:t>
      </w:r>
      <w:r w:rsidR="001818BF">
        <w:t xml:space="preserve"> clarifies the instructions to the form</w:t>
      </w:r>
      <w:r w:rsidR="00A023E1">
        <w:t>, as explained below</w:t>
      </w:r>
      <w:r w:rsidR="001818BF">
        <w:t>.</w:t>
      </w:r>
    </w:p>
    <w:p w:rsidR="00134006" w:rsidP="00134006" w:rsidRDefault="00134006" w14:paraId="400A756B" w14:textId="77777777">
      <w:pPr>
        <w:pStyle w:val="Heading1"/>
      </w:pPr>
      <w:r>
        <w:lastRenderedPageBreak/>
        <w:t>Background</w:t>
      </w:r>
    </w:p>
    <w:p w:rsidRPr="00395600" w:rsidR="00247449" w:rsidP="0009423C" w:rsidRDefault="00CC09E4" w14:paraId="6C47601C" w14:textId="45B94541">
      <w:pPr>
        <w:pStyle w:val="FERCparanumber"/>
      </w:pPr>
      <w:r w:rsidRPr="00CC09E4">
        <w:t>On July 20, 2006, the Commission promulgated Order No. 679, which, pursuant to section 219 of the Federal Power Act (FPA),</w:t>
      </w:r>
      <w:r w:rsidRPr="00CC09E4" w:rsidR="009F6713">
        <w:rPr>
          <w:vertAlign w:val="superscript"/>
        </w:rPr>
        <w:footnoteReference w:id="4"/>
      </w:r>
      <w:r w:rsidRPr="00CC09E4">
        <w:t xml:space="preserve"> provide</w:t>
      </w:r>
      <w:r w:rsidR="0000502C">
        <w:t>s</w:t>
      </w:r>
      <w:r w:rsidRPr="00CC09E4">
        <w:t xml:space="preserve"> incentives for transmission infrastructure investment.</w:t>
      </w:r>
      <w:r w:rsidRPr="00CC09E4">
        <w:rPr>
          <w:vertAlign w:val="superscript"/>
        </w:rPr>
        <w:footnoteReference w:id="5"/>
      </w:r>
      <w:r w:rsidRPr="00CC09E4">
        <w:t xml:space="preserve"> </w:t>
      </w:r>
      <w:r w:rsidR="00C26468">
        <w:t xml:space="preserve"> </w:t>
      </w:r>
      <w:r w:rsidRPr="00CC09E4">
        <w:t>The Commission determined that it needed to collect certain data in order to meet the objectives of section 219, thus, the Commission adopted the reporting requirement FERC-730.</w:t>
      </w:r>
      <w:r w:rsidRPr="00CC09E4">
        <w:rPr>
          <w:vertAlign w:val="superscript"/>
        </w:rPr>
        <w:footnoteReference w:id="6"/>
      </w:r>
      <w:r w:rsidRPr="00CC09E4">
        <w:t xml:space="preserve"> </w:t>
      </w:r>
      <w:r w:rsidR="00C26468">
        <w:t xml:space="preserve"> </w:t>
      </w:r>
      <w:r w:rsidRPr="00CC09E4">
        <w:t>The form was included as an appendix to the rule</w:t>
      </w:r>
      <w:r w:rsidRPr="00CC09E4" w:rsidR="00405FF7">
        <w:t>,</w:t>
      </w:r>
      <w:r w:rsidRPr="00BC167D" w:rsidR="008163DF">
        <w:rPr>
          <w:rStyle w:val="FootnoteReference"/>
          <w:b w:val="0"/>
        </w:rPr>
        <w:footnoteReference w:id="7"/>
      </w:r>
      <w:r w:rsidRPr="00CC09E4">
        <w:t xml:space="preserve"> but </w:t>
      </w:r>
      <w:r w:rsidR="00B1666A">
        <w:t xml:space="preserve">the form itself </w:t>
      </w:r>
      <w:r w:rsidRPr="00CC09E4">
        <w:t>was not codified in the Commission’s regulations.</w:t>
      </w:r>
      <w:r w:rsidRPr="00CC09E4">
        <w:rPr>
          <w:vertAlign w:val="superscript"/>
        </w:rPr>
        <w:footnoteReference w:id="8"/>
      </w:r>
      <w:r w:rsidRPr="00CC09E4">
        <w:t xml:space="preserve"> </w:t>
      </w:r>
    </w:p>
    <w:p w:rsidRPr="00395600" w:rsidR="00247449" w:rsidP="00247449" w:rsidRDefault="00247449" w14:paraId="093F1500" w14:textId="77777777">
      <w:pPr>
        <w:pStyle w:val="Heading1"/>
      </w:pPr>
      <w:r w:rsidRPr="00395600">
        <w:t>Discussion</w:t>
      </w:r>
    </w:p>
    <w:p w:rsidR="006836A4" w:rsidP="002B1046" w:rsidRDefault="00B275B3" w14:paraId="75875AE8" w14:textId="38C200FF">
      <w:pPr>
        <w:pStyle w:val="FERCparanumber"/>
      </w:pPr>
      <w:r w:rsidRPr="00B275B3">
        <w:t>The Commission is amending form FERC-730 at the request of OMB</w:t>
      </w:r>
      <w:r w:rsidR="00B1666A">
        <w:t>,</w:t>
      </w:r>
      <w:r w:rsidRPr="001A2567" w:rsidR="001A2567">
        <w:rPr>
          <w:b/>
          <w:vertAlign w:val="superscript"/>
        </w:rPr>
        <w:footnoteReference w:id="9"/>
      </w:r>
      <w:r w:rsidR="00CE63E9">
        <w:t xml:space="preserve"> </w:t>
      </w:r>
      <w:r w:rsidR="00B1666A">
        <w:t>to</w:t>
      </w:r>
      <w:r w:rsidR="00CE63E9">
        <w:t xml:space="preserve"> ensure</w:t>
      </w:r>
      <w:r w:rsidRPr="00B275B3">
        <w:t xml:space="preserve"> </w:t>
      </w:r>
      <w:r w:rsidR="00B1666A">
        <w:t>compliance</w:t>
      </w:r>
      <w:r w:rsidRPr="00B275B3" w:rsidR="00B1666A">
        <w:t xml:space="preserve"> </w:t>
      </w:r>
      <w:r w:rsidRPr="00B275B3">
        <w:t>with the Administrative Procedure Act</w:t>
      </w:r>
      <w:r w:rsidR="00E16C96">
        <w:t xml:space="preserve"> </w:t>
      </w:r>
      <w:r w:rsidR="00CE63E9">
        <w:t>and</w:t>
      </w:r>
      <w:r w:rsidRPr="00B275B3">
        <w:t xml:space="preserve"> the Paperwork Reduction Act</w:t>
      </w:r>
      <w:r w:rsidR="00757078">
        <w:t xml:space="preserve"> of 1995</w:t>
      </w:r>
      <w:r w:rsidR="00B9442E">
        <w:t xml:space="preserve"> (PRA)</w:t>
      </w:r>
      <w:r w:rsidRPr="00B275B3">
        <w:t>.</w:t>
      </w:r>
      <w:r w:rsidR="00564780">
        <w:rPr>
          <w:rStyle w:val="FootnoteReference"/>
        </w:rPr>
        <w:footnoteReference w:id="10"/>
      </w:r>
      <w:r w:rsidRPr="00B275B3">
        <w:t xml:space="preserve"> </w:t>
      </w:r>
      <w:r w:rsidR="00C26468">
        <w:t xml:space="preserve"> </w:t>
      </w:r>
      <w:r w:rsidR="00B037E0">
        <w:t>Specifically, the Commission is clarifying the filing instructions.</w:t>
      </w:r>
      <w:r w:rsidR="00CF63E8">
        <w:t xml:space="preserve">  </w:t>
      </w:r>
      <w:r w:rsidR="00B037E0">
        <w:t>The Commission is not</w:t>
      </w:r>
      <w:r w:rsidR="00E704AB">
        <w:t xml:space="preserve">, however, </w:t>
      </w:r>
      <w:r w:rsidR="00D91F24">
        <w:t>changing</w:t>
      </w:r>
      <w:r w:rsidR="00E704AB">
        <w:t xml:space="preserve"> the</w:t>
      </w:r>
      <w:r w:rsidR="00D91F24">
        <w:t xml:space="preserve"> data being collected</w:t>
      </w:r>
      <w:r w:rsidR="00E704AB">
        <w:t xml:space="preserve">. </w:t>
      </w:r>
      <w:r w:rsidR="00CB2999">
        <w:t xml:space="preserve">Public utilities </w:t>
      </w:r>
      <w:r w:rsidR="005F0675">
        <w:t xml:space="preserve">subject to filing form FERC-730 </w:t>
      </w:r>
      <w:r w:rsidR="00E704AB">
        <w:t>will not be compelled to file new, additional, or different information.</w:t>
      </w:r>
      <w:r w:rsidR="00E704AB">
        <w:rPr>
          <w:rStyle w:val="FootnoteReference"/>
        </w:rPr>
        <w:footnoteReference w:id="11"/>
      </w:r>
      <w:r w:rsidR="002B1046">
        <w:t xml:space="preserve"> </w:t>
      </w:r>
      <w:r w:rsidR="00CF63E8">
        <w:t xml:space="preserve"> </w:t>
      </w:r>
      <w:r w:rsidR="00144405">
        <w:t xml:space="preserve">The frequency of filing will also remain unchanged. </w:t>
      </w:r>
    </w:p>
    <w:p w:rsidRPr="00395600" w:rsidR="00247449" w:rsidP="002B1046" w:rsidRDefault="00C611E4" w14:paraId="54155A2B" w14:textId="18DAE53B">
      <w:pPr>
        <w:pStyle w:val="FERCparanumber"/>
      </w:pPr>
      <w:r>
        <w:t xml:space="preserve">Examples of changes to the </w:t>
      </w:r>
      <w:r w:rsidR="00CB2999">
        <w:t xml:space="preserve">instructions </w:t>
      </w:r>
      <w:r>
        <w:t xml:space="preserve">include inserting headers, incorporating instructions for eFiling, minor edits to make existing instructions clearer, and </w:t>
      </w:r>
      <w:r w:rsidR="002476C5">
        <w:t>adding</w:t>
      </w:r>
      <w:r>
        <w:t xml:space="preserve"> information about the PRA.</w:t>
      </w:r>
      <w:r w:rsidR="00CF63E8">
        <w:t xml:space="preserve">  </w:t>
      </w:r>
      <w:r>
        <w:t>These changes have no impact on the obligations of filers, but rather serve to improve the form and ensure compliance with federal law.</w:t>
      </w:r>
      <w:r w:rsidR="00CF63E8">
        <w:t xml:space="preserve">  </w:t>
      </w:r>
      <w:r w:rsidR="002B1046">
        <w:t>The revised form FERC-730 is attached to this Order.</w:t>
      </w:r>
      <w:r w:rsidR="00CF63E8">
        <w:t xml:space="preserve">  </w:t>
      </w:r>
      <w:r w:rsidRPr="007755F2" w:rsidR="007755F2">
        <w:t>It will be posted in the Commission’s eLibrary but will not be published in the Federal Register or Code of Federal Regulations.</w:t>
      </w:r>
    </w:p>
    <w:p w:rsidR="00247449" w:rsidP="00247449" w:rsidRDefault="00247449" w14:paraId="5231142A" w14:textId="77777777">
      <w:pPr>
        <w:pStyle w:val="Heading1"/>
      </w:pPr>
      <w:r w:rsidRPr="00395600">
        <w:t>Information Collection Statement</w:t>
      </w:r>
    </w:p>
    <w:p w:rsidRPr="00292754" w:rsidR="00292754" w:rsidP="00454A58" w:rsidRDefault="002B1046" w14:paraId="3FDF625B" w14:textId="72D80ABB">
      <w:pPr>
        <w:pStyle w:val="FERCparanumber"/>
      </w:pPr>
      <w:r>
        <w:t>OMB</w:t>
      </w:r>
      <w:r w:rsidR="00CB2999">
        <w:t>’s</w:t>
      </w:r>
      <w:r w:rsidRPr="002B1046">
        <w:t xml:space="preserve"> regulations require approval of certain information collection requirements imposed by agency rules</w:t>
      </w:r>
      <w:r>
        <w:t>.</w:t>
      </w:r>
      <w:r>
        <w:rPr>
          <w:rStyle w:val="FootnoteReference"/>
        </w:rPr>
        <w:footnoteReference w:id="12"/>
      </w:r>
      <w:r w:rsidRPr="002B1046">
        <w:t xml:space="preserve"> </w:t>
      </w:r>
      <w:r w:rsidR="00CF63E8">
        <w:t xml:space="preserve"> </w:t>
      </w:r>
      <w:r w:rsidRPr="00B9442E" w:rsidR="00B9442E">
        <w:t xml:space="preserve">OMB </w:t>
      </w:r>
      <w:r w:rsidR="00CB2999">
        <w:t>has previously</w:t>
      </w:r>
      <w:r w:rsidRPr="00B9442E" w:rsidR="00B9442E">
        <w:t xml:space="preserve"> assign</w:t>
      </w:r>
      <w:r w:rsidR="00CB2999">
        <w:t>ed this information collection</w:t>
      </w:r>
      <w:r w:rsidRPr="00B9442E" w:rsidR="00B9442E">
        <w:t xml:space="preserve"> OMB </w:t>
      </w:r>
      <w:r w:rsidR="007755F2">
        <w:t>C</w:t>
      </w:r>
      <w:r w:rsidRPr="00B9442E" w:rsidR="00B9442E">
        <w:t xml:space="preserve">ontrol </w:t>
      </w:r>
      <w:r w:rsidR="007755F2">
        <w:t>N</w:t>
      </w:r>
      <w:r w:rsidRPr="00B9442E" w:rsidR="00B9442E">
        <w:t xml:space="preserve">umber </w:t>
      </w:r>
      <w:r w:rsidR="007755F2">
        <w:t>1902-0239</w:t>
      </w:r>
      <w:r w:rsidRPr="00B9442E" w:rsidR="00B9442E">
        <w:t>.</w:t>
      </w:r>
      <w:r w:rsidR="00CF63E8">
        <w:t xml:space="preserve">  </w:t>
      </w:r>
      <w:r w:rsidR="007755F2">
        <w:t xml:space="preserve">The clarifications to the instructions in this order will be submitted to OMB to supplement the pending review and request for approval. </w:t>
      </w:r>
      <w:r w:rsidRPr="00B9442E" w:rsidR="00B9442E">
        <w:t xml:space="preserve">Respondents subject to the filing requirements of this rule will not be penalized for failing to respond to </w:t>
      </w:r>
      <w:r w:rsidR="007755F2">
        <w:t>this</w:t>
      </w:r>
      <w:r w:rsidRPr="00B9442E" w:rsidR="007755F2">
        <w:t xml:space="preserve"> </w:t>
      </w:r>
      <w:r w:rsidRPr="00B9442E" w:rsidR="00B9442E">
        <w:t>collection of information unless the collection of information display</w:t>
      </w:r>
      <w:r w:rsidR="007755F2">
        <w:t>s</w:t>
      </w:r>
      <w:r w:rsidRPr="00B9442E" w:rsidR="00B9442E">
        <w:t xml:space="preserve"> a valid OMB control number.</w:t>
      </w:r>
      <w:r w:rsidR="00CF63E8">
        <w:t xml:space="preserve">  </w:t>
      </w:r>
      <w:r w:rsidRPr="00B9442E" w:rsidR="00B9442E">
        <w:object w:dxaOrig="225" w:dyaOrig="225" w14:anchorId="5C78AE5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0" style="width:1in;height:18pt" o:ole="" type="#_x0000_t75">
            <v:imagedata o:title="" r:id="rId18"/>
          </v:shape>
          <w:control w:name="DefaultOcxName1" w:shapeid="_x0000_i1030" r:id="rId19"/>
        </w:object>
      </w:r>
      <w:r w:rsidRPr="00B9442E" w:rsidR="00B9442E">
        <w:t>Interested persons may obtain information on the reporting requirements by contacting:</w:t>
      </w:r>
      <w:r w:rsidR="00CF63E8">
        <w:t xml:space="preserve">  </w:t>
      </w:r>
      <w:r w:rsidRPr="00B9442E" w:rsidR="00B9442E">
        <w:t xml:space="preserve">Federal Energy Regulatory Commission, 888 First Street, NE, Washington, DC 20426 </w:t>
      </w:r>
      <w:r w:rsidRPr="0031076B" w:rsidR="00B9442E">
        <w:t>[Attention:</w:t>
      </w:r>
      <w:r w:rsidRPr="0031076B" w:rsidR="0031076B">
        <w:t xml:space="preserve"> </w:t>
      </w:r>
      <w:r w:rsidRPr="0031076B" w:rsidR="00CB2999">
        <w:t>Ellen Brown</w:t>
      </w:r>
      <w:r w:rsidRPr="0031076B" w:rsidR="00B9442E">
        <w:t>, Office of the Executive Director, Phone: (202) 502-8</w:t>
      </w:r>
      <w:r w:rsidRPr="0031076B" w:rsidR="0031076B">
        <w:t>663</w:t>
      </w:r>
      <w:r w:rsidRPr="0031076B" w:rsidR="00B9442E">
        <w:t>, e-mail:</w:t>
      </w:r>
      <w:r w:rsidR="00CF63E8">
        <w:t xml:space="preserve">  </w:t>
      </w:r>
      <w:hyperlink w:history="1" r:id="rId20">
        <w:r w:rsidRPr="00307FCA" w:rsidR="00CF63E8">
          <w:rPr>
            <w:rStyle w:val="Hyperlink"/>
          </w:rPr>
          <w:t>ellen.brown@ferc.gov</w:t>
        </w:r>
      </w:hyperlink>
      <w:r w:rsidRPr="0031076B" w:rsidR="000F1198">
        <w:rPr>
          <w:u w:val="single"/>
        </w:rPr>
        <w:t>].</w:t>
      </w:r>
    </w:p>
    <w:p w:rsidRPr="00A972FF" w:rsidR="00247449" w:rsidP="00454A58" w:rsidRDefault="00292754" w14:paraId="77CD0164" w14:textId="18DB188D">
      <w:pPr>
        <w:pStyle w:val="FERCparanumber"/>
      </w:pPr>
      <w:r>
        <w:t xml:space="preserve">This instant </w:t>
      </w:r>
      <w:r w:rsidR="00CB2999">
        <w:t>f</w:t>
      </w:r>
      <w:r>
        <w:t xml:space="preserve">inal </w:t>
      </w:r>
      <w:r w:rsidR="0031076B">
        <w:t>r</w:t>
      </w:r>
      <w:r>
        <w:t>ule results in no new</w:t>
      </w:r>
      <w:r w:rsidR="00B1666A">
        <w:t>,</w:t>
      </w:r>
      <w:r>
        <w:t xml:space="preserve"> </w:t>
      </w:r>
      <w:r w:rsidR="00B1666A">
        <w:t>additional, or different</w:t>
      </w:r>
      <w:r w:rsidR="007755F2">
        <w:t xml:space="preserve"> </w:t>
      </w:r>
      <w:r>
        <w:t xml:space="preserve">public reporting burden. The public reporting burden will be the same as </w:t>
      </w:r>
      <w:r w:rsidR="00EE606B">
        <w:t xml:space="preserve">originally determined </w:t>
      </w:r>
      <w:r w:rsidR="00144405">
        <w:t xml:space="preserve">and discussed </w:t>
      </w:r>
      <w:r w:rsidR="00EE606B">
        <w:t xml:space="preserve">in </w:t>
      </w:r>
      <w:r w:rsidRPr="00CC09E4" w:rsidR="00EE606B">
        <w:t>Order No. 679</w:t>
      </w:r>
      <w:r w:rsidR="00EE606B">
        <w:t>.</w:t>
      </w:r>
      <w:r w:rsidR="00EE606B">
        <w:rPr>
          <w:rStyle w:val="FootnoteReference"/>
        </w:rPr>
        <w:footnoteReference w:id="13"/>
      </w:r>
      <w:bookmarkStart w:name="_Hlk33631953" w:id="3"/>
      <w:r w:rsidR="00CF63E8">
        <w:t xml:space="preserve">  </w:t>
      </w:r>
      <w:r w:rsidR="005F0675">
        <w:t xml:space="preserve">This instant </w:t>
      </w:r>
      <w:r w:rsidR="00DA4052">
        <w:t>f</w:t>
      </w:r>
      <w:r w:rsidR="005F0675">
        <w:t xml:space="preserve">inal </w:t>
      </w:r>
      <w:r w:rsidR="00DA4052">
        <w:t>r</w:t>
      </w:r>
      <w:r w:rsidR="005F0675">
        <w:t xml:space="preserve">ule does not require </w:t>
      </w:r>
      <w:r w:rsidR="00DA4052">
        <w:t>public utilities</w:t>
      </w:r>
      <w:r w:rsidR="005F0675">
        <w:t xml:space="preserve"> to file new, additional, or different information</w:t>
      </w:r>
      <w:r w:rsidR="0064193A">
        <w:t xml:space="preserve">, and it does not change the frequency with which </w:t>
      </w:r>
      <w:r w:rsidR="00DA4052">
        <w:t>they</w:t>
      </w:r>
      <w:r w:rsidR="0064193A">
        <w:t xml:space="preserve"> must file.</w:t>
      </w:r>
      <w:bookmarkEnd w:id="3"/>
      <w:r w:rsidRPr="002B1046" w:rsidR="002B1046">
        <w:object w:dxaOrig="225" w:dyaOrig="225" w14:anchorId="1CC571DD">
          <v:shape id="_x0000_i1033" style="width:1in;height:18pt" o:ole="" type="#_x0000_t75">
            <v:imagedata o:title="" r:id="rId18"/>
          </v:shape>
          <w:control w:name="DefaultOcxName" w:shapeid="_x0000_i1033" r:id="rId21"/>
        </w:object>
      </w:r>
    </w:p>
    <w:p w:rsidRPr="00395600" w:rsidR="00247449" w:rsidP="00247449" w:rsidRDefault="00247449" w14:paraId="0EBB4C59" w14:textId="77777777">
      <w:pPr>
        <w:pStyle w:val="Heading1"/>
      </w:pPr>
      <w:r w:rsidRPr="00395600">
        <w:t>Environmental Analysis</w:t>
      </w:r>
    </w:p>
    <w:p w:rsidR="00C61B04" w:rsidP="00C61B04" w:rsidRDefault="00247449" w14:paraId="426C9EEA" w14:textId="65EDCCD5">
      <w:pPr>
        <w:pStyle w:val="FERCparanumber"/>
      </w:pPr>
      <w:r w:rsidRPr="00395600">
        <w:t>The Commission is required to prepare an Environmental Assessment or an Environmental Impact Statement for any action that may have a significant adverse effect on the human environment.</w:t>
      </w:r>
      <w:r w:rsidRPr="00247449">
        <w:rPr>
          <w:rStyle w:val="FootnoteReference"/>
        </w:rPr>
        <w:footnoteReference w:id="14"/>
      </w:r>
      <w:r w:rsidRPr="00395600">
        <w:t xml:space="preserve"> </w:t>
      </w:r>
      <w:r w:rsidR="00CF63E8">
        <w:t xml:space="preserve"> </w:t>
      </w:r>
      <w:r w:rsidRPr="0044002E" w:rsidR="0044002E">
        <w:t xml:space="preserve">Issuance of this </w:t>
      </w:r>
      <w:r w:rsidR="00DA4052">
        <w:t>f</w:t>
      </w:r>
      <w:r w:rsidRPr="0044002E" w:rsidR="0044002E">
        <w:t xml:space="preserve">inal </w:t>
      </w:r>
      <w:r w:rsidR="00DA4052">
        <w:t>r</w:t>
      </w:r>
      <w:r w:rsidRPr="0044002E" w:rsidR="0044002E">
        <w:t xml:space="preserve">ule does not represent a major federal action having a significant adverse effect on the human environment under the Commission’s regulations implementing the National Environmental Policy Act of 1969. Part 380 of the Commission’s regulations lists exemptions to the requirement to draft an Environmental Analysis or Environmental Impact Statement. </w:t>
      </w:r>
      <w:r w:rsidR="00CF63E8">
        <w:t xml:space="preserve"> </w:t>
      </w:r>
      <w:r w:rsidRPr="0044002E" w:rsidR="0044002E">
        <w:t xml:space="preserve">Included is an exemption for </w:t>
      </w:r>
      <w:r w:rsidRPr="001B0072" w:rsidR="001B0072">
        <w:t>rules that are clarifying, corrective, or procedural or that do not substantially change the effect of the regulations being amended</w:t>
      </w:r>
      <w:bookmarkStart w:name="co_fnRef_FN_F9_ID0EKGAC_1" w:id="4"/>
      <w:bookmarkEnd w:id="4"/>
      <w:r w:rsidR="001B0072">
        <w:t>.</w:t>
      </w:r>
      <w:r w:rsidR="00EA0691">
        <w:rPr>
          <w:rStyle w:val="FootnoteReference"/>
        </w:rPr>
        <w:footnoteReference w:id="15"/>
      </w:r>
      <w:r w:rsidRPr="0044002E" w:rsidR="0044002E">
        <w:t xml:space="preserve"> </w:t>
      </w:r>
      <w:r w:rsidR="005F031C">
        <w:t xml:space="preserve"> </w:t>
      </w:r>
      <w:r w:rsidRPr="0044002E" w:rsidR="0044002E">
        <w:t>This rulemaking is exempt under that provision.</w:t>
      </w:r>
    </w:p>
    <w:p w:rsidRPr="00395600" w:rsidR="00C61B04" w:rsidP="00C61B04" w:rsidRDefault="00C61B04" w14:paraId="5C1953C5" w14:textId="77777777">
      <w:pPr>
        <w:pStyle w:val="Heading1"/>
      </w:pPr>
      <w:r>
        <w:t>Regulatory Flexibility Act</w:t>
      </w:r>
    </w:p>
    <w:p w:rsidRPr="00395600" w:rsidR="00247449" w:rsidP="007F2E16" w:rsidRDefault="00247449" w14:paraId="52AF8176" w14:textId="00A393F3">
      <w:pPr>
        <w:pStyle w:val="FERCparanumber"/>
      </w:pPr>
      <w:r w:rsidRPr="00395600">
        <w:t>The Regulatory Flexibilit</w:t>
      </w:r>
      <w:r w:rsidRPr="00550FF9">
        <w:rPr>
          <w:rStyle w:val="FERCparanumberChar"/>
        </w:rPr>
        <w:t>y</w:t>
      </w:r>
      <w:r w:rsidRPr="00395600">
        <w:t xml:space="preserve"> Act of 1980 (RFA)</w:t>
      </w:r>
      <w:r w:rsidRPr="00247449">
        <w:rPr>
          <w:rStyle w:val="FootnoteReference"/>
        </w:rPr>
        <w:footnoteReference w:id="16"/>
      </w:r>
      <w:r w:rsidRPr="00395600">
        <w:t xml:space="preserve"> generally requires a description and analysis of final rules that will have significant economic impact on a substantial number of small entities</w:t>
      </w:r>
      <w:r w:rsidR="007F2E16">
        <w:t xml:space="preserve">. </w:t>
      </w:r>
      <w:r w:rsidR="005F031C">
        <w:t xml:space="preserve"> </w:t>
      </w:r>
      <w:r w:rsidRPr="007F2E16" w:rsidR="007F2E16">
        <w:t xml:space="preserve">This </w:t>
      </w:r>
      <w:r w:rsidR="0000502C">
        <w:t>i</w:t>
      </w:r>
      <w:r w:rsidRPr="007F2E16" w:rsidR="007F2E16">
        <w:t xml:space="preserve">nstant </w:t>
      </w:r>
      <w:r w:rsidR="00DA4052">
        <w:t>f</w:t>
      </w:r>
      <w:r w:rsidRPr="007F2E16" w:rsidR="007F2E16">
        <w:t xml:space="preserve">inal </w:t>
      </w:r>
      <w:r w:rsidR="00DA4052">
        <w:t>r</w:t>
      </w:r>
      <w:r w:rsidRPr="007F2E16" w:rsidR="007F2E16">
        <w:t xml:space="preserve">ule </w:t>
      </w:r>
      <w:r w:rsidR="001B0072">
        <w:t xml:space="preserve">clarifies the </w:t>
      </w:r>
      <w:r w:rsidR="00DA4052">
        <w:t>instructions</w:t>
      </w:r>
      <w:r w:rsidR="001B0072">
        <w:t xml:space="preserve"> of form</w:t>
      </w:r>
      <w:r w:rsidR="007F2E16">
        <w:t xml:space="preserve"> </w:t>
      </w:r>
      <w:r w:rsidR="005F031C">
        <w:t xml:space="preserve">     </w:t>
      </w:r>
      <w:r w:rsidR="007F2E16">
        <w:t>FERC-730, without creating any additional requirements for filers</w:t>
      </w:r>
      <w:r w:rsidRPr="007F2E16" w:rsidR="007F2E16">
        <w:t xml:space="preserve">. </w:t>
      </w:r>
      <w:r w:rsidR="005F031C">
        <w:t xml:space="preserve"> </w:t>
      </w:r>
      <w:r w:rsidRPr="007F2E16" w:rsidR="007F2E16">
        <w:t xml:space="preserve">The Commission certifies that it will not have a significant economic impact upon participants in Commission proceedings. </w:t>
      </w:r>
      <w:r w:rsidR="005F031C">
        <w:t xml:space="preserve"> </w:t>
      </w:r>
      <w:r w:rsidRPr="007F2E16" w:rsidR="007F2E16">
        <w:t xml:space="preserve">An analysis under the RFA is </w:t>
      </w:r>
      <w:r w:rsidR="00DA4052">
        <w:t xml:space="preserve">therefore </w:t>
      </w:r>
      <w:r w:rsidRPr="007F2E16" w:rsidR="007F2E16">
        <w:t>not required.</w:t>
      </w:r>
    </w:p>
    <w:p w:rsidRPr="00395600" w:rsidR="00247449" w:rsidP="00247449" w:rsidRDefault="00247449" w14:paraId="32065DFD" w14:textId="77777777">
      <w:pPr>
        <w:pStyle w:val="Heading1"/>
      </w:pPr>
      <w:r w:rsidRPr="00395600">
        <w:t xml:space="preserve">Document </w:t>
      </w:r>
      <w:r w:rsidRPr="00550FF9">
        <w:t>Availability</w:t>
      </w:r>
    </w:p>
    <w:p w:rsidRPr="00395600" w:rsidR="00247449" w:rsidP="00454A58" w:rsidRDefault="00247449" w14:paraId="39508FBF" w14:textId="713FEFEA">
      <w:pPr>
        <w:pStyle w:val="FERCparanumber"/>
      </w:pPr>
      <w:r w:rsidRPr="00395600">
        <w:t xml:space="preserve">In addition to publishing the </w:t>
      </w:r>
      <w:r w:rsidR="00B1666A">
        <w:t>instant final rule without the form itself</w:t>
      </w:r>
      <w:r w:rsidRPr="007755F2" w:rsidR="007755F2">
        <w:t xml:space="preserve"> in the Federal Register</w:t>
      </w:r>
      <w:r w:rsidRPr="00395600">
        <w:t xml:space="preserve">, the Commission provides all interested persons an opportunity to view and/or print the contents of this document via the Internet through </w:t>
      </w:r>
      <w:r w:rsidR="00DA4052">
        <w:t>the Commission’s</w:t>
      </w:r>
      <w:r w:rsidRPr="00395600">
        <w:t xml:space="preserve"> Home Page (</w:t>
      </w:r>
      <w:hyperlink w:history="1" r:id="rId22">
        <w:r w:rsidRPr="00395600">
          <w:rPr>
            <w:rStyle w:val="Hyperlink"/>
          </w:rPr>
          <w:t>http://www.ferc.gov</w:t>
        </w:r>
      </w:hyperlink>
      <w:r w:rsidRPr="00395600">
        <w:t xml:space="preserve">) and in </w:t>
      </w:r>
      <w:r w:rsidR="00DA4052">
        <w:t>Commission’s</w:t>
      </w:r>
      <w:r w:rsidRPr="00395600">
        <w:t xml:space="preserve"> Public Reference Room during normal business hours (8:30 a.m. to 5:00 p.m. Eastern time) at 888 First Street, NE, Room 2A, Washington</w:t>
      </w:r>
      <w:r w:rsidR="005F031C">
        <w:t>,</w:t>
      </w:r>
      <w:r w:rsidRPr="00395600">
        <w:t xml:space="preserve"> DC 20426.</w:t>
      </w:r>
    </w:p>
    <w:p w:rsidRPr="00395600" w:rsidR="00247449" w:rsidP="00454A58" w:rsidRDefault="00247449" w14:paraId="62A76E3F" w14:textId="26BDEA4B">
      <w:pPr>
        <w:pStyle w:val="FERCparanumber"/>
      </w:pPr>
      <w:r w:rsidRPr="00395600">
        <w:t xml:space="preserve">From </w:t>
      </w:r>
      <w:r w:rsidR="00DA4052">
        <w:t>the Commission’s</w:t>
      </w:r>
      <w:r w:rsidRPr="00395600">
        <w:t xml:space="preserve"> Home Page on the Internet, this information is available on eLibrary.</w:t>
      </w:r>
      <w:r w:rsidR="005F031C">
        <w:t xml:space="preserve">  </w:t>
      </w:r>
      <w:r w:rsidRPr="00395600">
        <w:t xml:space="preserve">The full text of this document is available on eLibrary in PDF and Microsoft Word format for viewing, printing, and/or downloading. </w:t>
      </w:r>
      <w:r w:rsidR="005F031C">
        <w:t xml:space="preserve"> </w:t>
      </w:r>
      <w:r w:rsidRPr="00395600">
        <w:t>To access this document in eLibrary, type the docket number excluding the last three digits of this document in the docket number field.</w:t>
      </w:r>
    </w:p>
    <w:p w:rsidRPr="00395600" w:rsidR="00247449" w:rsidP="00454A58" w:rsidRDefault="00247449" w14:paraId="4C3D5B40" w14:textId="389AF459">
      <w:pPr>
        <w:pStyle w:val="FERCparanumber"/>
      </w:pPr>
      <w:r w:rsidRPr="00395600">
        <w:t xml:space="preserve">User assistance is available for eLibrary and the </w:t>
      </w:r>
      <w:r w:rsidR="00DA4052">
        <w:t>Commission’s</w:t>
      </w:r>
      <w:r w:rsidRPr="00395600" w:rsidR="00DA4052">
        <w:t xml:space="preserve"> </w:t>
      </w:r>
      <w:r w:rsidRPr="00395600">
        <w:t xml:space="preserve">website during normal business hours from FERC Online Support at </w:t>
      </w:r>
      <w:r w:rsidR="005F031C">
        <w:t>(</w:t>
      </w:r>
      <w:r w:rsidRPr="00395600">
        <w:t>202</w:t>
      </w:r>
      <w:r w:rsidR="005F031C">
        <w:t xml:space="preserve">) </w:t>
      </w:r>
      <w:r w:rsidRPr="00395600">
        <w:t xml:space="preserve">502-6652 (toll free at 1-866-208-3676) or email at </w:t>
      </w:r>
      <w:hyperlink w:history="1" r:id="rId23">
        <w:r w:rsidRPr="00395600">
          <w:rPr>
            <w:rStyle w:val="Hyperlink"/>
          </w:rPr>
          <w:t>ferconlinesupport@ferc.gov</w:t>
        </w:r>
      </w:hyperlink>
      <w:r w:rsidRPr="00395600">
        <w:t xml:space="preserve">, or the Public Reference Room at (202) 502-8371, TTY (202)502-8659.  E-mail the Public Reference Room at </w:t>
      </w:r>
      <w:hyperlink w:history="1" r:id="rId24">
        <w:r w:rsidRPr="00395600">
          <w:rPr>
            <w:rStyle w:val="Hyperlink"/>
          </w:rPr>
          <w:t>public.referenceroom@ferc.gov</w:t>
        </w:r>
      </w:hyperlink>
      <w:r w:rsidRPr="00395600">
        <w:t>.</w:t>
      </w:r>
    </w:p>
    <w:p w:rsidRPr="00395600" w:rsidR="00247449" w:rsidP="00247449" w:rsidRDefault="00247449" w14:paraId="68E28375" w14:textId="77777777">
      <w:pPr>
        <w:pStyle w:val="Heading1"/>
      </w:pPr>
      <w:r w:rsidRPr="00395600">
        <w:t>Effective Date and Congressional Notification</w:t>
      </w:r>
    </w:p>
    <w:p w:rsidR="006907CD" w:rsidP="00454A58" w:rsidRDefault="006907CD" w14:paraId="54DA1E35" w14:textId="1FAB200E">
      <w:pPr>
        <w:pStyle w:val="FERCparanumber"/>
      </w:pPr>
      <w:r w:rsidRPr="006907CD">
        <w:t>The Commission is issuing this rule as a</w:t>
      </w:r>
      <w:r w:rsidR="001F6170">
        <w:t>n instant</w:t>
      </w:r>
      <w:r w:rsidRPr="006907CD">
        <w:t xml:space="preserve"> </w:t>
      </w:r>
      <w:r w:rsidR="00DA4052">
        <w:t>f</w:t>
      </w:r>
      <w:r w:rsidR="001F6170">
        <w:t xml:space="preserve">inal </w:t>
      </w:r>
      <w:r w:rsidR="00DA4052">
        <w:t>r</w:t>
      </w:r>
      <w:r w:rsidR="001F6170">
        <w:t>ule</w:t>
      </w:r>
      <w:r w:rsidRPr="006907CD">
        <w:t xml:space="preserve"> without a period for public comment. </w:t>
      </w:r>
      <w:r w:rsidR="005F031C">
        <w:t xml:space="preserve"> </w:t>
      </w:r>
      <w:r w:rsidRPr="006907CD">
        <w:t>Under 5 U.S.C. 553(b)(3), notice and comment procedures are unnecessary</w:t>
      </w:r>
      <w:r w:rsidR="006F2B7E">
        <w:t xml:space="preserve"> </w:t>
      </w:r>
      <w:r w:rsidR="00DA4052">
        <w:t xml:space="preserve">when the agency finds that notice and public procedure are </w:t>
      </w:r>
      <w:r w:rsidR="00A243C9">
        <w:t>impracticable</w:t>
      </w:r>
      <w:r w:rsidR="00DA4052">
        <w:t>, unnecessary, or contrary t</w:t>
      </w:r>
      <w:r w:rsidR="006F2B7E">
        <w:t>o</w:t>
      </w:r>
      <w:r w:rsidR="00DA4052">
        <w:t xml:space="preserve"> the public interest. </w:t>
      </w:r>
      <w:r w:rsidR="005F031C">
        <w:t xml:space="preserve"> </w:t>
      </w:r>
      <w:r w:rsidRPr="006907CD">
        <w:t xml:space="preserve">This </w:t>
      </w:r>
      <w:r w:rsidR="00C12996">
        <w:t xml:space="preserve">instant </w:t>
      </w:r>
      <w:r w:rsidR="00DA4052">
        <w:t>f</w:t>
      </w:r>
      <w:r w:rsidR="00C12996">
        <w:t xml:space="preserve">inal </w:t>
      </w:r>
      <w:r w:rsidR="006F2B7E">
        <w:t>r</w:t>
      </w:r>
      <w:r w:rsidRPr="006907CD">
        <w:t xml:space="preserve">ule is such a rule, </w:t>
      </w:r>
      <w:r w:rsidR="00DA4052">
        <w:t xml:space="preserve">as it merely clarifies the instructions </w:t>
      </w:r>
      <w:r w:rsidR="0055307B">
        <w:t xml:space="preserve">of </w:t>
      </w:r>
      <w:r w:rsidR="00C12996">
        <w:t xml:space="preserve">form FERC-730 </w:t>
      </w:r>
      <w:r w:rsidR="006D3F2C">
        <w:t>to ensure that they are</w:t>
      </w:r>
      <w:r w:rsidR="00721419">
        <w:t xml:space="preserve"> unambiguous and </w:t>
      </w:r>
      <w:r w:rsidR="0055307B">
        <w:t>compl</w:t>
      </w:r>
      <w:r w:rsidR="006D3F2C">
        <w:t>y</w:t>
      </w:r>
      <w:r w:rsidR="00C12996">
        <w:t xml:space="preserve"> with </w:t>
      </w:r>
      <w:r w:rsidR="00E84040">
        <w:t>relevant federal</w:t>
      </w:r>
      <w:r w:rsidR="00C12996">
        <w:t xml:space="preserve"> law. </w:t>
      </w:r>
      <w:r w:rsidR="005F031C">
        <w:t xml:space="preserve"> </w:t>
      </w:r>
      <w:r w:rsidR="006E389C">
        <w:t xml:space="preserve">This instant final rule does not require public utilities to file new, additional, or different information, and it does not change the frequency with which they must file. </w:t>
      </w:r>
      <w:r w:rsidR="005F031C">
        <w:t xml:space="preserve"> </w:t>
      </w:r>
      <w:r w:rsidR="00C12996">
        <w:t xml:space="preserve">This instant </w:t>
      </w:r>
      <w:r w:rsidR="006D3F2C">
        <w:t>f</w:t>
      </w:r>
      <w:r w:rsidR="00C12996">
        <w:t xml:space="preserve">inal </w:t>
      </w:r>
      <w:r w:rsidR="006D3F2C">
        <w:t>r</w:t>
      </w:r>
      <w:r w:rsidR="00C12996">
        <w:t>ule does not</w:t>
      </w:r>
      <w:r w:rsidRPr="006907CD">
        <w:t xml:space="preserve"> </w:t>
      </w:r>
      <w:r w:rsidR="00C12996">
        <w:t>render a</w:t>
      </w:r>
      <w:r w:rsidRPr="006907CD">
        <w:t xml:space="preserve"> determination </w:t>
      </w:r>
      <w:r w:rsidR="006D3F2C">
        <w:t>concerning</w:t>
      </w:r>
      <w:r w:rsidRPr="006907CD">
        <w:t xml:space="preserve"> the rights or interests of affected parties</w:t>
      </w:r>
      <w:r w:rsidR="006D3F2C">
        <w:t xml:space="preserve">, and </w:t>
      </w:r>
      <w:r w:rsidR="006E389C">
        <w:t xml:space="preserve">it </w:t>
      </w:r>
      <w:r w:rsidRPr="006907CD">
        <w:t xml:space="preserve">will not significantly affect </w:t>
      </w:r>
      <w:r w:rsidR="006D3F2C">
        <w:t>public utilities</w:t>
      </w:r>
      <w:r w:rsidRPr="006907CD">
        <w:t xml:space="preserve"> or the general public.</w:t>
      </w:r>
    </w:p>
    <w:p w:rsidRPr="00395600" w:rsidR="005F031C" w:rsidP="002B1046" w:rsidRDefault="00247449" w14:paraId="634CFBA4" w14:textId="241520F8">
      <w:pPr>
        <w:pStyle w:val="FERCparanumber"/>
      </w:pPr>
      <w:r w:rsidRPr="00395600">
        <w:t>These regulations are effective</w:t>
      </w:r>
      <w:r w:rsidR="00312394">
        <w:t xml:space="preserve"> </w:t>
      </w:r>
      <w:r w:rsidRPr="00395600" w:rsidR="00691446">
        <w:rPr>
          <w:b/>
        </w:rPr>
        <w:t>[</w:t>
      </w:r>
      <w:r w:rsidR="00206CB7">
        <w:rPr>
          <w:b/>
        </w:rPr>
        <w:t xml:space="preserve">INSERT DATE 60 days after date </w:t>
      </w:r>
      <w:r w:rsidR="00691446">
        <w:rPr>
          <w:b/>
        </w:rPr>
        <w:t>of</w:t>
      </w:r>
      <w:r w:rsidRPr="00395600" w:rsidR="00691446">
        <w:rPr>
          <w:b/>
        </w:rPr>
        <w:t xml:space="preserve"> publication in the FEDERAL REGISTER]</w:t>
      </w:r>
      <w:r w:rsidRPr="0031076B" w:rsidR="00691446">
        <w:t>.</w:t>
      </w:r>
      <w:r w:rsidR="005F031C">
        <w:t xml:space="preserve">  </w:t>
      </w:r>
      <w:r w:rsidRPr="0060560E" w:rsidR="0060560E">
        <w:t>The Commission requires public utilities that have been granted incentive rate treatment for transmission projects to file a</w:t>
      </w:r>
      <w:r w:rsidR="00EE1D9B">
        <w:t xml:space="preserve">        </w:t>
      </w:r>
      <w:r w:rsidRPr="0060560E" w:rsidR="0060560E">
        <w:t>Form</w:t>
      </w:r>
      <w:r w:rsidR="00EE1D9B">
        <w:t xml:space="preserve"> </w:t>
      </w:r>
      <w:r w:rsidRPr="0060560E" w:rsidR="0060560E">
        <w:t xml:space="preserve">730 by </w:t>
      </w:r>
      <w:r w:rsidR="0060560E">
        <w:t>April 18</w:t>
      </w:r>
      <w:r w:rsidRPr="00B1666A" w:rsidR="0060560E">
        <w:rPr>
          <w:vertAlign w:val="superscript"/>
        </w:rPr>
        <w:t>th</w:t>
      </w:r>
      <w:r w:rsidR="0060560E">
        <w:t xml:space="preserve"> </w:t>
      </w:r>
      <w:r w:rsidRPr="0060560E" w:rsidR="0060560E">
        <w:t>of each year.</w:t>
      </w:r>
      <w:r w:rsidR="0060560E">
        <w:rPr>
          <w:rStyle w:val="FootnoteReference"/>
        </w:rPr>
        <w:footnoteReference w:id="17"/>
      </w:r>
      <w:r w:rsidRPr="0060560E" w:rsidR="0060560E">
        <w:t> </w:t>
      </w:r>
      <w:r w:rsidR="005F031C">
        <w:t xml:space="preserve"> </w:t>
      </w:r>
      <w:r w:rsidRPr="0060560E" w:rsidR="0060560E">
        <w:t xml:space="preserve">The changes adopted in this </w:t>
      </w:r>
      <w:r w:rsidR="003F52BC">
        <w:t>i</w:t>
      </w:r>
      <w:r w:rsidRPr="0060560E" w:rsidR="0060560E">
        <w:t xml:space="preserve">nstant </w:t>
      </w:r>
      <w:r w:rsidR="003F52BC">
        <w:t>f</w:t>
      </w:r>
      <w:r w:rsidRPr="0060560E" w:rsidR="0060560E">
        <w:t xml:space="preserve">inal </w:t>
      </w:r>
      <w:r w:rsidR="003F52BC">
        <w:t>r</w:t>
      </w:r>
      <w:r w:rsidRPr="0060560E" w:rsidR="0060560E">
        <w:t xml:space="preserve">ule will be effective for the filings due </w:t>
      </w:r>
      <w:r w:rsidR="0060560E">
        <w:t>April 18</w:t>
      </w:r>
      <w:r w:rsidRPr="0060560E" w:rsidR="0060560E">
        <w:t>, 2020.</w:t>
      </w:r>
    </w:p>
    <w:p w:rsidRPr="00395600" w:rsidR="00247449" w:rsidP="002B1046" w:rsidRDefault="00247449" w14:paraId="749D0170" w14:textId="77777777">
      <w:r w:rsidRPr="00395600">
        <w:t>By the Commission.</w:t>
      </w:r>
    </w:p>
    <w:p w:rsidRPr="00395600" w:rsidR="00247449" w:rsidP="002B1046" w:rsidRDefault="00247449" w14:paraId="464D2DFB" w14:textId="77777777"/>
    <w:p w:rsidR="00247449" w:rsidP="005F031C" w:rsidRDefault="00247449" w14:paraId="19E9DF9C" w14:textId="2A8BBC2C">
      <w:pPr>
        <w:widowControl/>
      </w:pPr>
      <w:r w:rsidRPr="00395600">
        <w:tab/>
      </w:r>
      <w:r w:rsidRPr="00395600">
        <w:tab/>
      </w:r>
      <w:r w:rsidRPr="00395600">
        <w:tab/>
      </w:r>
      <w:r w:rsidRPr="00395600">
        <w:tab/>
      </w:r>
      <w:r w:rsidRPr="00395600">
        <w:tab/>
      </w:r>
      <w:r w:rsidRPr="00395600">
        <w:tab/>
      </w:r>
    </w:p>
    <w:p w:rsidR="005F031C" w:rsidP="005F031C" w:rsidRDefault="005F031C" w14:paraId="4DBEA5FF" w14:textId="25F30274">
      <w:pPr>
        <w:widowControl/>
      </w:pPr>
    </w:p>
    <w:p w:rsidR="005F031C" w:rsidP="005F031C" w:rsidRDefault="005F031C" w14:paraId="76B1D54F" w14:textId="1F51283E">
      <w:pPr>
        <w:widowControl/>
      </w:pPr>
    </w:p>
    <w:p w:rsidR="005F031C" w:rsidP="005F031C" w:rsidRDefault="005F031C" w14:paraId="0781A5C6" w14:textId="13C148D7">
      <w:pPr>
        <w:widowControl/>
      </w:pPr>
    </w:p>
    <w:p w:rsidRPr="005F031C" w:rsidR="005F031C" w:rsidP="005F031C" w:rsidRDefault="005F031C" w14:paraId="79142483" w14:textId="41E092E0">
      <w:pPr>
        <w:widowControl/>
        <w:ind w:firstLine="2174"/>
        <w:jc w:val="center"/>
      </w:pPr>
      <w:r w:rsidRPr="005F031C">
        <w:t>Kimberly D. Bose,</w:t>
      </w:r>
    </w:p>
    <w:p w:rsidRPr="005F031C" w:rsidR="005F031C" w:rsidP="005F031C" w:rsidRDefault="005F031C" w14:paraId="18616928" w14:textId="5F6F8493">
      <w:pPr>
        <w:widowControl/>
        <w:ind w:firstLine="2174"/>
        <w:jc w:val="center"/>
      </w:pPr>
      <w:r w:rsidRPr="005F031C">
        <w:t>Secretary.</w:t>
      </w:r>
    </w:p>
    <w:p w:rsidRPr="00395600" w:rsidR="005F031C" w:rsidP="005F031C" w:rsidRDefault="005F031C" w14:paraId="1CB75FBD" w14:textId="77777777">
      <w:pPr>
        <w:widowControl/>
      </w:pPr>
    </w:p>
    <w:p w:rsidRPr="00395600" w:rsidR="00247449" w:rsidP="002B1046" w:rsidRDefault="00247449" w14:paraId="3C342CF4" w14:textId="77777777"/>
    <w:p w:rsidR="00247449" w:rsidP="002B1046" w:rsidRDefault="00247449" w14:paraId="38AD58D8" w14:textId="1AD38319">
      <w:pPr>
        <w:spacing w:line="480" w:lineRule="auto"/>
      </w:pPr>
      <w:r w:rsidRPr="00395600">
        <w:tab/>
      </w:r>
    </w:p>
    <w:p w:rsidR="006E389C" w:rsidP="002B1046" w:rsidRDefault="006E389C" w14:paraId="58BAFD7C" w14:textId="189B5A36">
      <w:pPr>
        <w:spacing w:line="480" w:lineRule="auto"/>
      </w:pPr>
    </w:p>
    <w:p w:rsidR="00A278F0" w:rsidP="007755F2" w:rsidRDefault="00A278F0" w14:paraId="5CC81369" w14:textId="77777777">
      <w:pPr>
        <w:spacing w:line="480" w:lineRule="auto"/>
        <w:jc w:val="center"/>
      </w:pPr>
    </w:p>
    <w:p w:rsidR="00A278F0" w:rsidP="007755F2" w:rsidRDefault="00A278F0" w14:paraId="71C49F34" w14:textId="77777777">
      <w:pPr>
        <w:spacing w:line="480" w:lineRule="auto"/>
        <w:jc w:val="center"/>
      </w:pPr>
    </w:p>
    <w:p w:rsidR="00CE035C" w:rsidP="006F2B7E" w:rsidRDefault="00CE035C" w14:paraId="7427F5CE" w14:textId="1BCBCEFB">
      <w:pPr>
        <w:spacing w:line="480" w:lineRule="auto"/>
      </w:pPr>
    </w:p>
    <w:p w:rsidR="0068120E" w:rsidP="006F2B7E" w:rsidRDefault="0068120E" w14:paraId="74D03771" w14:textId="72EBD618">
      <w:pPr>
        <w:spacing w:line="480" w:lineRule="auto"/>
      </w:pPr>
    </w:p>
    <w:p w:rsidR="0068120E" w:rsidP="006F2B7E" w:rsidRDefault="0068120E" w14:paraId="5C815439" w14:textId="6888F222">
      <w:pPr>
        <w:spacing w:line="480" w:lineRule="auto"/>
      </w:pPr>
    </w:p>
    <w:p w:rsidR="0068120E" w:rsidP="006F2B7E" w:rsidRDefault="0068120E" w14:paraId="68BE03FA" w14:textId="5CAB70CD">
      <w:pPr>
        <w:spacing w:line="480" w:lineRule="auto"/>
      </w:pPr>
    </w:p>
    <w:p w:rsidR="0068120E" w:rsidP="006F2B7E" w:rsidRDefault="0068120E" w14:paraId="3813404A" w14:textId="55962C3A">
      <w:pPr>
        <w:spacing w:line="480" w:lineRule="auto"/>
      </w:pPr>
    </w:p>
    <w:p w:rsidR="0068120E" w:rsidP="006F2B7E" w:rsidRDefault="0068120E" w14:paraId="7D2B82A3" w14:textId="093F91B1">
      <w:pPr>
        <w:spacing w:line="480" w:lineRule="auto"/>
      </w:pPr>
    </w:p>
    <w:p w:rsidR="0068120E" w:rsidP="006F2B7E" w:rsidRDefault="0068120E" w14:paraId="66C4EB1F" w14:textId="2B7CEA77">
      <w:pPr>
        <w:spacing w:line="480" w:lineRule="auto"/>
      </w:pPr>
    </w:p>
    <w:p w:rsidR="0068120E" w:rsidP="00BA6B84" w:rsidRDefault="00BA6B84" w14:paraId="69357E4A" w14:textId="0DE5A03D">
      <w:pPr>
        <w:spacing w:line="480" w:lineRule="auto"/>
        <w:sectPr w:rsidR="0068120E" w:rsidSect="00B65E8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pgNumType w:fmt="numberInDash" w:start="1"/>
          <w:cols w:space="720"/>
          <w:docGrid w:linePitch="360"/>
        </w:sectPr>
      </w:pPr>
      <w:r w:rsidRPr="00C26468">
        <w:rPr>
          <w:b/>
          <w:bCs/>
        </w:rPr>
        <w:t>Note: The following appendix will not appear in the Code of Federal Regulations.</w:t>
      </w:r>
    </w:p>
    <w:p w:rsidR="00AE4CFB" w:rsidP="00AE4CFB" w:rsidRDefault="00AE4CFB" w14:paraId="29E6A824" w14:textId="7C26AFB1">
      <w:pPr>
        <w:jc w:val="center"/>
        <w:rPr>
          <w:b/>
        </w:rPr>
      </w:pPr>
      <w:bookmarkStart w:name="_Hlk34307884" w:id="5"/>
      <w:r>
        <w:rPr>
          <w:b/>
        </w:rPr>
        <w:t>Appendix A</w:t>
      </w:r>
    </w:p>
    <w:p w:rsidRPr="00177518" w:rsidR="00177518" w:rsidP="00177518" w:rsidRDefault="00177518" w14:paraId="072FB9DA" w14:textId="0249044B">
      <w:pPr>
        <w:jc w:val="center"/>
        <w:rPr>
          <w:b/>
        </w:rPr>
      </w:pPr>
    </w:p>
    <w:p w:rsidR="00177518" w:rsidP="00AE4CFB" w:rsidRDefault="00177518" w14:paraId="732F268A" w14:textId="77777777">
      <w:pPr>
        <w:jc w:val="center"/>
        <w:rPr>
          <w:b/>
        </w:rPr>
      </w:pPr>
    </w:p>
    <w:p w:rsidR="00AE4CFB" w:rsidP="00DF5D2A" w:rsidRDefault="00AE4CFB" w14:paraId="2E7133AF" w14:textId="77777777">
      <w:pPr>
        <w:rPr>
          <w:b/>
        </w:rPr>
      </w:pPr>
    </w:p>
    <w:p w:rsidRPr="00DF5D2A" w:rsidR="00DF5D2A" w:rsidP="00DF5D2A" w:rsidRDefault="00DF5D2A" w14:paraId="5A330939" w14:textId="1155F6B8">
      <w:pPr>
        <w:rPr>
          <w:b/>
        </w:rPr>
      </w:pPr>
      <w:r w:rsidRPr="00DF5D2A">
        <w:rPr>
          <w:b/>
        </w:rPr>
        <w:t>FERC-730, Report of Transmission Investment Activity</w:t>
      </w:r>
    </w:p>
    <w:p w:rsidRPr="00DF5D2A" w:rsidR="00DF5D2A" w:rsidP="00DF5D2A" w:rsidRDefault="00DF5D2A" w14:paraId="72F5A426" w14:textId="77777777">
      <w:pPr>
        <w:rPr>
          <w:b/>
        </w:rPr>
      </w:pPr>
      <w:r w:rsidRPr="00DF5D2A">
        <w:rPr>
          <w:b/>
        </w:rPr>
        <w:t>Company Name: ________________________________________</w:t>
      </w:r>
    </w:p>
    <w:p w:rsidRPr="00DF5D2A" w:rsidR="00DF5D2A" w:rsidP="00DF5D2A" w:rsidRDefault="00DF5D2A" w14:paraId="54A73AD7" w14:textId="77777777">
      <w:pPr>
        <w:rPr>
          <w:b/>
        </w:rPr>
      </w:pPr>
    </w:p>
    <w:p w:rsidRPr="00DF5D2A" w:rsidR="00DF5D2A" w:rsidP="00DF5D2A" w:rsidRDefault="00DF5D2A" w14:paraId="2E893FD2" w14:textId="77777777">
      <w:pPr>
        <w:rPr>
          <w:b/>
        </w:rPr>
      </w:pPr>
    </w:p>
    <w:p w:rsidRPr="00DF5D2A" w:rsidR="00DF5D2A" w:rsidP="00DF5D2A" w:rsidRDefault="00DF5D2A" w14:paraId="62621C7A" w14:textId="77777777">
      <w:pPr>
        <w:rPr>
          <w:b/>
        </w:rPr>
      </w:pPr>
      <w:r w:rsidRPr="00DF5D2A">
        <w:rPr>
          <w:b/>
        </w:rPr>
        <w:t>Table 1:  Actual and Projected Electric Transmission Capital Spending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585"/>
        <w:gridCol w:w="1017"/>
        <w:gridCol w:w="1137"/>
        <w:gridCol w:w="1137"/>
        <w:gridCol w:w="1017"/>
        <w:gridCol w:w="1117"/>
      </w:tblGrid>
      <w:tr w:rsidRPr="00DF5D2A" w:rsidR="00DF5D2A" w:rsidTr="00DF5D2A" w14:paraId="4B0F15A7" w14:textId="77777777">
        <w:trPr>
          <w:cantSplit/>
        </w:trPr>
        <w:tc>
          <w:tcPr>
            <w:tcW w:w="2340" w:type="dxa"/>
            <w:vMerge w:val="restart"/>
            <w:tcBorders>
              <w:top w:val="nil"/>
              <w:left w:val="nil"/>
              <w:bottom w:val="nil"/>
              <w:right w:val="single" w:color="auto" w:sz="4" w:space="0"/>
            </w:tcBorders>
          </w:tcPr>
          <w:p w:rsidRPr="00DF5D2A" w:rsidR="00DF5D2A" w:rsidP="00DF5D2A" w:rsidRDefault="00DF5D2A" w14:paraId="68EB4F35" w14:textId="77777777"/>
        </w:tc>
        <w:tc>
          <w:tcPr>
            <w:tcW w:w="1585" w:type="dxa"/>
            <w:tcBorders>
              <w:left w:val="single" w:color="auto" w:sz="4" w:space="0"/>
            </w:tcBorders>
          </w:tcPr>
          <w:p w:rsidRPr="00DF5D2A" w:rsidR="00DF5D2A" w:rsidP="00DF5D2A" w:rsidRDefault="00DF5D2A" w14:paraId="264A8AC2" w14:textId="77777777">
            <w:r w:rsidRPr="00DF5D2A">
              <w:t>Actual at</w:t>
            </w:r>
          </w:p>
          <w:p w:rsidRPr="00DF5D2A" w:rsidR="00DF5D2A" w:rsidP="00DF5D2A" w:rsidRDefault="00DF5D2A" w14:paraId="14B9FA8A" w14:textId="77777777">
            <w:r w:rsidRPr="00DF5D2A">
              <w:t>December</w:t>
            </w:r>
          </w:p>
          <w:p w:rsidRPr="00DF5D2A" w:rsidR="00DF5D2A" w:rsidP="00DF5D2A" w:rsidRDefault="00DF5D2A" w14:paraId="3DCD2D3D" w14:textId="77777777">
            <w:r w:rsidRPr="00DF5D2A">
              <w:t>31</w:t>
            </w:r>
          </w:p>
        </w:tc>
        <w:tc>
          <w:tcPr>
            <w:tcW w:w="5425" w:type="dxa"/>
            <w:gridSpan w:val="5"/>
          </w:tcPr>
          <w:p w:rsidRPr="00DF5D2A" w:rsidR="00DF5D2A" w:rsidP="00DF5D2A" w:rsidRDefault="00DF5D2A" w14:paraId="034D6457" w14:textId="77777777">
            <w:r w:rsidRPr="00DF5D2A">
              <w:t>Projected Investment (Incremental Investment by Year for Each of the Succeeding Five Calendar Years)</w:t>
            </w:r>
          </w:p>
        </w:tc>
      </w:tr>
      <w:tr w:rsidRPr="00DF5D2A" w:rsidR="00DF5D2A" w:rsidTr="00DF5D2A" w14:paraId="2DD325D0" w14:textId="77777777">
        <w:trPr>
          <w:cantSplit/>
        </w:trPr>
        <w:tc>
          <w:tcPr>
            <w:tcW w:w="2340" w:type="dxa"/>
            <w:vMerge/>
            <w:tcBorders>
              <w:top w:val="nil"/>
              <w:left w:val="nil"/>
              <w:bottom w:val="single" w:color="auto" w:sz="4" w:space="0"/>
              <w:right w:val="single" w:color="auto" w:sz="4" w:space="0"/>
            </w:tcBorders>
          </w:tcPr>
          <w:p w:rsidRPr="00DF5D2A" w:rsidR="00DF5D2A" w:rsidP="00DF5D2A" w:rsidRDefault="00DF5D2A" w14:paraId="1CBE7C6B" w14:textId="77777777">
            <w:pPr>
              <w:rPr>
                <w:b/>
              </w:rPr>
            </w:pPr>
          </w:p>
        </w:tc>
        <w:tc>
          <w:tcPr>
            <w:tcW w:w="1585" w:type="dxa"/>
            <w:tcBorders>
              <w:left w:val="single" w:color="auto" w:sz="4" w:space="0"/>
            </w:tcBorders>
          </w:tcPr>
          <w:p w:rsidRPr="00DF5D2A" w:rsidR="00DF5D2A" w:rsidP="00DF5D2A" w:rsidRDefault="00DF5D2A" w14:paraId="52B7C9B2" w14:textId="77777777">
            <w:r w:rsidRPr="00DF5D2A">
              <w:t>20__</w:t>
            </w:r>
          </w:p>
        </w:tc>
        <w:tc>
          <w:tcPr>
            <w:tcW w:w="1017" w:type="dxa"/>
          </w:tcPr>
          <w:p w:rsidRPr="00DF5D2A" w:rsidR="00DF5D2A" w:rsidP="00DF5D2A" w:rsidRDefault="00DF5D2A" w14:paraId="6FC18DAC" w14:textId="77777777">
            <w:r w:rsidRPr="00DF5D2A">
              <w:t>20__</w:t>
            </w:r>
          </w:p>
        </w:tc>
        <w:tc>
          <w:tcPr>
            <w:tcW w:w="1137" w:type="dxa"/>
          </w:tcPr>
          <w:p w:rsidRPr="00DF5D2A" w:rsidR="00DF5D2A" w:rsidP="00DF5D2A" w:rsidRDefault="00DF5D2A" w14:paraId="6F6501C8" w14:textId="77777777">
            <w:r w:rsidRPr="00DF5D2A">
              <w:t>20__</w:t>
            </w:r>
          </w:p>
        </w:tc>
        <w:tc>
          <w:tcPr>
            <w:tcW w:w="1137" w:type="dxa"/>
          </w:tcPr>
          <w:p w:rsidRPr="00DF5D2A" w:rsidR="00DF5D2A" w:rsidP="00DF5D2A" w:rsidRDefault="00DF5D2A" w14:paraId="11025111" w14:textId="77777777">
            <w:r w:rsidRPr="00DF5D2A">
              <w:t>20__</w:t>
            </w:r>
          </w:p>
        </w:tc>
        <w:tc>
          <w:tcPr>
            <w:tcW w:w="1017" w:type="dxa"/>
          </w:tcPr>
          <w:p w:rsidRPr="00DF5D2A" w:rsidR="00DF5D2A" w:rsidP="00DF5D2A" w:rsidRDefault="00DF5D2A" w14:paraId="20ECB2F3" w14:textId="77777777">
            <w:r w:rsidRPr="00DF5D2A">
              <w:t>20__</w:t>
            </w:r>
          </w:p>
        </w:tc>
        <w:tc>
          <w:tcPr>
            <w:tcW w:w="1117" w:type="dxa"/>
          </w:tcPr>
          <w:p w:rsidRPr="00DF5D2A" w:rsidR="00DF5D2A" w:rsidP="00DF5D2A" w:rsidRDefault="00DF5D2A" w14:paraId="3399C97A" w14:textId="77777777">
            <w:r w:rsidRPr="00DF5D2A">
              <w:t>20__</w:t>
            </w:r>
          </w:p>
        </w:tc>
      </w:tr>
      <w:tr w:rsidRPr="00DF5D2A" w:rsidR="00DF5D2A" w:rsidTr="00DF5D2A" w14:paraId="2753F0F4" w14:textId="77777777">
        <w:trPr>
          <w:cantSplit/>
          <w:trHeight w:val="935"/>
        </w:trPr>
        <w:tc>
          <w:tcPr>
            <w:tcW w:w="2340" w:type="dxa"/>
            <w:tcBorders>
              <w:top w:val="single" w:color="auto" w:sz="4" w:space="0"/>
            </w:tcBorders>
          </w:tcPr>
          <w:p w:rsidRPr="00DF5D2A" w:rsidR="00DF5D2A" w:rsidP="00DF5D2A" w:rsidRDefault="00DF5D2A" w14:paraId="185E63E6" w14:textId="77777777">
            <w:r w:rsidRPr="00DF5D2A">
              <w:t xml:space="preserve">Capital Spending On Electric Transmission Facilities </w:t>
            </w:r>
          </w:p>
          <w:p w:rsidRPr="00DF5D2A" w:rsidR="00DF5D2A" w:rsidP="00DF5D2A" w:rsidRDefault="00DF5D2A" w14:paraId="782B1F08" w14:textId="77777777">
            <w:pPr>
              <w:rPr>
                <w:b/>
              </w:rPr>
            </w:pPr>
            <w:r w:rsidRPr="00DF5D2A">
              <w:t>($ Thousands) (1)</w:t>
            </w:r>
          </w:p>
        </w:tc>
        <w:tc>
          <w:tcPr>
            <w:tcW w:w="1585" w:type="dxa"/>
          </w:tcPr>
          <w:p w:rsidRPr="00DF5D2A" w:rsidR="00DF5D2A" w:rsidP="00DF5D2A" w:rsidRDefault="00DF5D2A" w14:paraId="295263C1" w14:textId="77777777">
            <w:pPr>
              <w:rPr>
                <w:b/>
              </w:rPr>
            </w:pPr>
          </w:p>
        </w:tc>
        <w:tc>
          <w:tcPr>
            <w:tcW w:w="1017" w:type="dxa"/>
          </w:tcPr>
          <w:p w:rsidRPr="00DF5D2A" w:rsidR="00DF5D2A" w:rsidP="00DF5D2A" w:rsidRDefault="00DF5D2A" w14:paraId="58C9A1AD" w14:textId="77777777">
            <w:pPr>
              <w:rPr>
                <w:b/>
              </w:rPr>
            </w:pPr>
          </w:p>
        </w:tc>
        <w:tc>
          <w:tcPr>
            <w:tcW w:w="1137" w:type="dxa"/>
          </w:tcPr>
          <w:p w:rsidRPr="00DF5D2A" w:rsidR="00DF5D2A" w:rsidP="00DF5D2A" w:rsidRDefault="00DF5D2A" w14:paraId="4A4C5D63" w14:textId="77777777">
            <w:pPr>
              <w:rPr>
                <w:b/>
              </w:rPr>
            </w:pPr>
          </w:p>
        </w:tc>
        <w:tc>
          <w:tcPr>
            <w:tcW w:w="1137" w:type="dxa"/>
          </w:tcPr>
          <w:p w:rsidRPr="00DF5D2A" w:rsidR="00DF5D2A" w:rsidP="00DF5D2A" w:rsidRDefault="00DF5D2A" w14:paraId="6EA77C3F" w14:textId="77777777">
            <w:pPr>
              <w:rPr>
                <w:b/>
              </w:rPr>
            </w:pPr>
          </w:p>
        </w:tc>
        <w:tc>
          <w:tcPr>
            <w:tcW w:w="1017" w:type="dxa"/>
          </w:tcPr>
          <w:p w:rsidRPr="00DF5D2A" w:rsidR="00DF5D2A" w:rsidP="00DF5D2A" w:rsidRDefault="00DF5D2A" w14:paraId="2A56828F" w14:textId="77777777">
            <w:pPr>
              <w:rPr>
                <w:b/>
              </w:rPr>
            </w:pPr>
          </w:p>
        </w:tc>
        <w:tc>
          <w:tcPr>
            <w:tcW w:w="1117" w:type="dxa"/>
          </w:tcPr>
          <w:p w:rsidRPr="00DF5D2A" w:rsidR="00DF5D2A" w:rsidP="00DF5D2A" w:rsidRDefault="00DF5D2A" w14:paraId="53DB8396" w14:textId="77777777">
            <w:pPr>
              <w:rPr>
                <w:b/>
              </w:rPr>
            </w:pPr>
          </w:p>
        </w:tc>
      </w:tr>
    </w:tbl>
    <w:p w:rsidRPr="00DF5D2A" w:rsidR="00DF5D2A" w:rsidP="00DF5D2A" w:rsidRDefault="00DF5D2A" w14:paraId="5A4F83DA" w14:textId="77777777">
      <w:pPr>
        <w:rPr>
          <w:b/>
        </w:rPr>
      </w:pPr>
    </w:p>
    <w:p w:rsidRPr="00DF5D2A" w:rsidR="00DF5D2A" w:rsidP="00DF5D2A" w:rsidRDefault="00DF5D2A" w14:paraId="3782196A" w14:textId="77777777">
      <w:r w:rsidRPr="00DF5D2A">
        <w:t>Instructions for completing “Table 1: Actual and Projected Electric Transmission Capital Spending”:</w:t>
      </w:r>
    </w:p>
    <w:p w:rsidRPr="00DF5D2A" w:rsidR="00DF5D2A" w:rsidP="00DF5D2A" w:rsidRDefault="00DF5D2A" w14:paraId="1515BB79" w14:textId="77777777">
      <w:r w:rsidRPr="00DF5D2A">
        <w:t xml:space="preserve">(1) </w:t>
      </w:r>
      <w:r w:rsidRPr="00DF5D2A">
        <w:tab/>
        <w:t>Transmission facilities are defined to be transmission assets as specified in the Uniform System of Accounts in account numbers 350 through 359 (</w:t>
      </w:r>
      <w:r w:rsidRPr="00DF5D2A">
        <w:rPr>
          <w:i/>
          <w:u w:val="single"/>
        </w:rPr>
        <w:t>see</w:t>
      </w:r>
      <w:r w:rsidRPr="00DF5D2A">
        <w:rPr>
          <w:i/>
        </w:rPr>
        <w:t>,</w:t>
      </w:r>
      <w:r w:rsidRPr="00DF5D2A">
        <w:t xml:space="preserve"> 18 C.F.R. Part 101, </w:t>
      </w:r>
      <w:r w:rsidRPr="00DF5D2A">
        <w:rPr>
          <w:i/>
        </w:rPr>
        <w:t>Uniform System of Accounts Prescribed for Public Utilities and Licensees Subject to the Provisions of the Federal Power Act</w:t>
      </w:r>
      <w:r w:rsidRPr="00DF5D2A">
        <w:t>, for account definitions).  The Transmission Plant accounts include:  Accounts 350 (Land and Land Rights), 351 (Energy Storage Equipment- Transmission), 352 (Structures and Improvements), 353 (Station Equipment), 354 (Towers and Fixtures), 355 (Poles and Fixtures), 356 (Overhead Conductors and Devices), 357 (Underground Conduit), 358 (Underground Conductors and Devices), and 359 (Roads and Trails).</w:t>
      </w:r>
    </w:p>
    <w:p w:rsidR="00B525BA" w:rsidP="00DF5D2A" w:rsidRDefault="00DF5D2A" w14:paraId="080BDE44" w14:textId="77777777">
      <w:pPr>
        <w:sectPr w:rsidR="00B525BA" w:rsidSect="00B525BA">
          <w:pgSz w:w="12240" w:h="15840"/>
          <w:pgMar w:top="1440" w:right="1440" w:bottom="1440" w:left="1440" w:header="720" w:footer="720" w:gutter="0"/>
          <w:pgNumType w:fmt="numberInDash" w:start="1"/>
          <w:cols w:space="720"/>
          <w:titlePg/>
          <w:docGrid w:linePitch="360"/>
        </w:sectPr>
      </w:pPr>
      <w:r w:rsidRPr="00DF5D2A">
        <w:br w:type="page"/>
      </w:r>
    </w:p>
    <w:p w:rsidRPr="00DF5D2A" w:rsidR="00DF5D2A" w:rsidP="00DF5D2A" w:rsidRDefault="00DF5D2A" w14:paraId="7DC5BAC3" w14:textId="17613A72"/>
    <w:p w:rsidRPr="00DF5D2A" w:rsidR="00DF5D2A" w:rsidP="00DF5D2A" w:rsidRDefault="00DF5D2A" w14:paraId="259AD8AE" w14:textId="77777777">
      <w:pPr>
        <w:rPr>
          <w:b/>
        </w:rPr>
      </w:pPr>
      <w:r w:rsidRPr="00DF5D2A">
        <w:rPr>
          <w:b/>
        </w:rPr>
        <w:t>Table 2:  Project Detail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10"/>
        <w:gridCol w:w="1066"/>
        <w:gridCol w:w="1574"/>
        <w:gridCol w:w="1444"/>
        <w:gridCol w:w="1285"/>
        <w:gridCol w:w="2271"/>
      </w:tblGrid>
      <w:tr w:rsidRPr="00DF5D2A" w:rsidR="00DF5D2A" w:rsidTr="00DF5D2A" w14:paraId="30511299" w14:textId="77777777">
        <w:trPr>
          <w:trHeight w:val="1538"/>
        </w:trPr>
        <w:tc>
          <w:tcPr>
            <w:tcW w:w="1710" w:type="dxa"/>
          </w:tcPr>
          <w:p w:rsidRPr="00DF5D2A" w:rsidR="00DF5D2A" w:rsidP="00DF5D2A" w:rsidRDefault="00DF5D2A" w14:paraId="40775F35" w14:textId="77777777">
            <w:r w:rsidRPr="00DF5D2A">
              <w:t>Project</w:t>
            </w:r>
          </w:p>
          <w:p w:rsidRPr="00DF5D2A" w:rsidR="00DF5D2A" w:rsidP="00DF5D2A" w:rsidRDefault="00DF5D2A" w14:paraId="3E8C3F7B" w14:textId="77777777">
            <w:r w:rsidRPr="00DF5D2A">
              <w:t>Description (2)</w:t>
            </w:r>
          </w:p>
        </w:tc>
        <w:tc>
          <w:tcPr>
            <w:tcW w:w="1066" w:type="dxa"/>
          </w:tcPr>
          <w:p w:rsidRPr="00DF5D2A" w:rsidR="00DF5D2A" w:rsidP="00DF5D2A" w:rsidRDefault="00DF5D2A" w14:paraId="256C399C" w14:textId="77777777">
            <w:r w:rsidRPr="00DF5D2A">
              <w:t>Project</w:t>
            </w:r>
          </w:p>
          <w:p w:rsidRPr="00DF5D2A" w:rsidR="00DF5D2A" w:rsidP="00DF5D2A" w:rsidRDefault="00DF5D2A" w14:paraId="43EAED0A" w14:textId="77777777">
            <w:r w:rsidRPr="00DF5D2A">
              <w:t>Type (3)</w:t>
            </w:r>
          </w:p>
        </w:tc>
        <w:tc>
          <w:tcPr>
            <w:tcW w:w="1574" w:type="dxa"/>
          </w:tcPr>
          <w:p w:rsidRPr="00DF5D2A" w:rsidR="00DF5D2A" w:rsidP="00DF5D2A" w:rsidRDefault="00DF5D2A" w14:paraId="26946A88" w14:textId="77777777">
            <w:r w:rsidRPr="00DF5D2A">
              <w:t>Expected Project Completion Date</w:t>
            </w:r>
          </w:p>
          <w:p w:rsidRPr="00DF5D2A" w:rsidR="00DF5D2A" w:rsidP="00DF5D2A" w:rsidRDefault="00DF5D2A" w14:paraId="26C7AB57" w14:textId="77777777">
            <w:r w:rsidRPr="00DF5D2A">
              <w:t>(month/year)</w:t>
            </w:r>
          </w:p>
        </w:tc>
        <w:tc>
          <w:tcPr>
            <w:tcW w:w="1444" w:type="dxa"/>
          </w:tcPr>
          <w:p w:rsidRPr="00DF5D2A" w:rsidR="00DF5D2A" w:rsidP="00DF5D2A" w:rsidRDefault="00DF5D2A" w14:paraId="5504EA77" w14:textId="77777777">
            <w:r w:rsidRPr="00DF5D2A">
              <w:t>Completion</w:t>
            </w:r>
          </w:p>
          <w:p w:rsidRPr="00DF5D2A" w:rsidR="00DF5D2A" w:rsidP="00DF5D2A" w:rsidRDefault="00DF5D2A" w14:paraId="38A3CA79" w14:textId="77777777">
            <w:r w:rsidRPr="00DF5D2A">
              <w:t>Status (4)</w:t>
            </w:r>
          </w:p>
        </w:tc>
        <w:tc>
          <w:tcPr>
            <w:tcW w:w="1285" w:type="dxa"/>
          </w:tcPr>
          <w:p w:rsidRPr="00DF5D2A" w:rsidR="00DF5D2A" w:rsidP="00DF5D2A" w:rsidRDefault="00DF5D2A" w14:paraId="7E9B455E" w14:textId="77777777">
            <w:r w:rsidRPr="00DF5D2A">
              <w:t xml:space="preserve">Is Project </w:t>
            </w:r>
          </w:p>
          <w:p w:rsidRPr="00DF5D2A" w:rsidR="00DF5D2A" w:rsidP="00DF5D2A" w:rsidRDefault="00DF5D2A" w14:paraId="25C116F2" w14:textId="77777777">
            <w:r w:rsidRPr="00DF5D2A">
              <w:t>On Schedule?</w:t>
            </w:r>
          </w:p>
          <w:p w:rsidRPr="00DF5D2A" w:rsidR="00DF5D2A" w:rsidP="00DF5D2A" w:rsidRDefault="00DF5D2A" w14:paraId="7B99F5B0" w14:textId="77777777">
            <w:r w:rsidRPr="00DF5D2A">
              <w:t>(Y/N)</w:t>
            </w:r>
          </w:p>
        </w:tc>
        <w:tc>
          <w:tcPr>
            <w:tcW w:w="2271" w:type="dxa"/>
          </w:tcPr>
          <w:p w:rsidRPr="00DF5D2A" w:rsidR="00DF5D2A" w:rsidP="00DF5D2A" w:rsidRDefault="00DF5D2A" w14:paraId="5C734E7B" w14:textId="77777777">
            <w:r w:rsidRPr="00DF5D2A">
              <w:t xml:space="preserve">If Project Not On </w:t>
            </w:r>
          </w:p>
          <w:p w:rsidRPr="00DF5D2A" w:rsidR="00DF5D2A" w:rsidP="00DF5D2A" w:rsidRDefault="00DF5D2A" w14:paraId="4E96B41A" w14:textId="77777777">
            <w:r w:rsidRPr="00DF5D2A">
              <w:t>Schedule, Indicate Reasons For Delay</w:t>
            </w:r>
          </w:p>
          <w:p w:rsidRPr="00DF5D2A" w:rsidR="00DF5D2A" w:rsidP="00DF5D2A" w:rsidRDefault="00DF5D2A" w14:paraId="0688271C" w14:textId="77777777">
            <w:r w:rsidRPr="00DF5D2A">
              <w:t>(5)</w:t>
            </w:r>
          </w:p>
        </w:tc>
      </w:tr>
      <w:tr w:rsidRPr="00DF5D2A" w:rsidR="00DF5D2A" w:rsidTr="00DF5D2A" w14:paraId="52305F78" w14:textId="77777777">
        <w:trPr>
          <w:trHeight w:val="1205"/>
        </w:trPr>
        <w:tc>
          <w:tcPr>
            <w:tcW w:w="1710" w:type="dxa"/>
          </w:tcPr>
          <w:p w:rsidRPr="00DF5D2A" w:rsidR="00DF5D2A" w:rsidP="00DF5D2A" w:rsidRDefault="00DF5D2A" w14:paraId="31433E9E" w14:textId="77777777"/>
        </w:tc>
        <w:tc>
          <w:tcPr>
            <w:tcW w:w="1066" w:type="dxa"/>
          </w:tcPr>
          <w:p w:rsidRPr="00DF5D2A" w:rsidR="00DF5D2A" w:rsidP="00DF5D2A" w:rsidRDefault="00DF5D2A" w14:paraId="7BC5EE5D" w14:textId="77777777"/>
        </w:tc>
        <w:tc>
          <w:tcPr>
            <w:tcW w:w="1574" w:type="dxa"/>
          </w:tcPr>
          <w:p w:rsidRPr="00DF5D2A" w:rsidR="00DF5D2A" w:rsidP="00DF5D2A" w:rsidRDefault="00DF5D2A" w14:paraId="7356641D" w14:textId="77777777"/>
        </w:tc>
        <w:tc>
          <w:tcPr>
            <w:tcW w:w="1444" w:type="dxa"/>
          </w:tcPr>
          <w:p w:rsidRPr="00DF5D2A" w:rsidR="00DF5D2A" w:rsidP="00DF5D2A" w:rsidRDefault="00DF5D2A" w14:paraId="544B8FF7" w14:textId="77777777"/>
        </w:tc>
        <w:tc>
          <w:tcPr>
            <w:tcW w:w="1285" w:type="dxa"/>
          </w:tcPr>
          <w:p w:rsidRPr="00DF5D2A" w:rsidR="00DF5D2A" w:rsidP="00DF5D2A" w:rsidRDefault="00DF5D2A" w14:paraId="71DED211" w14:textId="77777777"/>
        </w:tc>
        <w:tc>
          <w:tcPr>
            <w:tcW w:w="2271" w:type="dxa"/>
          </w:tcPr>
          <w:p w:rsidRPr="00DF5D2A" w:rsidR="00DF5D2A" w:rsidP="00DF5D2A" w:rsidRDefault="00DF5D2A" w14:paraId="0C2DC021" w14:textId="77777777"/>
        </w:tc>
      </w:tr>
    </w:tbl>
    <w:p w:rsidRPr="00DF5D2A" w:rsidR="00DF5D2A" w:rsidP="00DF5D2A" w:rsidRDefault="00DF5D2A" w14:paraId="24CB6240" w14:textId="77777777"/>
    <w:p w:rsidRPr="00DF5D2A" w:rsidR="00DF5D2A" w:rsidP="00DF5D2A" w:rsidRDefault="00DF5D2A" w14:paraId="2984FB0E" w14:textId="77777777">
      <w:r w:rsidRPr="00DF5D2A">
        <w:t>Instructions for completing “Table 2: Project Detail”:</w:t>
      </w:r>
    </w:p>
    <w:p w:rsidRPr="00DF5D2A" w:rsidR="00DF5D2A" w:rsidP="00DF5D2A" w:rsidRDefault="00DF5D2A" w14:paraId="6DA01EB3" w14:textId="77777777"/>
    <w:p w:rsidRPr="00DF5D2A" w:rsidR="00DF5D2A" w:rsidP="00DF5D2A" w:rsidRDefault="00DF5D2A" w14:paraId="32C6B855" w14:textId="77777777">
      <w:r w:rsidRPr="00DF5D2A">
        <w:t xml:space="preserve">(1) </w:t>
      </w:r>
      <w:r w:rsidRPr="00DF5D2A">
        <w:tab/>
        <w:t xml:space="preserve">Respondents must list all projects included in Table 1 above, Actual and Projected Electric Transmission Capital Spending, excluding those projects with projected costs less than $20 million. Respondents should add as many additional rows as are necessary to list all relevant projects. </w:t>
      </w:r>
    </w:p>
    <w:p w:rsidRPr="00DF5D2A" w:rsidR="00DF5D2A" w:rsidP="00DF5D2A" w:rsidRDefault="00DF5D2A" w14:paraId="0C9A5FBC" w14:textId="77777777">
      <w:r w:rsidRPr="00DF5D2A">
        <w:t xml:space="preserve">(2) </w:t>
      </w:r>
      <w:r w:rsidRPr="00DF5D2A">
        <w:tab/>
        <w:t>Respondents should include voltage level in the Project Description column.</w:t>
      </w:r>
    </w:p>
    <w:p w:rsidRPr="00DF5D2A" w:rsidR="00DF5D2A" w:rsidP="00DF5D2A" w:rsidRDefault="00DF5D2A" w14:paraId="19577462" w14:textId="77777777">
      <w:r w:rsidRPr="00DF5D2A">
        <w:t xml:space="preserve">(3) </w:t>
      </w:r>
      <w:r w:rsidRPr="00DF5D2A">
        <w:tab/>
        <w:t>Respondents should select between the following Project Types to complete the Project Type column: New Build, Upgrade of Existing, Refurbishment/Replacement, or Generator Direct Connection.</w:t>
      </w:r>
    </w:p>
    <w:p w:rsidRPr="00DF5D2A" w:rsidR="00DF5D2A" w:rsidP="00DF5D2A" w:rsidRDefault="00DF5D2A" w14:paraId="4B189936" w14:textId="77777777">
      <w:r w:rsidRPr="00DF5D2A">
        <w:t xml:space="preserve">(4) </w:t>
      </w:r>
      <w:r w:rsidRPr="00DF5D2A">
        <w:tab/>
        <w:t>Respondents should select between the following designations to complete the Completion Status column: Complete, Under Construction, Pre-Engineering, Planned, Proposed, and Conceptual.</w:t>
      </w:r>
    </w:p>
    <w:p w:rsidRPr="00DF5D2A" w:rsidR="00DF5D2A" w:rsidP="00DF5D2A" w:rsidRDefault="00DF5D2A" w14:paraId="09BA7CA5" w14:textId="77777777">
      <w:r w:rsidRPr="00DF5D2A">
        <w:t xml:space="preserve">(5) </w:t>
      </w:r>
      <w:r w:rsidRPr="00DF5D2A">
        <w:tab/>
        <w:t>Respondents should select between the following delay designations to complete the Reasons for Delay column: Siting, Permitting, Construction, Delayed Completion of New Generator, or Other (specify).</w:t>
      </w:r>
    </w:p>
    <w:p w:rsidRPr="00DF5D2A" w:rsidR="00DF5D2A" w:rsidP="00DF5D2A" w:rsidRDefault="00DF5D2A" w14:paraId="524C791E" w14:textId="77777777"/>
    <w:p w:rsidRPr="00DF5D2A" w:rsidR="00DF5D2A" w:rsidP="00DF5D2A" w:rsidRDefault="00DF5D2A" w14:paraId="5ACF500F" w14:textId="77777777"/>
    <w:p w:rsidR="00B525BA" w:rsidP="00DF5D2A" w:rsidRDefault="00DF5D2A" w14:paraId="3761F7B5" w14:textId="77777777">
      <w:pPr>
        <w:sectPr w:rsidR="00B525BA" w:rsidSect="00247449">
          <w:pgSz w:w="12240" w:h="15840"/>
          <w:pgMar w:top="1440" w:right="1440" w:bottom="1440" w:left="1440" w:header="720" w:footer="720" w:gutter="0"/>
          <w:pgNumType w:fmt="numberInDash" w:start="1"/>
          <w:cols w:space="720"/>
          <w:titlePg/>
          <w:docGrid w:linePitch="360"/>
        </w:sectPr>
      </w:pPr>
      <w:r w:rsidRPr="00DF5D2A">
        <w:t xml:space="preserve">Paperwork Reduction Act of 1995 (PRA) Statement: The PRA (44 U.S.C. 3501 et seq.) requires us to inform you the information collected in the FERC-730 is necessary for the Commission to evaluate its incentive rates policies, and to demonstrate the effectiveness of these policies.  Further, the FERC-730 filing requirement allows the Commission to track the progress of electric transmission projects granted incentive-based rates, providing an accurate assessment of the state of the industry with respect to transmission investment, and ensuring that incentive rates are effective in encouraging the development of appropriate transmission infrastructure. Responses are mandatory. An agency may not conduct or sponsor, and a person is not required to respond to a collection of information unless it displays a currently valid OMB Control Number.  </w:t>
      </w:r>
    </w:p>
    <w:p w:rsidRPr="00DF5D2A" w:rsidR="00DF5D2A" w:rsidP="00DF5D2A" w:rsidRDefault="00DF5D2A" w14:paraId="5E3F3952" w14:textId="04FB4A67">
      <w:r w:rsidRPr="00DF5D2A">
        <w:t xml:space="preserve">Public reporting burden for reviewing the instructions, completing, and filling out this form is estimated to be 30 hours per response. This form has been assigned OMB Control Number 1902-0239.  Send comments regarding the burden estimate or any other aspect of this form to </w:t>
      </w:r>
      <w:hyperlink w:history="1" r:id="rId31">
        <w:r w:rsidRPr="00DF5D2A">
          <w:rPr>
            <w:rStyle w:val="Hyperlink"/>
          </w:rPr>
          <w:t>DataClearance@FERC.gov</w:t>
        </w:r>
      </w:hyperlink>
      <w:r w:rsidRPr="00DF5D2A">
        <w:t>, or to the Office of the Executive Director, Information Clearance Officer, Federal Energy Regulatory Commission, 888 First St. NE, Washington, DC 20426.</w:t>
      </w:r>
      <w:bookmarkEnd w:id="5"/>
    </w:p>
    <w:p w:rsidR="0068120E" w:rsidP="00DF5D2A" w:rsidRDefault="0068120E" w14:paraId="24BF93B7" w14:textId="6492A79F"/>
    <w:p w:rsidR="00CE035C" w:rsidP="006F2B7E" w:rsidRDefault="00CE035C" w14:paraId="7A44BDCB" w14:textId="77777777">
      <w:pPr>
        <w:spacing w:line="480" w:lineRule="auto"/>
      </w:pPr>
    </w:p>
    <w:p w:rsidR="00B1666A" w:rsidP="006F2B7E" w:rsidRDefault="00B1666A" w14:paraId="4AACF7AE" w14:textId="4CC02CE8">
      <w:pPr>
        <w:spacing w:line="480" w:lineRule="auto"/>
      </w:pPr>
    </w:p>
    <w:p w:rsidR="0089315F" w:rsidP="006F2B7E" w:rsidRDefault="0089315F" w14:paraId="0387A537" w14:textId="05D9D5CC">
      <w:pPr>
        <w:spacing w:line="480" w:lineRule="auto"/>
      </w:pPr>
    </w:p>
    <w:p w:rsidR="0089315F" w:rsidP="006F2B7E" w:rsidRDefault="0089315F" w14:paraId="10EBAA09" w14:textId="3BE6D437">
      <w:pPr>
        <w:spacing w:line="480" w:lineRule="auto"/>
      </w:pPr>
    </w:p>
    <w:p w:rsidR="0089315F" w:rsidP="006F2B7E" w:rsidRDefault="0089315F" w14:paraId="21681D9F" w14:textId="324515DC">
      <w:pPr>
        <w:spacing w:line="480" w:lineRule="auto"/>
      </w:pPr>
    </w:p>
    <w:p w:rsidR="0089315F" w:rsidP="006F2B7E" w:rsidRDefault="0089315F" w14:paraId="1F645C23" w14:textId="682F5B91">
      <w:pPr>
        <w:spacing w:line="480" w:lineRule="auto"/>
      </w:pPr>
    </w:p>
    <w:p w:rsidRPr="00FD3D3B" w:rsidR="002870A9" w:rsidP="00FD3D3B" w:rsidRDefault="002870A9" w14:paraId="055301CC" w14:textId="77777777"/>
    <w:sectPr w:rsidRPr="00FD3D3B" w:rsidR="002870A9" w:rsidSect="0024744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7E251" w14:textId="77777777" w:rsidR="00CF63E8" w:rsidRDefault="00CF63E8" w:rsidP="0048020B">
      <w:r>
        <w:separator/>
      </w:r>
    </w:p>
  </w:endnote>
  <w:endnote w:type="continuationSeparator" w:id="0">
    <w:p w14:paraId="1587468F" w14:textId="77777777" w:rsidR="00CF63E8" w:rsidRDefault="00CF63E8"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1E16" w14:textId="77777777" w:rsidR="005F031C" w:rsidRDefault="005F0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4719" w14:textId="77777777" w:rsidR="005F031C" w:rsidRDefault="005F0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5436" w14:textId="77777777" w:rsidR="005F031C" w:rsidRDefault="005F03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F4C51" w14:textId="77777777" w:rsidR="00CF63E8" w:rsidRDefault="00CF63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CF3E" w14:textId="77777777" w:rsidR="00CF63E8" w:rsidRDefault="00CF63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EBAC" w14:textId="4A8D55B6" w:rsidR="00CF63E8" w:rsidRDefault="00CF63E8" w:rsidP="00B525BA">
    <w:pPr>
      <w:pStyle w:val="Footer"/>
      <w:jc w:val="center"/>
    </w:pPr>
    <w:r w:rsidRPr="00B525BA">
      <w:t xml:space="preserve">To file this form, respondents should follow the instructions for eFiling available at </w:t>
    </w:r>
    <w:hyperlink r:id="rId1" w:history="1">
      <w:r w:rsidRPr="00B525BA">
        <w:rPr>
          <w:rStyle w:val="Hyperlink"/>
        </w:rPr>
        <w:t>https://www.ferc.gov/docs-filing/efiling.asp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0C4E2" w14:textId="77777777" w:rsidR="00CF63E8" w:rsidRDefault="00CF63E8" w:rsidP="0048020B">
      <w:r>
        <w:separator/>
      </w:r>
    </w:p>
  </w:footnote>
  <w:footnote w:type="continuationSeparator" w:id="0">
    <w:p w14:paraId="3337FC52" w14:textId="77777777" w:rsidR="00CF63E8" w:rsidRDefault="00CF63E8" w:rsidP="0048020B">
      <w:r>
        <w:continuationSeparator/>
      </w:r>
    </w:p>
  </w:footnote>
  <w:footnote w:type="continuationNotice" w:id="1">
    <w:p w14:paraId="3CBBF935" w14:textId="77777777" w:rsidR="00CF63E8" w:rsidRPr="00C26468" w:rsidRDefault="00CF63E8" w:rsidP="00C26468">
      <w:pPr>
        <w:spacing w:line="14" w:lineRule="exact"/>
        <w:rPr>
          <w:sz w:val="2"/>
        </w:rPr>
      </w:pPr>
    </w:p>
  </w:footnote>
  <w:footnote w:id="2">
    <w:p w14:paraId="4852152E" w14:textId="38998582" w:rsidR="00CF63E8" w:rsidRDefault="00CF63E8" w:rsidP="00AB59B6">
      <w:pPr>
        <w:pStyle w:val="FootnoteText"/>
      </w:pPr>
      <w:r>
        <w:rPr>
          <w:rStyle w:val="FootnoteReference"/>
        </w:rPr>
        <w:footnoteRef/>
      </w:r>
      <w:r>
        <w:t xml:space="preserve"> </w:t>
      </w:r>
      <w:r>
        <w:rPr>
          <w:i/>
        </w:rPr>
        <w:t>Promoting Transmission Investment through Pricing Reform</w:t>
      </w:r>
      <w:r>
        <w:t xml:space="preserve">, Order No. 679,   71 FR 43,294 (July 31, 2006), 116 FERC ¶ 61,057 at PP 367-76, app. A (2006), </w:t>
      </w:r>
      <w:r w:rsidRPr="0031076B">
        <w:rPr>
          <w:i/>
        </w:rPr>
        <w:t>order on reh’g</w:t>
      </w:r>
      <w:r>
        <w:t>, Order No. 679-A, 72 FR 1152 (Jan. 10, 2007), 117 FERC ¶ 61,345 at PP 117-20 (2006).</w:t>
      </w:r>
    </w:p>
  </w:footnote>
  <w:footnote w:id="3">
    <w:p w14:paraId="7931ECA1" w14:textId="3F590A9B" w:rsidR="00CF63E8" w:rsidRDefault="00CF63E8" w:rsidP="0031076B">
      <w:pPr>
        <w:pStyle w:val="FootnoteText"/>
      </w:pPr>
      <w:r>
        <w:rPr>
          <w:rStyle w:val="FootnoteReference"/>
        </w:rPr>
        <w:footnoteRef/>
      </w:r>
      <w:r>
        <w:t xml:space="preserve"> 18 CFR 35.35(h).</w:t>
      </w:r>
    </w:p>
  </w:footnote>
  <w:footnote w:id="4">
    <w:p w14:paraId="1378D11D" w14:textId="32411C96" w:rsidR="00CF63E8" w:rsidRDefault="00CF63E8" w:rsidP="0031076B">
      <w:pPr>
        <w:pStyle w:val="FootnoteText"/>
      </w:pPr>
      <w:r>
        <w:rPr>
          <w:rStyle w:val="FootnoteReference"/>
        </w:rPr>
        <w:footnoteRef/>
      </w:r>
      <w:r>
        <w:t xml:space="preserve"> 16 U.S.C.</w:t>
      </w:r>
      <w:r w:rsidR="00EE1D9B">
        <w:t xml:space="preserve"> </w:t>
      </w:r>
      <w:r>
        <w:t>824.</w:t>
      </w:r>
    </w:p>
  </w:footnote>
  <w:footnote w:id="5">
    <w:p w14:paraId="1CFB0E85" w14:textId="331E5A41" w:rsidR="00CF63E8" w:rsidRDefault="00CF63E8" w:rsidP="0031076B">
      <w:pPr>
        <w:pStyle w:val="FootnoteText"/>
      </w:pPr>
      <w:r>
        <w:rPr>
          <w:rStyle w:val="FootnoteReference"/>
        </w:rPr>
        <w:footnoteRef/>
      </w:r>
      <w:r>
        <w:t xml:space="preserve"> Order No. 679, 116 FERC ¶ 61,057.</w:t>
      </w:r>
    </w:p>
  </w:footnote>
  <w:footnote w:id="6">
    <w:p w14:paraId="6668B4A5" w14:textId="2765F7C6" w:rsidR="00CF63E8" w:rsidRDefault="00CF63E8" w:rsidP="0031076B">
      <w:pPr>
        <w:pStyle w:val="FootnoteText"/>
      </w:pPr>
      <w:r>
        <w:rPr>
          <w:rStyle w:val="FootnoteReference"/>
        </w:rPr>
        <w:footnoteRef/>
      </w:r>
      <w:r>
        <w:t xml:space="preserve"> </w:t>
      </w:r>
      <w:r>
        <w:rPr>
          <w:i/>
        </w:rPr>
        <w:t>Id</w:t>
      </w:r>
      <w:r>
        <w:t>. P 78.</w:t>
      </w:r>
    </w:p>
  </w:footnote>
  <w:footnote w:id="7">
    <w:p w14:paraId="59E6FDD9" w14:textId="225B29E1" w:rsidR="00CF63E8" w:rsidRDefault="00CF63E8" w:rsidP="0031076B">
      <w:pPr>
        <w:pStyle w:val="FootnoteText"/>
      </w:pPr>
      <w:r>
        <w:rPr>
          <w:rStyle w:val="FootnoteReference"/>
        </w:rPr>
        <w:footnoteRef/>
      </w:r>
      <w:r>
        <w:t xml:space="preserve"> </w:t>
      </w:r>
      <w:r>
        <w:rPr>
          <w:i/>
        </w:rPr>
        <w:t>Id</w:t>
      </w:r>
      <w:r>
        <w:t>. at app. A.</w:t>
      </w:r>
    </w:p>
  </w:footnote>
  <w:footnote w:id="8">
    <w:p w14:paraId="0DA55ADB" w14:textId="43566B9F" w:rsidR="00CF63E8" w:rsidRDefault="00CF63E8" w:rsidP="00164788">
      <w:pPr>
        <w:pStyle w:val="FootnoteText"/>
      </w:pPr>
      <w:r>
        <w:rPr>
          <w:rStyle w:val="FootnoteReference"/>
        </w:rPr>
        <w:footnoteRef/>
      </w:r>
      <w:r>
        <w:t xml:space="preserve"> </w:t>
      </w:r>
      <w:r w:rsidRPr="0009423C">
        <w:rPr>
          <w:i/>
        </w:rPr>
        <w:t xml:space="preserve">See </w:t>
      </w:r>
      <w:r>
        <w:t>18 CFR 35.35(h).</w:t>
      </w:r>
    </w:p>
  </w:footnote>
  <w:footnote w:id="9">
    <w:p w14:paraId="50EC8436" w14:textId="47F3E0AA" w:rsidR="00CF63E8" w:rsidRDefault="00CF63E8" w:rsidP="001A2567">
      <w:pPr>
        <w:pStyle w:val="FootnoteText"/>
      </w:pPr>
      <w:r>
        <w:rPr>
          <w:rStyle w:val="FootnoteReference"/>
        </w:rPr>
        <w:footnoteRef/>
      </w:r>
      <w:r>
        <w:t xml:space="preserve"> The three-year PRA renewal of FERC-730 was initiated in Docket No. IC19-15.  </w:t>
      </w:r>
      <w:r w:rsidRPr="00661DEC">
        <w:t xml:space="preserve">FERC-730 </w:t>
      </w:r>
      <w:r>
        <w:t xml:space="preserve">was submitted to OMB on May 10, 2019 and </w:t>
      </w:r>
      <w:r w:rsidRPr="00661DEC">
        <w:t xml:space="preserve">is currently pending </w:t>
      </w:r>
      <w:r>
        <w:t>OMB</w:t>
      </w:r>
      <w:r w:rsidRPr="00661DEC">
        <w:t xml:space="preserve"> review</w:t>
      </w:r>
      <w:r>
        <w:t>.</w:t>
      </w:r>
    </w:p>
  </w:footnote>
  <w:footnote w:id="10">
    <w:p w14:paraId="1B9B420D" w14:textId="29987B15" w:rsidR="00CF63E8" w:rsidRDefault="00CF63E8" w:rsidP="0031076B">
      <w:pPr>
        <w:pStyle w:val="FootnoteText"/>
      </w:pPr>
      <w:r>
        <w:rPr>
          <w:rStyle w:val="FootnoteReference"/>
        </w:rPr>
        <w:footnoteRef/>
      </w:r>
      <w:r>
        <w:t xml:space="preserve"> </w:t>
      </w:r>
      <w:r w:rsidRPr="00564780">
        <w:rPr>
          <w:i/>
        </w:rPr>
        <w:t>See generally</w:t>
      </w:r>
      <w:r>
        <w:t xml:space="preserve"> 5 U.S.C. 500 </w:t>
      </w:r>
      <w:r w:rsidRPr="00CE63E9">
        <w:rPr>
          <w:i/>
        </w:rPr>
        <w:t>et seq</w:t>
      </w:r>
      <w:r>
        <w:t>.; 44 U.S.C. 3501-21.</w:t>
      </w:r>
    </w:p>
  </w:footnote>
  <w:footnote w:id="11">
    <w:p w14:paraId="2E41B2EF" w14:textId="2F042257" w:rsidR="00CF63E8" w:rsidRDefault="00CF63E8" w:rsidP="0031076B">
      <w:pPr>
        <w:pStyle w:val="FootnoteText"/>
      </w:pPr>
      <w:r>
        <w:rPr>
          <w:rStyle w:val="FootnoteReference"/>
        </w:rPr>
        <w:footnoteRef/>
      </w:r>
      <w:r>
        <w:t xml:space="preserve"> 18 CFR 35.35(h).</w:t>
      </w:r>
    </w:p>
  </w:footnote>
  <w:footnote w:id="12">
    <w:p w14:paraId="50716495" w14:textId="4F8C8C0F" w:rsidR="00CF63E8" w:rsidRDefault="00CF63E8" w:rsidP="0031076B">
      <w:pPr>
        <w:pStyle w:val="FootnoteText"/>
      </w:pPr>
      <w:r>
        <w:rPr>
          <w:rStyle w:val="FootnoteReference"/>
        </w:rPr>
        <w:footnoteRef/>
      </w:r>
      <w:r>
        <w:t xml:space="preserve"> 5 CFR 1320.13.</w:t>
      </w:r>
    </w:p>
  </w:footnote>
  <w:footnote w:id="13">
    <w:p w14:paraId="2C4EEF96" w14:textId="1C8A45C8" w:rsidR="00CF63E8" w:rsidRDefault="00CF63E8" w:rsidP="0031076B">
      <w:pPr>
        <w:pStyle w:val="FootnoteText"/>
      </w:pPr>
      <w:r>
        <w:rPr>
          <w:rStyle w:val="FootnoteReference"/>
        </w:rPr>
        <w:footnoteRef/>
      </w:r>
      <w:r>
        <w:t xml:space="preserve"> Order No. 679, 116 FERC ¶ 61,057 at PP 406-07.</w:t>
      </w:r>
    </w:p>
  </w:footnote>
  <w:footnote w:id="14">
    <w:p w14:paraId="6B4A0ED4" w14:textId="4760C18B" w:rsidR="00CF63E8" w:rsidRPr="00A972FF" w:rsidRDefault="00CF63E8" w:rsidP="0031076B">
      <w:pPr>
        <w:pStyle w:val="FootnoteText"/>
      </w:pPr>
      <w:r w:rsidRPr="00247449">
        <w:rPr>
          <w:rStyle w:val="FootnoteReference"/>
        </w:rPr>
        <w:footnoteRef/>
      </w:r>
      <w:r w:rsidRPr="00A972FF">
        <w:t xml:space="preserve"> </w:t>
      </w:r>
      <w:r w:rsidRPr="00134006">
        <w:rPr>
          <w:i/>
          <w:iCs/>
        </w:rPr>
        <w:t>Regulations Implementing the National Environmental Policy Act of 1969</w:t>
      </w:r>
      <w:r w:rsidRPr="00134006">
        <w:t xml:space="preserve">, Order No. 486, </w:t>
      </w:r>
      <w:r>
        <w:t xml:space="preserve">52 FR 47897 (1987), </w:t>
      </w:r>
      <w:r w:rsidRPr="00134006">
        <w:t xml:space="preserve">FERC Stats. &amp; Regs. ¶ 30,783 (1987) </w:t>
      </w:r>
      <w:r w:rsidR="005F031C">
        <w:t xml:space="preserve">            </w:t>
      </w:r>
      <w:r w:rsidRPr="00134006">
        <w:t>(cross-referenced at 41 FERC ¶ 61,284).</w:t>
      </w:r>
    </w:p>
  </w:footnote>
  <w:footnote w:id="15">
    <w:p w14:paraId="1327C3D8" w14:textId="66F1D193" w:rsidR="00CF63E8" w:rsidRDefault="00CF63E8" w:rsidP="0031076B">
      <w:pPr>
        <w:autoSpaceDE w:val="0"/>
        <w:autoSpaceDN w:val="0"/>
        <w:adjustRightInd w:val="0"/>
        <w:ind w:firstLine="720"/>
        <w:jc w:val="both"/>
        <w:rPr>
          <w:szCs w:val="26"/>
        </w:rPr>
      </w:pPr>
      <w:r>
        <w:rPr>
          <w:rStyle w:val="FootnoteReference"/>
        </w:rPr>
        <w:footnoteRef/>
      </w:r>
      <w:r>
        <w:t xml:space="preserve"> </w:t>
      </w:r>
      <w:r w:rsidRPr="00E061FA">
        <w:rPr>
          <w:szCs w:val="26"/>
        </w:rPr>
        <w:t>18 CFR 380.4(a)(</w:t>
      </w:r>
      <w:r>
        <w:rPr>
          <w:szCs w:val="26"/>
        </w:rPr>
        <w:t>2</w:t>
      </w:r>
      <w:r w:rsidRPr="00E061FA">
        <w:rPr>
          <w:szCs w:val="26"/>
        </w:rPr>
        <w:t>)</w:t>
      </w:r>
      <w:r>
        <w:rPr>
          <w:szCs w:val="26"/>
        </w:rPr>
        <w:t>(ii)</w:t>
      </w:r>
      <w:r w:rsidRPr="00E061FA">
        <w:rPr>
          <w:szCs w:val="26"/>
        </w:rPr>
        <w:t>.</w:t>
      </w:r>
    </w:p>
    <w:p w14:paraId="7790ED70" w14:textId="77777777" w:rsidR="00CF63E8" w:rsidRPr="008163DF" w:rsidRDefault="00CF63E8" w:rsidP="008163DF">
      <w:pPr>
        <w:autoSpaceDE w:val="0"/>
        <w:autoSpaceDN w:val="0"/>
        <w:adjustRightInd w:val="0"/>
        <w:jc w:val="both"/>
        <w:rPr>
          <w:color w:val="000000"/>
          <w:szCs w:val="26"/>
        </w:rPr>
      </w:pPr>
    </w:p>
  </w:footnote>
  <w:footnote w:id="16">
    <w:p w14:paraId="0DF1D5D4" w14:textId="6601D475" w:rsidR="00CF63E8" w:rsidRPr="00A972FF" w:rsidRDefault="00CF63E8" w:rsidP="0031076B">
      <w:pPr>
        <w:pStyle w:val="FootnoteText"/>
      </w:pPr>
      <w:r w:rsidRPr="00247449">
        <w:rPr>
          <w:rStyle w:val="FootnoteReference"/>
        </w:rPr>
        <w:footnoteRef/>
      </w:r>
      <w:r w:rsidRPr="00A972FF">
        <w:t xml:space="preserve"> 5 U.S.C. 601-12.</w:t>
      </w:r>
    </w:p>
  </w:footnote>
  <w:footnote w:id="17">
    <w:p w14:paraId="78498E36" w14:textId="6446098A" w:rsidR="00CF63E8" w:rsidRDefault="00CF63E8">
      <w:pPr>
        <w:pStyle w:val="FootnoteText"/>
      </w:pPr>
      <w:r>
        <w:rPr>
          <w:rStyle w:val="FootnoteReference"/>
        </w:rPr>
        <w:footnoteRef/>
      </w:r>
      <w:r>
        <w:t xml:space="preserve"> 18 CFR 35.35(h).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14D3" w14:textId="77777777" w:rsidR="00CF63E8" w:rsidRDefault="00CF63E8" w:rsidP="002B10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DB5AD" w14:textId="77777777" w:rsidR="00CF63E8" w:rsidRDefault="00CF63E8" w:rsidP="002B10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0EDC0" w14:textId="77777777" w:rsidR="00CF63E8" w:rsidRDefault="00CF63E8" w:rsidP="00247449">
    <w:pPr>
      <w:pStyle w:val="Header"/>
      <w:tabs>
        <w:tab w:val="clear" w:pos="4680"/>
      </w:tabs>
      <w:spacing w:after="240"/>
    </w:pPr>
    <w:r>
      <w:t xml:space="preserve">Docket No.  </w:t>
    </w:r>
    <w:r>
      <w:tab/>
    </w:r>
    <w:r>
      <w:fldChar w:fldCharType="begin"/>
    </w:r>
    <w:r>
      <w:instrText xml:space="preserve"> PAGE  \* MERGEFORMAT </w:instrText>
    </w:r>
    <w:r>
      <w:fldChar w:fldCharType="separate"/>
    </w:r>
    <w:r>
      <w:rPr>
        <w:noProof/>
      </w:rPr>
      <w:t>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6BBCA" w14:textId="77777777" w:rsidR="005F031C" w:rsidRDefault="005F0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2FDF" w14:textId="77777777" w:rsidR="00CF63E8" w:rsidRDefault="00CF63E8"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154E5156" w14:textId="77777777" w:rsidR="00CF63E8" w:rsidRDefault="00CF63E8"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B7C8D" w14:textId="4FF7AF00" w:rsidR="00CF63E8" w:rsidRDefault="00CF63E8" w:rsidP="00247449">
    <w:pPr>
      <w:pStyle w:val="Header"/>
      <w:tabs>
        <w:tab w:val="clear" w:pos="4680"/>
      </w:tabs>
      <w:spacing w:after="240"/>
    </w:pPr>
    <w:r>
      <w:t>Docket No. RM20-11-000</w:t>
    </w:r>
    <w:r>
      <w:tab/>
    </w:r>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33FA" w14:textId="527C627A" w:rsidR="00CF63E8" w:rsidRDefault="00CF63E8" w:rsidP="0068120E">
    <w:pPr>
      <w:pStyle w:val="Header"/>
      <w:rPr>
        <w:rFonts w:ascii="Arial" w:hAnsi="Arial" w:cs="Arial"/>
        <w:color w:val="333333"/>
        <w:sz w:val="20"/>
        <w:szCs w:val="20"/>
        <w:shd w:val="clear" w:color="auto" w:fill="FFFFFF"/>
      </w:rPr>
    </w:pPr>
    <w:r>
      <w:rPr>
        <w:rFonts w:ascii="Arial" w:hAnsi="Arial" w:cs="Arial"/>
        <w:b/>
        <w:bCs/>
        <w:sz w:val="20"/>
        <w:szCs w:val="20"/>
      </w:rPr>
      <w:tab/>
    </w:r>
    <w:r>
      <w:tab/>
    </w:r>
    <w:r>
      <w:tab/>
    </w:r>
    <w:r>
      <w:tab/>
    </w:r>
    <w:r w:rsidRPr="00F10D30">
      <w:rPr>
        <w:rStyle w:val="Strong"/>
        <w:rFonts w:ascii="Arial" w:hAnsi="Arial" w:cs="Arial"/>
        <w:color w:val="333333"/>
        <w:sz w:val="20"/>
        <w:szCs w:val="20"/>
        <w:shd w:val="clear" w:color="auto" w:fill="FFFFFF"/>
      </w:rPr>
      <w:t xml:space="preserve">OMB </w:t>
    </w:r>
    <w:r>
      <w:rPr>
        <w:rStyle w:val="Strong"/>
        <w:rFonts w:ascii="Arial" w:hAnsi="Arial" w:cs="Arial"/>
        <w:color w:val="333333"/>
        <w:sz w:val="20"/>
        <w:szCs w:val="20"/>
        <w:shd w:val="clear" w:color="auto" w:fill="FFFFFF"/>
      </w:rPr>
      <w:t>Control Number</w:t>
    </w:r>
    <w:r w:rsidRPr="00F10D30">
      <w:rPr>
        <w:rStyle w:val="Strong"/>
        <w:rFonts w:ascii="Arial" w:hAnsi="Arial" w:cs="Arial"/>
        <w:color w:val="333333"/>
        <w:sz w:val="20"/>
        <w:szCs w:val="20"/>
        <w:shd w:val="clear" w:color="auto" w:fill="FFFFFF"/>
      </w:rPr>
      <w:t>:</w:t>
    </w:r>
    <w:r>
      <w:rPr>
        <w:rStyle w:val="apple-converted-space"/>
        <w:rFonts w:ascii="Arial" w:hAnsi="Arial" w:cs="Arial"/>
        <w:color w:val="333333"/>
        <w:sz w:val="20"/>
        <w:szCs w:val="20"/>
        <w:shd w:val="clear" w:color="auto" w:fill="FFFFFF"/>
      </w:rPr>
      <w:t xml:space="preserve"> </w:t>
    </w:r>
    <w:r w:rsidRPr="00F10D30">
      <w:rPr>
        <w:rFonts w:ascii="Arial" w:hAnsi="Arial" w:cs="Arial"/>
        <w:color w:val="333333"/>
        <w:sz w:val="20"/>
        <w:szCs w:val="20"/>
        <w:shd w:val="clear" w:color="auto" w:fill="FFFFFF"/>
      </w:rPr>
      <w:t>1902-0239</w:t>
    </w:r>
  </w:p>
  <w:p w14:paraId="027EA875" w14:textId="7632AB2B" w:rsidR="00CF63E8" w:rsidRPr="00F10D30" w:rsidRDefault="00CF63E8" w:rsidP="0068120E">
    <w:pPr>
      <w:pStyle w:val="Header"/>
      <w:tabs>
        <w:tab w:val="left" w:pos="6210"/>
        <w:tab w:val="left" w:pos="8370"/>
      </w:tabs>
      <w:rPr>
        <w:rFonts w:ascii="Arial" w:hAnsi="Arial" w:cs="Arial"/>
        <w:sz w:val="20"/>
        <w:szCs w:val="20"/>
      </w:rPr>
    </w:pPr>
    <w:r>
      <w:rPr>
        <w:rFonts w:ascii="Arial" w:hAnsi="Arial" w:cs="Arial"/>
        <w:color w:val="333333"/>
        <w:sz w:val="20"/>
        <w:szCs w:val="20"/>
        <w:shd w:val="clear" w:color="auto" w:fill="FFFFFF"/>
      </w:rPr>
      <w:tab/>
    </w:r>
    <w:r>
      <w:rPr>
        <w:rFonts w:ascii="Arial" w:hAnsi="Arial" w:cs="Arial"/>
        <w:color w:val="333333"/>
        <w:sz w:val="20"/>
        <w:szCs w:val="20"/>
        <w:shd w:val="clear" w:color="auto" w:fill="FFFFFF"/>
      </w:rPr>
      <w:tab/>
    </w:r>
    <w:r w:rsidRPr="00DF5D2A">
      <w:rPr>
        <w:rFonts w:ascii="Arial" w:hAnsi="Arial" w:cs="Arial"/>
        <w:b/>
        <w:color w:val="333333"/>
        <w:sz w:val="20"/>
        <w:szCs w:val="20"/>
        <w:shd w:val="clear" w:color="auto" w:fill="FFFFFF"/>
      </w:rPr>
      <w:t>Expiration Date:</w:t>
    </w:r>
    <w:r>
      <w:rPr>
        <w:rFonts w:ascii="Arial" w:hAnsi="Arial" w:cs="Arial"/>
        <w:color w:val="333333"/>
        <w:sz w:val="20"/>
        <w:szCs w:val="20"/>
        <w:shd w:val="clear" w:color="auto" w:fill="FFFFFF"/>
      </w:rPr>
      <w:t xml:space="preserve"> </w:t>
    </w:r>
    <w:r w:rsidRPr="00F10D30">
      <w:rPr>
        <w:rFonts w:ascii="Arial" w:hAnsi="Arial" w:cs="Arial"/>
        <w:color w:val="333333"/>
        <w:sz w:val="20"/>
        <w:szCs w:val="20"/>
        <w:shd w:val="clear" w:color="auto" w:fill="FFFFFF"/>
      </w:rPr>
      <w:t>0</w:t>
    </w:r>
    <w:r>
      <w:rPr>
        <w:rFonts w:ascii="Arial" w:hAnsi="Arial" w:cs="Arial"/>
        <w:color w:val="333333"/>
        <w:sz w:val="20"/>
        <w:szCs w:val="20"/>
        <w:shd w:val="clear" w:color="auto" w:fill="FFFFFF"/>
      </w:rPr>
      <w:t>6</w:t>
    </w:r>
    <w:r w:rsidRPr="00F10D30">
      <w:rPr>
        <w:rFonts w:ascii="Arial" w:hAnsi="Arial" w:cs="Arial"/>
        <w:color w:val="333333"/>
        <w:sz w:val="20"/>
        <w:szCs w:val="20"/>
        <w:shd w:val="clear" w:color="auto" w:fill="FFFFFF"/>
      </w:rPr>
      <w:t>/</w:t>
    </w:r>
    <w:r>
      <w:rPr>
        <w:rFonts w:ascii="Arial" w:hAnsi="Arial" w:cs="Arial"/>
        <w:color w:val="333333"/>
        <w:sz w:val="20"/>
        <w:szCs w:val="20"/>
        <w:shd w:val="clear" w:color="auto" w:fill="FFFFFF"/>
      </w:rPr>
      <w:t>30</w:t>
    </w:r>
    <w:r w:rsidRPr="00F10D30">
      <w:rPr>
        <w:rFonts w:ascii="Arial" w:hAnsi="Arial" w:cs="Arial"/>
        <w:color w:val="333333"/>
        <w:sz w:val="20"/>
        <w:szCs w:val="20"/>
        <w:shd w:val="clear" w:color="auto" w:fill="FFFFFF"/>
      </w:rPr>
      <w:t>/20</w:t>
    </w:r>
    <w:r>
      <w:rPr>
        <w:rFonts w:ascii="Arial" w:hAnsi="Arial" w:cs="Arial"/>
        <w:sz w:val="20"/>
        <w:szCs w:val="20"/>
      </w:rPr>
      <w:t>XX</w:t>
    </w:r>
  </w:p>
  <w:p w14:paraId="5011518A" w14:textId="1CF425EB" w:rsidR="00CF63E8" w:rsidRDefault="00CF63E8" w:rsidP="0068120E">
    <w:pPr>
      <w:pStyle w:val="Header"/>
      <w:tabs>
        <w:tab w:val="left" w:pos="6210"/>
      </w:tabs>
    </w:pPr>
    <w:r>
      <w:rPr>
        <w:rFonts w:ascii="Arial" w:hAnsi="Arial" w:cs="Arial"/>
        <w:b/>
        <w:bCs/>
        <w:sz w:val="20"/>
        <w:szCs w:val="20"/>
      </w:rPr>
      <w:tab/>
    </w:r>
    <w:r>
      <w:rPr>
        <w:rFonts w:ascii="Arial" w:hAnsi="Arial" w:cs="Arial"/>
        <w:b/>
        <w:bCs/>
        <w:sz w:val="20"/>
        <w:szCs w:val="20"/>
      </w:rPr>
      <w:tab/>
      <w:t>Annual Due</w:t>
    </w:r>
    <w:r w:rsidRPr="00F01A41">
      <w:rPr>
        <w:rFonts w:ascii="Arial" w:hAnsi="Arial" w:cs="Arial"/>
        <w:b/>
        <w:bCs/>
        <w:sz w:val="20"/>
        <w:szCs w:val="20"/>
      </w:rPr>
      <w:t xml:space="preserve"> Date</w:t>
    </w:r>
    <w:r>
      <w:rPr>
        <w:rFonts w:ascii="Arial" w:hAnsi="Arial" w:cs="Arial"/>
        <w:b/>
        <w:bCs/>
        <w:sz w:val="20"/>
        <w:szCs w:val="20"/>
      </w:rPr>
      <w:t xml:space="preserve">: </w:t>
    </w:r>
    <w:r>
      <w:rPr>
        <w:rFonts w:ascii="Arial" w:hAnsi="Arial" w:cs="Arial"/>
        <w:sz w:val="20"/>
        <w:szCs w:val="20"/>
      </w:rPr>
      <w:t>April 18</w:t>
    </w:r>
  </w:p>
  <w:p w14:paraId="43720E73" w14:textId="77777777" w:rsidR="00CF63E8" w:rsidRPr="00DA42D4" w:rsidRDefault="00CF63E8" w:rsidP="0068120E">
    <w:pPr>
      <w:pStyle w:val="Header"/>
      <w:rPr>
        <w:sz w:val="24"/>
        <w:szCs w:val="24"/>
      </w:rPr>
    </w:pPr>
    <w:r w:rsidRPr="00DA42D4">
      <w:rPr>
        <w:sz w:val="24"/>
        <w:szCs w:val="24"/>
      </w:rPr>
      <w:tab/>
    </w:r>
  </w:p>
  <w:p w14:paraId="40E12B18" w14:textId="49852423" w:rsidR="00CF63E8" w:rsidRPr="0068120E" w:rsidRDefault="00CF63E8" w:rsidP="0068120E">
    <w:pPr>
      <w:pStyle w:val="Header"/>
      <w:tabs>
        <w:tab w:val="clear" w:pos="468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2C7121CE"/>
    <w:multiLevelType w:val="hybridMultilevel"/>
    <w:tmpl w:val="188C3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502FF"/>
    <w:multiLevelType w:val="multilevel"/>
    <w:tmpl w:val="868C400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915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49"/>
    <w:rsid w:val="00003340"/>
    <w:rsid w:val="0000502C"/>
    <w:rsid w:val="0000731D"/>
    <w:rsid w:val="00010FA6"/>
    <w:rsid w:val="000118C8"/>
    <w:rsid w:val="000143AA"/>
    <w:rsid w:val="0002042F"/>
    <w:rsid w:val="00022A33"/>
    <w:rsid w:val="0002355F"/>
    <w:rsid w:val="00026815"/>
    <w:rsid w:val="000428C4"/>
    <w:rsid w:val="0004624A"/>
    <w:rsid w:val="000550DC"/>
    <w:rsid w:val="00055F5F"/>
    <w:rsid w:val="0006117F"/>
    <w:rsid w:val="00070857"/>
    <w:rsid w:val="000732BF"/>
    <w:rsid w:val="0007377C"/>
    <w:rsid w:val="0007510B"/>
    <w:rsid w:val="0007636C"/>
    <w:rsid w:val="0008478C"/>
    <w:rsid w:val="00084A31"/>
    <w:rsid w:val="00086D98"/>
    <w:rsid w:val="0008778D"/>
    <w:rsid w:val="00092634"/>
    <w:rsid w:val="0009423C"/>
    <w:rsid w:val="00097C05"/>
    <w:rsid w:val="000A3D2F"/>
    <w:rsid w:val="000A6835"/>
    <w:rsid w:val="000B4124"/>
    <w:rsid w:val="000B7E62"/>
    <w:rsid w:val="000C0253"/>
    <w:rsid w:val="000C1FCA"/>
    <w:rsid w:val="000C4A0B"/>
    <w:rsid w:val="000C59BD"/>
    <w:rsid w:val="000C6869"/>
    <w:rsid w:val="000D0EE6"/>
    <w:rsid w:val="000D1D4B"/>
    <w:rsid w:val="000D1FB6"/>
    <w:rsid w:val="000D739B"/>
    <w:rsid w:val="000D7DD4"/>
    <w:rsid w:val="000D7E96"/>
    <w:rsid w:val="000E0857"/>
    <w:rsid w:val="000E2BFA"/>
    <w:rsid w:val="000F1198"/>
    <w:rsid w:val="000F2DC1"/>
    <w:rsid w:val="000F372C"/>
    <w:rsid w:val="000F603B"/>
    <w:rsid w:val="000F6403"/>
    <w:rsid w:val="000F682C"/>
    <w:rsid w:val="000F6C7F"/>
    <w:rsid w:val="00100E1B"/>
    <w:rsid w:val="00101107"/>
    <w:rsid w:val="00102736"/>
    <w:rsid w:val="0010290F"/>
    <w:rsid w:val="00104F76"/>
    <w:rsid w:val="00120603"/>
    <w:rsid w:val="001209EF"/>
    <w:rsid w:val="00124C66"/>
    <w:rsid w:val="0012713F"/>
    <w:rsid w:val="00127478"/>
    <w:rsid w:val="001279B9"/>
    <w:rsid w:val="00130CCE"/>
    <w:rsid w:val="00132D57"/>
    <w:rsid w:val="00134006"/>
    <w:rsid w:val="001421AA"/>
    <w:rsid w:val="00144405"/>
    <w:rsid w:val="00146A50"/>
    <w:rsid w:val="001520D4"/>
    <w:rsid w:val="001549DE"/>
    <w:rsid w:val="00154C7A"/>
    <w:rsid w:val="00164788"/>
    <w:rsid w:val="0017696A"/>
    <w:rsid w:val="0017701D"/>
    <w:rsid w:val="00177518"/>
    <w:rsid w:val="001818BF"/>
    <w:rsid w:val="0018758C"/>
    <w:rsid w:val="00191617"/>
    <w:rsid w:val="0019292E"/>
    <w:rsid w:val="001960DD"/>
    <w:rsid w:val="001A2567"/>
    <w:rsid w:val="001A2AF1"/>
    <w:rsid w:val="001A33D6"/>
    <w:rsid w:val="001A563A"/>
    <w:rsid w:val="001A794A"/>
    <w:rsid w:val="001B0072"/>
    <w:rsid w:val="001B042B"/>
    <w:rsid w:val="001B1FE9"/>
    <w:rsid w:val="001B2C6D"/>
    <w:rsid w:val="001B2DF9"/>
    <w:rsid w:val="001B362D"/>
    <w:rsid w:val="001B4FB2"/>
    <w:rsid w:val="001C2851"/>
    <w:rsid w:val="001C2DDF"/>
    <w:rsid w:val="001C2FBB"/>
    <w:rsid w:val="001D0AF4"/>
    <w:rsid w:val="001D264B"/>
    <w:rsid w:val="001D3B0D"/>
    <w:rsid w:val="001D7927"/>
    <w:rsid w:val="001E59F9"/>
    <w:rsid w:val="001E7A8F"/>
    <w:rsid w:val="001F51A0"/>
    <w:rsid w:val="001F5CC6"/>
    <w:rsid w:val="001F6170"/>
    <w:rsid w:val="00202BC3"/>
    <w:rsid w:val="00203911"/>
    <w:rsid w:val="00206CB7"/>
    <w:rsid w:val="002072CF"/>
    <w:rsid w:val="00211765"/>
    <w:rsid w:val="002136E7"/>
    <w:rsid w:val="002206DB"/>
    <w:rsid w:val="00224859"/>
    <w:rsid w:val="00225A12"/>
    <w:rsid w:val="002261B3"/>
    <w:rsid w:val="002318B6"/>
    <w:rsid w:val="00233CEF"/>
    <w:rsid w:val="00233FD0"/>
    <w:rsid w:val="002352B0"/>
    <w:rsid w:val="002354E4"/>
    <w:rsid w:val="00240493"/>
    <w:rsid w:val="002454FE"/>
    <w:rsid w:val="002464E8"/>
    <w:rsid w:val="00247449"/>
    <w:rsid w:val="002476C5"/>
    <w:rsid w:val="00253776"/>
    <w:rsid w:val="00255417"/>
    <w:rsid w:val="00256E23"/>
    <w:rsid w:val="00257989"/>
    <w:rsid w:val="00260018"/>
    <w:rsid w:val="00260517"/>
    <w:rsid w:val="00262FED"/>
    <w:rsid w:val="00265210"/>
    <w:rsid w:val="00267328"/>
    <w:rsid w:val="00274963"/>
    <w:rsid w:val="002817CE"/>
    <w:rsid w:val="00283AA6"/>
    <w:rsid w:val="0028432C"/>
    <w:rsid w:val="002857E2"/>
    <w:rsid w:val="002870A9"/>
    <w:rsid w:val="00290ABD"/>
    <w:rsid w:val="00292754"/>
    <w:rsid w:val="002A0B4A"/>
    <w:rsid w:val="002A34C1"/>
    <w:rsid w:val="002A5C43"/>
    <w:rsid w:val="002A729E"/>
    <w:rsid w:val="002A7FB5"/>
    <w:rsid w:val="002B1046"/>
    <w:rsid w:val="002B35F2"/>
    <w:rsid w:val="002B6125"/>
    <w:rsid w:val="002C57E5"/>
    <w:rsid w:val="002C7704"/>
    <w:rsid w:val="002D206A"/>
    <w:rsid w:val="002D358E"/>
    <w:rsid w:val="002D65B3"/>
    <w:rsid w:val="002D7D6B"/>
    <w:rsid w:val="002E4E8A"/>
    <w:rsid w:val="002F52A9"/>
    <w:rsid w:val="00301D68"/>
    <w:rsid w:val="003031DA"/>
    <w:rsid w:val="0031076B"/>
    <w:rsid w:val="00312394"/>
    <w:rsid w:val="00312651"/>
    <w:rsid w:val="00313634"/>
    <w:rsid w:val="00322F05"/>
    <w:rsid w:val="00324F79"/>
    <w:rsid w:val="00327401"/>
    <w:rsid w:val="0032751B"/>
    <w:rsid w:val="003346EB"/>
    <w:rsid w:val="00335933"/>
    <w:rsid w:val="003370E4"/>
    <w:rsid w:val="00341147"/>
    <w:rsid w:val="003437BD"/>
    <w:rsid w:val="00343D67"/>
    <w:rsid w:val="003478CF"/>
    <w:rsid w:val="00350E98"/>
    <w:rsid w:val="00350FC8"/>
    <w:rsid w:val="003520AD"/>
    <w:rsid w:val="00356733"/>
    <w:rsid w:val="00360AA1"/>
    <w:rsid w:val="00364E6F"/>
    <w:rsid w:val="0036500A"/>
    <w:rsid w:val="00374532"/>
    <w:rsid w:val="00374868"/>
    <w:rsid w:val="00375DF4"/>
    <w:rsid w:val="00376313"/>
    <w:rsid w:val="00381561"/>
    <w:rsid w:val="00383004"/>
    <w:rsid w:val="003830CE"/>
    <w:rsid w:val="00385E2D"/>
    <w:rsid w:val="0039262E"/>
    <w:rsid w:val="003937F3"/>
    <w:rsid w:val="003A15D6"/>
    <w:rsid w:val="003A5145"/>
    <w:rsid w:val="003B2445"/>
    <w:rsid w:val="003B7E9A"/>
    <w:rsid w:val="003B7F05"/>
    <w:rsid w:val="003C3A1E"/>
    <w:rsid w:val="003C505B"/>
    <w:rsid w:val="003C71CF"/>
    <w:rsid w:val="003C789D"/>
    <w:rsid w:val="003D4A56"/>
    <w:rsid w:val="003D5827"/>
    <w:rsid w:val="003D7B2C"/>
    <w:rsid w:val="003E1917"/>
    <w:rsid w:val="003E259A"/>
    <w:rsid w:val="003E5211"/>
    <w:rsid w:val="003F31D2"/>
    <w:rsid w:val="003F3716"/>
    <w:rsid w:val="003F3DC0"/>
    <w:rsid w:val="003F4845"/>
    <w:rsid w:val="003F4DBE"/>
    <w:rsid w:val="003F52BC"/>
    <w:rsid w:val="003F557E"/>
    <w:rsid w:val="003F7CC5"/>
    <w:rsid w:val="00400D68"/>
    <w:rsid w:val="00401A63"/>
    <w:rsid w:val="00405FF7"/>
    <w:rsid w:val="004067AD"/>
    <w:rsid w:val="00407EE0"/>
    <w:rsid w:val="00414806"/>
    <w:rsid w:val="00424B78"/>
    <w:rsid w:val="004335E8"/>
    <w:rsid w:val="00436A3E"/>
    <w:rsid w:val="0044002E"/>
    <w:rsid w:val="00440D78"/>
    <w:rsid w:val="00441A2A"/>
    <w:rsid w:val="004420F6"/>
    <w:rsid w:val="0044359A"/>
    <w:rsid w:val="00444F65"/>
    <w:rsid w:val="004476C6"/>
    <w:rsid w:val="0045130C"/>
    <w:rsid w:val="00453578"/>
    <w:rsid w:val="00454A58"/>
    <w:rsid w:val="00455214"/>
    <w:rsid w:val="00456D5A"/>
    <w:rsid w:val="0046133D"/>
    <w:rsid w:val="00472C9B"/>
    <w:rsid w:val="00473A5E"/>
    <w:rsid w:val="00474C33"/>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3D59"/>
    <w:rsid w:val="004B4A8D"/>
    <w:rsid w:val="004C0E28"/>
    <w:rsid w:val="004C190E"/>
    <w:rsid w:val="004C456B"/>
    <w:rsid w:val="004C4741"/>
    <w:rsid w:val="004C4D5F"/>
    <w:rsid w:val="004D35E8"/>
    <w:rsid w:val="004D614C"/>
    <w:rsid w:val="004E1DAE"/>
    <w:rsid w:val="004E25A6"/>
    <w:rsid w:val="004F6475"/>
    <w:rsid w:val="0050001C"/>
    <w:rsid w:val="00513E14"/>
    <w:rsid w:val="005154C1"/>
    <w:rsid w:val="005162AB"/>
    <w:rsid w:val="00521122"/>
    <w:rsid w:val="0052351B"/>
    <w:rsid w:val="00541146"/>
    <w:rsid w:val="00542814"/>
    <w:rsid w:val="00545CC2"/>
    <w:rsid w:val="00546238"/>
    <w:rsid w:val="00547D3F"/>
    <w:rsid w:val="00552271"/>
    <w:rsid w:val="00552A11"/>
    <w:rsid w:val="0055307B"/>
    <w:rsid w:val="005559F8"/>
    <w:rsid w:val="005577D9"/>
    <w:rsid w:val="00561DA8"/>
    <w:rsid w:val="00562CB2"/>
    <w:rsid w:val="00564780"/>
    <w:rsid w:val="00571D6D"/>
    <w:rsid w:val="00572F46"/>
    <w:rsid w:val="00574A02"/>
    <w:rsid w:val="00576A54"/>
    <w:rsid w:val="00577DC6"/>
    <w:rsid w:val="005816F4"/>
    <w:rsid w:val="00581BDF"/>
    <w:rsid w:val="00585174"/>
    <w:rsid w:val="0059038C"/>
    <w:rsid w:val="005921E2"/>
    <w:rsid w:val="00594E87"/>
    <w:rsid w:val="005950E5"/>
    <w:rsid w:val="00597309"/>
    <w:rsid w:val="005A4CD3"/>
    <w:rsid w:val="005A6F7C"/>
    <w:rsid w:val="005B132F"/>
    <w:rsid w:val="005B18B2"/>
    <w:rsid w:val="005B40A6"/>
    <w:rsid w:val="005C0180"/>
    <w:rsid w:val="005C01B7"/>
    <w:rsid w:val="005C5878"/>
    <w:rsid w:val="005D2A79"/>
    <w:rsid w:val="005D3004"/>
    <w:rsid w:val="005D3D39"/>
    <w:rsid w:val="005D787E"/>
    <w:rsid w:val="005D7C39"/>
    <w:rsid w:val="005E13DF"/>
    <w:rsid w:val="005E387D"/>
    <w:rsid w:val="005E3B75"/>
    <w:rsid w:val="005E3D15"/>
    <w:rsid w:val="005E4C65"/>
    <w:rsid w:val="005E5308"/>
    <w:rsid w:val="005F031C"/>
    <w:rsid w:val="005F0675"/>
    <w:rsid w:val="005F2946"/>
    <w:rsid w:val="005F34C6"/>
    <w:rsid w:val="005F4318"/>
    <w:rsid w:val="005F4F8E"/>
    <w:rsid w:val="005F54A4"/>
    <w:rsid w:val="005F71BA"/>
    <w:rsid w:val="005F71D1"/>
    <w:rsid w:val="0060035F"/>
    <w:rsid w:val="00600FC3"/>
    <w:rsid w:val="0060560E"/>
    <w:rsid w:val="00607205"/>
    <w:rsid w:val="006074E4"/>
    <w:rsid w:val="006112D1"/>
    <w:rsid w:val="006112FA"/>
    <w:rsid w:val="006177F8"/>
    <w:rsid w:val="00620205"/>
    <w:rsid w:val="00622D42"/>
    <w:rsid w:val="00622F63"/>
    <w:rsid w:val="00623402"/>
    <w:rsid w:val="00624B34"/>
    <w:rsid w:val="00625B93"/>
    <w:rsid w:val="00633563"/>
    <w:rsid w:val="00636271"/>
    <w:rsid w:val="0064193A"/>
    <w:rsid w:val="006425C5"/>
    <w:rsid w:val="006425D2"/>
    <w:rsid w:val="00643C5A"/>
    <w:rsid w:val="006502FA"/>
    <w:rsid w:val="00653D8D"/>
    <w:rsid w:val="00655A79"/>
    <w:rsid w:val="00667B22"/>
    <w:rsid w:val="006710C1"/>
    <w:rsid w:val="0067304E"/>
    <w:rsid w:val="006745E5"/>
    <w:rsid w:val="00677A0E"/>
    <w:rsid w:val="00681181"/>
    <w:rsid w:val="0068120E"/>
    <w:rsid w:val="00682099"/>
    <w:rsid w:val="00682512"/>
    <w:rsid w:val="006836A4"/>
    <w:rsid w:val="00685A22"/>
    <w:rsid w:val="006907CD"/>
    <w:rsid w:val="00691446"/>
    <w:rsid w:val="00694F3D"/>
    <w:rsid w:val="006A18B6"/>
    <w:rsid w:val="006A1EDC"/>
    <w:rsid w:val="006A5B0F"/>
    <w:rsid w:val="006A5ED6"/>
    <w:rsid w:val="006A5FF3"/>
    <w:rsid w:val="006B20EE"/>
    <w:rsid w:val="006B4826"/>
    <w:rsid w:val="006B5B8D"/>
    <w:rsid w:val="006C1614"/>
    <w:rsid w:val="006C1D8C"/>
    <w:rsid w:val="006C51D5"/>
    <w:rsid w:val="006D1E49"/>
    <w:rsid w:val="006D3F2C"/>
    <w:rsid w:val="006D432E"/>
    <w:rsid w:val="006D4787"/>
    <w:rsid w:val="006D5B0E"/>
    <w:rsid w:val="006E389C"/>
    <w:rsid w:val="006E4894"/>
    <w:rsid w:val="006E6044"/>
    <w:rsid w:val="006F0793"/>
    <w:rsid w:val="006F0AFA"/>
    <w:rsid w:val="006F1B52"/>
    <w:rsid w:val="006F27A6"/>
    <w:rsid w:val="006F2B7E"/>
    <w:rsid w:val="006F42DE"/>
    <w:rsid w:val="00705B33"/>
    <w:rsid w:val="0070615E"/>
    <w:rsid w:val="00706C4B"/>
    <w:rsid w:val="00710A58"/>
    <w:rsid w:val="007116AC"/>
    <w:rsid w:val="007124A2"/>
    <w:rsid w:val="007133ED"/>
    <w:rsid w:val="00714364"/>
    <w:rsid w:val="00721419"/>
    <w:rsid w:val="007230D6"/>
    <w:rsid w:val="00723E4B"/>
    <w:rsid w:val="00724553"/>
    <w:rsid w:val="0072563F"/>
    <w:rsid w:val="00732CFA"/>
    <w:rsid w:val="00732E2C"/>
    <w:rsid w:val="00733398"/>
    <w:rsid w:val="00734468"/>
    <w:rsid w:val="00735ECF"/>
    <w:rsid w:val="007368A2"/>
    <w:rsid w:val="00736DE9"/>
    <w:rsid w:val="00740ED2"/>
    <w:rsid w:val="00742439"/>
    <w:rsid w:val="00743A10"/>
    <w:rsid w:val="007465A9"/>
    <w:rsid w:val="00754A0D"/>
    <w:rsid w:val="007552C1"/>
    <w:rsid w:val="007562E2"/>
    <w:rsid w:val="00757078"/>
    <w:rsid w:val="007577C2"/>
    <w:rsid w:val="00762F2B"/>
    <w:rsid w:val="0076328E"/>
    <w:rsid w:val="0076452A"/>
    <w:rsid w:val="0076561E"/>
    <w:rsid w:val="007661B0"/>
    <w:rsid w:val="00773353"/>
    <w:rsid w:val="007755F2"/>
    <w:rsid w:val="00780A45"/>
    <w:rsid w:val="00783842"/>
    <w:rsid w:val="007876E3"/>
    <w:rsid w:val="007928AD"/>
    <w:rsid w:val="00794724"/>
    <w:rsid w:val="007A0174"/>
    <w:rsid w:val="007A076E"/>
    <w:rsid w:val="007A0BB2"/>
    <w:rsid w:val="007A5131"/>
    <w:rsid w:val="007B14A5"/>
    <w:rsid w:val="007B4019"/>
    <w:rsid w:val="007B66A0"/>
    <w:rsid w:val="007B6E4E"/>
    <w:rsid w:val="007B71E9"/>
    <w:rsid w:val="007C1702"/>
    <w:rsid w:val="007C41D1"/>
    <w:rsid w:val="007C48C7"/>
    <w:rsid w:val="007C69D6"/>
    <w:rsid w:val="007D2CEB"/>
    <w:rsid w:val="007D3591"/>
    <w:rsid w:val="007D6683"/>
    <w:rsid w:val="007E6167"/>
    <w:rsid w:val="007E72BE"/>
    <w:rsid w:val="007E74C5"/>
    <w:rsid w:val="007F0E34"/>
    <w:rsid w:val="007F20E5"/>
    <w:rsid w:val="007F2E16"/>
    <w:rsid w:val="007F32C6"/>
    <w:rsid w:val="007F6368"/>
    <w:rsid w:val="007F7B7F"/>
    <w:rsid w:val="008043DE"/>
    <w:rsid w:val="0080498D"/>
    <w:rsid w:val="0080606A"/>
    <w:rsid w:val="008065F0"/>
    <w:rsid w:val="00807C2F"/>
    <w:rsid w:val="008129C6"/>
    <w:rsid w:val="00812E0A"/>
    <w:rsid w:val="0081352B"/>
    <w:rsid w:val="00814514"/>
    <w:rsid w:val="008163DF"/>
    <w:rsid w:val="008237E2"/>
    <w:rsid w:val="008255E4"/>
    <w:rsid w:val="00827BAD"/>
    <w:rsid w:val="00830639"/>
    <w:rsid w:val="008309C9"/>
    <w:rsid w:val="00830BC7"/>
    <w:rsid w:val="008335E3"/>
    <w:rsid w:val="00834DCB"/>
    <w:rsid w:val="008351F1"/>
    <w:rsid w:val="00836673"/>
    <w:rsid w:val="00840C01"/>
    <w:rsid w:val="00840C42"/>
    <w:rsid w:val="0084167C"/>
    <w:rsid w:val="00844F10"/>
    <w:rsid w:val="00845186"/>
    <w:rsid w:val="00845BBC"/>
    <w:rsid w:val="00847F2B"/>
    <w:rsid w:val="00850048"/>
    <w:rsid w:val="008513D8"/>
    <w:rsid w:val="00852C25"/>
    <w:rsid w:val="00855D43"/>
    <w:rsid w:val="008561D7"/>
    <w:rsid w:val="00860B22"/>
    <w:rsid w:val="00861074"/>
    <w:rsid w:val="008636FC"/>
    <w:rsid w:val="00863DB6"/>
    <w:rsid w:val="0086711E"/>
    <w:rsid w:val="00871164"/>
    <w:rsid w:val="00873BC6"/>
    <w:rsid w:val="00874FB1"/>
    <w:rsid w:val="008771F4"/>
    <w:rsid w:val="00880902"/>
    <w:rsid w:val="00881E3C"/>
    <w:rsid w:val="0088740E"/>
    <w:rsid w:val="00892A4E"/>
    <w:rsid w:val="0089315F"/>
    <w:rsid w:val="00894A27"/>
    <w:rsid w:val="00896A4C"/>
    <w:rsid w:val="00896EBA"/>
    <w:rsid w:val="0089797F"/>
    <w:rsid w:val="008A23C9"/>
    <w:rsid w:val="008A39F8"/>
    <w:rsid w:val="008A704A"/>
    <w:rsid w:val="008B0B3A"/>
    <w:rsid w:val="008B32A9"/>
    <w:rsid w:val="008C0083"/>
    <w:rsid w:val="008C2EDB"/>
    <w:rsid w:val="008C6C9A"/>
    <w:rsid w:val="008C701E"/>
    <w:rsid w:val="008D1B64"/>
    <w:rsid w:val="008D4162"/>
    <w:rsid w:val="008D4C3C"/>
    <w:rsid w:val="008D4E54"/>
    <w:rsid w:val="008E51AF"/>
    <w:rsid w:val="008E548A"/>
    <w:rsid w:val="008E74A2"/>
    <w:rsid w:val="008F4B82"/>
    <w:rsid w:val="00903AC3"/>
    <w:rsid w:val="0090412E"/>
    <w:rsid w:val="00904536"/>
    <w:rsid w:val="0090478A"/>
    <w:rsid w:val="009102A7"/>
    <w:rsid w:val="00911D86"/>
    <w:rsid w:val="009144B5"/>
    <w:rsid w:val="009146F6"/>
    <w:rsid w:val="00915863"/>
    <w:rsid w:val="00916ED7"/>
    <w:rsid w:val="00926E69"/>
    <w:rsid w:val="00930EF7"/>
    <w:rsid w:val="009317B8"/>
    <w:rsid w:val="00932DA8"/>
    <w:rsid w:val="009360D6"/>
    <w:rsid w:val="00936510"/>
    <w:rsid w:val="00941336"/>
    <w:rsid w:val="00945E92"/>
    <w:rsid w:val="009466EE"/>
    <w:rsid w:val="009575E1"/>
    <w:rsid w:val="00960BC7"/>
    <w:rsid w:val="00962129"/>
    <w:rsid w:val="009632C9"/>
    <w:rsid w:val="00964625"/>
    <w:rsid w:val="009667EE"/>
    <w:rsid w:val="0097316B"/>
    <w:rsid w:val="0097354A"/>
    <w:rsid w:val="00974FAA"/>
    <w:rsid w:val="00977184"/>
    <w:rsid w:val="0097718F"/>
    <w:rsid w:val="009802C9"/>
    <w:rsid w:val="00985ABF"/>
    <w:rsid w:val="00991685"/>
    <w:rsid w:val="009927FA"/>
    <w:rsid w:val="009967F2"/>
    <w:rsid w:val="00997790"/>
    <w:rsid w:val="00997CCA"/>
    <w:rsid w:val="009A66D0"/>
    <w:rsid w:val="009B01FC"/>
    <w:rsid w:val="009B1BFE"/>
    <w:rsid w:val="009B7367"/>
    <w:rsid w:val="009C637B"/>
    <w:rsid w:val="009D3F76"/>
    <w:rsid w:val="009E0EA2"/>
    <w:rsid w:val="009E214D"/>
    <w:rsid w:val="009E28EC"/>
    <w:rsid w:val="009E4841"/>
    <w:rsid w:val="009E7983"/>
    <w:rsid w:val="009F2E31"/>
    <w:rsid w:val="009F3F1F"/>
    <w:rsid w:val="009F4FB3"/>
    <w:rsid w:val="009F6713"/>
    <w:rsid w:val="009F71D1"/>
    <w:rsid w:val="00A00DD6"/>
    <w:rsid w:val="00A017BA"/>
    <w:rsid w:val="00A01EFD"/>
    <w:rsid w:val="00A023E1"/>
    <w:rsid w:val="00A026DF"/>
    <w:rsid w:val="00A03A5F"/>
    <w:rsid w:val="00A04100"/>
    <w:rsid w:val="00A066DE"/>
    <w:rsid w:val="00A075C8"/>
    <w:rsid w:val="00A10B65"/>
    <w:rsid w:val="00A141E5"/>
    <w:rsid w:val="00A15581"/>
    <w:rsid w:val="00A1593F"/>
    <w:rsid w:val="00A15B57"/>
    <w:rsid w:val="00A21F92"/>
    <w:rsid w:val="00A243C9"/>
    <w:rsid w:val="00A2536F"/>
    <w:rsid w:val="00A263F4"/>
    <w:rsid w:val="00A26AF6"/>
    <w:rsid w:val="00A278F0"/>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73FFF"/>
    <w:rsid w:val="00A80964"/>
    <w:rsid w:val="00A83111"/>
    <w:rsid w:val="00A84047"/>
    <w:rsid w:val="00A855AA"/>
    <w:rsid w:val="00A85982"/>
    <w:rsid w:val="00A934C1"/>
    <w:rsid w:val="00A972FF"/>
    <w:rsid w:val="00AA22FC"/>
    <w:rsid w:val="00AA7C28"/>
    <w:rsid w:val="00AB0683"/>
    <w:rsid w:val="00AB179B"/>
    <w:rsid w:val="00AB197C"/>
    <w:rsid w:val="00AB199E"/>
    <w:rsid w:val="00AB2DA9"/>
    <w:rsid w:val="00AB5052"/>
    <w:rsid w:val="00AB5560"/>
    <w:rsid w:val="00AB59B6"/>
    <w:rsid w:val="00AC58FC"/>
    <w:rsid w:val="00AD48BE"/>
    <w:rsid w:val="00AD5E69"/>
    <w:rsid w:val="00AD7AA1"/>
    <w:rsid w:val="00AE4CFB"/>
    <w:rsid w:val="00AE7B86"/>
    <w:rsid w:val="00AF2305"/>
    <w:rsid w:val="00AF2A93"/>
    <w:rsid w:val="00AF46AA"/>
    <w:rsid w:val="00AF5D98"/>
    <w:rsid w:val="00AF7307"/>
    <w:rsid w:val="00B037E0"/>
    <w:rsid w:val="00B03A57"/>
    <w:rsid w:val="00B044C6"/>
    <w:rsid w:val="00B11FF2"/>
    <w:rsid w:val="00B1666A"/>
    <w:rsid w:val="00B2222C"/>
    <w:rsid w:val="00B26221"/>
    <w:rsid w:val="00B275B3"/>
    <w:rsid w:val="00B27A34"/>
    <w:rsid w:val="00B34F63"/>
    <w:rsid w:val="00B35670"/>
    <w:rsid w:val="00B4012B"/>
    <w:rsid w:val="00B40EDB"/>
    <w:rsid w:val="00B43126"/>
    <w:rsid w:val="00B447CB"/>
    <w:rsid w:val="00B525BA"/>
    <w:rsid w:val="00B5275C"/>
    <w:rsid w:val="00B53A21"/>
    <w:rsid w:val="00B53B49"/>
    <w:rsid w:val="00B548FA"/>
    <w:rsid w:val="00B54A0A"/>
    <w:rsid w:val="00B56FF3"/>
    <w:rsid w:val="00B57AFD"/>
    <w:rsid w:val="00B57EA9"/>
    <w:rsid w:val="00B641F8"/>
    <w:rsid w:val="00B64399"/>
    <w:rsid w:val="00B65E81"/>
    <w:rsid w:val="00B7228A"/>
    <w:rsid w:val="00B7662E"/>
    <w:rsid w:val="00B82086"/>
    <w:rsid w:val="00B862E1"/>
    <w:rsid w:val="00B86C56"/>
    <w:rsid w:val="00B91263"/>
    <w:rsid w:val="00B927E5"/>
    <w:rsid w:val="00B9442E"/>
    <w:rsid w:val="00B975F3"/>
    <w:rsid w:val="00BA1E11"/>
    <w:rsid w:val="00BA6B84"/>
    <w:rsid w:val="00BB69A5"/>
    <w:rsid w:val="00BC0EFB"/>
    <w:rsid w:val="00BC167D"/>
    <w:rsid w:val="00BC21EE"/>
    <w:rsid w:val="00BC5787"/>
    <w:rsid w:val="00BC65D8"/>
    <w:rsid w:val="00BD1415"/>
    <w:rsid w:val="00BD316B"/>
    <w:rsid w:val="00BD4653"/>
    <w:rsid w:val="00BD560B"/>
    <w:rsid w:val="00BD6475"/>
    <w:rsid w:val="00BE2499"/>
    <w:rsid w:val="00BE53BE"/>
    <w:rsid w:val="00BE6721"/>
    <w:rsid w:val="00BF0271"/>
    <w:rsid w:val="00BF06DD"/>
    <w:rsid w:val="00BF12C4"/>
    <w:rsid w:val="00BF2C0E"/>
    <w:rsid w:val="00BF5E81"/>
    <w:rsid w:val="00BF65CA"/>
    <w:rsid w:val="00C01123"/>
    <w:rsid w:val="00C1110D"/>
    <w:rsid w:val="00C127B1"/>
    <w:rsid w:val="00C12996"/>
    <w:rsid w:val="00C134B7"/>
    <w:rsid w:val="00C15E87"/>
    <w:rsid w:val="00C15FDE"/>
    <w:rsid w:val="00C175D0"/>
    <w:rsid w:val="00C2096B"/>
    <w:rsid w:val="00C21A8D"/>
    <w:rsid w:val="00C21E2C"/>
    <w:rsid w:val="00C22D8B"/>
    <w:rsid w:val="00C24DB0"/>
    <w:rsid w:val="00C26468"/>
    <w:rsid w:val="00C26B1C"/>
    <w:rsid w:val="00C274AA"/>
    <w:rsid w:val="00C30076"/>
    <w:rsid w:val="00C3426D"/>
    <w:rsid w:val="00C44ADA"/>
    <w:rsid w:val="00C46060"/>
    <w:rsid w:val="00C50711"/>
    <w:rsid w:val="00C523C6"/>
    <w:rsid w:val="00C525BA"/>
    <w:rsid w:val="00C53065"/>
    <w:rsid w:val="00C54204"/>
    <w:rsid w:val="00C555F7"/>
    <w:rsid w:val="00C56446"/>
    <w:rsid w:val="00C60863"/>
    <w:rsid w:val="00C611E4"/>
    <w:rsid w:val="00C61B04"/>
    <w:rsid w:val="00C6285D"/>
    <w:rsid w:val="00C639E3"/>
    <w:rsid w:val="00C64045"/>
    <w:rsid w:val="00C70563"/>
    <w:rsid w:val="00C71292"/>
    <w:rsid w:val="00C71484"/>
    <w:rsid w:val="00C716CA"/>
    <w:rsid w:val="00C735A7"/>
    <w:rsid w:val="00C76FAC"/>
    <w:rsid w:val="00C8566F"/>
    <w:rsid w:val="00C87C43"/>
    <w:rsid w:val="00C979D0"/>
    <w:rsid w:val="00CA410E"/>
    <w:rsid w:val="00CA447E"/>
    <w:rsid w:val="00CB0CDF"/>
    <w:rsid w:val="00CB0FE7"/>
    <w:rsid w:val="00CB2999"/>
    <w:rsid w:val="00CB3DD1"/>
    <w:rsid w:val="00CB528D"/>
    <w:rsid w:val="00CB7321"/>
    <w:rsid w:val="00CB7E0A"/>
    <w:rsid w:val="00CC09E4"/>
    <w:rsid w:val="00CC27AB"/>
    <w:rsid w:val="00CC421B"/>
    <w:rsid w:val="00CD1BC6"/>
    <w:rsid w:val="00CE035C"/>
    <w:rsid w:val="00CE0C29"/>
    <w:rsid w:val="00CE10BD"/>
    <w:rsid w:val="00CE1F17"/>
    <w:rsid w:val="00CE4B8B"/>
    <w:rsid w:val="00CE63E9"/>
    <w:rsid w:val="00CE7F13"/>
    <w:rsid w:val="00CF3FB2"/>
    <w:rsid w:val="00CF63E8"/>
    <w:rsid w:val="00D004BE"/>
    <w:rsid w:val="00D00DBC"/>
    <w:rsid w:val="00D03586"/>
    <w:rsid w:val="00D05726"/>
    <w:rsid w:val="00D075C6"/>
    <w:rsid w:val="00D14FB9"/>
    <w:rsid w:val="00D213E9"/>
    <w:rsid w:val="00D30BAB"/>
    <w:rsid w:val="00D30E72"/>
    <w:rsid w:val="00D3454C"/>
    <w:rsid w:val="00D37F45"/>
    <w:rsid w:val="00D4105E"/>
    <w:rsid w:val="00D42E24"/>
    <w:rsid w:val="00D46107"/>
    <w:rsid w:val="00D50854"/>
    <w:rsid w:val="00D50899"/>
    <w:rsid w:val="00D54158"/>
    <w:rsid w:val="00D60DAA"/>
    <w:rsid w:val="00D63D53"/>
    <w:rsid w:val="00D72181"/>
    <w:rsid w:val="00D7396F"/>
    <w:rsid w:val="00D76A33"/>
    <w:rsid w:val="00D81AF1"/>
    <w:rsid w:val="00D843D7"/>
    <w:rsid w:val="00D84E4B"/>
    <w:rsid w:val="00D90345"/>
    <w:rsid w:val="00D91F24"/>
    <w:rsid w:val="00D92A4E"/>
    <w:rsid w:val="00D97D5E"/>
    <w:rsid w:val="00DA4017"/>
    <w:rsid w:val="00DA4052"/>
    <w:rsid w:val="00DA5B94"/>
    <w:rsid w:val="00DA6604"/>
    <w:rsid w:val="00DA72DC"/>
    <w:rsid w:val="00DB16ED"/>
    <w:rsid w:val="00DB5C76"/>
    <w:rsid w:val="00DC0159"/>
    <w:rsid w:val="00DC0500"/>
    <w:rsid w:val="00DC5090"/>
    <w:rsid w:val="00DD1675"/>
    <w:rsid w:val="00DD1854"/>
    <w:rsid w:val="00DD2B27"/>
    <w:rsid w:val="00DD6D90"/>
    <w:rsid w:val="00DD776A"/>
    <w:rsid w:val="00DE261E"/>
    <w:rsid w:val="00DE7144"/>
    <w:rsid w:val="00DF3569"/>
    <w:rsid w:val="00DF5D2A"/>
    <w:rsid w:val="00E061FA"/>
    <w:rsid w:val="00E1655A"/>
    <w:rsid w:val="00E16C96"/>
    <w:rsid w:val="00E216A6"/>
    <w:rsid w:val="00E2749E"/>
    <w:rsid w:val="00E332F7"/>
    <w:rsid w:val="00E35B18"/>
    <w:rsid w:val="00E36F79"/>
    <w:rsid w:val="00E374E0"/>
    <w:rsid w:val="00E47430"/>
    <w:rsid w:val="00E4775F"/>
    <w:rsid w:val="00E50484"/>
    <w:rsid w:val="00E523F8"/>
    <w:rsid w:val="00E704AB"/>
    <w:rsid w:val="00E814AC"/>
    <w:rsid w:val="00E81C52"/>
    <w:rsid w:val="00E82A7A"/>
    <w:rsid w:val="00E84040"/>
    <w:rsid w:val="00E87F29"/>
    <w:rsid w:val="00E917E1"/>
    <w:rsid w:val="00E9253B"/>
    <w:rsid w:val="00E92C22"/>
    <w:rsid w:val="00E92F00"/>
    <w:rsid w:val="00E9758C"/>
    <w:rsid w:val="00E97592"/>
    <w:rsid w:val="00EA0691"/>
    <w:rsid w:val="00EA2A81"/>
    <w:rsid w:val="00EA35D6"/>
    <w:rsid w:val="00EA7477"/>
    <w:rsid w:val="00EA77F3"/>
    <w:rsid w:val="00EB5D6A"/>
    <w:rsid w:val="00EC3F55"/>
    <w:rsid w:val="00EC5810"/>
    <w:rsid w:val="00EC5D8C"/>
    <w:rsid w:val="00ED0125"/>
    <w:rsid w:val="00EE1D9B"/>
    <w:rsid w:val="00EE606B"/>
    <w:rsid w:val="00EE79C9"/>
    <w:rsid w:val="00EF6E86"/>
    <w:rsid w:val="00F0000F"/>
    <w:rsid w:val="00F00AF7"/>
    <w:rsid w:val="00F01066"/>
    <w:rsid w:val="00F033E6"/>
    <w:rsid w:val="00F05F9A"/>
    <w:rsid w:val="00F07694"/>
    <w:rsid w:val="00F07BDD"/>
    <w:rsid w:val="00F12D19"/>
    <w:rsid w:val="00F1412A"/>
    <w:rsid w:val="00F1588F"/>
    <w:rsid w:val="00F171EE"/>
    <w:rsid w:val="00F2657C"/>
    <w:rsid w:val="00F32ACE"/>
    <w:rsid w:val="00F3385A"/>
    <w:rsid w:val="00F36E4A"/>
    <w:rsid w:val="00F42328"/>
    <w:rsid w:val="00F42671"/>
    <w:rsid w:val="00F46E1F"/>
    <w:rsid w:val="00F50CB0"/>
    <w:rsid w:val="00F538D0"/>
    <w:rsid w:val="00F54657"/>
    <w:rsid w:val="00F56DC0"/>
    <w:rsid w:val="00F60452"/>
    <w:rsid w:val="00F612C8"/>
    <w:rsid w:val="00F61DE6"/>
    <w:rsid w:val="00F66FE7"/>
    <w:rsid w:val="00F7000C"/>
    <w:rsid w:val="00F71008"/>
    <w:rsid w:val="00F75823"/>
    <w:rsid w:val="00F75A00"/>
    <w:rsid w:val="00F81978"/>
    <w:rsid w:val="00F84A29"/>
    <w:rsid w:val="00F913C1"/>
    <w:rsid w:val="00FA72A2"/>
    <w:rsid w:val="00FB48D4"/>
    <w:rsid w:val="00FB65C9"/>
    <w:rsid w:val="00FC0871"/>
    <w:rsid w:val="00FC0EAE"/>
    <w:rsid w:val="00FC13CF"/>
    <w:rsid w:val="00FC2012"/>
    <w:rsid w:val="00FC27B2"/>
    <w:rsid w:val="00FD3D3B"/>
    <w:rsid w:val="00FD4046"/>
    <w:rsid w:val="00FE519C"/>
    <w:rsid w:val="00FE57C2"/>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6737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247449"/>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247449"/>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247449"/>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247449"/>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247449"/>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247449"/>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247449"/>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247449"/>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247449"/>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link w:val="FootnoteTextChar"/>
    <w:unhideWhenUsed/>
    <w:rsid w:val="00247449"/>
    <w:pPr>
      <w:spacing w:after="260"/>
      <w:ind w:firstLine="720"/>
    </w:pPr>
    <w:rPr>
      <w:szCs w:val="20"/>
    </w:rPr>
  </w:style>
  <w:style w:type="character" w:customStyle="1" w:styleId="FootnoteTextChar">
    <w:name w:val="Footnote Text Char"/>
    <w:basedOn w:val="DefaultParagraphFont"/>
    <w:link w:val="FootnoteText"/>
    <w:rsid w:val="00247449"/>
    <w:rPr>
      <w:rFonts w:ascii="Times New Roman" w:hAnsi="Times New Roman" w:cs="Times New Roman"/>
      <w:sz w:val="26"/>
      <w:szCs w:val="20"/>
    </w:rPr>
  </w:style>
  <w:style w:type="character" w:styleId="FootnoteReference">
    <w:name w:val="footnote reference"/>
    <w:basedOn w:val="DefaultParagraphFont"/>
    <w:unhideWhenUsed/>
    <w:qFormat/>
    <w:rsid w:val="00247449"/>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44002E"/>
    <w:rPr>
      <w:color w:val="605E5C"/>
      <w:shd w:val="clear" w:color="auto" w:fill="E1DFDD"/>
    </w:rPr>
  </w:style>
  <w:style w:type="character" w:styleId="Strong">
    <w:name w:val="Strong"/>
    <w:uiPriority w:val="22"/>
    <w:qFormat/>
    <w:rsid w:val="0068120E"/>
    <w:rPr>
      <w:b/>
      <w:bCs/>
    </w:rPr>
  </w:style>
  <w:style w:type="character" w:customStyle="1" w:styleId="apple-converted-space">
    <w:name w:val="apple-converted-space"/>
    <w:rsid w:val="0068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36830">
      <w:bodyDiv w:val="1"/>
      <w:marLeft w:val="0"/>
      <w:marRight w:val="0"/>
      <w:marTop w:val="0"/>
      <w:marBottom w:val="0"/>
      <w:divBdr>
        <w:top w:val="none" w:sz="0" w:space="0" w:color="auto"/>
        <w:left w:val="none" w:sz="0" w:space="0" w:color="auto"/>
        <w:bottom w:val="none" w:sz="0" w:space="0" w:color="auto"/>
        <w:right w:val="none" w:sz="0" w:space="0" w:color="auto"/>
      </w:divBdr>
    </w:div>
    <w:div w:id="367681440">
      <w:bodyDiv w:val="1"/>
      <w:marLeft w:val="0"/>
      <w:marRight w:val="0"/>
      <w:marTop w:val="0"/>
      <w:marBottom w:val="0"/>
      <w:divBdr>
        <w:top w:val="none" w:sz="0" w:space="0" w:color="auto"/>
        <w:left w:val="none" w:sz="0" w:space="0" w:color="auto"/>
        <w:bottom w:val="none" w:sz="0" w:space="0" w:color="auto"/>
        <w:right w:val="none" w:sz="0" w:space="0" w:color="auto"/>
      </w:divBdr>
    </w:div>
    <w:div w:id="1328971679">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52798581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llen.brown@ferc.gov"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ublic.referenceroom@ferc.gov"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ferconlinesupport@ferc.gov"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control" Target="activeX/activeX1.xml"/><Relationship Id="rId31" Type="http://schemas.openxmlformats.org/officeDocument/2006/relationships/hyperlink" Target="mailto:DataClearance@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ferc.gov" TargetMode="External"/><Relationship Id="rId27" Type="http://schemas.openxmlformats.org/officeDocument/2006/relationships/footer" Target="footer4.xml"/><Relationship Id="rId30"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hyperlink" Target="https://www.ferc.gov/docs-filing/efiling.as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01B0-905A-4C29-B51C-936DD3068EDD}">
  <ds:schemaRefs>
    <ds:schemaRef ds:uri="Microsoft.SharePoint.Taxonomy.ContentTypeSync"/>
  </ds:schemaRefs>
</ds:datastoreItem>
</file>

<file path=customXml/itemProps2.xml><?xml version="1.0" encoding="utf-8"?>
<ds:datastoreItem xmlns:ds="http://schemas.openxmlformats.org/officeDocument/2006/customXml" ds:itemID="{ECBD2EC6-8B77-4722-AC60-1FA95C45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1C9FE-9E87-4331-B86E-86EBDADE413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C00BB3E-4D97-4FEC-887F-C37F48F5E52A}">
  <ds:schemaRefs>
    <ds:schemaRef ds:uri="http://schemas.microsoft.com/sharepoint/v3/contenttype/forms"/>
  </ds:schemaRefs>
</ds:datastoreItem>
</file>

<file path=customXml/itemProps5.xml><?xml version="1.0" encoding="utf-8"?>
<ds:datastoreItem xmlns:ds="http://schemas.openxmlformats.org/officeDocument/2006/customXml" ds:itemID="{E208FB40-F409-4231-A6B4-F6B2C617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2020-03-20T12:36:00Z</dcterms:created>
  <dcterms:modified xsi:type="dcterms:W3CDTF">2020-03-20T12:36:00Z</dcterms:modified>
  <cp:category/>
  <dc:identifier/>
  <cp:contentStatus/>
  <cp:version/>
</cp:coreProperties>
</file>