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604E" w:rsidP="00A2604E" w:rsidRDefault="00A2604E" w14:paraId="6E444933" w14:textId="77777777">
      <w:pPr>
        <w:jc w:val="center"/>
      </w:pPr>
      <w:bookmarkStart w:name="_GoBack" w:id="0"/>
      <w:bookmarkEnd w:id="0"/>
      <w:smartTag w:uri="urn:schemas-microsoft-com:office:smarttags" w:element="place">
        <w:smartTag w:uri="urn:schemas-microsoft-com:office:smarttags" w:element="country-region">
          <w:r>
            <w:t>UNITED STATES OF AMERICA</w:t>
          </w:r>
        </w:smartTag>
      </w:smartTag>
    </w:p>
    <w:p w:rsidR="00A2604E" w:rsidP="00A2604E" w:rsidRDefault="00A2604E" w14:paraId="4CB90DC8" w14:textId="77777777">
      <w:pPr>
        <w:jc w:val="center"/>
      </w:pPr>
      <w:r>
        <w:t>FEDERAL ENERGY REGULATORY COMMISSION</w:t>
      </w:r>
    </w:p>
    <w:p w:rsidR="00A2604E" w:rsidP="00A2604E" w:rsidRDefault="00A2604E" w14:paraId="72528CFE" w14:textId="77777777"/>
    <w:p w:rsidR="00A2604E" w:rsidP="00A2604E" w:rsidRDefault="00A2604E" w14:paraId="63F7D638" w14:textId="370CE4A4">
      <w:pPr>
        <w:jc w:val="center"/>
      </w:pPr>
      <w:r w:rsidRPr="00FD185A">
        <w:t xml:space="preserve">[Docket No. </w:t>
      </w:r>
      <w:r w:rsidRPr="00A17953" w:rsidR="00A17953">
        <w:t>IC20-13-000</w:t>
      </w:r>
      <w:r w:rsidRPr="00A17953">
        <w:t>]</w:t>
      </w:r>
    </w:p>
    <w:p w:rsidR="00A2604E" w:rsidP="00A2604E" w:rsidRDefault="00A2604E" w14:paraId="35E21C8D" w14:textId="77777777"/>
    <w:p w:rsidR="00A2604E" w:rsidP="00A2604E" w:rsidRDefault="00A2604E" w14:paraId="3E6E30E1" w14:textId="39354C72">
      <w:pPr>
        <w:jc w:val="center"/>
      </w:pPr>
      <w:r>
        <w:t>COMMISSION INFORMATION COLLECTION ACTIVITIES (</w:t>
      </w:r>
      <w:r w:rsidR="00356455">
        <w:t>FERC-603</w:t>
      </w:r>
      <w:r>
        <w:t>);</w:t>
      </w:r>
    </w:p>
    <w:p w:rsidR="00A2604E" w:rsidP="00A2604E" w:rsidRDefault="00A2604E" w14:paraId="2455F18B" w14:textId="77777777">
      <w:pPr>
        <w:jc w:val="center"/>
      </w:pPr>
      <w:r>
        <w:t>COMMENT REQUEST; EXTENSION</w:t>
      </w:r>
    </w:p>
    <w:p w:rsidR="00810D18" w:rsidP="00810D18" w:rsidRDefault="00810D18" w14:paraId="1020381E" w14:textId="77777777"/>
    <w:p w:rsidR="002946DC" w:rsidP="00970098" w:rsidRDefault="00970098" w14:paraId="72720B08" w14:textId="7D419A98">
      <w:pPr>
        <w:jc w:val="center"/>
      </w:pPr>
      <w:r w:rsidRPr="00970098">
        <w:t>(March 23, 2020)</w:t>
      </w:r>
    </w:p>
    <w:p w:rsidR="00970098" w:rsidP="00970098" w:rsidRDefault="00970098" w14:paraId="58D4C6E8" w14:textId="6DF2E2FB"/>
    <w:p w:rsidRPr="00970098" w:rsidR="00970098" w:rsidP="00970098" w:rsidRDefault="00970098" w14:paraId="19FA9C31" w14:textId="77777777"/>
    <w:p w:rsidR="00A2604E" w:rsidP="00A2604E" w:rsidRDefault="00A2604E" w14:paraId="373A1B90" w14:textId="77777777">
      <w:r w:rsidRPr="00AB4DBF">
        <w:rPr>
          <w:b/>
        </w:rPr>
        <w:t>AGENCY:</w:t>
      </w:r>
      <w:r w:rsidRPr="00AB4DBF">
        <w:t xml:space="preserve">  Federal Energy Regulatory Commission.</w:t>
      </w:r>
    </w:p>
    <w:p w:rsidRPr="00AB4DBF" w:rsidR="00A2604E" w:rsidP="00A2604E" w:rsidRDefault="00A2604E" w14:paraId="4B402D0B" w14:textId="77777777"/>
    <w:p w:rsidR="00A2604E" w:rsidP="00A2604E" w:rsidRDefault="00A2604E" w14:paraId="780CCEA4" w14:textId="77777777">
      <w:pPr>
        <w:spacing w:line="480" w:lineRule="auto"/>
      </w:pPr>
      <w:r w:rsidRPr="00CE64F2">
        <w:rPr>
          <w:b/>
        </w:rPr>
        <w:t>ACTION:</w:t>
      </w:r>
      <w:r>
        <w:t xml:space="preserve">  Notice of information collection and request for comments.</w:t>
      </w:r>
    </w:p>
    <w:p w:rsidR="00A2604E" w:rsidP="00A2604E" w:rsidRDefault="00A2604E" w14:paraId="1E606D01" w14:textId="14E2022C">
      <w:pPr>
        <w:spacing w:line="480" w:lineRule="auto"/>
      </w:pPr>
      <w:r w:rsidRPr="00CE64F2">
        <w:rPr>
          <w:b/>
        </w:rPr>
        <w:t>SUMMARY:</w:t>
      </w:r>
      <w:r>
        <w:t xml:space="preserve">  In compliance with the requirements of the Paperwork Reduction Act of 1995, the Federal Energy Regulatory Commission (Commission or FERC) is soliciting public comment on the currently approved information collection, </w:t>
      </w:r>
      <w:r w:rsidR="00356455">
        <w:t>FERC-603</w:t>
      </w:r>
      <w:r w:rsidRPr="00D36594" w:rsidR="00D36594">
        <w:t xml:space="preserve"> (</w:t>
      </w:r>
      <w:r w:rsidRPr="00356455" w:rsidR="00356455">
        <w:t>Critical Energy/Electric Infrastructure Information Data Request</w:t>
      </w:r>
      <w:r w:rsidRPr="00D36594" w:rsidR="00D36594">
        <w:t>)</w:t>
      </w:r>
      <w:r w:rsidR="00D36594">
        <w:t>.</w:t>
      </w:r>
    </w:p>
    <w:p w:rsidR="00A2604E" w:rsidP="00A2604E" w:rsidRDefault="00A2604E" w14:paraId="744289EA" w14:textId="27C0F44E">
      <w:pPr>
        <w:spacing w:line="480" w:lineRule="auto"/>
      </w:pPr>
      <w:r w:rsidRPr="00CE64F2">
        <w:rPr>
          <w:b/>
        </w:rPr>
        <w:t>DATES:</w:t>
      </w:r>
      <w:r>
        <w:t xml:space="preserve">  Comments on the collection of information are due </w:t>
      </w:r>
      <w:r w:rsidRPr="006B4B0B">
        <w:rPr>
          <w:caps/>
        </w:rPr>
        <w:t>[</w:t>
      </w:r>
      <w:r w:rsidRPr="006B4B0B" w:rsidR="008017C6">
        <w:rPr>
          <w:b/>
          <w:caps/>
        </w:rPr>
        <w:t>I</w:t>
      </w:r>
      <w:r w:rsidRPr="006B4B0B">
        <w:rPr>
          <w:b/>
          <w:caps/>
        </w:rPr>
        <w:t xml:space="preserve">nsert date 60 days after </w:t>
      </w:r>
      <w:r w:rsidRPr="006B4B0B" w:rsidR="00CA6D76">
        <w:rPr>
          <w:b/>
          <w:caps/>
        </w:rPr>
        <w:t xml:space="preserve">date of </w:t>
      </w:r>
      <w:r w:rsidRPr="006B4B0B">
        <w:rPr>
          <w:b/>
          <w:caps/>
        </w:rPr>
        <w:t>publication in the Federal Register</w:t>
      </w:r>
      <w:r w:rsidRPr="006B4B0B">
        <w:rPr>
          <w:caps/>
        </w:rPr>
        <w:t xml:space="preserve">]. </w:t>
      </w:r>
    </w:p>
    <w:p w:rsidR="00A2604E" w:rsidP="00A2604E" w:rsidRDefault="00A2604E" w14:paraId="37B1CBF2" w14:textId="434386ED">
      <w:pPr>
        <w:spacing w:line="480" w:lineRule="auto"/>
      </w:pPr>
      <w:r w:rsidRPr="00AC750B">
        <w:rPr>
          <w:b/>
        </w:rPr>
        <w:t>ADDRESSES:</w:t>
      </w:r>
      <w:r w:rsidRPr="00AC750B">
        <w:t xml:space="preserve">  You may submit comments (identified </w:t>
      </w:r>
      <w:r w:rsidRPr="00DA19FA">
        <w:t xml:space="preserve">by </w:t>
      </w:r>
      <w:r w:rsidRPr="00FD185A">
        <w:t>Dock</w:t>
      </w:r>
      <w:r w:rsidRPr="00A17953">
        <w:t xml:space="preserve">et No. </w:t>
      </w:r>
      <w:r w:rsidRPr="00A17953" w:rsidR="00A17953">
        <w:t>IC20-13-000</w:t>
      </w:r>
      <w:r w:rsidRPr="00A17953">
        <w:t>) b</w:t>
      </w:r>
      <w:r w:rsidRPr="00FD185A">
        <w:t>y either of the following methods:</w:t>
      </w:r>
    </w:p>
    <w:p w:rsidR="00A2604E" w:rsidP="00A2604E" w:rsidRDefault="00A2604E" w14:paraId="3AE9D928" w14:textId="77777777">
      <w:pPr>
        <w:numPr>
          <w:ilvl w:val="0"/>
          <w:numId w:val="2"/>
        </w:numPr>
        <w:tabs>
          <w:tab w:val="clear" w:pos="1500"/>
          <w:tab w:val="num" w:pos="1080"/>
        </w:tabs>
        <w:spacing w:line="480" w:lineRule="auto"/>
        <w:ind w:left="720" w:firstLine="0"/>
      </w:pPr>
      <w:bookmarkStart w:name="OLE_LINK1" w:id="1"/>
      <w:r>
        <w:t xml:space="preserve">eFiling at Commission’s Web Site: </w:t>
      </w:r>
      <w:hyperlink w:history="1" r:id="rId13">
        <w:r w:rsidRPr="00EC7068">
          <w:rPr>
            <w:rStyle w:val="Hyperlink"/>
          </w:rPr>
          <w:t>http://www.ferc.gov/docs-filing/efiling.asp</w:t>
        </w:r>
      </w:hyperlink>
    </w:p>
    <w:p w:rsidR="00A2604E" w:rsidP="00A2604E" w:rsidRDefault="00A2604E" w14:paraId="383CAFFE" w14:textId="77777777">
      <w:pPr>
        <w:numPr>
          <w:ilvl w:val="0"/>
          <w:numId w:val="2"/>
        </w:numPr>
        <w:tabs>
          <w:tab w:val="clear" w:pos="1500"/>
          <w:tab w:val="num" w:pos="1080"/>
        </w:tabs>
        <w:spacing w:line="480" w:lineRule="auto"/>
        <w:ind w:left="1080"/>
      </w:pPr>
      <w:r>
        <w:t xml:space="preserve">Mail/Hand Delivery/Courier: Federal Energy Regulatory Commission, Secretary of the Commission, </w:t>
      </w:r>
      <w:smartTag w:uri="urn:schemas-microsoft-com:office:smarttags" w:element="address">
        <w:smartTag w:uri="urn:schemas-microsoft-com:office:smarttags" w:element="Street">
          <w:r>
            <w:t>888 First Street, NE</w:t>
          </w:r>
        </w:smartTag>
        <w:r>
          <w:t xml:space="preserve">, </w:t>
        </w:r>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20426</w:t>
          </w:r>
        </w:smartTag>
      </w:smartTag>
      <w:r>
        <w:t>.</w:t>
      </w:r>
    </w:p>
    <w:p w:rsidR="00A2604E" w:rsidP="00A2604E" w:rsidRDefault="00A2604E" w14:paraId="0B3882A9" w14:textId="7B483F07">
      <w:pPr>
        <w:spacing w:line="480" w:lineRule="auto"/>
      </w:pPr>
      <w:r>
        <w:rPr>
          <w:i/>
        </w:rPr>
        <w:t xml:space="preserve">Instructions: </w:t>
      </w:r>
      <w:r>
        <w:t xml:space="preserve">All submissions must be formatted and filed in accordance with submission guidelines at: </w:t>
      </w:r>
      <w:hyperlink w:history="1" r:id="rId14">
        <w:r w:rsidRPr="00866BB4">
          <w:rPr>
            <w:rStyle w:val="Hyperlink"/>
          </w:rPr>
          <w:t>http://www.ferc.gov/help/submission-guide.asp</w:t>
        </w:r>
      </w:hyperlink>
      <w:r>
        <w:t>.  For user assistance</w:t>
      </w:r>
      <w:r w:rsidR="00BF2D74">
        <w:t>,</w:t>
      </w:r>
      <w:r>
        <w:t xml:space="preserve"> </w:t>
      </w:r>
      <w:r>
        <w:lastRenderedPageBreak/>
        <w:t>contact FERC Online Support by e-mail at ferconlinesupport@ferc.gov, or by phone at:  (866) 208-3676 (toll-free)</w:t>
      </w:r>
      <w:r w:rsidR="00943D72">
        <w:t>.</w:t>
      </w:r>
    </w:p>
    <w:p w:rsidRPr="00241BFD" w:rsidR="00A2604E" w:rsidP="00A2604E" w:rsidRDefault="00A2604E" w14:paraId="11F949A4" w14:textId="77777777">
      <w:pPr>
        <w:spacing w:line="480" w:lineRule="auto"/>
      </w:pPr>
      <w:r>
        <w:rPr>
          <w:i/>
        </w:rPr>
        <w:t>Docket:</w:t>
      </w:r>
      <w:r>
        <w:t xml:space="preserve"> Users interested in receiving automatic notification of activity in this docket or in viewing/downloading comments and issuances in this docket may do so at </w:t>
      </w:r>
      <w:hyperlink w:history="1" r:id="rId15">
        <w:r w:rsidRPr="0057675D">
          <w:rPr>
            <w:rStyle w:val="Hyperlink"/>
          </w:rPr>
          <w:t>http://www.ferc.gov/docs-filing/docs-filing.asp</w:t>
        </w:r>
      </w:hyperlink>
      <w:r>
        <w:t xml:space="preserve">. </w:t>
      </w:r>
    </w:p>
    <w:bookmarkEnd w:id="1"/>
    <w:p w:rsidR="00A2604E" w:rsidP="00970098" w:rsidRDefault="00A2604E" w14:paraId="238ACD8E" w14:textId="06219A7A">
      <w:pPr>
        <w:tabs>
          <w:tab w:val="left" w:pos="5040"/>
        </w:tabs>
        <w:spacing w:line="480" w:lineRule="auto"/>
      </w:pPr>
      <w:r w:rsidRPr="00656DF0">
        <w:rPr>
          <w:b/>
        </w:rPr>
        <w:t>FOR FURTHER INFORMATION</w:t>
      </w:r>
      <w:r w:rsidR="00970098">
        <w:rPr>
          <w:b/>
        </w:rPr>
        <w:t xml:space="preserve"> CONTACT</w:t>
      </w:r>
      <w:r w:rsidRPr="00656DF0">
        <w:rPr>
          <w:b/>
        </w:rPr>
        <w:t>:</w:t>
      </w:r>
      <w:r>
        <w:t xml:space="preserve">  </w:t>
      </w:r>
      <w:r w:rsidRPr="007731D6">
        <w:t>Ellen Brown</w:t>
      </w:r>
      <w:r>
        <w:t xml:space="preserve"> may be reached by e-mail at </w:t>
      </w:r>
      <w:hyperlink w:history="1" r:id="rId16">
        <w:r w:rsidRPr="00006D4B">
          <w:rPr>
            <w:rStyle w:val="Hyperlink"/>
          </w:rPr>
          <w:t>DataClearance@FERC.gov</w:t>
        </w:r>
      </w:hyperlink>
      <w:r>
        <w:t xml:space="preserve">, </w:t>
      </w:r>
      <w:r w:rsidR="00674EDE">
        <w:t xml:space="preserve">and </w:t>
      </w:r>
      <w:r>
        <w:t>telephone at (202) 502-8663.</w:t>
      </w:r>
    </w:p>
    <w:p w:rsidRPr="00853ABC" w:rsidR="00A2604E" w:rsidP="00C1124F" w:rsidRDefault="00A2604E" w14:paraId="1EFC842C" w14:textId="77777777">
      <w:pPr>
        <w:tabs>
          <w:tab w:val="left" w:pos="7880"/>
        </w:tabs>
        <w:spacing w:line="480" w:lineRule="auto"/>
      </w:pPr>
      <w:r>
        <w:t xml:space="preserve"> </w:t>
      </w:r>
      <w:r w:rsidRPr="001C3703">
        <w:rPr>
          <w:b/>
        </w:rPr>
        <w:t>SUPPLEMENTARY INFORMATION:</w:t>
      </w:r>
      <w:r>
        <w:t xml:space="preserve">  </w:t>
      </w:r>
    </w:p>
    <w:p w:rsidR="00B01B16" w:rsidP="00B01B16" w:rsidRDefault="00B01B16" w14:paraId="58675FAE" w14:textId="0EEE4740">
      <w:pPr>
        <w:spacing w:line="480" w:lineRule="auto"/>
        <w:rPr>
          <w:i/>
        </w:rPr>
      </w:pPr>
      <w:r>
        <w:rPr>
          <w:i/>
        </w:rPr>
        <w:t xml:space="preserve">Title: </w:t>
      </w:r>
      <w:r w:rsidR="00356455">
        <w:t>FERC-603</w:t>
      </w:r>
      <w:r w:rsidR="006765C9">
        <w:t>,</w:t>
      </w:r>
      <w:r w:rsidRPr="006765C9" w:rsidR="006765C9">
        <w:t xml:space="preserve"> </w:t>
      </w:r>
      <w:r w:rsidRPr="00356455" w:rsidR="00356455">
        <w:t>Critical Energy/Electric Infrastructure Information Data Request</w:t>
      </w:r>
    </w:p>
    <w:p w:rsidR="00B01B16" w:rsidP="00B01B16" w:rsidRDefault="00B01B16" w14:paraId="10CE6BEF" w14:textId="5CEF5B8D">
      <w:pPr>
        <w:spacing w:line="480" w:lineRule="auto"/>
      </w:pPr>
      <w:r>
        <w:rPr>
          <w:i/>
        </w:rPr>
        <w:t>OMB Control No.:</w:t>
      </w:r>
      <w:r w:rsidRPr="00F50EDA">
        <w:t xml:space="preserve"> </w:t>
      </w:r>
      <w:r w:rsidR="00356455">
        <w:t>1902-0197</w:t>
      </w:r>
    </w:p>
    <w:p w:rsidRPr="00B5364C" w:rsidR="00B01B16" w:rsidP="00B01B16" w:rsidRDefault="00B01B16" w14:paraId="5A0F5B82" w14:textId="1A3E8524">
      <w:pPr>
        <w:spacing w:line="480" w:lineRule="auto"/>
      </w:pPr>
      <w:r>
        <w:rPr>
          <w:i/>
        </w:rPr>
        <w:t>Type of Request:</w:t>
      </w:r>
      <w:r w:rsidR="001A65B7">
        <w:rPr>
          <w:i/>
        </w:rPr>
        <w:t xml:space="preserve"> </w:t>
      </w:r>
      <w:r>
        <w:t xml:space="preserve"> Three-year extension of the </w:t>
      </w:r>
      <w:r w:rsidR="00356455">
        <w:t>FERC-603</w:t>
      </w:r>
      <w:r>
        <w:t xml:space="preserve"> information collection requirements with no changes to the current reporting </w:t>
      </w:r>
      <w:r w:rsidR="00C36799">
        <w:t xml:space="preserve">and recordkeeping </w:t>
      </w:r>
      <w:r>
        <w:t>requirements.</w:t>
      </w:r>
      <w:r w:rsidR="005D7A5B">
        <w:rPr>
          <w:rStyle w:val="FootnoteReference"/>
        </w:rPr>
        <w:footnoteReference w:id="1"/>
      </w:r>
    </w:p>
    <w:p w:rsidR="00674EDE" w:rsidP="00674EDE" w:rsidRDefault="00674EDE" w14:paraId="76EEEC59" w14:textId="7451FA65">
      <w:pPr>
        <w:spacing w:line="480" w:lineRule="auto"/>
        <w:rPr>
          <w:szCs w:val="26"/>
        </w:rPr>
      </w:pPr>
      <w:r>
        <w:rPr>
          <w:i/>
        </w:rPr>
        <w:t xml:space="preserve">Abstract: </w:t>
      </w:r>
      <w:r w:rsidR="001A65B7">
        <w:rPr>
          <w:i/>
        </w:rPr>
        <w:t xml:space="preserve"> </w:t>
      </w:r>
      <w:r>
        <w:rPr>
          <w:szCs w:val="26"/>
        </w:rPr>
        <w:t xml:space="preserve">This collection is used by the Commission to implement procedures for individuals with a valid or legitimate need for access to Critical Energy/Electric Infrastructure Information (CEII), which is exempt from disclosure under the Freedom of Information Act (5 USC 552), subject to a non-disclosure agreement.  </w:t>
      </w:r>
    </w:p>
    <w:p w:rsidR="00674EDE" w:rsidP="00674EDE" w:rsidRDefault="00674EDE" w14:paraId="46EE0EDD" w14:textId="222923A1">
      <w:pPr>
        <w:spacing w:line="480" w:lineRule="auto"/>
        <w:rPr>
          <w:szCs w:val="26"/>
        </w:rPr>
      </w:pPr>
      <w:r>
        <w:rPr>
          <w:szCs w:val="26"/>
        </w:rPr>
        <w:tab/>
        <w:t xml:space="preserve">On February, 21, 2003, the Commission issued Order No. 630 (66 FR 52917) to address the appropriate treatment of CEII in the aftermath of the September 11, 2001 </w:t>
      </w:r>
      <w:r>
        <w:rPr>
          <w:szCs w:val="26"/>
        </w:rPr>
        <w:lastRenderedPageBreak/>
        <w:t xml:space="preserve">terrorist attacks and to restrict access due to the ongoing terrorism threat.  </w:t>
      </w:r>
      <w:r>
        <w:t>Given that such information would typically be exempt from mandatory disclosure pursuant to FOIA, the Commission determined that it was important to have a process for individuals with a valid or legitimate need to access certain sensitive energy infrastructure information.  As such, the Commission’s CEII process is designed to limit the distribution of sensitive infrastructure information to those individuals with a need to know in order to avoid having sensitive information fall into the hands of those who may use it to attack the Nation’s infrastructure.</w:t>
      </w:r>
      <w:r>
        <w:rPr>
          <w:rStyle w:val="FootnoteReference"/>
        </w:rPr>
        <w:footnoteReference w:id="2"/>
      </w:r>
      <w:r>
        <w:rPr>
          <w:szCs w:val="26"/>
        </w:rPr>
        <w:t xml:space="preserve">  This collection was prepared as part of the implementation of the CEII request process.   </w:t>
      </w:r>
    </w:p>
    <w:p w:rsidR="00674EDE" w:rsidP="00674EDE" w:rsidRDefault="00674EDE" w14:paraId="35BD09EE" w14:textId="132B49A0">
      <w:pPr>
        <w:spacing w:line="480" w:lineRule="auto"/>
        <w:ind w:firstLine="720"/>
        <w:rPr>
          <w:rFonts w:cs="Times New Roman TUR"/>
          <w:bCs/>
          <w:szCs w:val="26"/>
        </w:rPr>
      </w:pPr>
      <w:r>
        <w:t>On December 4, 2015, the President signed the</w:t>
      </w:r>
      <w:r>
        <w:rPr>
          <w:rFonts w:cs="Times New Roman TUR"/>
          <w:bCs/>
          <w:szCs w:val="26"/>
        </w:rPr>
        <w:t xml:space="preserve"> Fixing America’s Surface Transportation Act (FAST Act) </w:t>
      </w:r>
      <w:r>
        <w:t>into law, which directed the Commission to issue regulations aimed at securing and sharing sensitive infrastructure information.</w:t>
      </w:r>
      <w:r>
        <w:rPr>
          <w:rStyle w:val="FootnoteReference"/>
        </w:rPr>
        <w:footnoteReference w:id="3"/>
      </w:r>
      <w:r>
        <w:t xml:space="preserve">  </w:t>
      </w:r>
      <w:r>
        <w:rPr>
          <w:rFonts w:cs="Times New Roman TUR"/>
          <w:bCs/>
          <w:szCs w:val="26"/>
        </w:rPr>
        <w:t xml:space="preserve">On November 17, 2016, in Order No. 833 (in Docket No. RM16-15), the Commission adopted a Final Rule implementing the FAST Act by amending its regulations that </w:t>
      </w:r>
      <w:r>
        <w:rPr>
          <w:rFonts w:cs="Times New Roman TUR"/>
          <w:bCs/>
          <w:szCs w:val="26"/>
        </w:rPr>
        <w:lastRenderedPageBreak/>
        <w:t xml:space="preserve">pertain to the designation, protection, and sharing of CEII.  The Final Rule </w:t>
      </w:r>
      <w:r w:rsidR="00425FCF">
        <w:rPr>
          <w:rFonts w:cs="Times New Roman TUR"/>
          <w:bCs/>
          <w:szCs w:val="26"/>
        </w:rPr>
        <w:t>became</w:t>
      </w:r>
      <w:r w:rsidR="0066184D">
        <w:rPr>
          <w:rFonts w:cs="Times New Roman TUR"/>
          <w:bCs/>
          <w:szCs w:val="26"/>
        </w:rPr>
        <w:t xml:space="preserve"> </w:t>
      </w:r>
      <w:r>
        <w:rPr>
          <w:rFonts w:cs="Times New Roman TUR"/>
          <w:bCs/>
          <w:szCs w:val="26"/>
        </w:rPr>
        <w:t xml:space="preserve">effective on February 19, 2017. </w:t>
      </w:r>
    </w:p>
    <w:p w:rsidR="00674EDE" w:rsidP="00674EDE" w:rsidRDefault="0066184D" w14:paraId="3032BA8A" w14:textId="6EA88E20">
      <w:pPr>
        <w:spacing w:line="480" w:lineRule="auto"/>
        <w:ind w:firstLine="720"/>
        <w:rPr>
          <w:szCs w:val="26"/>
        </w:rPr>
      </w:pPr>
      <w:r>
        <w:t xml:space="preserve">The </w:t>
      </w:r>
      <w:r w:rsidR="00674EDE">
        <w:t xml:space="preserve">FERC-603, </w:t>
      </w:r>
      <w:r w:rsidR="00674EDE">
        <w:rPr>
          <w:szCs w:val="26"/>
        </w:rPr>
        <w:t>Critical Energy/Electric Infrastructure Information (CEII) request form</w:t>
      </w:r>
      <w:r w:rsidR="00674EDE">
        <w:rPr>
          <w:rFonts w:cs="Times New Roman TUR"/>
          <w:bCs/>
          <w:szCs w:val="26"/>
        </w:rPr>
        <w:t xml:space="preserve"> is largely unchanged from </w:t>
      </w:r>
      <w:r>
        <w:rPr>
          <w:rFonts w:cs="Times New Roman TUR"/>
          <w:bCs/>
          <w:szCs w:val="26"/>
        </w:rPr>
        <w:t xml:space="preserve">the </w:t>
      </w:r>
      <w:r w:rsidR="00674EDE">
        <w:rPr>
          <w:rFonts w:cs="Times New Roman TUR"/>
          <w:bCs/>
          <w:szCs w:val="26"/>
        </w:rPr>
        <w:t xml:space="preserve">previously approved version.  </w:t>
      </w:r>
      <w:r w:rsidR="00674EDE">
        <w:rPr>
          <w:szCs w:val="26"/>
        </w:rPr>
        <w:t>As in the previous version, a person seeking access to CEII must file a request for that information by providing information about their identity and the reason the individual needs the information</w:t>
      </w:r>
      <w:r w:rsidR="00674EDE">
        <w:t>.</w:t>
      </w:r>
      <w:r w:rsidR="00674EDE">
        <w:rPr>
          <w:szCs w:val="26"/>
        </w:rPr>
        <w:t xml:space="preserve">  With that information, the Commission is able to assess the requester’s need for the information against the sensitivity of the information.  </w:t>
      </w:r>
      <w:r w:rsidR="00881A3F">
        <w:rPr>
          <w:szCs w:val="26"/>
        </w:rPr>
        <w:t>The</w:t>
      </w:r>
      <w:r w:rsidR="001A65B7">
        <w:rPr>
          <w:szCs w:val="26"/>
        </w:rPr>
        <w:t xml:space="preserve"> updated</w:t>
      </w:r>
      <w:r w:rsidR="00881A3F">
        <w:rPr>
          <w:szCs w:val="26"/>
        </w:rPr>
        <w:t xml:space="preserve"> </w:t>
      </w:r>
      <w:r w:rsidR="001A65B7">
        <w:rPr>
          <w:szCs w:val="26"/>
        </w:rPr>
        <w:t xml:space="preserve">form has been changed to include one </w:t>
      </w:r>
      <w:r w:rsidR="00881A3F">
        <w:rPr>
          <w:szCs w:val="26"/>
        </w:rPr>
        <w:t>addition</w:t>
      </w:r>
      <w:r w:rsidR="001A65B7">
        <w:rPr>
          <w:szCs w:val="26"/>
        </w:rPr>
        <w:t>al requirement,</w:t>
      </w:r>
      <w:r w:rsidR="00881A3F">
        <w:rPr>
          <w:szCs w:val="26"/>
        </w:rPr>
        <w:t xml:space="preserve"> a </w:t>
      </w:r>
      <w:r w:rsidRPr="00881A3F" w:rsidR="00881A3F">
        <w:rPr>
          <w:szCs w:val="26"/>
        </w:rPr>
        <w:t xml:space="preserve">signed statement </w:t>
      </w:r>
      <w:r w:rsidR="001A65B7">
        <w:rPr>
          <w:szCs w:val="26"/>
        </w:rPr>
        <w:t xml:space="preserve">from the requester </w:t>
      </w:r>
      <w:r w:rsidRPr="00881A3F" w:rsidR="00881A3F">
        <w:rPr>
          <w:szCs w:val="26"/>
        </w:rPr>
        <w:t>attesting to the accuracy of the information provided in the request</w:t>
      </w:r>
      <w:r w:rsidR="00881A3F">
        <w:rPr>
          <w:szCs w:val="26"/>
        </w:rPr>
        <w:t xml:space="preserve">.  </w:t>
      </w:r>
      <w:r w:rsidR="001A65B7">
        <w:rPr>
          <w:szCs w:val="26"/>
        </w:rPr>
        <w:t xml:space="preserve">This requirement was inadvertently omitted from the previous form.  </w:t>
      </w:r>
      <w:r w:rsidRPr="003F3B58" w:rsidR="001A65B7">
        <w:rPr>
          <w:i/>
          <w:iCs/>
          <w:szCs w:val="26"/>
        </w:rPr>
        <w:t>See</w:t>
      </w:r>
      <w:r w:rsidR="001A65B7">
        <w:rPr>
          <w:szCs w:val="26"/>
        </w:rPr>
        <w:t xml:space="preserve"> </w:t>
      </w:r>
      <w:r w:rsidR="00881A3F">
        <w:rPr>
          <w:szCs w:val="26"/>
        </w:rPr>
        <w:t>18 CFR 388.113(</w:t>
      </w:r>
      <w:r w:rsidR="001A65B7">
        <w:rPr>
          <w:szCs w:val="26"/>
        </w:rPr>
        <w:t>g</w:t>
      </w:r>
      <w:r w:rsidR="00881A3F">
        <w:rPr>
          <w:szCs w:val="26"/>
        </w:rPr>
        <w:t xml:space="preserve">)(5)(i)(D).  </w:t>
      </w:r>
      <w:r w:rsidR="00674EDE">
        <w:rPr>
          <w:szCs w:val="26"/>
        </w:rPr>
        <w:t>A sample updated CEII request form is attached to this notice.</w:t>
      </w:r>
    </w:p>
    <w:p w:rsidR="00674EDE" w:rsidP="00674EDE" w:rsidRDefault="00674EDE" w14:paraId="252B1A20" w14:textId="77777777">
      <w:pPr>
        <w:spacing w:line="480" w:lineRule="auto"/>
      </w:pPr>
      <w:r>
        <w:rPr>
          <w:i/>
        </w:rPr>
        <w:t xml:space="preserve">Type of Respondents: </w:t>
      </w:r>
      <w:r>
        <w:t>Persons seeking access to CEII.</w:t>
      </w:r>
    </w:p>
    <w:p w:rsidR="002A0797" w:rsidP="003F3B58" w:rsidRDefault="00B01B16" w14:paraId="4497701E" w14:textId="1C8724E4">
      <w:pPr>
        <w:spacing w:line="480" w:lineRule="auto"/>
      </w:pPr>
      <w:r w:rsidRPr="004E2C78">
        <w:rPr>
          <w:i/>
        </w:rPr>
        <w:t>Estimate of Annual Burden</w:t>
      </w:r>
      <w:r w:rsidRPr="003D25C9">
        <w:rPr>
          <w:rStyle w:val="FootnoteReference"/>
          <w:i/>
        </w:rPr>
        <w:footnoteReference w:id="4"/>
      </w:r>
      <w:r w:rsidRPr="003D25C9">
        <w:t xml:space="preserve">: </w:t>
      </w:r>
      <w:r w:rsidR="002A0797">
        <w:rPr>
          <w:i/>
        </w:rPr>
        <w:t xml:space="preserve"> </w:t>
      </w:r>
      <w:r w:rsidR="002A0797">
        <w:t>The Commission estimates the total annual burden and cost</w:t>
      </w:r>
      <w:r w:rsidRPr="001219DB" w:rsidR="002A0797">
        <w:rPr>
          <w:rStyle w:val="FootnoteReference"/>
          <w:b w:val="0"/>
          <w:bCs/>
        </w:rPr>
        <w:footnoteReference w:id="5"/>
      </w:r>
      <w:r w:rsidRPr="001219DB" w:rsidR="002A0797">
        <w:rPr>
          <w:b/>
          <w:bCs/>
        </w:rPr>
        <w:t xml:space="preserve"> </w:t>
      </w:r>
      <w:r w:rsidR="002A0797">
        <w:t>for this information collection as follows.</w:t>
      </w:r>
    </w:p>
    <w:tbl>
      <w:tblPr>
        <w:tblW w:w="505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88"/>
        <w:gridCol w:w="1604"/>
        <w:gridCol w:w="1428"/>
        <w:gridCol w:w="1432"/>
        <w:gridCol w:w="1602"/>
        <w:gridCol w:w="1690"/>
      </w:tblGrid>
      <w:tr w:rsidR="002A0797" w:rsidTr="002A0797" w14:paraId="3E7E70EA" w14:textId="77777777">
        <w:trPr>
          <w:cantSplit/>
          <w:jc w:val="right"/>
        </w:trPr>
        <w:tc>
          <w:tcPr>
            <w:tcW w:w="5000" w:type="pct"/>
            <w:gridSpan w:val="6"/>
            <w:tcBorders>
              <w:top w:val="single" w:color="auto" w:sz="4" w:space="0"/>
              <w:left w:val="single" w:color="auto" w:sz="4" w:space="0"/>
              <w:bottom w:val="single" w:color="auto" w:sz="4" w:space="0"/>
              <w:right w:val="single" w:color="auto" w:sz="4" w:space="0"/>
            </w:tcBorders>
            <w:shd w:val="clear" w:color="auto" w:fill="D9D9D9"/>
            <w:hideMark/>
          </w:tcPr>
          <w:p w:rsidR="002A0797" w:rsidRDefault="002A0797" w14:paraId="00B518A0" w14:textId="695EBDEF">
            <w:pPr>
              <w:spacing w:line="256" w:lineRule="auto"/>
              <w:jc w:val="center"/>
              <w:rPr>
                <w:rFonts w:eastAsia="Calibri"/>
                <w:b/>
                <w:szCs w:val="26"/>
              </w:rPr>
            </w:pPr>
            <w:r>
              <w:rPr>
                <w:rFonts w:eastAsia="Calibri"/>
                <w:b/>
                <w:szCs w:val="26"/>
              </w:rPr>
              <w:t>FERC-603: Critical Energy/Electric Infrastructure Information Request</w:t>
            </w:r>
          </w:p>
        </w:tc>
      </w:tr>
      <w:tr w:rsidR="002A0797" w:rsidTr="002A0797" w14:paraId="0EEAB2C2" w14:textId="77777777">
        <w:trPr>
          <w:cantSplit/>
          <w:trHeight w:val="1700"/>
          <w:jc w:val="right"/>
        </w:trPr>
        <w:tc>
          <w:tcPr>
            <w:tcW w:w="894" w:type="pct"/>
            <w:tcBorders>
              <w:top w:val="single" w:color="auto" w:sz="4" w:space="0"/>
              <w:left w:val="single" w:color="auto" w:sz="4" w:space="0"/>
              <w:bottom w:val="single" w:color="auto" w:sz="4" w:space="0"/>
              <w:right w:val="single" w:color="auto" w:sz="4" w:space="0"/>
            </w:tcBorders>
            <w:shd w:val="clear" w:color="auto" w:fill="D9D9D9"/>
            <w:vAlign w:val="bottom"/>
            <w:hideMark/>
          </w:tcPr>
          <w:p w:rsidR="002A0797" w:rsidRDefault="002A0797" w14:paraId="13BEA318" w14:textId="77777777">
            <w:pPr>
              <w:spacing w:line="256" w:lineRule="auto"/>
              <w:jc w:val="center"/>
              <w:rPr>
                <w:rFonts w:eastAsia="Calibri"/>
                <w:b/>
                <w:szCs w:val="26"/>
              </w:rPr>
            </w:pPr>
            <w:r>
              <w:rPr>
                <w:rFonts w:eastAsia="Calibri"/>
                <w:b/>
                <w:szCs w:val="26"/>
              </w:rPr>
              <w:lastRenderedPageBreak/>
              <w:t>Number of Respondents</w:t>
            </w:r>
            <w:r>
              <w:rPr>
                <w:rFonts w:eastAsia="Calibri"/>
                <w:b/>
                <w:szCs w:val="26"/>
              </w:rPr>
              <w:br/>
              <w:t>(1)</w:t>
            </w:r>
          </w:p>
        </w:tc>
        <w:tc>
          <w:tcPr>
            <w:tcW w:w="849" w:type="pct"/>
            <w:tcBorders>
              <w:top w:val="single" w:color="auto" w:sz="4" w:space="0"/>
              <w:left w:val="single" w:color="auto" w:sz="4" w:space="0"/>
              <w:bottom w:val="single" w:color="auto" w:sz="4" w:space="0"/>
              <w:right w:val="single" w:color="auto" w:sz="4" w:space="0"/>
            </w:tcBorders>
            <w:shd w:val="clear" w:color="auto" w:fill="D9D9D9"/>
            <w:vAlign w:val="bottom"/>
            <w:hideMark/>
          </w:tcPr>
          <w:p w:rsidR="002A0797" w:rsidRDefault="002A0797" w14:paraId="138385BF" w14:textId="77777777">
            <w:pPr>
              <w:spacing w:line="256" w:lineRule="auto"/>
              <w:jc w:val="center"/>
              <w:rPr>
                <w:rFonts w:eastAsia="Calibri"/>
                <w:b/>
                <w:szCs w:val="26"/>
              </w:rPr>
            </w:pPr>
            <w:r>
              <w:rPr>
                <w:rFonts w:eastAsia="Calibri"/>
                <w:b/>
                <w:szCs w:val="26"/>
              </w:rPr>
              <w:t>Annual Number of Responses per Respondent</w:t>
            </w:r>
          </w:p>
          <w:p w:rsidR="002A0797" w:rsidRDefault="002A0797" w14:paraId="37AEA271" w14:textId="77777777">
            <w:pPr>
              <w:spacing w:line="256" w:lineRule="auto"/>
              <w:jc w:val="center"/>
              <w:rPr>
                <w:rFonts w:eastAsia="Calibri"/>
                <w:b/>
                <w:szCs w:val="26"/>
              </w:rPr>
            </w:pPr>
            <w:r>
              <w:rPr>
                <w:rFonts w:eastAsia="Calibri"/>
                <w:b/>
                <w:szCs w:val="26"/>
              </w:rPr>
              <w:t>(2)</w:t>
            </w:r>
          </w:p>
        </w:tc>
        <w:tc>
          <w:tcPr>
            <w:tcW w:w="756" w:type="pct"/>
            <w:tcBorders>
              <w:top w:val="single" w:color="auto" w:sz="4" w:space="0"/>
              <w:left w:val="single" w:color="auto" w:sz="4" w:space="0"/>
              <w:bottom w:val="single" w:color="auto" w:sz="4" w:space="0"/>
              <w:right w:val="single" w:color="auto" w:sz="4" w:space="0"/>
            </w:tcBorders>
            <w:shd w:val="clear" w:color="auto" w:fill="D9D9D9"/>
            <w:vAlign w:val="bottom"/>
            <w:hideMark/>
          </w:tcPr>
          <w:p w:rsidR="002A0797" w:rsidRDefault="002A0797" w14:paraId="419A896A" w14:textId="77777777">
            <w:pPr>
              <w:spacing w:line="256" w:lineRule="auto"/>
              <w:jc w:val="center"/>
              <w:rPr>
                <w:rFonts w:eastAsia="Calibri"/>
                <w:b/>
                <w:szCs w:val="26"/>
              </w:rPr>
            </w:pPr>
            <w:r>
              <w:rPr>
                <w:rFonts w:eastAsia="Calibri"/>
                <w:b/>
                <w:szCs w:val="26"/>
              </w:rPr>
              <w:t>Total Number of Responses (1)*(2)=(3)</w:t>
            </w:r>
          </w:p>
        </w:tc>
        <w:tc>
          <w:tcPr>
            <w:tcW w:w="758" w:type="pct"/>
            <w:tcBorders>
              <w:top w:val="single" w:color="auto" w:sz="4" w:space="0"/>
              <w:left w:val="single" w:color="auto" w:sz="4" w:space="0"/>
              <w:bottom w:val="single" w:color="auto" w:sz="4" w:space="0"/>
              <w:right w:val="single" w:color="auto" w:sz="4" w:space="0"/>
            </w:tcBorders>
            <w:shd w:val="clear" w:color="auto" w:fill="D9D9D9"/>
            <w:vAlign w:val="bottom"/>
            <w:hideMark/>
          </w:tcPr>
          <w:p w:rsidR="002A0797" w:rsidRDefault="002A0797" w14:paraId="60968278" w14:textId="77777777">
            <w:pPr>
              <w:spacing w:line="256" w:lineRule="auto"/>
              <w:jc w:val="center"/>
              <w:rPr>
                <w:rFonts w:eastAsia="Calibri"/>
                <w:b/>
                <w:szCs w:val="26"/>
              </w:rPr>
            </w:pPr>
            <w:r>
              <w:rPr>
                <w:rFonts w:eastAsia="Calibri"/>
                <w:b/>
                <w:szCs w:val="26"/>
              </w:rPr>
              <w:t>Average Burden &amp; Cost Per Response</w:t>
            </w:r>
          </w:p>
          <w:p w:rsidR="002A0797" w:rsidRDefault="002A0797" w14:paraId="09182311" w14:textId="77777777">
            <w:pPr>
              <w:spacing w:line="256" w:lineRule="auto"/>
              <w:jc w:val="center"/>
              <w:rPr>
                <w:rFonts w:eastAsia="Calibri"/>
                <w:b/>
                <w:szCs w:val="26"/>
              </w:rPr>
            </w:pPr>
            <w:r>
              <w:rPr>
                <w:rFonts w:eastAsia="Calibri"/>
                <w:b/>
                <w:szCs w:val="26"/>
              </w:rPr>
              <w:t>(4)</w:t>
            </w:r>
          </w:p>
        </w:tc>
        <w:tc>
          <w:tcPr>
            <w:tcW w:w="848" w:type="pct"/>
            <w:tcBorders>
              <w:top w:val="single" w:color="auto" w:sz="4" w:space="0"/>
              <w:left w:val="single" w:color="auto" w:sz="4" w:space="0"/>
              <w:bottom w:val="single" w:color="auto" w:sz="4" w:space="0"/>
              <w:right w:val="single" w:color="auto" w:sz="4" w:space="0"/>
            </w:tcBorders>
            <w:shd w:val="clear" w:color="auto" w:fill="D9D9D9"/>
            <w:vAlign w:val="bottom"/>
            <w:hideMark/>
          </w:tcPr>
          <w:p w:rsidR="002A0797" w:rsidRDefault="002A0797" w14:paraId="7E06051C" w14:textId="77777777">
            <w:pPr>
              <w:spacing w:line="256" w:lineRule="auto"/>
              <w:jc w:val="center"/>
              <w:rPr>
                <w:rFonts w:eastAsia="Calibri"/>
                <w:b/>
                <w:szCs w:val="26"/>
              </w:rPr>
            </w:pPr>
            <w:r>
              <w:rPr>
                <w:rFonts w:eastAsia="Calibri"/>
                <w:b/>
                <w:szCs w:val="26"/>
              </w:rPr>
              <w:t>Total Annual Burden Hours &amp; Total Annual Cost</w:t>
            </w:r>
          </w:p>
          <w:p w:rsidR="002A0797" w:rsidRDefault="002A0797" w14:paraId="47FEFD61" w14:textId="77777777">
            <w:pPr>
              <w:spacing w:line="256" w:lineRule="auto"/>
              <w:jc w:val="center"/>
              <w:rPr>
                <w:rFonts w:eastAsia="Calibri"/>
                <w:b/>
                <w:szCs w:val="26"/>
              </w:rPr>
            </w:pPr>
            <w:r>
              <w:rPr>
                <w:rFonts w:eastAsia="Calibri"/>
                <w:b/>
                <w:szCs w:val="26"/>
              </w:rPr>
              <w:t>(3)*(4)=(5)</w:t>
            </w:r>
          </w:p>
        </w:tc>
        <w:tc>
          <w:tcPr>
            <w:tcW w:w="895" w:type="pct"/>
            <w:tcBorders>
              <w:top w:val="single" w:color="auto" w:sz="4" w:space="0"/>
              <w:left w:val="single" w:color="auto" w:sz="4" w:space="0"/>
              <w:bottom w:val="single" w:color="auto" w:sz="4" w:space="0"/>
              <w:right w:val="single" w:color="auto" w:sz="4" w:space="0"/>
            </w:tcBorders>
            <w:shd w:val="clear" w:color="auto" w:fill="D9D9D9"/>
            <w:vAlign w:val="bottom"/>
            <w:hideMark/>
          </w:tcPr>
          <w:p w:rsidR="002A0797" w:rsidRDefault="002A0797" w14:paraId="1C4B55F8" w14:textId="77777777">
            <w:pPr>
              <w:spacing w:line="256" w:lineRule="auto"/>
              <w:jc w:val="center"/>
              <w:rPr>
                <w:rFonts w:eastAsia="Calibri"/>
                <w:b/>
                <w:szCs w:val="26"/>
              </w:rPr>
            </w:pPr>
            <w:r>
              <w:rPr>
                <w:rFonts w:eastAsia="Calibri"/>
                <w:b/>
                <w:szCs w:val="26"/>
              </w:rPr>
              <w:t>Cost per Respondent</w:t>
            </w:r>
          </w:p>
          <w:p w:rsidR="002A0797" w:rsidRDefault="002A0797" w14:paraId="112DDBDF" w14:textId="77777777">
            <w:pPr>
              <w:spacing w:line="256" w:lineRule="auto"/>
              <w:jc w:val="center"/>
              <w:rPr>
                <w:rFonts w:eastAsia="Calibri"/>
                <w:b/>
                <w:szCs w:val="26"/>
              </w:rPr>
            </w:pPr>
            <w:r>
              <w:rPr>
                <w:rFonts w:eastAsia="Calibri"/>
                <w:b/>
                <w:szCs w:val="26"/>
              </w:rPr>
              <w:t>($)</w:t>
            </w:r>
          </w:p>
          <w:p w:rsidR="002A0797" w:rsidRDefault="002A0797" w14:paraId="2758A625" w14:textId="77777777">
            <w:pPr>
              <w:spacing w:line="256" w:lineRule="auto"/>
              <w:jc w:val="center"/>
              <w:rPr>
                <w:rFonts w:eastAsia="Calibri"/>
                <w:b/>
                <w:szCs w:val="26"/>
              </w:rPr>
            </w:pPr>
            <w:r>
              <w:rPr>
                <w:rFonts w:eastAsia="Calibri"/>
                <w:b/>
                <w:szCs w:val="26"/>
              </w:rPr>
              <w:t>(5)÷(1)</w:t>
            </w:r>
          </w:p>
        </w:tc>
      </w:tr>
      <w:tr w:rsidR="002A0797" w:rsidTr="002A0797" w14:paraId="50A64A69" w14:textId="77777777">
        <w:trPr>
          <w:cantSplit/>
          <w:jc w:val="right"/>
        </w:trPr>
        <w:tc>
          <w:tcPr>
            <w:tcW w:w="894" w:type="pct"/>
            <w:tcBorders>
              <w:top w:val="single" w:color="auto" w:sz="4" w:space="0"/>
              <w:left w:val="single" w:color="auto" w:sz="4" w:space="0"/>
              <w:bottom w:val="single" w:color="auto" w:sz="4" w:space="0"/>
              <w:right w:val="single" w:color="auto" w:sz="4" w:space="0"/>
            </w:tcBorders>
            <w:vAlign w:val="bottom"/>
            <w:hideMark/>
          </w:tcPr>
          <w:p w:rsidR="002A0797" w:rsidRDefault="0066184D" w14:paraId="5CD883BB" w14:textId="3C5872DB">
            <w:pPr>
              <w:spacing w:line="256" w:lineRule="auto"/>
              <w:jc w:val="right"/>
              <w:rPr>
                <w:rFonts w:eastAsia="Calibri"/>
                <w:szCs w:val="26"/>
              </w:rPr>
            </w:pPr>
            <w:r>
              <w:rPr>
                <w:rFonts w:eastAsia="Calibri"/>
                <w:szCs w:val="26"/>
              </w:rPr>
              <w:t>100</w:t>
            </w:r>
          </w:p>
        </w:tc>
        <w:tc>
          <w:tcPr>
            <w:tcW w:w="849" w:type="pct"/>
            <w:tcBorders>
              <w:top w:val="single" w:color="auto" w:sz="4" w:space="0"/>
              <w:left w:val="single" w:color="auto" w:sz="4" w:space="0"/>
              <w:bottom w:val="single" w:color="auto" w:sz="4" w:space="0"/>
              <w:right w:val="single" w:color="auto" w:sz="4" w:space="0"/>
            </w:tcBorders>
            <w:vAlign w:val="bottom"/>
            <w:hideMark/>
          </w:tcPr>
          <w:p w:rsidR="002A0797" w:rsidRDefault="002A0797" w14:paraId="7942932B" w14:textId="77777777">
            <w:pPr>
              <w:spacing w:line="256" w:lineRule="auto"/>
              <w:jc w:val="right"/>
              <w:rPr>
                <w:rFonts w:eastAsia="Calibri"/>
                <w:szCs w:val="26"/>
              </w:rPr>
            </w:pPr>
            <w:r>
              <w:rPr>
                <w:rFonts w:eastAsia="Calibri"/>
                <w:szCs w:val="26"/>
              </w:rPr>
              <w:t>1</w:t>
            </w:r>
          </w:p>
        </w:tc>
        <w:tc>
          <w:tcPr>
            <w:tcW w:w="756" w:type="pct"/>
            <w:tcBorders>
              <w:top w:val="single" w:color="auto" w:sz="4" w:space="0"/>
              <w:left w:val="single" w:color="auto" w:sz="4" w:space="0"/>
              <w:bottom w:val="single" w:color="auto" w:sz="4" w:space="0"/>
              <w:right w:val="single" w:color="auto" w:sz="4" w:space="0"/>
            </w:tcBorders>
            <w:vAlign w:val="bottom"/>
            <w:hideMark/>
          </w:tcPr>
          <w:p w:rsidR="002A0797" w:rsidRDefault="0066184D" w14:paraId="0A14CA97" w14:textId="283B066A">
            <w:pPr>
              <w:spacing w:line="256" w:lineRule="auto"/>
              <w:jc w:val="right"/>
              <w:rPr>
                <w:rFonts w:eastAsia="Calibri"/>
                <w:szCs w:val="26"/>
              </w:rPr>
            </w:pPr>
            <w:r>
              <w:rPr>
                <w:rFonts w:eastAsia="Calibri"/>
                <w:szCs w:val="26"/>
              </w:rPr>
              <w:t>1</w:t>
            </w:r>
            <w:r w:rsidR="002A0797">
              <w:rPr>
                <w:rFonts w:eastAsia="Calibri"/>
                <w:szCs w:val="26"/>
              </w:rPr>
              <w:t>00</w:t>
            </w:r>
          </w:p>
        </w:tc>
        <w:tc>
          <w:tcPr>
            <w:tcW w:w="758" w:type="pct"/>
            <w:tcBorders>
              <w:top w:val="single" w:color="auto" w:sz="4" w:space="0"/>
              <w:left w:val="single" w:color="auto" w:sz="4" w:space="0"/>
              <w:bottom w:val="single" w:color="auto" w:sz="4" w:space="0"/>
              <w:right w:val="single" w:color="auto" w:sz="4" w:space="0"/>
            </w:tcBorders>
            <w:shd w:val="clear" w:color="auto" w:fill="FFFFFF"/>
            <w:vAlign w:val="bottom"/>
            <w:hideMark/>
          </w:tcPr>
          <w:p w:rsidRPr="007D3319" w:rsidR="002A0797" w:rsidP="00CB3555" w:rsidRDefault="002A0797" w14:paraId="3073DA30" w14:textId="2DAAB7F5">
            <w:pPr>
              <w:spacing w:line="256" w:lineRule="auto"/>
              <w:jc w:val="right"/>
              <w:rPr>
                <w:rFonts w:eastAsia="Calibri"/>
                <w:szCs w:val="26"/>
              </w:rPr>
            </w:pPr>
            <w:r w:rsidRPr="007D3319">
              <w:rPr>
                <w:rFonts w:eastAsia="Calibri"/>
                <w:szCs w:val="26"/>
              </w:rPr>
              <w:t>0.3 hrs.;</w:t>
            </w:r>
            <w:r w:rsidR="00CB3555">
              <w:rPr>
                <w:rFonts w:eastAsia="Calibri"/>
                <w:szCs w:val="26"/>
              </w:rPr>
              <w:t xml:space="preserve"> </w:t>
            </w:r>
            <w:r w:rsidRPr="00CB3555" w:rsidR="007D3319">
              <w:rPr>
                <w:rFonts w:eastAsia="Calibri"/>
                <w:szCs w:val="26"/>
              </w:rPr>
              <w:t>$</w:t>
            </w:r>
            <w:r w:rsidRPr="007D3319" w:rsidR="007D3319">
              <w:rPr>
                <w:rFonts w:eastAsia="Calibri"/>
                <w:szCs w:val="26"/>
              </w:rPr>
              <w:t>24</w:t>
            </w:r>
          </w:p>
        </w:tc>
        <w:tc>
          <w:tcPr>
            <w:tcW w:w="848" w:type="pct"/>
            <w:tcBorders>
              <w:top w:val="single" w:color="auto" w:sz="4" w:space="0"/>
              <w:left w:val="single" w:color="auto" w:sz="4" w:space="0"/>
              <w:bottom w:val="single" w:color="auto" w:sz="4" w:space="0"/>
              <w:right w:val="single" w:color="auto" w:sz="4" w:space="0"/>
            </w:tcBorders>
            <w:shd w:val="clear" w:color="auto" w:fill="FFFFFF"/>
            <w:vAlign w:val="bottom"/>
            <w:hideMark/>
          </w:tcPr>
          <w:p w:rsidRPr="007D3319" w:rsidR="002A0797" w:rsidP="00CB3555" w:rsidRDefault="0066184D" w14:paraId="2262B00E" w14:textId="25B32F70">
            <w:pPr>
              <w:spacing w:line="256" w:lineRule="auto"/>
              <w:jc w:val="right"/>
              <w:rPr>
                <w:rFonts w:eastAsia="Calibri"/>
                <w:szCs w:val="26"/>
              </w:rPr>
            </w:pPr>
            <w:r w:rsidRPr="00FB337F">
              <w:rPr>
                <w:rFonts w:eastAsia="Calibri"/>
                <w:szCs w:val="26"/>
              </w:rPr>
              <w:t>30</w:t>
            </w:r>
            <w:r w:rsidRPr="00FB337F" w:rsidR="002A0797">
              <w:rPr>
                <w:rFonts w:eastAsia="Calibri"/>
                <w:szCs w:val="26"/>
              </w:rPr>
              <w:t xml:space="preserve"> hrs.;</w:t>
            </w:r>
            <w:r w:rsidR="00CB3555">
              <w:rPr>
                <w:rFonts w:eastAsia="Calibri"/>
                <w:szCs w:val="26"/>
              </w:rPr>
              <w:t xml:space="preserve"> </w:t>
            </w:r>
            <w:r w:rsidRPr="00CB3555" w:rsidR="002A0797">
              <w:rPr>
                <w:rFonts w:eastAsia="Calibri"/>
                <w:szCs w:val="26"/>
              </w:rPr>
              <w:t>$</w:t>
            </w:r>
            <w:r w:rsidRPr="00CB3555" w:rsidR="007D3319">
              <w:rPr>
                <w:rFonts w:eastAsia="Calibri"/>
                <w:szCs w:val="26"/>
              </w:rPr>
              <w:t>2,400</w:t>
            </w:r>
          </w:p>
        </w:tc>
        <w:tc>
          <w:tcPr>
            <w:tcW w:w="895" w:type="pct"/>
            <w:tcBorders>
              <w:top w:val="single" w:color="auto" w:sz="4" w:space="0"/>
              <w:left w:val="single" w:color="auto" w:sz="4" w:space="0"/>
              <w:bottom w:val="single" w:color="auto" w:sz="4" w:space="0"/>
              <w:right w:val="single" w:color="auto" w:sz="4" w:space="0"/>
            </w:tcBorders>
            <w:shd w:val="clear" w:color="auto" w:fill="FFFFFF"/>
            <w:vAlign w:val="bottom"/>
            <w:hideMark/>
          </w:tcPr>
          <w:p w:rsidRPr="007D3319" w:rsidR="002A0797" w:rsidRDefault="002A0797" w14:paraId="3F08D37D" w14:textId="51617243">
            <w:pPr>
              <w:spacing w:line="256" w:lineRule="auto"/>
              <w:jc w:val="right"/>
              <w:rPr>
                <w:rFonts w:eastAsia="Calibri"/>
                <w:szCs w:val="26"/>
              </w:rPr>
            </w:pPr>
            <w:r w:rsidRPr="00CB3555">
              <w:rPr>
                <w:rFonts w:eastAsia="Calibri"/>
                <w:szCs w:val="26"/>
              </w:rPr>
              <w:t>$</w:t>
            </w:r>
            <w:r w:rsidRPr="00CB3555" w:rsidR="007D3319">
              <w:rPr>
                <w:rFonts w:eastAsia="Calibri"/>
                <w:szCs w:val="26"/>
              </w:rPr>
              <w:t>24</w:t>
            </w:r>
          </w:p>
        </w:tc>
      </w:tr>
    </w:tbl>
    <w:p w:rsidR="00674EDE" w:rsidP="00674EDE" w:rsidRDefault="00674EDE" w14:paraId="22EB1520" w14:textId="77777777">
      <w:pPr>
        <w:spacing w:line="480" w:lineRule="auto"/>
        <w:rPr>
          <w:szCs w:val="26"/>
        </w:rPr>
      </w:pPr>
    </w:p>
    <w:p w:rsidR="00AE1F12" w:rsidP="00AE1F12" w:rsidRDefault="00AE1F12" w14:paraId="06D77A52" w14:textId="281F65B9">
      <w:pPr>
        <w:spacing w:line="480" w:lineRule="auto"/>
      </w:pPr>
      <w:r>
        <w:rPr>
          <w:i/>
        </w:rPr>
        <w:t xml:space="preserve">Comments:  </w:t>
      </w:r>
      <w:r>
        <w:t xml:space="preserve">Comments are invited on:  (1) whether the collection of information is necessary for the proper performance of the functions of the Commission, including whether the information will have practical utility; (2) the accuracy of the agency’s estimate of the burden and cost of the collection of information, including the validity of the methodology and assumptions used; (3) ways to enhance the quality, utility and clarity of the information collection; and (4) ways to minimize the burden of the collection of information on those who are to respond, including the use of automated collection techniques or other forms of information technology.  </w:t>
      </w:r>
    </w:p>
    <w:p w:rsidR="002946DC" w:rsidP="002946DC" w:rsidRDefault="002946DC" w14:paraId="09B2342A" w14:textId="54ECCA38"/>
    <w:p w:rsidR="007F77D7" w:rsidP="002946DC" w:rsidRDefault="007F77D7" w14:paraId="1B169E63" w14:textId="77777777"/>
    <w:p w:rsidR="002946DC" w:rsidP="002946DC" w:rsidRDefault="002946DC" w14:paraId="7C5DCEFC" w14:textId="1E136935"/>
    <w:p w:rsidR="002946DC" w:rsidP="002946DC" w:rsidRDefault="002946DC" w14:paraId="69B7D86A" w14:textId="3B0C44CA"/>
    <w:p w:rsidRPr="002946DC" w:rsidR="002946DC" w:rsidP="00970098" w:rsidRDefault="00970098" w14:paraId="60B7C9C7" w14:textId="209CB00E">
      <w:pPr>
        <w:tabs>
          <w:tab w:val="left" w:pos="5040"/>
        </w:tabs>
        <w:ind w:firstLine="2174"/>
        <w:jc w:val="center"/>
      </w:pPr>
      <w:r>
        <w:t xml:space="preserve">       </w:t>
      </w:r>
      <w:r w:rsidRPr="002946DC" w:rsidR="002946DC">
        <w:t>Kimberly D. Bose,</w:t>
      </w:r>
    </w:p>
    <w:p w:rsidRPr="002946DC" w:rsidR="002946DC" w:rsidP="002946DC" w:rsidRDefault="00970098" w14:paraId="6A5B1900" w14:textId="68AAFEFF">
      <w:pPr>
        <w:ind w:firstLine="2174"/>
        <w:jc w:val="center"/>
      </w:pPr>
      <w:r>
        <w:t xml:space="preserve">        </w:t>
      </w:r>
      <w:r w:rsidRPr="002946DC" w:rsidR="002946DC">
        <w:t>Secretary.</w:t>
      </w:r>
    </w:p>
    <w:p w:rsidR="002946DC" w:rsidP="002946DC" w:rsidRDefault="002946DC" w14:paraId="0F67FB0C" w14:textId="77777777"/>
    <w:sectPr w:rsidR="002946DC" w:rsidSect="00BF2D74">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DCABD" w14:textId="77777777" w:rsidR="00602FDD" w:rsidRDefault="00602FDD" w:rsidP="00B01B16">
      <w:r>
        <w:separator/>
      </w:r>
    </w:p>
  </w:endnote>
  <w:endnote w:type="continuationSeparator" w:id="0">
    <w:p w14:paraId="157752C1" w14:textId="77777777" w:rsidR="00602FDD" w:rsidRDefault="00602FDD" w:rsidP="00B01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TUR">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0A38C" w14:textId="77777777" w:rsidR="00970098" w:rsidRDefault="009700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C4A72" w14:textId="77777777" w:rsidR="00970098" w:rsidRDefault="009700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A47E6" w14:textId="77777777" w:rsidR="00970098" w:rsidRDefault="009700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D8B52" w14:textId="77777777" w:rsidR="00602FDD" w:rsidRDefault="00602FDD" w:rsidP="00B01B16">
      <w:r>
        <w:separator/>
      </w:r>
    </w:p>
  </w:footnote>
  <w:footnote w:type="continuationSeparator" w:id="0">
    <w:p w14:paraId="76139009" w14:textId="77777777" w:rsidR="00602FDD" w:rsidRDefault="00602FDD" w:rsidP="00B01B16">
      <w:r>
        <w:continuationSeparator/>
      </w:r>
    </w:p>
  </w:footnote>
  <w:footnote w:id="1">
    <w:p w14:paraId="2C2160B1" w14:textId="385FBC0C" w:rsidR="005D7A5B" w:rsidRPr="00B514BF" w:rsidRDefault="005D7A5B" w:rsidP="005D7A5B">
      <w:pPr>
        <w:pStyle w:val="FootnoteText"/>
        <w:rPr>
          <w:sz w:val="26"/>
          <w:szCs w:val="26"/>
        </w:rPr>
      </w:pPr>
      <w:r w:rsidRPr="00341A13">
        <w:rPr>
          <w:rStyle w:val="FootnoteReference"/>
        </w:rPr>
        <w:footnoteRef/>
      </w:r>
      <w:r w:rsidRPr="00B514BF">
        <w:rPr>
          <w:sz w:val="26"/>
          <w:szCs w:val="26"/>
        </w:rPr>
        <w:t xml:space="preserve"> The CEII request form and five </w:t>
      </w:r>
      <w:r w:rsidR="00B514BF">
        <w:rPr>
          <w:sz w:val="26"/>
          <w:szCs w:val="26"/>
        </w:rPr>
        <w:t xml:space="preserve">versions of the </w:t>
      </w:r>
      <w:r w:rsidRPr="00B514BF">
        <w:rPr>
          <w:sz w:val="26"/>
          <w:szCs w:val="26"/>
        </w:rPr>
        <w:t xml:space="preserve">non-disclosure agreement (General Non-Disclosure Agreement, Media Non-Disclosure Agreement, Federal Agency Acknowledgement and Agreement, State Agency Employee Non-Disclosure Agreement, and Consultant Non-Disclosure Agreement) are posted at </w:t>
      </w:r>
      <w:hyperlink r:id="rId1" w:history="1">
        <w:r w:rsidRPr="00B514BF">
          <w:rPr>
            <w:rStyle w:val="Hyperlink"/>
            <w:sz w:val="26"/>
            <w:szCs w:val="26"/>
          </w:rPr>
          <w:t>https://www.ferc.gov/legal/ceii-foia/ceii.asp</w:t>
        </w:r>
      </w:hyperlink>
      <w:r w:rsidRPr="00B514BF">
        <w:rPr>
          <w:sz w:val="26"/>
          <w:szCs w:val="26"/>
        </w:rPr>
        <w:t xml:space="preserve">. </w:t>
      </w:r>
    </w:p>
  </w:footnote>
  <w:footnote w:id="2">
    <w:p w14:paraId="0195F6E0" w14:textId="292CDA38" w:rsidR="00674EDE" w:rsidRDefault="00674EDE" w:rsidP="00674EDE">
      <w:pPr>
        <w:pStyle w:val="FootnoteText"/>
        <w:rPr>
          <w:sz w:val="26"/>
          <w:szCs w:val="26"/>
        </w:rPr>
      </w:pPr>
      <w:r>
        <w:rPr>
          <w:rStyle w:val="FootnoteReference"/>
        </w:rPr>
        <w:footnoteRef/>
      </w:r>
      <w:r>
        <w:t xml:space="preserve"> </w:t>
      </w:r>
      <w:r>
        <w:rPr>
          <w:sz w:val="26"/>
          <w:szCs w:val="26"/>
        </w:rPr>
        <w:t>The Commission defined CEII to include information about “existing or proposed critical infrastructure that: (i) relates to the production, generation, transportation, transmission, or distribution of energy; (ii) could be useful to a person planning an attack on critical infrastructure; (iii) is exempt from mandatory disclosure under the Freedom of Information Act, and (iv) does not simply give the location of the critical infrastructure. Critical infrastructure means existing and proposed systems and assets, whether physical or virtual, the incapacity or destruction of which would negatively affect security, economic security, public health or safety, or any combination of those matters.</w:t>
      </w:r>
    </w:p>
    <w:p w14:paraId="38BC6086" w14:textId="77777777" w:rsidR="001A65B7" w:rsidRDefault="001A65B7" w:rsidP="00674EDE">
      <w:pPr>
        <w:pStyle w:val="FootnoteText"/>
      </w:pPr>
    </w:p>
  </w:footnote>
  <w:footnote w:id="3">
    <w:p w14:paraId="712C9A28" w14:textId="77777777" w:rsidR="00674EDE" w:rsidRDefault="00674EDE" w:rsidP="00674EDE">
      <w:pPr>
        <w:pStyle w:val="NormalWeb"/>
      </w:pPr>
      <w:r>
        <w:rPr>
          <w:rStyle w:val="FootnoteReference"/>
        </w:rPr>
        <w:footnoteRef/>
      </w:r>
      <w:r>
        <w:t xml:space="preserve"> </w:t>
      </w:r>
      <w:r>
        <w:rPr>
          <w:color w:val="000000"/>
          <w:sz w:val="26"/>
          <w:szCs w:val="26"/>
        </w:rPr>
        <w:t xml:space="preserve">Fixing America’s Surface Transportation Act, Pub. L. No. 114-94, 61,003, 129 Stat. 1312, 1773-1779 (2015) (to be codified at 16 U.S.C. 824 </w:t>
      </w:r>
      <w:r>
        <w:rPr>
          <w:i/>
          <w:iCs/>
          <w:color w:val="000000"/>
          <w:sz w:val="26"/>
          <w:szCs w:val="26"/>
        </w:rPr>
        <w:t>et seq.</w:t>
      </w:r>
      <w:r>
        <w:rPr>
          <w:color w:val="000000"/>
          <w:sz w:val="26"/>
          <w:szCs w:val="26"/>
        </w:rPr>
        <w:t>) (FAST Act).</w:t>
      </w:r>
    </w:p>
  </w:footnote>
  <w:footnote w:id="4">
    <w:p w14:paraId="5D423E05" w14:textId="2F6242FF" w:rsidR="00C96F59" w:rsidRDefault="00C96F59" w:rsidP="00B01B16">
      <w:pPr>
        <w:pStyle w:val="FootnoteText"/>
        <w:rPr>
          <w:sz w:val="26"/>
          <w:szCs w:val="26"/>
        </w:rPr>
      </w:pPr>
      <w:r w:rsidRPr="006536D8">
        <w:rPr>
          <w:rStyle w:val="FootnoteReference"/>
        </w:rPr>
        <w:footnoteRef/>
      </w:r>
      <w:r w:rsidRPr="006536D8">
        <w:rPr>
          <w:sz w:val="26"/>
          <w:szCs w:val="26"/>
        </w:rPr>
        <w:t xml:space="preserve"> </w:t>
      </w:r>
      <w:r>
        <w:rPr>
          <w:sz w:val="26"/>
          <w:szCs w:val="26"/>
        </w:rPr>
        <w:t>“B</w:t>
      </w:r>
      <w:r w:rsidRPr="006536D8">
        <w:rPr>
          <w:sz w:val="26"/>
          <w:szCs w:val="26"/>
        </w:rPr>
        <w:t>urden</w:t>
      </w:r>
      <w:r>
        <w:rPr>
          <w:sz w:val="26"/>
          <w:szCs w:val="26"/>
        </w:rPr>
        <w:t>” is</w:t>
      </w:r>
      <w:r w:rsidRPr="006536D8">
        <w:rPr>
          <w:sz w:val="26"/>
          <w:szCs w:val="26"/>
        </w:rPr>
        <w:t xml:space="preserve"> the total time, effort, or financial resources expended by persons to generate, maintain, retain, or disclose or provide information to or for a Federal agency. For further explanation of what is included in the information collection burden, refer to Title 5 Code of Feder</w:t>
      </w:r>
      <w:r w:rsidRPr="008E145A">
        <w:rPr>
          <w:sz w:val="26"/>
          <w:szCs w:val="26"/>
        </w:rPr>
        <w:t>al Regulations 1320.3.</w:t>
      </w:r>
    </w:p>
    <w:p w14:paraId="67B10D65" w14:textId="77777777" w:rsidR="001A65B7" w:rsidRPr="008E145A" w:rsidRDefault="001A65B7" w:rsidP="00B01B16">
      <w:pPr>
        <w:pStyle w:val="FootnoteText"/>
        <w:rPr>
          <w:sz w:val="26"/>
          <w:szCs w:val="26"/>
        </w:rPr>
      </w:pPr>
    </w:p>
  </w:footnote>
  <w:footnote w:id="5">
    <w:p w14:paraId="00914877" w14:textId="0D42E912" w:rsidR="002A0797" w:rsidRDefault="002A0797" w:rsidP="002A0797">
      <w:pPr>
        <w:pStyle w:val="FootnoteText"/>
      </w:pPr>
      <w:r>
        <w:rPr>
          <w:rStyle w:val="FootnoteReference"/>
        </w:rPr>
        <w:footnoteRef/>
      </w:r>
      <w:r>
        <w:rPr>
          <w:sz w:val="26"/>
          <w:szCs w:val="26"/>
        </w:rPr>
        <w:t xml:space="preserve"> The Commission staff thinks that the average respondent for this collection is similarly situated to the Commission, in terms of salary plus benefits.  Based upon </w:t>
      </w:r>
      <w:r w:rsidR="00CB3555">
        <w:rPr>
          <w:sz w:val="26"/>
          <w:szCs w:val="26"/>
        </w:rPr>
        <w:t xml:space="preserve">the </w:t>
      </w:r>
      <w:r>
        <w:rPr>
          <w:sz w:val="26"/>
          <w:szCs w:val="26"/>
        </w:rPr>
        <w:t>FERC’s 2019</w:t>
      </w:r>
      <w:r w:rsidR="00CB3555">
        <w:rPr>
          <w:sz w:val="26"/>
          <w:szCs w:val="26"/>
        </w:rPr>
        <w:t xml:space="preserve"> average cost for salary plus benefits</w:t>
      </w:r>
      <w:r>
        <w:rPr>
          <w:sz w:val="26"/>
          <w:szCs w:val="26"/>
        </w:rPr>
        <w:t>, the average hourly cost is $80/hour.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4AA3F" w14:textId="77777777" w:rsidR="00970098" w:rsidRDefault="009700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20AF7" w14:textId="48EE55B8" w:rsidR="00C96F59" w:rsidRDefault="00C96F59" w:rsidP="00810D18">
    <w:pPr>
      <w:pStyle w:val="Header"/>
    </w:pPr>
    <w:r w:rsidRPr="00DA19FA">
      <w:t>D</w:t>
    </w:r>
    <w:r w:rsidRPr="00A17953">
      <w:t xml:space="preserve">ocket No. </w:t>
    </w:r>
    <w:r w:rsidR="00A17953" w:rsidRPr="00A17953">
      <w:t>IC20-13-000</w:t>
    </w:r>
    <w:r>
      <w:tab/>
    </w:r>
    <w:sdt>
      <w:sdtPr>
        <w:id w:val="151588624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6B4B0B">
          <w:rPr>
            <w:noProof/>
          </w:rPr>
          <w:t>3</w:t>
        </w:r>
        <w:r>
          <w:rPr>
            <w:noProof/>
          </w:rPr>
          <w:fldChar w:fldCharType="end"/>
        </w:r>
      </w:sdtContent>
    </w:sdt>
  </w:p>
  <w:p w14:paraId="11CB63B3" w14:textId="77777777" w:rsidR="00C96F59" w:rsidRDefault="00C96F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5EF30" w14:textId="77777777" w:rsidR="00970098" w:rsidRDefault="009700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F02A8"/>
    <w:multiLevelType w:val="hybridMultilevel"/>
    <w:tmpl w:val="1F3240CC"/>
    <w:lvl w:ilvl="0" w:tplc="DE32E332">
      <w:start w:val="1"/>
      <w:numFmt w:val="bullet"/>
      <w:lvlText w:val=""/>
      <w:lvlJc w:val="left"/>
      <w:pPr>
        <w:tabs>
          <w:tab w:val="num" w:pos="1500"/>
        </w:tabs>
        <w:ind w:left="1500" w:hanging="360"/>
      </w:pPr>
      <w:rPr>
        <w:rFonts w:ascii="Symbol" w:hAnsi="Symbol" w:hint="default"/>
        <w:color w:val="auto"/>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33156D43"/>
    <w:multiLevelType w:val="multilevel"/>
    <w:tmpl w:val="B140707E"/>
    <w:lvl w:ilvl="0">
      <w:start w:val="1"/>
      <w:numFmt w:val="decimal"/>
      <w:pStyle w:val="ListContinue"/>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351F2C5F"/>
    <w:multiLevelType w:val="hybridMultilevel"/>
    <w:tmpl w:val="D10A2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B16"/>
    <w:rsid w:val="00011521"/>
    <w:rsid w:val="000174B2"/>
    <w:rsid w:val="00034749"/>
    <w:rsid w:val="00036BBC"/>
    <w:rsid w:val="000459B6"/>
    <w:rsid w:val="000508F2"/>
    <w:rsid w:val="00062427"/>
    <w:rsid w:val="0006263D"/>
    <w:rsid w:val="000828DD"/>
    <w:rsid w:val="00090FE1"/>
    <w:rsid w:val="0009244C"/>
    <w:rsid w:val="000936AF"/>
    <w:rsid w:val="00094D37"/>
    <w:rsid w:val="000A0250"/>
    <w:rsid w:val="000A1C5A"/>
    <w:rsid w:val="000A7E68"/>
    <w:rsid w:val="000B1CE7"/>
    <w:rsid w:val="000C29B1"/>
    <w:rsid w:val="000D4154"/>
    <w:rsid w:val="000E2568"/>
    <w:rsid w:val="0011340B"/>
    <w:rsid w:val="0011644E"/>
    <w:rsid w:val="001219DB"/>
    <w:rsid w:val="00153546"/>
    <w:rsid w:val="00156BBB"/>
    <w:rsid w:val="001600DF"/>
    <w:rsid w:val="00162E44"/>
    <w:rsid w:val="00171725"/>
    <w:rsid w:val="00181BF7"/>
    <w:rsid w:val="00182C90"/>
    <w:rsid w:val="001872E9"/>
    <w:rsid w:val="001A65B7"/>
    <w:rsid w:val="001A6AD6"/>
    <w:rsid w:val="001B1EB4"/>
    <w:rsid w:val="001B78B8"/>
    <w:rsid w:val="001C3865"/>
    <w:rsid w:val="001D18E9"/>
    <w:rsid w:val="001D467C"/>
    <w:rsid w:val="002041AF"/>
    <w:rsid w:val="00251BE0"/>
    <w:rsid w:val="00252438"/>
    <w:rsid w:val="00263EC6"/>
    <w:rsid w:val="00273ED7"/>
    <w:rsid w:val="00274C6F"/>
    <w:rsid w:val="002767A5"/>
    <w:rsid w:val="0028362A"/>
    <w:rsid w:val="002926AE"/>
    <w:rsid w:val="002946DC"/>
    <w:rsid w:val="002A0797"/>
    <w:rsid w:val="002A796B"/>
    <w:rsid w:val="002B1897"/>
    <w:rsid w:val="002B530C"/>
    <w:rsid w:val="002D3CFE"/>
    <w:rsid w:val="002E43AC"/>
    <w:rsid w:val="003017CB"/>
    <w:rsid w:val="00311D90"/>
    <w:rsid w:val="003149BC"/>
    <w:rsid w:val="0034094B"/>
    <w:rsid w:val="00341A13"/>
    <w:rsid w:val="00356455"/>
    <w:rsid w:val="003673EC"/>
    <w:rsid w:val="00376525"/>
    <w:rsid w:val="003C3E7A"/>
    <w:rsid w:val="003D25C9"/>
    <w:rsid w:val="003E44AD"/>
    <w:rsid w:val="003F2CBD"/>
    <w:rsid w:val="003F3B58"/>
    <w:rsid w:val="00425FCF"/>
    <w:rsid w:val="00443282"/>
    <w:rsid w:val="004559FF"/>
    <w:rsid w:val="00494C21"/>
    <w:rsid w:val="004C70C8"/>
    <w:rsid w:val="004E2C78"/>
    <w:rsid w:val="0050354D"/>
    <w:rsid w:val="00510FCF"/>
    <w:rsid w:val="00511F8F"/>
    <w:rsid w:val="00530876"/>
    <w:rsid w:val="0054746C"/>
    <w:rsid w:val="00550E2A"/>
    <w:rsid w:val="00567282"/>
    <w:rsid w:val="005707FD"/>
    <w:rsid w:val="00577D25"/>
    <w:rsid w:val="00583C5F"/>
    <w:rsid w:val="0058544A"/>
    <w:rsid w:val="005A2F24"/>
    <w:rsid w:val="005A6A4C"/>
    <w:rsid w:val="005B3D2A"/>
    <w:rsid w:val="005B4DA4"/>
    <w:rsid w:val="005D58B8"/>
    <w:rsid w:val="005D7A5B"/>
    <w:rsid w:val="005E020A"/>
    <w:rsid w:val="005E1FA1"/>
    <w:rsid w:val="005F6B16"/>
    <w:rsid w:val="005F6C40"/>
    <w:rsid w:val="00602FDD"/>
    <w:rsid w:val="00605F00"/>
    <w:rsid w:val="00606F0E"/>
    <w:rsid w:val="0061198F"/>
    <w:rsid w:val="006128A5"/>
    <w:rsid w:val="0061661C"/>
    <w:rsid w:val="00637F43"/>
    <w:rsid w:val="00644A1B"/>
    <w:rsid w:val="006536D8"/>
    <w:rsid w:val="00653732"/>
    <w:rsid w:val="006540E0"/>
    <w:rsid w:val="00654BA4"/>
    <w:rsid w:val="0066184D"/>
    <w:rsid w:val="00674EDE"/>
    <w:rsid w:val="00675781"/>
    <w:rsid w:val="006765C9"/>
    <w:rsid w:val="00681A35"/>
    <w:rsid w:val="006825C4"/>
    <w:rsid w:val="00692902"/>
    <w:rsid w:val="006963BC"/>
    <w:rsid w:val="00696469"/>
    <w:rsid w:val="006A1CFC"/>
    <w:rsid w:val="006B4B0B"/>
    <w:rsid w:val="006B744D"/>
    <w:rsid w:val="006D0E2D"/>
    <w:rsid w:val="006D236D"/>
    <w:rsid w:val="006E7CBB"/>
    <w:rsid w:val="007340DB"/>
    <w:rsid w:val="00742841"/>
    <w:rsid w:val="0074755F"/>
    <w:rsid w:val="0075009F"/>
    <w:rsid w:val="00750DF5"/>
    <w:rsid w:val="00753DD8"/>
    <w:rsid w:val="00763112"/>
    <w:rsid w:val="00795F4D"/>
    <w:rsid w:val="00797B8B"/>
    <w:rsid w:val="007A342F"/>
    <w:rsid w:val="007A761E"/>
    <w:rsid w:val="007B7AA4"/>
    <w:rsid w:val="007D3319"/>
    <w:rsid w:val="007F00CB"/>
    <w:rsid w:val="007F55BA"/>
    <w:rsid w:val="007F77D7"/>
    <w:rsid w:val="008017C6"/>
    <w:rsid w:val="00803CA2"/>
    <w:rsid w:val="00807CAC"/>
    <w:rsid w:val="00810D18"/>
    <w:rsid w:val="008115BF"/>
    <w:rsid w:val="00824D81"/>
    <w:rsid w:val="00835502"/>
    <w:rsid w:val="00853ABC"/>
    <w:rsid w:val="00860A08"/>
    <w:rsid w:val="008764F8"/>
    <w:rsid w:val="00881405"/>
    <w:rsid w:val="00881A3F"/>
    <w:rsid w:val="0089069F"/>
    <w:rsid w:val="00895D18"/>
    <w:rsid w:val="00895DA2"/>
    <w:rsid w:val="00897359"/>
    <w:rsid w:val="008A3CA6"/>
    <w:rsid w:val="008B2BB6"/>
    <w:rsid w:val="008B3CDC"/>
    <w:rsid w:val="008C5A6B"/>
    <w:rsid w:val="008D25B7"/>
    <w:rsid w:val="008D4891"/>
    <w:rsid w:val="008D5479"/>
    <w:rsid w:val="008E0DF5"/>
    <w:rsid w:val="008E145A"/>
    <w:rsid w:val="008E3273"/>
    <w:rsid w:val="009171DB"/>
    <w:rsid w:val="009325C3"/>
    <w:rsid w:val="00940C0F"/>
    <w:rsid w:val="00943D72"/>
    <w:rsid w:val="00945F33"/>
    <w:rsid w:val="0095427A"/>
    <w:rsid w:val="009573C2"/>
    <w:rsid w:val="00970098"/>
    <w:rsid w:val="009744C8"/>
    <w:rsid w:val="00981886"/>
    <w:rsid w:val="00990FEC"/>
    <w:rsid w:val="009A1B08"/>
    <w:rsid w:val="009B525A"/>
    <w:rsid w:val="009C4A13"/>
    <w:rsid w:val="009D7120"/>
    <w:rsid w:val="009E028C"/>
    <w:rsid w:val="009E1C9D"/>
    <w:rsid w:val="009F3D74"/>
    <w:rsid w:val="009F7DE3"/>
    <w:rsid w:val="00A1074A"/>
    <w:rsid w:val="00A139D3"/>
    <w:rsid w:val="00A13C46"/>
    <w:rsid w:val="00A17953"/>
    <w:rsid w:val="00A2604E"/>
    <w:rsid w:val="00A52CA7"/>
    <w:rsid w:val="00A569FC"/>
    <w:rsid w:val="00A61250"/>
    <w:rsid w:val="00A664DF"/>
    <w:rsid w:val="00A713D0"/>
    <w:rsid w:val="00A732AF"/>
    <w:rsid w:val="00A76D87"/>
    <w:rsid w:val="00A82A29"/>
    <w:rsid w:val="00A93FC7"/>
    <w:rsid w:val="00AA516A"/>
    <w:rsid w:val="00AA5B0E"/>
    <w:rsid w:val="00AA5E73"/>
    <w:rsid w:val="00AC750B"/>
    <w:rsid w:val="00AE0BF8"/>
    <w:rsid w:val="00AE1F12"/>
    <w:rsid w:val="00AE4155"/>
    <w:rsid w:val="00AE4B7C"/>
    <w:rsid w:val="00AF2CF4"/>
    <w:rsid w:val="00AF349B"/>
    <w:rsid w:val="00AF5F86"/>
    <w:rsid w:val="00B01B16"/>
    <w:rsid w:val="00B23CCB"/>
    <w:rsid w:val="00B273D5"/>
    <w:rsid w:val="00B447D7"/>
    <w:rsid w:val="00B4757E"/>
    <w:rsid w:val="00B514BF"/>
    <w:rsid w:val="00B53F41"/>
    <w:rsid w:val="00B63E1D"/>
    <w:rsid w:val="00B65E34"/>
    <w:rsid w:val="00B76A1F"/>
    <w:rsid w:val="00B82F8C"/>
    <w:rsid w:val="00B86BF7"/>
    <w:rsid w:val="00B958F1"/>
    <w:rsid w:val="00B970FF"/>
    <w:rsid w:val="00BB41AE"/>
    <w:rsid w:val="00BD033D"/>
    <w:rsid w:val="00BD35C6"/>
    <w:rsid w:val="00BD74AE"/>
    <w:rsid w:val="00BE3FE7"/>
    <w:rsid w:val="00BF2D74"/>
    <w:rsid w:val="00BF4CC8"/>
    <w:rsid w:val="00C05870"/>
    <w:rsid w:val="00C1124F"/>
    <w:rsid w:val="00C13AB6"/>
    <w:rsid w:val="00C21F91"/>
    <w:rsid w:val="00C36799"/>
    <w:rsid w:val="00C36FDB"/>
    <w:rsid w:val="00C37BFF"/>
    <w:rsid w:val="00C51050"/>
    <w:rsid w:val="00C51458"/>
    <w:rsid w:val="00C53580"/>
    <w:rsid w:val="00C55838"/>
    <w:rsid w:val="00C64E8F"/>
    <w:rsid w:val="00C77EF7"/>
    <w:rsid w:val="00C820F1"/>
    <w:rsid w:val="00C91512"/>
    <w:rsid w:val="00C96F59"/>
    <w:rsid w:val="00CA6636"/>
    <w:rsid w:val="00CA6D76"/>
    <w:rsid w:val="00CB1515"/>
    <w:rsid w:val="00CB3555"/>
    <w:rsid w:val="00CB5083"/>
    <w:rsid w:val="00CD641D"/>
    <w:rsid w:val="00CE21CB"/>
    <w:rsid w:val="00CF4753"/>
    <w:rsid w:val="00D0083B"/>
    <w:rsid w:val="00D027FE"/>
    <w:rsid w:val="00D36594"/>
    <w:rsid w:val="00D44183"/>
    <w:rsid w:val="00D6457E"/>
    <w:rsid w:val="00D94108"/>
    <w:rsid w:val="00DA19FA"/>
    <w:rsid w:val="00DA529F"/>
    <w:rsid w:val="00DC5017"/>
    <w:rsid w:val="00DD7F1B"/>
    <w:rsid w:val="00DF70F2"/>
    <w:rsid w:val="00E01565"/>
    <w:rsid w:val="00E11C4A"/>
    <w:rsid w:val="00E22235"/>
    <w:rsid w:val="00E317B6"/>
    <w:rsid w:val="00E41DB9"/>
    <w:rsid w:val="00E63EC8"/>
    <w:rsid w:val="00E762BB"/>
    <w:rsid w:val="00E8661B"/>
    <w:rsid w:val="00EA1FD2"/>
    <w:rsid w:val="00EA66F0"/>
    <w:rsid w:val="00EA689F"/>
    <w:rsid w:val="00EB6B68"/>
    <w:rsid w:val="00ED5F7E"/>
    <w:rsid w:val="00EF33BE"/>
    <w:rsid w:val="00F012A1"/>
    <w:rsid w:val="00F034CD"/>
    <w:rsid w:val="00F309CB"/>
    <w:rsid w:val="00F30FC8"/>
    <w:rsid w:val="00F44A0E"/>
    <w:rsid w:val="00F53B91"/>
    <w:rsid w:val="00F61A05"/>
    <w:rsid w:val="00F666ED"/>
    <w:rsid w:val="00F95552"/>
    <w:rsid w:val="00FB337F"/>
    <w:rsid w:val="00FB3EF0"/>
    <w:rsid w:val="00FC2537"/>
    <w:rsid w:val="00FC36CD"/>
    <w:rsid w:val="00FC3F00"/>
    <w:rsid w:val="00FD185A"/>
    <w:rsid w:val="00FE37BC"/>
    <w:rsid w:val="00FF1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18433"/>
    <o:shapelayout v:ext="edit">
      <o:idmap v:ext="edit" data="1"/>
    </o:shapelayout>
  </w:shapeDefaults>
  <w:decimalSymbol w:val="."/>
  <w:listSeparator w:val=","/>
  <w14:docId w14:val="75390EE5"/>
  <w15:docId w15:val="{D22810CA-EDC0-4953-B099-061261069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01B16"/>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Style 13,Style 12,Style 15,Style 17,Style 9,o1,fr1,o2,fr2,o3,fr3,Style 18,(NECG) Footnote Reference,Style 20,Style 7,Styl,Style 8,Style 19,Style 28,Style 11,Style 16,Footnote Reference (EIS),fnr,Footnote reference (EA),Style 30"/>
    <w:rsid w:val="00B01B16"/>
    <w:rPr>
      <w:rFonts w:ascii="Times New Roman" w:hAnsi="Times New Roman"/>
      <w:b/>
      <w:sz w:val="26"/>
      <w:szCs w:val="26"/>
      <w:vertAlign w:val="superscript"/>
    </w:rPr>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fn1,fn3,fn4,ft Char"/>
    <w:basedOn w:val="Normal"/>
    <w:link w:val="FootnoteTextChar"/>
    <w:rsid w:val="00B01B16"/>
    <w:rPr>
      <w:sz w:val="22"/>
      <w:szCs w:val="20"/>
    </w:rPr>
  </w:style>
  <w:style w:type="character" w:customStyle="1" w:styleId="FootnoteTextChar">
    <w:name w:val="Footnote Text Char"/>
    <w:aliases w:val="fn Char,Footnote Text Char1 Char2,Footnote Text Char Char Char1,Footnote Text Char1 Char Char1,Footnote Text Char Char Char Char,Footnote Text MRP Char,Footnote Text Char1 Char Char Char,Footnote Text Char1 Char1 Char,fn1 Char"/>
    <w:basedOn w:val="DefaultParagraphFont"/>
    <w:link w:val="FootnoteText"/>
    <w:rsid w:val="00B01B16"/>
    <w:rPr>
      <w:rFonts w:ascii="Times New Roman" w:eastAsia="Times New Roman" w:hAnsi="Times New Roman" w:cs="Times New Roman"/>
      <w:szCs w:val="20"/>
    </w:rPr>
  </w:style>
  <w:style w:type="character" w:styleId="Hyperlink">
    <w:name w:val="Hyperlink"/>
    <w:rsid w:val="00B01B16"/>
    <w:rPr>
      <w:color w:val="0000FF"/>
      <w:u w:val="single"/>
    </w:rPr>
  </w:style>
  <w:style w:type="paragraph" w:styleId="ListContinue">
    <w:name w:val="List Continue"/>
    <w:basedOn w:val="Normal"/>
    <w:unhideWhenUsed/>
    <w:rsid w:val="00B01B16"/>
    <w:pPr>
      <w:numPr>
        <w:numId w:val="1"/>
      </w:numPr>
      <w:spacing w:after="120" w:line="480" w:lineRule="auto"/>
    </w:pPr>
  </w:style>
  <w:style w:type="paragraph" w:customStyle="1" w:styleId="LegalFormat">
    <w:name w:val="Legal Format"/>
    <w:basedOn w:val="ListContinue"/>
    <w:rsid w:val="00B01B16"/>
    <w:pPr>
      <w:spacing w:after="0"/>
      <w:ind w:left="0"/>
    </w:pPr>
    <w:rPr>
      <w:u w:val="single"/>
    </w:rPr>
  </w:style>
  <w:style w:type="character" w:styleId="CommentReference">
    <w:name w:val="annotation reference"/>
    <w:basedOn w:val="DefaultParagraphFont"/>
    <w:uiPriority w:val="99"/>
    <w:semiHidden/>
    <w:unhideWhenUsed/>
    <w:rsid w:val="00B01B16"/>
    <w:rPr>
      <w:sz w:val="16"/>
      <w:szCs w:val="16"/>
    </w:rPr>
  </w:style>
  <w:style w:type="paragraph" w:styleId="CommentText">
    <w:name w:val="annotation text"/>
    <w:basedOn w:val="Normal"/>
    <w:link w:val="CommentTextChar"/>
    <w:uiPriority w:val="99"/>
    <w:unhideWhenUsed/>
    <w:rsid w:val="00B01B16"/>
    <w:rPr>
      <w:sz w:val="20"/>
      <w:szCs w:val="20"/>
    </w:rPr>
  </w:style>
  <w:style w:type="character" w:customStyle="1" w:styleId="CommentTextChar">
    <w:name w:val="Comment Text Char"/>
    <w:basedOn w:val="DefaultParagraphFont"/>
    <w:link w:val="CommentText"/>
    <w:uiPriority w:val="99"/>
    <w:rsid w:val="00B01B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1B16"/>
    <w:rPr>
      <w:b/>
      <w:bCs/>
    </w:rPr>
  </w:style>
  <w:style w:type="character" w:customStyle="1" w:styleId="CommentSubjectChar">
    <w:name w:val="Comment Subject Char"/>
    <w:basedOn w:val="CommentTextChar"/>
    <w:link w:val="CommentSubject"/>
    <w:uiPriority w:val="99"/>
    <w:semiHidden/>
    <w:rsid w:val="00B01B1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01B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B16"/>
    <w:rPr>
      <w:rFonts w:ascii="Segoe UI" w:eastAsia="Times New Roman" w:hAnsi="Segoe UI" w:cs="Segoe UI"/>
      <w:sz w:val="18"/>
      <w:szCs w:val="18"/>
    </w:rPr>
  </w:style>
  <w:style w:type="paragraph" w:styleId="Revision">
    <w:name w:val="Revision"/>
    <w:hidden/>
    <w:uiPriority w:val="99"/>
    <w:semiHidden/>
    <w:rsid w:val="0054746C"/>
    <w:pPr>
      <w:spacing w:after="0" w:line="240" w:lineRule="auto"/>
    </w:pPr>
    <w:rPr>
      <w:rFonts w:ascii="Times New Roman" w:eastAsia="Times New Roman" w:hAnsi="Times New Roman" w:cs="Times New Roman"/>
      <w:sz w:val="26"/>
      <w:szCs w:val="24"/>
    </w:rPr>
  </w:style>
  <w:style w:type="paragraph" w:styleId="Header">
    <w:name w:val="header"/>
    <w:basedOn w:val="Normal"/>
    <w:link w:val="HeaderChar"/>
    <w:uiPriority w:val="99"/>
    <w:unhideWhenUsed/>
    <w:rsid w:val="00BF2D74"/>
    <w:pPr>
      <w:tabs>
        <w:tab w:val="center" w:pos="4680"/>
        <w:tab w:val="right" w:pos="9360"/>
      </w:tabs>
    </w:pPr>
  </w:style>
  <w:style w:type="character" w:customStyle="1" w:styleId="HeaderChar">
    <w:name w:val="Header Char"/>
    <w:basedOn w:val="DefaultParagraphFont"/>
    <w:link w:val="Header"/>
    <w:uiPriority w:val="99"/>
    <w:rsid w:val="00BF2D74"/>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BF2D74"/>
    <w:pPr>
      <w:tabs>
        <w:tab w:val="center" w:pos="4680"/>
        <w:tab w:val="right" w:pos="9360"/>
      </w:tabs>
    </w:pPr>
  </w:style>
  <w:style w:type="character" w:customStyle="1" w:styleId="FooterChar">
    <w:name w:val="Footer Char"/>
    <w:basedOn w:val="DefaultParagraphFont"/>
    <w:link w:val="Footer"/>
    <w:uiPriority w:val="99"/>
    <w:rsid w:val="00BF2D74"/>
    <w:rPr>
      <w:rFonts w:ascii="Times New Roman" w:eastAsia="Times New Roman" w:hAnsi="Times New Roman" w:cs="Times New Roman"/>
      <w:sz w:val="26"/>
      <w:szCs w:val="24"/>
    </w:rPr>
  </w:style>
  <w:style w:type="paragraph" w:styleId="NormalWeb">
    <w:name w:val="Normal (Web)"/>
    <w:basedOn w:val="Normal"/>
    <w:uiPriority w:val="99"/>
    <w:unhideWhenUsed/>
    <w:rsid w:val="00AE4155"/>
    <w:rPr>
      <w:rFonts w:eastAsiaTheme="minorHAnsi"/>
      <w:sz w:val="24"/>
    </w:rPr>
  </w:style>
  <w:style w:type="paragraph" w:styleId="ListParagraph">
    <w:name w:val="List Paragraph"/>
    <w:basedOn w:val="Normal"/>
    <w:uiPriority w:val="34"/>
    <w:qFormat/>
    <w:rsid w:val="002041AF"/>
    <w:pPr>
      <w:ind w:left="720"/>
      <w:contextualSpacing/>
    </w:pPr>
  </w:style>
  <w:style w:type="character" w:customStyle="1" w:styleId="FootnoteTextChar2CharChar1">
    <w:name w:val="Footnote Text Char2 Char Char1"/>
    <w:aliases w:val="Footnote Text Char Char1 Char Char1,Footnote Text Char1 Char Char Char Char1,Footnote Text Char Char Char Char Char Char1,Footnote Text Char1 Char Char Char Char Char Char Char Char1,ft Char1,fn Char1"/>
    <w:uiPriority w:val="99"/>
    <w:locked/>
    <w:rsid w:val="003F2CBD"/>
    <w:rPr>
      <w:sz w:val="24"/>
    </w:rPr>
  </w:style>
  <w:style w:type="character" w:styleId="UnresolvedMention">
    <w:name w:val="Unresolved Mention"/>
    <w:basedOn w:val="DefaultParagraphFont"/>
    <w:uiPriority w:val="99"/>
    <w:semiHidden/>
    <w:unhideWhenUsed/>
    <w:rsid w:val="005D7A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165813">
      <w:bodyDiv w:val="1"/>
      <w:marLeft w:val="0"/>
      <w:marRight w:val="0"/>
      <w:marTop w:val="0"/>
      <w:marBottom w:val="0"/>
      <w:divBdr>
        <w:top w:val="none" w:sz="0" w:space="0" w:color="auto"/>
        <w:left w:val="none" w:sz="0" w:space="0" w:color="auto"/>
        <w:bottom w:val="none" w:sz="0" w:space="0" w:color="auto"/>
        <w:right w:val="none" w:sz="0" w:space="0" w:color="auto"/>
      </w:divBdr>
    </w:div>
    <w:div w:id="703942100">
      <w:bodyDiv w:val="1"/>
      <w:marLeft w:val="0"/>
      <w:marRight w:val="0"/>
      <w:marTop w:val="0"/>
      <w:marBottom w:val="0"/>
      <w:divBdr>
        <w:top w:val="none" w:sz="0" w:space="0" w:color="auto"/>
        <w:left w:val="none" w:sz="0" w:space="0" w:color="auto"/>
        <w:bottom w:val="none" w:sz="0" w:space="0" w:color="auto"/>
        <w:right w:val="none" w:sz="0" w:space="0" w:color="auto"/>
      </w:divBdr>
    </w:div>
    <w:div w:id="883835546">
      <w:bodyDiv w:val="1"/>
      <w:marLeft w:val="0"/>
      <w:marRight w:val="0"/>
      <w:marTop w:val="0"/>
      <w:marBottom w:val="0"/>
      <w:divBdr>
        <w:top w:val="none" w:sz="0" w:space="0" w:color="auto"/>
        <w:left w:val="none" w:sz="0" w:space="0" w:color="auto"/>
        <w:bottom w:val="none" w:sz="0" w:space="0" w:color="auto"/>
        <w:right w:val="none" w:sz="0" w:space="0" w:color="auto"/>
      </w:divBdr>
    </w:div>
    <w:div w:id="1126122156">
      <w:bodyDiv w:val="1"/>
      <w:marLeft w:val="0"/>
      <w:marRight w:val="0"/>
      <w:marTop w:val="0"/>
      <w:marBottom w:val="0"/>
      <w:divBdr>
        <w:top w:val="none" w:sz="0" w:space="0" w:color="auto"/>
        <w:left w:val="none" w:sz="0" w:space="0" w:color="auto"/>
        <w:bottom w:val="none" w:sz="0" w:space="0" w:color="auto"/>
        <w:right w:val="none" w:sz="0" w:space="0" w:color="auto"/>
      </w:divBdr>
    </w:div>
    <w:div w:id="1736390529">
      <w:bodyDiv w:val="1"/>
      <w:marLeft w:val="0"/>
      <w:marRight w:val="0"/>
      <w:marTop w:val="0"/>
      <w:marBottom w:val="0"/>
      <w:divBdr>
        <w:top w:val="none" w:sz="0" w:space="0" w:color="auto"/>
        <w:left w:val="none" w:sz="0" w:space="0" w:color="auto"/>
        <w:bottom w:val="none" w:sz="0" w:space="0" w:color="auto"/>
        <w:right w:val="none" w:sz="0" w:space="0" w:color="auto"/>
      </w:divBdr>
    </w:div>
    <w:div w:id="209986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ferc.gov/docs-filing/efiling.asp"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ataClearance@FERC.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ferc.gov/docs-filing/docs-filing.as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erc.gov/help/submission-guide.asp"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ferc.gov/legal/ceii-foia/ceii.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4a4cd09-5f17-433b-814a-38e7e9115d16"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None</Renewal_x0020_Document_x0020_Type>
    <Rulemaking_x0020_Document_x0020_Type xmlns="d6eefc7d-9817-4fa6-84d5-3bc009be21b8">None</Rulemaking_x0020_Document_x0020_Type>
    <_x0033__x002e__x0020_Docket_x0020_Number xmlns="d6eefc7d-9817-4fa6-84d5-3bc009be21b8" xsi:nil="true"/>
    <_x0031__x002e__x0020_Collection_x0020_Number xmlns="d6eefc7d-9817-4fa6-84d5-3bc009be21b8">603</_x0031__x002e__x0020_Collection_x0020_Number>
    <Date xmlns="d6eefc7d-9817-4fa6-84d5-3bc009be21b8">2020-03-23T04:00:00.000Z</Date>
    <Status xmlns="d6eefc7d-9817-4fa6-84d5-3bc009be21b8">Issued</Status>
    <_x0032__x002e__x0020_Docket_x0020_Number xmlns="d6eefc7d-9817-4fa6-84d5-3bc009be21b8" xsi:nil="true"/>
    <_x0032__x002e__x0020_Collection_x0020_Number xmlns="d6eefc7d-9817-4fa6-84d5-3bc009be21b8" xsi:nil="true"/>
    <_x0031__x002e__x0020_Docket_x0020_Number xmlns="d6eefc7d-9817-4fa6-84d5-3bc009be21b8">IC20-13</_x0031__x002e__x0020_Docket_x0020_Number>
    <_x0033__x002e__x0020_Collection_x0020_Number xmlns="d6eefc7d-9817-4fa6-84d5-3bc009be21b8" xsi:nil="true"/>
  </documentManagement>
</p:properties>
</file>

<file path=customXml/item4.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5.xml><?xml version="1.0" encoding="utf-8"?>
<ct:contentTypeSchema xmlns:ct="http://schemas.microsoft.com/office/2006/metadata/contentType" xmlns:ma="http://schemas.microsoft.com/office/2006/metadata/properties/metaAttributes" ct:_="" ma:_="" ma:contentTypeName="Document" ma:contentTypeID="0x0101001EA51C0686BDB848B772F285AB6866B0" ma:contentTypeVersion="23" ma:contentTypeDescription="Create a new document." ma:contentTypeScope="" ma:versionID="37a1f2881e05d6d52c4fdc306c1506dc">
  <xsd:schema xmlns:xsd="http://www.w3.org/2001/XMLSchema" xmlns:xs="http://www.w3.org/2001/XMLSchema" xmlns:p="http://schemas.microsoft.com/office/2006/metadata/properties" xmlns:ns2="d6eefc7d-9817-4fa6-84d5-3bc009be21b8" targetNamespace="http://schemas.microsoft.com/office/2006/metadata/properties" ma:root="true" ma:fieldsID="487bcef7b4870127189a8c6c6c8eaef8"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68FA6-7061-4E38-96FD-1DCEE29BCF40}">
  <ds:schemaRefs>
    <ds:schemaRef ds:uri="Microsoft.SharePoint.Taxonomy.ContentTypeSync"/>
  </ds:schemaRefs>
</ds:datastoreItem>
</file>

<file path=customXml/itemProps2.xml><?xml version="1.0" encoding="utf-8"?>
<ds:datastoreItem xmlns:ds="http://schemas.openxmlformats.org/officeDocument/2006/customXml" ds:itemID="{374B2BA4-42E3-4037-8954-0F628E67BE67}">
  <ds:schemaRefs>
    <ds:schemaRef ds:uri="http://schemas.microsoft.com/sharepoint/v3/contenttype/forms"/>
  </ds:schemaRefs>
</ds:datastoreItem>
</file>

<file path=customXml/itemProps3.xml><?xml version="1.0" encoding="utf-8"?>
<ds:datastoreItem xmlns:ds="http://schemas.openxmlformats.org/officeDocument/2006/customXml" ds:itemID="{5BBB1DD4-8130-4FE7-964C-24C804F058DC}">
  <ds:schemaRefs>
    <ds:schemaRef ds:uri="http://purl.org/dc/elements/1.1/"/>
    <ds:schemaRef ds:uri="http://schemas.microsoft.com/office/2006/metadata/properties"/>
    <ds:schemaRef ds:uri="d6eefc7d-9817-4fa6-84d5-3bc009be21b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C41B636D-E6B9-40D1-A837-9175C0FD0358}">
  <ds:schemaRefs>
    <ds:schemaRef ds:uri="http://schemas.microsoft.com/office/2006/metadata/customXsn"/>
  </ds:schemaRefs>
</ds:datastoreItem>
</file>

<file path=customXml/itemProps5.xml><?xml version="1.0" encoding="utf-8"?>
<ds:datastoreItem xmlns:ds="http://schemas.openxmlformats.org/officeDocument/2006/customXml" ds:itemID="{556E5B17-6697-486F-AE52-BE790F943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C020571-EEE8-43EB-9FD2-17971EEB4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903</Words>
  <Characters>5152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Brown</dc:creator>
  <cp:keywords/>
  <dc:description/>
  <cp:lastModifiedBy>Ellen Brown</cp:lastModifiedBy>
  <cp:revision>2</cp:revision>
  <cp:lastPrinted>2018-09-20T20:23:00Z</cp:lastPrinted>
  <dcterms:created xsi:type="dcterms:W3CDTF">2020-04-22T13:09:00Z</dcterms:created>
  <dcterms:modified xsi:type="dcterms:W3CDTF">2020-04-22T13:09:00Z</dcterms:modified>
  <cp:category/>
  <dc:identifier/>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0x0101001EA51C0686BDB848B772F285AB6866B0</vt:lpwstr>
  </property>
</Properties>
</file>