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F6DEE" w:rsidR="00672F76" w:rsidP="00015B53" w:rsidRDefault="00672F76" w14:paraId="3C99C116" w14:textId="645F21B5">
      <w:pPr>
        <w:widowControl/>
        <w:tabs>
          <w:tab w:val="center" w:pos="4680"/>
        </w:tabs>
        <w:jc w:val="center"/>
        <w:rPr>
          <w:b/>
          <w:bCs/>
          <w:sz w:val="26"/>
          <w:szCs w:val="26"/>
        </w:rPr>
      </w:pPr>
      <w:r w:rsidRPr="000F6DEE">
        <w:rPr>
          <w:b/>
          <w:bCs/>
          <w:sz w:val="26"/>
          <w:szCs w:val="26"/>
        </w:rPr>
        <w:t>SUPPORTING STATEMENT FOR</w:t>
      </w:r>
    </w:p>
    <w:p w:rsidRPr="000F6DEE" w:rsidR="00672F76" w:rsidP="00015B53" w:rsidRDefault="00672F76" w14:paraId="3C99C117" w14:textId="046F966F">
      <w:pPr>
        <w:widowControl/>
        <w:tabs>
          <w:tab w:val="center" w:pos="4680"/>
        </w:tabs>
        <w:jc w:val="center"/>
        <w:rPr>
          <w:bCs/>
          <w:sz w:val="26"/>
          <w:szCs w:val="26"/>
        </w:rPr>
      </w:pPr>
      <w:r w:rsidRPr="000F6DEE">
        <w:rPr>
          <w:b/>
          <w:bCs/>
          <w:sz w:val="26"/>
          <w:szCs w:val="26"/>
        </w:rPr>
        <w:t>FERC-603</w:t>
      </w:r>
      <w:r w:rsidRPr="000F6DEE" w:rsidR="004F76E7">
        <w:rPr>
          <w:b/>
          <w:bCs/>
          <w:sz w:val="26"/>
          <w:szCs w:val="26"/>
        </w:rPr>
        <w:t>,</w:t>
      </w:r>
      <w:r w:rsidRPr="000F6DEE" w:rsidR="00B7405C">
        <w:rPr>
          <w:b/>
          <w:bCs/>
          <w:sz w:val="26"/>
          <w:szCs w:val="26"/>
        </w:rPr>
        <w:t xml:space="preserve"> Critical Energy/Electric </w:t>
      </w:r>
      <w:r w:rsidRPr="000F6DEE">
        <w:rPr>
          <w:b/>
          <w:bCs/>
          <w:sz w:val="26"/>
          <w:szCs w:val="26"/>
        </w:rPr>
        <w:t xml:space="preserve">Infrastructure Information </w:t>
      </w:r>
      <w:r w:rsidR="006507EE">
        <w:rPr>
          <w:b/>
          <w:bCs/>
          <w:sz w:val="26"/>
          <w:szCs w:val="26"/>
        </w:rPr>
        <w:t xml:space="preserve">Data </w:t>
      </w:r>
      <w:r w:rsidRPr="000F6DEE">
        <w:rPr>
          <w:b/>
          <w:bCs/>
          <w:sz w:val="26"/>
          <w:szCs w:val="26"/>
        </w:rPr>
        <w:t>Request</w:t>
      </w:r>
    </w:p>
    <w:p w:rsidRPr="000F6DEE" w:rsidR="00672F76" w:rsidP="008923C6" w:rsidRDefault="00672F76" w14:paraId="3C99C119" w14:textId="671D6FC2">
      <w:pPr>
        <w:widowControl/>
        <w:tabs>
          <w:tab w:val="center" w:pos="4680"/>
        </w:tabs>
        <w:rPr>
          <w:bCs/>
          <w:sz w:val="26"/>
          <w:szCs w:val="26"/>
        </w:rPr>
      </w:pPr>
    </w:p>
    <w:p w:rsidRPr="00015B53" w:rsidR="00672F76" w:rsidP="005B2E38" w:rsidRDefault="00672F76" w14:paraId="3C99C11A" w14:textId="628D99EC">
      <w:pPr>
        <w:widowControl/>
        <w:rPr>
          <w:bCs/>
          <w:sz w:val="26"/>
          <w:szCs w:val="26"/>
        </w:rPr>
      </w:pPr>
      <w:r w:rsidRPr="000F6DEE">
        <w:rPr>
          <w:bCs/>
          <w:sz w:val="26"/>
          <w:szCs w:val="26"/>
        </w:rPr>
        <w:t>The Federal Energy Regulatory Commission (FERC or Commission) requests</w:t>
      </w:r>
      <w:r w:rsidRPr="000F6DEE" w:rsidR="0063619C">
        <w:rPr>
          <w:bCs/>
          <w:sz w:val="26"/>
          <w:szCs w:val="26"/>
        </w:rPr>
        <w:t xml:space="preserve"> t</w:t>
      </w:r>
      <w:r w:rsidRPr="000F6DEE" w:rsidR="008923C6">
        <w:rPr>
          <w:bCs/>
          <w:sz w:val="26"/>
          <w:szCs w:val="26"/>
        </w:rPr>
        <w:t>hat</w:t>
      </w:r>
      <w:r w:rsidRPr="000F6DEE" w:rsidR="0063619C">
        <w:rPr>
          <w:bCs/>
          <w:sz w:val="26"/>
          <w:szCs w:val="26"/>
        </w:rPr>
        <w:t xml:space="preserve"> </w:t>
      </w:r>
      <w:r w:rsidRPr="000F6DEE" w:rsidR="008923C6">
        <w:rPr>
          <w:bCs/>
          <w:sz w:val="26"/>
          <w:szCs w:val="26"/>
        </w:rPr>
        <w:t xml:space="preserve">the </w:t>
      </w:r>
      <w:r w:rsidRPr="00015B53" w:rsidR="008923C6">
        <w:rPr>
          <w:bCs/>
          <w:sz w:val="26"/>
          <w:szCs w:val="26"/>
        </w:rPr>
        <w:t xml:space="preserve">Office of Management and Budget (OMB) review and extend its approval of </w:t>
      </w:r>
      <w:r w:rsidRPr="00015B53" w:rsidR="008923C6">
        <w:rPr>
          <w:sz w:val="26"/>
          <w:szCs w:val="26"/>
        </w:rPr>
        <w:t>FERC-603, Critical Energy</w:t>
      </w:r>
      <w:r w:rsidR="00F357AC">
        <w:rPr>
          <w:sz w:val="26"/>
          <w:szCs w:val="26"/>
        </w:rPr>
        <w:t>/Electric</w:t>
      </w:r>
      <w:r w:rsidRPr="00015B53" w:rsidR="008923C6">
        <w:rPr>
          <w:sz w:val="26"/>
          <w:szCs w:val="26"/>
        </w:rPr>
        <w:t xml:space="preserve"> Infrastructure Information </w:t>
      </w:r>
      <w:r w:rsidRPr="00015B53" w:rsidR="00551D64">
        <w:rPr>
          <w:sz w:val="26"/>
          <w:szCs w:val="26"/>
        </w:rPr>
        <w:t>Request</w:t>
      </w:r>
      <w:r w:rsidRPr="00015B53" w:rsidR="00336B51">
        <w:rPr>
          <w:bCs/>
          <w:sz w:val="26"/>
          <w:szCs w:val="26"/>
        </w:rPr>
        <w:t>,</w:t>
      </w:r>
      <w:r w:rsidRPr="00015B53" w:rsidR="00E417DF">
        <w:rPr>
          <w:bCs/>
          <w:sz w:val="26"/>
          <w:szCs w:val="26"/>
        </w:rPr>
        <w:t xml:space="preserve"> for an additional three years.</w:t>
      </w:r>
      <w:r w:rsidRPr="00015B53" w:rsidR="008923C6">
        <w:rPr>
          <w:bCs/>
          <w:sz w:val="26"/>
          <w:szCs w:val="26"/>
        </w:rPr>
        <w:t xml:space="preserve"> FERC-603 is an existing information collection whose filing requirements are contained in Title 18 </w:t>
      </w:r>
      <w:r w:rsidRPr="00015B53" w:rsidR="0093009C">
        <w:rPr>
          <w:bCs/>
          <w:sz w:val="26"/>
          <w:szCs w:val="26"/>
        </w:rPr>
        <w:t>Code of Federal Regulations (C.F.R.)</w:t>
      </w:r>
      <w:r w:rsidRPr="00015B53" w:rsidR="008923C6">
        <w:rPr>
          <w:bCs/>
          <w:sz w:val="26"/>
          <w:szCs w:val="26"/>
        </w:rPr>
        <w:t xml:space="preserve"> 375 and 388, Sections 375.313 and 388.113</w:t>
      </w:r>
      <w:r w:rsidRPr="00015B53" w:rsidR="005B2E38">
        <w:rPr>
          <w:bCs/>
          <w:sz w:val="26"/>
          <w:szCs w:val="26"/>
        </w:rPr>
        <w:t>.</w:t>
      </w:r>
      <w:r w:rsidRPr="00015B53" w:rsidR="00EF02AF">
        <w:rPr>
          <w:bCs/>
          <w:sz w:val="26"/>
          <w:szCs w:val="26"/>
        </w:rPr>
        <w:t xml:space="preserve">  </w:t>
      </w:r>
    </w:p>
    <w:p w:rsidR="00B7405C" w:rsidRDefault="00B7405C" w14:paraId="3C99C11B" w14:textId="77777777">
      <w:pPr>
        <w:widowControl/>
        <w:rPr>
          <w:rFonts w:cs="Times New Roman TUR"/>
          <w:bCs/>
          <w:sz w:val="26"/>
          <w:szCs w:val="26"/>
        </w:rPr>
      </w:pPr>
    </w:p>
    <w:p w:rsidR="00B7405C" w:rsidP="00B7405C" w:rsidRDefault="00B7405C" w14:paraId="3C99C11C" w14:textId="77777777">
      <w:pPr>
        <w:widowControl/>
        <w:rPr>
          <w:rFonts w:cs="Times New Roman TUR"/>
          <w:bCs/>
          <w:sz w:val="26"/>
          <w:szCs w:val="26"/>
        </w:rPr>
      </w:pPr>
      <w:r>
        <w:rPr>
          <w:rFonts w:cs="Times New Roman TUR"/>
          <w:bCs/>
          <w:sz w:val="26"/>
          <w:szCs w:val="26"/>
        </w:rPr>
        <w:t xml:space="preserve">On November 17, 2016, in Order No. 833, the Commission </w:t>
      </w:r>
      <w:r w:rsidRPr="00B7405C">
        <w:rPr>
          <w:rFonts w:cs="Times New Roman TUR"/>
          <w:bCs/>
          <w:sz w:val="26"/>
          <w:szCs w:val="26"/>
        </w:rPr>
        <w:t>adopted a Final Rule to implement provisions of the Fixing America’s Surface Transportation Act (FAST Act) by amending its regulations to add processes for the designation, protection, and sharing of Critical Energy/Electric Infrastructure Information (CEII).</w:t>
      </w:r>
      <w:r>
        <w:rPr>
          <w:rFonts w:cs="Times New Roman TUR"/>
          <w:bCs/>
          <w:sz w:val="26"/>
          <w:szCs w:val="26"/>
        </w:rPr>
        <w:t xml:space="preserve">  Section 215A(a)(3) of the FAST Act defined</w:t>
      </w:r>
      <w:r w:rsidRPr="00B7405C">
        <w:rPr>
          <w:rFonts w:cs="Times New Roman TUR"/>
          <w:bCs/>
          <w:sz w:val="26"/>
          <w:szCs w:val="26"/>
        </w:rPr>
        <w:t xml:space="preserve"> Critical Electric</w:t>
      </w:r>
      <w:r>
        <w:rPr>
          <w:rFonts w:cs="Times New Roman TUR"/>
          <w:bCs/>
          <w:sz w:val="26"/>
          <w:szCs w:val="26"/>
        </w:rPr>
        <w:t xml:space="preserve"> </w:t>
      </w:r>
      <w:r w:rsidRPr="00B7405C">
        <w:rPr>
          <w:rFonts w:cs="Times New Roman TUR"/>
          <w:bCs/>
          <w:sz w:val="26"/>
          <w:szCs w:val="26"/>
        </w:rPr>
        <w:t>Infrastructure Information to mean:</w:t>
      </w:r>
    </w:p>
    <w:p w:rsidR="00B7405C" w:rsidP="00B7405C" w:rsidRDefault="00B7405C" w14:paraId="3C99C11D" w14:textId="77777777">
      <w:pPr>
        <w:widowControl/>
        <w:rPr>
          <w:rFonts w:cs="Times New Roman TUR"/>
          <w:bCs/>
          <w:sz w:val="26"/>
          <w:szCs w:val="26"/>
        </w:rPr>
      </w:pPr>
    </w:p>
    <w:p w:rsidR="00B7405C" w:rsidP="00B7405C" w:rsidRDefault="00B7405C" w14:paraId="3C99C11E" w14:textId="77777777">
      <w:pPr>
        <w:widowControl/>
        <w:ind w:left="1440" w:right="1440"/>
        <w:rPr>
          <w:rFonts w:cs="Times New Roman TUR"/>
          <w:bCs/>
          <w:sz w:val="26"/>
          <w:szCs w:val="26"/>
        </w:rPr>
      </w:pPr>
      <w:r w:rsidRPr="00B7405C">
        <w:rPr>
          <w:rFonts w:cs="Times New Roman TUR"/>
          <w:bCs/>
          <w:sz w:val="26"/>
          <w:szCs w:val="26"/>
        </w:rPr>
        <w:t>[I]nformation related to critical electric infrastructure, or</w:t>
      </w:r>
      <w:r>
        <w:rPr>
          <w:rFonts w:cs="Times New Roman TUR"/>
          <w:bCs/>
          <w:sz w:val="26"/>
          <w:szCs w:val="26"/>
        </w:rPr>
        <w:t xml:space="preserve"> </w:t>
      </w:r>
      <w:r w:rsidRPr="00B7405C">
        <w:rPr>
          <w:rFonts w:cs="Times New Roman TUR"/>
          <w:bCs/>
          <w:sz w:val="26"/>
          <w:szCs w:val="26"/>
        </w:rPr>
        <w:t>proposed critical electrical infrastructure, generated by or</w:t>
      </w:r>
      <w:r>
        <w:rPr>
          <w:rFonts w:cs="Times New Roman TUR"/>
          <w:bCs/>
          <w:sz w:val="26"/>
          <w:szCs w:val="26"/>
        </w:rPr>
        <w:t xml:space="preserve"> </w:t>
      </w:r>
      <w:r w:rsidRPr="00B7405C">
        <w:rPr>
          <w:rFonts w:cs="Times New Roman TUR"/>
          <w:bCs/>
          <w:sz w:val="26"/>
          <w:szCs w:val="26"/>
        </w:rPr>
        <w:t>provided to the Commission or other Federal agency other</w:t>
      </w:r>
      <w:r>
        <w:rPr>
          <w:rFonts w:cs="Times New Roman TUR"/>
          <w:bCs/>
          <w:sz w:val="26"/>
          <w:szCs w:val="26"/>
        </w:rPr>
        <w:t xml:space="preserve"> </w:t>
      </w:r>
      <w:r w:rsidRPr="00B7405C">
        <w:rPr>
          <w:rFonts w:cs="Times New Roman TUR"/>
          <w:bCs/>
          <w:sz w:val="26"/>
          <w:szCs w:val="26"/>
        </w:rPr>
        <w:t>than classified national security information, that is</w:t>
      </w:r>
      <w:r>
        <w:rPr>
          <w:rFonts w:cs="Times New Roman TUR"/>
          <w:bCs/>
          <w:sz w:val="26"/>
          <w:szCs w:val="26"/>
        </w:rPr>
        <w:t xml:space="preserve"> </w:t>
      </w:r>
      <w:r w:rsidRPr="00B7405C">
        <w:rPr>
          <w:rFonts w:cs="Times New Roman TUR"/>
          <w:bCs/>
          <w:sz w:val="26"/>
          <w:szCs w:val="26"/>
        </w:rPr>
        <w:t>designated as critical electric infrastructure information by the</w:t>
      </w:r>
      <w:r>
        <w:rPr>
          <w:rFonts w:cs="Times New Roman TUR"/>
          <w:bCs/>
          <w:sz w:val="26"/>
          <w:szCs w:val="26"/>
        </w:rPr>
        <w:t xml:space="preserve"> </w:t>
      </w:r>
      <w:r w:rsidRPr="00B7405C">
        <w:rPr>
          <w:rFonts w:cs="Times New Roman TUR"/>
          <w:bCs/>
          <w:sz w:val="26"/>
          <w:szCs w:val="26"/>
        </w:rPr>
        <w:t>Commission or the Secretary of the Department of Energy</w:t>
      </w:r>
      <w:r>
        <w:rPr>
          <w:rFonts w:cs="Times New Roman TUR"/>
          <w:bCs/>
          <w:sz w:val="26"/>
          <w:szCs w:val="26"/>
        </w:rPr>
        <w:t xml:space="preserve"> </w:t>
      </w:r>
      <w:r w:rsidRPr="00B7405C">
        <w:rPr>
          <w:rFonts w:cs="Times New Roman TUR"/>
          <w:bCs/>
          <w:sz w:val="26"/>
          <w:szCs w:val="26"/>
        </w:rPr>
        <w:t>pursuant to subsection (d). Such term includes information</w:t>
      </w:r>
      <w:r>
        <w:rPr>
          <w:rFonts w:cs="Times New Roman TUR"/>
          <w:bCs/>
          <w:sz w:val="26"/>
          <w:szCs w:val="26"/>
        </w:rPr>
        <w:t xml:space="preserve"> </w:t>
      </w:r>
      <w:r w:rsidRPr="00B7405C">
        <w:rPr>
          <w:rFonts w:cs="Times New Roman TUR"/>
          <w:bCs/>
          <w:sz w:val="26"/>
          <w:szCs w:val="26"/>
        </w:rPr>
        <w:t>that qualifies as critical energy infrastructure information</w:t>
      </w:r>
      <w:r>
        <w:rPr>
          <w:rFonts w:cs="Times New Roman TUR"/>
          <w:bCs/>
          <w:sz w:val="26"/>
          <w:szCs w:val="26"/>
        </w:rPr>
        <w:t xml:space="preserve"> </w:t>
      </w:r>
      <w:r w:rsidRPr="00B7405C">
        <w:rPr>
          <w:rFonts w:cs="Times New Roman TUR"/>
          <w:bCs/>
          <w:sz w:val="26"/>
          <w:szCs w:val="26"/>
        </w:rPr>
        <w:t>under the Commission’s regulations.</w:t>
      </w:r>
    </w:p>
    <w:p w:rsidR="00B7405C" w:rsidP="00B7405C" w:rsidRDefault="00B7405C" w14:paraId="3C99C11F" w14:textId="77777777">
      <w:pPr>
        <w:widowControl/>
        <w:ind w:right="1440"/>
        <w:rPr>
          <w:rFonts w:cs="Times New Roman TUR"/>
          <w:bCs/>
          <w:sz w:val="26"/>
          <w:szCs w:val="26"/>
        </w:rPr>
      </w:pPr>
    </w:p>
    <w:p w:rsidR="00B7405C" w:rsidP="00B7405C" w:rsidRDefault="00B7405C" w14:paraId="3C99C120" w14:textId="4849CE9E">
      <w:pPr>
        <w:widowControl/>
        <w:rPr>
          <w:rFonts w:cs="Times New Roman TUR"/>
          <w:bCs/>
          <w:sz w:val="26"/>
          <w:szCs w:val="26"/>
        </w:rPr>
      </w:pPr>
      <w:r>
        <w:rPr>
          <w:rFonts w:cs="Times New Roman TUR"/>
          <w:bCs/>
          <w:sz w:val="26"/>
          <w:szCs w:val="26"/>
        </w:rPr>
        <w:t xml:space="preserve">The </w:t>
      </w:r>
      <w:r w:rsidRPr="00B7405C">
        <w:rPr>
          <w:rFonts w:cs="Times New Roman TUR"/>
          <w:bCs/>
          <w:sz w:val="26"/>
          <w:szCs w:val="26"/>
        </w:rPr>
        <w:t>Commission define</w:t>
      </w:r>
      <w:r w:rsidR="00EA4540">
        <w:rPr>
          <w:rFonts w:cs="Times New Roman TUR"/>
          <w:bCs/>
          <w:sz w:val="26"/>
          <w:szCs w:val="26"/>
        </w:rPr>
        <w:t>d</w:t>
      </w:r>
      <w:r w:rsidRPr="00B7405C">
        <w:rPr>
          <w:rFonts w:cs="Times New Roman TUR"/>
          <w:bCs/>
          <w:sz w:val="26"/>
          <w:szCs w:val="26"/>
        </w:rPr>
        <w:t xml:space="preserve"> the term “Critical Electr</w:t>
      </w:r>
      <w:r>
        <w:rPr>
          <w:rFonts w:cs="Times New Roman TUR"/>
          <w:bCs/>
          <w:sz w:val="26"/>
          <w:szCs w:val="26"/>
        </w:rPr>
        <w:t xml:space="preserve">ic Infrastructure Information” </w:t>
      </w:r>
      <w:r w:rsidRPr="00B7405C">
        <w:rPr>
          <w:rFonts w:cs="Times New Roman TUR"/>
          <w:bCs/>
          <w:sz w:val="26"/>
          <w:szCs w:val="26"/>
        </w:rPr>
        <w:t>to</w:t>
      </w:r>
      <w:r>
        <w:rPr>
          <w:rFonts w:cs="Times New Roman TUR"/>
          <w:bCs/>
          <w:sz w:val="26"/>
          <w:szCs w:val="26"/>
        </w:rPr>
        <w:t xml:space="preserve"> </w:t>
      </w:r>
      <w:r w:rsidRPr="00B7405C">
        <w:rPr>
          <w:rFonts w:cs="Times New Roman TUR"/>
          <w:bCs/>
          <w:sz w:val="26"/>
          <w:szCs w:val="26"/>
        </w:rPr>
        <w:t>include “Critical Energy Infrastructure Information” as defined under the Commission’s</w:t>
      </w:r>
      <w:r>
        <w:rPr>
          <w:rFonts w:cs="Times New Roman TUR"/>
          <w:bCs/>
          <w:sz w:val="26"/>
          <w:szCs w:val="26"/>
        </w:rPr>
        <w:t xml:space="preserve"> </w:t>
      </w:r>
      <w:r w:rsidRPr="00B7405C">
        <w:rPr>
          <w:rFonts w:cs="Times New Roman TUR"/>
          <w:bCs/>
          <w:sz w:val="26"/>
          <w:szCs w:val="26"/>
        </w:rPr>
        <w:t>regulations and</w:t>
      </w:r>
      <w:r w:rsidR="009F59F4">
        <w:rPr>
          <w:rFonts w:cs="Times New Roman TUR"/>
          <w:bCs/>
          <w:sz w:val="26"/>
          <w:szCs w:val="26"/>
        </w:rPr>
        <w:t xml:space="preserve"> determined</w:t>
      </w:r>
      <w:r w:rsidRPr="00B7405C">
        <w:rPr>
          <w:rFonts w:cs="Times New Roman TUR"/>
          <w:bCs/>
          <w:sz w:val="26"/>
          <w:szCs w:val="26"/>
        </w:rPr>
        <w:t xml:space="preserve"> to refer to both types of information, collectively, as </w:t>
      </w:r>
      <w:r w:rsidR="00EA4540">
        <w:rPr>
          <w:rFonts w:cs="Times New Roman TUR"/>
          <w:bCs/>
          <w:sz w:val="26"/>
          <w:szCs w:val="26"/>
        </w:rPr>
        <w:t xml:space="preserve">Critical Energy/Electric </w:t>
      </w:r>
      <w:r w:rsidRPr="00B7405C" w:rsidR="00EA4540">
        <w:rPr>
          <w:rFonts w:cs="Times New Roman TUR"/>
          <w:bCs/>
          <w:sz w:val="26"/>
          <w:szCs w:val="26"/>
        </w:rPr>
        <w:t xml:space="preserve">Infrastructure Information </w:t>
      </w:r>
      <w:r w:rsidR="00EA4540">
        <w:rPr>
          <w:rFonts w:cs="Times New Roman TUR"/>
          <w:bCs/>
          <w:sz w:val="26"/>
          <w:szCs w:val="26"/>
        </w:rPr>
        <w:t>(</w:t>
      </w:r>
      <w:r w:rsidRPr="00B7405C">
        <w:rPr>
          <w:rFonts w:cs="Times New Roman TUR"/>
          <w:bCs/>
          <w:sz w:val="26"/>
          <w:szCs w:val="26"/>
        </w:rPr>
        <w:t>CEII</w:t>
      </w:r>
      <w:r w:rsidR="00EA4540">
        <w:rPr>
          <w:rFonts w:cs="Times New Roman TUR"/>
          <w:bCs/>
          <w:sz w:val="26"/>
          <w:szCs w:val="26"/>
        </w:rPr>
        <w:t>)</w:t>
      </w:r>
      <w:r w:rsidRPr="00B7405C">
        <w:rPr>
          <w:rFonts w:cs="Times New Roman TUR"/>
          <w:bCs/>
          <w:sz w:val="26"/>
          <w:szCs w:val="26"/>
        </w:rPr>
        <w:t>.</w:t>
      </w:r>
      <w:r>
        <w:rPr>
          <w:rFonts w:cs="Times New Roman TUR"/>
          <w:bCs/>
          <w:sz w:val="26"/>
          <w:szCs w:val="26"/>
        </w:rPr>
        <w:t xml:space="preserve">  The title of FERC</w:t>
      </w:r>
      <w:r w:rsidR="00F357AC">
        <w:rPr>
          <w:rFonts w:cs="Times New Roman TUR"/>
          <w:bCs/>
          <w:sz w:val="26"/>
          <w:szCs w:val="26"/>
        </w:rPr>
        <w:t>-</w:t>
      </w:r>
      <w:r>
        <w:rPr>
          <w:rFonts w:cs="Times New Roman TUR"/>
          <w:bCs/>
          <w:sz w:val="26"/>
          <w:szCs w:val="26"/>
        </w:rPr>
        <w:t xml:space="preserve">603 should therefore be changed to </w:t>
      </w:r>
      <w:r w:rsidR="006507EE">
        <w:rPr>
          <w:rFonts w:cs="Times New Roman TUR"/>
          <w:bCs/>
          <w:sz w:val="26"/>
          <w:szCs w:val="26"/>
        </w:rPr>
        <w:t>“</w:t>
      </w:r>
      <w:r>
        <w:rPr>
          <w:rFonts w:cs="Times New Roman TUR"/>
          <w:bCs/>
          <w:sz w:val="26"/>
          <w:szCs w:val="26"/>
        </w:rPr>
        <w:t xml:space="preserve">Critical Energy/Electric </w:t>
      </w:r>
      <w:r w:rsidRPr="00B7405C">
        <w:rPr>
          <w:rFonts w:cs="Times New Roman TUR"/>
          <w:bCs/>
          <w:sz w:val="26"/>
          <w:szCs w:val="26"/>
        </w:rPr>
        <w:t>Infrastructure Information Data Request</w:t>
      </w:r>
      <w:r w:rsidR="00883C72">
        <w:rPr>
          <w:rFonts w:cs="Times New Roman TUR"/>
          <w:bCs/>
          <w:sz w:val="26"/>
          <w:szCs w:val="26"/>
        </w:rPr>
        <w:t>.</w:t>
      </w:r>
      <w:r w:rsidR="006507EE">
        <w:rPr>
          <w:rFonts w:cs="Times New Roman TUR"/>
          <w:bCs/>
          <w:sz w:val="26"/>
          <w:szCs w:val="26"/>
        </w:rPr>
        <w:t>”</w:t>
      </w:r>
      <w:r w:rsidRPr="00B50149" w:rsidR="00C20EEC">
        <w:rPr>
          <w:rStyle w:val="FootnoteReference"/>
          <w:rFonts w:cs="Times New Roman TUR"/>
          <w:bCs/>
          <w:sz w:val="26"/>
          <w:szCs w:val="26"/>
          <w:vertAlign w:val="superscript"/>
        </w:rPr>
        <w:footnoteReference w:id="2"/>
      </w:r>
      <w:r w:rsidRPr="00B50149" w:rsidR="00883C72">
        <w:rPr>
          <w:rFonts w:cs="Times New Roman TUR"/>
          <w:bCs/>
          <w:sz w:val="26"/>
          <w:szCs w:val="26"/>
          <w:vertAlign w:val="superscript"/>
        </w:rPr>
        <w:t xml:space="preserve"> </w:t>
      </w:r>
      <w:r w:rsidR="001119E5">
        <w:rPr>
          <w:rFonts w:cs="Times New Roman TUR"/>
          <w:bCs/>
          <w:sz w:val="26"/>
          <w:szCs w:val="26"/>
          <w:vertAlign w:val="superscript"/>
        </w:rPr>
        <w:t xml:space="preserve"> </w:t>
      </w:r>
    </w:p>
    <w:p w:rsidRPr="008923C6" w:rsidR="00672F76" w:rsidRDefault="00672F76" w14:paraId="3C99C122" w14:textId="722EA0EC">
      <w:pPr>
        <w:widowControl/>
        <w:rPr>
          <w:sz w:val="26"/>
          <w:szCs w:val="26"/>
        </w:rPr>
      </w:pPr>
    </w:p>
    <w:p w:rsidR="00A40911" w:rsidP="00597BAA" w:rsidRDefault="00CA3986" w14:paraId="3C99C123" w14:textId="77777777">
      <w:pPr>
        <w:ind w:left="720" w:hanging="720"/>
        <w:rPr>
          <w:sz w:val="26"/>
          <w:szCs w:val="26"/>
        </w:rPr>
      </w:pPr>
      <w:r w:rsidRPr="00597BAA">
        <w:rPr>
          <w:b/>
          <w:sz w:val="26"/>
          <w:szCs w:val="26"/>
        </w:rPr>
        <w:t>1.</w:t>
      </w:r>
      <w:r w:rsidR="00597BAA">
        <w:rPr>
          <w:b/>
          <w:sz w:val="26"/>
          <w:szCs w:val="26"/>
        </w:rPr>
        <w:tab/>
      </w:r>
      <w:r w:rsidRPr="00CA3986">
        <w:rPr>
          <w:b/>
          <w:sz w:val="26"/>
          <w:szCs w:val="26"/>
        </w:rPr>
        <w:t>C</w:t>
      </w:r>
      <w:r w:rsidRPr="00CA3986" w:rsidR="00672F76">
        <w:rPr>
          <w:b/>
          <w:sz w:val="26"/>
          <w:szCs w:val="26"/>
        </w:rPr>
        <w:t>IRCUMSTAN</w:t>
      </w:r>
      <w:r w:rsidR="00597BAA">
        <w:rPr>
          <w:b/>
          <w:sz w:val="26"/>
          <w:szCs w:val="26"/>
        </w:rPr>
        <w:t xml:space="preserve">CES THAT MAKE THE COLLECTION OF </w:t>
      </w:r>
      <w:r w:rsidRPr="00CA3986" w:rsidR="00672F76">
        <w:rPr>
          <w:b/>
          <w:sz w:val="26"/>
          <w:szCs w:val="26"/>
        </w:rPr>
        <w:t>INFORMATION NECESSARY</w:t>
      </w:r>
      <w:r w:rsidR="0063619C">
        <w:rPr>
          <w:sz w:val="26"/>
          <w:szCs w:val="26"/>
        </w:rPr>
        <w:t xml:space="preserve"> </w:t>
      </w:r>
    </w:p>
    <w:p w:rsidR="00881F81" w:rsidP="005B2E38" w:rsidRDefault="00881F81" w14:paraId="3C99C129" w14:textId="77777777">
      <w:pPr>
        <w:rPr>
          <w:sz w:val="26"/>
          <w:szCs w:val="26"/>
        </w:rPr>
      </w:pPr>
    </w:p>
    <w:p w:rsidR="007050EF" w:rsidP="005B2E38" w:rsidRDefault="00A40911" w14:paraId="3C99C12A" w14:textId="3365D597">
      <w:pPr>
        <w:rPr>
          <w:sz w:val="26"/>
          <w:szCs w:val="26"/>
        </w:rPr>
      </w:pPr>
      <w:r>
        <w:rPr>
          <w:sz w:val="26"/>
          <w:szCs w:val="26"/>
        </w:rPr>
        <w:t>S</w:t>
      </w:r>
      <w:r w:rsidRPr="007050EF" w:rsidR="00125719">
        <w:rPr>
          <w:sz w:val="26"/>
          <w:szCs w:val="26"/>
        </w:rPr>
        <w:t>hortly after the attacks on September 11, 2001, the Commission began its efforts with respect to C</w:t>
      </w:r>
      <w:r w:rsidR="00A76D8D">
        <w:rPr>
          <w:sz w:val="26"/>
          <w:szCs w:val="26"/>
        </w:rPr>
        <w:t>ritical Energy Infrastructure Information</w:t>
      </w:r>
      <w:r w:rsidRPr="007050EF" w:rsidR="00125719">
        <w:rPr>
          <w:sz w:val="26"/>
          <w:szCs w:val="26"/>
        </w:rPr>
        <w:t>.</w:t>
      </w:r>
      <w:r w:rsidRPr="007050EF" w:rsidR="00125719">
        <w:rPr>
          <w:rStyle w:val="FootnoteReference"/>
          <w:sz w:val="26"/>
          <w:szCs w:val="26"/>
          <w:vertAlign w:val="superscript"/>
        </w:rPr>
        <w:footnoteReference w:id="3"/>
      </w:r>
      <w:r w:rsidRPr="007050EF" w:rsidR="00125719">
        <w:rPr>
          <w:sz w:val="26"/>
          <w:szCs w:val="26"/>
        </w:rPr>
        <w:t xml:space="preserve">  As a preliminary step, the Commission removed from its public files documents that were likely to contain detailed specifications of facilities</w:t>
      </w:r>
      <w:r w:rsidR="00883C72">
        <w:rPr>
          <w:sz w:val="26"/>
          <w:szCs w:val="26"/>
        </w:rPr>
        <w:t xml:space="preserve"> and their vulnerabilities</w:t>
      </w:r>
      <w:r w:rsidRPr="007050EF" w:rsidR="00125719">
        <w:rPr>
          <w:sz w:val="26"/>
          <w:szCs w:val="26"/>
        </w:rPr>
        <w:t>, and directed the public to use the Freedom of Information Act (FOIA) request process to obtain such information.</w:t>
      </w:r>
      <w:r w:rsidRPr="007050EF" w:rsidR="00125719">
        <w:rPr>
          <w:rStyle w:val="FootnoteReference"/>
          <w:sz w:val="26"/>
          <w:szCs w:val="26"/>
          <w:vertAlign w:val="superscript"/>
        </w:rPr>
        <w:footnoteReference w:id="4"/>
      </w:r>
      <w:r w:rsidRPr="007050EF" w:rsidR="00125719">
        <w:rPr>
          <w:sz w:val="26"/>
          <w:szCs w:val="26"/>
        </w:rPr>
        <w:t xml:space="preserve">  </w:t>
      </w:r>
      <w:r w:rsidRPr="007050EF" w:rsidR="007050EF">
        <w:rPr>
          <w:sz w:val="26"/>
          <w:szCs w:val="26"/>
        </w:rPr>
        <w:t>The Commission was not alone in its reaction to protecting sensitive information.  The Associated Press reported on October 12, 200</w:t>
      </w:r>
      <w:r w:rsidR="00B7405C">
        <w:rPr>
          <w:sz w:val="26"/>
          <w:szCs w:val="26"/>
        </w:rPr>
        <w:t>1, that “</w:t>
      </w:r>
      <w:r w:rsidRPr="007050EF" w:rsidR="007050EF">
        <w:rPr>
          <w:sz w:val="26"/>
          <w:szCs w:val="26"/>
        </w:rPr>
        <w:t>Federal agencies are scrutinizing their Web sites and removing any information they believe terrorists might use to plot attacks agai</w:t>
      </w:r>
      <w:r w:rsidR="005B2E38">
        <w:rPr>
          <w:sz w:val="26"/>
          <w:szCs w:val="26"/>
        </w:rPr>
        <w:t>nst the nation.</w:t>
      </w:r>
      <w:r w:rsidR="00B7405C">
        <w:rPr>
          <w:sz w:val="26"/>
          <w:szCs w:val="26"/>
        </w:rPr>
        <w:t>”</w:t>
      </w:r>
      <w:r w:rsidRPr="007050EF" w:rsidR="007050EF">
        <w:rPr>
          <w:sz w:val="26"/>
          <w:szCs w:val="26"/>
        </w:rPr>
        <w:t xml:space="preserve">  The report referred to action by the Nuclear Regulatory Commission, the Environmental Protection Agency, the Centers for Disease Control and Prevention, and the United States Department of Transportation Office of Pipeline Safety. Concerns about threats to the energy infrastructure over which the Commission has regulatory responsibilities</w:t>
      </w:r>
      <w:r w:rsidR="00883C72">
        <w:rPr>
          <w:sz w:val="26"/>
          <w:szCs w:val="26"/>
        </w:rPr>
        <w:t xml:space="preserve"> </w:t>
      </w:r>
      <w:r w:rsidRPr="007050EF" w:rsidR="007050EF">
        <w:rPr>
          <w:sz w:val="26"/>
          <w:szCs w:val="26"/>
        </w:rPr>
        <w:t>still exist.</w:t>
      </w:r>
    </w:p>
    <w:p w:rsidR="00881F81" w:rsidP="005B2E38" w:rsidRDefault="00881F81" w14:paraId="3C99C12B" w14:textId="77777777">
      <w:pPr>
        <w:rPr>
          <w:sz w:val="26"/>
          <w:szCs w:val="26"/>
        </w:rPr>
      </w:pPr>
    </w:p>
    <w:p w:rsidR="00125719" w:rsidP="005B2E38" w:rsidRDefault="00883C72" w14:paraId="3C99C12C" w14:textId="68299841">
      <w:pPr>
        <w:pStyle w:val="LegalFormat"/>
        <w:spacing w:line="240" w:lineRule="auto"/>
        <w:rPr>
          <w:szCs w:val="26"/>
        </w:rPr>
      </w:pPr>
      <w:r w:rsidRPr="00AC55D4">
        <w:t xml:space="preserve">Given that such information would typically be exempt from mandatory disclosure pursuant to </w:t>
      </w:r>
      <w:r>
        <w:t>the FOIA</w:t>
      </w:r>
      <w:r w:rsidRPr="00AC55D4">
        <w:t xml:space="preserve">, the Commission determined that it was important to have a process for individuals with a valid </w:t>
      </w:r>
      <w:r>
        <w:t>and</w:t>
      </w:r>
      <w:r w:rsidRPr="00AC55D4">
        <w:t xml:space="preserve"> le</w:t>
      </w:r>
      <w:r>
        <w:t>gitimate need to access certain</w:t>
      </w:r>
      <w:r w:rsidRPr="00AC55D4">
        <w:t xml:space="preserve"> energy infrastructure information.  </w:t>
      </w:r>
      <w:r w:rsidR="00A40911">
        <w:rPr>
          <w:szCs w:val="26"/>
        </w:rPr>
        <w:t>Information provided to the Commission in FERC-603 is necessary to th</w:t>
      </w:r>
      <w:r w:rsidR="00556551">
        <w:rPr>
          <w:szCs w:val="26"/>
        </w:rPr>
        <w:t>at</w:t>
      </w:r>
      <w:r w:rsidR="00A40911">
        <w:rPr>
          <w:szCs w:val="26"/>
        </w:rPr>
        <w:t xml:space="preserve"> verification process and essential to keeping </w:t>
      </w:r>
      <w:r w:rsidR="00556551">
        <w:rPr>
          <w:szCs w:val="26"/>
        </w:rPr>
        <w:t xml:space="preserve">critical energy infrastructure </w:t>
      </w:r>
      <w:r w:rsidR="00A40911">
        <w:rPr>
          <w:szCs w:val="26"/>
        </w:rPr>
        <w:t>information out of the hands of individuals that may do harm to this nation.</w:t>
      </w:r>
    </w:p>
    <w:p w:rsidR="006373F9" w:rsidP="00AE61D6" w:rsidRDefault="006373F9" w14:paraId="3C99C12D" w14:textId="77777777">
      <w:pPr>
        <w:pStyle w:val="LegalFormat"/>
        <w:spacing w:line="240" w:lineRule="auto"/>
        <w:ind w:firstLine="720"/>
      </w:pPr>
    </w:p>
    <w:p w:rsidR="00E724F9" w:rsidP="00E724F9" w:rsidRDefault="00556551" w14:paraId="3C99C12E" w14:textId="324BB654">
      <w:pPr>
        <w:widowControl/>
        <w:rPr>
          <w:sz w:val="26"/>
          <w:szCs w:val="26"/>
        </w:rPr>
      </w:pPr>
      <w:r>
        <w:rPr>
          <w:rFonts w:cs="Times New Roman TUR"/>
          <w:bCs/>
          <w:sz w:val="26"/>
          <w:szCs w:val="26"/>
        </w:rPr>
        <w:t>Specifically, t</w:t>
      </w:r>
      <w:r w:rsidR="000E340C">
        <w:rPr>
          <w:rFonts w:cs="Times New Roman TUR"/>
          <w:bCs/>
          <w:sz w:val="26"/>
          <w:szCs w:val="26"/>
        </w:rPr>
        <w:t>he Commission implemented the FERC-603 collection in Order No. 630 (RM02-4-000), creating a process for requesters to gain access to C</w:t>
      </w:r>
      <w:r w:rsidR="00A76D8D">
        <w:rPr>
          <w:rFonts w:cs="Times New Roman TUR"/>
          <w:bCs/>
          <w:sz w:val="26"/>
          <w:szCs w:val="26"/>
        </w:rPr>
        <w:t>ritical Energy Infrastructure Information</w:t>
      </w:r>
      <w:r w:rsidR="000E340C">
        <w:rPr>
          <w:rFonts w:cs="Times New Roman TUR"/>
          <w:bCs/>
          <w:sz w:val="26"/>
          <w:szCs w:val="26"/>
        </w:rPr>
        <w:t>.</w:t>
      </w:r>
      <w:r w:rsidR="00E724F9">
        <w:rPr>
          <w:rFonts w:cs="Times New Roman TUR"/>
          <w:bCs/>
          <w:sz w:val="26"/>
          <w:szCs w:val="26"/>
        </w:rPr>
        <w:t xml:space="preserve">  Since that time, the Commission has issued several orders refining and simplifying the C</w:t>
      </w:r>
      <w:r w:rsidR="00A76D8D">
        <w:rPr>
          <w:rFonts w:cs="Times New Roman TUR"/>
          <w:bCs/>
          <w:sz w:val="26"/>
          <w:szCs w:val="26"/>
        </w:rPr>
        <w:t>ritical Energy</w:t>
      </w:r>
      <w:r w:rsidR="001119E5">
        <w:rPr>
          <w:rFonts w:cs="Times New Roman TUR"/>
          <w:bCs/>
          <w:sz w:val="26"/>
          <w:szCs w:val="26"/>
        </w:rPr>
        <w:t>/Electric</w:t>
      </w:r>
      <w:r w:rsidR="00A76D8D">
        <w:rPr>
          <w:rFonts w:cs="Times New Roman TUR"/>
          <w:bCs/>
          <w:sz w:val="26"/>
          <w:szCs w:val="26"/>
        </w:rPr>
        <w:t xml:space="preserve"> Infrastructure Information</w:t>
      </w:r>
      <w:r w:rsidR="00E724F9">
        <w:rPr>
          <w:rFonts w:cs="Times New Roman TUR"/>
          <w:bCs/>
          <w:sz w:val="26"/>
          <w:szCs w:val="26"/>
        </w:rPr>
        <w:t xml:space="preserve"> process.  </w:t>
      </w:r>
      <w:r w:rsidR="00E724F9">
        <w:rPr>
          <w:rFonts w:cs="Times New Roman TUR"/>
          <w:bCs/>
          <w:sz w:val="26"/>
          <w:szCs w:val="26"/>
        </w:rPr>
        <w:lastRenderedPageBreak/>
        <w:t>For example,</w:t>
      </w:r>
      <w:r w:rsidR="000C775A">
        <w:rPr>
          <w:rFonts w:cs="Times New Roman TUR"/>
          <w:bCs/>
          <w:sz w:val="26"/>
          <w:szCs w:val="26"/>
        </w:rPr>
        <w:t xml:space="preserve"> in Order No. 702 the Commission eliminated the requirement for several fields on </w:t>
      </w:r>
      <w:r w:rsidR="00E22C6E">
        <w:rPr>
          <w:rFonts w:cs="Times New Roman TUR"/>
          <w:bCs/>
          <w:sz w:val="26"/>
          <w:szCs w:val="26"/>
        </w:rPr>
        <w:t xml:space="preserve">the </w:t>
      </w:r>
      <w:r w:rsidR="00600E2C">
        <w:rPr>
          <w:rFonts w:cs="Times New Roman TUR"/>
          <w:bCs/>
          <w:sz w:val="26"/>
          <w:szCs w:val="26"/>
        </w:rPr>
        <w:t>C</w:t>
      </w:r>
      <w:r w:rsidR="00A76D8D">
        <w:rPr>
          <w:rFonts w:cs="Times New Roman TUR"/>
          <w:bCs/>
          <w:sz w:val="26"/>
          <w:szCs w:val="26"/>
        </w:rPr>
        <w:t>ritical Energy Infrastructure Information</w:t>
      </w:r>
      <w:r w:rsidR="00600E2C">
        <w:rPr>
          <w:rFonts w:cs="Times New Roman TUR"/>
          <w:bCs/>
          <w:sz w:val="26"/>
          <w:szCs w:val="26"/>
        </w:rPr>
        <w:t xml:space="preserve"> request form, making those fields necessary on a case-by-case basis.  Order No. 702 also allowed </w:t>
      </w:r>
      <w:r w:rsidRPr="00FC2A5C" w:rsidR="00600E2C">
        <w:rPr>
          <w:sz w:val="26"/>
          <w:szCs w:val="26"/>
        </w:rPr>
        <w:t xml:space="preserve">annual certification for repeat requesters, </w:t>
      </w:r>
      <w:r w:rsidRPr="00FC2A5C" w:rsidR="00600E2C">
        <w:rPr>
          <w:sz w:val="26"/>
          <w:szCs w:val="26"/>
          <w:u w:val="single"/>
        </w:rPr>
        <w:t>i.e.</w:t>
      </w:r>
      <w:r w:rsidRPr="00FC2A5C" w:rsidR="00600E2C">
        <w:rPr>
          <w:sz w:val="26"/>
          <w:szCs w:val="26"/>
        </w:rPr>
        <w:t xml:space="preserve">, repeat requesters </w:t>
      </w:r>
      <w:r w:rsidR="00600E2C">
        <w:rPr>
          <w:sz w:val="26"/>
          <w:szCs w:val="26"/>
        </w:rPr>
        <w:t>are no longer</w:t>
      </w:r>
      <w:r w:rsidRPr="00FC2A5C" w:rsidR="00600E2C">
        <w:rPr>
          <w:sz w:val="26"/>
          <w:szCs w:val="26"/>
        </w:rPr>
        <w:t xml:space="preserve"> required to file a new non-disclosure agreement with each subsequent request.</w:t>
      </w:r>
      <w:r w:rsidR="00600E2C">
        <w:rPr>
          <w:sz w:val="26"/>
          <w:szCs w:val="26"/>
        </w:rPr>
        <w:t xml:space="preserve">  This decreased the use of the C</w:t>
      </w:r>
      <w:r w:rsidR="00A76D8D">
        <w:rPr>
          <w:sz w:val="26"/>
          <w:szCs w:val="26"/>
        </w:rPr>
        <w:t>ritical Energy Infrastructure Information</w:t>
      </w:r>
      <w:r w:rsidR="00600E2C">
        <w:rPr>
          <w:sz w:val="26"/>
          <w:szCs w:val="26"/>
        </w:rPr>
        <w:t xml:space="preserve"> request form.  </w:t>
      </w:r>
      <w:r w:rsidRPr="00FC2A5C" w:rsidR="00600E2C">
        <w:rPr>
          <w:sz w:val="26"/>
          <w:szCs w:val="26"/>
        </w:rPr>
        <w:t xml:space="preserve">Finally, </w:t>
      </w:r>
      <w:r w:rsidR="00600E2C">
        <w:rPr>
          <w:sz w:val="26"/>
          <w:szCs w:val="26"/>
        </w:rPr>
        <w:t xml:space="preserve">in the same order </w:t>
      </w:r>
      <w:r w:rsidRPr="00FC2A5C" w:rsidR="00600E2C">
        <w:rPr>
          <w:sz w:val="26"/>
          <w:szCs w:val="26"/>
        </w:rPr>
        <w:t xml:space="preserve">the Commission revised its regulations to allow an authorized representative of an organization to </w:t>
      </w:r>
      <w:r w:rsidR="00600E2C">
        <w:rPr>
          <w:sz w:val="26"/>
          <w:szCs w:val="26"/>
        </w:rPr>
        <w:t xml:space="preserve">file a </w:t>
      </w:r>
      <w:r w:rsidRPr="00A76D8D" w:rsidR="00A76D8D">
        <w:rPr>
          <w:sz w:val="26"/>
          <w:szCs w:val="26"/>
        </w:rPr>
        <w:t>Critical Ener</w:t>
      </w:r>
      <w:r w:rsidR="00A76D8D">
        <w:rPr>
          <w:sz w:val="26"/>
          <w:szCs w:val="26"/>
        </w:rPr>
        <w:t>gy Infrastructure Information</w:t>
      </w:r>
      <w:r w:rsidR="00600E2C">
        <w:rPr>
          <w:sz w:val="26"/>
          <w:szCs w:val="26"/>
        </w:rPr>
        <w:t xml:space="preserve"> request </w:t>
      </w:r>
      <w:r w:rsidRPr="00FC2A5C" w:rsidR="00600E2C">
        <w:rPr>
          <w:sz w:val="26"/>
          <w:szCs w:val="26"/>
        </w:rPr>
        <w:t>on behalf of all that organization’s employees.</w:t>
      </w:r>
      <w:r w:rsidR="00600E2C">
        <w:rPr>
          <w:color w:val="800000"/>
          <w:sz w:val="26"/>
          <w:szCs w:val="26"/>
        </w:rPr>
        <w:t xml:space="preserve">  </w:t>
      </w:r>
      <w:r w:rsidRPr="00FC2A5C" w:rsidR="00600E2C">
        <w:rPr>
          <w:sz w:val="26"/>
          <w:szCs w:val="26"/>
        </w:rPr>
        <w:t>Therefore, individu</w:t>
      </w:r>
      <w:r w:rsidR="00600E2C">
        <w:rPr>
          <w:sz w:val="26"/>
          <w:szCs w:val="26"/>
        </w:rPr>
        <w:t>als from that organization are</w:t>
      </w:r>
      <w:r w:rsidRPr="00FC2A5C" w:rsidR="00600E2C">
        <w:rPr>
          <w:sz w:val="26"/>
          <w:szCs w:val="26"/>
        </w:rPr>
        <w:t xml:space="preserve"> no longer required to submit individual </w:t>
      </w:r>
      <w:r w:rsidRPr="00A76D8D" w:rsidR="00A76D8D">
        <w:rPr>
          <w:sz w:val="26"/>
          <w:szCs w:val="26"/>
        </w:rPr>
        <w:t>Critical Energ</w:t>
      </w:r>
      <w:r w:rsidR="00A76D8D">
        <w:rPr>
          <w:sz w:val="26"/>
          <w:szCs w:val="26"/>
        </w:rPr>
        <w:t>y Infrastructure Information</w:t>
      </w:r>
      <w:r w:rsidRPr="00FC2A5C" w:rsidR="00600E2C">
        <w:rPr>
          <w:sz w:val="26"/>
          <w:szCs w:val="26"/>
        </w:rPr>
        <w:t xml:space="preserve"> request forms </w:t>
      </w:r>
      <w:r w:rsidR="00600E2C">
        <w:rPr>
          <w:sz w:val="26"/>
          <w:szCs w:val="26"/>
        </w:rPr>
        <w:t xml:space="preserve">which </w:t>
      </w:r>
      <w:r w:rsidRPr="00FC2A5C" w:rsidR="00600E2C">
        <w:rPr>
          <w:sz w:val="26"/>
          <w:szCs w:val="26"/>
        </w:rPr>
        <w:t>decreas</w:t>
      </w:r>
      <w:r w:rsidR="00600E2C">
        <w:rPr>
          <w:sz w:val="26"/>
          <w:szCs w:val="26"/>
        </w:rPr>
        <w:t>ed</w:t>
      </w:r>
      <w:r w:rsidRPr="00FC2A5C" w:rsidR="00600E2C">
        <w:rPr>
          <w:sz w:val="26"/>
          <w:szCs w:val="26"/>
        </w:rPr>
        <w:t xml:space="preserve"> the overall use of the request form.</w:t>
      </w:r>
    </w:p>
    <w:p w:rsidR="001D6893" w:rsidP="00E724F9" w:rsidRDefault="001D6893" w14:paraId="3C99C12F" w14:textId="77777777">
      <w:pPr>
        <w:widowControl/>
        <w:rPr>
          <w:sz w:val="26"/>
          <w:szCs w:val="26"/>
        </w:rPr>
      </w:pPr>
    </w:p>
    <w:p w:rsidRPr="00277D5E" w:rsidR="00A876FC" w:rsidP="00277D5E" w:rsidRDefault="001D6893" w14:paraId="3C99C130" w14:textId="340EAA8A">
      <w:pPr>
        <w:widowControl/>
        <w:rPr>
          <w:rFonts w:cs="Times New Roman TUR"/>
          <w:bCs/>
          <w:sz w:val="26"/>
          <w:szCs w:val="26"/>
        </w:rPr>
      </w:pPr>
      <w:r w:rsidRPr="004D07BD">
        <w:rPr>
          <w:sz w:val="26"/>
          <w:szCs w:val="26"/>
        </w:rPr>
        <w:t xml:space="preserve">In 2013, the online </w:t>
      </w:r>
      <w:r w:rsidRPr="00A76D8D" w:rsidR="00A76D8D">
        <w:rPr>
          <w:sz w:val="26"/>
          <w:szCs w:val="26"/>
        </w:rPr>
        <w:t>Critical Ener</w:t>
      </w:r>
      <w:r w:rsidR="00A76D8D">
        <w:rPr>
          <w:sz w:val="26"/>
          <w:szCs w:val="26"/>
        </w:rPr>
        <w:t xml:space="preserve">gy Infrastructure Information </w:t>
      </w:r>
      <w:r w:rsidRPr="004D07BD">
        <w:rPr>
          <w:sz w:val="26"/>
          <w:szCs w:val="26"/>
        </w:rPr>
        <w:t xml:space="preserve">request form was redesigned (with no substantive changes) to allow requestors to add additional </w:t>
      </w:r>
      <w:r w:rsidRPr="004D07BD" w:rsidR="00E8383B">
        <w:rPr>
          <w:sz w:val="26"/>
          <w:szCs w:val="26"/>
        </w:rPr>
        <w:t>users more easily.</w:t>
      </w:r>
      <w:r w:rsidRPr="004D07BD" w:rsidR="00A876FC">
        <w:rPr>
          <w:sz w:val="26"/>
          <w:szCs w:val="26"/>
        </w:rPr>
        <w:t xml:space="preserve">  </w:t>
      </w:r>
      <w:r w:rsidRPr="004D07BD" w:rsidR="00B7405C">
        <w:rPr>
          <w:sz w:val="26"/>
          <w:szCs w:val="26"/>
        </w:rPr>
        <w:t xml:space="preserve">As noted above, </w:t>
      </w:r>
      <w:r w:rsidRPr="00277D5E" w:rsidR="00A876FC">
        <w:rPr>
          <w:rFonts w:cs="Times New Roman TUR"/>
          <w:bCs/>
          <w:sz w:val="26"/>
          <w:szCs w:val="26"/>
        </w:rPr>
        <w:t xml:space="preserve">in Order No. 833 (in Docket No. RM16-15), the Commission adopted a Final Rule implementing the FAST Act by amending its regulations that pertain to the designation, protection, and sharing of Critical Energy/Electric Infrastructure Information.  The Final Rule </w:t>
      </w:r>
      <w:r w:rsidR="004D07BD">
        <w:rPr>
          <w:rFonts w:cs="Times New Roman TUR"/>
          <w:bCs/>
          <w:sz w:val="26"/>
          <w:szCs w:val="26"/>
        </w:rPr>
        <w:t>became</w:t>
      </w:r>
      <w:r w:rsidR="00296CBB">
        <w:rPr>
          <w:rFonts w:cs="Times New Roman TUR"/>
          <w:bCs/>
          <w:sz w:val="26"/>
          <w:szCs w:val="26"/>
        </w:rPr>
        <w:t xml:space="preserve"> </w:t>
      </w:r>
      <w:r w:rsidRPr="00277D5E" w:rsidR="00A876FC">
        <w:rPr>
          <w:rFonts w:cs="Times New Roman TUR"/>
          <w:bCs/>
          <w:sz w:val="26"/>
          <w:szCs w:val="26"/>
        </w:rPr>
        <w:t xml:space="preserve">effective on February </w:t>
      </w:r>
      <w:r w:rsidR="004D07BD">
        <w:rPr>
          <w:rFonts w:cs="Times New Roman TUR"/>
          <w:bCs/>
          <w:sz w:val="26"/>
          <w:szCs w:val="26"/>
        </w:rPr>
        <w:t>21</w:t>
      </w:r>
      <w:r w:rsidRPr="00277D5E" w:rsidR="00A876FC">
        <w:rPr>
          <w:rFonts w:cs="Times New Roman TUR"/>
          <w:bCs/>
          <w:sz w:val="26"/>
          <w:szCs w:val="26"/>
        </w:rPr>
        <w:t>, 2017</w:t>
      </w:r>
      <w:r w:rsidRPr="00277D5E" w:rsidR="00A876FC">
        <w:rPr>
          <w:rStyle w:val="FootnoteReference"/>
          <w:rFonts w:cs="Times New Roman TUR"/>
          <w:bCs/>
          <w:sz w:val="26"/>
          <w:szCs w:val="26"/>
          <w:vertAlign w:val="superscript"/>
        </w:rPr>
        <w:footnoteReference w:id="5"/>
      </w:r>
      <w:r w:rsidR="00255213">
        <w:rPr>
          <w:rFonts w:cs="Times New Roman TUR"/>
          <w:bCs/>
          <w:sz w:val="26"/>
          <w:szCs w:val="26"/>
        </w:rPr>
        <w:t xml:space="preserve"> and the FERC-603 title was changed to be consistent with Order No. 833.</w:t>
      </w:r>
      <w:r w:rsidRPr="00277D5E" w:rsidR="00A876FC">
        <w:rPr>
          <w:rFonts w:cs="Times New Roman TUR"/>
          <w:bCs/>
          <w:sz w:val="26"/>
          <w:szCs w:val="26"/>
        </w:rPr>
        <w:t xml:space="preserve">  </w:t>
      </w:r>
    </w:p>
    <w:p w:rsidRPr="00A876FC" w:rsidR="00A876FC" w:rsidP="000F6DEE" w:rsidRDefault="00A876FC" w14:paraId="3C99C131" w14:textId="77777777">
      <w:pPr>
        <w:widowControl/>
        <w:ind w:firstLine="720"/>
        <w:rPr>
          <w:sz w:val="26"/>
          <w:szCs w:val="26"/>
        </w:rPr>
      </w:pPr>
    </w:p>
    <w:p w:rsidR="00666D09" w:rsidP="00277D5E" w:rsidRDefault="00A876FC" w14:paraId="187DC49D" w14:textId="6E7EFA3A">
      <w:pPr>
        <w:rPr>
          <w:sz w:val="26"/>
          <w:szCs w:val="26"/>
        </w:rPr>
      </w:pPr>
      <w:r w:rsidRPr="00277D5E">
        <w:rPr>
          <w:sz w:val="26"/>
          <w:szCs w:val="26"/>
        </w:rPr>
        <w:t>FERC-603,</w:t>
      </w:r>
      <w:r w:rsidR="00556551">
        <w:rPr>
          <w:sz w:val="26"/>
          <w:szCs w:val="26"/>
        </w:rPr>
        <w:t xml:space="preserve"> titled</w:t>
      </w:r>
      <w:r w:rsidRPr="00277D5E">
        <w:rPr>
          <w:sz w:val="26"/>
          <w:szCs w:val="26"/>
        </w:rPr>
        <w:t xml:space="preserve"> </w:t>
      </w:r>
      <w:r w:rsidR="00556551">
        <w:rPr>
          <w:sz w:val="26"/>
          <w:szCs w:val="26"/>
        </w:rPr>
        <w:t>“</w:t>
      </w:r>
      <w:r w:rsidRPr="00277D5E">
        <w:rPr>
          <w:sz w:val="26"/>
          <w:szCs w:val="26"/>
        </w:rPr>
        <w:t>Critical Energy/Electric Infrastructure Information (CEII) request form</w:t>
      </w:r>
      <w:r w:rsidR="00556551">
        <w:rPr>
          <w:sz w:val="26"/>
          <w:szCs w:val="26"/>
        </w:rPr>
        <w:t>”</w:t>
      </w:r>
      <w:r w:rsidRPr="00277D5E">
        <w:rPr>
          <w:rFonts w:cs="Times New Roman TUR"/>
          <w:bCs/>
          <w:sz w:val="26"/>
          <w:szCs w:val="26"/>
        </w:rPr>
        <w:t xml:space="preserve"> is largely unchanged from the previously approved version</w:t>
      </w:r>
      <w:r w:rsidR="00255213">
        <w:rPr>
          <w:rFonts w:cs="Times New Roman TUR"/>
          <w:bCs/>
          <w:sz w:val="26"/>
          <w:szCs w:val="26"/>
        </w:rPr>
        <w:t>s</w:t>
      </w:r>
      <w:r w:rsidRPr="00277D5E">
        <w:rPr>
          <w:rFonts w:cs="Times New Roman TUR"/>
          <w:bCs/>
          <w:sz w:val="26"/>
          <w:szCs w:val="26"/>
        </w:rPr>
        <w:t xml:space="preserve">.  </w:t>
      </w:r>
      <w:r w:rsidRPr="00277D5E">
        <w:rPr>
          <w:sz w:val="26"/>
          <w:szCs w:val="26"/>
        </w:rPr>
        <w:t>As in the previous version</w:t>
      </w:r>
      <w:r w:rsidR="00255213">
        <w:rPr>
          <w:sz w:val="26"/>
          <w:szCs w:val="26"/>
        </w:rPr>
        <w:t>s</w:t>
      </w:r>
      <w:r w:rsidRPr="00277D5E">
        <w:rPr>
          <w:sz w:val="26"/>
          <w:szCs w:val="26"/>
        </w:rPr>
        <w:t xml:space="preserve">, a person seeking access to CEII must file a request for that information by providing information about their identity and reason the individual needs the information.  With that information, the Commission is able to assess the requester’s need for the information against the sensitivity of the information.  </w:t>
      </w:r>
      <w:r w:rsidR="00666D09">
        <w:rPr>
          <w:sz w:val="26"/>
          <w:szCs w:val="26"/>
        </w:rPr>
        <w:t>The</w:t>
      </w:r>
      <w:r w:rsidR="005034B0">
        <w:rPr>
          <w:sz w:val="26"/>
          <w:szCs w:val="26"/>
        </w:rPr>
        <w:t>re are</w:t>
      </w:r>
      <w:r w:rsidR="00666D09">
        <w:rPr>
          <w:sz w:val="26"/>
          <w:szCs w:val="26"/>
        </w:rPr>
        <w:t xml:space="preserve"> </w:t>
      </w:r>
      <w:r w:rsidRPr="005034B0" w:rsidR="005034B0">
        <w:rPr>
          <w:sz w:val="26"/>
          <w:szCs w:val="26"/>
        </w:rPr>
        <w:t xml:space="preserve">no changes to the current reporting and recordkeeping requirements, other than </w:t>
      </w:r>
      <w:r w:rsidR="00255213">
        <w:rPr>
          <w:sz w:val="26"/>
          <w:szCs w:val="26"/>
        </w:rPr>
        <w:t xml:space="preserve">requiring a </w:t>
      </w:r>
      <w:r w:rsidRPr="005034B0" w:rsidR="005034B0">
        <w:rPr>
          <w:sz w:val="26"/>
          <w:szCs w:val="26"/>
        </w:rPr>
        <w:t>signed statement from the requester attesting to the accuracy of the information provided in the request</w:t>
      </w:r>
      <w:r w:rsidR="00255213">
        <w:rPr>
          <w:sz w:val="26"/>
          <w:szCs w:val="26"/>
        </w:rPr>
        <w:t>, which was inadvertently omitted from the previous form</w:t>
      </w:r>
      <w:r w:rsidR="00666D09">
        <w:rPr>
          <w:sz w:val="26"/>
          <w:szCs w:val="26"/>
        </w:rPr>
        <w:t>.</w:t>
      </w:r>
    </w:p>
    <w:p w:rsidR="00666D09" w:rsidP="00277D5E" w:rsidRDefault="00666D09" w14:paraId="7DD349ED" w14:textId="77777777">
      <w:pPr>
        <w:rPr>
          <w:sz w:val="26"/>
          <w:szCs w:val="26"/>
        </w:rPr>
      </w:pPr>
    </w:p>
    <w:p w:rsidR="00600E2C" w:rsidP="00E2286A" w:rsidRDefault="00A876FC" w14:paraId="3C99C136" w14:textId="4F33F108">
      <w:pPr>
        <w:rPr>
          <w:rFonts w:cs="Times New Roman TUR"/>
          <w:bCs/>
          <w:sz w:val="26"/>
          <w:szCs w:val="26"/>
        </w:rPr>
      </w:pPr>
      <w:r w:rsidRPr="00277D5E">
        <w:rPr>
          <w:sz w:val="26"/>
          <w:szCs w:val="26"/>
        </w:rPr>
        <w:t xml:space="preserve">Compliance with these requirements is mandatory.  </w:t>
      </w:r>
      <w:r w:rsidRPr="005034B0" w:rsidR="005034B0">
        <w:rPr>
          <w:sz w:val="26"/>
          <w:szCs w:val="26"/>
        </w:rPr>
        <w:t xml:space="preserve">The Request Form </w:t>
      </w:r>
      <w:r w:rsidR="00176650">
        <w:rPr>
          <w:sz w:val="26"/>
          <w:szCs w:val="26"/>
        </w:rPr>
        <w:t xml:space="preserve">is </w:t>
      </w:r>
      <w:r w:rsidRPr="005034B0" w:rsidR="005034B0">
        <w:rPr>
          <w:sz w:val="26"/>
          <w:szCs w:val="26"/>
        </w:rPr>
        <w:t>attached to th</w:t>
      </w:r>
      <w:r w:rsidR="005034B0">
        <w:rPr>
          <w:sz w:val="26"/>
          <w:szCs w:val="26"/>
        </w:rPr>
        <w:t>e 30-day</w:t>
      </w:r>
      <w:r w:rsidRPr="005034B0" w:rsidR="005034B0">
        <w:rPr>
          <w:sz w:val="26"/>
          <w:szCs w:val="26"/>
        </w:rPr>
        <w:t xml:space="preserve"> notice</w:t>
      </w:r>
      <w:r w:rsidR="00666D09">
        <w:rPr>
          <w:sz w:val="26"/>
          <w:szCs w:val="26"/>
        </w:rPr>
        <w:t xml:space="preserve"> and included in reginfo.gov and ROCIS</w:t>
      </w:r>
      <w:r w:rsidRPr="00277D5E">
        <w:rPr>
          <w:sz w:val="26"/>
          <w:szCs w:val="26"/>
        </w:rPr>
        <w:t>.</w:t>
      </w:r>
      <w:r w:rsidR="00176650">
        <w:rPr>
          <w:sz w:val="26"/>
          <w:szCs w:val="26"/>
        </w:rPr>
        <w:t xml:space="preserve">  </w:t>
      </w:r>
      <w:r w:rsidR="00600E2C">
        <w:rPr>
          <w:sz w:val="26"/>
          <w:szCs w:val="26"/>
        </w:rPr>
        <w:t xml:space="preserve">For more information regarding the  CEII </w:t>
      </w:r>
      <w:r w:rsidR="005034B0">
        <w:rPr>
          <w:sz w:val="26"/>
          <w:szCs w:val="26"/>
        </w:rPr>
        <w:t xml:space="preserve">program and </w:t>
      </w:r>
      <w:r w:rsidR="00600E2C">
        <w:rPr>
          <w:sz w:val="26"/>
          <w:szCs w:val="26"/>
        </w:rPr>
        <w:t>process</w:t>
      </w:r>
      <w:r w:rsidR="005034B0">
        <w:rPr>
          <w:sz w:val="26"/>
          <w:szCs w:val="26"/>
        </w:rPr>
        <w:t>,</w:t>
      </w:r>
      <w:r w:rsidR="00600E2C">
        <w:rPr>
          <w:sz w:val="26"/>
          <w:szCs w:val="26"/>
        </w:rPr>
        <w:t xml:space="preserve"> please see </w:t>
      </w:r>
      <w:hyperlink w:history="1" r:id="rId15">
        <w:r w:rsidRPr="00702C33" w:rsidR="00600E2C">
          <w:rPr>
            <w:rStyle w:val="Hyperlink"/>
            <w:sz w:val="26"/>
            <w:szCs w:val="26"/>
          </w:rPr>
          <w:t>http://www.ferc.gov/legal/maj-ord-reg/land-</w:t>
        </w:r>
        <w:r w:rsidRPr="00702C33" w:rsidR="00600E2C">
          <w:rPr>
            <w:rStyle w:val="Hyperlink"/>
            <w:sz w:val="26"/>
            <w:szCs w:val="26"/>
          </w:rPr>
          <w:lastRenderedPageBreak/>
          <w:t>docs/ceii-rule.asp</w:t>
        </w:r>
      </w:hyperlink>
      <w:r w:rsidR="00600E2C">
        <w:rPr>
          <w:sz w:val="26"/>
          <w:szCs w:val="26"/>
        </w:rPr>
        <w:t xml:space="preserve">. </w:t>
      </w:r>
    </w:p>
    <w:p w:rsidRPr="008923C6" w:rsidR="00F05156" w:rsidRDefault="00F05156" w14:paraId="3C99C137" w14:textId="77777777">
      <w:pPr>
        <w:widowControl/>
        <w:rPr>
          <w:rFonts w:cs="Times New Roman TUR"/>
          <w:bCs/>
          <w:sz w:val="26"/>
          <w:szCs w:val="26"/>
        </w:rPr>
      </w:pPr>
    </w:p>
    <w:p w:rsidRPr="00CA3986" w:rsidR="00672F76" w:rsidP="00597BAA" w:rsidRDefault="00672F76" w14:paraId="3C99C138" w14:textId="77777777">
      <w:pPr>
        <w:pStyle w:val="Level1"/>
        <w:widowControl/>
        <w:numPr>
          <w:ilvl w:val="0"/>
          <w:numId w:val="6"/>
        </w:numPr>
        <w:tabs>
          <w:tab w:val="left" w:pos="-1440"/>
        </w:tabs>
        <w:ind w:hanging="720"/>
        <w:rPr>
          <w:b/>
          <w:sz w:val="26"/>
          <w:szCs w:val="26"/>
        </w:rPr>
      </w:pPr>
      <w:r w:rsidRPr="00CA3986">
        <w:rPr>
          <w:b/>
          <w:sz w:val="26"/>
          <w:szCs w:val="26"/>
        </w:rPr>
        <w:t>HOW, BY WHOM, AND FOR WHAT PURPOSES THE INFORMATION IS TO BE USED AND THE CONSEQUENCES OF NOT COLLECTING THE INFORMATION</w:t>
      </w:r>
    </w:p>
    <w:p w:rsidRPr="008923C6" w:rsidR="00672F76" w:rsidRDefault="00672F76" w14:paraId="3C99C139" w14:textId="77777777">
      <w:pPr>
        <w:widowControl/>
        <w:rPr>
          <w:sz w:val="26"/>
          <w:szCs w:val="26"/>
        </w:rPr>
      </w:pPr>
    </w:p>
    <w:p w:rsidR="00EC54D2" w:rsidP="002D6174" w:rsidRDefault="00EC54D2" w14:paraId="07DB6234" w14:textId="1F2B45FA">
      <w:pPr>
        <w:widowControl/>
        <w:rPr>
          <w:sz w:val="26"/>
          <w:szCs w:val="26"/>
        </w:rPr>
      </w:pPr>
      <w:r>
        <w:rPr>
          <w:sz w:val="26"/>
          <w:szCs w:val="26"/>
        </w:rPr>
        <w:t xml:space="preserve">FERC-603 includes </w:t>
      </w:r>
      <w:r w:rsidRPr="00EC54D2">
        <w:rPr>
          <w:sz w:val="26"/>
          <w:szCs w:val="26"/>
        </w:rPr>
        <w:t xml:space="preserve">a statement of need </w:t>
      </w:r>
      <w:r>
        <w:rPr>
          <w:sz w:val="26"/>
          <w:szCs w:val="26"/>
        </w:rPr>
        <w:t>for the CEII information with details on</w:t>
      </w:r>
      <w:r w:rsidRPr="00EC54D2">
        <w:rPr>
          <w:sz w:val="26"/>
          <w:szCs w:val="26"/>
        </w:rPr>
        <w:t xml:space="preserve">: </w:t>
      </w:r>
    </w:p>
    <w:p w:rsidR="00EC54D2" w:rsidP="00EC54D2" w:rsidRDefault="00EC54D2" w14:paraId="45CB23A9" w14:textId="77777777">
      <w:pPr>
        <w:pStyle w:val="ListParagraph"/>
        <w:widowControl/>
        <w:numPr>
          <w:ilvl w:val="0"/>
          <w:numId w:val="8"/>
        </w:numPr>
        <w:rPr>
          <w:sz w:val="26"/>
          <w:szCs w:val="26"/>
        </w:rPr>
      </w:pPr>
      <w:r w:rsidRPr="000A4EA5">
        <w:rPr>
          <w:sz w:val="26"/>
          <w:szCs w:val="26"/>
        </w:rPr>
        <w:t xml:space="preserve">the extent to which a particular function is dependent upon access to the information; </w:t>
      </w:r>
    </w:p>
    <w:p w:rsidR="00EC54D2" w:rsidP="00EC54D2" w:rsidRDefault="00EC54D2" w14:paraId="0542601C" w14:textId="77777777">
      <w:pPr>
        <w:pStyle w:val="ListParagraph"/>
        <w:widowControl/>
        <w:numPr>
          <w:ilvl w:val="0"/>
          <w:numId w:val="8"/>
        </w:numPr>
        <w:rPr>
          <w:sz w:val="26"/>
          <w:szCs w:val="26"/>
        </w:rPr>
      </w:pPr>
      <w:r w:rsidRPr="000A4EA5">
        <w:rPr>
          <w:sz w:val="26"/>
          <w:szCs w:val="26"/>
        </w:rPr>
        <w:t xml:space="preserve">why the function cannot be achieved or performed without access to the information; </w:t>
      </w:r>
    </w:p>
    <w:p w:rsidR="00EC54D2" w:rsidP="00EC54D2" w:rsidRDefault="00EC54D2" w14:paraId="3563B60B" w14:textId="77777777">
      <w:pPr>
        <w:pStyle w:val="ListParagraph"/>
        <w:widowControl/>
        <w:numPr>
          <w:ilvl w:val="0"/>
          <w:numId w:val="8"/>
        </w:numPr>
        <w:rPr>
          <w:sz w:val="26"/>
          <w:szCs w:val="26"/>
        </w:rPr>
      </w:pPr>
      <w:r w:rsidRPr="000A4EA5">
        <w:rPr>
          <w:sz w:val="26"/>
          <w:szCs w:val="26"/>
        </w:rPr>
        <w:t xml:space="preserve">an explanation of whether other information is available to the requester that could facilitate the same objective; </w:t>
      </w:r>
    </w:p>
    <w:p w:rsidR="00EC54D2" w:rsidP="00EC54D2" w:rsidRDefault="00EC54D2" w14:paraId="6A5D1C1E" w14:textId="77777777">
      <w:pPr>
        <w:pStyle w:val="ListParagraph"/>
        <w:widowControl/>
        <w:numPr>
          <w:ilvl w:val="0"/>
          <w:numId w:val="8"/>
        </w:numPr>
        <w:rPr>
          <w:sz w:val="26"/>
          <w:szCs w:val="26"/>
        </w:rPr>
      </w:pPr>
      <w:r w:rsidRPr="000A4EA5">
        <w:rPr>
          <w:sz w:val="26"/>
          <w:szCs w:val="26"/>
        </w:rPr>
        <w:t xml:space="preserve">how long the information will be needed; </w:t>
      </w:r>
    </w:p>
    <w:p w:rsidR="00EC54D2" w:rsidP="00EC54D2" w:rsidRDefault="00EC54D2" w14:paraId="2AE7FA54" w14:textId="77777777">
      <w:pPr>
        <w:pStyle w:val="ListParagraph"/>
        <w:widowControl/>
        <w:numPr>
          <w:ilvl w:val="0"/>
          <w:numId w:val="8"/>
        </w:numPr>
        <w:rPr>
          <w:sz w:val="26"/>
          <w:szCs w:val="26"/>
        </w:rPr>
      </w:pPr>
      <w:r w:rsidRPr="000A4EA5">
        <w:rPr>
          <w:sz w:val="26"/>
          <w:szCs w:val="26"/>
        </w:rPr>
        <w:t xml:space="preserve">whether or not the information is needed to participate in a specific proceeding (with that proceeding identified); and </w:t>
      </w:r>
    </w:p>
    <w:p w:rsidRPr="000A4EA5" w:rsidR="00EC54D2" w:rsidP="000A4EA5" w:rsidRDefault="00EC54D2" w14:paraId="45B80E79" w14:textId="110C9620">
      <w:pPr>
        <w:pStyle w:val="ListParagraph"/>
        <w:widowControl/>
        <w:numPr>
          <w:ilvl w:val="0"/>
          <w:numId w:val="8"/>
        </w:numPr>
        <w:rPr>
          <w:sz w:val="26"/>
          <w:szCs w:val="26"/>
        </w:rPr>
      </w:pPr>
      <w:r w:rsidRPr="000A4EA5">
        <w:rPr>
          <w:sz w:val="26"/>
          <w:szCs w:val="26"/>
        </w:rPr>
        <w:t>an explanation of whether the information is needed expeditiously.</w:t>
      </w:r>
    </w:p>
    <w:p w:rsidR="00EC54D2" w:rsidP="002D6174" w:rsidRDefault="00EC54D2" w14:paraId="23648FCE" w14:textId="77777777">
      <w:pPr>
        <w:widowControl/>
        <w:rPr>
          <w:sz w:val="26"/>
          <w:szCs w:val="26"/>
        </w:rPr>
      </w:pPr>
    </w:p>
    <w:p w:rsidRPr="00F61A72" w:rsidR="00672F76" w:rsidP="002D6174" w:rsidRDefault="00255213" w14:paraId="3C99C13A" w14:textId="1A8BCE20">
      <w:pPr>
        <w:widowControl/>
        <w:rPr>
          <w:rFonts w:cs="Times New Roman TUR"/>
          <w:bCs/>
          <w:sz w:val="26"/>
          <w:szCs w:val="26"/>
        </w:rPr>
      </w:pPr>
      <w:r>
        <w:rPr>
          <w:sz w:val="26"/>
          <w:szCs w:val="26"/>
        </w:rPr>
        <w:t>The</w:t>
      </w:r>
      <w:r w:rsidR="00DE0A04">
        <w:rPr>
          <w:sz w:val="26"/>
          <w:szCs w:val="26"/>
        </w:rPr>
        <w:t xml:space="preserve"> </w:t>
      </w:r>
      <w:r w:rsidR="00AE1368">
        <w:rPr>
          <w:sz w:val="26"/>
          <w:szCs w:val="26"/>
        </w:rPr>
        <w:t xml:space="preserve">CEII Coordinator </w:t>
      </w:r>
      <w:r w:rsidR="00DE0A04">
        <w:rPr>
          <w:sz w:val="26"/>
          <w:szCs w:val="26"/>
        </w:rPr>
        <w:t>(currently the Director</w:t>
      </w:r>
      <w:r w:rsidR="00D068A0">
        <w:rPr>
          <w:sz w:val="26"/>
          <w:szCs w:val="26"/>
        </w:rPr>
        <w:t xml:space="preserve"> of the Office of</w:t>
      </w:r>
      <w:r w:rsidR="00DE0A04">
        <w:rPr>
          <w:sz w:val="26"/>
          <w:szCs w:val="26"/>
        </w:rPr>
        <w:t xml:space="preserve"> External Affairs) is authorized by </w:t>
      </w:r>
      <w:r w:rsidR="00801499">
        <w:rPr>
          <w:sz w:val="26"/>
          <w:szCs w:val="26"/>
        </w:rPr>
        <w:t xml:space="preserve">18 C.F.R. § </w:t>
      </w:r>
      <w:r w:rsidRPr="008923C6" w:rsidR="00672F76">
        <w:rPr>
          <w:sz w:val="26"/>
          <w:szCs w:val="26"/>
        </w:rPr>
        <w:t xml:space="preserve">375.313 </w:t>
      </w:r>
      <w:r w:rsidR="000F7704">
        <w:rPr>
          <w:sz w:val="26"/>
          <w:szCs w:val="26"/>
        </w:rPr>
        <w:t xml:space="preserve">to </w:t>
      </w:r>
      <w:r w:rsidRPr="008923C6" w:rsidR="00672F76">
        <w:rPr>
          <w:sz w:val="26"/>
          <w:szCs w:val="26"/>
        </w:rPr>
        <w:t xml:space="preserve">process </w:t>
      </w:r>
      <w:r w:rsidR="00D15A97">
        <w:rPr>
          <w:sz w:val="26"/>
          <w:szCs w:val="26"/>
        </w:rPr>
        <w:t>r</w:t>
      </w:r>
      <w:r w:rsidRPr="008923C6" w:rsidR="00672F76">
        <w:rPr>
          <w:sz w:val="26"/>
          <w:szCs w:val="26"/>
        </w:rPr>
        <w:t>equest</w:t>
      </w:r>
      <w:r w:rsidR="000F7704">
        <w:rPr>
          <w:sz w:val="26"/>
          <w:szCs w:val="26"/>
        </w:rPr>
        <w:t>s</w:t>
      </w:r>
      <w:r w:rsidRPr="008923C6" w:rsidR="00672F76">
        <w:rPr>
          <w:sz w:val="26"/>
          <w:szCs w:val="26"/>
        </w:rPr>
        <w:t xml:space="preserve"> for CEII and make determinations on such requests.  </w:t>
      </w:r>
      <w:r w:rsidR="00801499">
        <w:rPr>
          <w:sz w:val="26"/>
          <w:szCs w:val="26"/>
        </w:rPr>
        <w:t xml:space="preserve">18 C.F.R. § </w:t>
      </w:r>
      <w:r w:rsidR="00AE1368">
        <w:rPr>
          <w:sz w:val="26"/>
          <w:szCs w:val="26"/>
        </w:rPr>
        <w:t>388.113 (g)</w:t>
      </w:r>
      <w:r w:rsidRPr="008923C6" w:rsidR="00B73113">
        <w:rPr>
          <w:sz w:val="26"/>
          <w:szCs w:val="26"/>
        </w:rPr>
        <w:t>(</w:t>
      </w:r>
      <w:r w:rsidR="00AE1368">
        <w:rPr>
          <w:sz w:val="26"/>
          <w:szCs w:val="26"/>
        </w:rPr>
        <w:t>5</w:t>
      </w:r>
      <w:r w:rsidRPr="008923C6" w:rsidR="00672F76">
        <w:rPr>
          <w:sz w:val="26"/>
          <w:szCs w:val="26"/>
        </w:rPr>
        <w:t xml:space="preserve">) sets forth a process where </w:t>
      </w:r>
      <w:r w:rsidRPr="008923C6" w:rsidR="00B73113">
        <w:rPr>
          <w:sz w:val="26"/>
          <w:szCs w:val="26"/>
        </w:rPr>
        <w:t>requesters provide</w:t>
      </w:r>
      <w:r w:rsidRPr="008923C6" w:rsidR="00672F76">
        <w:rPr>
          <w:sz w:val="26"/>
          <w:szCs w:val="26"/>
        </w:rPr>
        <w:t xml:space="preserve"> the CEII Coordinator information about themselves and their need for the information.  The CEII coordinator use</w:t>
      </w:r>
      <w:r w:rsidR="00F86E05">
        <w:rPr>
          <w:sz w:val="26"/>
          <w:szCs w:val="26"/>
        </w:rPr>
        <w:t>s</w:t>
      </w:r>
      <w:r w:rsidRPr="008923C6" w:rsidR="00672F76">
        <w:rPr>
          <w:sz w:val="26"/>
          <w:szCs w:val="26"/>
        </w:rPr>
        <w:t xml:space="preserve"> the information to make a determination as to whether to release the information.</w:t>
      </w:r>
      <w:r w:rsidRPr="008923C6" w:rsidR="00672F76">
        <w:rPr>
          <w:rFonts w:cs="Times New Roman TUR"/>
          <w:bCs/>
          <w:sz w:val="26"/>
          <w:szCs w:val="26"/>
        </w:rPr>
        <w:t xml:space="preserve">  If the requester is determined to be eligible to receive the information </w:t>
      </w:r>
      <w:r w:rsidRPr="00F61A72" w:rsidR="00672F76">
        <w:rPr>
          <w:rFonts w:cs="Times New Roman TUR"/>
          <w:bCs/>
          <w:sz w:val="26"/>
          <w:szCs w:val="26"/>
        </w:rPr>
        <w:t xml:space="preserve">requested, the CEII Coordinator will determine what conditions, if any, to place on release of the information.  </w:t>
      </w:r>
      <w:r w:rsidRPr="00F61A72" w:rsidR="009863EC">
        <w:rPr>
          <w:rFonts w:cs="Times New Roman TUR"/>
          <w:bCs/>
          <w:sz w:val="26"/>
          <w:szCs w:val="26"/>
        </w:rPr>
        <w:t xml:space="preserve">Filers requesting CEII must also sign </w:t>
      </w:r>
      <w:r w:rsidRPr="00F61A72" w:rsidR="00EC54D2">
        <w:rPr>
          <w:rFonts w:cs="Times New Roman TUR"/>
          <w:bCs/>
          <w:sz w:val="26"/>
          <w:szCs w:val="26"/>
        </w:rPr>
        <w:t xml:space="preserve">the appropriate </w:t>
      </w:r>
      <w:r w:rsidRPr="00F61A72" w:rsidR="009863EC">
        <w:rPr>
          <w:rFonts w:cs="Times New Roman TUR"/>
          <w:bCs/>
          <w:sz w:val="26"/>
          <w:szCs w:val="26"/>
        </w:rPr>
        <w:t>non-disclosure agreement.</w:t>
      </w:r>
      <w:r w:rsidRPr="00F61A72" w:rsidR="00F61A72">
        <w:rPr>
          <w:rFonts w:cs="Times New Roman TUR"/>
          <w:bCs/>
          <w:sz w:val="26"/>
          <w:szCs w:val="26"/>
        </w:rPr>
        <w:t xml:space="preserve">  Examples of the non-disclosure agreements are available at:</w:t>
      </w:r>
      <w:r w:rsidRPr="00F61A72" w:rsidR="009863EC">
        <w:rPr>
          <w:rFonts w:cs="Times New Roman TUR"/>
          <w:bCs/>
          <w:sz w:val="26"/>
          <w:szCs w:val="26"/>
        </w:rPr>
        <w:t xml:space="preserve">  </w:t>
      </w:r>
      <w:r w:rsidR="003758F2">
        <w:rPr>
          <w:rFonts w:cs="Times New Roman TUR"/>
          <w:bCs/>
          <w:sz w:val="26"/>
          <w:szCs w:val="26"/>
        </w:rPr>
        <w:t>h</w:t>
      </w:r>
      <w:r w:rsidRPr="00FF65B6" w:rsidR="00FF65B6">
        <w:rPr>
          <w:rFonts w:cs="Times New Roman TUR"/>
          <w:bCs/>
          <w:sz w:val="26"/>
          <w:szCs w:val="26"/>
        </w:rPr>
        <w:t>ttps://www.ferc.gov/enforcement-legal/ceii/overview</w:t>
      </w:r>
      <w:r w:rsidR="00E2286A">
        <w:rPr>
          <w:rFonts w:cs="Times New Roman TUR"/>
          <w:bCs/>
          <w:sz w:val="26"/>
          <w:szCs w:val="26"/>
        </w:rPr>
        <w:t>.</w:t>
      </w:r>
    </w:p>
    <w:p w:rsidR="00672F76" w:rsidRDefault="00672F76" w14:paraId="3C99C13B" w14:textId="3400C2AB">
      <w:pPr>
        <w:widowControl/>
        <w:rPr>
          <w:rFonts w:cs="Times New Roman TUR"/>
          <w:bCs/>
          <w:sz w:val="26"/>
          <w:szCs w:val="26"/>
        </w:rPr>
      </w:pPr>
    </w:p>
    <w:p w:rsidRPr="008923C6" w:rsidR="00672F76" w:rsidP="002D6174" w:rsidRDefault="00672F76" w14:paraId="3C99C13D" w14:textId="2865EA50">
      <w:pPr>
        <w:widowControl/>
        <w:rPr>
          <w:rFonts w:cs="Times New Roman TUR"/>
          <w:bCs/>
          <w:sz w:val="26"/>
          <w:szCs w:val="26"/>
        </w:rPr>
      </w:pPr>
      <w:r w:rsidRPr="008923C6">
        <w:rPr>
          <w:rFonts w:cs="Times New Roman TUR"/>
          <w:bCs/>
          <w:sz w:val="26"/>
          <w:szCs w:val="26"/>
        </w:rPr>
        <w:t xml:space="preserve">Through this data collection process, the Commission </w:t>
      </w:r>
      <w:r w:rsidR="00F86E05">
        <w:rPr>
          <w:rFonts w:cs="Times New Roman TUR"/>
          <w:bCs/>
          <w:sz w:val="26"/>
          <w:szCs w:val="26"/>
        </w:rPr>
        <w:t>is</w:t>
      </w:r>
      <w:r w:rsidRPr="008923C6">
        <w:rPr>
          <w:rFonts w:cs="Times New Roman TUR"/>
          <w:bCs/>
          <w:sz w:val="26"/>
          <w:szCs w:val="26"/>
        </w:rPr>
        <w:t xml:space="preserve"> able to provide </w:t>
      </w:r>
      <w:r w:rsidR="00AB3672">
        <w:rPr>
          <w:rFonts w:cs="Times New Roman TUR"/>
          <w:bCs/>
          <w:sz w:val="26"/>
          <w:szCs w:val="26"/>
        </w:rPr>
        <w:t xml:space="preserve">CEII </w:t>
      </w:r>
      <w:r w:rsidRPr="008923C6">
        <w:rPr>
          <w:rFonts w:cs="Times New Roman TUR"/>
          <w:bCs/>
          <w:sz w:val="26"/>
          <w:szCs w:val="26"/>
        </w:rPr>
        <w:t xml:space="preserve">information to individuals who need it to participate in </w:t>
      </w:r>
      <w:r w:rsidR="00AB3672">
        <w:rPr>
          <w:rFonts w:cs="Times New Roman TUR"/>
          <w:bCs/>
          <w:sz w:val="26"/>
          <w:szCs w:val="26"/>
        </w:rPr>
        <w:t xml:space="preserve">the </w:t>
      </w:r>
      <w:r w:rsidRPr="008923C6">
        <w:rPr>
          <w:rFonts w:cs="Times New Roman TUR"/>
          <w:bCs/>
          <w:sz w:val="26"/>
          <w:szCs w:val="26"/>
        </w:rPr>
        <w:t>Commission</w:t>
      </w:r>
      <w:r w:rsidR="00D068A0">
        <w:rPr>
          <w:rFonts w:cs="Times New Roman TUR"/>
          <w:bCs/>
          <w:sz w:val="26"/>
          <w:szCs w:val="26"/>
        </w:rPr>
        <w:t>’</w:t>
      </w:r>
      <w:r w:rsidRPr="008923C6">
        <w:rPr>
          <w:rFonts w:cs="Times New Roman TUR"/>
          <w:bCs/>
          <w:sz w:val="26"/>
          <w:szCs w:val="26"/>
        </w:rPr>
        <w:t xml:space="preserve">s proceedings, but who might not otherwise have access to the information under FOIA.  Without this information, the Commission would not </w:t>
      </w:r>
      <w:r w:rsidR="008E073C">
        <w:rPr>
          <w:rFonts w:cs="Times New Roman TUR"/>
          <w:bCs/>
          <w:sz w:val="26"/>
          <w:szCs w:val="26"/>
        </w:rPr>
        <w:t xml:space="preserve">have </w:t>
      </w:r>
      <w:r w:rsidRPr="008923C6">
        <w:rPr>
          <w:rFonts w:cs="Times New Roman TUR"/>
          <w:bCs/>
          <w:sz w:val="26"/>
          <w:szCs w:val="26"/>
        </w:rPr>
        <w:t xml:space="preserve">the ability to provide information in an efficient manner to those with a specific </w:t>
      </w:r>
      <w:r w:rsidR="00556551">
        <w:rPr>
          <w:rFonts w:cs="Times New Roman TUR"/>
          <w:bCs/>
          <w:sz w:val="26"/>
          <w:szCs w:val="26"/>
        </w:rPr>
        <w:t xml:space="preserve">and legitimate </w:t>
      </w:r>
      <w:r w:rsidRPr="008923C6">
        <w:rPr>
          <w:rFonts w:cs="Times New Roman TUR"/>
          <w:bCs/>
          <w:sz w:val="26"/>
          <w:szCs w:val="26"/>
        </w:rPr>
        <w:t>need for it.  Failure to institute these procedures would mean that FERC is unable to discharge its responsibilities to protect critical information.</w:t>
      </w:r>
    </w:p>
    <w:p w:rsidRPr="008923C6" w:rsidR="00672F76" w:rsidRDefault="00672F76" w14:paraId="3C99C13E" w14:textId="77777777">
      <w:pPr>
        <w:widowControl/>
        <w:rPr>
          <w:rFonts w:cs="Times New Roman TUR"/>
          <w:bCs/>
          <w:sz w:val="26"/>
          <w:szCs w:val="26"/>
        </w:rPr>
      </w:pPr>
      <w:r w:rsidRPr="008923C6">
        <w:rPr>
          <w:rFonts w:cs="Times New Roman TUR"/>
          <w:bCs/>
          <w:sz w:val="26"/>
          <w:szCs w:val="26"/>
        </w:rPr>
        <w:t xml:space="preserve"> </w:t>
      </w:r>
    </w:p>
    <w:p w:rsidRPr="00CA3986" w:rsidR="00672F76" w:rsidP="00597BAA" w:rsidRDefault="00672F76" w14:paraId="3C99C13F" w14:textId="77777777">
      <w:pPr>
        <w:pStyle w:val="Level1"/>
        <w:widowControl/>
        <w:numPr>
          <w:ilvl w:val="0"/>
          <w:numId w:val="6"/>
        </w:numPr>
        <w:tabs>
          <w:tab w:val="left" w:pos="-1440"/>
        </w:tabs>
        <w:ind w:hanging="720"/>
        <w:rPr>
          <w:b/>
          <w:sz w:val="26"/>
          <w:szCs w:val="26"/>
        </w:rPr>
      </w:pPr>
      <w:r w:rsidRPr="00CA3986">
        <w:rPr>
          <w:b/>
          <w:sz w:val="26"/>
          <w:szCs w:val="26"/>
        </w:rPr>
        <w:lastRenderedPageBreak/>
        <w:t>DESCRIBE ANY CONSIDERATION FOR THE USE OF IMPROVED INFORMATION TECHNOLOGY TO REDUCE BURDEN AND TECHNICAL OR LEGAL OBSTACLES TO REDUCING BURDEN</w:t>
      </w:r>
    </w:p>
    <w:p w:rsidRPr="008923C6" w:rsidR="00672F76" w:rsidRDefault="00672F76" w14:paraId="3C99C140" w14:textId="77777777">
      <w:pPr>
        <w:widowControl/>
        <w:rPr>
          <w:sz w:val="26"/>
          <w:szCs w:val="26"/>
        </w:rPr>
      </w:pPr>
    </w:p>
    <w:p w:rsidR="00D221ED" w:rsidP="002D6174" w:rsidRDefault="00D221ED" w14:paraId="3C99C141" w14:textId="079136B4">
      <w:pPr>
        <w:widowControl/>
        <w:rPr>
          <w:sz w:val="26"/>
          <w:szCs w:val="26"/>
        </w:rPr>
      </w:pPr>
      <w:r>
        <w:rPr>
          <w:sz w:val="26"/>
          <w:szCs w:val="26"/>
        </w:rPr>
        <w:t xml:space="preserve">Requests for access to CEII material can be filed electronically or in hard copy.  </w:t>
      </w:r>
      <w:r w:rsidRPr="00C35383">
        <w:rPr>
          <w:sz w:val="26"/>
          <w:szCs w:val="26"/>
        </w:rPr>
        <w:t xml:space="preserve">Approximately </w:t>
      </w:r>
      <w:r w:rsidR="00A76D8D">
        <w:rPr>
          <w:sz w:val="26"/>
          <w:szCs w:val="26"/>
        </w:rPr>
        <w:t>7</w:t>
      </w:r>
      <w:r w:rsidRPr="00C35383" w:rsidR="00C35383">
        <w:rPr>
          <w:sz w:val="26"/>
          <w:szCs w:val="26"/>
        </w:rPr>
        <w:t>5</w:t>
      </w:r>
      <w:r w:rsidRPr="00C35383">
        <w:rPr>
          <w:sz w:val="26"/>
          <w:szCs w:val="26"/>
        </w:rPr>
        <w:t>% of the requests are submitted electronically</w:t>
      </w:r>
      <w:r>
        <w:rPr>
          <w:sz w:val="26"/>
          <w:szCs w:val="26"/>
        </w:rPr>
        <w:t xml:space="preserve"> with the remaining requests </w:t>
      </w:r>
      <w:r w:rsidR="00836D10">
        <w:rPr>
          <w:sz w:val="26"/>
          <w:szCs w:val="26"/>
        </w:rPr>
        <w:t xml:space="preserve">submitted </w:t>
      </w:r>
      <w:r>
        <w:rPr>
          <w:sz w:val="26"/>
          <w:szCs w:val="26"/>
        </w:rPr>
        <w:t>via fax or hard copy.</w:t>
      </w:r>
    </w:p>
    <w:p w:rsidRPr="008923C6" w:rsidR="00672F76" w:rsidRDefault="00672F76" w14:paraId="3C99C142" w14:textId="77777777">
      <w:pPr>
        <w:widowControl/>
        <w:rPr>
          <w:bCs/>
          <w:sz w:val="26"/>
          <w:szCs w:val="26"/>
        </w:rPr>
      </w:pPr>
    </w:p>
    <w:p w:rsidRPr="00CA3986" w:rsidR="00672F76" w:rsidP="00597BAA" w:rsidRDefault="00672F76" w14:paraId="3C99C143" w14:textId="77777777">
      <w:pPr>
        <w:pStyle w:val="Level1"/>
        <w:widowControl/>
        <w:numPr>
          <w:ilvl w:val="0"/>
          <w:numId w:val="6"/>
        </w:numPr>
        <w:tabs>
          <w:tab w:val="left" w:pos="-1440"/>
        </w:tabs>
        <w:ind w:hanging="720"/>
        <w:rPr>
          <w:b/>
          <w:sz w:val="26"/>
          <w:szCs w:val="26"/>
        </w:rPr>
      </w:pPr>
      <w:r w:rsidRPr="00CA3986">
        <w:rPr>
          <w:b/>
          <w:sz w:val="26"/>
          <w:szCs w:val="26"/>
        </w:rPr>
        <w:t>DESCRIBE EFFORTS TO IDENTIFY DUPLICATION AND SHOW SPECIFICALLY WHY ANY SIMILAR INFORMATION ALREADY AVAILABLE CANNOT BE USED OR MODIFIED FOR USE FOR THE PURPOSE(S) DESCRIBED IN INSTRUCTION NO. 2.</w:t>
      </w:r>
    </w:p>
    <w:p w:rsidRPr="008923C6" w:rsidR="00672F76" w:rsidRDefault="00672F76" w14:paraId="3C99C144" w14:textId="77777777">
      <w:pPr>
        <w:widowControl/>
        <w:rPr>
          <w:sz w:val="26"/>
          <w:szCs w:val="26"/>
        </w:rPr>
      </w:pPr>
    </w:p>
    <w:p w:rsidRPr="008923C6" w:rsidR="00672F76" w:rsidP="002D6174" w:rsidRDefault="00672F76" w14:paraId="3C99C145" w14:textId="4B65BF4E">
      <w:pPr>
        <w:widowControl/>
        <w:rPr>
          <w:bCs/>
          <w:sz w:val="26"/>
          <w:szCs w:val="26"/>
        </w:rPr>
      </w:pPr>
      <w:r w:rsidRPr="008923C6">
        <w:rPr>
          <w:sz w:val="26"/>
          <w:szCs w:val="26"/>
        </w:rPr>
        <w:t xml:space="preserve">The information requested here cannot be obtained from other sources </w:t>
      </w:r>
      <w:r w:rsidR="00AE1551">
        <w:rPr>
          <w:sz w:val="26"/>
          <w:szCs w:val="26"/>
        </w:rPr>
        <w:t>because</w:t>
      </w:r>
      <w:r w:rsidRPr="008923C6" w:rsidR="00AE1551">
        <w:rPr>
          <w:sz w:val="26"/>
          <w:szCs w:val="26"/>
        </w:rPr>
        <w:t xml:space="preserve"> </w:t>
      </w:r>
      <w:r w:rsidRPr="008923C6">
        <w:rPr>
          <w:sz w:val="26"/>
          <w:szCs w:val="26"/>
        </w:rPr>
        <w:t xml:space="preserve">the information is specific to each requester </w:t>
      </w:r>
      <w:r w:rsidR="00AE1551">
        <w:rPr>
          <w:sz w:val="26"/>
          <w:szCs w:val="26"/>
        </w:rPr>
        <w:t xml:space="preserve">and the </w:t>
      </w:r>
      <w:r w:rsidRPr="008923C6">
        <w:rPr>
          <w:sz w:val="26"/>
          <w:szCs w:val="26"/>
        </w:rPr>
        <w:t>CEII</w:t>
      </w:r>
      <w:r w:rsidR="00AE1551">
        <w:rPr>
          <w:sz w:val="26"/>
          <w:szCs w:val="26"/>
        </w:rPr>
        <w:t xml:space="preserve"> information they want</w:t>
      </w:r>
      <w:r w:rsidRPr="008923C6">
        <w:rPr>
          <w:sz w:val="26"/>
          <w:szCs w:val="26"/>
        </w:rPr>
        <w:t xml:space="preserve">.  However, it should be noted that all Commission information collections are subject to analysis and review by Commission staff and are examined for redundancy.  </w:t>
      </w:r>
    </w:p>
    <w:p w:rsidRPr="008923C6" w:rsidR="00672F76" w:rsidRDefault="00672F76" w14:paraId="3C99C146" w14:textId="77777777">
      <w:pPr>
        <w:widowControl/>
        <w:rPr>
          <w:bCs/>
          <w:sz w:val="26"/>
          <w:szCs w:val="26"/>
        </w:rPr>
      </w:pPr>
    </w:p>
    <w:p w:rsidRPr="00CA3986" w:rsidR="00672F76" w:rsidP="00597BAA" w:rsidRDefault="00672F76" w14:paraId="3C99C147" w14:textId="77777777">
      <w:pPr>
        <w:pStyle w:val="Level1"/>
        <w:widowControl/>
        <w:numPr>
          <w:ilvl w:val="0"/>
          <w:numId w:val="6"/>
        </w:numPr>
        <w:tabs>
          <w:tab w:val="left" w:pos="-1440"/>
        </w:tabs>
        <w:ind w:hanging="720"/>
        <w:rPr>
          <w:b/>
          <w:sz w:val="26"/>
          <w:szCs w:val="26"/>
        </w:rPr>
      </w:pPr>
      <w:r w:rsidRPr="00CA3986">
        <w:rPr>
          <w:b/>
          <w:sz w:val="26"/>
          <w:szCs w:val="26"/>
        </w:rPr>
        <w:t>METHODS USED TO MINIMIZE BURDEN IN COLLECTION OF INFORMATION INVOLVING SMALL ENTITIES</w:t>
      </w:r>
    </w:p>
    <w:p w:rsidRPr="008923C6" w:rsidR="00672F76" w:rsidRDefault="00672F76" w14:paraId="3C99C148" w14:textId="77777777">
      <w:pPr>
        <w:widowControl/>
        <w:rPr>
          <w:sz w:val="26"/>
          <w:szCs w:val="26"/>
        </w:rPr>
      </w:pPr>
    </w:p>
    <w:p w:rsidRPr="008923C6" w:rsidR="00672F76" w:rsidP="002D6174" w:rsidRDefault="00672F76" w14:paraId="3C99C149" w14:textId="39A39264">
      <w:pPr>
        <w:widowControl/>
        <w:rPr>
          <w:sz w:val="26"/>
          <w:szCs w:val="26"/>
        </w:rPr>
      </w:pPr>
      <w:r w:rsidRPr="008923C6">
        <w:rPr>
          <w:sz w:val="26"/>
          <w:szCs w:val="26"/>
        </w:rPr>
        <w:t>The Commission believes that the information to be provided by requesters</w:t>
      </w:r>
      <w:r w:rsidR="005601C8">
        <w:rPr>
          <w:sz w:val="26"/>
          <w:szCs w:val="26"/>
        </w:rPr>
        <w:t xml:space="preserve"> </w:t>
      </w:r>
      <w:r w:rsidRPr="00207C45">
        <w:rPr>
          <w:sz w:val="26"/>
          <w:szCs w:val="26"/>
        </w:rPr>
        <w:t xml:space="preserve">seeking CEII will not impose an undue burden on </w:t>
      </w:r>
      <w:r w:rsidR="00D068A0">
        <w:rPr>
          <w:sz w:val="26"/>
          <w:szCs w:val="26"/>
        </w:rPr>
        <w:t>“</w:t>
      </w:r>
      <w:r w:rsidRPr="00207C45">
        <w:rPr>
          <w:sz w:val="26"/>
          <w:szCs w:val="26"/>
        </w:rPr>
        <w:t>small business concerns</w:t>
      </w:r>
      <w:r w:rsidR="00D068A0">
        <w:rPr>
          <w:sz w:val="26"/>
          <w:szCs w:val="26"/>
        </w:rPr>
        <w:t>”</w:t>
      </w:r>
      <w:r w:rsidRPr="00207C45">
        <w:rPr>
          <w:sz w:val="26"/>
          <w:szCs w:val="26"/>
        </w:rPr>
        <w:t xml:space="preserve"> under the </w:t>
      </w:r>
      <w:r w:rsidRPr="005601C8">
        <w:rPr>
          <w:sz w:val="26"/>
          <w:szCs w:val="26"/>
        </w:rPr>
        <w:t>Regulatory F</w:t>
      </w:r>
      <w:r w:rsidRPr="005601C8" w:rsidR="005601C8">
        <w:rPr>
          <w:sz w:val="26"/>
          <w:szCs w:val="26"/>
        </w:rPr>
        <w:t>lexibility</w:t>
      </w:r>
      <w:r w:rsidRPr="005601C8">
        <w:rPr>
          <w:sz w:val="26"/>
          <w:szCs w:val="26"/>
        </w:rPr>
        <w:t xml:space="preserve"> Act (RFA).  </w:t>
      </w:r>
    </w:p>
    <w:p w:rsidR="00672F76" w:rsidRDefault="00672F76" w14:paraId="3C99C14A" w14:textId="77777777">
      <w:pPr>
        <w:widowControl/>
        <w:rPr>
          <w:sz w:val="26"/>
          <w:szCs w:val="26"/>
        </w:rPr>
      </w:pPr>
    </w:p>
    <w:p w:rsidRPr="00E63825" w:rsidR="00672F76" w:rsidP="00597BAA" w:rsidRDefault="00672F76" w14:paraId="3C99C14C" w14:textId="1E4855AA">
      <w:pPr>
        <w:pStyle w:val="Level1"/>
        <w:widowControl/>
        <w:numPr>
          <w:ilvl w:val="0"/>
          <w:numId w:val="6"/>
        </w:numPr>
        <w:tabs>
          <w:tab w:val="left" w:pos="-1440"/>
        </w:tabs>
        <w:ind w:hanging="720"/>
        <w:rPr>
          <w:b/>
          <w:sz w:val="26"/>
          <w:szCs w:val="26"/>
        </w:rPr>
      </w:pPr>
      <w:r w:rsidRPr="00E63825">
        <w:rPr>
          <w:b/>
          <w:sz w:val="26"/>
          <w:szCs w:val="26"/>
        </w:rPr>
        <w:t>CONSEQUENCE TO FEDERAL PROGRAM IF COLLECTION WERE CONDUCTED LESS FREQUENTLY</w:t>
      </w:r>
    </w:p>
    <w:p w:rsidRPr="008923C6" w:rsidR="00672F76" w:rsidRDefault="00672F76" w14:paraId="3C99C14D" w14:textId="77777777">
      <w:pPr>
        <w:widowControl/>
        <w:rPr>
          <w:sz w:val="26"/>
          <w:szCs w:val="26"/>
        </w:rPr>
      </w:pPr>
    </w:p>
    <w:p w:rsidRPr="008923C6" w:rsidR="00672F76" w:rsidP="002D6174" w:rsidRDefault="00672F76" w14:paraId="3C99C14E" w14:textId="1968E516">
      <w:pPr>
        <w:widowControl/>
        <w:rPr>
          <w:bCs/>
          <w:sz w:val="26"/>
          <w:szCs w:val="26"/>
        </w:rPr>
      </w:pPr>
      <w:r w:rsidRPr="008923C6">
        <w:rPr>
          <w:sz w:val="26"/>
          <w:szCs w:val="26"/>
        </w:rPr>
        <w:t>It is not possible to collect this data with less frequency.  The Commission has no</w:t>
      </w:r>
      <w:r w:rsidR="00B2389A">
        <w:rPr>
          <w:sz w:val="26"/>
          <w:szCs w:val="26"/>
        </w:rPr>
        <w:t xml:space="preserve"> </w:t>
      </w:r>
      <w:r w:rsidRPr="008923C6">
        <w:rPr>
          <w:sz w:val="26"/>
          <w:szCs w:val="26"/>
        </w:rPr>
        <w:t xml:space="preserve">control over when a requester submits a CEII data request.  The Commission believes the required information will impose the least possible burden for the public and </w:t>
      </w:r>
      <w:r w:rsidR="00AE1551">
        <w:rPr>
          <w:sz w:val="26"/>
          <w:szCs w:val="26"/>
        </w:rPr>
        <w:t xml:space="preserve">other </w:t>
      </w:r>
      <w:r w:rsidRPr="008923C6">
        <w:rPr>
          <w:sz w:val="26"/>
          <w:szCs w:val="26"/>
        </w:rPr>
        <w:t>entities to comply with the Commission</w:t>
      </w:r>
      <w:r w:rsidR="00D068A0">
        <w:rPr>
          <w:sz w:val="26"/>
          <w:szCs w:val="26"/>
        </w:rPr>
        <w:t>’</w:t>
      </w:r>
      <w:r w:rsidRPr="008923C6">
        <w:rPr>
          <w:sz w:val="26"/>
          <w:szCs w:val="26"/>
        </w:rPr>
        <w:t xml:space="preserve">s </w:t>
      </w:r>
      <w:r w:rsidR="00556551">
        <w:rPr>
          <w:sz w:val="26"/>
          <w:szCs w:val="26"/>
        </w:rPr>
        <w:t>statutory obligation to protect CEII.</w:t>
      </w:r>
    </w:p>
    <w:p w:rsidRPr="008923C6" w:rsidR="00672F76" w:rsidRDefault="00672F76" w14:paraId="3C99C14F" w14:textId="77777777">
      <w:pPr>
        <w:widowControl/>
        <w:rPr>
          <w:bCs/>
          <w:sz w:val="26"/>
          <w:szCs w:val="26"/>
        </w:rPr>
      </w:pPr>
    </w:p>
    <w:p w:rsidRPr="00E63825" w:rsidR="00672F76" w:rsidP="00597BAA" w:rsidRDefault="00672F76" w14:paraId="3C99C150" w14:textId="77777777">
      <w:pPr>
        <w:pStyle w:val="Level1"/>
        <w:widowControl/>
        <w:numPr>
          <w:ilvl w:val="0"/>
          <w:numId w:val="6"/>
        </w:numPr>
        <w:tabs>
          <w:tab w:val="left" w:pos="-1440"/>
        </w:tabs>
        <w:ind w:hanging="720"/>
        <w:rPr>
          <w:b/>
          <w:sz w:val="26"/>
          <w:szCs w:val="26"/>
        </w:rPr>
      </w:pPr>
      <w:r w:rsidRPr="00E63825">
        <w:rPr>
          <w:b/>
          <w:sz w:val="26"/>
          <w:szCs w:val="26"/>
        </w:rPr>
        <w:t>EXPLAIN ANY SPECIAL CIRCUMSTANCES RELATING TO THE INFORMATION COLLECTION</w:t>
      </w:r>
    </w:p>
    <w:p w:rsidR="00863174" w:rsidRDefault="00863174" w14:paraId="3C99C151" w14:textId="77777777">
      <w:pPr>
        <w:widowControl/>
        <w:ind w:firstLine="720"/>
        <w:rPr>
          <w:sz w:val="26"/>
          <w:szCs w:val="26"/>
        </w:rPr>
      </w:pPr>
    </w:p>
    <w:p w:rsidRPr="00863174" w:rsidR="00672F76" w:rsidP="002D6174" w:rsidRDefault="00B2389A" w14:paraId="3C99C152" w14:textId="77777777">
      <w:pPr>
        <w:widowControl/>
        <w:rPr>
          <w:sz w:val="26"/>
          <w:szCs w:val="26"/>
        </w:rPr>
      </w:pPr>
      <w:r>
        <w:rPr>
          <w:sz w:val="26"/>
          <w:szCs w:val="26"/>
        </w:rPr>
        <w:t>There are no special circumstances related to this collection of information.</w:t>
      </w:r>
    </w:p>
    <w:p w:rsidRPr="008923C6" w:rsidR="00672F76" w:rsidRDefault="00672F76" w14:paraId="3C99C153" w14:textId="77777777">
      <w:pPr>
        <w:widowControl/>
        <w:rPr>
          <w:bCs/>
          <w:sz w:val="26"/>
          <w:szCs w:val="26"/>
        </w:rPr>
      </w:pPr>
    </w:p>
    <w:p w:rsidRPr="00E63825" w:rsidR="00672F76" w:rsidP="00597BAA" w:rsidRDefault="00672F76" w14:paraId="3C99C154" w14:textId="77777777">
      <w:pPr>
        <w:pStyle w:val="Level1"/>
        <w:widowControl/>
        <w:numPr>
          <w:ilvl w:val="0"/>
          <w:numId w:val="6"/>
        </w:numPr>
        <w:tabs>
          <w:tab w:val="left" w:pos="-1440"/>
        </w:tabs>
        <w:ind w:hanging="720"/>
        <w:rPr>
          <w:b/>
          <w:sz w:val="26"/>
          <w:szCs w:val="26"/>
        </w:rPr>
      </w:pPr>
      <w:r w:rsidRPr="00E63825">
        <w:rPr>
          <w:b/>
          <w:sz w:val="26"/>
          <w:szCs w:val="26"/>
        </w:rPr>
        <w:lastRenderedPageBreak/>
        <w:t>DESCRIBE EFFORTS TO CONSULT OUTSIDE THE AGENCY: SUMMARIZE PUBLIC COMMENTS AND AGENCY'S RESPONSE TO THESE COMMENTS</w:t>
      </w:r>
    </w:p>
    <w:p w:rsidRPr="008923C6" w:rsidR="00672F76" w:rsidRDefault="00672F76" w14:paraId="3C99C155" w14:textId="77777777">
      <w:pPr>
        <w:widowControl/>
        <w:rPr>
          <w:rFonts w:cs="Times New Roman TUR"/>
          <w:bCs/>
          <w:sz w:val="26"/>
          <w:szCs w:val="26"/>
        </w:rPr>
      </w:pPr>
    </w:p>
    <w:p w:rsidRPr="004E0909" w:rsidR="00ED738C" w:rsidP="00E2286A" w:rsidRDefault="00ED738C" w14:paraId="3E789B70" w14:textId="0F9A0DD7">
      <w:pPr>
        <w:pStyle w:val="NormalWeb"/>
        <w:shd w:val="clear" w:color="auto" w:fill="FFFFFF"/>
        <w:spacing w:before="0" w:beforeAutospacing="0" w:after="0" w:afterAutospacing="0"/>
        <w:rPr>
          <w:rFonts w:ascii="Segoe UI" w:hAnsi="Segoe UI" w:cs="Segoe UI"/>
          <w:color w:val="323130"/>
        </w:rPr>
      </w:pPr>
      <w:r w:rsidRPr="00E2286A">
        <w:rPr>
          <w:color w:val="000000"/>
          <w:sz w:val="26"/>
          <w:szCs w:val="26"/>
          <w:bdr w:val="none" w:color="auto" w:sz="0" w:space="0" w:frame="1"/>
          <w:shd w:val="clear" w:color="auto" w:fill="FFFFFF"/>
        </w:rPr>
        <w:t>In Docket No. IC20-13, the Commission published a 60-day notice</w:t>
      </w:r>
      <w:r w:rsidR="00931D0A">
        <w:rPr>
          <w:color w:val="000000"/>
          <w:sz w:val="26"/>
          <w:szCs w:val="26"/>
          <w:bdr w:val="none" w:color="auto" w:sz="0" w:space="0" w:frame="1"/>
          <w:shd w:val="clear" w:color="auto" w:fill="FFFFFF"/>
        </w:rPr>
        <w:t>.</w:t>
      </w:r>
      <w:r w:rsidRPr="00E2286A" w:rsidR="006E1CDD">
        <w:rPr>
          <w:rStyle w:val="FootnoteReference"/>
          <w:color w:val="000000"/>
          <w:sz w:val="26"/>
          <w:szCs w:val="26"/>
          <w:bdr w:val="none" w:color="auto" w:sz="0" w:space="0" w:frame="1"/>
          <w:shd w:val="clear" w:color="auto" w:fill="FFFFFF"/>
          <w:vertAlign w:val="superscript"/>
        </w:rPr>
        <w:footnoteReference w:id="6"/>
      </w:r>
      <w:r w:rsidRPr="00E2286A">
        <w:rPr>
          <w:color w:val="000000"/>
          <w:sz w:val="26"/>
          <w:szCs w:val="26"/>
          <w:bdr w:val="none" w:color="auto" w:sz="0" w:space="0" w:frame="1"/>
          <w:shd w:val="clear" w:color="auto" w:fill="FFFFFF"/>
        </w:rPr>
        <w:t xml:space="preserve">  The Commission received one comment </w:t>
      </w:r>
      <w:r w:rsidR="008C3782">
        <w:rPr>
          <w:color w:val="000000"/>
          <w:sz w:val="26"/>
          <w:szCs w:val="26"/>
          <w:bdr w:val="none" w:color="auto" w:sz="0" w:space="0" w:frame="1"/>
          <w:shd w:val="clear" w:color="auto" w:fill="FFFFFF"/>
        </w:rPr>
        <w:t xml:space="preserve">on the 60-day notice </w:t>
      </w:r>
      <w:r w:rsidRPr="00E2286A">
        <w:rPr>
          <w:color w:val="000000"/>
          <w:sz w:val="26"/>
          <w:szCs w:val="26"/>
          <w:bdr w:val="none" w:color="auto" w:sz="0" w:space="0" w:frame="1"/>
          <w:shd w:val="clear" w:color="auto" w:fill="FFFFFF"/>
        </w:rPr>
        <w:t xml:space="preserve">from the Eastern Interconnection Planning Collaborative (EIPC) with recommendations for changes to the </w:t>
      </w:r>
      <w:r w:rsidR="003A2C48">
        <w:rPr>
          <w:color w:val="000000"/>
          <w:sz w:val="26"/>
          <w:szCs w:val="26"/>
          <w:bdr w:val="none" w:color="auto" w:sz="0" w:space="0" w:frame="1"/>
          <w:shd w:val="clear" w:color="auto" w:fill="FFFFFF"/>
        </w:rPr>
        <w:t>FERC-</w:t>
      </w:r>
      <w:r w:rsidRPr="00E2286A">
        <w:rPr>
          <w:color w:val="000000"/>
          <w:sz w:val="26"/>
          <w:szCs w:val="26"/>
          <w:bdr w:val="none" w:color="auto" w:sz="0" w:space="0" w:frame="1"/>
          <w:shd w:val="clear" w:color="auto" w:fill="FFFFFF"/>
        </w:rPr>
        <w:t>603 and to the CEII process generally.  EIPC states that the form does not adequately protect CEII, specifically the detailed grid information included in Parts 2, 3</w:t>
      </w:r>
      <w:r w:rsidR="003A2C48">
        <w:rPr>
          <w:color w:val="000000"/>
          <w:sz w:val="26"/>
          <w:szCs w:val="26"/>
          <w:bdr w:val="none" w:color="auto" w:sz="0" w:space="0" w:frame="1"/>
          <w:shd w:val="clear" w:color="auto" w:fill="FFFFFF"/>
        </w:rPr>
        <w:t>,</w:t>
      </w:r>
      <w:r w:rsidRPr="00E2286A">
        <w:rPr>
          <w:color w:val="000000"/>
          <w:sz w:val="26"/>
          <w:szCs w:val="26"/>
          <w:bdr w:val="none" w:color="auto" w:sz="0" w:space="0" w:frame="1"/>
          <w:shd w:val="clear" w:color="auto" w:fill="FFFFFF"/>
        </w:rPr>
        <w:t xml:space="preserve"> and 6 of FERC Form No. 715.  EIPC urges the Commission to revamp the statement of need section to “require a demonstration that dissemination of the information would enhance the work of those entities charged with ensuring bulk power reliability of the electric grid.”</w:t>
      </w:r>
    </w:p>
    <w:p w:rsidRPr="004E0909" w:rsidR="00ED738C" w:rsidP="00E2286A" w:rsidRDefault="00ED738C" w14:paraId="33EFFE44" w14:textId="77777777">
      <w:pPr>
        <w:pStyle w:val="NormalWeb"/>
        <w:shd w:val="clear" w:color="auto" w:fill="FFFFFF"/>
        <w:spacing w:before="0" w:beforeAutospacing="0" w:after="0" w:afterAutospacing="0"/>
        <w:rPr>
          <w:rFonts w:ascii="Segoe UI" w:hAnsi="Segoe UI" w:cs="Segoe UI"/>
          <w:color w:val="323130"/>
        </w:rPr>
      </w:pPr>
      <w:r w:rsidRPr="004E0909">
        <w:rPr>
          <w:rFonts w:ascii="Segoe UI" w:hAnsi="Segoe UI" w:cs="Segoe UI"/>
          <w:color w:val="323130"/>
        </w:rPr>
        <w:t> </w:t>
      </w:r>
    </w:p>
    <w:p w:rsidRPr="004E0909" w:rsidR="00ED738C" w:rsidP="00E2286A" w:rsidRDefault="00ED738C" w14:paraId="18FA4F32" w14:textId="0D2E9A3A">
      <w:pPr>
        <w:pStyle w:val="NormalWeb"/>
        <w:shd w:val="clear" w:color="auto" w:fill="FFFFFF"/>
        <w:spacing w:before="0" w:beforeAutospacing="0" w:after="0" w:afterAutospacing="0"/>
        <w:rPr>
          <w:rFonts w:ascii="Segoe UI" w:hAnsi="Segoe UI" w:cs="Segoe UI"/>
          <w:color w:val="323130"/>
        </w:rPr>
      </w:pPr>
      <w:r w:rsidRPr="00E2286A">
        <w:rPr>
          <w:color w:val="000000"/>
          <w:sz w:val="26"/>
          <w:szCs w:val="26"/>
          <w:bdr w:val="none" w:color="auto" w:sz="0" w:space="0" w:frame="1"/>
          <w:shd w:val="clear" w:color="auto" w:fill="FFFFFF"/>
        </w:rPr>
        <w:t xml:space="preserve">While the Commission acknowledges EIPC’s comments and Commission staff will coordinate a meeting to hear EIPC’s concerns, the purpose of the </w:t>
      </w:r>
      <w:r w:rsidR="00D22E81">
        <w:rPr>
          <w:color w:val="000000"/>
          <w:sz w:val="26"/>
          <w:szCs w:val="26"/>
          <w:bdr w:val="none" w:color="auto" w:sz="0" w:space="0" w:frame="1"/>
          <w:shd w:val="clear" w:color="auto" w:fill="FFFFFF"/>
        </w:rPr>
        <w:t>FERC-603</w:t>
      </w:r>
      <w:r w:rsidRPr="00E2286A">
        <w:rPr>
          <w:color w:val="000000"/>
          <w:sz w:val="26"/>
          <w:szCs w:val="26"/>
          <w:bdr w:val="none" w:color="auto" w:sz="0" w:space="0" w:frame="1"/>
          <w:shd w:val="clear" w:color="auto" w:fill="FFFFFF"/>
        </w:rPr>
        <w:t> form review is to determine the burden on public requesters who need to complete the form to receive CEII.  EIPC’s comments do not address this issue and could result in additional burdens on CEII requesters.  Accordingly, EIPC’s concerns do not support modifying the CEII request form for purposes of the Paperwork Reduction Act.  We emphasize and reiterate, however, that EIPC will have a subsequent opportunity to more fully express its concerns and to be heard in the appropriate forum and at the appropriate time.  </w:t>
      </w:r>
    </w:p>
    <w:p w:rsidR="000A4EA5" w:rsidP="002A7409" w:rsidRDefault="000A4EA5" w14:paraId="1C630E45" w14:textId="77777777">
      <w:pPr>
        <w:widowControl/>
        <w:rPr>
          <w:sz w:val="26"/>
          <w:szCs w:val="26"/>
        </w:rPr>
      </w:pPr>
    </w:p>
    <w:p w:rsidR="00754B42" w:rsidP="00754B42" w:rsidRDefault="00931D0A" w14:paraId="3C99C157" w14:textId="1B1AACE4">
      <w:pPr>
        <w:widowControl/>
        <w:rPr>
          <w:color w:val="000000"/>
          <w:sz w:val="26"/>
          <w:szCs w:val="26"/>
          <w:bdr w:val="none" w:color="auto" w:sz="0" w:space="0" w:frame="1"/>
          <w:shd w:val="clear" w:color="auto" w:fill="FFFFFF"/>
        </w:rPr>
      </w:pPr>
      <w:r>
        <w:rPr>
          <w:color w:val="000000"/>
          <w:sz w:val="26"/>
          <w:szCs w:val="26"/>
          <w:bdr w:val="none" w:color="auto" w:sz="0" w:space="0" w:frame="1"/>
          <w:shd w:val="clear" w:color="auto" w:fill="FFFFFF"/>
        </w:rPr>
        <w:t>The Commission</w:t>
      </w:r>
      <w:r w:rsidRPr="00E2286A">
        <w:rPr>
          <w:color w:val="000000"/>
          <w:sz w:val="26"/>
          <w:szCs w:val="26"/>
          <w:bdr w:val="none" w:color="auto" w:sz="0" w:space="0" w:frame="1"/>
          <w:shd w:val="clear" w:color="auto" w:fill="FFFFFF"/>
        </w:rPr>
        <w:t xml:space="preserve"> </w:t>
      </w:r>
      <w:r>
        <w:rPr>
          <w:color w:val="000000"/>
          <w:sz w:val="26"/>
          <w:szCs w:val="26"/>
          <w:bdr w:val="none" w:color="auto" w:sz="0" w:space="0" w:frame="1"/>
          <w:shd w:val="clear" w:color="auto" w:fill="FFFFFF"/>
        </w:rPr>
        <w:t>issued a 30-day Notice</w:t>
      </w:r>
      <w:r w:rsidRPr="00115567">
        <w:rPr>
          <w:rStyle w:val="FootnoteReference"/>
          <w:color w:val="000000"/>
          <w:sz w:val="26"/>
          <w:szCs w:val="26"/>
          <w:bdr w:val="none" w:color="auto" w:sz="0" w:space="0" w:frame="1"/>
          <w:shd w:val="clear" w:color="auto" w:fill="FFFFFF"/>
          <w:vertAlign w:val="superscript"/>
        </w:rPr>
        <w:footnoteReference w:id="7"/>
      </w:r>
      <w:r w:rsidRPr="00115567">
        <w:rPr>
          <w:color w:val="000000"/>
          <w:sz w:val="26"/>
          <w:szCs w:val="26"/>
          <w:bdr w:val="none" w:color="auto" w:sz="0" w:space="0" w:frame="1"/>
          <w:shd w:val="clear" w:color="auto" w:fill="FFFFFF"/>
          <w:vertAlign w:val="superscript"/>
        </w:rPr>
        <w:t xml:space="preserve"> </w:t>
      </w:r>
      <w:r>
        <w:rPr>
          <w:color w:val="000000"/>
          <w:sz w:val="26"/>
          <w:szCs w:val="26"/>
          <w:bdr w:val="none" w:color="auto" w:sz="0" w:space="0" w:frame="1"/>
          <w:shd w:val="clear" w:color="auto" w:fill="FFFFFF"/>
        </w:rPr>
        <w:t>on 7/10/2020</w:t>
      </w:r>
      <w:r w:rsidR="00EA22C7">
        <w:rPr>
          <w:color w:val="000000"/>
          <w:sz w:val="26"/>
          <w:szCs w:val="26"/>
          <w:bdr w:val="none" w:color="auto" w:sz="0" w:space="0" w:frame="1"/>
          <w:shd w:val="clear" w:color="auto" w:fill="FFFFFF"/>
        </w:rPr>
        <w:t>; the notice</w:t>
      </w:r>
      <w:bookmarkStart w:name="_GoBack" w:id="0"/>
      <w:bookmarkEnd w:id="0"/>
      <w:r w:rsidR="00EA22C7">
        <w:rPr>
          <w:color w:val="000000"/>
          <w:sz w:val="26"/>
          <w:szCs w:val="26"/>
          <w:bdr w:val="none" w:color="auto" w:sz="0" w:space="0" w:frame="1"/>
          <w:shd w:val="clear" w:color="auto" w:fill="FFFFFF"/>
        </w:rPr>
        <w:t xml:space="preserve"> was </w:t>
      </w:r>
      <w:r>
        <w:rPr>
          <w:color w:val="000000"/>
          <w:sz w:val="26"/>
          <w:szCs w:val="26"/>
          <w:bdr w:val="none" w:color="auto" w:sz="0" w:space="0" w:frame="1"/>
          <w:shd w:val="clear" w:color="auto" w:fill="FFFFFF"/>
        </w:rPr>
        <w:t xml:space="preserve"> published in the Federal Register</w:t>
      </w:r>
      <w:r w:rsidR="00EA22C7">
        <w:rPr>
          <w:color w:val="000000"/>
          <w:sz w:val="26"/>
          <w:szCs w:val="26"/>
          <w:bdr w:val="none" w:color="auto" w:sz="0" w:space="0" w:frame="1"/>
          <w:shd w:val="clear" w:color="auto" w:fill="FFFFFF"/>
        </w:rPr>
        <w:t xml:space="preserve"> (85 FR 43234, 7/16/2020)</w:t>
      </w:r>
      <w:r>
        <w:rPr>
          <w:color w:val="000000"/>
          <w:sz w:val="26"/>
          <w:szCs w:val="26"/>
          <w:bdr w:val="none" w:color="auto" w:sz="0" w:space="0" w:frame="1"/>
          <w:shd w:val="clear" w:color="auto" w:fill="FFFFFF"/>
        </w:rPr>
        <w:t>.</w:t>
      </w:r>
    </w:p>
    <w:p w:rsidR="00931D0A" w:rsidP="00754B42" w:rsidRDefault="00931D0A" w14:paraId="0F627BC0" w14:textId="77777777">
      <w:pPr>
        <w:widowControl/>
        <w:rPr>
          <w:sz w:val="26"/>
          <w:szCs w:val="26"/>
        </w:rPr>
      </w:pPr>
    </w:p>
    <w:p w:rsidRPr="00E63825" w:rsidR="00672F76" w:rsidP="00597BAA" w:rsidRDefault="00672F76" w14:paraId="3C99C162" w14:textId="375FC524">
      <w:pPr>
        <w:pStyle w:val="Level1"/>
        <w:widowControl/>
        <w:numPr>
          <w:ilvl w:val="0"/>
          <w:numId w:val="6"/>
        </w:numPr>
        <w:tabs>
          <w:tab w:val="left" w:pos="-1440"/>
        </w:tabs>
        <w:ind w:hanging="720"/>
        <w:rPr>
          <w:b/>
          <w:sz w:val="26"/>
          <w:szCs w:val="26"/>
        </w:rPr>
      </w:pPr>
      <w:r w:rsidRPr="00E63825">
        <w:rPr>
          <w:b/>
          <w:sz w:val="26"/>
          <w:szCs w:val="26"/>
        </w:rPr>
        <w:t>EXPLAIN ANY PAYMENT OR GIFTS TO RESPONDENTS</w:t>
      </w:r>
    </w:p>
    <w:p w:rsidRPr="00E63825" w:rsidR="00672F76" w:rsidRDefault="00672F76" w14:paraId="3C99C163" w14:textId="77777777">
      <w:pPr>
        <w:widowControl/>
        <w:rPr>
          <w:b/>
          <w:sz w:val="26"/>
          <w:szCs w:val="26"/>
        </w:rPr>
      </w:pPr>
    </w:p>
    <w:p w:rsidRPr="008923C6" w:rsidR="00672F76" w:rsidP="002B1B0F" w:rsidRDefault="00DD33A8" w14:paraId="3C99C164" w14:textId="28E868A4">
      <w:pPr>
        <w:widowControl/>
        <w:rPr>
          <w:bCs/>
          <w:sz w:val="26"/>
          <w:szCs w:val="26"/>
        </w:rPr>
      </w:pPr>
      <w:r>
        <w:rPr>
          <w:sz w:val="26"/>
          <w:szCs w:val="26"/>
        </w:rPr>
        <w:t>There are no gifts or payments given to respondents.</w:t>
      </w:r>
    </w:p>
    <w:p w:rsidRPr="008923C6" w:rsidR="00672F76" w:rsidRDefault="00672F76" w14:paraId="3C99C165" w14:textId="77777777">
      <w:pPr>
        <w:widowControl/>
        <w:rPr>
          <w:bCs/>
          <w:sz w:val="26"/>
          <w:szCs w:val="26"/>
        </w:rPr>
      </w:pPr>
    </w:p>
    <w:p w:rsidR="00672F76" w:rsidP="00597BAA" w:rsidRDefault="00672F76" w14:paraId="3C99C166" w14:textId="77777777">
      <w:pPr>
        <w:pStyle w:val="Level1"/>
        <w:widowControl/>
        <w:numPr>
          <w:ilvl w:val="0"/>
          <w:numId w:val="6"/>
        </w:numPr>
        <w:tabs>
          <w:tab w:val="left" w:pos="-1440"/>
        </w:tabs>
        <w:ind w:hanging="720"/>
        <w:rPr>
          <w:b/>
          <w:sz w:val="26"/>
          <w:szCs w:val="26"/>
        </w:rPr>
      </w:pPr>
      <w:r w:rsidRPr="00E63825">
        <w:rPr>
          <w:b/>
          <w:sz w:val="26"/>
          <w:szCs w:val="26"/>
        </w:rPr>
        <w:lastRenderedPageBreak/>
        <w:t>DESCRIBE ANY ASSURANCE OF CONFIDENTIALITY PROVIDED TO RESPONDENTS</w:t>
      </w:r>
    </w:p>
    <w:p w:rsidRPr="00E63825" w:rsidR="00977331" w:rsidP="00977331" w:rsidRDefault="00977331" w14:paraId="0BB55769" w14:textId="77777777">
      <w:pPr>
        <w:pStyle w:val="Level1"/>
        <w:widowControl/>
        <w:numPr>
          <w:ilvl w:val="0"/>
          <w:numId w:val="0"/>
        </w:numPr>
        <w:tabs>
          <w:tab w:val="left" w:pos="-1440"/>
        </w:tabs>
        <w:ind w:left="720"/>
        <w:rPr>
          <w:b/>
          <w:sz w:val="26"/>
          <w:szCs w:val="26"/>
        </w:rPr>
      </w:pPr>
    </w:p>
    <w:p w:rsidRPr="008923C6" w:rsidR="00672F76" w:rsidP="002B1B0F" w:rsidRDefault="00137CDC" w14:paraId="3C99C169" w14:textId="326A5829">
      <w:pPr>
        <w:widowControl/>
        <w:rPr>
          <w:sz w:val="26"/>
          <w:szCs w:val="26"/>
        </w:rPr>
      </w:pPr>
      <w:r>
        <w:rPr>
          <w:sz w:val="26"/>
          <w:szCs w:val="26"/>
        </w:rPr>
        <w:t xml:space="preserve">Respondents to this collection are those individuals and/or entities requesting access to CEII material.  The </w:t>
      </w:r>
      <w:r w:rsidR="00D848D4">
        <w:rPr>
          <w:sz w:val="26"/>
          <w:szCs w:val="26"/>
        </w:rPr>
        <w:t xml:space="preserve">information </w:t>
      </w:r>
      <w:r w:rsidR="004225C3">
        <w:rPr>
          <w:sz w:val="26"/>
          <w:szCs w:val="26"/>
        </w:rPr>
        <w:t>gathered in this collection</w:t>
      </w:r>
      <w:r w:rsidR="00D848D4">
        <w:rPr>
          <w:sz w:val="26"/>
          <w:szCs w:val="26"/>
        </w:rPr>
        <w:t xml:space="preserve"> is used to determine eligibility to </w:t>
      </w:r>
      <w:r w:rsidR="000C5BBF">
        <w:rPr>
          <w:sz w:val="26"/>
          <w:szCs w:val="26"/>
        </w:rPr>
        <w:t xml:space="preserve">obtain </w:t>
      </w:r>
      <w:r w:rsidR="00D848D4">
        <w:rPr>
          <w:sz w:val="26"/>
          <w:szCs w:val="26"/>
        </w:rPr>
        <w:t>access to CEII</w:t>
      </w:r>
      <w:r w:rsidR="000C5BBF">
        <w:rPr>
          <w:sz w:val="26"/>
          <w:szCs w:val="26"/>
        </w:rPr>
        <w:t xml:space="preserve"> material and</w:t>
      </w:r>
      <w:r w:rsidR="00D848D4">
        <w:rPr>
          <w:sz w:val="26"/>
          <w:szCs w:val="26"/>
        </w:rPr>
        <w:t xml:space="preserve"> is not</w:t>
      </w:r>
      <w:r w:rsidR="000C5BBF">
        <w:rPr>
          <w:sz w:val="26"/>
          <w:szCs w:val="26"/>
        </w:rPr>
        <w:t xml:space="preserve"> considered</w:t>
      </w:r>
      <w:r w:rsidR="00D848D4">
        <w:rPr>
          <w:sz w:val="26"/>
          <w:szCs w:val="26"/>
        </w:rPr>
        <w:t xml:space="preserve"> public information</w:t>
      </w:r>
      <w:r>
        <w:rPr>
          <w:sz w:val="26"/>
          <w:szCs w:val="26"/>
        </w:rPr>
        <w:t xml:space="preserve">.  </w:t>
      </w:r>
    </w:p>
    <w:p w:rsidRPr="008923C6" w:rsidR="00672F76" w:rsidRDefault="00672F76" w14:paraId="3C99C16A" w14:textId="77777777">
      <w:pPr>
        <w:widowControl/>
        <w:rPr>
          <w:bCs/>
          <w:sz w:val="26"/>
          <w:szCs w:val="26"/>
        </w:rPr>
      </w:pPr>
    </w:p>
    <w:p w:rsidRPr="00554E89" w:rsidR="00672F76" w:rsidP="00597BAA" w:rsidRDefault="00672F76" w14:paraId="3C99C16B" w14:textId="77777777">
      <w:pPr>
        <w:pStyle w:val="Level1"/>
        <w:widowControl/>
        <w:numPr>
          <w:ilvl w:val="0"/>
          <w:numId w:val="6"/>
        </w:numPr>
        <w:tabs>
          <w:tab w:val="left" w:pos="-1440"/>
        </w:tabs>
        <w:ind w:hanging="720"/>
        <w:rPr>
          <w:b/>
          <w:sz w:val="26"/>
          <w:szCs w:val="26"/>
        </w:rPr>
      </w:pPr>
      <w:r w:rsidRPr="00554E89">
        <w:rPr>
          <w:b/>
          <w:sz w:val="26"/>
          <w:szCs w:val="26"/>
        </w:rPr>
        <w:t>PROVIDE ADDITIONAL JUSTIFICATION FOR ANY QUESTIONS OF A SENSITIVE NATURE</w:t>
      </w:r>
      <w:r w:rsidR="0099684B">
        <w:rPr>
          <w:b/>
          <w:sz w:val="26"/>
          <w:szCs w:val="26"/>
        </w:rPr>
        <w:t>, SUCH AS SEXUAL BEHAVIOR AND ATTITUDES, RELIGIOUS BELIEFS, AND OTHER MATTERS THAT ARE COMMONLY CONSIDERED PRIVATE</w:t>
      </w:r>
      <w:r w:rsidR="008D003B">
        <w:rPr>
          <w:b/>
          <w:sz w:val="26"/>
          <w:szCs w:val="26"/>
        </w:rPr>
        <w:t>.</w:t>
      </w:r>
      <w:r w:rsidRPr="00554E89">
        <w:rPr>
          <w:b/>
          <w:sz w:val="26"/>
          <w:szCs w:val="26"/>
        </w:rPr>
        <w:t xml:space="preserve"> </w:t>
      </w:r>
    </w:p>
    <w:p w:rsidRPr="00554E89" w:rsidR="00672F76" w:rsidRDefault="00672F76" w14:paraId="3C99C16C" w14:textId="77777777">
      <w:pPr>
        <w:widowControl/>
        <w:rPr>
          <w:b/>
          <w:sz w:val="26"/>
          <w:szCs w:val="26"/>
        </w:rPr>
      </w:pPr>
    </w:p>
    <w:p w:rsidRPr="008923C6" w:rsidR="00672F76" w:rsidP="002B1B0F" w:rsidRDefault="008D003B" w14:paraId="3C99C16D" w14:textId="75ECAACC">
      <w:pPr>
        <w:widowControl/>
        <w:rPr>
          <w:bCs/>
          <w:sz w:val="26"/>
          <w:szCs w:val="26"/>
        </w:rPr>
      </w:pPr>
      <w:r>
        <w:rPr>
          <w:sz w:val="26"/>
          <w:szCs w:val="26"/>
        </w:rPr>
        <w:t xml:space="preserve">This collection does not contain any questions of a sensitive nature.  </w:t>
      </w:r>
    </w:p>
    <w:p w:rsidRPr="008923C6" w:rsidR="00672F76" w:rsidRDefault="00672F76" w14:paraId="3C99C16E" w14:textId="77777777">
      <w:pPr>
        <w:widowControl/>
        <w:rPr>
          <w:bCs/>
          <w:sz w:val="26"/>
          <w:szCs w:val="26"/>
        </w:rPr>
      </w:pPr>
    </w:p>
    <w:p w:rsidR="00672F76" w:rsidP="00597BAA" w:rsidRDefault="00672F76" w14:paraId="3C99C16F" w14:textId="77777777">
      <w:pPr>
        <w:pStyle w:val="Level1"/>
        <w:widowControl/>
        <w:numPr>
          <w:ilvl w:val="0"/>
          <w:numId w:val="6"/>
        </w:numPr>
        <w:tabs>
          <w:tab w:val="left" w:pos="-1440"/>
        </w:tabs>
        <w:ind w:hanging="720"/>
        <w:rPr>
          <w:b/>
          <w:sz w:val="26"/>
          <w:szCs w:val="26"/>
        </w:rPr>
      </w:pPr>
      <w:r w:rsidRPr="00554E89">
        <w:rPr>
          <w:b/>
          <w:sz w:val="26"/>
          <w:szCs w:val="26"/>
        </w:rPr>
        <w:t>ESTIMATED BURDEN ON COLLECTION OF INFORMATION</w:t>
      </w:r>
    </w:p>
    <w:p w:rsidR="00FE4CA0" w:rsidP="001D39F3" w:rsidRDefault="00FE4CA0" w14:paraId="3C99C170" w14:textId="77777777">
      <w:pPr>
        <w:widowControl/>
        <w:rPr>
          <w:sz w:val="26"/>
          <w:szCs w:val="26"/>
        </w:rPr>
      </w:pPr>
    </w:p>
    <w:p w:rsidR="00FE4CA0" w:rsidP="00962952" w:rsidRDefault="00962952" w14:paraId="3C99C171" w14:textId="4A30E53B">
      <w:pPr>
        <w:widowControl/>
        <w:rPr>
          <w:sz w:val="26"/>
          <w:szCs w:val="26"/>
        </w:rPr>
      </w:pPr>
      <w:r>
        <w:rPr>
          <w:sz w:val="26"/>
          <w:szCs w:val="26"/>
        </w:rPr>
        <w:t>The estimated burden and cost</w:t>
      </w:r>
      <w:r w:rsidRPr="00E2286A" w:rsidR="00E1528E">
        <w:rPr>
          <w:rStyle w:val="FootnoteReference"/>
          <w:sz w:val="26"/>
          <w:szCs w:val="26"/>
          <w:vertAlign w:val="superscript"/>
        </w:rPr>
        <w:footnoteReference w:id="8"/>
      </w:r>
      <w:r w:rsidRPr="00E2286A">
        <w:rPr>
          <w:sz w:val="26"/>
          <w:szCs w:val="26"/>
          <w:vertAlign w:val="superscript"/>
        </w:rPr>
        <w:t xml:space="preserve"> </w:t>
      </w:r>
      <w:r>
        <w:rPr>
          <w:sz w:val="26"/>
          <w:szCs w:val="26"/>
        </w:rPr>
        <w:t xml:space="preserve">of FERC-603 </w:t>
      </w:r>
      <w:r w:rsidR="00E1528E">
        <w:rPr>
          <w:sz w:val="26"/>
          <w:szCs w:val="26"/>
        </w:rPr>
        <w:t xml:space="preserve">(including the request form and non-disclosure agreement) </w:t>
      </w:r>
      <w:r>
        <w:rPr>
          <w:sz w:val="26"/>
          <w:szCs w:val="26"/>
        </w:rPr>
        <w:t>follow.</w:t>
      </w:r>
    </w:p>
    <w:p w:rsidR="00E1528E" w:rsidP="00962952" w:rsidRDefault="00E1528E" w14:paraId="27409683" w14:textId="4443BFB1">
      <w:pPr>
        <w:widowControl/>
        <w:rPr>
          <w:sz w:val="26"/>
          <w:szCs w:val="26"/>
        </w:rPr>
      </w:pPr>
    </w:p>
    <w:tbl>
      <w:tblPr>
        <w:tblW w:w="505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88"/>
        <w:gridCol w:w="1604"/>
        <w:gridCol w:w="1428"/>
        <w:gridCol w:w="1432"/>
        <w:gridCol w:w="1602"/>
        <w:gridCol w:w="1690"/>
      </w:tblGrid>
      <w:tr w:rsidRPr="00E1528E" w:rsidR="00E1528E" w:rsidTr="002321BB" w14:paraId="41291F83" w14:textId="77777777">
        <w:trPr>
          <w:cantSplit/>
          <w:jc w:val="right"/>
        </w:trPr>
        <w:tc>
          <w:tcPr>
            <w:tcW w:w="5000" w:type="pct"/>
            <w:gridSpan w:val="6"/>
            <w:tcBorders>
              <w:top w:val="single" w:color="auto" w:sz="4" w:space="0"/>
              <w:left w:val="single" w:color="auto" w:sz="4" w:space="0"/>
              <w:bottom w:val="single" w:color="auto" w:sz="4" w:space="0"/>
              <w:right w:val="single" w:color="auto" w:sz="4" w:space="0"/>
            </w:tcBorders>
            <w:shd w:val="clear" w:color="auto" w:fill="D9D9D9"/>
            <w:hideMark/>
          </w:tcPr>
          <w:p w:rsidRPr="00E1528E" w:rsidR="00E1528E" w:rsidP="00E1528E" w:rsidRDefault="00E1528E" w14:paraId="004A659E" w14:textId="3EF5696D">
            <w:pPr>
              <w:widowControl/>
              <w:autoSpaceDE/>
              <w:autoSpaceDN/>
              <w:adjustRightInd/>
              <w:spacing w:line="256" w:lineRule="auto"/>
              <w:jc w:val="center"/>
              <w:rPr>
                <w:rFonts w:eastAsia="Calibri"/>
                <w:b/>
                <w:sz w:val="26"/>
                <w:szCs w:val="26"/>
              </w:rPr>
            </w:pPr>
            <w:r w:rsidRPr="00E1528E">
              <w:rPr>
                <w:rFonts w:eastAsia="Calibri"/>
                <w:b/>
                <w:sz w:val="26"/>
                <w:szCs w:val="26"/>
              </w:rPr>
              <w:t>FERC-603</w:t>
            </w:r>
          </w:p>
        </w:tc>
      </w:tr>
      <w:tr w:rsidRPr="00E1528E" w:rsidR="00E1528E" w:rsidTr="002321BB" w14:paraId="24AA9369" w14:textId="77777777">
        <w:trPr>
          <w:cantSplit/>
          <w:trHeight w:val="1700"/>
          <w:jc w:val="right"/>
        </w:trPr>
        <w:tc>
          <w:tcPr>
            <w:tcW w:w="894"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E1528E" w:rsidR="00E1528E" w:rsidP="00E1528E" w:rsidRDefault="00E1528E" w14:paraId="61AAB882" w14:textId="77777777">
            <w:pPr>
              <w:widowControl/>
              <w:autoSpaceDE/>
              <w:autoSpaceDN/>
              <w:adjustRightInd/>
              <w:spacing w:line="256" w:lineRule="auto"/>
              <w:jc w:val="center"/>
              <w:rPr>
                <w:rFonts w:eastAsia="Calibri"/>
                <w:b/>
                <w:sz w:val="26"/>
                <w:szCs w:val="26"/>
              </w:rPr>
            </w:pPr>
            <w:r w:rsidRPr="00E1528E">
              <w:rPr>
                <w:rFonts w:eastAsia="Calibri"/>
                <w:b/>
                <w:sz w:val="26"/>
                <w:szCs w:val="26"/>
              </w:rPr>
              <w:t>Number of Respondents</w:t>
            </w:r>
            <w:r w:rsidRPr="00E1528E">
              <w:rPr>
                <w:rFonts w:eastAsia="Calibri"/>
                <w:b/>
                <w:sz w:val="26"/>
                <w:szCs w:val="26"/>
              </w:rPr>
              <w:br/>
              <w:t>(1)</w:t>
            </w:r>
          </w:p>
        </w:tc>
        <w:tc>
          <w:tcPr>
            <w:tcW w:w="849"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E1528E" w:rsidR="00E1528E" w:rsidP="00E1528E" w:rsidRDefault="00E1528E" w14:paraId="6D754C3C" w14:textId="77777777">
            <w:pPr>
              <w:widowControl/>
              <w:autoSpaceDE/>
              <w:autoSpaceDN/>
              <w:adjustRightInd/>
              <w:spacing w:line="256" w:lineRule="auto"/>
              <w:jc w:val="center"/>
              <w:rPr>
                <w:rFonts w:eastAsia="Calibri"/>
                <w:b/>
                <w:sz w:val="26"/>
                <w:szCs w:val="26"/>
              </w:rPr>
            </w:pPr>
            <w:r w:rsidRPr="00E1528E">
              <w:rPr>
                <w:rFonts w:eastAsia="Calibri"/>
                <w:b/>
                <w:sz w:val="26"/>
                <w:szCs w:val="26"/>
              </w:rPr>
              <w:t>Annual Number of Responses per Respondent</w:t>
            </w:r>
          </w:p>
          <w:p w:rsidRPr="00E1528E" w:rsidR="00E1528E" w:rsidP="00E1528E" w:rsidRDefault="00E1528E" w14:paraId="47FA810C" w14:textId="77777777">
            <w:pPr>
              <w:widowControl/>
              <w:autoSpaceDE/>
              <w:autoSpaceDN/>
              <w:adjustRightInd/>
              <w:spacing w:line="256" w:lineRule="auto"/>
              <w:jc w:val="center"/>
              <w:rPr>
                <w:rFonts w:eastAsia="Calibri"/>
                <w:b/>
                <w:sz w:val="26"/>
                <w:szCs w:val="26"/>
              </w:rPr>
            </w:pPr>
            <w:r w:rsidRPr="00E1528E">
              <w:rPr>
                <w:rFonts w:eastAsia="Calibri"/>
                <w:b/>
                <w:sz w:val="26"/>
                <w:szCs w:val="26"/>
              </w:rPr>
              <w:t>(2)</w:t>
            </w:r>
          </w:p>
        </w:tc>
        <w:tc>
          <w:tcPr>
            <w:tcW w:w="756"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E1528E" w:rsidR="00E1528E" w:rsidP="00E1528E" w:rsidRDefault="00E1528E" w14:paraId="70358EE2" w14:textId="77777777">
            <w:pPr>
              <w:widowControl/>
              <w:autoSpaceDE/>
              <w:autoSpaceDN/>
              <w:adjustRightInd/>
              <w:spacing w:line="256" w:lineRule="auto"/>
              <w:jc w:val="center"/>
              <w:rPr>
                <w:rFonts w:eastAsia="Calibri"/>
                <w:b/>
                <w:sz w:val="26"/>
                <w:szCs w:val="26"/>
              </w:rPr>
            </w:pPr>
            <w:r w:rsidRPr="00E1528E">
              <w:rPr>
                <w:rFonts w:eastAsia="Calibri"/>
                <w:b/>
                <w:sz w:val="26"/>
                <w:szCs w:val="26"/>
              </w:rPr>
              <w:t>Total Number of Responses (1)*(2)=(3)</w:t>
            </w:r>
          </w:p>
        </w:tc>
        <w:tc>
          <w:tcPr>
            <w:tcW w:w="758"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E1528E" w:rsidR="00E1528E" w:rsidP="00E1528E" w:rsidRDefault="00E1528E" w14:paraId="51B77906" w14:textId="77777777">
            <w:pPr>
              <w:widowControl/>
              <w:autoSpaceDE/>
              <w:autoSpaceDN/>
              <w:adjustRightInd/>
              <w:spacing w:line="256" w:lineRule="auto"/>
              <w:jc w:val="center"/>
              <w:rPr>
                <w:rFonts w:eastAsia="Calibri"/>
                <w:b/>
                <w:sz w:val="26"/>
                <w:szCs w:val="26"/>
              </w:rPr>
            </w:pPr>
            <w:r w:rsidRPr="00E1528E">
              <w:rPr>
                <w:rFonts w:eastAsia="Calibri"/>
                <w:b/>
                <w:sz w:val="26"/>
                <w:szCs w:val="26"/>
              </w:rPr>
              <w:t xml:space="preserve">Average Burden Hrs. &amp; Cost ($) Per Response </w:t>
            </w:r>
          </w:p>
          <w:p w:rsidRPr="00E1528E" w:rsidR="00E1528E" w:rsidP="00E1528E" w:rsidRDefault="00E1528E" w14:paraId="06AABE04" w14:textId="77777777">
            <w:pPr>
              <w:widowControl/>
              <w:autoSpaceDE/>
              <w:autoSpaceDN/>
              <w:adjustRightInd/>
              <w:spacing w:line="256" w:lineRule="auto"/>
              <w:jc w:val="center"/>
              <w:rPr>
                <w:rFonts w:eastAsia="Calibri"/>
                <w:b/>
                <w:sz w:val="26"/>
                <w:szCs w:val="26"/>
              </w:rPr>
            </w:pPr>
            <w:r w:rsidRPr="00E1528E">
              <w:rPr>
                <w:rFonts w:eastAsia="Calibri"/>
                <w:b/>
                <w:sz w:val="26"/>
                <w:szCs w:val="26"/>
              </w:rPr>
              <w:t>(4)</w:t>
            </w:r>
          </w:p>
        </w:tc>
        <w:tc>
          <w:tcPr>
            <w:tcW w:w="848"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E1528E" w:rsidR="00E1528E" w:rsidP="00E1528E" w:rsidRDefault="00E1528E" w14:paraId="5F4842F8" w14:textId="77777777">
            <w:pPr>
              <w:widowControl/>
              <w:autoSpaceDE/>
              <w:autoSpaceDN/>
              <w:adjustRightInd/>
              <w:spacing w:line="256" w:lineRule="auto"/>
              <w:jc w:val="center"/>
              <w:rPr>
                <w:rFonts w:eastAsia="Calibri"/>
                <w:b/>
                <w:sz w:val="26"/>
                <w:szCs w:val="26"/>
              </w:rPr>
            </w:pPr>
            <w:r w:rsidRPr="00E1528E">
              <w:rPr>
                <w:rFonts w:eastAsia="Calibri"/>
                <w:b/>
                <w:sz w:val="26"/>
                <w:szCs w:val="26"/>
              </w:rPr>
              <w:t>Total Annual Burden Hrs. &amp; Total Annual Cost ($)</w:t>
            </w:r>
          </w:p>
          <w:p w:rsidRPr="00E1528E" w:rsidR="00E1528E" w:rsidP="00E1528E" w:rsidRDefault="00E1528E" w14:paraId="723E01AD" w14:textId="77777777">
            <w:pPr>
              <w:widowControl/>
              <w:autoSpaceDE/>
              <w:autoSpaceDN/>
              <w:adjustRightInd/>
              <w:spacing w:line="256" w:lineRule="auto"/>
              <w:jc w:val="center"/>
              <w:rPr>
                <w:rFonts w:eastAsia="Calibri"/>
                <w:b/>
                <w:sz w:val="26"/>
                <w:szCs w:val="26"/>
              </w:rPr>
            </w:pPr>
            <w:r w:rsidRPr="00E1528E">
              <w:rPr>
                <w:rFonts w:eastAsia="Calibri"/>
                <w:b/>
                <w:sz w:val="26"/>
                <w:szCs w:val="26"/>
              </w:rPr>
              <w:t>(3)*(4)=(5)</w:t>
            </w:r>
          </w:p>
        </w:tc>
        <w:tc>
          <w:tcPr>
            <w:tcW w:w="895"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E1528E" w:rsidR="00E1528E" w:rsidP="00E1528E" w:rsidRDefault="00E1528E" w14:paraId="4FD34507" w14:textId="77777777">
            <w:pPr>
              <w:widowControl/>
              <w:autoSpaceDE/>
              <w:autoSpaceDN/>
              <w:adjustRightInd/>
              <w:spacing w:line="256" w:lineRule="auto"/>
              <w:jc w:val="center"/>
              <w:rPr>
                <w:rFonts w:eastAsia="Calibri"/>
                <w:b/>
                <w:sz w:val="26"/>
                <w:szCs w:val="26"/>
              </w:rPr>
            </w:pPr>
            <w:r w:rsidRPr="00E1528E">
              <w:rPr>
                <w:rFonts w:eastAsia="Calibri"/>
                <w:b/>
                <w:sz w:val="26"/>
                <w:szCs w:val="26"/>
              </w:rPr>
              <w:t>Cost ($) per Respondent</w:t>
            </w:r>
          </w:p>
          <w:p w:rsidRPr="00E1528E" w:rsidR="00E1528E" w:rsidP="00E1528E" w:rsidRDefault="00E1528E" w14:paraId="770C0F0E" w14:textId="77777777">
            <w:pPr>
              <w:widowControl/>
              <w:autoSpaceDE/>
              <w:autoSpaceDN/>
              <w:adjustRightInd/>
              <w:spacing w:line="256" w:lineRule="auto"/>
              <w:jc w:val="center"/>
              <w:rPr>
                <w:rFonts w:eastAsia="Calibri"/>
                <w:b/>
                <w:sz w:val="26"/>
                <w:szCs w:val="26"/>
              </w:rPr>
            </w:pPr>
            <w:r w:rsidRPr="00E1528E" w:rsidDel="005F30CB">
              <w:rPr>
                <w:rFonts w:eastAsia="Calibri"/>
                <w:b/>
                <w:sz w:val="26"/>
                <w:szCs w:val="26"/>
              </w:rPr>
              <w:t xml:space="preserve"> </w:t>
            </w:r>
            <w:r w:rsidRPr="00E1528E">
              <w:rPr>
                <w:rFonts w:eastAsia="Calibri"/>
                <w:b/>
                <w:sz w:val="26"/>
                <w:szCs w:val="26"/>
              </w:rPr>
              <w:t>(5)÷(1)</w:t>
            </w:r>
          </w:p>
        </w:tc>
      </w:tr>
      <w:tr w:rsidRPr="00E1528E" w:rsidR="00E1528E" w:rsidTr="002321BB" w14:paraId="4D33317B" w14:textId="77777777">
        <w:trPr>
          <w:cantSplit/>
          <w:jc w:val="right"/>
        </w:trPr>
        <w:tc>
          <w:tcPr>
            <w:tcW w:w="894" w:type="pct"/>
            <w:tcBorders>
              <w:top w:val="single" w:color="auto" w:sz="4" w:space="0"/>
              <w:left w:val="single" w:color="auto" w:sz="4" w:space="0"/>
              <w:bottom w:val="single" w:color="auto" w:sz="4" w:space="0"/>
              <w:right w:val="single" w:color="auto" w:sz="4" w:space="0"/>
            </w:tcBorders>
            <w:vAlign w:val="bottom"/>
            <w:hideMark/>
          </w:tcPr>
          <w:p w:rsidRPr="00E1528E" w:rsidR="00E1528E" w:rsidP="00E1528E" w:rsidRDefault="00E1528E" w14:paraId="3EE5D86B" w14:textId="77777777">
            <w:pPr>
              <w:widowControl/>
              <w:autoSpaceDE/>
              <w:autoSpaceDN/>
              <w:adjustRightInd/>
              <w:spacing w:line="256" w:lineRule="auto"/>
              <w:jc w:val="right"/>
              <w:rPr>
                <w:rFonts w:eastAsia="Calibri"/>
                <w:sz w:val="26"/>
                <w:szCs w:val="26"/>
              </w:rPr>
            </w:pPr>
            <w:r w:rsidRPr="00E1528E">
              <w:rPr>
                <w:rFonts w:eastAsia="Calibri"/>
                <w:sz w:val="26"/>
                <w:szCs w:val="26"/>
              </w:rPr>
              <w:t>100</w:t>
            </w:r>
          </w:p>
        </w:tc>
        <w:tc>
          <w:tcPr>
            <w:tcW w:w="849" w:type="pct"/>
            <w:tcBorders>
              <w:top w:val="single" w:color="auto" w:sz="4" w:space="0"/>
              <w:left w:val="single" w:color="auto" w:sz="4" w:space="0"/>
              <w:bottom w:val="single" w:color="auto" w:sz="4" w:space="0"/>
              <w:right w:val="single" w:color="auto" w:sz="4" w:space="0"/>
            </w:tcBorders>
            <w:vAlign w:val="bottom"/>
            <w:hideMark/>
          </w:tcPr>
          <w:p w:rsidRPr="00E1528E" w:rsidR="00E1528E" w:rsidP="00E1528E" w:rsidRDefault="00E1528E" w14:paraId="12AC6055" w14:textId="77777777">
            <w:pPr>
              <w:widowControl/>
              <w:autoSpaceDE/>
              <w:autoSpaceDN/>
              <w:adjustRightInd/>
              <w:spacing w:line="256" w:lineRule="auto"/>
              <w:jc w:val="right"/>
              <w:rPr>
                <w:rFonts w:eastAsia="Calibri"/>
                <w:sz w:val="26"/>
                <w:szCs w:val="26"/>
              </w:rPr>
            </w:pPr>
            <w:r w:rsidRPr="00E1528E">
              <w:rPr>
                <w:rFonts w:eastAsia="Calibri"/>
                <w:sz w:val="26"/>
                <w:szCs w:val="26"/>
              </w:rPr>
              <w:t>1</w:t>
            </w:r>
          </w:p>
        </w:tc>
        <w:tc>
          <w:tcPr>
            <w:tcW w:w="756" w:type="pct"/>
            <w:tcBorders>
              <w:top w:val="single" w:color="auto" w:sz="4" w:space="0"/>
              <w:left w:val="single" w:color="auto" w:sz="4" w:space="0"/>
              <w:bottom w:val="single" w:color="auto" w:sz="4" w:space="0"/>
              <w:right w:val="single" w:color="auto" w:sz="4" w:space="0"/>
            </w:tcBorders>
            <w:vAlign w:val="bottom"/>
            <w:hideMark/>
          </w:tcPr>
          <w:p w:rsidRPr="00E1528E" w:rsidR="00E1528E" w:rsidP="00E1528E" w:rsidRDefault="00E1528E" w14:paraId="79F86016" w14:textId="77777777">
            <w:pPr>
              <w:widowControl/>
              <w:autoSpaceDE/>
              <w:autoSpaceDN/>
              <w:adjustRightInd/>
              <w:spacing w:line="256" w:lineRule="auto"/>
              <w:jc w:val="right"/>
              <w:rPr>
                <w:rFonts w:eastAsia="Calibri"/>
                <w:sz w:val="26"/>
                <w:szCs w:val="26"/>
              </w:rPr>
            </w:pPr>
            <w:r w:rsidRPr="00E1528E">
              <w:rPr>
                <w:rFonts w:eastAsia="Calibri"/>
                <w:sz w:val="26"/>
                <w:szCs w:val="26"/>
              </w:rPr>
              <w:t>100</w:t>
            </w:r>
          </w:p>
        </w:tc>
        <w:tc>
          <w:tcPr>
            <w:tcW w:w="758" w:type="pct"/>
            <w:tcBorders>
              <w:top w:val="single" w:color="auto" w:sz="4" w:space="0"/>
              <w:left w:val="single" w:color="auto" w:sz="4" w:space="0"/>
              <w:bottom w:val="single" w:color="auto" w:sz="4" w:space="0"/>
              <w:right w:val="single" w:color="auto" w:sz="4" w:space="0"/>
            </w:tcBorders>
            <w:shd w:val="clear" w:color="auto" w:fill="FFFFFF"/>
            <w:vAlign w:val="bottom"/>
            <w:hideMark/>
          </w:tcPr>
          <w:p w:rsidRPr="00E1528E" w:rsidR="00E1528E" w:rsidP="00E1528E" w:rsidRDefault="00E1528E" w14:paraId="488B2992" w14:textId="77777777">
            <w:pPr>
              <w:widowControl/>
              <w:autoSpaceDE/>
              <w:autoSpaceDN/>
              <w:adjustRightInd/>
              <w:spacing w:line="256" w:lineRule="auto"/>
              <w:jc w:val="right"/>
              <w:rPr>
                <w:rFonts w:eastAsia="Calibri"/>
                <w:sz w:val="26"/>
                <w:szCs w:val="26"/>
              </w:rPr>
            </w:pPr>
            <w:r w:rsidRPr="00E1528E">
              <w:rPr>
                <w:rFonts w:eastAsia="Calibri"/>
                <w:sz w:val="26"/>
                <w:szCs w:val="26"/>
              </w:rPr>
              <w:t>0.3 hrs.; $24</w:t>
            </w:r>
          </w:p>
        </w:tc>
        <w:tc>
          <w:tcPr>
            <w:tcW w:w="848" w:type="pct"/>
            <w:tcBorders>
              <w:top w:val="single" w:color="auto" w:sz="4" w:space="0"/>
              <w:left w:val="single" w:color="auto" w:sz="4" w:space="0"/>
              <w:bottom w:val="single" w:color="auto" w:sz="4" w:space="0"/>
              <w:right w:val="single" w:color="auto" w:sz="4" w:space="0"/>
            </w:tcBorders>
            <w:shd w:val="clear" w:color="auto" w:fill="FFFFFF"/>
            <w:vAlign w:val="bottom"/>
            <w:hideMark/>
          </w:tcPr>
          <w:p w:rsidRPr="00E1528E" w:rsidR="00E1528E" w:rsidP="00E1528E" w:rsidRDefault="00E1528E" w14:paraId="1DC6B05D" w14:textId="77777777">
            <w:pPr>
              <w:widowControl/>
              <w:autoSpaceDE/>
              <w:autoSpaceDN/>
              <w:adjustRightInd/>
              <w:spacing w:line="256" w:lineRule="auto"/>
              <w:jc w:val="right"/>
              <w:rPr>
                <w:rFonts w:eastAsia="Calibri"/>
                <w:sz w:val="26"/>
                <w:szCs w:val="26"/>
              </w:rPr>
            </w:pPr>
            <w:r w:rsidRPr="00E1528E">
              <w:rPr>
                <w:rFonts w:eastAsia="Calibri"/>
                <w:sz w:val="26"/>
                <w:szCs w:val="26"/>
              </w:rPr>
              <w:t>30 hrs.; $2,400</w:t>
            </w:r>
          </w:p>
        </w:tc>
        <w:tc>
          <w:tcPr>
            <w:tcW w:w="895" w:type="pct"/>
            <w:tcBorders>
              <w:top w:val="single" w:color="auto" w:sz="4" w:space="0"/>
              <w:left w:val="single" w:color="auto" w:sz="4" w:space="0"/>
              <w:bottom w:val="single" w:color="auto" w:sz="4" w:space="0"/>
              <w:right w:val="single" w:color="auto" w:sz="4" w:space="0"/>
            </w:tcBorders>
            <w:shd w:val="clear" w:color="auto" w:fill="FFFFFF"/>
            <w:vAlign w:val="bottom"/>
            <w:hideMark/>
          </w:tcPr>
          <w:p w:rsidRPr="00E1528E" w:rsidR="00E1528E" w:rsidP="00E1528E" w:rsidRDefault="00E1528E" w14:paraId="6A68AFF5" w14:textId="77777777">
            <w:pPr>
              <w:widowControl/>
              <w:autoSpaceDE/>
              <w:autoSpaceDN/>
              <w:adjustRightInd/>
              <w:spacing w:line="256" w:lineRule="auto"/>
              <w:jc w:val="right"/>
              <w:rPr>
                <w:rFonts w:eastAsia="Calibri"/>
                <w:sz w:val="26"/>
                <w:szCs w:val="26"/>
              </w:rPr>
            </w:pPr>
            <w:r w:rsidRPr="00E1528E">
              <w:rPr>
                <w:rFonts w:eastAsia="Calibri"/>
                <w:sz w:val="26"/>
                <w:szCs w:val="26"/>
              </w:rPr>
              <w:t>$24</w:t>
            </w:r>
          </w:p>
        </w:tc>
      </w:tr>
    </w:tbl>
    <w:p w:rsidRPr="008923C6" w:rsidR="00672F76" w:rsidRDefault="00672F76" w14:paraId="3C99C18E" w14:textId="3E44478D">
      <w:pPr>
        <w:widowControl/>
        <w:rPr>
          <w:bCs/>
          <w:sz w:val="26"/>
          <w:szCs w:val="26"/>
        </w:rPr>
      </w:pPr>
    </w:p>
    <w:p w:rsidRPr="00554E89" w:rsidR="00672F76" w:rsidP="00597BAA" w:rsidRDefault="00672F76" w14:paraId="3C99C18F" w14:textId="77777777">
      <w:pPr>
        <w:pStyle w:val="Level1"/>
        <w:widowControl/>
        <w:numPr>
          <w:ilvl w:val="0"/>
          <w:numId w:val="6"/>
        </w:numPr>
        <w:tabs>
          <w:tab w:val="left" w:pos="-1440"/>
        </w:tabs>
        <w:ind w:hanging="720"/>
        <w:rPr>
          <w:b/>
          <w:sz w:val="26"/>
          <w:szCs w:val="26"/>
        </w:rPr>
      </w:pPr>
      <w:r w:rsidRPr="00554E89">
        <w:rPr>
          <w:b/>
          <w:sz w:val="26"/>
          <w:szCs w:val="26"/>
        </w:rPr>
        <w:t>ESTIMATED OF THE TOTAL COST BURDEN TO RESPONDENTS</w:t>
      </w:r>
    </w:p>
    <w:p w:rsidRPr="00554E89" w:rsidR="00672F76" w:rsidRDefault="00672F76" w14:paraId="3C99C190" w14:textId="77777777">
      <w:pPr>
        <w:widowControl/>
        <w:rPr>
          <w:b/>
          <w:sz w:val="26"/>
          <w:szCs w:val="26"/>
        </w:rPr>
      </w:pPr>
    </w:p>
    <w:p w:rsidRPr="008923C6" w:rsidR="00672F76" w:rsidP="00DC6221" w:rsidRDefault="00DC6221" w14:paraId="3C99C191" w14:textId="77777777">
      <w:pPr>
        <w:widowControl/>
        <w:rPr>
          <w:sz w:val="26"/>
          <w:szCs w:val="26"/>
        </w:rPr>
      </w:pPr>
      <w:r>
        <w:rPr>
          <w:sz w:val="26"/>
          <w:szCs w:val="26"/>
        </w:rPr>
        <w:t>There are no estimated non-labor costs.</w:t>
      </w:r>
      <w:r w:rsidR="008B5BF7">
        <w:rPr>
          <w:sz w:val="26"/>
          <w:szCs w:val="26"/>
        </w:rPr>
        <w:t xml:space="preserve">  All costs are covered in #12 and #15.</w:t>
      </w:r>
    </w:p>
    <w:p w:rsidR="00672F76" w:rsidP="006F1FAC" w:rsidRDefault="00672F76" w14:paraId="3C99C192" w14:textId="77777777">
      <w:pPr>
        <w:widowControl/>
        <w:rPr>
          <w:sz w:val="26"/>
          <w:szCs w:val="26"/>
        </w:rPr>
      </w:pPr>
      <w:r w:rsidRPr="008923C6">
        <w:rPr>
          <w:sz w:val="26"/>
          <w:szCs w:val="26"/>
        </w:rPr>
        <w:lastRenderedPageBreak/>
        <w:t xml:space="preserve"> </w:t>
      </w:r>
    </w:p>
    <w:p w:rsidRPr="00554E89" w:rsidR="00672F76" w:rsidP="00597BAA" w:rsidRDefault="00672F76" w14:paraId="3C99C193" w14:textId="77777777">
      <w:pPr>
        <w:pStyle w:val="Level1"/>
        <w:widowControl/>
        <w:numPr>
          <w:ilvl w:val="0"/>
          <w:numId w:val="6"/>
        </w:numPr>
        <w:tabs>
          <w:tab w:val="left" w:pos="-1440"/>
        </w:tabs>
        <w:ind w:hanging="720"/>
        <w:rPr>
          <w:b/>
          <w:sz w:val="26"/>
          <w:szCs w:val="26"/>
        </w:rPr>
      </w:pPr>
      <w:r w:rsidRPr="00554E89">
        <w:rPr>
          <w:b/>
          <w:sz w:val="26"/>
          <w:szCs w:val="26"/>
        </w:rPr>
        <w:t>ESTIMATED ANNUALIZED COST TO THE FEDERAL GOVERNMENT</w:t>
      </w:r>
    </w:p>
    <w:p w:rsidR="00672F76" w:rsidRDefault="00672F76" w14:paraId="3C99C194" w14:textId="77777777">
      <w:pPr>
        <w:widowControl/>
        <w:rPr>
          <w:b/>
          <w:sz w:val="26"/>
          <w:szCs w:val="26"/>
        </w:rPr>
      </w:pPr>
    </w:p>
    <w:p w:rsidRPr="00B74CB4" w:rsidR="00057A8A" w:rsidP="00057A8A" w:rsidRDefault="00057A8A" w14:paraId="513DFA46" w14:textId="77777777">
      <w:pPr>
        <w:widowControl/>
        <w:rPr>
          <w:sz w:val="26"/>
          <w:szCs w:val="26"/>
        </w:rPr>
      </w:pPr>
      <w:r w:rsidRPr="00B74CB4">
        <w:rPr>
          <w:sz w:val="26"/>
          <w:szCs w:val="26"/>
        </w:rPr>
        <w:t xml:space="preserve">The estimate of the cost for “analysis and processing of filings” is based on wages and benefits for professional and clerical support.  This estimated cost represents staff analysis, decision-making, and review of any actual filings submitted in response to the information collection.  </w:t>
      </w:r>
    </w:p>
    <w:p w:rsidRPr="00B74CB4" w:rsidR="00057A8A" w:rsidP="00057A8A" w:rsidRDefault="00057A8A" w14:paraId="51B72419" w14:textId="77777777">
      <w:pPr>
        <w:widowControl/>
        <w:rPr>
          <w:sz w:val="26"/>
          <w:szCs w:val="26"/>
        </w:rPr>
      </w:pPr>
    </w:p>
    <w:p w:rsidRPr="00B74CB4" w:rsidR="00057A8A" w:rsidP="00057A8A" w:rsidRDefault="00057A8A" w14:paraId="79F0B6A9" w14:textId="77777777">
      <w:pPr>
        <w:widowControl/>
        <w:rPr>
          <w:sz w:val="26"/>
          <w:szCs w:val="26"/>
        </w:rPr>
      </w:pPr>
      <w:r w:rsidRPr="00B74CB4">
        <w:rPr>
          <w:sz w:val="26"/>
          <w:szCs w:val="26"/>
        </w:rPr>
        <w:t>The PRA Administrative Cost is the average annual FERC cost associated with preparing, issuing, and submitting materials necessary to comply with the PRA for rulemakings, orders, or any other vehicle used to create, modify, extend, or discontinue an information collection.  It also includes the cost of publishing the necessary notices in the Federal Register.</w:t>
      </w:r>
    </w:p>
    <w:p w:rsidRPr="00CA4AC4" w:rsidR="00556455" w:rsidP="00556455" w:rsidRDefault="00556455" w14:paraId="3C99C196" w14:textId="77777777">
      <w:pPr>
        <w:widowControl/>
        <w:tabs>
          <w:tab w:val="left" w:pos="-1440"/>
        </w:tab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19"/>
        <w:gridCol w:w="3065"/>
        <w:gridCol w:w="3294"/>
      </w:tblGrid>
      <w:tr w:rsidRPr="007D687F" w:rsidR="00277D5E" w:rsidTr="00DE2646" w14:paraId="3C99C19A" w14:textId="77777777">
        <w:tc>
          <w:tcPr>
            <w:tcW w:w="3019" w:type="dxa"/>
            <w:shd w:val="clear" w:color="auto" w:fill="CCCCCC"/>
          </w:tcPr>
          <w:p w:rsidRPr="00340944" w:rsidR="00556455" w:rsidP="00072824" w:rsidRDefault="00556455" w14:paraId="3C99C197" w14:textId="77777777">
            <w:pPr>
              <w:rPr>
                <w:sz w:val="26"/>
                <w:szCs w:val="26"/>
              </w:rPr>
            </w:pPr>
          </w:p>
        </w:tc>
        <w:tc>
          <w:tcPr>
            <w:tcW w:w="3065" w:type="dxa"/>
            <w:shd w:val="clear" w:color="auto" w:fill="CCCCCC"/>
            <w:hideMark/>
          </w:tcPr>
          <w:p w:rsidRPr="00340944" w:rsidR="00556455" w:rsidP="00B92E0F" w:rsidRDefault="00556455" w14:paraId="3C99C198" w14:textId="54191592">
            <w:pPr>
              <w:jc w:val="center"/>
              <w:rPr>
                <w:b/>
                <w:sz w:val="26"/>
                <w:szCs w:val="26"/>
              </w:rPr>
            </w:pPr>
            <w:r w:rsidRPr="00340944">
              <w:rPr>
                <w:b/>
                <w:sz w:val="26"/>
                <w:szCs w:val="26"/>
              </w:rPr>
              <w:t xml:space="preserve">Number of </w:t>
            </w:r>
            <w:r w:rsidRPr="007D687F" w:rsidR="00D83226">
              <w:rPr>
                <w:b/>
                <w:sz w:val="26"/>
                <w:szCs w:val="26"/>
              </w:rPr>
              <w:t xml:space="preserve">FERC </w:t>
            </w:r>
            <w:r w:rsidRPr="00DE2646">
              <w:rPr>
                <w:b/>
                <w:sz w:val="26"/>
                <w:szCs w:val="26"/>
              </w:rPr>
              <w:t>Employees (FTE)</w:t>
            </w:r>
          </w:p>
        </w:tc>
        <w:tc>
          <w:tcPr>
            <w:tcW w:w="3294" w:type="dxa"/>
            <w:shd w:val="clear" w:color="auto" w:fill="CCCCCC"/>
            <w:hideMark/>
          </w:tcPr>
          <w:p w:rsidRPr="00DE2646" w:rsidR="00556455" w:rsidP="00DE2646" w:rsidRDefault="00556455" w14:paraId="3C99C199" w14:textId="77777777">
            <w:pPr>
              <w:rPr>
                <w:b/>
                <w:sz w:val="26"/>
                <w:szCs w:val="26"/>
              </w:rPr>
            </w:pPr>
            <w:r w:rsidRPr="00340944">
              <w:rPr>
                <w:b/>
                <w:sz w:val="26"/>
                <w:szCs w:val="26"/>
              </w:rPr>
              <w:t>Estimated Annual Federal Cost</w:t>
            </w:r>
          </w:p>
        </w:tc>
      </w:tr>
      <w:tr w:rsidRPr="003B381F" w:rsidR="00556455" w:rsidTr="00DE2646" w14:paraId="3C99C19E" w14:textId="77777777">
        <w:tc>
          <w:tcPr>
            <w:tcW w:w="3019" w:type="dxa"/>
            <w:hideMark/>
          </w:tcPr>
          <w:p w:rsidRPr="00340944" w:rsidR="00556455" w:rsidP="00072824" w:rsidRDefault="00556455" w14:paraId="3C99C19B" w14:textId="07F95661">
            <w:pPr>
              <w:rPr>
                <w:sz w:val="26"/>
                <w:szCs w:val="26"/>
              </w:rPr>
            </w:pPr>
            <w:r w:rsidRPr="00340944">
              <w:rPr>
                <w:sz w:val="26"/>
                <w:szCs w:val="26"/>
              </w:rPr>
              <w:t>Analysis and Processing of filings</w:t>
            </w:r>
            <w:r w:rsidRPr="00B74CB4" w:rsidR="00057A8A">
              <w:rPr>
                <w:rStyle w:val="FootnoteReference"/>
                <w:sz w:val="26"/>
                <w:szCs w:val="26"/>
                <w:vertAlign w:val="superscript"/>
              </w:rPr>
              <w:footnoteReference w:id="9"/>
            </w:r>
          </w:p>
        </w:tc>
        <w:tc>
          <w:tcPr>
            <w:tcW w:w="3065" w:type="dxa"/>
            <w:vAlign w:val="bottom"/>
            <w:hideMark/>
          </w:tcPr>
          <w:p w:rsidRPr="00340944" w:rsidR="00556455" w:rsidP="00072824" w:rsidRDefault="00556455" w14:paraId="3C99C19C" w14:textId="77777777">
            <w:pPr>
              <w:jc w:val="right"/>
              <w:rPr>
                <w:sz w:val="26"/>
                <w:szCs w:val="26"/>
              </w:rPr>
            </w:pPr>
            <w:r w:rsidRPr="00340944">
              <w:rPr>
                <w:sz w:val="26"/>
                <w:szCs w:val="26"/>
              </w:rPr>
              <w:t>1</w:t>
            </w:r>
          </w:p>
        </w:tc>
        <w:tc>
          <w:tcPr>
            <w:tcW w:w="3294" w:type="dxa"/>
            <w:vAlign w:val="bottom"/>
            <w:hideMark/>
          </w:tcPr>
          <w:p w:rsidRPr="00977331" w:rsidR="00556455" w:rsidP="007D687F" w:rsidRDefault="00556455" w14:paraId="3C99C19D" w14:textId="301E6773">
            <w:pPr>
              <w:jc w:val="right"/>
              <w:rPr>
                <w:sz w:val="26"/>
                <w:szCs w:val="26"/>
              </w:rPr>
            </w:pPr>
            <w:r w:rsidRPr="00977331">
              <w:rPr>
                <w:sz w:val="26"/>
                <w:szCs w:val="26"/>
              </w:rPr>
              <w:t>$</w:t>
            </w:r>
            <w:r w:rsidRPr="00057A8A" w:rsidR="00057A8A">
              <w:rPr>
                <w:sz w:val="26"/>
                <w:szCs w:val="26"/>
              </w:rPr>
              <w:t>167,091</w:t>
            </w:r>
          </w:p>
        </w:tc>
      </w:tr>
      <w:tr w:rsidRPr="00DE2646" w:rsidR="00556455" w:rsidTr="00DE2646" w14:paraId="3C99C1A6" w14:textId="77777777">
        <w:tc>
          <w:tcPr>
            <w:tcW w:w="3019" w:type="dxa"/>
            <w:hideMark/>
          </w:tcPr>
          <w:p w:rsidRPr="00340944" w:rsidR="00556455" w:rsidP="00072824" w:rsidRDefault="00556455" w14:paraId="3C99C1A3" w14:textId="1DE4BCF4">
            <w:pPr>
              <w:rPr>
                <w:sz w:val="26"/>
                <w:szCs w:val="26"/>
              </w:rPr>
            </w:pPr>
            <w:r w:rsidRPr="00340944">
              <w:rPr>
                <w:sz w:val="26"/>
                <w:szCs w:val="26"/>
              </w:rPr>
              <w:t>PRA</w:t>
            </w:r>
            <w:r w:rsidRPr="00340944">
              <w:rPr>
                <w:sz w:val="26"/>
                <w:szCs w:val="26"/>
                <w:vertAlign w:val="superscript"/>
              </w:rPr>
              <w:footnoteReference w:id="10"/>
            </w:r>
            <w:r w:rsidRPr="00340944">
              <w:rPr>
                <w:sz w:val="26"/>
                <w:szCs w:val="26"/>
              </w:rPr>
              <w:t xml:space="preserve"> Administrative Cost</w:t>
            </w:r>
          </w:p>
        </w:tc>
        <w:tc>
          <w:tcPr>
            <w:tcW w:w="3065" w:type="dxa"/>
            <w:vMerge w:val="restart"/>
            <w:shd w:val="clear" w:color="auto" w:fill="D9D9D9"/>
            <w:vAlign w:val="center"/>
          </w:tcPr>
          <w:p w:rsidRPr="00DE2646" w:rsidR="00556455" w:rsidP="00072824" w:rsidRDefault="00556455" w14:paraId="3C99C1A4" w14:textId="0471D061">
            <w:pPr>
              <w:jc w:val="right"/>
              <w:rPr>
                <w:sz w:val="26"/>
                <w:szCs w:val="26"/>
              </w:rPr>
            </w:pPr>
          </w:p>
        </w:tc>
        <w:tc>
          <w:tcPr>
            <w:tcW w:w="3294" w:type="dxa"/>
            <w:vAlign w:val="center"/>
            <w:hideMark/>
          </w:tcPr>
          <w:p w:rsidRPr="00DE2646" w:rsidR="00556455" w:rsidP="007D687F" w:rsidRDefault="00556455" w14:paraId="3C99C1A5" w14:textId="699A87BD">
            <w:pPr>
              <w:jc w:val="right"/>
              <w:rPr>
                <w:sz w:val="26"/>
                <w:szCs w:val="26"/>
              </w:rPr>
            </w:pPr>
            <w:r w:rsidRPr="00DE2646">
              <w:rPr>
                <w:sz w:val="26"/>
                <w:szCs w:val="26"/>
              </w:rPr>
              <w:t>$</w:t>
            </w:r>
            <w:r w:rsidR="00057A8A">
              <w:rPr>
                <w:sz w:val="26"/>
                <w:szCs w:val="26"/>
              </w:rPr>
              <w:t>4,832</w:t>
            </w:r>
          </w:p>
        </w:tc>
      </w:tr>
      <w:tr w:rsidRPr="00DE2646" w:rsidR="00556455" w:rsidTr="00DE2646" w14:paraId="3C99C1AA" w14:textId="77777777">
        <w:tc>
          <w:tcPr>
            <w:tcW w:w="3019" w:type="dxa"/>
            <w:hideMark/>
          </w:tcPr>
          <w:p w:rsidRPr="00340944" w:rsidR="00556455" w:rsidP="00072824" w:rsidRDefault="00556455" w14:paraId="3C99C1A7" w14:textId="1DB74BA2">
            <w:pPr>
              <w:rPr>
                <w:b/>
                <w:sz w:val="26"/>
                <w:szCs w:val="26"/>
              </w:rPr>
            </w:pPr>
            <w:r w:rsidRPr="00340944">
              <w:rPr>
                <w:b/>
                <w:sz w:val="26"/>
                <w:szCs w:val="26"/>
              </w:rPr>
              <w:t>FERC Total</w:t>
            </w:r>
          </w:p>
        </w:tc>
        <w:tc>
          <w:tcPr>
            <w:tcW w:w="0" w:type="auto"/>
            <w:vMerge/>
            <w:vAlign w:val="center"/>
            <w:hideMark/>
          </w:tcPr>
          <w:p w:rsidRPr="00DE2646" w:rsidR="00556455" w:rsidP="00072824" w:rsidRDefault="00556455" w14:paraId="3C99C1A8" w14:textId="77777777">
            <w:pPr>
              <w:rPr>
                <w:sz w:val="26"/>
                <w:szCs w:val="26"/>
              </w:rPr>
            </w:pPr>
          </w:p>
        </w:tc>
        <w:tc>
          <w:tcPr>
            <w:tcW w:w="3294" w:type="dxa"/>
            <w:vAlign w:val="center"/>
            <w:hideMark/>
          </w:tcPr>
          <w:p w:rsidRPr="00DE2646" w:rsidR="00556455" w:rsidP="00556455" w:rsidRDefault="007D687F" w14:paraId="3C99C1A9" w14:textId="68564595">
            <w:pPr>
              <w:jc w:val="right"/>
              <w:rPr>
                <w:sz w:val="26"/>
                <w:szCs w:val="26"/>
              </w:rPr>
            </w:pPr>
            <w:r w:rsidRPr="00DE2646">
              <w:rPr>
                <w:sz w:val="26"/>
                <w:szCs w:val="26"/>
              </w:rPr>
              <w:t>$</w:t>
            </w:r>
            <w:r w:rsidR="00057A8A">
              <w:rPr>
                <w:sz w:val="26"/>
                <w:szCs w:val="26"/>
              </w:rPr>
              <w:t>171,923</w:t>
            </w:r>
          </w:p>
        </w:tc>
      </w:tr>
    </w:tbl>
    <w:p w:rsidRPr="00015B53" w:rsidR="00015B53" w:rsidP="00015B53" w:rsidRDefault="00015B53" w14:paraId="5A174D61" w14:textId="47E04360">
      <w:pPr>
        <w:pStyle w:val="Level1"/>
        <w:widowControl/>
        <w:numPr>
          <w:ilvl w:val="0"/>
          <w:numId w:val="0"/>
        </w:numPr>
        <w:tabs>
          <w:tab w:val="left" w:pos="-1440"/>
        </w:tabs>
        <w:ind w:left="720"/>
        <w:rPr>
          <w:b/>
          <w:sz w:val="26"/>
          <w:szCs w:val="26"/>
        </w:rPr>
      </w:pPr>
    </w:p>
    <w:p w:rsidRPr="00015B53" w:rsidR="00672F76" w:rsidP="00015B53" w:rsidRDefault="00672F76" w14:paraId="3C99C1AE" w14:textId="2BE70E2B">
      <w:pPr>
        <w:pStyle w:val="Level1"/>
        <w:widowControl/>
        <w:numPr>
          <w:ilvl w:val="0"/>
          <w:numId w:val="6"/>
        </w:numPr>
        <w:tabs>
          <w:tab w:val="left" w:pos="-1440"/>
        </w:tabs>
        <w:ind w:hanging="720"/>
        <w:rPr>
          <w:b/>
          <w:sz w:val="26"/>
          <w:szCs w:val="26"/>
        </w:rPr>
      </w:pPr>
      <w:r w:rsidRPr="00015B53">
        <w:rPr>
          <w:b/>
          <w:sz w:val="26"/>
          <w:szCs w:val="26"/>
        </w:rPr>
        <w:t>REASONS FOR CHANGES IN BURDEN INCLUDING THE NEED FOR ANY INCREASE</w:t>
      </w:r>
    </w:p>
    <w:p w:rsidRPr="008923C6" w:rsidR="00672F76" w:rsidRDefault="00672F76" w14:paraId="3C99C1AF" w14:textId="77777777">
      <w:pPr>
        <w:widowControl/>
        <w:ind w:firstLine="720"/>
        <w:rPr>
          <w:sz w:val="26"/>
          <w:szCs w:val="26"/>
        </w:rPr>
      </w:pPr>
    </w:p>
    <w:p w:rsidR="00672F76" w:rsidP="00556455" w:rsidRDefault="002321D6" w14:paraId="3C99C1B0" w14:textId="4DF59E11">
      <w:pPr>
        <w:widowControl/>
        <w:rPr>
          <w:sz w:val="26"/>
          <w:szCs w:val="26"/>
        </w:rPr>
      </w:pPr>
      <w:r>
        <w:rPr>
          <w:sz w:val="26"/>
          <w:szCs w:val="26"/>
        </w:rPr>
        <w:t xml:space="preserve">The </w:t>
      </w:r>
      <w:r w:rsidR="00630687">
        <w:rPr>
          <w:sz w:val="26"/>
          <w:szCs w:val="26"/>
        </w:rPr>
        <w:t xml:space="preserve">reporting requirements </w:t>
      </w:r>
      <w:r w:rsidR="00B74CB4">
        <w:rPr>
          <w:sz w:val="26"/>
          <w:szCs w:val="26"/>
        </w:rPr>
        <w:t>(</w:t>
      </w:r>
      <w:r w:rsidRPr="00B74CB4" w:rsidR="00B74CB4">
        <w:rPr>
          <w:sz w:val="26"/>
          <w:szCs w:val="26"/>
        </w:rPr>
        <w:t>other than the signed statement from the requester attesting to the accuracy of the information provided in the request</w:t>
      </w:r>
      <w:r w:rsidR="00B74CB4">
        <w:rPr>
          <w:sz w:val="26"/>
          <w:szCs w:val="26"/>
        </w:rPr>
        <w:t>)</w:t>
      </w:r>
      <w:r w:rsidRPr="00B74CB4" w:rsidR="00B74CB4">
        <w:rPr>
          <w:sz w:val="26"/>
          <w:szCs w:val="26"/>
        </w:rPr>
        <w:t xml:space="preserve"> </w:t>
      </w:r>
      <w:r w:rsidR="00B74CB4">
        <w:rPr>
          <w:sz w:val="26"/>
          <w:szCs w:val="26"/>
        </w:rPr>
        <w:t>and burden have not changed</w:t>
      </w:r>
      <w:r>
        <w:rPr>
          <w:sz w:val="26"/>
          <w:szCs w:val="26"/>
        </w:rPr>
        <w:t xml:space="preserve">.  </w:t>
      </w:r>
      <w:r w:rsidR="00255213">
        <w:rPr>
          <w:sz w:val="26"/>
          <w:szCs w:val="26"/>
        </w:rPr>
        <w:t xml:space="preserve"> </w:t>
      </w:r>
      <w:r w:rsidRPr="00EF5684" w:rsidR="00EF5684">
        <w:rPr>
          <w:sz w:val="26"/>
          <w:szCs w:val="26"/>
        </w:rPr>
        <w:t xml:space="preserve">Since the implementation of Order No. 833 in </w:t>
      </w:r>
      <w:r w:rsidR="00EF5684">
        <w:rPr>
          <w:sz w:val="26"/>
          <w:szCs w:val="26"/>
        </w:rPr>
        <w:t xml:space="preserve">early </w:t>
      </w:r>
      <w:r w:rsidRPr="00EF5684" w:rsidR="00EF5684">
        <w:rPr>
          <w:sz w:val="26"/>
          <w:szCs w:val="26"/>
        </w:rPr>
        <w:t>201</w:t>
      </w:r>
      <w:r w:rsidR="00EF5684">
        <w:rPr>
          <w:sz w:val="26"/>
          <w:szCs w:val="26"/>
        </w:rPr>
        <w:t>7</w:t>
      </w:r>
      <w:r w:rsidRPr="00EF5684" w:rsidR="00EF5684">
        <w:rPr>
          <w:sz w:val="26"/>
          <w:szCs w:val="26"/>
        </w:rPr>
        <w:t xml:space="preserve">, CEII requests have steadily decreased. </w:t>
      </w:r>
      <w:r w:rsidR="00EF5684">
        <w:rPr>
          <w:sz w:val="26"/>
          <w:szCs w:val="26"/>
        </w:rPr>
        <w:t xml:space="preserve"> </w:t>
      </w:r>
      <w:r w:rsidR="004735E2">
        <w:rPr>
          <w:sz w:val="26"/>
          <w:szCs w:val="26"/>
        </w:rPr>
        <w:t xml:space="preserve">Moreover, </w:t>
      </w:r>
      <w:r w:rsidR="00255213">
        <w:rPr>
          <w:sz w:val="26"/>
          <w:szCs w:val="26"/>
        </w:rPr>
        <w:t xml:space="preserve">in </w:t>
      </w:r>
      <w:r w:rsidR="004735E2">
        <w:rPr>
          <w:sz w:val="26"/>
          <w:szCs w:val="26"/>
        </w:rPr>
        <w:t>FY</w:t>
      </w:r>
      <w:r w:rsidR="00255213">
        <w:rPr>
          <w:sz w:val="26"/>
          <w:szCs w:val="26"/>
        </w:rPr>
        <w:t xml:space="preserve">2020, the CEII Coordinator has only received </w:t>
      </w:r>
      <w:r w:rsidR="00182033">
        <w:rPr>
          <w:sz w:val="26"/>
          <w:szCs w:val="26"/>
        </w:rPr>
        <w:t>18</w:t>
      </w:r>
      <w:r w:rsidR="00423457">
        <w:rPr>
          <w:sz w:val="26"/>
          <w:szCs w:val="26"/>
        </w:rPr>
        <w:t xml:space="preserve"> </w:t>
      </w:r>
      <w:r w:rsidR="00255213">
        <w:rPr>
          <w:sz w:val="26"/>
          <w:szCs w:val="26"/>
        </w:rPr>
        <w:t xml:space="preserve"> </w:t>
      </w:r>
      <w:r w:rsidR="004735E2">
        <w:rPr>
          <w:sz w:val="26"/>
          <w:szCs w:val="26"/>
        </w:rPr>
        <w:t xml:space="preserve">CEII </w:t>
      </w:r>
      <w:r w:rsidR="00255213">
        <w:rPr>
          <w:sz w:val="26"/>
          <w:szCs w:val="26"/>
        </w:rPr>
        <w:t>requests to dat</w:t>
      </w:r>
      <w:r w:rsidR="004735E2">
        <w:rPr>
          <w:sz w:val="26"/>
          <w:szCs w:val="26"/>
        </w:rPr>
        <w:t>e</w:t>
      </w:r>
      <w:r w:rsidR="00255213">
        <w:rPr>
          <w:sz w:val="26"/>
          <w:szCs w:val="26"/>
        </w:rPr>
        <w:t xml:space="preserve">.  </w:t>
      </w:r>
    </w:p>
    <w:p w:rsidR="00DC10F5" w:rsidP="00556455" w:rsidRDefault="00DC10F5" w14:paraId="3C99C1B1" w14:textId="77777777">
      <w:pPr>
        <w:widowControl/>
        <w:rPr>
          <w:sz w:val="26"/>
          <w:szCs w:val="26"/>
        </w:rPr>
      </w:pPr>
    </w:p>
    <w:p w:rsidRPr="008923C6" w:rsidR="00672F76" w:rsidP="00DE2646" w:rsidRDefault="00DC10F5" w14:paraId="3C99C1B2" w14:textId="6E579DA6">
      <w:pPr>
        <w:rPr>
          <w:bCs/>
          <w:sz w:val="26"/>
          <w:szCs w:val="26"/>
        </w:rPr>
      </w:pPr>
      <w:r w:rsidRPr="0055357F">
        <w:rPr>
          <w:sz w:val="26"/>
          <w:szCs w:val="26"/>
        </w:rPr>
        <w:t xml:space="preserve">The following table shows the </w:t>
      </w:r>
      <w:r w:rsidR="00F46DA1">
        <w:rPr>
          <w:sz w:val="26"/>
          <w:szCs w:val="26"/>
        </w:rPr>
        <w:t xml:space="preserve">estimated total </w:t>
      </w:r>
      <w:r w:rsidRPr="0055357F">
        <w:rPr>
          <w:sz w:val="26"/>
          <w:szCs w:val="26"/>
        </w:rPr>
        <w:t>annual burden</w:t>
      </w:r>
      <w:r w:rsidR="00F46DA1">
        <w:rPr>
          <w:sz w:val="26"/>
          <w:szCs w:val="26"/>
        </w:rPr>
        <w:t>.</w:t>
      </w:r>
      <w:r w:rsidRPr="0055357F">
        <w:rPr>
          <w:sz w:val="26"/>
          <w:szCs w:val="26"/>
        </w:rPr>
        <w:t xml:space="preserve"> </w:t>
      </w:r>
      <w:r w:rsidR="00F46DA1">
        <w:rPr>
          <w:sz w:val="26"/>
          <w:szCs w:val="26"/>
        </w:rPr>
        <w:t>[</w:t>
      </w:r>
      <w:r w:rsidRPr="0055357F">
        <w:rPr>
          <w:sz w:val="26"/>
          <w:szCs w:val="26"/>
        </w:rPr>
        <w:t xml:space="preserve">The format, labels, and definitions of the table follow the ROCIS </w:t>
      </w:r>
      <w:r>
        <w:rPr>
          <w:sz w:val="26"/>
          <w:szCs w:val="26"/>
        </w:rPr>
        <w:t xml:space="preserve">(and reginfo.gov) </w:t>
      </w:r>
      <w:r w:rsidRPr="0055357F">
        <w:rPr>
          <w:sz w:val="26"/>
          <w:szCs w:val="26"/>
        </w:rPr>
        <w:t>metadata.</w:t>
      </w:r>
      <w:r w:rsidR="00F46DA1">
        <w:rPr>
          <w:sz w:val="26"/>
          <w:szCs w:val="26"/>
        </w:rPr>
        <w:t>]</w:t>
      </w:r>
    </w:p>
    <w:p w:rsidRPr="0055357F" w:rsidR="00DC10F5" w:rsidP="00DC10F5" w:rsidRDefault="00DC10F5" w14:paraId="3C99C1B3" w14:textId="77777777">
      <w:pPr>
        <w:widowControl/>
        <w:tabs>
          <w:tab w:val="left" w:pos="2394"/>
        </w:tabs>
        <w:rPr>
          <w:sz w:val="26"/>
          <w:szCs w:val="26"/>
        </w:rPr>
      </w:pPr>
    </w:p>
    <w:tbl>
      <w:tblPr>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96"/>
        <w:gridCol w:w="1550"/>
        <w:gridCol w:w="1597"/>
        <w:gridCol w:w="1889"/>
        <w:gridCol w:w="1618"/>
      </w:tblGrid>
      <w:tr w:rsidRPr="0055357F" w:rsidR="00DC10F5" w:rsidTr="0055357F" w14:paraId="3C99C1B9" w14:textId="77777777">
        <w:trPr>
          <w:trHeight w:val="870"/>
          <w:jc w:val="right"/>
        </w:trPr>
        <w:tc>
          <w:tcPr>
            <w:tcW w:w="1442"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55357F" w:rsidR="00DC10F5" w:rsidP="00DC10F5" w:rsidRDefault="00DC10F5" w14:paraId="3C99C1B4" w14:textId="77777777">
            <w:pPr>
              <w:spacing w:line="276" w:lineRule="auto"/>
              <w:jc w:val="center"/>
              <w:rPr>
                <w:b/>
                <w:sz w:val="26"/>
                <w:szCs w:val="26"/>
              </w:rPr>
            </w:pPr>
            <w:r w:rsidRPr="0055357F">
              <w:rPr>
                <w:b/>
                <w:sz w:val="26"/>
                <w:szCs w:val="26"/>
              </w:rPr>
              <w:lastRenderedPageBreak/>
              <w:t>FERC-</w:t>
            </w:r>
            <w:r>
              <w:rPr>
                <w:b/>
                <w:sz w:val="26"/>
                <w:szCs w:val="26"/>
              </w:rPr>
              <w:t>603</w:t>
            </w:r>
          </w:p>
        </w:tc>
        <w:tc>
          <w:tcPr>
            <w:tcW w:w="829"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55357F" w:rsidR="00DC10F5" w:rsidRDefault="00DC10F5" w14:paraId="3C99C1B5" w14:textId="77777777">
            <w:pPr>
              <w:spacing w:line="276" w:lineRule="auto"/>
              <w:jc w:val="center"/>
              <w:rPr>
                <w:b/>
                <w:sz w:val="26"/>
                <w:szCs w:val="26"/>
              </w:rPr>
            </w:pPr>
            <w:r w:rsidRPr="0055357F">
              <w:rPr>
                <w:b/>
                <w:sz w:val="26"/>
                <w:szCs w:val="26"/>
              </w:rPr>
              <w:t>Total Request</w:t>
            </w:r>
          </w:p>
        </w:tc>
        <w:tc>
          <w:tcPr>
            <w:tcW w:w="854"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55357F" w:rsidR="00DC10F5" w:rsidRDefault="00DC10F5" w14:paraId="3C99C1B6" w14:textId="77777777">
            <w:pPr>
              <w:spacing w:line="276" w:lineRule="auto"/>
              <w:jc w:val="center"/>
              <w:rPr>
                <w:b/>
                <w:sz w:val="26"/>
                <w:szCs w:val="26"/>
              </w:rPr>
            </w:pPr>
            <w:r w:rsidRPr="0055357F">
              <w:rPr>
                <w:b/>
                <w:sz w:val="26"/>
                <w:szCs w:val="26"/>
              </w:rPr>
              <w:t>Previously Approved</w:t>
            </w:r>
          </w:p>
        </w:tc>
        <w:tc>
          <w:tcPr>
            <w:tcW w:w="1010"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55357F" w:rsidR="00DC10F5" w:rsidRDefault="00DC10F5" w14:paraId="3C99C1B7" w14:textId="77777777">
            <w:pPr>
              <w:spacing w:line="276" w:lineRule="auto"/>
              <w:jc w:val="center"/>
              <w:rPr>
                <w:b/>
                <w:sz w:val="26"/>
                <w:szCs w:val="26"/>
              </w:rPr>
            </w:pPr>
            <w:r w:rsidRPr="0055357F">
              <w:rPr>
                <w:b/>
                <w:sz w:val="26"/>
                <w:szCs w:val="26"/>
              </w:rPr>
              <w:t>Change due to Adjustment in Estimate</w:t>
            </w:r>
          </w:p>
        </w:tc>
        <w:tc>
          <w:tcPr>
            <w:tcW w:w="865"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55357F" w:rsidR="00DC10F5" w:rsidRDefault="00DC10F5" w14:paraId="3C99C1B8" w14:textId="77777777">
            <w:pPr>
              <w:spacing w:line="276" w:lineRule="auto"/>
              <w:jc w:val="center"/>
              <w:rPr>
                <w:b/>
                <w:sz w:val="26"/>
                <w:szCs w:val="26"/>
              </w:rPr>
            </w:pPr>
            <w:r w:rsidRPr="0055357F">
              <w:rPr>
                <w:b/>
                <w:sz w:val="26"/>
                <w:szCs w:val="26"/>
              </w:rPr>
              <w:t>Change Due to Agency Discretion</w:t>
            </w:r>
          </w:p>
        </w:tc>
      </w:tr>
      <w:tr w:rsidRPr="0055357F" w:rsidR="00DC10F5" w:rsidTr="0055357F" w14:paraId="3C99C1BF" w14:textId="77777777">
        <w:trPr>
          <w:trHeight w:val="591"/>
          <w:jc w:val="right"/>
        </w:trPr>
        <w:tc>
          <w:tcPr>
            <w:tcW w:w="1442" w:type="pct"/>
            <w:tcBorders>
              <w:top w:val="single" w:color="auto" w:sz="4" w:space="0"/>
              <w:left w:val="single" w:color="auto" w:sz="4" w:space="0"/>
              <w:bottom w:val="single" w:color="auto" w:sz="4" w:space="0"/>
              <w:right w:val="single" w:color="auto" w:sz="4" w:space="0"/>
            </w:tcBorders>
            <w:hideMark/>
          </w:tcPr>
          <w:p w:rsidRPr="0055357F" w:rsidR="00DC10F5" w:rsidP="0055357F" w:rsidRDefault="00DC10F5" w14:paraId="3C99C1BA" w14:textId="77777777">
            <w:pPr>
              <w:rPr>
                <w:sz w:val="26"/>
                <w:szCs w:val="26"/>
              </w:rPr>
            </w:pPr>
            <w:r w:rsidRPr="0055357F">
              <w:rPr>
                <w:sz w:val="26"/>
                <w:szCs w:val="26"/>
              </w:rPr>
              <w:t>Annual Number of Responses</w:t>
            </w:r>
          </w:p>
        </w:tc>
        <w:tc>
          <w:tcPr>
            <w:tcW w:w="829" w:type="pct"/>
            <w:tcBorders>
              <w:top w:val="single" w:color="auto" w:sz="4" w:space="0"/>
              <w:left w:val="single" w:color="auto" w:sz="4" w:space="0"/>
              <w:bottom w:val="single" w:color="auto" w:sz="4" w:space="0"/>
              <w:right w:val="single" w:color="auto" w:sz="4" w:space="0"/>
            </w:tcBorders>
            <w:vAlign w:val="bottom"/>
          </w:tcPr>
          <w:p w:rsidRPr="0055357F" w:rsidR="00DC10F5" w:rsidRDefault="007304C1" w14:paraId="3C99C1BB" w14:textId="3247CD69">
            <w:pPr>
              <w:spacing w:line="276" w:lineRule="auto"/>
              <w:jc w:val="right"/>
              <w:rPr>
                <w:sz w:val="26"/>
                <w:szCs w:val="26"/>
              </w:rPr>
            </w:pPr>
            <w:r>
              <w:rPr>
                <w:sz w:val="26"/>
                <w:szCs w:val="26"/>
              </w:rPr>
              <w:t>100</w:t>
            </w:r>
          </w:p>
        </w:tc>
        <w:tc>
          <w:tcPr>
            <w:tcW w:w="854" w:type="pct"/>
            <w:tcBorders>
              <w:top w:val="single" w:color="auto" w:sz="4" w:space="0"/>
              <w:left w:val="single" w:color="auto" w:sz="4" w:space="0"/>
              <w:bottom w:val="single" w:color="auto" w:sz="4" w:space="0"/>
              <w:right w:val="single" w:color="auto" w:sz="4" w:space="0"/>
            </w:tcBorders>
            <w:vAlign w:val="bottom"/>
          </w:tcPr>
          <w:p w:rsidRPr="0055357F" w:rsidR="00DC10F5" w:rsidRDefault="00DC10F5" w14:paraId="3C99C1BC" w14:textId="77777777">
            <w:pPr>
              <w:spacing w:line="276" w:lineRule="auto"/>
              <w:jc w:val="right"/>
              <w:rPr>
                <w:sz w:val="26"/>
                <w:szCs w:val="26"/>
              </w:rPr>
            </w:pPr>
            <w:r>
              <w:rPr>
                <w:sz w:val="26"/>
                <w:szCs w:val="26"/>
              </w:rPr>
              <w:t>200</w:t>
            </w:r>
          </w:p>
        </w:tc>
        <w:tc>
          <w:tcPr>
            <w:tcW w:w="1010" w:type="pct"/>
            <w:tcBorders>
              <w:top w:val="single" w:color="auto" w:sz="4" w:space="0"/>
              <w:left w:val="single" w:color="auto" w:sz="4" w:space="0"/>
              <w:bottom w:val="single" w:color="auto" w:sz="4" w:space="0"/>
              <w:right w:val="single" w:color="auto" w:sz="4" w:space="0"/>
            </w:tcBorders>
            <w:vAlign w:val="bottom"/>
          </w:tcPr>
          <w:p w:rsidRPr="0055357F" w:rsidR="00DC10F5" w:rsidRDefault="007304C1" w14:paraId="3C99C1BD" w14:textId="07A00266">
            <w:pPr>
              <w:spacing w:line="276" w:lineRule="auto"/>
              <w:jc w:val="right"/>
              <w:rPr>
                <w:sz w:val="26"/>
                <w:szCs w:val="26"/>
              </w:rPr>
            </w:pPr>
            <w:r>
              <w:rPr>
                <w:sz w:val="26"/>
                <w:szCs w:val="26"/>
              </w:rPr>
              <w:t>-100</w:t>
            </w:r>
          </w:p>
        </w:tc>
        <w:tc>
          <w:tcPr>
            <w:tcW w:w="865" w:type="pct"/>
            <w:tcBorders>
              <w:top w:val="single" w:color="auto" w:sz="4" w:space="0"/>
              <w:left w:val="single" w:color="auto" w:sz="4" w:space="0"/>
              <w:bottom w:val="single" w:color="auto" w:sz="4" w:space="0"/>
              <w:right w:val="single" w:color="auto" w:sz="4" w:space="0"/>
            </w:tcBorders>
            <w:vAlign w:val="bottom"/>
          </w:tcPr>
          <w:p w:rsidRPr="0055357F" w:rsidR="00DC10F5" w:rsidRDefault="00DC10F5" w14:paraId="3C99C1BE" w14:textId="77777777">
            <w:pPr>
              <w:spacing w:line="276" w:lineRule="auto"/>
              <w:jc w:val="right"/>
              <w:rPr>
                <w:sz w:val="26"/>
                <w:szCs w:val="26"/>
              </w:rPr>
            </w:pPr>
            <w:r>
              <w:rPr>
                <w:sz w:val="26"/>
                <w:szCs w:val="26"/>
              </w:rPr>
              <w:t>0</w:t>
            </w:r>
          </w:p>
        </w:tc>
      </w:tr>
      <w:tr w:rsidRPr="0055357F" w:rsidR="00DC10F5" w:rsidTr="0055357F" w14:paraId="3C99C1C5" w14:textId="77777777">
        <w:trPr>
          <w:trHeight w:val="575"/>
          <w:jc w:val="right"/>
        </w:trPr>
        <w:tc>
          <w:tcPr>
            <w:tcW w:w="1442" w:type="pct"/>
            <w:tcBorders>
              <w:top w:val="single" w:color="auto" w:sz="4" w:space="0"/>
              <w:left w:val="single" w:color="auto" w:sz="4" w:space="0"/>
              <w:bottom w:val="single" w:color="auto" w:sz="4" w:space="0"/>
              <w:right w:val="single" w:color="auto" w:sz="4" w:space="0"/>
            </w:tcBorders>
            <w:hideMark/>
          </w:tcPr>
          <w:p w:rsidRPr="0055357F" w:rsidR="00DC10F5" w:rsidP="0055357F" w:rsidRDefault="00DC10F5" w14:paraId="3C99C1C0" w14:textId="77777777">
            <w:pPr>
              <w:rPr>
                <w:sz w:val="26"/>
                <w:szCs w:val="26"/>
              </w:rPr>
            </w:pPr>
            <w:r w:rsidRPr="0055357F">
              <w:rPr>
                <w:sz w:val="26"/>
                <w:szCs w:val="26"/>
              </w:rPr>
              <w:t>Annual Time Burden (Hours)</w:t>
            </w:r>
          </w:p>
        </w:tc>
        <w:tc>
          <w:tcPr>
            <w:tcW w:w="829" w:type="pct"/>
            <w:tcBorders>
              <w:top w:val="single" w:color="auto" w:sz="4" w:space="0"/>
              <w:left w:val="single" w:color="auto" w:sz="4" w:space="0"/>
              <w:bottom w:val="single" w:color="auto" w:sz="4" w:space="0"/>
              <w:right w:val="single" w:color="auto" w:sz="4" w:space="0"/>
            </w:tcBorders>
            <w:vAlign w:val="bottom"/>
          </w:tcPr>
          <w:p w:rsidRPr="0055357F" w:rsidR="00DC10F5" w:rsidRDefault="007304C1" w14:paraId="3C99C1C1" w14:textId="2088C0F3">
            <w:pPr>
              <w:spacing w:line="276" w:lineRule="auto"/>
              <w:jc w:val="right"/>
              <w:rPr>
                <w:sz w:val="26"/>
                <w:szCs w:val="26"/>
              </w:rPr>
            </w:pPr>
            <w:r>
              <w:rPr>
                <w:sz w:val="26"/>
                <w:szCs w:val="26"/>
              </w:rPr>
              <w:t>30</w:t>
            </w:r>
          </w:p>
        </w:tc>
        <w:tc>
          <w:tcPr>
            <w:tcW w:w="854" w:type="pct"/>
            <w:tcBorders>
              <w:top w:val="single" w:color="auto" w:sz="4" w:space="0"/>
              <w:left w:val="single" w:color="auto" w:sz="4" w:space="0"/>
              <w:bottom w:val="single" w:color="auto" w:sz="4" w:space="0"/>
              <w:right w:val="single" w:color="auto" w:sz="4" w:space="0"/>
            </w:tcBorders>
            <w:vAlign w:val="bottom"/>
          </w:tcPr>
          <w:p w:rsidRPr="0055357F" w:rsidR="00DC10F5" w:rsidRDefault="00DC10F5" w14:paraId="3C99C1C2" w14:textId="77777777">
            <w:pPr>
              <w:spacing w:line="276" w:lineRule="auto"/>
              <w:jc w:val="right"/>
              <w:rPr>
                <w:sz w:val="26"/>
                <w:szCs w:val="26"/>
              </w:rPr>
            </w:pPr>
            <w:r>
              <w:rPr>
                <w:sz w:val="26"/>
                <w:szCs w:val="26"/>
              </w:rPr>
              <w:t>60</w:t>
            </w:r>
          </w:p>
        </w:tc>
        <w:tc>
          <w:tcPr>
            <w:tcW w:w="1010" w:type="pct"/>
            <w:tcBorders>
              <w:top w:val="single" w:color="auto" w:sz="4" w:space="0"/>
              <w:left w:val="single" w:color="auto" w:sz="4" w:space="0"/>
              <w:bottom w:val="single" w:color="auto" w:sz="4" w:space="0"/>
              <w:right w:val="single" w:color="auto" w:sz="4" w:space="0"/>
            </w:tcBorders>
            <w:vAlign w:val="bottom"/>
          </w:tcPr>
          <w:p w:rsidRPr="0055357F" w:rsidR="00DC10F5" w:rsidRDefault="007304C1" w14:paraId="3C99C1C3" w14:textId="05FFD1F0">
            <w:pPr>
              <w:spacing w:line="276" w:lineRule="auto"/>
              <w:jc w:val="right"/>
              <w:rPr>
                <w:sz w:val="26"/>
                <w:szCs w:val="26"/>
              </w:rPr>
            </w:pPr>
            <w:r>
              <w:rPr>
                <w:sz w:val="26"/>
                <w:szCs w:val="26"/>
              </w:rPr>
              <w:t>-</w:t>
            </w:r>
            <w:r w:rsidR="001E63C8">
              <w:rPr>
                <w:sz w:val="26"/>
                <w:szCs w:val="26"/>
              </w:rPr>
              <w:t>3</w:t>
            </w:r>
            <w:r>
              <w:rPr>
                <w:sz w:val="26"/>
                <w:szCs w:val="26"/>
              </w:rPr>
              <w:t>0</w:t>
            </w:r>
          </w:p>
        </w:tc>
        <w:tc>
          <w:tcPr>
            <w:tcW w:w="865" w:type="pct"/>
            <w:tcBorders>
              <w:top w:val="single" w:color="auto" w:sz="4" w:space="0"/>
              <w:left w:val="single" w:color="auto" w:sz="4" w:space="0"/>
              <w:bottom w:val="single" w:color="auto" w:sz="4" w:space="0"/>
              <w:right w:val="single" w:color="auto" w:sz="4" w:space="0"/>
            </w:tcBorders>
            <w:vAlign w:val="bottom"/>
          </w:tcPr>
          <w:p w:rsidRPr="0055357F" w:rsidR="00DC10F5" w:rsidRDefault="00DC10F5" w14:paraId="3C99C1C4" w14:textId="77777777">
            <w:pPr>
              <w:spacing w:line="276" w:lineRule="auto"/>
              <w:jc w:val="right"/>
              <w:rPr>
                <w:sz w:val="26"/>
                <w:szCs w:val="26"/>
              </w:rPr>
            </w:pPr>
            <w:r>
              <w:rPr>
                <w:sz w:val="26"/>
                <w:szCs w:val="26"/>
              </w:rPr>
              <w:t>0</w:t>
            </w:r>
          </w:p>
        </w:tc>
      </w:tr>
      <w:tr w:rsidRPr="0055357F" w:rsidR="00DC10F5" w:rsidTr="0055357F" w14:paraId="3C99C1CB" w14:textId="77777777">
        <w:trPr>
          <w:trHeight w:val="295"/>
          <w:jc w:val="right"/>
        </w:trPr>
        <w:tc>
          <w:tcPr>
            <w:tcW w:w="1442" w:type="pct"/>
            <w:tcBorders>
              <w:top w:val="single" w:color="auto" w:sz="4" w:space="0"/>
              <w:left w:val="single" w:color="auto" w:sz="4" w:space="0"/>
              <w:bottom w:val="single" w:color="auto" w:sz="4" w:space="0"/>
              <w:right w:val="single" w:color="auto" w:sz="4" w:space="0"/>
            </w:tcBorders>
            <w:hideMark/>
          </w:tcPr>
          <w:p w:rsidRPr="0055357F" w:rsidR="00DC10F5" w:rsidP="0055357F" w:rsidRDefault="00DC10F5" w14:paraId="3C99C1C6" w14:textId="77777777">
            <w:pPr>
              <w:rPr>
                <w:sz w:val="26"/>
                <w:szCs w:val="26"/>
              </w:rPr>
            </w:pPr>
            <w:r w:rsidRPr="0055357F">
              <w:rPr>
                <w:sz w:val="26"/>
                <w:szCs w:val="26"/>
              </w:rPr>
              <w:t>Annual Cost Burden ($)</w:t>
            </w:r>
          </w:p>
        </w:tc>
        <w:tc>
          <w:tcPr>
            <w:tcW w:w="829" w:type="pct"/>
            <w:tcBorders>
              <w:top w:val="single" w:color="auto" w:sz="4" w:space="0"/>
              <w:left w:val="single" w:color="auto" w:sz="4" w:space="0"/>
              <w:bottom w:val="single" w:color="auto" w:sz="4" w:space="0"/>
              <w:right w:val="single" w:color="auto" w:sz="4" w:space="0"/>
            </w:tcBorders>
            <w:vAlign w:val="bottom"/>
            <w:hideMark/>
          </w:tcPr>
          <w:p w:rsidRPr="0055357F" w:rsidR="00DC10F5" w:rsidRDefault="00DC10F5" w14:paraId="3C99C1C7" w14:textId="77777777">
            <w:pPr>
              <w:spacing w:line="276" w:lineRule="auto"/>
              <w:jc w:val="right"/>
              <w:rPr>
                <w:sz w:val="26"/>
                <w:szCs w:val="26"/>
              </w:rPr>
            </w:pPr>
            <w:r w:rsidRPr="0055357F">
              <w:rPr>
                <w:sz w:val="26"/>
                <w:szCs w:val="26"/>
              </w:rPr>
              <w:t>$0</w:t>
            </w:r>
          </w:p>
        </w:tc>
        <w:tc>
          <w:tcPr>
            <w:tcW w:w="854" w:type="pct"/>
            <w:tcBorders>
              <w:top w:val="single" w:color="auto" w:sz="4" w:space="0"/>
              <w:left w:val="single" w:color="auto" w:sz="4" w:space="0"/>
              <w:bottom w:val="single" w:color="auto" w:sz="4" w:space="0"/>
              <w:right w:val="single" w:color="auto" w:sz="4" w:space="0"/>
            </w:tcBorders>
            <w:vAlign w:val="bottom"/>
            <w:hideMark/>
          </w:tcPr>
          <w:p w:rsidRPr="0055357F" w:rsidR="00DC10F5" w:rsidRDefault="00DC10F5" w14:paraId="3C99C1C8" w14:textId="77777777">
            <w:pPr>
              <w:spacing w:line="276" w:lineRule="auto"/>
              <w:jc w:val="right"/>
              <w:rPr>
                <w:sz w:val="26"/>
                <w:szCs w:val="26"/>
              </w:rPr>
            </w:pPr>
            <w:r w:rsidRPr="0055357F">
              <w:rPr>
                <w:sz w:val="26"/>
                <w:szCs w:val="26"/>
              </w:rPr>
              <w:t>$0</w:t>
            </w:r>
          </w:p>
        </w:tc>
        <w:tc>
          <w:tcPr>
            <w:tcW w:w="1010" w:type="pct"/>
            <w:tcBorders>
              <w:top w:val="single" w:color="auto" w:sz="4" w:space="0"/>
              <w:left w:val="single" w:color="auto" w:sz="4" w:space="0"/>
              <w:bottom w:val="single" w:color="auto" w:sz="4" w:space="0"/>
              <w:right w:val="single" w:color="auto" w:sz="4" w:space="0"/>
            </w:tcBorders>
            <w:vAlign w:val="bottom"/>
            <w:hideMark/>
          </w:tcPr>
          <w:p w:rsidRPr="0055357F" w:rsidR="00DC10F5" w:rsidRDefault="00DC10F5" w14:paraId="3C99C1C9" w14:textId="77777777">
            <w:pPr>
              <w:spacing w:line="276" w:lineRule="auto"/>
              <w:jc w:val="right"/>
              <w:rPr>
                <w:sz w:val="26"/>
                <w:szCs w:val="26"/>
              </w:rPr>
            </w:pPr>
            <w:r w:rsidRPr="0055357F">
              <w:rPr>
                <w:sz w:val="26"/>
                <w:szCs w:val="26"/>
              </w:rPr>
              <w:t>$0</w:t>
            </w:r>
          </w:p>
        </w:tc>
        <w:tc>
          <w:tcPr>
            <w:tcW w:w="865" w:type="pct"/>
            <w:tcBorders>
              <w:top w:val="single" w:color="auto" w:sz="4" w:space="0"/>
              <w:left w:val="single" w:color="auto" w:sz="4" w:space="0"/>
              <w:bottom w:val="single" w:color="auto" w:sz="4" w:space="0"/>
              <w:right w:val="single" w:color="auto" w:sz="4" w:space="0"/>
            </w:tcBorders>
            <w:vAlign w:val="bottom"/>
            <w:hideMark/>
          </w:tcPr>
          <w:p w:rsidRPr="0055357F" w:rsidR="00DC10F5" w:rsidRDefault="00DC10F5" w14:paraId="3C99C1CA" w14:textId="77777777">
            <w:pPr>
              <w:spacing w:line="276" w:lineRule="auto"/>
              <w:jc w:val="right"/>
              <w:rPr>
                <w:sz w:val="26"/>
                <w:szCs w:val="26"/>
              </w:rPr>
            </w:pPr>
            <w:r w:rsidRPr="0055357F">
              <w:rPr>
                <w:sz w:val="26"/>
                <w:szCs w:val="26"/>
              </w:rPr>
              <w:t>$0</w:t>
            </w:r>
          </w:p>
        </w:tc>
      </w:tr>
    </w:tbl>
    <w:p w:rsidRPr="008923C6" w:rsidR="00FF3C71" w:rsidRDefault="00FF3C71" w14:paraId="3C99C1CC" w14:textId="77777777">
      <w:pPr>
        <w:widowControl/>
        <w:rPr>
          <w:bCs/>
          <w:sz w:val="26"/>
          <w:szCs w:val="26"/>
        </w:rPr>
      </w:pPr>
    </w:p>
    <w:p w:rsidR="00672F76" w:rsidP="00597BAA" w:rsidRDefault="00672F76" w14:paraId="3C99C1CD" w14:textId="77777777">
      <w:pPr>
        <w:pStyle w:val="Level1"/>
        <w:widowControl/>
        <w:numPr>
          <w:ilvl w:val="0"/>
          <w:numId w:val="6"/>
        </w:numPr>
        <w:tabs>
          <w:tab w:val="left" w:pos="-1440"/>
        </w:tabs>
        <w:ind w:hanging="720"/>
        <w:rPr>
          <w:b/>
          <w:sz w:val="26"/>
          <w:szCs w:val="26"/>
        </w:rPr>
      </w:pPr>
      <w:r w:rsidRPr="00554E89">
        <w:rPr>
          <w:b/>
          <w:sz w:val="26"/>
          <w:szCs w:val="26"/>
        </w:rPr>
        <w:t>TIME SCHEDULE FOR THE PUBLICATION OF DATA</w:t>
      </w:r>
    </w:p>
    <w:p w:rsidR="00672F76" w:rsidP="00710B86" w:rsidRDefault="00672F76" w14:paraId="3C99C1CE" w14:textId="77777777">
      <w:pPr>
        <w:widowControl/>
        <w:tabs>
          <w:tab w:val="left" w:pos="-1440"/>
        </w:tabs>
        <w:rPr>
          <w:b/>
          <w:sz w:val="26"/>
          <w:szCs w:val="26"/>
        </w:rPr>
      </w:pPr>
    </w:p>
    <w:p w:rsidRPr="00710B86" w:rsidR="00710B86" w:rsidP="00B62430" w:rsidRDefault="00710B86" w14:paraId="3C99C1CF" w14:textId="6BAF3069">
      <w:pPr>
        <w:widowControl/>
        <w:tabs>
          <w:tab w:val="left" w:pos="-1440"/>
        </w:tabs>
        <w:rPr>
          <w:bCs/>
          <w:sz w:val="26"/>
          <w:szCs w:val="26"/>
        </w:rPr>
      </w:pPr>
      <w:r>
        <w:rPr>
          <w:sz w:val="26"/>
          <w:szCs w:val="26"/>
        </w:rPr>
        <w:t xml:space="preserve">There is no publication of </w:t>
      </w:r>
      <w:r w:rsidR="00A45F34">
        <w:rPr>
          <w:sz w:val="26"/>
          <w:szCs w:val="26"/>
        </w:rPr>
        <w:t>the FERC-603 data.</w:t>
      </w:r>
    </w:p>
    <w:p w:rsidRPr="008923C6" w:rsidR="00672F76" w:rsidRDefault="00672F76" w14:paraId="3C99C1D0" w14:textId="77777777">
      <w:pPr>
        <w:widowControl/>
        <w:rPr>
          <w:bCs/>
          <w:sz w:val="26"/>
          <w:szCs w:val="26"/>
        </w:rPr>
      </w:pPr>
    </w:p>
    <w:p w:rsidRPr="00554E89" w:rsidR="00672F76" w:rsidP="00597BAA" w:rsidRDefault="00672F76" w14:paraId="3C99C1D1" w14:textId="77777777">
      <w:pPr>
        <w:pStyle w:val="Level1"/>
        <w:widowControl/>
        <w:numPr>
          <w:ilvl w:val="0"/>
          <w:numId w:val="6"/>
        </w:numPr>
        <w:tabs>
          <w:tab w:val="left" w:pos="-1440"/>
        </w:tabs>
        <w:ind w:hanging="720"/>
        <w:rPr>
          <w:b/>
          <w:sz w:val="26"/>
          <w:szCs w:val="26"/>
        </w:rPr>
      </w:pPr>
      <w:r w:rsidRPr="00554E89">
        <w:rPr>
          <w:b/>
          <w:sz w:val="26"/>
          <w:szCs w:val="26"/>
        </w:rPr>
        <w:t>DISPLAY OF EXPIRATION DATE</w:t>
      </w:r>
    </w:p>
    <w:p w:rsidRPr="00554E89" w:rsidR="00672F76" w:rsidRDefault="00672F76" w14:paraId="3C99C1D2" w14:textId="77777777">
      <w:pPr>
        <w:widowControl/>
        <w:rPr>
          <w:b/>
          <w:sz w:val="26"/>
          <w:szCs w:val="26"/>
        </w:rPr>
      </w:pPr>
    </w:p>
    <w:p w:rsidRPr="00DE2646" w:rsidR="00672F76" w:rsidP="00DE2646" w:rsidRDefault="00672F76" w14:paraId="3C99C1D3" w14:textId="62BDC199">
      <w:pPr>
        <w:rPr>
          <w:b/>
        </w:rPr>
      </w:pPr>
      <w:r w:rsidRPr="008923C6">
        <w:rPr>
          <w:sz w:val="26"/>
          <w:szCs w:val="26"/>
        </w:rPr>
        <w:t xml:space="preserve">The </w:t>
      </w:r>
      <w:r w:rsidR="006F3663">
        <w:rPr>
          <w:sz w:val="26"/>
          <w:szCs w:val="26"/>
        </w:rPr>
        <w:t xml:space="preserve">OMB control number and expiration date </w:t>
      </w:r>
      <w:r w:rsidR="008963A5">
        <w:rPr>
          <w:sz w:val="26"/>
          <w:szCs w:val="26"/>
        </w:rPr>
        <w:t>are</w:t>
      </w:r>
      <w:r w:rsidR="006F3663">
        <w:rPr>
          <w:sz w:val="26"/>
          <w:szCs w:val="26"/>
        </w:rPr>
        <w:t xml:space="preserve"> displayed on the </w:t>
      </w:r>
      <w:r w:rsidR="00597BAA">
        <w:rPr>
          <w:sz w:val="26"/>
          <w:szCs w:val="26"/>
        </w:rPr>
        <w:t>f</w:t>
      </w:r>
      <w:r w:rsidR="0093009C">
        <w:rPr>
          <w:sz w:val="26"/>
          <w:szCs w:val="26"/>
        </w:rPr>
        <w:t>orm</w:t>
      </w:r>
      <w:r w:rsidR="00351FDF">
        <w:rPr>
          <w:sz w:val="26"/>
          <w:szCs w:val="26"/>
        </w:rPr>
        <w:t xml:space="preserve"> (electronic and hard-copy)</w:t>
      </w:r>
      <w:r w:rsidR="0093009C">
        <w:rPr>
          <w:sz w:val="26"/>
          <w:szCs w:val="26"/>
        </w:rPr>
        <w:t xml:space="preserve"> </w:t>
      </w:r>
      <w:r w:rsidR="00597BAA">
        <w:rPr>
          <w:sz w:val="26"/>
          <w:szCs w:val="26"/>
        </w:rPr>
        <w:t>used to request access to CEII information</w:t>
      </w:r>
      <w:r w:rsidR="006F3663">
        <w:rPr>
          <w:sz w:val="26"/>
          <w:szCs w:val="26"/>
        </w:rPr>
        <w:t xml:space="preserve">. </w:t>
      </w:r>
      <w:r w:rsidR="00875A44">
        <w:rPr>
          <w:sz w:val="26"/>
          <w:szCs w:val="26"/>
        </w:rPr>
        <w:t xml:space="preserve"> </w:t>
      </w:r>
    </w:p>
    <w:p w:rsidR="008963A5" w:rsidP="008963A5" w:rsidRDefault="008963A5" w14:paraId="3C99C1D4" w14:textId="77777777">
      <w:pPr>
        <w:rPr>
          <w:sz w:val="26"/>
          <w:szCs w:val="26"/>
        </w:rPr>
      </w:pPr>
    </w:p>
    <w:p w:rsidR="008963A5" w:rsidP="008963A5" w:rsidRDefault="008963A5" w14:paraId="3C99C1D5" w14:textId="77777777">
      <w:r w:rsidRPr="00DC10F5">
        <w:rPr>
          <w:sz w:val="26"/>
          <w:szCs w:val="26"/>
        </w:rPr>
        <w:t xml:space="preserve">The expiration date is </w:t>
      </w:r>
      <w:r>
        <w:rPr>
          <w:sz w:val="26"/>
          <w:szCs w:val="26"/>
        </w:rPr>
        <w:t xml:space="preserve">also </w:t>
      </w:r>
      <w:r w:rsidRPr="00DC10F5">
        <w:rPr>
          <w:sz w:val="26"/>
          <w:szCs w:val="26"/>
        </w:rPr>
        <w:t xml:space="preserve">displayed in a table posted on ferc.gov at </w:t>
      </w:r>
      <w:hyperlink w:history="1" r:id="rId16">
        <w:r w:rsidRPr="00DC10F5">
          <w:rPr>
            <w:rStyle w:val="Hyperlink"/>
            <w:sz w:val="26"/>
            <w:szCs w:val="26"/>
          </w:rPr>
          <w:t>http://www.ferc.gov/docs-filing/info-collections.asp</w:t>
        </w:r>
      </w:hyperlink>
      <w:r w:rsidRPr="00DC10F5">
        <w:rPr>
          <w:sz w:val="26"/>
          <w:szCs w:val="26"/>
        </w:rPr>
        <w:t>.</w:t>
      </w:r>
    </w:p>
    <w:p w:rsidR="00672F76" w:rsidRDefault="00672F76" w14:paraId="3C99C1D6" w14:textId="77777777">
      <w:pPr>
        <w:widowControl/>
        <w:rPr>
          <w:b/>
          <w:bCs/>
        </w:rPr>
      </w:pPr>
    </w:p>
    <w:p w:rsidRPr="00B62430" w:rsidR="00672F76" w:rsidP="00597BAA" w:rsidRDefault="00672F76" w14:paraId="3C99C1D7" w14:textId="77777777">
      <w:pPr>
        <w:pStyle w:val="Level1"/>
        <w:widowControl/>
        <w:numPr>
          <w:ilvl w:val="0"/>
          <w:numId w:val="6"/>
        </w:numPr>
        <w:tabs>
          <w:tab w:val="left" w:pos="-1440"/>
        </w:tabs>
        <w:ind w:hanging="720"/>
        <w:rPr>
          <w:b/>
          <w:sz w:val="26"/>
          <w:szCs w:val="26"/>
        </w:rPr>
      </w:pPr>
      <w:r w:rsidRPr="00B62430">
        <w:rPr>
          <w:b/>
          <w:sz w:val="26"/>
          <w:szCs w:val="26"/>
        </w:rPr>
        <w:t>EXCEPTION TO THE CERTIFICATION STATEMENT</w:t>
      </w:r>
    </w:p>
    <w:p w:rsidR="00672F76" w:rsidRDefault="00672F76" w14:paraId="3C99C1D8" w14:textId="77777777">
      <w:pPr>
        <w:widowControl/>
      </w:pPr>
    </w:p>
    <w:p w:rsidRPr="003B611D" w:rsidR="00672F76" w:rsidP="00B62430" w:rsidRDefault="00B62430" w14:paraId="3C99C1DA" w14:textId="7D967DDC">
      <w:pPr>
        <w:widowControl/>
        <w:rPr>
          <w:sz w:val="26"/>
          <w:szCs w:val="26"/>
        </w:rPr>
      </w:pPr>
      <w:r w:rsidRPr="00B62430">
        <w:rPr>
          <w:sz w:val="26"/>
          <w:szCs w:val="26"/>
        </w:rPr>
        <w:t>The data collected for this reporting requirement are not used for statistical purposes.</w:t>
      </w:r>
      <w:r w:rsidRPr="003B611D" w:rsidR="00D15A97">
        <w:rPr>
          <w:sz w:val="26"/>
          <w:szCs w:val="26"/>
        </w:rPr>
        <w:t xml:space="preserve"> </w:t>
      </w:r>
    </w:p>
    <w:sectPr w:rsidRPr="003B611D" w:rsidR="00672F76" w:rsidSect="00672F76">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85A1C" w14:textId="77777777" w:rsidR="007E407C" w:rsidRDefault="007E407C">
      <w:r>
        <w:separator/>
      </w:r>
    </w:p>
  </w:endnote>
  <w:endnote w:type="continuationSeparator" w:id="0">
    <w:p w14:paraId="37730C76" w14:textId="77777777" w:rsidR="007E407C" w:rsidRDefault="007E407C">
      <w:r>
        <w:continuationSeparator/>
      </w:r>
    </w:p>
  </w:endnote>
  <w:endnote w:type="continuationNotice" w:id="1">
    <w:p w14:paraId="681622A7" w14:textId="77777777" w:rsidR="007E407C" w:rsidRDefault="007E4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TUR">
    <w:altName w:val="Sylfaen"/>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A550A" w14:textId="77777777" w:rsidR="00F357AC" w:rsidRDefault="00F35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9C1FF" w14:textId="77777777" w:rsidR="00754B42" w:rsidRDefault="00754B42">
    <w:pPr>
      <w:pStyle w:val="Footer"/>
      <w:jc w:val="right"/>
    </w:pPr>
    <w:r>
      <w:fldChar w:fldCharType="begin"/>
    </w:r>
    <w:r>
      <w:instrText xml:space="preserve"> PAGE   \* MERGEFORMAT </w:instrText>
    </w:r>
    <w:r>
      <w:fldChar w:fldCharType="separate"/>
    </w:r>
    <w:r w:rsidR="00E8456B">
      <w:rPr>
        <w:noProof/>
      </w:rPr>
      <w:t>7</w:t>
    </w:r>
    <w:r>
      <w:rPr>
        <w:noProof/>
      </w:rPr>
      <w:fldChar w:fldCharType="end"/>
    </w:r>
  </w:p>
  <w:p w14:paraId="3C99C200" w14:textId="77777777" w:rsidR="00754B42" w:rsidRDefault="00754B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8E41D" w14:textId="77777777" w:rsidR="00F357AC" w:rsidRDefault="00F35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4DCBA" w14:textId="77777777" w:rsidR="007E407C" w:rsidRDefault="007E407C">
      <w:r>
        <w:separator/>
      </w:r>
    </w:p>
  </w:footnote>
  <w:footnote w:type="continuationSeparator" w:id="0">
    <w:p w14:paraId="732E5331" w14:textId="77777777" w:rsidR="007E407C" w:rsidRDefault="007E407C">
      <w:r>
        <w:continuationSeparator/>
      </w:r>
    </w:p>
  </w:footnote>
  <w:footnote w:type="continuationNotice" w:id="1">
    <w:p w14:paraId="033E9C89" w14:textId="77777777" w:rsidR="007E407C" w:rsidRDefault="007E407C"/>
  </w:footnote>
  <w:footnote w:id="2">
    <w:p w14:paraId="57E10988" w14:textId="5A7EAD0A" w:rsidR="00C20EEC" w:rsidRPr="00C20EEC" w:rsidRDefault="00C20EEC">
      <w:pPr>
        <w:pStyle w:val="FootnoteText"/>
        <w:rPr>
          <w:sz w:val="26"/>
          <w:szCs w:val="26"/>
        </w:rPr>
      </w:pPr>
      <w:r w:rsidRPr="00C20EEC">
        <w:rPr>
          <w:rStyle w:val="FootnoteReference"/>
          <w:sz w:val="26"/>
          <w:szCs w:val="26"/>
          <w:vertAlign w:val="superscript"/>
        </w:rPr>
        <w:footnoteRef/>
      </w:r>
      <w:r w:rsidRPr="00C20EEC">
        <w:rPr>
          <w:sz w:val="26"/>
          <w:szCs w:val="26"/>
          <w:vertAlign w:val="superscript"/>
        </w:rPr>
        <w:t xml:space="preserve"> </w:t>
      </w:r>
      <w:r>
        <w:rPr>
          <w:sz w:val="26"/>
          <w:szCs w:val="26"/>
        </w:rPr>
        <w:t xml:space="preserve">More information on </w:t>
      </w:r>
      <w:r w:rsidRPr="00C20EEC">
        <w:rPr>
          <w:sz w:val="26"/>
          <w:szCs w:val="26"/>
        </w:rPr>
        <w:t xml:space="preserve">CEII is posted at </w:t>
      </w:r>
      <w:r w:rsidR="00AF16BF" w:rsidRPr="00AF16BF">
        <w:rPr>
          <w:rStyle w:val="Hyperlink"/>
          <w:sz w:val="26"/>
          <w:szCs w:val="26"/>
        </w:rPr>
        <w:t>https://www.ferc.gov/enforcement-legal/ceii/overview</w:t>
      </w:r>
      <w:r w:rsidRPr="00C20EEC">
        <w:rPr>
          <w:sz w:val="26"/>
          <w:szCs w:val="26"/>
        </w:rPr>
        <w:t>.</w:t>
      </w:r>
    </w:p>
  </w:footnote>
  <w:footnote w:id="3">
    <w:p w14:paraId="3C99C204" w14:textId="1D9E733C" w:rsidR="004D07BD" w:rsidRDefault="00754B42" w:rsidP="00702F01">
      <w:pPr>
        <w:pStyle w:val="FootnoteText"/>
        <w:rPr>
          <w:bCs/>
          <w:sz w:val="26"/>
          <w:szCs w:val="26"/>
        </w:rPr>
      </w:pPr>
      <w:r w:rsidRPr="000F6DEE">
        <w:rPr>
          <w:rStyle w:val="FootnoteReference"/>
          <w:b/>
          <w:sz w:val="26"/>
          <w:szCs w:val="26"/>
          <w:vertAlign w:val="superscript"/>
        </w:rPr>
        <w:footnoteRef/>
      </w:r>
      <w:r w:rsidRPr="000F6DEE">
        <w:rPr>
          <w:b/>
          <w:sz w:val="26"/>
          <w:szCs w:val="26"/>
          <w:vertAlign w:val="superscript"/>
        </w:rPr>
        <w:t xml:space="preserve"> </w:t>
      </w:r>
      <w:r w:rsidRPr="000F6DEE">
        <w:rPr>
          <w:sz w:val="26"/>
          <w:szCs w:val="26"/>
          <w:u w:val="single"/>
        </w:rPr>
        <w:t>See</w:t>
      </w:r>
      <w:r w:rsidRPr="000F6DEE">
        <w:rPr>
          <w:sz w:val="26"/>
          <w:szCs w:val="26"/>
        </w:rPr>
        <w:t xml:space="preserve"> </w:t>
      </w:r>
      <w:r w:rsidRPr="000F6DEE">
        <w:rPr>
          <w:sz w:val="26"/>
          <w:szCs w:val="26"/>
          <w:u w:val="single"/>
        </w:rPr>
        <w:t>Statement of Policy on Treatment of Previously Public Documents</w:t>
      </w:r>
      <w:r w:rsidRPr="000F6DEE">
        <w:rPr>
          <w:sz w:val="26"/>
          <w:szCs w:val="26"/>
        </w:rPr>
        <w:t xml:space="preserve">, 66 Fed. Reg. 52,917 (Oct. 18, 2001), 97 FERC ¶ 61,130 (2001) [posted at </w:t>
      </w:r>
      <w:hyperlink r:id="rId1" w:history="1">
        <w:r w:rsidRPr="000F6DEE">
          <w:rPr>
            <w:rStyle w:val="Hyperlink"/>
            <w:sz w:val="26"/>
            <w:szCs w:val="26"/>
          </w:rPr>
          <w:t>http://elibrary.ferc.gov/idmws/search/intermediate.asp?link_file=yes&amp;doclist=2215938</w:t>
        </w:r>
      </w:hyperlink>
      <w:r w:rsidRPr="000F6DEE">
        <w:rPr>
          <w:sz w:val="26"/>
          <w:szCs w:val="26"/>
        </w:rPr>
        <w:t xml:space="preserve">]. </w:t>
      </w:r>
      <w:r w:rsidR="00556551" w:rsidRPr="000F6DEE">
        <w:rPr>
          <w:sz w:val="26"/>
          <w:szCs w:val="26"/>
          <w:u w:val="single"/>
        </w:rPr>
        <w:t>See</w:t>
      </w:r>
      <w:r w:rsidR="00556551" w:rsidRPr="00E2286A">
        <w:rPr>
          <w:sz w:val="26"/>
          <w:szCs w:val="26"/>
        </w:rPr>
        <w:t xml:space="preserve"> </w:t>
      </w:r>
      <w:r w:rsidRPr="00E2286A">
        <w:rPr>
          <w:sz w:val="26"/>
          <w:szCs w:val="26"/>
        </w:rPr>
        <w:t xml:space="preserve"> </w:t>
      </w:r>
      <w:r w:rsidR="00556551" w:rsidRPr="000F6DEE">
        <w:rPr>
          <w:bCs/>
          <w:sz w:val="26"/>
          <w:szCs w:val="26"/>
        </w:rPr>
        <w:t xml:space="preserve">18 C.F.R. § 388.113(c) (1) (defining Critical Energy Infrastructure Information (CEII) as information about proposed or existing critical infrastructure that (i) relates to the production, generation, transportation, transmission, or distribution of energy, (ii) could be useful to persons in planning an attack on critical infrastructure, (iii) is exempt from mandatory disclosure under the Freedom of Information Act, 5 U.S.C. 552, and (iv) does not simply give the location of the critical infrastructure.)  </w:t>
      </w:r>
    </w:p>
    <w:p w14:paraId="62B7798B" w14:textId="77777777" w:rsidR="001119E5" w:rsidRPr="00125719" w:rsidRDefault="001119E5" w:rsidP="00702F01">
      <w:pPr>
        <w:pStyle w:val="FootnoteText"/>
        <w:rPr>
          <w:sz w:val="26"/>
          <w:szCs w:val="26"/>
        </w:rPr>
      </w:pPr>
    </w:p>
  </w:footnote>
  <w:footnote w:id="4">
    <w:p w14:paraId="3C99C205" w14:textId="283832F0" w:rsidR="00754B42" w:rsidRPr="000F6DEE" w:rsidRDefault="00754B42" w:rsidP="00702F01">
      <w:pPr>
        <w:pStyle w:val="FootnoteText"/>
        <w:tabs>
          <w:tab w:val="left" w:pos="0"/>
        </w:tabs>
        <w:rPr>
          <w:sz w:val="26"/>
          <w:szCs w:val="26"/>
        </w:rPr>
      </w:pPr>
      <w:r w:rsidRPr="000F6DEE">
        <w:rPr>
          <w:rStyle w:val="FootnoteReference"/>
          <w:b/>
          <w:sz w:val="26"/>
          <w:szCs w:val="26"/>
          <w:vertAlign w:val="superscript"/>
        </w:rPr>
        <w:footnoteRef/>
      </w:r>
      <w:r w:rsidRPr="000F6DEE">
        <w:rPr>
          <w:b/>
          <w:sz w:val="26"/>
          <w:szCs w:val="26"/>
          <w:vertAlign w:val="superscript"/>
        </w:rPr>
        <w:t xml:space="preserve"> </w:t>
      </w:r>
      <w:r w:rsidRPr="000F6DEE">
        <w:rPr>
          <w:sz w:val="26"/>
          <w:szCs w:val="26"/>
        </w:rPr>
        <w:t>The FOIA process is specified in 5 U.S.C. 552 and the Commission’s regulations at 18 CFR 388.108</w:t>
      </w:r>
      <w:r w:rsidR="001119E5">
        <w:rPr>
          <w:sz w:val="26"/>
          <w:szCs w:val="26"/>
        </w:rPr>
        <w:t>, et al</w:t>
      </w:r>
      <w:r w:rsidRPr="000F6DEE">
        <w:rPr>
          <w:sz w:val="26"/>
          <w:szCs w:val="26"/>
        </w:rPr>
        <w:t>.</w:t>
      </w:r>
    </w:p>
  </w:footnote>
  <w:footnote w:id="5">
    <w:p w14:paraId="3C99C207" w14:textId="72D9C686" w:rsidR="00A876FC" w:rsidRPr="0013517B" w:rsidRDefault="00A876FC">
      <w:pPr>
        <w:pStyle w:val="FootnoteText"/>
        <w:rPr>
          <w:sz w:val="26"/>
          <w:szCs w:val="26"/>
        </w:rPr>
      </w:pPr>
      <w:r w:rsidRPr="0013517B">
        <w:rPr>
          <w:rStyle w:val="FootnoteReference"/>
          <w:sz w:val="26"/>
          <w:szCs w:val="26"/>
          <w:vertAlign w:val="superscript"/>
        </w:rPr>
        <w:footnoteRef/>
      </w:r>
      <w:r w:rsidRPr="0013517B">
        <w:rPr>
          <w:sz w:val="26"/>
          <w:szCs w:val="26"/>
        </w:rPr>
        <w:t xml:space="preserve"> </w:t>
      </w:r>
      <w:r w:rsidR="00666D09" w:rsidRPr="0013517B">
        <w:rPr>
          <w:sz w:val="26"/>
          <w:szCs w:val="26"/>
        </w:rPr>
        <w:t xml:space="preserve">Order 833 is posted in the Commission’s eLibrary at </w:t>
      </w:r>
      <w:hyperlink r:id="rId2" w:history="1">
        <w:r w:rsidR="00666D09" w:rsidRPr="0013517B">
          <w:rPr>
            <w:rStyle w:val="Hyperlink"/>
            <w:sz w:val="26"/>
            <w:szCs w:val="26"/>
          </w:rPr>
          <w:t>https://elibrary-backup.ferc.gov/idmws/common/opennat.asp?fileID=14401293</w:t>
        </w:r>
      </w:hyperlink>
      <w:r w:rsidR="0013517B">
        <w:rPr>
          <w:sz w:val="26"/>
          <w:szCs w:val="26"/>
        </w:rPr>
        <w:t xml:space="preserve"> and is included in ROCIS and reginfo.gov</w:t>
      </w:r>
      <w:r w:rsidR="00666D09" w:rsidRPr="0013517B">
        <w:rPr>
          <w:sz w:val="26"/>
          <w:szCs w:val="26"/>
        </w:rPr>
        <w:t xml:space="preserve">.  </w:t>
      </w:r>
      <w:r w:rsidRPr="0013517B">
        <w:rPr>
          <w:sz w:val="26"/>
          <w:szCs w:val="26"/>
        </w:rPr>
        <w:t xml:space="preserve">The sample CEII Request Form </w:t>
      </w:r>
      <w:r w:rsidR="00296CBB" w:rsidRPr="0013517B">
        <w:rPr>
          <w:sz w:val="26"/>
          <w:szCs w:val="26"/>
        </w:rPr>
        <w:t xml:space="preserve">was </w:t>
      </w:r>
      <w:r w:rsidRPr="0013517B">
        <w:rPr>
          <w:sz w:val="26"/>
          <w:szCs w:val="26"/>
        </w:rPr>
        <w:t>posted with th</w:t>
      </w:r>
      <w:r w:rsidR="000F6DEE">
        <w:rPr>
          <w:sz w:val="26"/>
          <w:szCs w:val="26"/>
        </w:rPr>
        <w:t>e</w:t>
      </w:r>
      <w:r w:rsidRPr="0013517B">
        <w:rPr>
          <w:sz w:val="26"/>
          <w:szCs w:val="26"/>
        </w:rPr>
        <w:t xml:space="preserve"> Notice in Docket No. IC</w:t>
      </w:r>
      <w:r w:rsidR="001119E5">
        <w:rPr>
          <w:sz w:val="26"/>
          <w:szCs w:val="26"/>
        </w:rPr>
        <w:t>20</w:t>
      </w:r>
      <w:r w:rsidRPr="0013517B">
        <w:rPr>
          <w:sz w:val="26"/>
          <w:szCs w:val="26"/>
        </w:rPr>
        <w:t>-</w:t>
      </w:r>
      <w:r w:rsidR="001119E5">
        <w:rPr>
          <w:sz w:val="26"/>
          <w:szCs w:val="26"/>
        </w:rPr>
        <w:t>1</w:t>
      </w:r>
      <w:r w:rsidR="004D07BD" w:rsidRPr="0013517B">
        <w:rPr>
          <w:sz w:val="26"/>
          <w:szCs w:val="26"/>
        </w:rPr>
        <w:t>3</w:t>
      </w:r>
      <w:r w:rsidRPr="0013517B">
        <w:rPr>
          <w:sz w:val="26"/>
          <w:szCs w:val="26"/>
        </w:rPr>
        <w:t xml:space="preserve"> in eLibrary</w:t>
      </w:r>
      <w:r w:rsidR="000F6DEE">
        <w:rPr>
          <w:sz w:val="26"/>
          <w:szCs w:val="26"/>
        </w:rPr>
        <w:t xml:space="preserve"> at </w:t>
      </w:r>
      <w:hyperlink r:id="rId3" w:history="1">
        <w:r w:rsidR="000F6DEE" w:rsidRPr="000E09C4">
          <w:rPr>
            <w:rStyle w:val="Hyperlink"/>
            <w:sz w:val="26"/>
            <w:szCs w:val="26"/>
          </w:rPr>
          <w:t>https://elibrary.ferc.gov/idmws/common/opennat.asp?fileID=14470411</w:t>
        </w:r>
      </w:hyperlink>
      <w:r w:rsidR="000F6DEE">
        <w:rPr>
          <w:sz w:val="26"/>
          <w:szCs w:val="26"/>
        </w:rPr>
        <w:t xml:space="preserve"> </w:t>
      </w:r>
      <w:r w:rsidRPr="0013517B">
        <w:rPr>
          <w:sz w:val="26"/>
          <w:szCs w:val="26"/>
        </w:rPr>
        <w:t>.</w:t>
      </w:r>
    </w:p>
  </w:footnote>
  <w:footnote w:id="6">
    <w:p w14:paraId="79875B1B" w14:textId="6DFBD9B3" w:rsidR="006E1CDD" w:rsidRPr="00E2286A" w:rsidRDefault="006E1CDD">
      <w:pPr>
        <w:pStyle w:val="FootnoteText"/>
        <w:rPr>
          <w:sz w:val="26"/>
          <w:szCs w:val="26"/>
        </w:rPr>
      </w:pPr>
      <w:r w:rsidRPr="00E2286A">
        <w:rPr>
          <w:rStyle w:val="FootnoteReference"/>
          <w:sz w:val="26"/>
          <w:szCs w:val="26"/>
          <w:vertAlign w:val="superscript"/>
        </w:rPr>
        <w:footnoteRef/>
      </w:r>
      <w:r w:rsidRPr="00E2286A">
        <w:rPr>
          <w:sz w:val="26"/>
          <w:szCs w:val="26"/>
          <w:vertAlign w:val="superscript"/>
        </w:rPr>
        <w:t xml:space="preserve"> </w:t>
      </w:r>
      <w:r w:rsidR="00D368CA" w:rsidRPr="00E2286A">
        <w:rPr>
          <w:sz w:val="26"/>
          <w:szCs w:val="26"/>
        </w:rPr>
        <w:t xml:space="preserve">The 60-day notice was published at </w:t>
      </w:r>
      <w:r w:rsidRPr="00E2286A">
        <w:rPr>
          <w:sz w:val="26"/>
          <w:szCs w:val="26"/>
        </w:rPr>
        <w:t>8</w:t>
      </w:r>
      <w:r>
        <w:rPr>
          <w:sz w:val="26"/>
          <w:szCs w:val="26"/>
        </w:rPr>
        <w:t>5 FR 1732</w:t>
      </w:r>
      <w:r w:rsidR="00D368CA">
        <w:rPr>
          <w:sz w:val="26"/>
          <w:szCs w:val="26"/>
        </w:rPr>
        <w:t>6</w:t>
      </w:r>
      <w:r>
        <w:rPr>
          <w:sz w:val="26"/>
          <w:szCs w:val="26"/>
        </w:rPr>
        <w:t xml:space="preserve"> </w:t>
      </w:r>
      <w:r w:rsidR="00D368CA">
        <w:rPr>
          <w:sz w:val="26"/>
          <w:szCs w:val="26"/>
        </w:rPr>
        <w:t>(</w:t>
      </w:r>
      <w:r>
        <w:rPr>
          <w:sz w:val="26"/>
          <w:szCs w:val="26"/>
        </w:rPr>
        <w:t>3/27/2020</w:t>
      </w:r>
      <w:r w:rsidR="00D368CA">
        <w:rPr>
          <w:sz w:val="26"/>
          <w:szCs w:val="26"/>
        </w:rPr>
        <w:t xml:space="preserve">). </w:t>
      </w:r>
      <w:r w:rsidR="00A223E5">
        <w:rPr>
          <w:sz w:val="26"/>
          <w:szCs w:val="26"/>
        </w:rPr>
        <w:t xml:space="preserve">In addition, FERC issued an Errata Notice on 4/1/2020 (posted in eLibrary at </w:t>
      </w:r>
      <w:hyperlink r:id="rId4" w:history="1">
        <w:r w:rsidR="00A223E5" w:rsidRPr="00024839">
          <w:rPr>
            <w:rStyle w:val="Hyperlink"/>
            <w:sz w:val="26"/>
            <w:szCs w:val="26"/>
          </w:rPr>
          <w:t>https://elibrary.ferc.gov/idmws/common/OpenNat.asp?fileID=15501007</w:t>
        </w:r>
      </w:hyperlink>
      <w:r w:rsidR="00A223E5">
        <w:rPr>
          <w:sz w:val="26"/>
          <w:szCs w:val="26"/>
        </w:rPr>
        <w:t xml:space="preserve"> and </w:t>
      </w:r>
      <w:hyperlink r:id="rId5" w:history="1">
        <w:r w:rsidR="00DE191A" w:rsidRPr="00024839">
          <w:rPr>
            <w:rStyle w:val="Hyperlink"/>
            <w:sz w:val="26"/>
            <w:szCs w:val="26"/>
          </w:rPr>
          <w:t>https://elibrary.ferc.gov/idmws/common/OpenNat.asp?fileID=15501008</w:t>
        </w:r>
      </w:hyperlink>
      <w:r w:rsidR="00A223E5">
        <w:rPr>
          <w:sz w:val="26"/>
          <w:szCs w:val="26"/>
        </w:rPr>
        <w:t>).</w:t>
      </w:r>
    </w:p>
  </w:footnote>
  <w:footnote w:id="7">
    <w:p w14:paraId="5197328E" w14:textId="54551595" w:rsidR="00931D0A" w:rsidRPr="00115567" w:rsidRDefault="00931D0A">
      <w:pPr>
        <w:pStyle w:val="FootnoteText"/>
        <w:rPr>
          <w:sz w:val="26"/>
          <w:szCs w:val="26"/>
        </w:rPr>
      </w:pPr>
      <w:r w:rsidRPr="00115567">
        <w:rPr>
          <w:rStyle w:val="FootnoteReference"/>
          <w:sz w:val="26"/>
          <w:szCs w:val="26"/>
          <w:vertAlign w:val="superscript"/>
        </w:rPr>
        <w:footnoteRef/>
      </w:r>
      <w:r w:rsidRPr="00115567">
        <w:rPr>
          <w:sz w:val="26"/>
          <w:szCs w:val="26"/>
          <w:vertAlign w:val="superscript"/>
        </w:rPr>
        <w:t xml:space="preserve"> </w:t>
      </w:r>
      <w:r w:rsidRPr="00115567">
        <w:rPr>
          <w:sz w:val="26"/>
          <w:szCs w:val="26"/>
        </w:rPr>
        <w:t xml:space="preserve">The Notice and attachment are posted in the Commission’s eLibrary at </w:t>
      </w:r>
      <w:hyperlink r:id="rId6" w:history="1">
        <w:r w:rsidRPr="00115567">
          <w:rPr>
            <w:rStyle w:val="Hyperlink"/>
            <w:sz w:val="26"/>
            <w:szCs w:val="26"/>
          </w:rPr>
          <w:t>https://elibrary.ferc.gov/idmws/common/OpenNat.asp?fileID=15580906</w:t>
        </w:r>
      </w:hyperlink>
      <w:r w:rsidRPr="00115567">
        <w:rPr>
          <w:sz w:val="26"/>
          <w:szCs w:val="26"/>
        </w:rPr>
        <w:t xml:space="preserve"> and </w:t>
      </w:r>
      <w:hyperlink r:id="rId7" w:history="1">
        <w:r w:rsidRPr="00115567">
          <w:rPr>
            <w:rStyle w:val="Hyperlink"/>
            <w:sz w:val="26"/>
            <w:szCs w:val="26"/>
          </w:rPr>
          <w:t>https://elibrary.ferc.gov/idmws/common/OpenNat.asp?fileID=15580907</w:t>
        </w:r>
      </w:hyperlink>
      <w:r w:rsidRPr="00115567">
        <w:rPr>
          <w:sz w:val="26"/>
          <w:szCs w:val="26"/>
        </w:rPr>
        <w:t xml:space="preserve">.  </w:t>
      </w:r>
      <w:r>
        <w:rPr>
          <w:sz w:val="26"/>
          <w:szCs w:val="26"/>
        </w:rPr>
        <w:t>They are also included in ROCIS and reginfo.gov.</w:t>
      </w:r>
    </w:p>
  </w:footnote>
  <w:footnote w:id="8">
    <w:p w14:paraId="50D6D42F" w14:textId="1BC8E40C" w:rsidR="00E1528E" w:rsidRDefault="00E1528E">
      <w:pPr>
        <w:pStyle w:val="FootnoteText"/>
      </w:pPr>
      <w:r w:rsidRPr="00B74CB4">
        <w:rPr>
          <w:rStyle w:val="FootnoteReference"/>
          <w:sz w:val="26"/>
          <w:szCs w:val="26"/>
          <w:vertAlign w:val="superscript"/>
        </w:rPr>
        <w:footnoteRef/>
      </w:r>
      <w:r w:rsidRPr="00B74CB4">
        <w:rPr>
          <w:sz w:val="26"/>
          <w:szCs w:val="26"/>
          <w:vertAlign w:val="superscript"/>
        </w:rPr>
        <w:t xml:space="preserve"> </w:t>
      </w:r>
      <w:r w:rsidRPr="003A7040">
        <w:rPr>
          <w:sz w:val="26"/>
          <w:szCs w:val="26"/>
        </w:rPr>
        <w:t>The Commission staff thinks that the average respondent for this collection is similarly situated to the Commission, in terms of salary plus benefits.  Based upon the FERC’s 2019 average cost for salary plus benefits, the average hourly cost is $80/hour.</w:t>
      </w:r>
    </w:p>
  </w:footnote>
  <w:footnote w:id="9">
    <w:p w14:paraId="03737912" w14:textId="284D4162" w:rsidR="00057A8A" w:rsidRPr="00B74CB4" w:rsidRDefault="00057A8A">
      <w:pPr>
        <w:pStyle w:val="FootnoteText"/>
        <w:rPr>
          <w:sz w:val="26"/>
          <w:szCs w:val="26"/>
        </w:rPr>
      </w:pPr>
      <w:r w:rsidRPr="00B74CB4">
        <w:rPr>
          <w:rStyle w:val="FootnoteReference"/>
          <w:sz w:val="26"/>
          <w:szCs w:val="26"/>
          <w:vertAlign w:val="superscript"/>
        </w:rPr>
        <w:footnoteRef/>
      </w:r>
      <w:r w:rsidRPr="00B74CB4">
        <w:rPr>
          <w:sz w:val="26"/>
          <w:szCs w:val="26"/>
          <w:vertAlign w:val="superscript"/>
        </w:rPr>
        <w:t xml:space="preserve"> </w:t>
      </w:r>
      <w:r w:rsidRPr="00B74CB4">
        <w:rPr>
          <w:sz w:val="26"/>
          <w:szCs w:val="26"/>
        </w:rPr>
        <w:t>The FY2019 average Commission cost (for wages plus benefits) per FTE (Full-Time Equivalent) is $167,091 (or $80/hour).</w:t>
      </w:r>
    </w:p>
  </w:footnote>
  <w:footnote w:id="10">
    <w:p w14:paraId="3C99C212" w14:textId="77777777" w:rsidR="00754B42" w:rsidRPr="001E38F3" w:rsidRDefault="00754B42" w:rsidP="00556455">
      <w:pPr>
        <w:pStyle w:val="FootnoteText"/>
        <w:rPr>
          <w:sz w:val="26"/>
          <w:szCs w:val="26"/>
        </w:rPr>
      </w:pPr>
      <w:r w:rsidRPr="00977331">
        <w:rPr>
          <w:rStyle w:val="FootnoteReference"/>
          <w:sz w:val="26"/>
          <w:szCs w:val="26"/>
          <w:vertAlign w:val="superscript"/>
        </w:rPr>
        <w:footnoteRef/>
      </w:r>
      <w:r w:rsidRPr="001E38F3">
        <w:rPr>
          <w:sz w:val="26"/>
          <w:szCs w:val="26"/>
        </w:rPr>
        <w:t xml:space="preserve"> Paperwork Reduction Act of 1995 (PRA)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5F2BA" w14:textId="77777777" w:rsidR="00F357AC" w:rsidRDefault="00F35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9C1FE" w14:textId="34CA7B3B" w:rsidR="00754B42" w:rsidRPr="006A6B13" w:rsidRDefault="00D15A97" w:rsidP="00977331">
    <w:pPr>
      <w:spacing w:line="240" w:lineRule="exact"/>
      <w:rPr>
        <w:rFonts w:ascii="Times New Roman TUR" w:hAnsi="Times New Roman TUR" w:cs="Times New Roman TUR"/>
        <w:b/>
        <w:bCs/>
        <w:sz w:val="26"/>
        <w:szCs w:val="26"/>
      </w:rPr>
    </w:pPr>
    <w:r w:rsidRPr="006A6B13">
      <w:rPr>
        <w:rFonts w:ascii="Times New Roman TUR" w:hAnsi="Times New Roman TUR" w:cs="Times New Roman TUR"/>
        <w:b/>
        <w:bCs/>
        <w:sz w:val="26"/>
        <w:szCs w:val="26"/>
      </w:rPr>
      <w:t>FERC-603 (OMB Control No. 1902-0197)</w:t>
    </w:r>
  </w:p>
  <w:p w14:paraId="36A84B9A" w14:textId="3EF414B0" w:rsidR="00977331" w:rsidRDefault="00A30C90" w:rsidP="00977331">
    <w:pPr>
      <w:spacing w:line="240" w:lineRule="exact"/>
      <w:rPr>
        <w:rFonts w:ascii="Times New Roman TUR" w:hAnsi="Times New Roman TUR" w:cs="Times New Roman TUR"/>
        <w:b/>
        <w:bCs/>
        <w:sz w:val="26"/>
        <w:szCs w:val="26"/>
      </w:rPr>
    </w:pPr>
    <w:r w:rsidRPr="006A6B13">
      <w:rPr>
        <w:rFonts w:ascii="Times New Roman TUR" w:hAnsi="Times New Roman TUR" w:cs="Times New Roman TUR"/>
        <w:b/>
        <w:bCs/>
        <w:sz w:val="26"/>
        <w:szCs w:val="26"/>
      </w:rPr>
      <w:t>(Renewal in Docket No. IC20-</w:t>
    </w:r>
    <w:r w:rsidR="006A6B13" w:rsidRPr="006A6B13">
      <w:rPr>
        <w:rFonts w:ascii="Times New Roman TUR" w:hAnsi="Times New Roman TUR" w:cs="Times New Roman TUR"/>
        <w:b/>
        <w:bCs/>
        <w:sz w:val="26"/>
        <w:szCs w:val="26"/>
      </w:rPr>
      <w:t>13</w:t>
    </w:r>
    <w:r w:rsidRPr="006A6B13">
      <w:rPr>
        <w:rFonts w:ascii="Times New Roman TUR" w:hAnsi="Times New Roman TUR" w:cs="Times New Roman TUR"/>
        <w:b/>
        <w:bCs/>
        <w:sz w:val="26"/>
        <w:szCs w:val="26"/>
      </w:rPr>
      <w:t>)</w:t>
    </w:r>
  </w:p>
  <w:p w14:paraId="4F148D4B" w14:textId="77777777" w:rsidR="00D15A97" w:rsidRDefault="00D15A97" w:rsidP="00D15A97">
    <w:pPr>
      <w:spacing w:line="240" w:lineRule="exact"/>
      <w:rPr>
        <w:rFonts w:ascii="Times New Roman TUR" w:hAnsi="Times New Roman TUR" w:cs="Times New Roman TUR"/>
        <w:b/>
        <w:bCs/>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8C990" w14:textId="77777777" w:rsidR="00F357AC" w:rsidRDefault="00F35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Letters"/>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6533B84"/>
    <w:multiLevelType w:val="hybridMultilevel"/>
    <w:tmpl w:val="CEEC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B818E"/>
    <w:multiLevelType w:val="hybridMultilevel"/>
    <w:tmpl w:val="8002E1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0EE2CB0"/>
    <w:multiLevelType w:val="hybridMultilevel"/>
    <w:tmpl w:val="E6945488"/>
    <w:lvl w:ilvl="0" w:tplc="FFFFFFFF">
      <w:start w:val="1"/>
      <w:numFmt w:val="decimal"/>
      <w:lvlText w:val="%1."/>
      <w:lvlJc w:val="left"/>
      <w:pPr>
        <w:tabs>
          <w:tab w:val="num" w:pos="360"/>
        </w:tabs>
        <w:ind w:left="360" w:hanging="360"/>
      </w:pPr>
      <w:rPr>
        <w:b w:val="0"/>
      </w:rPr>
    </w:lvl>
    <w:lvl w:ilvl="1" w:tplc="FFFFFFFF">
      <w:start w:val="2"/>
      <w:numFmt w:val="upperRoman"/>
      <w:lvlText w:val="%2."/>
      <w:lvlJc w:val="left"/>
      <w:pPr>
        <w:tabs>
          <w:tab w:val="num" w:pos="1800"/>
        </w:tabs>
        <w:ind w:left="1800" w:hanging="720"/>
      </w:pPr>
      <w:rPr>
        <w:rFonts w:hint="default"/>
      </w:rPr>
    </w:lvl>
    <w:lvl w:ilvl="2" w:tplc="FFFFFFFF">
      <w:start w:val="5"/>
      <w:numFmt w:val="upperLetter"/>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FB756CA"/>
    <w:multiLevelType w:val="hybridMultilevel"/>
    <w:tmpl w:val="18FE1BC0"/>
    <w:lvl w:ilvl="0" w:tplc="DF16CB4E">
      <w:start w:val="2"/>
      <w:numFmt w:val="decimal"/>
      <w:lvlText w:val="%1."/>
      <w:lvlJc w:val="left"/>
      <w:pPr>
        <w:tabs>
          <w:tab w:val="num" w:pos="720"/>
        </w:tabs>
        <w:ind w:left="720" w:hanging="360"/>
      </w:pPr>
      <w:rPr>
        <w:rFonts w:hint="default"/>
        <w:sz w:val="26"/>
        <w:szCs w:val="2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595E78"/>
    <w:multiLevelType w:val="hybridMultilevel"/>
    <w:tmpl w:val="B4CC9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0"/>
    <w:lvlOverride w:ilvl="0">
      <w:startOverride w:val="2"/>
      <w:lvl w:ilvl="0">
        <w:start w:val="2"/>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4"/>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F76"/>
    <w:rsid w:val="00007A1D"/>
    <w:rsid w:val="00015B53"/>
    <w:rsid w:val="00021484"/>
    <w:rsid w:val="000263A4"/>
    <w:rsid w:val="000278D3"/>
    <w:rsid w:val="00041B04"/>
    <w:rsid w:val="00057A8A"/>
    <w:rsid w:val="00071EA4"/>
    <w:rsid w:val="00072824"/>
    <w:rsid w:val="00085B27"/>
    <w:rsid w:val="00095A11"/>
    <w:rsid w:val="000A4EA5"/>
    <w:rsid w:val="000C10BF"/>
    <w:rsid w:val="000C4E55"/>
    <w:rsid w:val="000C5411"/>
    <w:rsid w:val="000C5BBF"/>
    <w:rsid w:val="000C775A"/>
    <w:rsid w:val="000C777B"/>
    <w:rsid w:val="000E340C"/>
    <w:rsid w:val="000E6C7B"/>
    <w:rsid w:val="000F1ECF"/>
    <w:rsid w:val="000F6DEE"/>
    <w:rsid w:val="000F71B1"/>
    <w:rsid w:val="000F7704"/>
    <w:rsid w:val="001119E5"/>
    <w:rsid w:val="00115567"/>
    <w:rsid w:val="001158E3"/>
    <w:rsid w:val="0012008C"/>
    <w:rsid w:val="00125719"/>
    <w:rsid w:val="0013517B"/>
    <w:rsid w:val="00135C61"/>
    <w:rsid w:val="00137CDC"/>
    <w:rsid w:val="00141271"/>
    <w:rsid w:val="001523E6"/>
    <w:rsid w:val="00152474"/>
    <w:rsid w:val="0016359C"/>
    <w:rsid w:val="00171CF1"/>
    <w:rsid w:val="00176650"/>
    <w:rsid w:val="00182033"/>
    <w:rsid w:val="00182D96"/>
    <w:rsid w:val="00185025"/>
    <w:rsid w:val="0018595C"/>
    <w:rsid w:val="00186E5C"/>
    <w:rsid w:val="00190C34"/>
    <w:rsid w:val="001929ED"/>
    <w:rsid w:val="001A4677"/>
    <w:rsid w:val="001B3471"/>
    <w:rsid w:val="001C5C17"/>
    <w:rsid w:val="001D39F3"/>
    <w:rsid w:val="001D6893"/>
    <w:rsid w:val="001E38F3"/>
    <w:rsid w:val="001E63C8"/>
    <w:rsid w:val="00207C45"/>
    <w:rsid w:val="00213434"/>
    <w:rsid w:val="00213925"/>
    <w:rsid w:val="0021618C"/>
    <w:rsid w:val="00222BEC"/>
    <w:rsid w:val="002321D6"/>
    <w:rsid w:val="00251C8A"/>
    <w:rsid w:val="00255213"/>
    <w:rsid w:val="002578C4"/>
    <w:rsid w:val="002728A7"/>
    <w:rsid w:val="00277D5E"/>
    <w:rsid w:val="00284C53"/>
    <w:rsid w:val="00291224"/>
    <w:rsid w:val="00291C4D"/>
    <w:rsid w:val="00296CBB"/>
    <w:rsid w:val="00297FDC"/>
    <w:rsid w:val="002A05A1"/>
    <w:rsid w:val="002A0D83"/>
    <w:rsid w:val="002A7409"/>
    <w:rsid w:val="002B1B0F"/>
    <w:rsid w:val="002C11B3"/>
    <w:rsid w:val="002C5DBD"/>
    <w:rsid w:val="002D3292"/>
    <w:rsid w:val="002D6174"/>
    <w:rsid w:val="002D71B8"/>
    <w:rsid w:val="002E0361"/>
    <w:rsid w:val="002E0EB5"/>
    <w:rsid w:val="002E629C"/>
    <w:rsid w:val="002E745F"/>
    <w:rsid w:val="002F79AB"/>
    <w:rsid w:val="00302D82"/>
    <w:rsid w:val="0030603A"/>
    <w:rsid w:val="00313EA6"/>
    <w:rsid w:val="00322F17"/>
    <w:rsid w:val="00325512"/>
    <w:rsid w:val="00327D52"/>
    <w:rsid w:val="00335C7C"/>
    <w:rsid w:val="00336B51"/>
    <w:rsid w:val="00340944"/>
    <w:rsid w:val="00341324"/>
    <w:rsid w:val="0034353D"/>
    <w:rsid w:val="0034571B"/>
    <w:rsid w:val="00351FDF"/>
    <w:rsid w:val="003578D7"/>
    <w:rsid w:val="00357A7F"/>
    <w:rsid w:val="00360B7D"/>
    <w:rsid w:val="00363E8C"/>
    <w:rsid w:val="003758F2"/>
    <w:rsid w:val="00380C1E"/>
    <w:rsid w:val="00381F79"/>
    <w:rsid w:val="003A2C48"/>
    <w:rsid w:val="003A56AB"/>
    <w:rsid w:val="003A7242"/>
    <w:rsid w:val="003B0C8F"/>
    <w:rsid w:val="003B381F"/>
    <w:rsid w:val="003B3FFE"/>
    <w:rsid w:val="003B611D"/>
    <w:rsid w:val="003C56B9"/>
    <w:rsid w:val="003D7B3F"/>
    <w:rsid w:val="003F60C2"/>
    <w:rsid w:val="004020B5"/>
    <w:rsid w:val="004225C3"/>
    <w:rsid w:val="00423457"/>
    <w:rsid w:val="00433CED"/>
    <w:rsid w:val="00440FFE"/>
    <w:rsid w:val="00450EEE"/>
    <w:rsid w:val="00460EB8"/>
    <w:rsid w:val="004715DD"/>
    <w:rsid w:val="00472B0B"/>
    <w:rsid w:val="004731A8"/>
    <w:rsid w:val="004735E2"/>
    <w:rsid w:val="00482E1F"/>
    <w:rsid w:val="004838F8"/>
    <w:rsid w:val="004A10D4"/>
    <w:rsid w:val="004A15F6"/>
    <w:rsid w:val="004B1398"/>
    <w:rsid w:val="004C66C0"/>
    <w:rsid w:val="004D07BD"/>
    <w:rsid w:val="004E0909"/>
    <w:rsid w:val="004F76E7"/>
    <w:rsid w:val="005034B0"/>
    <w:rsid w:val="005038DF"/>
    <w:rsid w:val="00507F3B"/>
    <w:rsid w:val="00516C78"/>
    <w:rsid w:val="005221C2"/>
    <w:rsid w:val="00533FF0"/>
    <w:rsid w:val="00551D64"/>
    <w:rsid w:val="0055357F"/>
    <w:rsid w:val="00554E89"/>
    <w:rsid w:val="00556455"/>
    <w:rsid w:val="00556551"/>
    <w:rsid w:val="005601C8"/>
    <w:rsid w:val="00564B16"/>
    <w:rsid w:val="00586308"/>
    <w:rsid w:val="00590F7E"/>
    <w:rsid w:val="0059660F"/>
    <w:rsid w:val="00597BAA"/>
    <w:rsid w:val="005B2E38"/>
    <w:rsid w:val="005C4E51"/>
    <w:rsid w:val="005E1267"/>
    <w:rsid w:val="005F1136"/>
    <w:rsid w:val="005F692E"/>
    <w:rsid w:val="00600E2C"/>
    <w:rsid w:val="0061064E"/>
    <w:rsid w:val="006110A6"/>
    <w:rsid w:val="00630687"/>
    <w:rsid w:val="00630DE1"/>
    <w:rsid w:val="00633878"/>
    <w:rsid w:val="0063619C"/>
    <w:rsid w:val="006373F9"/>
    <w:rsid w:val="0064291F"/>
    <w:rsid w:val="006507EE"/>
    <w:rsid w:val="00650D88"/>
    <w:rsid w:val="0065149D"/>
    <w:rsid w:val="00656AC4"/>
    <w:rsid w:val="00657D5C"/>
    <w:rsid w:val="00663861"/>
    <w:rsid w:val="00663E48"/>
    <w:rsid w:val="00665EC0"/>
    <w:rsid w:val="00666D09"/>
    <w:rsid w:val="006678D4"/>
    <w:rsid w:val="00670171"/>
    <w:rsid w:val="00672F76"/>
    <w:rsid w:val="00674914"/>
    <w:rsid w:val="00676B02"/>
    <w:rsid w:val="006802AF"/>
    <w:rsid w:val="00685DB4"/>
    <w:rsid w:val="006A4F71"/>
    <w:rsid w:val="006A6B13"/>
    <w:rsid w:val="006B0140"/>
    <w:rsid w:val="006C0E3E"/>
    <w:rsid w:val="006D201D"/>
    <w:rsid w:val="006D3B5B"/>
    <w:rsid w:val="006E1CDD"/>
    <w:rsid w:val="006F1405"/>
    <w:rsid w:val="006F1FAC"/>
    <w:rsid w:val="006F3663"/>
    <w:rsid w:val="00701EC5"/>
    <w:rsid w:val="00702112"/>
    <w:rsid w:val="00702F01"/>
    <w:rsid w:val="007050EF"/>
    <w:rsid w:val="00705672"/>
    <w:rsid w:val="00710B86"/>
    <w:rsid w:val="007304C1"/>
    <w:rsid w:val="00735400"/>
    <w:rsid w:val="00743F5D"/>
    <w:rsid w:val="00754B42"/>
    <w:rsid w:val="0075551D"/>
    <w:rsid w:val="00785C23"/>
    <w:rsid w:val="00791296"/>
    <w:rsid w:val="0079380E"/>
    <w:rsid w:val="007A1712"/>
    <w:rsid w:val="007B7BA2"/>
    <w:rsid w:val="007C0388"/>
    <w:rsid w:val="007C5E8F"/>
    <w:rsid w:val="007D0799"/>
    <w:rsid w:val="007D687F"/>
    <w:rsid w:val="007D72C0"/>
    <w:rsid w:val="007E259D"/>
    <w:rsid w:val="007E407C"/>
    <w:rsid w:val="007F2086"/>
    <w:rsid w:val="00801499"/>
    <w:rsid w:val="00805628"/>
    <w:rsid w:val="008159BB"/>
    <w:rsid w:val="00822691"/>
    <w:rsid w:val="0082651C"/>
    <w:rsid w:val="00836D10"/>
    <w:rsid w:val="00837E76"/>
    <w:rsid w:val="00841580"/>
    <w:rsid w:val="008435F9"/>
    <w:rsid w:val="00860CA6"/>
    <w:rsid w:val="008619EC"/>
    <w:rsid w:val="00863174"/>
    <w:rsid w:val="00875A44"/>
    <w:rsid w:val="00881F81"/>
    <w:rsid w:val="00883C72"/>
    <w:rsid w:val="008923C6"/>
    <w:rsid w:val="008963A5"/>
    <w:rsid w:val="0089680C"/>
    <w:rsid w:val="008A0238"/>
    <w:rsid w:val="008A3D29"/>
    <w:rsid w:val="008B1F38"/>
    <w:rsid w:val="008B2545"/>
    <w:rsid w:val="008B46C6"/>
    <w:rsid w:val="008B5BF7"/>
    <w:rsid w:val="008B6646"/>
    <w:rsid w:val="008C3782"/>
    <w:rsid w:val="008C6011"/>
    <w:rsid w:val="008D003B"/>
    <w:rsid w:val="008D2211"/>
    <w:rsid w:val="008D4B03"/>
    <w:rsid w:val="008D51C6"/>
    <w:rsid w:val="008D7409"/>
    <w:rsid w:val="008E05FD"/>
    <w:rsid w:val="008E073C"/>
    <w:rsid w:val="008E2593"/>
    <w:rsid w:val="008E6544"/>
    <w:rsid w:val="009005E3"/>
    <w:rsid w:val="00900BF0"/>
    <w:rsid w:val="00901EDB"/>
    <w:rsid w:val="00912061"/>
    <w:rsid w:val="00925C9D"/>
    <w:rsid w:val="00926FBA"/>
    <w:rsid w:val="0093009C"/>
    <w:rsid w:val="00931D0A"/>
    <w:rsid w:val="00932703"/>
    <w:rsid w:val="00933AF4"/>
    <w:rsid w:val="00957EFF"/>
    <w:rsid w:val="00962952"/>
    <w:rsid w:val="00977331"/>
    <w:rsid w:val="00980119"/>
    <w:rsid w:val="00983919"/>
    <w:rsid w:val="00983AEA"/>
    <w:rsid w:val="00984F2F"/>
    <w:rsid w:val="009863EC"/>
    <w:rsid w:val="009868CF"/>
    <w:rsid w:val="009941D4"/>
    <w:rsid w:val="0099684B"/>
    <w:rsid w:val="009B1C4C"/>
    <w:rsid w:val="009C0F5A"/>
    <w:rsid w:val="009D1102"/>
    <w:rsid w:val="009E0D5D"/>
    <w:rsid w:val="009F59F4"/>
    <w:rsid w:val="00A11F7B"/>
    <w:rsid w:val="00A12934"/>
    <w:rsid w:val="00A132B0"/>
    <w:rsid w:val="00A16378"/>
    <w:rsid w:val="00A163F9"/>
    <w:rsid w:val="00A204AA"/>
    <w:rsid w:val="00A21F8C"/>
    <w:rsid w:val="00A223E5"/>
    <w:rsid w:val="00A2619B"/>
    <w:rsid w:val="00A303C4"/>
    <w:rsid w:val="00A30C90"/>
    <w:rsid w:val="00A40911"/>
    <w:rsid w:val="00A41264"/>
    <w:rsid w:val="00A45F34"/>
    <w:rsid w:val="00A47A2A"/>
    <w:rsid w:val="00A51B77"/>
    <w:rsid w:val="00A564CB"/>
    <w:rsid w:val="00A652E5"/>
    <w:rsid w:val="00A76D8D"/>
    <w:rsid w:val="00A8309D"/>
    <w:rsid w:val="00A876FC"/>
    <w:rsid w:val="00A956A2"/>
    <w:rsid w:val="00AB3672"/>
    <w:rsid w:val="00AD0BC9"/>
    <w:rsid w:val="00AD1119"/>
    <w:rsid w:val="00AE09EF"/>
    <w:rsid w:val="00AE1368"/>
    <w:rsid w:val="00AE1551"/>
    <w:rsid w:val="00AE61D6"/>
    <w:rsid w:val="00AF16BF"/>
    <w:rsid w:val="00B01CD6"/>
    <w:rsid w:val="00B032B6"/>
    <w:rsid w:val="00B0525A"/>
    <w:rsid w:val="00B10047"/>
    <w:rsid w:val="00B2389A"/>
    <w:rsid w:val="00B30CED"/>
    <w:rsid w:val="00B3509D"/>
    <w:rsid w:val="00B461FC"/>
    <w:rsid w:val="00B50149"/>
    <w:rsid w:val="00B62430"/>
    <w:rsid w:val="00B63D14"/>
    <w:rsid w:val="00B641F0"/>
    <w:rsid w:val="00B64B02"/>
    <w:rsid w:val="00B73113"/>
    <w:rsid w:val="00B7405C"/>
    <w:rsid w:val="00B74CB4"/>
    <w:rsid w:val="00B76B5A"/>
    <w:rsid w:val="00B92E0F"/>
    <w:rsid w:val="00BA0C77"/>
    <w:rsid w:val="00BB056F"/>
    <w:rsid w:val="00BB2419"/>
    <w:rsid w:val="00BD0C2D"/>
    <w:rsid w:val="00BD1837"/>
    <w:rsid w:val="00BD20F5"/>
    <w:rsid w:val="00BD7E63"/>
    <w:rsid w:val="00C03AE5"/>
    <w:rsid w:val="00C05C10"/>
    <w:rsid w:val="00C074D9"/>
    <w:rsid w:val="00C20EEC"/>
    <w:rsid w:val="00C226C3"/>
    <w:rsid w:val="00C35383"/>
    <w:rsid w:val="00C421C7"/>
    <w:rsid w:val="00C6619B"/>
    <w:rsid w:val="00C916C0"/>
    <w:rsid w:val="00CA3986"/>
    <w:rsid w:val="00CB4413"/>
    <w:rsid w:val="00CD670E"/>
    <w:rsid w:val="00CE5CAA"/>
    <w:rsid w:val="00CF0072"/>
    <w:rsid w:val="00CF108A"/>
    <w:rsid w:val="00D03CD3"/>
    <w:rsid w:val="00D068A0"/>
    <w:rsid w:val="00D14E7A"/>
    <w:rsid w:val="00D154D5"/>
    <w:rsid w:val="00D15A97"/>
    <w:rsid w:val="00D221ED"/>
    <w:rsid w:val="00D22E81"/>
    <w:rsid w:val="00D368CA"/>
    <w:rsid w:val="00D4177B"/>
    <w:rsid w:val="00D46020"/>
    <w:rsid w:val="00D56C19"/>
    <w:rsid w:val="00D62BAA"/>
    <w:rsid w:val="00D64C73"/>
    <w:rsid w:val="00D70527"/>
    <w:rsid w:val="00D7372F"/>
    <w:rsid w:val="00D83226"/>
    <w:rsid w:val="00D848D4"/>
    <w:rsid w:val="00D84EC7"/>
    <w:rsid w:val="00D859A1"/>
    <w:rsid w:val="00D85C36"/>
    <w:rsid w:val="00D909A4"/>
    <w:rsid w:val="00D94D2A"/>
    <w:rsid w:val="00D951DF"/>
    <w:rsid w:val="00DA2DC3"/>
    <w:rsid w:val="00DA4B0C"/>
    <w:rsid w:val="00DB360F"/>
    <w:rsid w:val="00DB5F0D"/>
    <w:rsid w:val="00DC10F5"/>
    <w:rsid w:val="00DC488C"/>
    <w:rsid w:val="00DC6221"/>
    <w:rsid w:val="00DD21C9"/>
    <w:rsid w:val="00DD30A1"/>
    <w:rsid w:val="00DD33A8"/>
    <w:rsid w:val="00DE03CA"/>
    <w:rsid w:val="00DE0A04"/>
    <w:rsid w:val="00DE191A"/>
    <w:rsid w:val="00DE2114"/>
    <w:rsid w:val="00DE262A"/>
    <w:rsid w:val="00DE2646"/>
    <w:rsid w:val="00DF1491"/>
    <w:rsid w:val="00DF412D"/>
    <w:rsid w:val="00DF74BD"/>
    <w:rsid w:val="00E053C5"/>
    <w:rsid w:val="00E12E6A"/>
    <w:rsid w:val="00E1302B"/>
    <w:rsid w:val="00E14CA2"/>
    <w:rsid w:val="00E1528E"/>
    <w:rsid w:val="00E169D7"/>
    <w:rsid w:val="00E2286A"/>
    <w:rsid w:val="00E22C6E"/>
    <w:rsid w:val="00E272B1"/>
    <w:rsid w:val="00E33CEF"/>
    <w:rsid w:val="00E417DF"/>
    <w:rsid w:val="00E547D8"/>
    <w:rsid w:val="00E602DE"/>
    <w:rsid w:val="00E61D3F"/>
    <w:rsid w:val="00E63825"/>
    <w:rsid w:val="00E724F9"/>
    <w:rsid w:val="00E81C83"/>
    <w:rsid w:val="00E8383B"/>
    <w:rsid w:val="00E8456B"/>
    <w:rsid w:val="00E86664"/>
    <w:rsid w:val="00E87D93"/>
    <w:rsid w:val="00E90EBD"/>
    <w:rsid w:val="00E93D97"/>
    <w:rsid w:val="00EA1EA8"/>
    <w:rsid w:val="00EA22C7"/>
    <w:rsid w:val="00EA4540"/>
    <w:rsid w:val="00EB55DD"/>
    <w:rsid w:val="00EB5BA9"/>
    <w:rsid w:val="00EC54D2"/>
    <w:rsid w:val="00EC7C39"/>
    <w:rsid w:val="00ED738C"/>
    <w:rsid w:val="00EF02AF"/>
    <w:rsid w:val="00EF5684"/>
    <w:rsid w:val="00F05156"/>
    <w:rsid w:val="00F1520F"/>
    <w:rsid w:val="00F16905"/>
    <w:rsid w:val="00F20838"/>
    <w:rsid w:val="00F22627"/>
    <w:rsid w:val="00F23CEE"/>
    <w:rsid w:val="00F25848"/>
    <w:rsid w:val="00F306C0"/>
    <w:rsid w:val="00F357AC"/>
    <w:rsid w:val="00F43350"/>
    <w:rsid w:val="00F46DA1"/>
    <w:rsid w:val="00F47C9D"/>
    <w:rsid w:val="00F50FFB"/>
    <w:rsid w:val="00F53930"/>
    <w:rsid w:val="00F54CA2"/>
    <w:rsid w:val="00F61A72"/>
    <w:rsid w:val="00F756C1"/>
    <w:rsid w:val="00F83579"/>
    <w:rsid w:val="00F851D5"/>
    <w:rsid w:val="00F86E05"/>
    <w:rsid w:val="00F94111"/>
    <w:rsid w:val="00FA38B9"/>
    <w:rsid w:val="00FA599B"/>
    <w:rsid w:val="00FB71BF"/>
    <w:rsid w:val="00FC2A5C"/>
    <w:rsid w:val="00FE13D5"/>
    <w:rsid w:val="00FE1686"/>
    <w:rsid w:val="00FE4CA0"/>
    <w:rsid w:val="00FF3C71"/>
    <w:rsid w:val="00FF6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3C99C115"/>
  <w15:chartTrackingRefBased/>
  <w15:docId w15:val="{1A1E1BD6-F66D-4D34-86A6-825E9116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Style 11,Style 16"/>
  </w:style>
  <w:style w:type="paragraph" w:customStyle="1" w:styleId="Level1">
    <w:name w:val="Level 1"/>
    <w:basedOn w:val="Normal"/>
    <w:pPr>
      <w:numPr>
        <w:numId w:val="3"/>
      </w:numPr>
      <w:ind w:left="720" w:hanging="720"/>
      <w:outlineLvl w:val="0"/>
    </w:pPr>
  </w:style>
  <w:style w:type="paragraph" w:styleId="Header">
    <w:name w:val="header"/>
    <w:basedOn w:val="Normal"/>
    <w:rsid w:val="00071EA4"/>
    <w:pPr>
      <w:tabs>
        <w:tab w:val="center" w:pos="4320"/>
        <w:tab w:val="right" w:pos="8640"/>
      </w:tabs>
    </w:pPr>
  </w:style>
  <w:style w:type="paragraph" w:styleId="Footer">
    <w:name w:val="footer"/>
    <w:basedOn w:val="Normal"/>
    <w:link w:val="FooterChar"/>
    <w:uiPriority w:val="99"/>
    <w:rsid w:val="00071EA4"/>
    <w:pPr>
      <w:tabs>
        <w:tab w:val="center" w:pos="4320"/>
        <w:tab w:val="right" w:pos="8640"/>
      </w:tabs>
    </w:pPr>
  </w:style>
  <w:style w:type="table" w:styleId="TableGrid">
    <w:name w:val="Table Grid"/>
    <w:basedOn w:val="TableNormal"/>
    <w:rsid w:val="00D14E7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14E7A"/>
  </w:style>
  <w:style w:type="paragraph" w:styleId="FootnoteText">
    <w:name w:val="footnote text"/>
    <w:aliases w:val="Footnote Text Char1,Footnote Text Char Char,Footnote Text Char1 Char Char,Footnote Text Char Char Char Char,Footnote Text Char Char1,Footnote Text Char1 Char1,Footnote Text Char Char Char1,Footnote Text Char1 Char Char Char Char,fn, Char"/>
    <w:basedOn w:val="Normal"/>
    <w:link w:val="FootnoteTextChar2"/>
    <w:uiPriority w:val="99"/>
    <w:rsid w:val="004020B5"/>
    <w:rPr>
      <w:sz w:val="20"/>
      <w:szCs w:val="20"/>
    </w:rPr>
  </w:style>
  <w:style w:type="paragraph" w:customStyle="1" w:styleId="Default">
    <w:name w:val="Default"/>
    <w:rsid w:val="00F05156"/>
    <w:pPr>
      <w:autoSpaceDE w:val="0"/>
      <w:autoSpaceDN w:val="0"/>
      <w:adjustRightInd w:val="0"/>
    </w:pPr>
    <w:rPr>
      <w:color w:val="000000"/>
      <w:sz w:val="24"/>
      <w:szCs w:val="24"/>
    </w:rPr>
  </w:style>
  <w:style w:type="paragraph" w:customStyle="1" w:styleId="LegalFormat">
    <w:name w:val="Legal Format"/>
    <w:basedOn w:val="ListContinue"/>
    <w:rsid w:val="00125719"/>
    <w:pPr>
      <w:widowControl/>
      <w:autoSpaceDE/>
      <w:autoSpaceDN/>
      <w:adjustRightInd/>
      <w:spacing w:after="0" w:line="480" w:lineRule="auto"/>
      <w:ind w:left="0"/>
    </w:pPr>
    <w:rPr>
      <w:sz w:val="26"/>
    </w:rPr>
  </w:style>
  <w:style w:type="paragraph" w:styleId="ListContinue">
    <w:name w:val="List Continue"/>
    <w:basedOn w:val="Normal"/>
    <w:rsid w:val="00125719"/>
    <w:pPr>
      <w:spacing w:after="120"/>
      <w:ind w:left="360"/>
    </w:pPr>
  </w:style>
  <w:style w:type="character" w:styleId="CommentReference">
    <w:name w:val="annotation reference"/>
    <w:semiHidden/>
    <w:rsid w:val="00E14CA2"/>
    <w:rPr>
      <w:sz w:val="16"/>
      <w:szCs w:val="16"/>
    </w:rPr>
  </w:style>
  <w:style w:type="paragraph" w:styleId="CommentText">
    <w:name w:val="annotation text"/>
    <w:basedOn w:val="Normal"/>
    <w:semiHidden/>
    <w:rsid w:val="00E14CA2"/>
    <w:rPr>
      <w:sz w:val="20"/>
      <w:szCs w:val="20"/>
    </w:rPr>
  </w:style>
  <w:style w:type="paragraph" w:styleId="CommentSubject">
    <w:name w:val="annotation subject"/>
    <w:basedOn w:val="CommentText"/>
    <w:next w:val="CommentText"/>
    <w:semiHidden/>
    <w:rsid w:val="00E14CA2"/>
    <w:rPr>
      <w:b/>
      <w:bCs/>
    </w:rPr>
  </w:style>
  <w:style w:type="paragraph" w:styleId="BalloonText">
    <w:name w:val="Balloon Text"/>
    <w:basedOn w:val="Normal"/>
    <w:semiHidden/>
    <w:rsid w:val="00E14CA2"/>
    <w:rPr>
      <w:rFonts w:ascii="Tahoma" w:hAnsi="Tahoma" w:cs="Tahoma"/>
      <w:sz w:val="16"/>
      <w:szCs w:val="16"/>
    </w:rPr>
  </w:style>
  <w:style w:type="character" w:styleId="Hyperlink">
    <w:name w:val="Hyperlink"/>
    <w:rsid w:val="00E90EBD"/>
    <w:rPr>
      <w:color w:val="0000FF"/>
      <w:u w:val="single"/>
    </w:rPr>
  </w:style>
  <w:style w:type="character" w:styleId="FollowedHyperlink">
    <w:name w:val="FollowedHyperlink"/>
    <w:rsid w:val="00D7372F"/>
    <w:rPr>
      <w:color w:val="000080"/>
      <w:u w:val="single"/>
    </w:rPr>
  </w:style>
  <w:style w:type="character" w:customStyle="1" w:styleId="FooterChar">
    <w:name w:val="Footer Char"/>
    <w:link w:val="Footer"/>
    <w:uiPriority w:val="99"/>
    <w:rsid w:val="00881F81"/>
    <w:rPr>
      <w:sz w:val="24"/>
      <w:szCs w:val="24"/>
    </w:rPr>
  </w:style>
  <w:style w:type="character" w:customStyle="1" w:styleId="FootnoteTextChar2">
    <w:name w:val="Footnote Text Char2"/>
    <w:aliases w:val="Footnote Text Char1 Char2,Footnote Text Char Char Char,Footnote Text Char1 Char Char Char,Footnote Text Char Char Char Char Char,Footnote Text Char Char1 Char,Footnote Text Char1 Char1 Char,Footnote Text Char Char Char1 Char,fn Char"/>
    <w:link w:val="FootnoteText"/>
    <w:rsid w:val="00B64B02"/>
  </w:style>
  <w:style w:type="paragraph" w:styleId="NoSpacing">
    <w:name w:val="No Spacing"/>
    <w:uiPriority w:val="1"/>
    <w:qFormat/>
    <w:rsid w:val="00F23CEE"/>
    <w:rPr>
      <w:sz w:val="22"/>
      <w:szCs w:val="22"/>
    </w:rPr>
  </w:style>
  <w:style w:type="character" w:customStyle="1" w:styleId="FootnoteTextChar">
    <w:name w:val="Footnote Text Char"/>
    <w:aliases w:val="Footnote Text1 Char Char,Footnote Text Char Ch Char,Footnote Text Char1 Char,Footnote Text1 Char1 Char,Footnote Text Char Ch1 Char,Footnote Text Char2 Char Char,Footnote Text Char Char1 Char Char,ft Char1,ft Char Char"/>
    <w:uiPriority w:val="99"/>
    <w:rsid w:val="00A876FC"/>
    <w:rPr>
      <w:rFonts w:ascii="Times New Roman" w:eastAsia="Times New Roman" w:hAnsi="Times New Roman" w:cs="Times New Roman"/>
      <w:szCs w:val="20"/>
    </w:rPr>
  </w:style>
  <w:style w:type="paragraph" w:styleId="Revision">
    <w:name w:val="Revision"/>
    <w:hidden/>
    <w:uiPriority w:val="99"/>
    <w:semiHidden/>
    <w:rsid w:val="00277D5E"/>
    <w:rPr>
      <w:sz w:val="24"/>
      <w:szCs w:val="24"/>
    </w:rPr>
  </w:style>
  <w:style w:type="paragraph" w:styleId="ListParagraph">
    <w:name w:val="List Paragraph"/>
    <w:basedOn w:val="Normal"/>
    <w:uiPriority w:val="34"/>
    <w:qFormat/>
    <w:rsid w:val="00EC54D2"/>
    <w:pPr>
      <w:ind w:left="720"/>
      <w:contextualSpacing/>
    </w:pPr>
  </w:style>
  <w:style w:type="character" w:styleId="UnresolvedMention">
    <w:name w:val="Unresolved Mention"/>
    <w:basedOn w:val="DefaultParagraphFont"/>
    <w:uiPriority w:val="99"/>
    <w:semiHidden/>
    <w:unhideWhenUsed/>
    <w:rsid w:val="000E6C7B"/>
    <w:rPr>
      <w:color w:val="605E5C"/>
      <w:shd w:val="clear" w:color="auto" w:fill="E1DFDD"/>
    </w:rPr>
  </w:style>
  <w:style w:type="paragraph" w:styleId="NormalWeb">
    <w:name w:val="Normal (Web)"/>
    <w:basedOn w:val="Normal"/>
    <w:uiPriority w:val="99"/>
    <w:unhideWhenUsed/>
    <w:rsid w:val="00ED738C"/>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238402">
      <w:bodyDiv w:val="1"/>
      <w:marLeft w:val="0"/>
      <w:marRight w:val="0"/>
      <w:marTop w:val="0"/>
      <w:marBottom w:val="0"/>
      <w:divBdr>
        <w:top w:val="none" w:sz="0" w:space="0" w:color="auto"/>
        <w:left w:val="none" w:sz="0" w:space="0" w:color="auto"/>
        <w:bottom w:val="none" w:sz="0" w:space="0" w:color="auto"/>
        <w:right w:val="none" w:sz="0" w:space="0" w:color="auto"/>
      </w:divBdr>
    </w:div>
    <w:div w:id="413892071">
      <w:bodyDiv w:val="1"/>
      <w:marLeft w:val="0"/>
      <w:marRight w:val="0"/>
      <w:marTop w:val="0"/>
      <w:marBottom w:val="0"/>
      <w:divBdr>
        <w:top w:val="none" w:sz="0" w:space="0" w:color="auto"/>
        <w:left w:val="none" w:sz="0" w:space="0" w:color="auto"/>
        <w:bottom w:val="none" w:sz="0" w:space="0" w:color="auto"/>
        <w:right w:val="none" w:sz="0" w:space="0" w:color="auto"/>
      </w:divBdr>
    </w:div>
    <w:div w:id="882786840">
      <w:bodyDiv w:val="1"/>
      <w:marLeft w:val="0"/>
      <w:marRight w:val="0"/>
      <w:marTop w:val="0"/>
      <w:marBottom w:val="0"/>
      <w:divBdr>
        <w:top w:val="none" w:sz="0" w:space="0" w:color="auto"/>
        <w:left w:val="none" w:sz="0" w:space="0" w:color="auto"/>
        <w:bottom w:val="none" w:sz="0" w:space="0" w:color="auto"/>
        <w:right w:val="none" w:sz="0" w:space="0" w:color="auto"/>
      </w:divBdr>
    </w:div>
    <w:div w:id="1835487024">
      <w:bodyDiv w:val="1"/>
      <w:marLeft w:val="0"/>
      <w:marRight w:val="0"/>
      <w:marTop w:val="0"/>
      <w:marBottom w:val="0"/>
      <w:divBdr>
        <w:top w:val="none" w:sz="0" w:space="0" w:color="auto"/>
        <w:left w:val="none" w:sz="0" w:space="0" w:color="auto"/>
        <w:bottom w:val="none" w:sz="0" w:space="0" w:color="auto"/>
        <w:right w:val="none" w:sz="0" w:space="0" w:color="auto"/>
      </w:divBdr>
    </w:div>
    <w:div w:id="210044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erc.gov/docs-filing/info-collections.as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erc.gov/legal/maj-ord-reg/land-docs/ceii-rule.asp"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library.ferc.gov/idmws/common/opennat.asp?fileID=14470411" TargetMode="External"/><Relationship Id="rId7" Type="http://schemas.openxmlformats.org/officeDocument/2006/relationships/hyperlink" Target="https://elibrary.ferc.gov/idmws/common/OpenNat.asp?fileID=15580907" TargetMode="External"/><Relationship Id="rId2" Type="http://schemas.openxmlformats.org/officeDocument/2006/relationships/hyperlink" Target="https://elibrary-backup.ferc.gov/idmws/common/opennat.asp?fileID=14401293" TargetMode="External"/><Relationship Id="rId1" Type="http://schemas.openxmlformats.org/officeDocument/2006/relationships/hyperlink" Target="http://elibrary.ferc.gov/idmws/search/intermediate.asp?link_file=yes&amp;doclist=2215938" TargetMode="External"/><Relationship Id="rId6" Type="http://schemas.openxmlformats.org/officeDocument/2006/relationships/hyperlink" Target="https://elibrary.ferc.gov/idmws/common/OpenNat.asp?fileID=15580906" TargetMode="External"/><Relationship Id="rId5" Type="http://schemas.openxmlformats.org/officeDocument/2006/relationships/hyperlink" Target="https://elibrary.ferc.gov/idmws/common/OpenNat.asp?fileID=15501008" TargetMode="External"/><Relationship Id="rId4" Type="http://schemas.openxmlformats.org/officeDocument/2006/relationships/hyperlink" Target="https://elibrary.ferc.gov/idmws/common/OpenNat.asp?fileID=15501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0032__x002e__x0020_Docket_x0020_Number xmlns="d6eefc7d-9817-4fa6-84d5-3bc009be21b8" xsi:nil="true"/>
    <_x0031__x002e__x0020_Docket_x0020_Number xmlns="d6eefc7d-9817-4fa6-84d5-3bc009be21b8">IC20-13</_x0031__x002e__x0020_Docket_x0020_Number>
    <_x0033__x002e__x0020_Docket_x0020_Number xmlns="d6eefc7d-9817-4fa6-84d5-3bc009be21b8" xsi:nil="true"/>
    <Rulemaking_x0020_Document_x0020_Type xmlns="d6eefc7d-9817-4fa6-84d5-3bc009be21b8">None</Rulemaking_x0020_Document_x0020_Type>
    <_x0031__x002e__x0020_Collection_x0020_Number xmlns="d6eefc7d-9817-4fa6-84d5-3bc009be21b8">603</_x0031__x002e__x0020_Collection_x0020_Number>
    <Date xmlns="d6eefc7d-9817-4fa6-84d5-3bc009be21b8">2020-07-16T04:00:00+00:00</Date>
    <Status xmlns="d6eefc7d-9817-4fa6-84d5-3bc009be21b8">Final</Status>
    <_x0032__x002e__x0020_Collection_x0020_Number xmlns="d6eefc7d-9817-4fa6-84d5-3bc009be21b8" xsi:nil="true"/>
    <_x0033__x002e__x0020_Collection_x0020_Number xmlns="d6eefc7d-9817-4fa6-84d5-3bc009be21b8" xsi:nil="true"/>
    <Renewal_x0020_Document_x0020_Type xmlns="d6eefc7d-9817-4fa6-84d5-3bc009be21b8">OMB Supporting Statement</Renewal_x0020_Document_x0020_Type>
  </documentManagement>
</p:properties>
</file>

<file path=customXml/item6.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1AC23-423A-485D-AEFD-8577E8CCF942}">
  <ds:schemaRefs>
    <ds:schemaRef ds:uri="Microsoft.SharePoint.Taxonomy.ContentTypeSync"/>
  </ds:schemaRefs>
</ds:datastoreItem>
</file>

<file path=customXml/itemProps2.xml><?xml version="1.0" encoding="utf-8"?>
<ds:datastoreItem xmlns:ds="http://schemas.openxmlformats.org/officeDocument/2006/customXml" ds:itemID="{B48C33D9-F3EA-42BC-A6FE-C5C5FB54F034}">
  <ds:schemaRefs>
    <ds:schemaRef ds:uri="http://schemas.microsoft.com/sharepoint/v3/contenttype/forms"/>
  </ds:schemaRefs>
</ds:datastoreItem>
</file>

<file path=customXml/itemProps3.xml><?xml version="1.0" encoding="utf-8"?>
<ds:datastoreItem xmlns:ds="http://schemas.openxmlformats.org/officeDocument/2006/customXml" ds:itemID="{0B813E34-C74E-4547-896C-B9AFAE49A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1AA2B6-83D4-403A-992D-DE467C3C5693}">
  <ds:schemaRefs>
    <ds:schemaRef ds:uri="http://schemas.microsoft.com/sharepoint/v3/contenttype/forms"/>
  </ds:schemaRefs>
</ds:datastoreItem>
</file>

<file path=customXml/itemProps5.xml><?xml version="1.0" encoding="utf-8"?>
<ds:datastoreItem xmlns:ds="http://schemas.openxmlformats.org/officeDocument/2006/customXml" ds:itemID="{48F6374A-0289-4160-8855-B3C16A76F125}">
  <ds:schemaRefs>
    <ds:schemaRef ds:uri="http://schemas.microsoft.com/office/2006/documentManagement/types"/>
    <ds:schemaRef ds:uri="http://purl.org/dc/elements/1.1/"/>
    <ds:schemaRef ds:uri="http://schemas.microsoft.com/office/2006/metadata/properties"/>
    <ds:schemaRef ds:uri="d6eefc7d-9817-4fa6-84d5-3bc009be21b8"/>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516A3615-3384-4576-8E8A-59116A21AA4F}">
  <ds:schemaRefs>
    <ds:schemaRef ds:uri="http://schemas.microsoft.com/office/2006/metadata/customXsn"/>
  </ds:schemaRefs>
</ds:datastoreItem>
</file>

<file path=customXml/itemProps7.xml><?xml version="1.0" encoding="utf-8"?>
<ds:datastoreItem xmlns:ds="http://schemas.openxmlformats.org/officeDocument/2006/customXml" ds:itemID="{7D3ACD9D-8C7E-4E7A-9E09-F76975802246}">
  <ds:schemaRefs>
    <ds:schemaRef ds:uri="http://schemas.microsoft.com/office/2006/metadata/longProperties"/>
  </ds:schemaRefs>
</ds:datastoreItem>
</file>

<file path=customXml/itemProps8.xml><?xml version="1.0" encoding="utf-8"?>
<ds:datastoreItem xmlns:ds="http://schemas.openxmlformats.org/officeDocument/2006/customXml" ds:itemID="{6397B346-4E38-4EB5-81F3-60E84665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Pages>
  <Words>2310</Words>
  <Characters>13171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15451</CharactersWithSpaces>
  <SharedDoc>false</SharedDoc>
  <HLinks>
    <vt:vector size="12" baseType="variant">
      <vt:variant>
        <vt:i4>4259932</vt:i4>
      </vt:variant>
      <vt:variant>
        <vt:i4>0</vt:i4>
      </vt:variant>
      <vt:variant>
        <vt:i4>0</vt:i4>
      </vt:variant>
      <vt:variant>
        <vt:i4>5</vt:i4>
      </vt:variant>
      <vt:variant>
        <vt:lpwstr>http://www.ferc.gov/legal/maj-ord-reg/land-docs/ceii-rule.asp</vt:lpwstr>
      </vt:variant>
      <vt:variant>
        <vt:lpwstr/>
      </vt:variant>
      <vt:variant>
        <vt:i4>6488156</vt:i4>
      </vt:variant>
      <vt:variant>
        <vt:i4>0</vt:i4>
      </vt:variant>
      <vt:variant>
        <vt:i4>0</vt:i4>
      </vt:variant>
      <vt:variant>
        <vt:i4>5</vt:i4>
      </vt:variant>
      <vt:variant>
        <vt:lpwstr>http://elibrary.ferc.gov/idmws/search/intermediate.asp?link_file=yes&amp;doclist=2215938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Miller</dc:creator>
  <cp:keywords/>
  <cp:lastModifiedBy>Ellen Brown</cp:lastModifiedBy>
  <cp:revision>24</cp:revision>
  <cp:lastPrinted>2016-12-14T17:41:00Z</cp:lastPrinted>
  <dcterms:created xsi:type="dcterms:W3CDTF">2020-07-07T15:36:00Z</dcterms:created>
  <dcterms:modified xsi:type="dcterms:W3CDTF">2020-07-16T17:26:00Z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0x0101001EA51C0686BDB848B772F285AB6866B0</vt:lpwstr>
  </property>
  <property fmtid="{D5CDD505-2E9C-101B-9397-08002B2CF9AE}" pid="4" name="Renewal Document Type">
    <vt:lpwstr>OMB Supporting Statement</vt:lpwstr>
  </property>
  <property fmtid="{D5CDD505-2E9C-101B-9397-08002B2CF9AE}" pid="5" name="Rulemaking Document Type">
    <vt:lpwstr>None</vt:lpwstr>
  </property>
  <property fmtid="{D5CDD505-2E9C-101B-9397-08002B2CF9AE}" pid="6" name="3. Docket Number">
    <vt:lpwstr/>
  </property>
  <property fmtid="{D5CDD505-2E9C-101B-9397-08002B2CF9AE}" pid="7" name="1. Collection Number">
    <vt:lpwstr>603</vt:lpwstr>
  </property>
  <property fmtid="{D5CDD505-2E9C-101B-9397-08002B2CF9AE}" pid="8" name="Date">
    <vt:lpwstr/>
  </property>
  <property fmtid="{D5CDD505-2E9C-101B-9397-08002B2CF9AE}" pid="9" name="Status">
    <vt:lpwstr>Final</vt:lpwstr>
  </property>
  <property fmtid="{D5CDD505-2E9C-101B-9397-08002B2CF9AE}" pid="10" name="2. Docket Number">
    <vt:lpwstr/>
  </property>
  <property fmtid="{D5CDD505-2E9C-101B-9397-08002B2CF9AE}" pid="11" name="2. Collection Number">
    <vt:lpwstr/>
  </property>
  <property fmtid="{D5CDD505-2E9C-101B-9397-08002B2CF9AE}" pid="12" name="1. Docket Number">
    <vt:lpwstr>IC14-7</vt:lpwstr>
  </property>
  <property fmtid="{D5CDD505-2E9C-101B-9397-08002B2CF9AE}" pid="13" name="3. Collection Number">
    <vt:lpwstr/>
  </property>
</Properties>
</file>