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DB" w:rsidP="003A31DB" w:rsidRDefault="003A31DB" w14:paraId="7006150C" w14:textId="26185A51">
      <w:pPr>
        <w:jc w:val="center"/>
      </w:pPr>
      <w:bookmarkStart w:name="_GoBack" w:id="0"/>
      <w:bookmarkEnd w:id="0"/>
      <w:r>
        <w:t>UNITED STATES OF AMERICA</w:t>
      </w:r>
    </w:p>
    <w:p w:rsidR="003A31DB" w:rsidP="003A31DB" w:rsidRDefault="003A31DB" w14:paraId="34626FE3" w14:textId="77777777">
      <w:pPr>
        <w:jc w:val="center"/>
      </w:pPr>
      <w:r>
        <w:t>FEDERAL ENERGY REGULATORY COMMISSION</w:t>
      </w:r>
      <w:r w:rsidRPr="007E464D">
        <w:t xml:space="preserve"> </w:t>
      </w:r>
    </w:p>
    <w:p w:rsidR="003A31DB" w:rsidP="003A31DB" w:rsidRDefault="003A31DB" w14:paraId="0AFC754B" w14:textId="53114788">
      <w:pPr>
        <w:jc w:val="center"/>
      </w:pPr>
    </w:p>
    <w:p w:rsidR="00C515B9" w:rsidP="00C515B9" w:rsidRDefault="00C515B9" w14:paraId="00E3305B" w14:textId="1646F2A0">
      <w:r>
        <w:t xml:space="preserve">Commission Information Collection </w:t>
      </w:r>
      <w:r w:rsidR="00306905">
        <w:t>A</w:t>
      </w:r>
      <w:r>
        <w:t>ctivit</w:t>
      </w:r>
      <w:r w:rsidR="00BF0ED9">
        <w:t>ies</w:t>
      </w:r>
      <w:r>
        <w:t xml:space="preserve">                           Docket No. IC20-6-000</w:t>
      </w:r>
    </w:p>
    <w:p w:rsidR="003A31DB" w:rsidP="00C515B9" w:rsidRDefault="00C515B9" w14:paraId="122C697C" w14:textId="07DBB6DC">
      <w:r>
        <w:t>(FERC-725A(1B)) Comment Request</w:t>
      </w:r>
      <w:r w:rsidR="00BF0ED9">
        <w:t>; Extension</w:t>
      </w:r>
      <w:r>
        <w:t xml:space="preserve">                                                                                                        </w:t>
      </w:r>
    </w:p>
    <w:p w:rsidR="003A31DB" w:rsidP="003A31DB" w:rsidRDefault="003A31DB" w14:paraId="4CD7661B" w14:textId="77777777">
      <w:pPr>
        <w:jc w:val="center"/>
      </w:pPr>
    </w:p>
    <w:p w:rsidR="003A31DB" w:rsidP="003A31DB" w:rsidRDefault="00C515B9" w14:paraId="7E74EC27" w14:textId="5EC59491">
      <w:pPr>
        <w:jc w:val="center"/>
      </w:pPr>
      <w:r>
        <w:t>ERRATA NOTICE</w:t>
      </w:r>
    </w:p>
    <w:p w:rsidRPr="002F7F1C" w:rsidR="003A31DB" w:rsidP="003A31DB" w:rsidRDefault="003A31DB" w14:paraId="669485E8" w14:textId="77777777">
      <w:pPr>
        <w:jc w:val="center"/>
      </w:pPr>
    </w:p>
    <w:p w:rsidR="003A31DB" w:rsidP="00306905" w:rsidRDefault="00306905" w14:paraId="7CD8194E" w14:textId="28DBBE4D">
      <w:pPr>
        <w:widowControl/>
        <w:jc w:val="center"/>
      </w:pPr>
      <w:r w:rsidRPr="00306905">
        <w:t>(May 27, 2020)</w:t>
      </w:r>
    </w:p>
    <w:p w:rsidRPr="00306905" w:rsidR="00306905" w:rsidP="00306905" w:rsidRDefault="00306905" w14:paraId="11204746" w14:textId="77777777">
      <w:pPr>
        <w:widowControl/>
      </w:pPr>
    </w:p>
    <w:p w:rsidR="000E30E9" w:rsidP="00306905" w:rsidRDefault="003A31DB" w14:paraId="78CECB73" w14:textId="36E73AAF">
      <w:pPr>
        <w:ind w:firstLine="720"/>
        <w:rPr>
          <w:szCs w:val="26"/>
        </w:rPr>
      </w:pPr>
      <w:r>
        <w:rPr>
          <w:szCs w:val="26"/>
        </w:rPr>
        <w:t>On</w:t>
      </w:r>
      <w:r w:rsidR="00BF0ED9">
        <w:rPr>
          <w:szCs w:val="26"/>
        </w:rPr>
        <w:t xml:space="preserve"> February</w:t>
      </w:r>
      <w:r>
        <w:rPr>
          <w:szCs w:val="26"/>
        </w:rPr>
        <w:t xml:space="preserve"> </w:t>
      </w:r>
      <w:r w:rsidR="00BF0ED9">
        <w:rPr>
          <w:szCs w:val="26"/>
        </w:rPr>
        <w:t>25</w:t>
      </w:r>
      <w:r>
        <w:rPr>
          <w:szCs w:val="26"/>
        </w:rPr>
        <w:t xml:space="preserve">, 2020, the Commission </w:t>
      </w:r>
      <w:r w:rsidR="00C515B9">
        <w:rPr>
          <w:szCs w:val="26"/>
        </w:rPr>
        <w:t>published a</w:t>
      </w:r>
      <w:r w:rsidR="00BF0ED9">
        <w:rPr>
          <w:szCs w:val="26"/>
        </w:rPr>
        <w:t xml:space="preserve"> 6</w:t>
      </w:r>
      <w:r w:rsidR="00C515B9">
        <w:rPr>
          <w:szCs w:val="26"/>
        </w:rPr>
        <w:t>0-day Public Notic</w:t>
      </w:r>
      <w:r w:rsidR="00BF0ED9">
        <w:rPr>
          <w:szCs w:val="26"/>
        </w:rPr>
        <w:t>e</w:t>
      </w:r>
      <w:r>
        <w:rPr>
          <w:szCs w:val="26"/>
        </w:rPr>
        <w:t xml:space="preserve"> </w:t>
      </w:r>
      <w:r w:rsidRPr="008E2045" w:rsidR="00C515B9">
        <w:rPr>
          <w:i/>
          <w:iCs/>
          <w:szCs w:val="26"/>
        </w:rPr>
        <w:t>Commission Information Collection Activities (FERC-725A(1B)); Comment Request</w:t>
      </w:r>
      <w:r w:rsidRPr="00C515B9" w:rsidR="00C515B9">
        <w:rPr>
          <w:szCs w:val="26"/>
        </w:rPr>
        <w:t xml:space="preserve">, </w:t>
      </w:r>
      <w:r w:rsidR="00BF0ED9">
        <w:rPr>
          <w:szCs w:val="26"/>
        </w:rPr>
        <w:t>85</w:t>
      </w:r>
      <w:r w:rsidR="000E30E9">
        <w:rPr>
          <w:szCs w:val="26"/>
        </w:rPr>
        <w:t xml:space="preserve"> </w:t>
      </w:r>
      <w:r w:rsidR="00BF0ED9">
        <w:rPr>
          <w:szCs w:val="26"/>
        </w:rPr>
        <w:t>FR</w:t>
      </w:r>
      <w:r w:rsidR="000E30E9">
        <w:rPr>
          <w:szCs w:val="26"/>
        </w:rPr>
        <w:t xml:space="preserve"> </w:t>
      </w:r>
      <w:r w:rsidR="00BF0ED9">
        <w:rPr>
          <w:szCs w:val="26"/>
        </w:rPr>
        <w:t xml:space="preserve">10670 that carried on to publication of the 30-day Public Notice </w:t>
      </w:r>
      <w:r w:rsidRPr="00C515B9" w:rsidR="00C515B9">
        <w:rPr>
          <w:szCs w:val="26"/>
        </w:rPr>
        <w:t>8</w:t>
      </w:r>
      <w:r w:rsidR="008E2045">
        <w:rPr>
          <w:szCs w:val="26"/>
        </w:rPr>
        <w:t>5</w:t>
      </w:r>
      <w:r w:rsidRPr="00C515B9" w:rsidR="00C515B9">
        <w:rPr>
          <w:szCs w:val="26"/>
        </w:rPr>
        <w:t xml:space="preserve"> FR </w:t>
      </w:r>
      <w:r w:rsidR="008E2045">
        <w:rPr>
          <w:szCs w:val="26"/>
        </w:rPr>
        <w:t>28621</w:t>
      </w:r>
      <w:r w:rsidRPr="00C515B9" w:rsidR="00C515B9">
        <w:rPr>
          <w:szCs w:val="26"/>
        </w:rPr>
        <w:t xml:space="preserve"> (</w:t>
      </w:r>
      <w:proofErr w:type="gramStart"/>
      <w:r w:rsidR="008E2045">
        <w:rPr>
          <w:szCs w:val="26"/>
        </w:rPr>
        <w:t>May</w:t>
      </w:r>
      <w:r w:rsidRPr="00C515B9" w:rsidR="00C515B9">
        <w:rPr>
          <w:szCs w:val="26"/>
        </w:rPr>
        <w:t>,</w:t>
      </w:r>
      <w:proofErr w:type="gramEnd"/>
      <w:r w:rsidRPr="00C515B9" w:rsidR="00C515B9">
        <w:rPr>
          <w:szCs w:val="26"/>
        </w:rPr>
        <w:t xml:space="preserve"> </w:t>
      </w:r>
      <w:r w:rsidR="008E2045">
        <w:rPr>
          <w:szCs w:val="26"/>
        </w:rPr>
        <w:t>13</w:t>
      </w:r>
      <w:r w:rsidRPr="00C515B9" w:rsidR="00C515B9">
        <w:rPr>
          <w:szCs w:val="26"/>
        </w:rPr>
        <w:t>, 20</w:t>
      </w:r>
      <w:r w:rsidR="008E2045">
        <w:rPr>
          <w:szCs w:val="26"/>
        </w:rPr>
        <w:t>20</w:t>
      </w:r>
      <w:r w:rsidRPr="00C515B9" w:rsidR="00C515B9">
        <w:rPr>
          <w:szCs w:val="26"/>
        </w:rPr>
        <w:t>)</w:t>
      </w:r>
      <w:r w:rsidR="000E30E9">
        <w:rPr>
          <w:szCs w:val="26"/>
        </w:rPr>
        <w:t xml:space="preserve">. </w:t>
      </w:r>
    </w:p>
    <w:p w:rsidR="000E30E9" w:rsidP="003A31DB" w:rsidRDefault="000E30E9" w14:paraId="6B23F869" w14:textId="77777777">
      <w:pPr>
        <w:rPr>
          <w:szCs w:val="26"/>
        </w:rPr>
      </w:pPr>
    </w:p>
    <w:p w:rsidR="00C56A94" w:rsidP="00306905" w:rsidRDefault="003A31DB" w14:paraId="19574B97" w14:textId="77777777">
      <w:pPr>
        <w:ind w:firstLine="720"/>
        <w:rPr>
          <w:szCs w:val="26"/>
        </w:rPr>
      </w:pPr>
      <w:r>
        <w:rPr>
          <w:szCs w:val="26"/>
        </w:rPr>
        <w:t xml:space="preserve">This Errata notice corrects multiple figures in the table labeled FERC-725A(1B), changes due to </w:t>
      </w:r>
      <w:r w:rsidR="000E30E9">
        <w:rPr>
          <w:szCs w:val="26"/>
        </w:rPr>
        <w:t xml:space="preserve">(Mandatory Reliability Standard: TOP-010-1) </w:t>
      </w:r>
      <w:r>
        <w:rPr>
          <w:szCs w:val="26"/>
        </w:rPr>
        <w:t xml:space="preserve">in Docket No. IC20-6-000. </w:t>
      </w:r>
      <w:r w:rsidR="009C0902">
        <w:rPr>
          <w:szCs w:val="26"/>
        </w:rPr>
        <w:t xml:space="preserve"> </w:t>
      </w:r>
    </w:p>
    <w:p w:rsidR="00C56A94" w:rsidP="00306905" w:rsidRDefault="00C56A94" w14:paraId="27090BAD" w14:textId="77777777">
      <w:pPr>
        <w:ind w:firstLine="720"/>
        <w:rPr>
          <w:szCs w:val="26"/>
        </w:rPr>
      </w:pPr>
    </w:p>
    <w:p w:rsidR="003A31DB" w:rsidP="006A16AB" w:rsidRDefault="009C0902" w14:paraId="31081C89" w14:textId="525773F5">
      <w:pPr>
        <w:ind w:firstLine="720"/>
        <w:rPr>
          <w:szCs w:val="26"/>
        </w:rPr>
      </w:pPr>
      <w:r>
        <w:rPr>
          <w:szCs w:val="26"/>
        </w:rPr>
        <w:t xml:space="preserve">In the table of the FERC 725A(1B) sections: “Average Burden &amp; Cost Per Response” </w:t>
      </w:r>
      <w:r w:rsidR="003A31DB">
        <w:rPr>
          <w:szCs w:val="26"/>
        </w:rPr>
        <w:t>BA Annual Reporting</w:t>
      </w:r>
      <w:r>
        <w:rPr>
          <w:szCs w:val="26"/>
        </w:rPr>
        <w:t xml:space="preserve"> is currently published as</w:t>
      </w:r>
      <w:r w:rsidR="003A31DB">
        <w:rPr>
          <w:szCs w:val="26"/>
        </w:rPr>
        <w:t xml:space="preserve"> </w:t>
      </w:r>
      <w:r>
        <w:rPr>
          <w:szCs w:val="26"/>
        </w:rPr>
        <w:t>“</w:t>
      </w:r>
      <w:r w:rsidR="003A31DB">
        <w:rPr>
          <w:szCs w:val="26"/>
        </w:rPr>
        <w:t>$2,696.40</w:t>
      </w:r>
      <w:r>
        <w:rPr>
          <w:szCs w:val="26"/>
        </w:rPr>
        <w:t>”</w:t>
      </w:r>
      <w:r w:rsidR="003A31DB">
        <w:rPr>
          <w:szCs w:val="26"/>
        </w:rPr>
        <w:t xml:space="preserve"> </w:t>
      </w:r>
      <w:r>
        <w:rPr>
          <w:szCs w:val="26"/>
        </w:rPr>
        <w:t>the correct figure is</w:t>
      </w:r>
      <w:r w:rsidR="003A31DB">
        <w:rPr>
          <w:szCs w:val="26"/>
        </w:rPr>
        <w:t xml:space="preserve"> </w:t>
      </w:r>
      <w:r>
        <w:rPr>
          <w:szCs w:val="26"/>
        </w:rPr>
        <w:t>“</w:t>
      </w:r>
      <w:r w:rsidR="003A31DB">
        <w:rPr>
          <w:szCs w:val="26"/>
        </w:rPr>
        <w:t>$2,863.14</w:t>
      </w:r>
      <w:r>
        <w:rPr>
          <w:szCs w:val="26"/>
        </w:rPr>
        <w:t>”,</w:t>
      </w:r>
      <w:r w:rsidR="003A31DB">
        <w:rPr>
          <w:szCs w:val="26"/>
        </w:rPr>
        <w:t xml:space="preserve"> TOP Annual Reporting</w:t>
      </w:r>
      <w:r>
        <w:rPr>
          <w:szCs w:val="26"/>
        </w:rPr>
        <w:t xml:space="preserve"> is currently published as</w:t>
      </w:r>
      <w:r w:rsidR="003A31DB">
        <w:rPr>
          <w:szCs w:val="26"/>
        </w:rPr>
        <w:t xml:space="preserve"> </w:t>
      </w:r>
      <w:r>
        <w:rPr>
          <w:szCs w:val="26"/>
        </w:rPr>
        <w:t>“</w:t>
      </w:r>
      <w:r w:rsidR="003A31DB">
        <w:rPr>
          <w:szCs w:val="26"/>
        </w:rPr>
        <w:t>$2,568.00</w:t>
      </w:r>
      <w:r>
        <w:rPr>
          <w:szCs w:val="26"/>
        </w:rPr>
        <w:t>” the correct figure is</w:t>
      </w:r>
      <w:r w:rsidR="003A31DB">
        <w:rPr>
          <w:szCs w:val="26"/>
        </w:rPr>
        <w:t xml:space="preserve"> </w:t>
      </w:r>
      <w:r>
        <w:rPr>
          <w:szCs w:val="26"/>
        </w:rPr>
        <w:t>“</w:t>
      </w:r>
      <w:r w:rsidR="003A31DB">
        <w:rPr>
          <w:szCs w:val="26"/>
        </w:rPr>
        <w:t>$2,726.80</w:t>
      </w:r>
      <w:r>
        <w:rPr>
          <w:szCs w:val="26"/>
        </w:rPr>
        <w:t xml:space="preserve">”, and </w:t>
      </w:r>
      <w:r w:rsidR="003A31DB">
        <w:rPr>
          <w:szCs w:val="26"/>
        </w:rPr>
        <w:t>BA/TOP Annual Recordkeeping</w:t>
      </w:r>
      <w:r>
        <w:rPr>
          <w:szCs w:val="26"/>
        </w:rPr>
        <w:t xml:space="preserve"> is currently published as “</w:t>
      </w:r>
      <w:r w:rsidR="003A31DB">
        <w:rPr>
          <w:szCs w:val="26"/>
        </w:rPr>
        <w:t>$75.38</w:t>
      </w:r>
      <w:r>
        <w:rPr>
          <w:szCs w:val="26"/>
        </w:rPr>
        <w:t>” the correct figure is</w:t>
      </w:r>
      <w:r w:rsidR="003A31DB">
        <w:rPr>
          <w:szCs w:val="26"/>
        </w:rPr>
        <w:t xml:space="preserve"> </w:t>
      </w:r>
      <w:r>
        <w:rPr>
          <w:szCs w:val="26"/>
        </w:rPr>
        <w:t>“</w:t>
      </w:r>
      <w:r w:rsidR="003A31DB">
        <w:rPr>
          <w:szCs w:val="26"/>
        </w:rPr>
        <w:t>$81.61</w:t>
      </w:r>
      <w:r>
        <w:rPr>
          <w:szCs w:val="26"/>
        </w:rPr>
        <w:t>”. “</w:t>
      </w:r>
      <w:r w:rsidRPr="009C0902" w:rsidR="003A31DB">
        <w:rPr>
          <w:szCs w:val="26"/>
        </w:rPr>
        <w:t>Total Annual Burden Hours &amp; Total Annual Cost</w:t>
      </w:r>
      <w:r w:rsidRPr="009C0902">
        <w:rPr>
          <w:szCs w:val="26"/>
        </w:rPr>
        <w:t>”</w:t>
      </w:r>
      <w:r>
        <w:rPr>
          <w:szCs w:val="26"/>
        </w:rPr>
        <w:t xml:space="preserve"> </w:t>
      </w:r>
      <w:r w:rsidR="003A31DB">
        <w:rPr>
          <w:szCs w:val="26"/>
        </w:rPr>
        <w:t>BA Annual Reporting</w:t>
      </w:r>
      <w:r>
        <w:rPr>
          <w:szCs w:val="26"/>
        </w:rPr>
        <w:t xml:space="preserve"> is currently published as “</w:t>
      </w:r>
      <w:r w:rsidR="003A31DB">
        <w:rPr>
          <w:szCs w:val="26"/>
        </w:rPr>
        <w:t>$264,247.20</w:t>
      </w:r>
      <w:r>
        <w:rPr>
          <w:szCs w:val="26"/>
        </w:rPr>
        <w:t>”</w:t>
      </w:r>
      <w:r w:rsidR="003A31DB">
        <w:rPr>
          <w:szCs w:val="26"/>
        </w:rPr>
        <w:t xml:space="preserve"> </w:t>
      </w:r>
      <w:r>
        <w:rPr>
          <w:szCs w:val="26"/>
        </w:rPr>
        <w:t>the correct figure is</w:t>
      </w:r>
      <w:r w:rsidR="003A31DB">
        <w:rPr>
          <w:szCs w:val="26"/>
        </w:rPr>
        <w:t xml:space="preserve"> </w:t>
      </w:r>
      <w:r>
        <w:rPr>
          <w:szCs w:val="26"/>
        </w:rPr>
        <w:t>“</w:t>
      </w:r>
      <w:r w:rsidR="003A31DB">
        <w:rPr>
          <w:szCs w:val="26"/>
        </w:rPr>
        <w:t>$280,587.72</w:t>
      </w:r>
      <w:r>
        <w:rPr>
          <w:szCs w:val="26"/>
        </w:rPr>
        <w:t xml:space="preserve">”, </w:t>
      </w:r>
      <w:r w:rsidR="003A31DB">
        <w:rPr>
          <w:szCs w:val="26"/>
        </w:rPr>
        <w:t>TOP Annual Reporting</w:t>
      </w:r>
      <w:r>
        <w:rPr>
          <w:szCs w:val="26"/>
        </w:rPr>
        <w:t xml:space="preserve"> currently </w:t>
      </w:r>
      <w:r w:rsidR="0042534E">
        <w:rPr>
          <w:szCs w:val="26"/>
        </w:rPr>
        <w:t>published as “</w:t>
      </w:r>
      <w:r w:rsidR="003A31DB">
        <w:rPr>
          <w:szCs w:val="26"/>
        </w:rPr>
        <w:t>$433,992.00</w:t>
      </w:r>
      <w:r w:rsidR="0042534E">
        <w:rPr>
          <w:szCs w:val="26"/>
        </w:rPr>
        <w:t>” the correct figure is</w:t>
      </w:r>
      <w:r w:rsidR="003A31DB">
        <w:rPr>
          <w:szCs w:val="26"/>
        </w:rPr>
        <w:t xml:space="preserve"> </w:t>
      </w:r>
      <w:r w:rsidR="0042534E">
        <w:rPr>
          <w:szCs w:val="26"/>
        </w:rPr>
        <w:t>“</w:t>
      </w:r>
      <w:r w:rsidR="003A31DB">
        <w:rPr>
          <w:szCs w:val="26"/>
        </w:rPr>
        <w:t>$460,829.20</w:t>
      </w:r>
      <w:r w:rsidR="0042534E">
        <w:rPr>
          <w:szCs w:val="26"/>
        </w:rPr>
        <w:t xml:space="preserve">” </w:t>
      </w:r>
      <w:r w:rsidR="003A31DB">
        <w:rPr>
          <w:szCs w:val="26"/>
        </w:rPr>
        <w:t>BA/TOP Recordkeeping</w:t>
      </w:r>
      <w:r w:rsidR="0042534E">
        <w:rPr>
          <w:szCs w:val="26"/>
        </w:rPr>
        <w:t xml:space="preserve"> currently published as</w:t>
      </w:r>
      <w:r w:rsidR="003A31DB">
        <w:rPr>
          <w:szCs w:val="26"/>
        </w:rPr>
        <w:t xml:space="preserve"> </w:t>
      </w:r>
      <w:r w:rsidR="0042534E">
        <w:rPr>
          <w:szCs w:val="26"/>
        </w:rPr>
        <w:t>“</w:t>
      </w:r>
      <w:r w:rsidR="003A31DB">
        <w:rPr>
          <w:szCs w:val="26"/>
        </w:rPr>
        <w:t>$20,126.46</w:t>
      </w:r>
      <w:r w:rsidR="0042534E">
        <w:rPr>
          <w:szCs w:val="26"/>
        </w:rPr>
        <w:t>” the correct figure is</w:t>
      </w:r>
      <w:r w:rsidR="003A31DB">
        <w:rPr>
          <w:szCs w:val="26"/>
        </w:rPr>
        <w:t xml:space="preserve"> </w:t>
      </w:r>
      <w:r w:rsidR="0042534E">
        <w:rPr>
          <w:szCs w:val="26"/>
        </w:rPr>
        <w:t>“</w:t>
      </w:r>
      <w:r w:rsidR="003A31DB">
        <w:rPr>
          <w:szCs w:val="26"/>
        </w:rPr>
        <w:t>$21,789.87</w:t>
      </w:r>
      <w:r w:rsidR="0042534E">
        <w:rPr>
          <w:szCs w:val="26"/>
        </w:rPr>
        <w:t>”</w:t>
      </w:r>
    </w:p>
    <w:p w:rsidR="006A16AB" w:rsidP="006A16AB" w:rsidRDefault="006A16AB" w14:paraId="00085C91" w14:textId="77777777">
      <w:pPr>
        <w:ind w:firstLine="720"/>
        <w:rPr>
          <w:szCs w:val="26"/>
        </w:rPr>
      </w:pPr>
    </w:p>
    <w:p w:rsidR="0042534E" w:rsidP="006A16AB" w:rsidRDefault="006A16AB" w14:paraId="5215D892" w14:textId="4D1C16C0">
      <w:pPr>
        <w:ind w:firstLine="720"/>
        <w:rPr>
          <w:szCs w:val="26"/>
        </w:rPr>
      </w:pPr>
      <w:r>
        <w:rPr>
          <w:szCs w:val="26"/>
        </w:rPr>
        <w:t xml:space="preserve"> </w:t>
      </w:r>
      <w:r w:rsidR="0042534E">
        <w:rPr>
          <w:szCs w:val="26"/>
        </w:rPr>
        <w:t>With the updates stated above, the correct figure for the Total Burden Hours is</w:t>
      </w:r>
    </w:p>
    <w:p w:rsidR="003A31DB" w:rsidP="003A31DB" w:rsidRDefault="003A31DB" w14:paraId="1F3B78EE" w14:textId="3DD783F4">
      <w:pPr>
        <w:rPr>
          <w:szCs w:val="26"/>
        </w:rPr>
      </w:pPr>
      <w:r>
        <w:rPr>
          <w:szCs w:val="26"/>
        </w:rPr>
        <w:t>Total per year 11,410 hrs</w:t>
      </w:r>
      <w:r w:rsidR="0042534E">
        <w:rPr>
          <w:szCs w:val="26"/>
        </w:rPr>
        <w:t>. and the correct figure for the Total Annual Cost is</w:t>
      </w:r>
      <w:r>
        <w:rPr>
          <w:szCs w:val="26"/>
        </w:rPr>
        <w:t xml:space="preserve"> </w:t>
      </w:r>
      <w:r w:rsidR="0042534E">
        <w:rPr>
          <w:szCs w:val="26"/>
        </w:rPr>
        <w:t>“</w:t>
      </w:r>
      <w:r>
        <w:rPr>
          <w:szCs w:val="26"/>
        </w:rPr>
        <w:t>$763,206.79</w:t>
      </w:r>
      <w:r w:rsidR="0042534E">
        <w:rPr>
          <w:szCs w:val="26"/>
        </w:rPr>
        <w:t>”</w:t>
      </w:r>
    </w:p>
    <w:p w:rsidR="003A31DB" w:rsidP="000E30E9" w:rsidRDefault="003A31DB" w14:paraId="15E5EA52" w14:textId="45FA79BB">
      <w:pPr>
        <w:pStyle w:val="FERCparanumber"/>
        <w:numPr>
          <w:ilvl w:val="0"/>
          <w:numId w:val="0"/>
        </w:numPr>
      </w:pPr>
    </w:p>
    <w:p w:rsidRPr="000E30E9" w:rsidR="000E30E9" w:rsidP="000E30E9" w:rsidRDefault="000E30E9" w14:paraId="6352A405" w14:textId="616AFC81">
      <w:pPr>
        <w:widowControl/>
        <w:tabs>
          <w:tab w:val="left" w:pos="7880"/>
        </w:tabs>
        <w:autoSpaceDE/>
        <w:autoSpaceDN/>
        <w:adjustRightInd/>
        <w:spacing w:line="480" w:lineRule="auto"/>
      </w:pPr>
      <w:r>
        <w:rPr>
          <w:b/>
        </w:rPr>
        <w:t xml:space="preserve">Corrected </w:t>
      </w:r>
      <w:r w:rsidRPr="000E30E9">
        <w:rPr>
          <w:b/>
        </w:rPr>
        <w:t>SUPPLEMENTARY INFORMATION:</w:t>
      </w:r>
      <w:r w:rsidRPr="000E30E9">
        <w:t xml:space="preserve">  </w:t>
      </w:r>
    </w:p>
    <w:p w:rsidRPr="000E30E9" w:rsidR="000E30E9" w:rsidP="000E30E9" w:rsidRDefault="000E30E9" w14:paraId="746B482D" w14:textId="47D04105">
      <w:pPr>
        <w:widowControl/>
        <w:autoSpaceDE/>
        <w:autoSpaceDN/>
        <w:adjustRightInd/>
        <w:spacing w:line="480" w:lineRule="auto"/>
      </w:pPr>
      <w:r w:rsidRPr="000E30E9">
        <w:rPr>
          <w:i/>
        </w:rPr>
        <w:t xml:space="preserve">Title: </w:t>
      </w:r>
      <w:r w:rsidRPr="000E30E9">
        <w:t xml:space="preserve">FERC-725A(1B), (Mandatory Reliability Standards </w:t>
      </w:r>
      <w:r w:rsidR="0042534E">
        <w:t>TOP-010-1)</w:t>
      </w:r>
    </w:p>
    <w:p w:rsidRPr="000E30E9" w:rsidR="000E30E9" w:rsidP="000E30E9" w:rsidRDefault="000E30E9" w14:paraId="52BCE9EC" w14:textId="77777777">
      <w:pPr>
        <w:widowControl/>
        <w:autoSpaceDE/>
        <w:autoSpaceDN/>
        <w:adjustRightInd/>
        <w:spacing w:line="480" w:lineRule="auto"/>
      </w:pPr>
      <w:r w:rsidRPr="000E30E9">
        <w:rPr>
          <w:i/>
        </w:rPr>
        <w:t>OMB Control No.:</w:t>
      </w:r>
      <w:r w:rsidRPr="000E30E9">
        <w:t xml:space="preserve"> 1902-0292</w:t>
      </w:r>
    </w:p>
    <w:p w:rsidRPr="000E30E9" w:rsidR="000E30E9" w:rsidP="000E30E9" w:rsidRDefault="000E30E9" w14:paraId="3E9CFD7B" w14:textId="6065C8F0">
      <w:pPr>
        <w:widowControl/>
        <w:autoSpaceDE/>
        <w:autoSpaceDN/>
        <w:adjustRightInd/>
        <w:spacing w:line="480" w:lineRule="auto"/>
        <w:rPr>
          <w:bCs/>
        </w:rPr>
      </w:pPr>
      <w:r w:rsidRPr="000E30E9">
        <w:rPr>
          <w:bCs/>
          <w:i/>
        </w:rPr>
        <w:t xml:space="preserve">Type of Respondent: </w:t>
      </w:r>
      <w:r w:rsidRPr="000E30E9">
        <w:rPr>
          <w:bCs/>
        </w:rPr>
        <w:t>Balancing Authority (BA),</w:t>
      </w:r>
      <w:r>
        <w:rPr>
          <w:bCs/>
        </w:rPr>
        <w:t xml:space="preserve"> </w:t>
      </w:r>
      <w:r w:rsidRPr="000E30E9">
        <w:rPr>
          <w:bCs/>
        </w:rPr>
        <w:t>Transmission Operations (TOP)</w:t>
      </w:r>
      <w:r>
        <w:rPr>
          <w:bCs/>
        </w:rPr>
        <w:t>.</w:t>
      </w:r>
    </w:p>
    <w:p w:rsidR="000E30E9" w:rsidP="000E30E9" w:rsidRDefault="000E30E9" w14:paraId="002FF62D" w14:textId="46718838">
      <w:pPr>
        <w:widowControl/>
        <w:autoSpaceDE/>
        <w:autoSpaceDN/>
        <w:adjustRightInd/>
        <w:spacing w:line="480" w:lineRule="auto"/>
      </w:pPr>
      <w:r w:rsidRPr="000E30E9">
        <w:rPr>
          <w:i/>
        </w:rPr>
        <w:t>Estimate of Annual Burden</w:t>
      </w:r>
      <w:r w:rsidRPr="000E30E9">
        <w:t xml:space="preserve">: The Commission estimates the total annual burden and cost for this information collection in the table below.  </w:t>
      </w:r>
    </w:p>
    <w:tbl>
      <w:tblPr>
        <w:tblW w:w="5980" w:type="pct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4"/>
        <w:gridCol w:w="1776"/>
        <w:gridCol w:w="984"/>
        <w:gridCol w:w="1531"/>
        <w:gridCol w:w="1404"/>
        <w:gridCol w:w="1257"/>
        <w:gridCol w:w="1516"/>
        <w:gridCol w:w="1531"/>
      </w:tblGrid>
      <w:tr w:rsidRPr="000E30E9" w:rsidR="000E30E9" w:rsidTr="000E30E9" w14:paraId="349EA4D0" w14:textId="77777777">
        <w:trPr>
          <w:cantSplit/>
          <w:trHeight w:val="350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E30E9" w:rsidR="000E30E9" w:rsidP="000E30E9" w:rsidRDefault="000E30E9" w14:paraId="20AF37ED" w14:textId="32C8BBE5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lastRenderedPageBreak/>
              <w:t>FERC-725A(1B)</w:t>
            </w:r>
            <w:r w:rsidR="0042534E">
              <w:rPr>
                <w:rFonts w:eastAsia="Calibri"/>
                <w:b/>
                <w:szCs w:val="26"/>
              </w:rPr>
              <w:t xml:space="preserve"> (Mandatory Reliability Standard)</w:t>
            </w:r>
          </w:p>
          <w:p w:rsidRPr="000E30E9" w:rsidR="000E30E9" w:rsidP="000E30E9" w:rsidRDefault="000E30E9" w14:paraId="7D01441A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</w:p>
        </w:tc>
      </w:tr>
      <w:tr w:rsidRPr="000E30E9" w:rsidR="000E30E9" w:rsidTr="000E30E9" w14:paraId="60797EEC" w14:textId="77777777">
        <w:trPr>
          <w:cantSplit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  <w:hideMark/>
          </w:tcPr>
          <w:p w:rsidRPr="000E30E9" w:rsidR="000E30E9" w:rsidP="000E30E9" w:rsidRDefault="000E30E9" w14:paraId="452593B5" w14:textId="77777777">
            <w:pPr>
              <w:keepNext/>
              <w:jc w:val="center"/>
              <w:rPr>
                <w:b/>
                <w:szCs w:val="26"/>
              </w:rPr>
            </w:pPr>
            <w:r w:rsidRPr="000E30E9">
              <w:rPr>
                <w:b/>
                <w:szCs w:val="26"/>
              </w:rPr>
              <w:t>Entity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  <w:hideMark/>
          </w:tcPr>
          <w:p w:rsidRPr="000E30E9" w:rsidR="000E30E9" w:rsidP="000E30E9" w:rsidRDefault="000E30E9" w14:paraId="4DA05FEB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b/>
                <w:szCs w:val="26"/>
              </w:rPr>
              <w:t>Requirements &amp; Period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  <w:hideMark/>
          </w:tcPr>
          <w:p w:rsidRPr="000E30E9" w:rsidR="000E30E9" w:rsidP="000E30E9" w:rsidRDefault="000E30E9" w14:paraId="1C8C9A0F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No. of Re</w:t>
            </w:r>
          </w:p>
          <w:p w:rsidRPr="000E30E9" w:rsidR="000E30E9" w:rsidP="000E30E9" w:rsidRDefault="000E30E9" w14:paraId="58FEE333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proofErr w:type="spellStart"/>
            <w:r w:rsidRPr="000E30E9">
              <w:rPr>
                <w:rFonts w:eastAsia="Calibri"/>
                <w:b/>
                <w:szCs w:val="26"/>
              </w:rPr>
              <w:t>spon</w:t>
            </w:r>
            <w:proofErr w:type="spellEnd"/>
          </w:p>
          <w:p w:rsidRPr="000E30E9" w:rsidR="000E30E9" w:rsidP="000E30E9" w:rsidRDefault="000E30E9" w14:paraId="455F0CBE" w14:textId="7B751E50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dents</w:t>
            </w:r>
            <w:r w:rsidRPr="000E30E9">
              <w:rPr>
                <w:rFonts w:eastAsia="Calibri"/>
                <w:b/>
                <w:szCs w:val="26"/>
              </w:rPr>
              <w:br/>
              <w:t>(1)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  <w:hideMark/>
          </w:tcPr>
          <w:p w:rsidRPr="000E30E9" w:rsidR="000E30E9" w:rsidP="000E30E9" w:rsidRDefault="000E30E9" w14:paraId="6A78C078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Annual No. of Responses per Respondent</w:t>
            </w:r>
          </w:p>
          <w:p w:rsidRPr="000E30E9" w:rsidR="000E30E9" w:rsidP="000E30E9" w:rsidRDefault="000E30E9" w14:paraId="357CA791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(2)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  <w:hideMark/>
          </w:tcPr>
          <w:p w:rsidRPr="000E30E9" w:rsidR="000E30E9" w:rsidP="000E30E9" w:rsidRDefault="000E30E9" w14:paraId="0A3535B4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Total No. of Responses (</w:t>
            </w:r>
            <w:proofErr w:type="gramStart"/>
            <w:r w:rsidRPr="000E30E9">
              <w:rPr>
                <w:rFonts w:eastAsia="Calibri"/>
                <w:b/>
                <w:szCs w:val="26"/>
              </w:rPr>
              <w:t>1)*</w:t>
            </w:r>
            <w:proofErr w:type="gramEnd"/>
            <w:r w:rsidRPr="000E30E9">
              <w:rPr>
                <w:rFonts w:eastAsia="Calibri"/>
                <w:b/>
                <w:szCs w:val="26"/>
              </w:rPr>
              <w:t>(2)=(3)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  <w:hideMark/>
          </w:tcPr>
          <w:p w:rsidRPr="000E30E9" w:rsidR="000E30E9" w:rsidP="000E30E9" w:rsidRDefault="000E30E9" w14:paraId="3659ED91" w14:textId="71E82863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Average Burden &amp; Cost Per Response</w:t>
            </w:r>
          </w:p>
          <w:p w:rsidRPr="000E30E9" w:rsidR="000E30E9" w:rsidP="000E30E9" w:rsidRDefault="000E30E9" w14:paraId="32FBAFD7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(4)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  <w:hideMark/>
          </w:tcPr>
          <w:p w:rsidRPr="000E30E9" w:rsidR="000E30E9" w:rsidP="000E30E9" w:rsidRDefault="000E30E9" w14:paraId="7C958E9D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Total Annual Burden Hours &amp; Total Annual Cost</w:t>
            </w:r>
          </w:p>
          <w:p w:rsidRPr="000E30E9" w:rsidR="000E30E9" w:rsidP="000E30E9" w:rsidRDefault="000E30E9" w14:paraId="108D1021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(</w:t>
            </w:r>
            <w:proofErr w:type="gramStart"/>
            <w:r w:rsidRPr="000E30E9">
              <w:rPr>
                <w:rFonts w:eastAsia="Calibri"/>
                <w:b/>
                <w:szCs w:val="26"/>
              </w:rPr>
              <w:t>3)*</w:t>
            </w:r>
            <w:proofErr w:type="gramEnd"/>
            <w:r w:rsidRPr="000E30E9">
              <w:rPr>
                <w:rFonts w:eastAsia="Calibri"/>
                <w:b/>
                <w:szCs w:val="26"/>
              </w:rPr>
              <w:t>(4)=(5)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  <w:hideMark/>
          </w:tcPr>
          <w:p w:rsidRPr="000E30E9" w:rsidR="000E30E9" w:rsidP="000E30E9" w:rsidRDefault="000E30E9" w14:paraId="0EB07578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Cost per Respondent</w:t>
            </w:r>
          </w:p>
          <w:p w:rsidRPr="000E30E9" w:rsidR="000E30E9" w:rsidP="000E30E9" w:rsidRDefault="000E30E9" w14:paraId="229727E8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 xml:space="preserve"> ($)</w:t>
            </w:r>
          </w:p>
          <w:p w:rsidRPr="000E30E9" w:rsidR="000E30E9" w:rsidP="000E30E9" w:rsidRDefault="000E30E9" w14:paraId="1BE2A24F" w14:textId="77777777">
            <w:pPr>
              <w:keepNext/>
              <w:jc w:val="center"/>
              <w:rPr>
                <w:rFonts w:eastAsia="Calibri"/>
                <w:b/>
                <w:szCs w:val="26"/>
              </w:rPr>
            </w:pPr>
            <w:r w:rsidRPr="000E30E9">
              <w:rPr>
                <w:rFonts w:eastAsia="Calibri"/>
                <w:b/>
                <w:szCs w:val="26"/>
              </w:rPr>
              <w:t>(</w:t>
            </w:r>
            <w:proofErr w:type="gramStart"/>
            <w:r w:rsidRPr="000E30E9">
              <w:rPr>
                <w:rFonts w:eastAsia="Calibri"/>
                <w:b/>
                <w:szCs w:val="26"/>
              </w:rPr>
              <w:t>5)÷</w:t>
            </w:r>
            <w:proofErr w:type="gramEnd"/>
            <w:r w:rsidRPr="000E30E9">
              <w:rPr>
                <w:rFonts w:eastAsia="Calibri"/>
                <w:b/>
                <w:szCs w:val="26"/>
              </w:rPr>
              <w:t>(1)</w:t>
            </w:r>
          </w:p>
        </w:tc>
      </w:tr>
      <w:tr w:rsidRPr="000E30E9" w:rsidR="000E30E9" w:rsidTr="000E30E9" w14:paraId="53121C5F" w14:textId="77777777">
        <w:trPr>
          <w:trHeight w:val="374"/>
        </w:trPr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30E9" w:rsidR="000E30E9" w:rsidP="000E30E9" w:rsidRDefault="000E30E9" w14:paraId="300715DA" w14:textId="75E83C52">
            <w:pPr>
              <w:keepNext/>
              <w:jc w:val="center"/>
              <w:rPr>
                <w:b/>
                <w:szCs w:val="26"/>
              </w:rPr>
            </w:pPr>
            <w:r w:rsidRPr="000E30E9">
              <w:rPr>
                <w:b/>
                <w:szCs w:val="26"/>
              </w:rPr>
              <w:t>BA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0E30E9" w:rsidR="000E30E9" w:rsidP="000E30E9" w:rsidRDefault="000E30E9" w14:paraId="1ADE182D" w14:textId="77777777">
            <w:pPr>
              <w:keepNext/>
              <w:rPr>
                <w:b/>
                <w:szCs w:val="26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555230DE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4D29892B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4D800C43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446357C8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322B6DA5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471A328D" w14:textId="77777777">
            <w:pPr>
              <w:keepNext/>
              <w:jc w:val="right"/>
              <w:rPr>
                <w:szCs w:val="26"/>
              </w:rPr>
            </w:pPr>
          </w:p>
        </w:tc>
      </w:tr>
      <w:tr w:rsidRPr="000E30E9" w:rsidR="000E30E9" w:rsidTr="000E30E9" w14:paraId="37A98601" w14:textId="77777777">
        <w:trPr>
          <w:trHeight w:val="374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30E9" w:rsidR="000E30E9" w:rsidP="000E30E9" w:rsidRDefault="000E30E9" w14:paraId="78D7377C" w14:textId="77777777">
            <w:pPr>
              <w:widowControl/>
              <w:autoSpaceDE/>
              <w:autoSpaceDN/>
              <w:adjustRightInd/>
              <w:spacing w:line="256" w:lineRule="auto"/>
              <w:rPr>
                <w:b/>
                <w:szCs w:val="26"/>
              </w:rPr>
            </w:pPr>
          </w:p>
        </w:tc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30E9" w:rsidR="000E30E9" w:rsidP="000E30E9" w:rsidRDefault="000E30E9" w14:paraId="73787B1E" w14:textId="77777777">
            <w:pPr>
              <w:keepNext/>
              <w:rPr>
                <w:b/>
                <w:szCs w:val="26"/>
              </w:rPr>
            </w:pPr>
            <w:r w:rsidRPr="000E30E9">
              <w:rPr>
                <w:b/>
                <w:szCs w:val="26"/>
              </w:rPr>
              <w:t>Annual reporting</w:t>
            </w:r>
          </w:p>
          <w:p w:rsidRPr="000E30E9" w:rsidR="000E30E9" w:rsidP="000E30E9" w:rsidRDefault="000E30E9" w14:paraId="70181D77" w14:textId="77777777">
            <w:pPr>
              <w:keepNext/>
              <w:rPr>
                <w:b/>
                <w:szCs w:val="26"/>
              </w:rPr>
            </w:pPr>
          </w:p>
        </w:tc>
        <w:tc>
          <w:tcPr>
            <w:tcW w:w="5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682F49E6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7932FD81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98</w:t>
            </w:r>
          </w:p>
        </w:tc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34342EDB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50F65E1A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1</w:t>
            </w:r>
          </w:p>
        </w:tc>
        <w:tc>
          <w:tcPr>
            <w:tcW w:w="6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1684DD6B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022F20C6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 xml:space="preserve">98 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650909AB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 xml:space="preserve">42 hrs.; </w:t>
            </w:r>
          </w:p>
          <w:p w:rsidRPr="000E30E9" w:rsidR="000E30E9" w:rsidP="000E30E9" w:rsidRDefault="000E30E9" w14:paraId="26C4D8BD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68BB9F8D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$2,863.14</w:t>
            </w:r>
          </w:p>
        </w:tc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00E4DCB6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4,116 hrs.;</w:t>
            </w:r>
          </w:p>
          <w:p w:rsidRPr="000E30E9" w:rsidR="000E30E9" w:rsidP="000E30E9" w:rsidRDefault="000E30E9" w14:paraId="66F3E897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362EC4B8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$280,587.72</w:t>
            </w:r>
          </w:p>
        </w:tc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3B3DA04F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463BCBE5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7F09D7D2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$2,863.14</w:t>
            </w:r>
          </w:p>
        </w:tc>
      </w:tr>
      <w:tr w:rsidRPr="000E30E9" w:rsidR="000E30E9" w:rsidTr="000E30E9" w14:paraId="73A47878" w14:textId="77777777">
        <w:trPr>
          <w:trHeight w:val="374"/>
        </w:trPr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30E9" w:rsidR="000E30E9" w:rsidP="000E30E9" w:rsidRDefault="000E30E9" w14:paraId="7D86B1CC" w14:textId="05A9BE93">
            <w:pPr>
              <w:keepNext/>
              <w:jc w:val="center"/>
              <w:rPr>
                <w:b/>
                <w:szCs w:val="26"/>
              </w:rPr>
            </w:pPr>
            <w:r w:rsidRPr="000E30E9">
              <w:rPr>
                <w:b/>
                <w:szCs w:val="26"/>
              </w:rPr>
              <w:t>TOP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0E30E9" w:rsidR="000E30E9" w:rsidP="000E30E9" w:rsidRDefault="000E30E9" w14:paraId="335FCC5B" w14:textId="77777777">
            <w:pPr>
              <w:keepNext/>
              <w:rPr>
                <w:b/>
                <w:szCs w:val="26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7D2F929A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25180C18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2694A8CC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301C56CD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4A3AD542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0E30E9" w:rsidR="000E30E9" w:rsidP="000E30E9" w:rsidRDefault="000E30E9" w14:paraId="4E141633" w14:textId="77777777">
            <w:pPr>
              <w:keepNext/>
              <w:jc w:val="right"/>
              <w:rPr>
                <w:szCs w:val="26"/>
              </w:rPr>
            </w:pPr>
          </w:p>
        </w:tc>
      </w:tr>
      <w:tr w:rsidRPr="000E30E9" w:rsidR="000E30E9" w:rsidTr="000E30E9" w14:paraId="30F4BBAF" w14:textId="77777777">
        <w:trPr>
          <w:trHeight w:val="1502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30E9" w:rsidR="000E30E9" w:rsidP="000E30E9" w:rsidRDefault="000E30E9" w14:paraId="07AE7A8D" w14:textId="77777777">
            <w:pPr>
              <w:widowControl/>
              <w:autoSpaceDE/>
              <w:autoSpaceDN/>
              <w:adjustRightInd/>
              <w:spacing w:line="256" w:lineRule="auto"/>
              <w:rPr>
                <w:b/>
                <w:szCs w:val="26"/>
              </w:rPr>
            </w:pPr>
          </w:p>
        </w:tc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30E9" w:rsidR="000E30E9" w:rsidP="000E30E9" w:rsidRDefault="000E30E9" w14:paraId="4BA01683" w14:textId="77777777">
            <w:pPr>
              <w:keepNext/>
              <w:rPr>
                <w:b/>
                <w:szCs w:val="26"/>
              </w:rPr>
            </w:pPr>
          </w:p>
          <w:p w:rsidRPr="000E30E9" w:rsidR="000E30E9" w:rsidP="000E30E9" w:rsidRDefault="000E30E9" w14:paraId="578C8EA2" w14:textId="77777777">
            <w:pPr>
              <w:keepNext/>
              <w:rPr>
                <w:b/>
                <w:szCs w:val="26"/>
              </w:rPr>
            </w:pPr>
            <w:r w:rsidRPr="000E30E9">
              <w:rPr>
                <w:b/>
                <w:szCs w:val="26"/>
              </w:rPr>
              <w:t>Annual reporting</w:t>
            </w:r>
          </w:p>
        </w:tc>
        <w:tc>
          <w:tcPr>
            <w:tcW w:w="5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4648BE09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6FAF294C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169</w:t>
            </w:r>
          </w:p>
        </w:tc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2DD03422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276CC901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1</w:t>
            </w:r>
          </w:p>
        </w:tc>
        <w:tc>
          <w:tcPr>
            <w:tcW w:w="6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1367FE3D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17911998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169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348F8EDF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40 hrs.;</w:t>
            </w:r>
          </w:p>
          <w:p w:rsidRPr="000E30E9" w:rsidR="000E30E9" w:rsidP="000E30E9" w:rsidRDefault="000E30E9" w14:paraId="0268D2C3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0A6A3CD7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$2,726.80</w:t>
            </w:r>
          </w:p>
        </w:tc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28ACA7DA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6,760 hrs.;</w:t>
            </w:r>
          </w:p>
          <w:p w:rsidRPr="000E30E9" w:rsidR="000E30E9" w:rsidP="000E30E9" w:rsidRDefault="000E30E9" w14:paraId="02B012F5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37D3F125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$460,829.20</w:t>
            </w:r>
          </w:p>
        </w:tc>
        <w:tc>
          <w:tcPr>
            <w:tcW w:w="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58D6FA1D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4A45FF47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7A5F3156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 xml:space="preserve">$2,726.80 </w:t>
            </w:r>
          </w:p>
        </w:tc>
      </w:tr>
      <w:tr w:rsidRPr="000E30E9" w:rsidR="000E30E9" w:rsidTr="000E30E9" w14:paraId="390A27AF" w14:textId="77777777">
        <w:trPr>
          <w:trHeight w:val="854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30E9" w:rsidR="000E30E9" w:rsidP="000E30E9" w:rsidRDefault="000E30E9" w14:paraId="37D103C3" w14:textId="77777777">
            <w:pPr>
              <w:keepNext/>
              <w:jc w:val="center"/>
              <w:rPr>
                <w:b/>
                <w:szCs w:val="26"/>
              </w:rPr>
            </w:pPr>
            <w:r w:rsidRPr="000E30E9">
              <w:rPr>
                <w:b/>
                <w:szCs w:val="26"/>
              </w:rPr>
              <w:t>BA/TOP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30E9" w:rsidR="000E30E9" w:rsidP="000E30E9" w:rsidRDefault="000E30E9" w14:paraId="688A2BDA" w14:textId="77777777">
            <w:pPr>
              <w:keepNext/>
              <w:rPr>
                <w:b/>
                <w:szCs w:val="26"/>
              </w:rPr>
            </w:pPr>
            <w:r w:rsidRPr="000E30E9">
              <w:rPr>
                <w:b/>
                <w:szCs w:val="26"/>
              </w:rPr>
              <w:t>Annual Record Retention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0E30E9" w:rsidR="000E30E9" w:rsidP="000E30E9" w:rsidRDefault="000E30E9" w14:paraId="17C12623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267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0E30E9" w:rsidR="000E30E9" w:rsidP="000E30E9" w:rsidRDefault="000E30E9" w14:paraId="67E0BB51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0E30E9" w:rsidR="000E30E9" w:rsidP="000E30E9" w:rsidRDefault="000E30E9" w14:paraId="337F11E1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267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2CDDBD74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2 hrs.;</w:t>
            </w:r>
          </w:p>
          <w:p w:rsidRPr="000E30E9" w:rsidR="000E30E9" w:rsidP="000E30E9" w:rsidRDefault="000E30E9" w14:paraId="51B9E760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63EE3EB7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$81.61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45E8E173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534 hrs.;</w:t>
            </w:r>
          </w:p>
          <w:p w:rsidRPr="000E30E9" w:rsidR="000E30E9" w:rsidP="000E30E9" w:rsidRDefault="000E30E9" w14:paraId="121DD2FE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1D34286D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$21,789.87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74FFA261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0E0559B4" w14:textId="77777777">
            <w:pPr>
              <w:keepNext/>
              <w:jc w:val="right"/>
              <w:rPr>
                <w:szCs w:val="26"/>
              </w:rPr>
            </w:pPr>
          </w:p>
          <w:p w:rsidRPr="000E30E9" w:rsidR="000E30E9" w:rsidP="000E30E9" w:rsidRDefault="000E30E9" w14:paraId="7E4F089B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>$81.61</w:t>
            </w:r>
          </w:p>
        </w:tc>
      </w:tr>
      <w:tr w:rsidRPr="000E30E9" w:rsidR="000E30E9" w:rsidTr="000E30E9" w14:paraId="20250AD9" w14:textId="77777777">
        <w:trPr>
          <w:trHeight w:val="393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E30E9" w:rsidR="000E30E9" w:rsidP="000E30E9" w:rsidRDefault="000E30E9" w14:paraId="55A12456" w14:textId="77777777">
            <w:pPr>
              <w:keepNext/>
              <w:rPr>
                <w:b/>
                <w:szCs w:val="26"/>
              </w:rPr>
            </w:pPr>
            <w:r w:rsidRPr="000E30E9">
              <w:rPr>
                <w:b/>
                <w:szCs w:val="26"/>
              </w:rPr>
              <w:t>Total Burden</w:t>
            </w:r>
          </w:p>
          <w:p w:rsidRPr="000E30E9" w:rsidR="000E30E9" w:rsidP="000E30E9" w:rsidRDefault="000E30E9" w14:paraId="21FBE730" w14:textId="77777777">
            <w:pPr>
              <w:keepNext/>
              <w:rPr>
                <w:b/>
                <w:szCs w:val="26"/>
              </w:rPr>
            </w:pPr>
            <w:r w:rsidRPr="000E30E9">
              <w:rPr>
                <w:b/>
                <w:szCs w:val="26"/>
              </w:rPr>
              <w:t>Hours Per Year</w:t>
            </w:r>
          </w:p>
        </w:tc>
        <w:tc>
          <w:tcPr>
            <w:tcW w:w="31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E30E9" w:rsidR="000E30E9" w:rsidP="000E30E9" w:rsidRDefault="000E30E9" w14:paraId="57E0DE26" w14:textId="77777777">
            <w:pPr>
              <w:keepNext/>
              <w:jc w:val="right"/>
              <w:rPr>
                <w:szCs w:val="26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E30E9" w:rsidR="000E30E9" w:rsidP="000E30E9" w:rsidRDefault="000E30E9" w14:paraId="68B73D1B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 xml:space="preserve">11,410 hrs.; </w:t>
            </w:r>
          </w:p>
          <w:p w:rsidRPr="000E30E9" w:rsidR="000E30E9" w:rsidP="000E30E9" w:rsidRDefault="000E30E9" w14:paraId="58B024D3" w14:textId="77777777">
            <w:pPr>
              <w:keepNext/>
              <w:jc w:val="right"/>
              <w:rPr>
                <w:szCs w:val="26"/>
              </w:rPr>
            </w:pPr>
            <w:r w:rsidRPr="000E30E9">
              <w:rPr>
                <w:szCs w:val="26"/>
              </w:rPr>
              <w:t xml:space="preserve">$763,206.79 per year 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5" w:color="auto" w:fill="auto"/>
          </w:tcPr>
          <w:p w:rsidRPr="000E30E9" w:rsidR="000E30E9" w:rsidP="000E30E9" w:rsidRDefault="000E30E9" w14:paraId="7881A1B1" w14:textId="77777777">
            <w:pPr>
              <w:keepNext/>
              <w:jc w:val="right"/>
              <w:rPr>
                <w:szCs w:val="26"/>
              </w:rPr>
            </w:pPr>
          </w:p>
        </w:tc>
      </w:tr>
    </w:tbl>
    <w:p w:rsidRPr="000E30E9" w:rsidR="000E30E9" w:rsidP="000E30E9" w:rsidRDefault="000E30E9" w14:paraId="6DFB3C32" w14:textId="77777777">
      <w:pPr>
        <w:widowControl/>
        <w:autoSpaceDE/>
        <w:autoSpaceDN/>
        <w:adjustRightInd/>
        <w:spacing w:line="480" w:lineRule="auto"/>
        <w:rPr>
          <w:sz w:val="24"/>
          <w:highlight w:val="cyan"/>
        </w:rPr>
      </w:pPr>
    </w:p>
    <w:p w:rsidR="000E30E9" w:rsidP="000E30E9" w:rsidRDefault="000E30E9" w14:paraId="351CDED0" w14:textId="77777777">
      <w:pPr>
        <w:pStyle w:val="FERCparanumber"/>
        <w:numPr>
          <w:ilvl w:val="0"/>
          <w:numId w:val="0"/>
        </w:numPr>
      </w:pPr>
    </w:p>
    <w:p w:rsidR="003A31DB" w:rsidP="003A31DB" w:rsidRDefault="003A31DB" w14:paraId="305B0389" w14:textId="77777777">
      <w:pPr>
        <w:pStyle w:val="FERCparanumber"/>
        <w:numPr>
          <w:ilvl w:val="0"/>
          <w:numId w:val="0"/>
        </w:numPr>
        <w:ind w:firstLine="720"/>
      </w:pPr>
    </w:p>
    <w:p w:rsidRPr="009740E0" w:rsidR="003A31DB" w:rsidP="00862C5A" w:rsidRDefault="003A31DB" w14:paraId="2EA37E01" w14:textId="77777777">
      <w:pPr>
        <w:tabs>
          <w:tab w:val="left" w:pos="5040"/>
        </w:tabs>
        <w:ind w:firstLine="2174"/>
        <w:jc w:val="center"/>
      </w:pPr>
      <w:r w:rsidRPr="009740E0">
        <w:t xml:space="preserve">      Kimberly D. Bose,</w:t>
      </w:r>
    </w:p>
    <w:p w:rsidR="003A31DB" w:rsidP="003A31DB" w:rsidRDefault="003A31DB" w14:paraId="5125C108" w14:textId="77777777">
      <w:pPr>
        <w:widowControl/>
        <w:autoSpaceDE/>
        <w:autoSpaceDN/>
        <w:adjustRightInd/>
        <w:ind w:firstLine="2174"/>
        <w:jc w:val="center"/>
      </w:pPr>
      <w:r w:rsidRPr="009740E0">
        <w:t xml:space="preserve">        Secretary.</w:t>
      </w:r>
    </w:p>
    <w:p w:rsidR="00192C56" w:rsidRDefault="00192C56" w14:paraId="306B337D" w14:textId="77777777"/>
    <w:sectPr w:rsidR="00192C56" w:rsidSect="00BF2A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F4883" w14:textId="77777777" w:rsidR="00860661" w:rsidRDefault="00860661" w:rsidP="003A31DB">
      <w:r>
        <w:separator/>
      </w:r>
    </w:p>
  </w:endnote>
  <w:endnote w:type="continuationSeparator" w:id="0">
    <w:p w14:paraId="0B6131B3" w14:textId="77777777" w:rsidR="00860661" w:rsidRDefault="00860661" w:rsidP="003A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4812" w14:textId="77777777" w:rsidR="00306905" w:rsidRDefault="00306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1462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25B13" w14:textId="77777777" w:rsidR="005600FA" w:rsidRDefault="00E65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CDF43" w14:textId="77777777" w:rsidR="005600FA" w:rsidRDefault="00365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FD75" w14:textId="77777777" w:rsidR="00306905" w:rsidRDefault="0030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53B32" w14:textId="77777777" w:rsidR="00860661" w:rsidRDefault="00860661" w:rsidP="003A31DB">
      <w:r>
        <w:separator/>
      </w:r>
    </w:p>
  </w:footnote>
  <w:footnote w:type="continuationSeparator" w:id="0">
    <w:p w14:paraId="747ACAFB" w14:textId="77777777" w:rsidR="00860661" w:rsidRDefault="00860661" w:rsidP="003A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A5EB" w14:textId="77777777" w:rsidR="00306905" w:rsidRDefault="00306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FFEB2" w14:textId="25836EAF" w:rsidR="00D0077B" w:rsidRDefault="00E65BF0">
    <w:pPr>
      <w:pStyle w:val="Header"/>
    </w:pPr>
    <w:r>
      <w:t>Docket No. IC</w:t>
    </w:r>
    <w:r w:rsidR="00306905">
      <w:t>20</w:t>
    </w:r>
    <w:r>
      <w:t>-</w:t>
    </w:r>
    <w:r w:rsidR="00306905">
      <w:t>6</w:t>
    </w:r>
    <w:r>
      <w:t>-000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DF28" w14:textId="77777777" w:rsidR="00306905" w:rsidRDefault="00306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DB"/>
    <w:rsid w:val="00050E20"/>
    <w:rsid w:val="000E30E9"/>
    <w:rsid w:val="00192C56"/>
    <w:rsid w:val="001D6A62"/>
    <w:rsid w:val="00306905"/>
    <w:rsid w:val="00365F6C"/>
    <w:rsid w:val="003A31DB"/>
    <w:rsid w:val="0042534E"/>
    <w:rsid w:val="004C4107"/>
    <w:rsid w:val="00655482"/>
    <w:rsid w:val="006A16AB"/>
    <w:rsid w:val="00860661"/>
    <w:rsid w:val="00862C5A"/>
    <w:rsid w:val="008E2045"/>
    <w:rsid w:val="00902BA5"/>
    <w:rsid w:val="009C0902"/>
    <w:rsid w:val="00BF0ED9"/>
    <w:rsid w:val="00C515B9"/>
    <w:rsid w:val="00C56A94"/>
    <w:rsid w:val="00E65BF0"/>
    <w:rsid w:val="00F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8FC0EC"/>
  <w15:chartTrackingRefBased/>
  <w15:docId w15:val="{B0168E66-5B3B-470B-8D56-DB652DDC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3A31D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A3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1D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1DB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C51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aliases w:val="o,fr,Style 13,Style 12,Style 15,Style 17,Style 9,o1,fr1,o2,fr2,o3,fr3,Style 18,(NECG) Footnote Reference,Style 20,Style 7,Styl,Style 8,Style 19,Style 28,Style 11,Style 16,Footnote Reference (EIS),fnr,Footnote reference (EA),Style 30"/>
    <w:semiHidden/>
    <w:unhideWhenUsed/>
    <w:rsid w:val="00C515B9"/>
    <w:rPr>
      <w:rFonts w:ascii="Times New Roman" w:hAnsi="Times New Roman" w:cs="Times New Roman" w:hint="default"/>
      <w:b/>
      <w:bCs w:val="0"/>
      <w:sz w:val="26"/>
      <w:szCs w:val="2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0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0E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semiHidden/>
    <w:unhideWhenUsed/>
    <w:rsid w:val="000E3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None</Rulemaking_x0020_Document_x0020_Type>
    <_x0033__x002e__x0020_Docket_x0020_Number xmlns="d6eefc7d-9817-4fa6-84d5-3bc009be21b8" xsi:nil="true"/>
    <_x0031__x002e__x0020_Collection_x0020_Number xmlns="d6eefc7d-9817-4fa6-84d5-3bc009be21b8" xsi:nil="true"/>
    <Date xmlns="d6eefc7d-9817-4fa6-84d5-3bc009be21b8" xsi:nil="true"/>
    <Status xmlns="d6eefc7d-9817-4fa6-84d5-3bc009be21b8">None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 xsi:nil="true"/>
    <_x0033__x002e__x0020_Collection_x0020_Number xmlns="d6eefc7d-9817-4fa6-84d5-3bc009be21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a4cd09-5f17-433b-814a-38e7e9115d1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51C0686BDB848B772F285AB6866B0" ma:contentTypeVersion="23" ma:contentTypeDescription="Create a new document." ma:contentTypeScope="" ma:versionID="37a1f2881e05d6d52c4fdc306c1506dc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487bcef7b4870127189a8c6c6c8eaef8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8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9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10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11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12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13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Renewal_x0020_Document_x0020_Type" ma:index="15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6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7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>http://share3.ferc.gov/sites/ProgramOffices/OED/CIO/Information Collection/Forms/Document/22bba65aa4d8dbfccustomXsn.xsn</xsnLocation>
  <cached>True</cached>
  <openByDefault>True</openByDefault>
  <xsnScope>http://share3.ferc.gov/sites/ProgramOffices/OED/CIO/Information Collection</xsnScope>
</customXsn>
</file>

<file path=customXml/itemProps1.xml><?xml version="1.0" encoding="utf-8"?>
<ds:datastoreItem xmlns:ds="http://schemas.openxmlformats.org/officeDocument/2006/customXml" ds:itemID="{01E5E014-CEBC-4B03-BABC-51AB1FF0133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eefc7d-9817-4fa6-84d5-3bc009be21b8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1C88E3-A4B4-405B-953B-EB31DE4E4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D8F96-BCB7-496C-8A68-C9F96825D30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381378C-D66C-4287-86F4-28E474880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38E54-F016-42AB-A21B-73D3692E03C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Williams</dc:creator>
  <cp:keywords/>
  <dc:description/>
  <cp:lastModifiedBy>Kayla Williams</cp:lastModifiedBy>
  <cp:revision>2</cp:revision>
  <dcterms:created xsi:type="dcterms:W3CDTF">2020-05-27T21:02:00Z</dcterms:created>
  <dcterms:modified xsi:type="dcterms:W3CDTF">2020-05-27T21:02:00Z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0x0101001EA51C0686BDB848B772F285AB6866B0</vt:lpwstr>
  </property>
</Properties>
</file>