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3759" w:rsidR="00A53759" w:rsidP="00A53759" w:rsidRDefault="00A53759" w14:paraId="0D2C9341" w14:textId="77777777">
      <w:pPr>
        <w:pStyle w:val="NoSpacing"/>
        <w:jc w:val="center"/>
        <w:rPr>
          <w:b/>
          <w:sz w:val="28"/>
          <w:szCs w:val="28"/>
          <w:lang w:bidi="en-US"/>
        </w:rPr>
      </w:pPr>
      <w:bookmarkStart w:name="_Toc501020159" w:id="0"/>
      <w:r w:rsidRPr="00A53759">
        <w:rPr>
          <w:b/>
          <w:sz w:val="28"/>
          <w:szCs w:val="28"/>
          <w:lang w:bidi="en-US"/>
        </w:rPr>
        <w:t>Supporting Statement for a Request for</w:t>
      </w:r>
    </w:p>
    <w:p w:rsidR="00A53759" w:rsidP="00A53759" w:rsidRDefault="00A53759" w14:paraId="0219D3F9" w14:textId="77777777">
      <w:pPr>
        <w:pStyle w:val="NoSpacing"/>
        <w:jc w:val="center"/>
        <w:rPr>
          <w:lang w:bidi="en-US"/>
        </w:rPr>
      </w:pPr>
      <w:r w:rsidRPr="00A53759">
        <w:rPr>
          <w:b/>
          <w:sz w:val="28"/>
          <w:szCs w:val="28"/>
          <w:lang w:bidi="en-US"/>
        </w:rPr>
        <w:t>OMB Review under the Paperwork Reduction Act</w:t>
      </w:r>
    </w:p>
    <w:p w:rsidR="00A53759" w:rsidP="00A53759" w:rsidRDefault="00A53759" w14:paraId="33E5A324" w14:textId="77777777">
      <w:pPr>
        <w:pStyle w:val="Heading1"/>
        <w:rPr>
          <w:lang w:bidi="en-US"/>
        </w:rPr>
      </w:pPr>
    </w:p>
    <w:p w:rsidRPr="007919E5" w:rsidR="002B34A0" w:rsidP="002C395B" w:rsidRDefault="005B4F77" w14:paraId="21F061FA" w14:textId="77777777">
      <w:pPr>
        <w:pStyle w:val="Heading1"/>
        <w:numPr>
          <w:ilvl w:val="0"/>
          <w:numId w:val="3"/>
        </w:numPr>
        <w:rPr>
          <w:lang w:bidi="en-US"/>
        </w:rPr>
      </w:pPr>
      <w:r w:rsidRPr="007919E5">
        <w:rPr>
          <w:lang w:bidi="en-US"/>
        </w:rPr>
        <w:t>EXECUTIVE SUMMARY</w:t>
      </w:r>
      <w:bookmarkEnd w:id="0"/>
    </w:p>
    <w:p w:rsidRPr="007919E5" w:rsidR="002B34A0" w:rsidP="002C395B" w:rsidRDefault="005B4F77" w14:paraId="1DEB7C47" w14:textId="77777777">
      <w:pPr>
        <w:pStyle w:val="Heading2"/>
        <w:numPr>
          <w:ilvl w:val="1"/>
          <w:numId w:val="3"/>
        </w:numPr>
        <w:tabs>
          <w:tab w:val="left" w:pos="1080"/>
        </w:tabs>
        <w:rPr>
          <w:lang w:bidi="en-US"/>
        </w:rPr>
      </w:pPr>
      <w:bookmarkStart w:name="_Toc501020160" w:id="1"/>
      <w:r w:rsidRPr="007919E5">
        <w:rPr>
          <w:lang w:bidi="en-US"/>
        </w:rPr>
        <w:t xml:space="preserve">Identification of the </w:t>
      </w:r>
      <w:r w:rsidRPr="007919E5" w:rsidR="002B34A0">
        <w:rPr>
          <w:lang w:bidi="en-US"/>
        </w:rPr>
        <w:t>Information Collection – Title and Numbers</w:t>
      </w:r>
      <w:bookmarkEnd w:id="1"/>
      <w:r w:rsidRPr="007919E5" w:rsidR="002B34A0">
        <w:rPr>
          <w:lang w:bidi="en-US"/>
        </w:rPr>
        <w:t xml:space="preserve"> </w:t>
      </w:r>
    </w:p>
    <w:p w:rsidRPr="004C60E8" w:rsidR="002B34A0" w:rsidP="007E3DA7" w:rsidRDefault="00C54579" w14:paraId="6E0B7C11" w14:textId="1BF8C024">
      <w:pPr>
        <w:spacing w:after="120"/>
        <w:ind w:firstLine="720"/>
        <w:rPr>
          <w:lang w:bidi="en-US"/>
        </w:rPr>
      </w:pPr>
      <w:r w:rsidRPr="004C60E8">
        <w:rPr>
          <w:b/>
          <w:lang w:bidi="en-US"/>
        </w:rPr>
        <w:t xml:space="preserve">Title: </w:t>
      </w:r>
      <w:r w:rsidRPr="004C60E8" w:rsidR="00E162F1">
        <w:rPr>
          <w:lang w:bidi="en-US"/>
        </w:rPr>
        <w:t xml:space="preserve">Formaldehyde Standards for Composite Wood Products Act </w:t>
      </w:r>
    </w:p>
    <w:p w:rsidRPr="004C60E8" w:rsidR="002A0BEE" w:rsidP="007E3DA7" w:rsidRDefault="007E3DA7" w14:paraId="49A394EE" w14:textId="39695776">
      <w:pPr>
        <w:spacing w:after="120"/>
        <w:ind w:firstLine="720"/>
        <w:rPr>
          <w:lang w:bidi="en-US"/>
        </w:rPr>
      </w:pPr>
      <w:r w:rsidRPr="004C60E8">
        <w:rPr>
          <w:b/>
          <w:lang w:bidi="en-US"/>
        </w:rPr>
        <w:t xml:space="preserve">ICR </w:t>
      </w:r>
      <w:r w:rsidRPr="004C60E8" w:rsidR="00C54579">
        <w:rPr>
          <w:b/>
          <w:lang w:bidi="en-US"/>
        </w:rPr>
        <w:t>Number</w:t>
      </w:r>
      <w:r w:rsidRPr="004C60E8">
        <w:rPr>
          <w:b/>
          <w:lang w:bidi="en-US"/>
        </w:rPr>
        <w:t>s</w:t>
      </w:r>
      <w:r w:rsidRPr="004C60E8" w:rsidR="00C54579">
        <w:rPr>
          <w:b/>
          <w:lang w:bidi="en-US"/>
        </w:rPr>
        <w:t>:</w:t>
      </w:r>
      <w:r w:rsidRPr="004C60E8" w:rsidR="00C54579">
        <w:rPr>
          <w:lang w:bidi="en-US"/>
        </w:rPr>
        <w:t xml:space="preserve"> </w:t>
      </w:r>
      <w:r w:rsidRPr="004C60E8" w:rsidR="002B34A0">
        <w:rPr>
          <w:lang w:bidi="en-US"/>
        </w:rPr>
        <w:t xml:space="preserve">EPA ICR No.: </w:t>
      </w:r>
      <w:r w:rsidRPr="004C60E8" w:rsidR="00E162F1">
        <w:rPr>
          <w:lang w:bidi="en-US"/>
        </w:rPr>
        <w:t>2446</w:t>
      </w:r>
      <w:r w:rsidRPr="004C60E8" w:rsidR="000155C4">
        <w:rPr>
          <w:lang w:bidi="en-US"/>
        </w:rPr>
        <w:t>.</w:t>
      </w:r>
      <w:r w:rsidR="00E66E27">
        <w:rPr>
          <w:lang w:bidi="en-US"/>
        </w:rPr>
        <w:t>03</w:t>
      </w:r>
      <w:r w:rsidRPr="004C60E8" w:rsidR="000A522E">
        <w:rPr>
          <w:lang w:bidi="en-US"/>
        </w:rPr>
        <w:t>; OMB Control No.: 2070-</w:t>
      </w:r>
      <w:r w:rsidRPr="004C60E8" w:rsidR="00E162F1">
        <w:rPr>
          <w:lang w:bidi="en-US"/>
        </w:rPr>
        <w:t>0185</w:t>
      </w:r>
      <w:r w:rsidRPr="004C60E8" w:rsidR="001C4A80">
        <w:rPr>
          <w:lang w:bidi="en-US"/>
        </w:rPr>
        <w:t>.</w:t>
      </w:r>
    </w:p>
    <w:p w:rsidRPr="004C60E8" w:rsidR="00735A14" w:rsidP="00A63AA3" w:rsidRDefault="007E3DA7" w14:paraId="239558F0" w14:textId="3355EC1D">
      <w:pPr>
        <w:pStyle w:val="NoSpacing"/>
        <w:spacing w:after="120"/>
        <w:rPr>
          <w:lang w:bidi="en-US"/>
        </w:rPr>
      </w:pPr>
      <w:r w:rsidRPr="004C60E8">
        <w:rPr>
          <w:b/>
          <w:lang w:bidi="en-US"/>
        </w:rPr>
        <w:tab/>
      </w:r>
      <w:r w:rsidRPr="004C60E8" w:rsidR="004124F7">
        <w:rPr>
          <w:b/>
          <w:lang w:bidi="en-US"/>
        </w:rPr>
        <w:t xml:space="preserve">EPA </w:t>
      </w:r>
      <w:r w:rsidRPr="004C60E8">
        <w:rPr>
          <w:b/>
          <w:lang w:bidi="en-US"/>
        </w:rPr>
        <w:t>Form N</w:t>
      </w:r>
      <w:r w:rsidRPr="004C60E8" w:rsidR="00A84026">
        <w:rPr>
          <w:b/>
          <w:lang w:bidi="en-US"/>
        </w:rPr>
        <w:t>umber</w:t>
      </w:r>
      <w:r w:rsidRPr="004C60E8">
        <w:rPr>
          <w:b/>
          <w:lang w:bidi="en-US"/>
        </w:rPr>
        <w:t>s:</w:t>
      </w:r>
      <w:r w:rsidRPr="004C60E8">
        <w:rPr>
          <w:lang w:bidi="en-US"/>
        </w:rPr>
        <w:t xml:space="preserve"> </w:t>
      </w:r>
      <w:r w:rsidR="000E747B">
        <w:rPr>
          <w:lang w:bidi="en-US"/>
        </w:rPr>
        <w:t>None.</w:t>
      </w:r>
    </w:p>
    <w:p w:rsidRPr="000A1B41" w:rsidR="005B4F77" w:rsidP="00E162F1" w:rsidRDefault="005B4F77" w14:paraId="3381A6EF" w14:textId="49AEC48A">
      <w:pPr>
        <w:pStyle w:val="NoSpacing"/>
        <w:rPr>
          <w:rFonts w:cs="Arial"/>
          <w:bCs/>
        </w:rPr>
      </w:pPr>
      <w:r w:rsidRPr="004C60E8">
        <w:rPr>
          <w:lang w:bidi="en-US"/>
        </w:rPr>
        <w:tab/>
      </w:r>
      <w:r w:rsidRPr="004C60E8">
        <w:rPr>
          <w:b/>
          <w:lang w:bidi="en-US"/>
        </w:rPr>
        <w:t>Docket ID Number:</w:t>
      </w:r>
      <w:r w:rsidRPr="004C60E8">
        <w:rPr>
          <w:lang w:bidi="en-US"/>
        </w:rPr>
        <w:t xml:space="preserve"> </w:t>
      </w:r>
      <w:r w:rsidRPr="000A1B41" w:rsidR="00C57BDF">
        <w:rPr>
          <w:lang w:bidi="en-US"/>
        </w:rPr>
        <w:t>EPA-HQ-OPPT-201</w:t>
      </w:r>
      <w:r w:rsidR="00B6038B">
        <w:rPr>
          <w:lang w:bidi="en-US"/>
        </w:rPr>
        <w:t>9</w:t>
      </w:r>
      <w:r w:rsidRPr="000A1B41" w:rsidR="00C57BDF">
        <w:rPr>
          <w:lang w:bidi="en-US"/>
        </w:rPr>
        <w:t>-0456</w:t>
      </w:r>
    </w:p>
    <w:p w:rsidRPr="004C60E8" w:rsidR="005B4F77" w:rsidP="005B4F77" w:rsidRDefault="005B4F77" w14:paraId="0FEDFE10" w14:textId="77777777">
      <w:pPr>
        <w:pStyle w:val="NoSpacing"/>
        <w:rPr>
          <w:lang w:bidi="en-US"/>
        </w:rPr>
      </w:pPr>
    </w:p>
    <w:p w:rsidRPr="004C60E8" w:rsidR="0098584B" w:rsidP="0098584B" w:rsidRDefault="005B4F77" w14:paraId="38385A1E" w14:textId="77777777">
      <w:pPr>
        <w:pStyle w:val="Heading2"/>
        <w:numPr>
          <w:ilvl w:val="1"/>
          <w:numId w:val="3"/>
        </w:numPr>
        <w:tabs>
          <w:tab w:val="left" w:pos="1080"/>
        </w:tabs>
      </w:pPr>
      <w:bookmarkStart w:name="_Toc501020161" w:id="2"/>
      <w:r w:rsidRPr="004C60E8">
        <w:t>Docket Information</w:t>
      </w:r>
      <w:bookmarkEnd w:id="2"/>
    </w:p>
    <w:p w:rsidRPr="007919E5" w:rsidR="00003EFE" w:rsidP="00003EFE" w:rsidRDefault="00003EFE" w14:paraId="64E6147A" w14:textId="3255890B">
      <w:r w:rsidRPr="004C60E8">
        <w:t>The information collection request (ICR) that explains the information collection activities and related burden and cost estimates</w:t>
      </w:r>
      <w:r w:rsidRPr="007919E5">
        <w:t>, as well as other supporting documents</w:t>
      </w:r>
      <w:r w:rsidRPr="007919E5" w:rsidR="00C76F17">
        <w:t xml:space="preserve"> related to the ICR</w:t>
      </w:r>
      <w:r w:rsidRPr="007919E5">
        <w:t xml:space="preserve">, are available in the docket </w:t>
      </w:r>
      <w:r w:rsidRPr="007919E5" w:rsidR="00C76F17">
        <w:t xml:space="preserve">established </w:t>
      </w:r>
      <w:r w:rsidRPr="007919E5">
        <w:t xml:space="preserve">for this ICR. The docket can be viewed online at </w:t>
      </w:r>
      <w:hyperlink w:history="1" r:id="rId12">
        <w:r w:rsidRPr="007634FB" w:rsidR="000E747B">
          <w:rPr>
            <w:rStyle w:val="Hyperlink"/>
          </w:rPr>
          <w:t>http://www.regulations.gov</w:t>
        </w:r>
      </w:hyperlink>
      <w:r w:rsidR="000E747B">
        <w:t xml:space="preserve"> </w:t>
      </w:r>
      <w:r w:rsidRPr="007919E5">
        <w:t xml:space="preserve">or in person at the EPA Docket Center, West William Jefferson Clinton Bldg., Rm. 3334, 1301 Constitution Ave., NW., Washington, DC. The telephone number for the Docket Center is (202) 566-1744. For additional information about EPA’s public docket, visit </w:t>
      </w:r>
      <w:hyperlink w:history="1" r:id="rId13">
        <w:r w:rsidRPr="007919E5" w:rsidR="005B4F77">
          <w:rPr>
            <w:rStyle w:val="Hyperlink"/>
          </w:rPr>
          <w:t>http://www.epa.gov/dockets</w:t>
        </w:r>
      </w:hyperlink>
      <w:r w:rsidRPr="007919E5">
        <w:t>.</w:t>
      </w:r>
    </w:p>
    <w:p w:rsidRPr="007919E5" w:rsidR="005B4F77" w:rsidP="005B4F77" w:rsidRDefault="005B4F77" w14:paraId="69AC7584" w14:textId="77777777">
      <w:pPr>
        <w:pStyle w:val="NoSpacing"/>
        <w:rPr>
          <w:lang w:bidi="en-US"/>
        </w:rPr>
      </w:pPr>
    </w:p>
    <w:p w:rsidRPr="007919E5" w:rsidR="005B4F77" w:rsidP="005B4F77" w:rsidRDefault="005B4F77" w14:paraId="18254A0F" w14:textId="77777777">
      <w:pPr>
        <w:pStyle w:val="Heading2"/>
        <w:numPr>
          <w:ilvl w:val="1"/>
          <w:numId w:val="3"/>
        </w:numPr>
        <w:tabs>
          <w:tab w:val="left" w:pos="1080"/>
        </w:tabs>
      </w:pPr>
      <w:bookmarkStart w:name="_Toc501020162" w:id="3"/>
      <w:r w:rsidRPr="007919E5">
        <w:t>ICR Status</w:t>
      </w:r>
      <w:bookmarkEnd w:id="3"/>
      <w:r w:rsidRPr="007919E5">
        <w:t xml:space="preserve"> </w:t>
      </w:r>
    </w:p>
    <w:p w:rsidRPr="007919E5" w:rsidR="00003EFE" w:rsidP="00003EFE" w:rsidRDefault="00003EFE" w14:paraId="6996D3A6" w14:textId="77777777">
      <w:r w:rsidRPr="007919E5">
        <w:t xml:space="preserve">Under </w:t>
      </w:r>
      <w:r w:rsidRPr="007919E5" w:rsidR="003C30C1">
        <w:t>the Paperwork Reduction Act (</w:t>
      </w:r>
      <w:r w:rsidRPr="007919E5">
        <w:t>PRA</w:t>
      </w:r>
      <w:r w:rsidRPr="007919E5" w:rsidR="003C30C1">
        <w:t>)</w:t>
      </w:r>
      <w:r w:rsidRPr="007919E5">
        <w:t>, 44 U.S.C. 3501 et seq., an agency may not conduct or sponsor, and a person is not required to respond to, a collection of information, unless it displays a currently valid control number</w:t>
      </w:r>
      <w:r w:rsidRPr="007919E5" w:rsidR="003C30C1">
        <w:t xml:space="preserve"> issued by the Office of Management and Budget (OMB)</w:t>
      </w:r>
      <w:r w:rsidRPr="007919E5">
        <w:t>.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rsidRPr="007919E5" w:rsidR="008B4785" w:rsidP="008B4785" w:rsidRDefault="008B4785" w14:paraId="5A427BF7" w14:textId="77777777">
      <w:pPr>
        <w:pStyle w:val="NoSpacing"/>
      </w:pPr>
    </w:p>
    <w:p w:rsidRPr="007919E5" w:rsidR="00E62F2E" w:rsidP="0098584B" w:rsidRDefault="00E62F2E" w14:paraId="439AABD1" w14:textId="7DC6BED2">
      <w:r w:rsidRPr="007919E5">
        <w:t xml:space="preserve">Before submitting </w:t>
      </w:r>
      <w:r w:rsidRPr="007919E5" w:rsidR="00843F2F">
        <w:t>an</w:t>
      </w:r>
      <w:r w:rsidRPr="007919E5">
        <w:t xml:space="preserve"> ICR to </w:t>
      </w:r>
      <w:r w:rsidRPr="007919E5">
        <w:rPr>
          <w:lang w:bidi="en-US"/>
        </w:rPr>
        <w:t xml:space="preserve">OMB </w:t>
      </w:r>
      <w:r w:rsidRPr="007919E5">
        <w:t xml:space="preserve">for review and approval under the PRA, </w:t>
      </w:r>
      <w:r w:rsidRPr="007919E5" w:rsidR="003C30C1">
        <w:t>an agency</w:t>
      </w:r>
      <w:r w:rsidRPr="007919E5">
        <w:t xml:space="preserve"> </w:t>
      </w:r>
      <w:r w:rsidRPr="007919E5" w:rsidR="003C30C1">
        <w:t xml:space="preserve">must </w:t>
      </w:r>
      <w:r w:rsidRPr="007919E5">
        <w:t xml:space="preserve">solicit comments pursuant to PRA §3506(c)(2)(A) and </w:t>
      </w:r>
      <w:hyperlink w:history="1" w:anchor="se5.3.1320_18" r:id="rId14">
        <w:r w:rsidRPr="007919E5" w:rsidR="008B4785">
          <w:rPr>
            <w:rStyle w:val="Hyperlink"/>
          </w:rPr>
          <w:t>5 CFR 1320.8(d)(1)</w:t>
        </w:r>
      </w:hyperlink>
      <w:r w:rsidRPr="007919E5">
        <w:t>.</w:t>
      </w:r>
      <w:r w:rsidRPr="007919E5" w:rsidR="003C30C1">
        <w:t xml:space="preserve"> After considering comments</w:t>
      </w:r>
      <w:r w:rsidRPr="007919E5" w:rsidR="008B4785">
        <w:t xml:space="preserve"> received on the draft ICR</w:t>
      </w:r>
      <w:r w:rsidRPr="007919E5" w:rsidR="003C30C1">
        <w:t xml:space="preserve">, the agency </w:t>
      </w:r>
      <w:r w:rsidRPr="007919E5" w:rsidR="007F4564">
        <w:t xml:space="preserve">must </w:t>
      </w:r>
      <w:r w:rsidRPr="007919E5" w:rsidR="008B4785">
        <w:t xml:space="preserve">submit the ICR to </w:t>
      </w:r>
      <w:r w:rsidRPr="007919E5" w:rsidR="008B4785">
        <w:rPr>
          <w:lang w:bidi="en-US"/>
        </w:rPr>
        <w:t xml:space="preserve">OMB </w:t>
      </w:r>
      <w:r w:rsidRPr="007919E5" w:rsidR="008B4785">
        <w:t xml:space="preserve">for review and approval according to the procedures prescribed in </w:t>
      </w:r>
      <w:hyperlink w:history="1" w:anchor="se5.3.1320_112" r:id="rId15">
        <w:r w:rsidRPr="007919E5" w:rsidR="008B4785">
          <w:rPr>
            <w:rStyle w:val="Hyperlink"/>
          </w:rPr>
          <w:t>5 CFR 1320.12</w:t>
        </w:r>
      </w:hyperlink>
      <w:r w:rsidRPr="007919E5" w:rsidR="008B4785">
        <w:t xml:space="preserve">. </w:t>
      </w:r>
      <w:r w:rsidRPr="007919E5" w:rsidR="007F4564">
        <w:t>In announcing the submission of the final ICR to OMB for review and approval, the agency must provide another opportunity for public review and comments on the revised ICR pursuant to 5 CFR 1320.12(c).</w:t>
      </w:r>
    </w:p>
    <w:p w:rsidRPr="007919E5" w:rsidR="00012C7C" w:rsidP="00012C7C" w:rsidRDefault="00012C7C" w14:paraId="1FBE38C9" w14:textId="77777777">
      <w:pPr>
        <w:pStyle w:val="NoSpacing"/>
      </w:pPr>
    </w:p>
    <w:p w:rsidR="005B4F77" w:rsidP="005B4F77" w:rsidRDefault="00C87678" w14:paraId="06877078" w14:textId="21F475BC">
      <w:pPr>
        <w:pStyle w:val="NoSpacing"/>
      </w:pPr>
      <w:r w:rsidRPr="007919E5">
        <w:t xml:space="preserve">This is a </w:t>
      </w:r>
      <w:r w:rsidR="00795329">
        <w:t>renewal of</w:t>
      </w:r>
      <w:r w:rsidR="0058198B">
        <w:t xml:space="preserve"> an</w:t>
      </w:r>
      <w:r w:rsidR="00614B8F">
        <w:t xml:space="preserve"> existing, approved</w:t>
      </w:r>
      <w:r w:rsidRPr="007919E5" w:rsidR="00795329">
        <w:t xml:space="preserve"> </w:t>
      </w:r>
      <w:r w:rsidRPr="007919E5">
        <w:t>ICR</w:t>
      </w:r>
      <w:r w:rsidR="001F7511">
        <w:t>.</w:t>
      </w:r>
      <w:r w:rsidRPr="007919E5">
        <w:t xml:space="preserve"> </w:t>
      </w:r>
    </w:p>
    <w:p w:rsidRPr="007919E5" w:rsidR="00FF67CA" w:rsidP="005B4F77" w:rsidRDefault="00FF67CA" w14:paraId="024F18C7" w14:textId="77777777">
      <w:pPr>
        <w:pStyle w:val="NoSpacing"/>
        <w:rPr>
          <w:lang w:bidi="en-US"/>
        </w:rPr>
      </w:pPr>
    </w:p>
    <w:p w:rsidRPr="007919E5" w:rsidR="005B4F77" w:rsidP="005B4F77" w:rsidRDefault="005B4F77" w14:paraId="14F26DAF" w14:textId="77777777">
      <w:pPr>
        <w:pStyle w:val="Heading2"/>
        <w:numPr>
          <w:ilvl w:val="1"/>
          <w:numId w:val="3"/>
        </w:numPr>
        <w:tabs>
          <w:tab w:val="left" w:pos="1080"/>
        </w:tabs>
      </w:pPr>
      <w:bookmarkStart w:name="_Toc501020163" w:id="4"/>
      <w:r w:rsidRPr="007919E5">
        <w:t>Abstract</w:t>
      </w:r>
      <w:bookmarkEnd w:id="4"/>
    </w:p>
    <w:p w:rsidRPr="004C60E8" w:rsidR="008E63B5" w:rsidP="006460A4" w:rsidRDefault="00E162F1" w14:paraId="33668DFE" w14:textId="5DE21AB3">
      <w:pPr>
        <w:pStyle w:val="BodyText"/>
      </w:pPr>
      <w:bookmarkStart w:name="_Hlk527459149" w:id="5"/>
      <w:r w:rsidRPr="004C60E8">
        <w:t xml:space="preserve">This ICR renewal covers the recordkeeping and reporting requirements for all aspects of the TSCA Title VI implementing regulations and regulations relating to accreditation bodies (ABs) and </w:t>
      </w:r>
      <w:proofErr w:type="gramStart"/>
      <w:r w:rsidR="00110649">
        <w:t>third party</w:t>
      </w:r>
      <w:proofErr w:type="gramEnd"/>
      <w:r w:rsidR="00110649">
        <w:t xml:space="preserve"> certifiers (</w:t>
      </w:r>
      <w:r w:rsidRPr="004C60E8">
        <w:t>TPCs</w:t>
      </w:r>
      <w:r w:rsidR="00110649">
        <w:t>)</w:t>
      </w:r>
      <w:r w:rsidRPr="004C60E8">
        <w:t xml:space="preserve"> that wish to participate in this third-party certification program.  </w:t>
      </w:r>
      <w:bookmarkEnd w:id="5"/>
    </w:p>
    <w:p w:rsidRPr="004C60E8" w:rsidR="00F40219" w:rsidP="006460A4" w:rsidRDefault="00F40219" w14:paraId="50263E7E" w14:textId="53C6AABD">
      <w:pPr>
        <w:pStyle w:val="BodyText"/>
      </w:pPr>
      <w:r w:rsidRPr="004C60E8">
        <w:rPr>
          <w:i/>
        </w:rPr>
        <w:t xml:space="preserve">Legal </w:t>
      </w:r>
      <w:r w:rsidRPr="004C60E8" w:rsidR="002406C5">
        <w:rPr>
          <w:i/>
        </w:rPr>
        <w:t>a</w:t>
      </w:r>
      <w:r w:rsidRPr="004C60E8">
        <w:rPr>
          <w:i/>
        </w:rPr>
        <w:t>uthority:</w:t>
      </w:r>
      <w:r w:rsidRPr="004C60E8">
        <w:t xml:space="preserve"> </w:t>
      </w:r>
      <w:r w:rsidRPr="004C60E8" w:rsidR="00E65DB2">
        <w:t>The Toxic Substances Control Act (TSCA)</w:t>
      </w:r>
      <w:r w:rsidR="00520D53">
        <w:t xml:space="preserve"> Title VI</w:t>
      </w:r>
      <w:r w:rsidRPr="004C60E8" w:rsidR="00E65DB2">
        <w:t>, 15 U.S.C. 26</w:t>
      </w:r>
      <w:r w:rsidRPr="004C60E8" w:rsidR="004C60E8">
        <w:t>97</w:t>
      </w:r>
      <w:r w:rsidRPr="004C60E8" w:rsidR="00E65DB2">
        <w:t xml:space="preserve">. </w:t>
      </w:r>
    </w:p>
    <w:p w:rsidRPr="004C60E8" w:rsidR="005A7AEA" w:rsidP="006460A4" w:rsidRDefault="005A7AEA" w14:paraId="15B035D0" w14:textId="2185E5EB">
      <w:pPr>
        <w:pStyle w:val="BodyText"/>
        <w:rPr>
          <w:rFonts w:eastAsia="Times New Roman"/>
          <w:szCs w:val="24"/>
        </w:rPr>
      </w:pPr>
      <w:r w:rsidRPr="004C60E8">
        <w:rPr>
          <w:rFonts w:eastAsia="Times New Roman"/>
          <w:i/>
          <w:iCs/>
          <w:szCs w:val="24"/>
        </w:rPr>
        <w:lastRenderedPageBreak/>
        <w:t>Respondents/</w:t>
      </w:r>
      <w:r w:rsidRPr="004C60E8" w:rsidR="002406C5">
        <w:rPr>
          <w:rFonts w:eastAsia="Times New Roman"/>
          <w:i/>
          <w:iCs/>
          <w:szCs w:val="24"/>
        </w:rPr>
        <w:t>a</w:t>
      </w:r>
      <w:r w:rsidRPr="004C60E8">
        <w:rPr>
          <w:rFonts w:eastAsia="Times New Roman"/>
          <w:i/>
          <w:iCs/>
          <w:szCs w:val="24"/>
        </w:rPr>
        <w:t xml:space="preserve">ffected </w:t>
      </w:r>
      <w:r w:rsidRPr="004C60E8" w:rsidR="002406C5">
        <w:rPr>
          <w:rFonts w:eastAsia="Times New Roman"/>
          <w:i/>
          <w:iCs/>
          <w:szCs w:val="24"/>
        </w:rPr>
        <w:t>e</w:t>
      </w:r>
      <w:r w:rsidRPr="004C60E8">
        <w:rPr>
          <w:rFonts w:eastAsia="Times New Roman"/>
          <w:i/>
          <w:iCs/>
          <w:szCs w:val="24"/>
        </w:rPr>
        <w:t>ntities</w:t>
      </w:r>
      <w:r w:rsidRPr="004C60E8">
        <w:rPr>
          <w:rFonts w:eastAsia="Times New Roman"/>
          <w:szCs w:val="24"/>
        </w:rPr>
        <w:t xml:space="preserve">: </w:t>
      </w:r>
      <w:bookmarkStart w:name="_Hlk527459239" w:id="6"/>
      <w:r w:rsidRPr="004C60E8">
        <w:rPr>
          <w:rFonts w:eastAsia="Times New Roman"/>
          <w:szCs w:val="24"/>
        </w:rPr>
        <w:t xml:space="preserve">Entities potentially affected by this ICR </w:t>
      </w:r>
      <w:r w:rsidRPr="004C60E8" w:rsidR="00570FC3">
        <w:t xml:space="preserve">include </w:t>
      </w:r>
      <w:r w:rsidRPr="004C60E8" w:rsidR="001D1D05">
        <w:t xml:space="preserve">third party certifiers, accrediting bodies, </w:t>
      </w:r>
      <w:r w:rsidRPr="004C60E8" w:rsidR="00E162F1">
        <w:t>manufacture</w:t>
      </w:r>
      <w:r w:rsidR="00110649">
        <w:t>r</w:t>
      </w:r>
      <w:r w:rsidRPr="004C60E8" w:rsidR="00E162F1">
        <w:t xml:space="preserve">s, distributors, importers, </w:t>
      </w:r>
      <w:r w:rsidR="00110649">
        <w:t xml:space="preserve">and </w:t>
      </w:r>
      <w:r w:rsidRPr="004C60E8" w:rsidR="00E162F1">
        <w:t>retailers of regulated composite wood products</w:t>
      </w:r>
      <w:r w:rsidRPr="00E162F1" w:rsidR="00E162F1">
        <w:t xml:space="preserve"> and finished goods containing regulated composite wood products</w:t>
      </w:r>
      <w:r w:rsidR="00110649">
        <w:t>.</w:t>
      </w:r>
      <w:r w:rsidRPr="00E162F1" w:rsidR="00E162F1">
        <w:t xml:space="preserve"> </w:t>
      </w:r>
      <w:bookmarkEnd w:id="6"/>
    </w:p>
    <w:p w:rsidRPr="004C60E8" w:rsidR="000A02BA" w:rsidP="006460A4" w:rsidRDefault="005A7AEA" w14:paraId="29E8AAE6" w14:textId="0790F313">
      <w:pPr>
        <w:pStyle w:val="BodyText"/>
        <w:rPr>
          <w:rFonts w:eastAsia="Times New Roman"/>
          <w:bCs/>
          <w:szCs w:val="24"/>
        </w:rPr>
      </w:pPr>
      <w:r w:rsidRPr="004C60E8">
        <w:rPr>
          <w:rFonts w:eastAsia="Times New Roman"/>
          <w:i/>
          <w:szCs w:val="24"/>
        </w:rPr>
        <w:t>Respondent’s obligation to respond</w:t>
      </w:r>
      <w:r w:rsidRPr="004C60E8">
        <w:rPr>
          <w:rFonts w:eastAsia="Times New Roman"/>
          <w:szCs w:val="24"/>
        </w:rPr>
        <w:t xml:space="preserve">: </w:t>
      </w:r>
      <w:r w:rsidRPr="004C60E8" w:rsidR="00570FC3">
        <w:rPr>
          <w:bCs/>
        </w:rPr>
        <w:t>Responses are mandatory under TSCA (see 40 CFR part 7</w:t>
      </w:r>
      <w:r w:rsidRPr="004C60E8" w:rsidR="004C60E8">
        <w:rPr>
          <w:bCs/>
        </w:rPr>
        <w:t>70</w:t>
      </w:r>
      <w:r w:rsidRPr="004C60E8" w:rsidR="00570FC3">
        <w:rPr>
          <w:bCs/>
        </w:rPr>
        <w:t>).</w:t>
      </w:r>
    </w:p>
    <w:p w:rsidRPr="004B4B6D" w:rsidR="004B4B6D" w:rsidP="006460A4" w:rsidRDefault="000A02BA" w14:paraId="2122C2D5" w14:textId="66C42606">
      <w:pPr>
        <w:pStyle w:val="BodyText"/>
        <w:rPr>
          <w:rFonts w:eastAsia="Times New Roman"/>
          <w:bCs/>
          <w:szCs w:val="24"/>
        </w:rPr>
      </w:pPr>
      <w:r w:rsidRPr="004C60E8">
        <w:rPr>
          <w:rFonts w:eastAsia="Times New Roman"/>
          <w:bCs/>
          <w:i/>
          <w:szCs w:val="24"/>
        </w:rPr>
        <w:t>Confidentiality of responses:</w:t>
      </w:r>
      <w:r w:rsidRPr="004C60E8" w:rsidR="00570FC3">
        <w:rPr>
          <w:rFonts w:eastAsia="Times New Roman"/>
          <w:bCs/>
          <w:szCs w:val="24"/>
        </w:rPr>
        <w:t xml:space="preserve"> </w:t>
      </w:r>
      <w:r w:rsidRPr="004B4B6D" w:rsidR="004B4B6D">
        <w:rPr>
          <w:rFonts w:eastAsia="Times New Roman"/>
          <w:bCs/>
          <w:szCs w:val="24"/>
        </w:rPr>
        <w:t xml:space="preserve">Regulated entities may claim some of the information given to EPA as CBI. EPA handles claims of confidentiality pursuant to established CBI procedures, as found at Section 14 of TSCA, 40 CFR Part 2, and the Agency’s TSCA CBI Manual. CBI is also protected under the Freedom of Information Act (5 USC Section 525). Much of the information requested in the reporting requirements of these collections is not of a confidential nature. For example, information on the names and contact information for TPCs and ABs is publicly available. </w:t>
      </w:r>
      <w:proofErr w:type="gramStart"/>
      <w:r w:rsidRPr="004B4B6D" w:rsidR="004B4B6D">
        <w:rPr>
          <w:rFonts w:eastAsia="Times New Roman"/>
          <w:bCs/>
          <w:szCs w:val="24"/>
        </w:rPr>
        <w:t>Likewise</w:t>
      </w:r>
      <w:proofErr w:type="gramEnd"/>
      <w:r w:rsidRPr="004B4B6D" w:rsidR="004B4B6D">
        <w:rPr>
          <w:rFonts w:eastAsia="Times New Roman"/>
          <w:bCs/>
          <w:szCs w:val="24"/>
        </w:rPr>
        <w:t xml:space="preserve"> the address of their domestic agents, and their status as participants in the program. EPA will nonetheless allow this information to be substantiated contemporaneously.  A panel producer’s quarterly test results </w:t>
      </w:r>
      <w:r w:rsidR="00A01933">
        <w:rPr>
          <w:rFonts w:eastAsia="Times New Roman"/>
          <w:bCs/>
          <w:szCs w:val="24"/>
        </w:rPr>
        <w:t xml:space="preserve">are </w:t>
      </w:r>
      <w:r w:rsidRPr="004B4B6D" w:rsidR="004B4B6D">
        <w:rPr>
          <w:rFonts w:eastAsia="Times New Roman"/>
          <w:bCs/>
          <w:szCs w:val="24"/>
        </w:rPr>
        <w:t>not eligible for treatment as CBI.</w:t>
      </w:r>
    </w:p>
    <w:p w:rsidRPr="007919E5" w:rsidR="005A7AEA" w:rsidP="006460A4" w:rsidRDefault="00B6038B" w14:paraId="7F3DB803" w14:textId="412F328E">
      <w:pPr>
        <w:pStyle w:val="BodyText"/>
        <w:rPr>
          <w:rFonts w:eastAsia="Times New Roman"/>
          <w:szCs w:val="24"/>
        </w:rPr>
      </w:pPr>
      <w:r>
        <w:rPr>
          <w:rFonts w:eastAsia="Times New Roman"/>
          <w:bCs/>
          <w:szCs w:val="24"/>
        </w:rPr>
        <w:t>TSCA</w:t>
      </w:r>
      <w:r w:rsidRPr="004B4B6D" w:rsidR="004B4B6D">
        <w:rPr>
          <w:rFonts w:eastAsia="Times New Roman"/>
          <w:bCs/>
          <w:szCs w:val="24"/>
        </w:rPr>
        <w:t xml:space="preserve"> </w:t>
      </w:r>
      <w:r>
        <w:rPr>
          <w:rFonts w:eastAsia="Times New Roman"/>
          <w:bCs/>
          <w:szCs w:val="24"/>
        </w:rPr>
        <w:t>S</w:t>
      </w:r>
      <w:r w:rsidRPr="004B4B6D" w:rsidR="004B4B6D">
        <w:rPr>
          <w:rFonts w:eastAsia="Times New Roman"/>
          <w:bCs/>
          <w:szCs w:val="24"/>
        </w:rPr>
        <w:t xml:space="preserve">ection 14(c) requires a supporting statement and certification for confidentiality claims asserted after June 22, 2016. Thus, EPA is requiring a statement and certification consistent with the section 14(c)(1)(B) statement (and with a related certification requirement in section 14(c)(5) of the revised statute) to meet the new statutory requirements. </w:t>
      </w:r>
      <w:r w:rsidRPr="004C60E8" w:rsidR="005A7AEA">
        <w:rPr>
          <w:rFonts w:eastAsia="Times New Roman"/>
          <w:szCs w:val="24"/>
          <w:lang w:val="en-CA"/>
        </w:rPr>
        <w:fldChar w:fldCharType="begin"/>
      </w:r>
      <w:r w:rsidRPr="004C60E8" w:rsidR="005A7AEA">
        <w:rPr>
          <w:rFonts w:eastAsia="Times New Roman"/>
          <w:szCs w:val="24"/>
          <w:lang w:val="en-CA"/>
        </w:rPr>
        <w:instrText xml:space="preserve"> SEQ CHAPTER \h \r 1</w:instrText>
      </w:r>
      <w:r w:rsidRPr="004C60E8" w:rsidR="005A7AEA">
        <w:rPr>
          <w:rFonts w:eastAsia="Times New Roman"/>
          <w:szCs w:val="24"/>
          <w:lang w:val="en-CA"/>
        </w:rPr>
        <w:fldChar w:fldCharType="end"/>
      </w:r>
      <w:r w:rsidRPr="004C60E8" w:rsidR="005A7AEA">
        <w:rPr>
          <w:rFonts w:eastAsia="Times New Roman"/>
          <w:szCs w:val="24"/>
          <w:lang w:val="en-CA"/>
        </w:rPr>
        <w:fldChar w:fldCharType="begin"/>
      </w:r>
      <w:r w:rsidRPr="004C60E8" w:rsidR="005A7AEA">
        <w:rPr>
          <w:rFonts w:eastAsia="Times New Roman"/>
          <w:szCs w:val="24"/>
          <w:lang w:val="en-CA"/>
        </w:rPr>
        <w:instrText xml:space="preserve"> SEQ CHAPTER \h \r 1</w:instrText>
      </w:r>
      <w:r w:rsidRPr="004C60E8" w:rsidR="005A7AEA">
        <w:rPr>
          <w:rFonts w:eastAsia="Times New Roman"/>
          <w:szCs w:val="24"/>
          <w:lang w:val="en-CA"/>
        </w:rPr>
        <w:fldChar w:fldCharType="end"/>
      </w:r>
    </w:p>
    <w:p w:rsidRPr="006D3F49" w:rsidR="005A7AEA" w:rsidP="005A7AEA" w:rsidRDefault="005A7AEA" w14:paraId="3079957A" w14:textId="30EFEC09">
      <w:pPr>
        <w:rPr>
          <w:rFonts w:eastAsia="Times New Roman" w:cs="Arial"/>
          <w:szCs w:val="24"/>
        </w:rPr>
      </w:pPr>
      <w:r w:rsidRPr="00687CF7">
        <w:rPr>
          <w:rFonts w:eastAsia="Times New Roman" w:cs="Arial"/>
          <w:i/>
          <w:iCs/>
          <w:szCs w:val="24"/>
        </w:rPr>
        <w:t xml:space="preserve">Estimated total number of potential </w:t>
      </w:r>
      <w:r w:rsidRPr="007D03DF">
        <w:rPr>
          <w:rFonts w:eastAsia="Times New Roman" w:cs="Arial"/>
          <w:i/>
          <w:iCs/>
          <w:szCs w:val="24"/>
        </w:rPr>
        <w:t>respondents</w:t>
      </w:r>
      <w:r w:rsidRPr="006D3F49">
        <w:rPr>
          <w:rFonts w:eastAsia="Times New Roman" w:cs="Arial"/>
          <w:szCs w:val="24"/>
        </w:rPr>
        <w:t>:</w:t>
      </w:r>
      <w:r w:rsidRPr="006D3F49" w:rsidR="00FE7F37">
        <w:rPr>
          <w:rFonts w:eastAsia="Times New Roman" w:cs="Arial"/>
          <w:szCs w:val="24"/>
        </w:rPr>
        <w:t xml:space="preserve"> </w:t>
      </w:r>
      <w:r w:rsidRPr="006D3F49" w:rsidR="00491BA3">
        <w:rPr>
          <w:bCs/>
        </w:rPr>
        <w:t>990,</w:t>
      </w:r>
      <w:r w:rsidR="002460BB">
        <w:rPr>
          <w:bCs/>
        </w:rPr>
        <w:t>269</w:t>
      </w:r>
      <w:r w:rsidRPr="006D3F49" w:rsidR="00570FC3">
        <w:rPr>
          <w:bCs/>
        </w:rPr>
        <w:t>.</w:t>
      </w:r>
    </w:p>
    <w:p w:rsidRPr="006D3F49" w:rsidR="00D4779C" w:rsidP="005A7AEA" w:rsidRDefault="00D4779C" w14:paraId="4368372C" w14:textId="77777777">
      <w:pPr>
        <w:rPr>
          <w:rFonts w:eastAsia="Times New Roman" w:cs="Arial"/>
          <w:i/>
          <w:iCs/>
          <w:szCs w:val="24"/>
        </w:rPr>
      </w:pPr>
    </w:p>
    <w:p w:rsidRPr="006D3F49" w:rsidR="005A7AEA" w:rsidP="005A7AEA" w:rsidRDefault="005A7AEA" w14:paraId="10196243" w14:textId="77777777">
      <w:pPr>
        <w:rPr>
          <w:rFonts w:eastAsia="Times New Roman" w:cs="Arial"/>
          <w:szCs w:val="24"/>
        </w:rPr>
      </w:pPr>
      <w:r w:rsidRPr="006D3F49">
        <w:rPr>
          <w:rFonts w:eastAsia="Times New Roman" w:cs="Arial"/>
          <w:i/>
          <w:iCs/>
          <w:szCs w:val="24"/>
        </w:rPr>
        <w:t>Frequency of response</w:t>
      </w:r>
      <w:r w:rsidRPr="006D3F49">
        <w:rPr>
          <w:rFonts w:eastAsia="Times New Roman" w:cs="Arial"/>
          <w:szCs w:val="24"/>
        </w:rPr>
        <w:t>:</w:t>
      </w:r>
      <w:r w:rsidRPr="006D3F49" w:rsidR="00FE7F37">
        <w:rPr>
          <w:rFonts w:eastAsia="Times New Roman" w:cs="Arial"/>
          <w:szCs w:val="24"/>
        </w:rPr>
        <w:t xml:space="preserve"> </w:t>
      </w:r>
      <w:r w:rsidRPr="006D3F49">
        <w:rPr>
          <w:rFonts w:eastAsia="Times New Roman" w:cs="Arial"/>
          <w:szCs w:val="24"/>
        </w:rPr>
        <w:t>On occasion.</w:t>
      </w:r>
    </w:p>
    <w:p w:rsidRPr="006D3F49" w:rsidR="00D4779C" w:rsidP="00570FC3" w:rsidRDefault="00D4779C" w14:paraId="38DB5E8F" w14:textId="77777777">
      <w:pPr>
        <w:pStyle w:val="NoSpacing"/>
      </w:pPr>
    </w:p>
    <w:p w:rsidRPr="006D3F49" w:rsidR="005A7AEA" w:rsidP="00570FC3" w:rsidRDefault="005A7AEA" w14:paraId="52C772F5" w14:textId="2A96DB2B">
      <w:pPr>
        <w:pStyle w:val="NoSpacing"/>
        <w:rPr>
          <w:rFonts w:eastAsia="Times New Roman" w:cs="Arial"/>
          <w:szCs w:val="24"/>
        </w:rPr>
      </w:pPr>
      <w:r w:rsidRPr="006D3F49">
        <w:rPr>
          <w:rFonts w:eastAsia="Times New Roman" w:cs="Arial"/>
          <w:i/>
          <w:iCs/>
          <w:szCs w:val="24"/>
        </w:rPr>
        <w:t xml:space="preserve">Estimated total </w:t>
      </w:r>
      <w:r w:rsidRPr="006D3F49" w:rsidR="00570FC3">
        <w:rPr>
          <w:rFonts w:eastAsia="Times New Roman" w:cs="Arial"/>
          <w:i/>
          <w:iCs/>
          <w:szCs w:val="24"/>
        </w:rPr>
        <w:t xml:space="preserve">annual </w:t>
      </w:r>
      <w:r w:rsidRPr="006D3F49">
        <w:rPr>
          <w:rFonts w:eastAsia="Times New Roman" w:cs="Arial"/>
          <w:i/>
          <w:iCs/>
          <w:szCs w:val="24"/>
        </w:rPr>
        <w:t>burden</w:t>
      </w:r>
      <w:r w:rsidRPr="006D3F49">
        <w:rPr>
          <w:rFonts w:eastAsia="Times New Roman" w:cs="Arial"/>
          <w:szCs w:val="24"/>
        </w:rPr>
        <w:t>:</w:t>
      </w:r>
      <w:r w:rsidRPr="006D3F49" w:rsidR="00FE7F37">
        <w:rPr>
          <w:rFonts w:eastAsia="Times New Roman" w:cs="Arial"/>
          <w:szCs w:val="24"/>
        </w:rPr>
        <w:t xml:space="preserve"> </w:t>
      </w:r>
      <w:r w:rsidRPr="006D3F49" w:rsidR="004028A4">
        <w:rPr>
          <w:bCs/>
        </w:rPr>
        <w:t>8</w:t>
      </w:r>
      <w:r w:rsidR="004028A4">
        <w:rPr>
          <w:bCs/>
        </w:rPr>
        <w:t>4</w:t>
      </w:r>
      <w:r w:rsidRPr="006D3F49" w:rsidR="007D03DF">
        <w:rPr>
          <w:bCs/>
        </w:rPr>
        <w:t>,</w:t>
      </w:r>
      <w:r w:rsidR="002750AF">
        <w:rPr>
          <w:bCs/>
        </w:rPr>
        <w:t>793</w:t>
      </w:r>
      <w:r w:rsidRPr="006D3F49" w:rsidR="004028A4">
        <w:rPr>
          <w:bCs/>
        </w:rPr>
        <w:t xml:space="preserve"> </w:t>
      </w:r>
      <w:r w:rsidRPr="006D3F49">
        <w:rPr>
          <w:rFonts w:eastAsia="Times New Roman" w:cs="Arial"/>
          <w:szCs w:val="24"/>
        </w:rPr>
        <w:t>hours. Burden is defined at 5 CFR 1320.3(b).</w:t>
      </w:r>
    </w:p>
    <w:p w:rsidRPr="006D3F49" w:rsidR="005A7AEA" w:rsidP="005A7AEA" w:rsidRDefault="005A7AEA" w14:paraId="48920722" w14:textId="77777777">
      <w:pPr>
        <w:rPr>
          <w:rFonts w:eastAsia="Times New Roman" w:cs="Arial"/>
          <w:i/>
          <w:iCs/>
          <w:szCs w:val="24"/>
        </w:rPr>
      </w:pPr>
    </w:p>
    <w:p w:rsidRPr="006D3F49" w:rsidR="005A7AEA" w:rsidP="005A7AEA" w:rsidRDefault="005A7AEA" w14:paraId="25286CEF" w14:textId="0158068E">
      <w:pPr>
        <w:rPr>
          <w:rFonts w:eastAsia="Times New Roman" w:cs="Arial"/>
          <w:szCs w:val="24"/>
        </w:rPr>
      </w:pPr>
      <w:r w:rsidRPr="006D3F49">
        <w:rPr>
          <w:rFonts w:eastAsia="Times New Roman" w:cs="Arial"/>
          <w:i/>
          <w:iCs/>
          <w:szCs w:val="24"/>
        </w:rPr>
        <w:t xml:space="preserve">Estimated total </w:t>
      </w:r>
      <w:r w:rsidRPr="006D3F49" w:rsidR="00570FC3">
        <w:rPr>
          <w:rFonts w:eastAsia="Times New Roman" w:cs="Arial"/>
          <w:i/>
          <w:iCs/>
          <w:szCs w:val="24"/>
        </w:rPr>
        <w:t xml:space="preserve">annual </w:t>
      </w:r>
      <w:r w:rsidRPr="006D3F49">
        <w:rPr>
          <w:rFonts w:eastAsia="Times New Roman" w:cs="Arial"/>
          <w:i/>
          <w:iCs/>
          <w:szCs w:val="24"/>
        </w:rPr>
        <w:t>costs</w:t>
      </w:r>
      <w:r w:rsidRPr="006D3F49">
        <w:rPr>
          <w:rFonts w:eastAsia="Times New Roman" w:cs="Arial"/>
          <w:szCs w:val="24"/>
        </w:rPr>
        <w:t>:</w:t>
      </w:r>
      <w:r w:rsidRPr="006D3F49" w:rsidR="00FE7F37">
        <w:rPr>
          <w:rFonts w:eastAsia="Times New Roman" w:cs="Arial"/>
          <w:szCs w:val="24"/>
        </w:rPr>
        <w:t xml:space="preserve"> </w:t>
      </w:r>
      <w:r w:rsidRPr="006D3F49" w:rsidR="007D03DF">
        <w:rPr>
          <w:rFonts w:eastAsia="Times New Roman" w:cs="Arial"/>
          <w:szCs w:val="24"/>
        </w:rPr>
        <w:t>$</w:t>
      </w:r>
      <w:r w:rsidR="004028A4">
        <w:rPr>
          <w:bCs/>
        </w:rPr>
        <w:t>19</w:t>
      </w:r>
      <w:r w:rsidRPr="006D3F49" w:rsidR="000B5A0A">
        <w:rPr>
          <w:bCs/>
        </w:rPr>
        <w:t>,</w:t>
      </w:r>
      <w:r w:rsidR="004028A4">
        <w:rPr>
          <w:bCs/>
        </w:rPr>
        <w:t>63</w:t>
      </w:r>
      <w:r w:rsidR="002750AF">
        <w:rPr>
          <w:bCs/>
        </w:rPr>
        <w:t>8</w:t>
      </w:r>
      <w:r w:rsidRPr="006D3F49" w:rsidR="000B5A0A">
        <w:rPr>
          <w:bCs/>
        </w:rPr>
        <w:t>,</w:t>
      </w:r>
      <w:r w:rsidR="002750AF">
        <w:rPr>
          <w:bCs/>
        </w:rPr>
        <w:t>018</w:t>
      </w:r>
      <w:r w:rsidRPr="006D3F49">
        <w:rPr>
          <w:rFonts w:eastAsia="Times New Roman" w:cs="Arial"/>
          <w:bCs/>
          <w:szCs w:val="24"/>
        </w:rPr>
        <w:t xml:space="preserve">, includes </w:t>
      </w:r>
      <w:r w:rsidRPr="006D3F49" w:rsidR="00E65DB2">
        <w:rPr>
          <w:rFonts w:eastAsia="Times New Roman" w:cs="Arial"/>
          <w:bCs/>
          <w:szCs w:val="24"/>
        </w:rPr>
        <w:t>no</w:t>
      </w:r>
      <w:r w:rsidRPr="006D3F49">
        <w:rPr>
          <w:rFonts w:eastAsia="Times New Roman" w:cs="Arial"/>
          <w:bCs/>
          <w:szCs w:val="24"/>
        </w:rPr>
        <w:t xml:space="preserve"> annualized </w:t>
      </w:r>
      <w:r w:rsidRPr="006D3F49">
        <w:rPr>
          <w:rFonts w:eastAsia="Times New Roman" w:cs="Arial"/>
          <w:szCs w:val="24"/>
        </w:rPr>
        <w:t>capital investment or maintenance and operational costs.</w:t>
      </w:r>
      <w:r w:rsidRPr="006D3F49" w:rsidR="00EB2F29">
        <w:rPr>
          <w:rFonts w:eastAsia="Times New Roman" w:cs="Arial"/>
          <w:szCs w:val="24"/>
        </w:rPr>
        <w:t xml:space="preserve"> </w:t>
      </w:r>
    </w:p>
    <w:p w:rsidRPr="006D3F49" w:rsidR="005A7AEA" w:rsidP="005A7AEA" w:rsidRDefault="005A7AEA" w14:paraId="1AE7CE8A" w14:textId="77777777">
      <w:pPr>
        <w:pStyle w:val="NoSpacing"/>
      </w:pPr>
    </w:p>
    <w:p w:rsidRPr="007D03DF" w:rsidR="0033644F" w:rsidP="0033644F" w:rsidRDefault="005A7AEA" w14:paraId="49EB4313" w14:textId="3F785CC4">
      <w:pPr>
        <w:rPr>
          <w:color w:val="000000" w:themeColor="text1"/>
        </w:rPr>
      </w:pPr>
      <w:r w:rsidRPr="006D3F49">
        <w:rPr>
          <w:rFonts w:eastAsia="Times New Roman" w:cs="Arial"/>
          <w:i/>
          <w:szCs w:val="24"/>
        </w:rPr>
        <w:t>Changes in the estimates</w:t>
      </w:r>
      <w:r w:rsidRPr="006D3F49">
        <w:rPr>
          <w:rFonts w:eastAsia="Times New Roman" w:cs="Arial"/>
          <w:szCs w:val="24"/>
        </w:rPr>
        <w:t>:</w:t>
      </w:r>
      <w:r w:rsidRPr="006D3F49" w:rsidR="00FE7F37">
        <w:rPr>
          <w:rFonts w:eastAsia="Times New Roman" w:cs="Arial"/>
          <w:szCs w:val="24"/>
        </w:rPr>
        <w:t xml:space="preserve"> </w:t>
      </w:r>
      <w:r w:rsidRPr="006D3F49" w:rsidR="00696C3C">
        <w:t>There is</w:t>
      </w:r>
      <w:r w:rsidRPr="006D3F49" w:rsidR="00E65DB2">
        <w:t xml:space="preserve"> an overall </w:t>
      </w:r>
      <w:r w:rsidRPr="006D3F49" w:rsidR="004E2E71">
        <w:t xml:space="preserve">decrease </w:t>
      </w:r>
      <w:r w:rsidRPr="006D3F49" w:rsidR="00E65DB2">
        <w:t xml:space="preserve">of </w:t>
      </w:r>
      <w:r w:rsidRPr="006D3F49" w:rsidR="00E4382D">
        <w:rPr>
          <w:bCs/>
        </w:rPr>
        <w:t>1,</w:t>
      </w:r>
      <w:r w:rsidRPr="006D3F49" w:rsidR="004028A4">
        <w:rPr>
          <w:bCs/>
        </w:rPr>
        <w:t>39</w:t>
      </w:r>
      <w:r w:rsidR="004028A4">
        <w:rPr>
          <w:bCs/>
        </w:rPr>
        <w:t>6</w:t>
      </w:r>
      <w:r w:rsidRPr="006D3F49" w:rsidR="006D3F49">
        <w:rPr>
          <w:bCs/>
        </w:rPr>
        <w:t>,</w:t>
      </w:r>
      <w:r w:rsidR="004028A4">
        <w:rPr>
          <w:bCs/>
        </w:rPr>
        <w:t>7</w:t>
      </w:r>
      <w:r w:rsidR="002750AF">
        <w:rPr>
          <w:bCs/>
        </w:rPr>
        <w:t>32</w:t>
      </w:r>
      <w:r w:rsidRPr="006D3F49" w:rsidR="004028A4">
        <w:rPr>
          <w:bCs/>
        </w:rPr>
        <w:t xml:space="preserve"> </w:t>
      </w:r>
      <w:r w:rsidRPr="006D3F49" w:rsidR="00E65DB2">
        <w:t>hours in the total estimated combined respondent burden that is currently approved by OM</w:t>
      </w:r>
      <w:r w:rsidRPr="007D03DF" w:rsidR="00E65DB2">
        <w:t>B</w:t>
      </w:r>
      <w:r w:rsidRPr="007D03DF" w:rsidR="00696C3C">
        <w:t xml:space="preserve"> in </w:t>
      </w:r>
      <w:r w:rsidR="00711E64">
        <w:t xml:space="preserve">the </w:t>
      </w:r>
      <w:r w:rsidRPr="007D03DF" w:rsidR="00696C3C">
        <w:t>ICR</w:t>
      </w:r>
      <w:r w:rsidR="008F791D">
        <w:t xml:space="preserve"> </w:t>
      </w:r>
      <w:r w:rsidR="00711E64">
        <w:t xml:space="preserve">for this program </w:t>
      </w:r>
      <w:r w:rsidR="008F791D">
        <w:t>(</w:t>
      </w:r>
      <w:r w:rsidR="0081620F">
        <w:t xml:space="preserve">EPA </w:t>
      </w:r>
      <w:r w:rsidR="008F791D">
        <w:t>ICR #2446.02)</w:t>
      </w:r>
      <w:r w:rsidRPr="007D03DF" w:rsidR="00E65DB2">
        <w:t xml:space="preserve">. </w:t>
      </w:r>
      <w:r w:rsidRPr="007D03DF" w:rsidR="0033644F">
        <w:rPr>
          <w:color w:val="000000" w:themeColor="text1"/>
        </w:rPr>
        <w:t>The difference between the current burden request and the previously approved request are due to adjustments in EPA’s estimates of the burden. Several adjustments to the estimates were made, including:</w:t>
      </w:r>
    </w:p>
    <w:p w:rsidRPr="007D03DF" w:rsidR="0033644F" w:rsidP="00CB5456" w:rsidRDefault="0033644F" w14:paraId="6178F98E" w14:textId="4DBFC744">
      <w:pPr>
        <w:rPr>
          <w:color w:val="000000" w:themeColor="text1"/>
        </w:rPr>
      </w:pPr>
    </w:p>
    <w:p w:rsidRPr="007D03DF" w:rsidR="00B61028" w:rsidP="00B61028" w:rsidRDefault="00B61028" w14:paraId="7A1A6B33" w14:textId="01ACDEC8">
      <w:pPr>
        <w:numPr>
          <w:ilvl w:val="0"/>
          <w:numId w:val="6"/>
        </w:numPr>
        <w:rPr>
          <w:color w:val="000000" w:themeColor="text1"/>
        </w:rPr>
      </w:pPr>
      <w:r>
        <w:rPr>
          <w:color w:val="000000" w:themeColor="text1"/>
        </w:rPr>
        <w:t xml:space="preserve">Revisions to the estimated burden </w:t>
      </w:r>
      <w:r w:rsidR="00AD21DF">
        <w:rPr>
          <w:color w:val="000000" w:themeColor="text1"/>
        </w:rPr>
        <w:t xml:space="preserve">reflecting </w:t>
      </w:r>
      <w:r>
        <w:rPr>
          <w:color w:val="000000" w:themeColor="text1"/>
        </w:rPr>
        <w:t>activities that only had one-time burdens associated with the initial implementation of the rule;</w:t>
      </w:r>
      <w:r w:rsidR="00AD21DF">
        <w:rPr>
          <w:color w:val="000000" w:themeColor="text1"/>
        </w:rPr>
        <w:t xml:space="preserve"> </w:t>
      </w:r>
      <w:r w:rsidR="0081620F">
        <w:rPr>
          <w:color w:val="000000" w:themeColor="text1"/>
        </w:rPr>
        <w:t>and</w:t>
      </w:r>
    </w:p>
    <w:p w:rsidRPr="00855BD9" w:rsidR="00855BD9" w:rsidP="0081620F" w:rsidRDefault="0033644F" w14:paraId="238C7AA9" w14:textId="1D8A5B48">
      <w:pPr>
        <w:numPr>
          <w:ilvl w:val="0"/>
          <w:numId w:val="6"/>
        </w:numPr>
      </w:pPr>
      <w:r w:rsidRPr="007D03DF">
        <w:rPr>
          <w:color w:val="000000" w:themeColor="text1"/>
        </w:rPr>
        <w:t xml:space="preserve">Revisions to the estimated number of respondents based on the </w:t>
      </w:r>
      <w:r w:rsidR="00AD21DF">
        <w:rPr>
          <w:color w:val="000000" w:themeColor="text1"/>
        </w:rPr>
        <w:t xml:space="preserve">actual </w:t>
      </w:r>
      <w:r w:rsidRPr="007D03DF">
        <w:rPr>
          <w:color w:val="000000" w:themeColor="text1"/>
        </w:rPr>
        <w:t xml:space="preserve">number of </w:t>
      </w:r>
      <w:r w:rsidR="00B61028">
        <w:rPr>
          <w:color w:val="000000" w:themeColor="text1"/>
        </w:rPr>
        <w:t>participants in the TSCA Title VI program</w:t>
      </w:r>
      <w:r w:rsidR="0081620F">
        <w:rPr>
          <w:color w:val="000000" w:themeColor="text1"/>
        </w:rPr>
        <w:t>.</w:t>
      </w:r>
      <w:r w:rsidRPr="00855BD9" w:rsidR="0081620F">
        <w:t xml:space="preserve"> </w:t>
      </w:r>
    </w:p>
    <w:p w:rsidRPr="007919E5" w:rsidR="008B4785" w:rsidP="00D4779C" w:rsidRDefault="008B4785" w14:paraId="361DDCFC" w14:textId="374C9AB1">
      <w:pPr>
        <w:rPr>
          <w:rFonts w:cs="Arial"/>
          <w:lang w:bidi="en-US"/>
        </w:rPr>
      </w:pPr>
    </w:p>
    <w:p w:rsidRPr="007919E5" w:rsidR="002B34A0" w:rsidP="005B4F77" w:rsidRDefault="00512823" w14:paraId="2A0F8AA4" w14:textId="77777777">
      <w:pPr>
        <w:pStyle w:val="Heading1"/>
        <w:numPr>
          <w:ilvl w:val="0"/>
          <w:numId w:val="3"/>
        </w:numPr>
      </w:pPr>
      <w:bookmarkStart w:name="_Toc501020164" w:id="7"/>
      <w:r w:rsidRPr="007919E5">
        <w:t>NECESSITY OF THE INFORMATION COLLECTION</w:t>
      </w:r>
      <w:bookmarkEnd w:id="7"/>
    </w:p>
    <w:p w:rsidRPr="007919E5" w:rsidR="00F40219" w:rsidP="005B4F77" w:rsidRDefault="00F40219" w14:paraId="31468BF9" w14:textId="77777777">
      <w:pPr>
        <w:pStyle w:val="Heading2"/>
        <w:numPr>
          <w:ilvl w:val="1"/>
          <w:numId w:val="3"/>
        </w:numPr>
        <w:tabs>
          <w:tab w:val="left" w:pos="1080"/>
        </w:tabs>
      </w:pPr>
      <w:bookmarkStart w:name="_Toc501020165" w:id="8"/>
      <w:r w:rsidRPr="007919E5">
        <w:t>Related Legal and/or Administrative Requirements</w:t>
      </w:r>
      <w:bookmarkEnd w:id="8"/>
    </w:p>
    <w:p w:rsidR="001D1D05" w:rsidP="006460A4" w:rsidRDefault="001D1D05" w14:paraId="4D730256" w14:textId="60CACA8C">
      <w:pPr>
        <w:pStyle w:val="BodyText"/>
      </w:pPr>
      <w:r>
        <w:t xml:space="preserve">The reporting and recordkeeping requirements </w:t>
      </w:r>
      <w:r w:rsidR="00B43027">
        <w:t xml:space="preserve">described </w:t>
      </w:r>
      <w:r w:rsidR="0081620F">
        <w:t xml:space="preserve">in </w:t>
      </w:r>
      <w:r>
        <w:t>this ICR are implemented under the authority of TSCA Title VI. TSCA Title VI direct</w:t>
      </w:r>
      <w:r w:rsidR="0081620F">
        <w:t>ed</w:t>
      </w:r>
      <w:r>
        <w:t xml:space="preserve"> EPA to promulgate regulations to ensure compliance with the emissions standards, including provisions on testing requirements, laminated products, products made with </w:t>
      </w:r>
      <w:r w:rsidR="002315C0">
        <w:t>no-added formaldehyde (</w:t>
      </w:r>
      <w:r>
        <w:t>NAF</w:t>
      </w:r>
      <w:r w:rsidR="002315C0">
        <w:t>)</w:t>
      </w:r>
      <w:r>
        <w:t xml:space="preserve">-based resins or </w:t>
      </w:r>
      <w:proofErr w:type="spellStart"/>
      <w:r w:rsidR="002315C0">
        <w:t xml:space="preserve">ultra </w:t>
      </w:r>
      <w:r w:rsidR="002315C0">
        <w:lastRenderedPageBreak/>
        <w:t>low</w:t>
      </w:r>
      <w:proofErr w:type="spellEnd"/>
      <w:r w:rsidR="002315C0">
        <w:t>-emitting formaldehyde (</w:t>
      </w:r>
      <w:r>
        <w:t>ULEF</w:t>
      </w:r>
      <w:r w:rsidR="002315C0">
        <w:t>)</w:t>
      </w:r>
      <w:r>
        <w:t xml:space="preserve"> resins, product labeling requirements, chain of custody for product compliance documentation, recordkeeping, product inventory sell-through dates, a product stockpiling prohibition, and product certification by a TPC. The reported information allows EPA to ensure compliance with the emissions standards; moreover, a reasonable amount of reporting encourages regulated entities to fulfill their obligations under the statute and regulations.</w:t>
      </w:r>
    </w:p>
    <w:p w:rsidR="001D1D05" w:rsidP="006460A4" w:rsidRDefault="001D1D05" w14:paraId="7B69505C" w14:textId="70E669EB">
      <w:pPr>
        <w:pStyle w:val="BodyText"/>
      </w:pPr>
      <w:r>
        <w:t>To meet its statutory obligations, EPA must obtain sufficient information to establish and oversee a credible third-party certification program for composite wood products. This information help</w:t>
      </w:r>
      <w:r w:rsidR="0081620F">
        <w:t>s</w:t>
      </w:r>
      <w:r>
        <w:t xml:space="preserve"> EPA ensure that all program participants are carrying out their responsibilities diligently, impartially, and uniformly. The regulations aim to ensure consistent application of the requirements of TSCA Title VI by using voluntary consensus standards as requirements, and by leveraging the expertise of international </w:t>
      </w:r>
      <w:proofErr w:type="spellStart"/>
      <w:r>
        <w:t>ABs.</w:t>
      </w:r>
      <w:proofErr w:type="spellEnd"/>
    </w:p>
    <w:p w:rsidR="001D1D05" w:rsidP="006460A4" w:rsidRDefault="001D1D05" w14:paraId="15DAD79A" w14:textId="3F75A452">
      <w:pPr>
        <w:pStyle w:val="BodyText"/>
      </w:pPr>
      <w:r>
        <w:t xml:space="preserve">High quality TPCs are essential in ensuring that domestic and foreign composite wood panel producers that are supplying products to the U.S. have adequate quality assurance and quality control procedures, are adequately testing their products to determine that they are compliant, and are otherwise acting in manner that is consistent with the requirements of TSCA Title VI. The reporting and record maintenance requirements </w:t>
      </w:r>
      <w:r w:rsidR="0081620F">
        <w:t xml:space="preserve">described </w:t>
      </w:r>
      <w:r>
        <w:t xml:space="preserve">in this ICR help ensure that all program participants remain qualified and are held accountable for their activities and allow panel producers to obtain credible TSCA Title VI certifications for their regulated composite wood products. </w:t>
      </w:r>
    </w:p>
    <w:p w:rsidRPr="007919E5" w:rsidR="00AB22ED" w:rsidP="006460A4" w:rsidRDefault="00AB22ED" w14:paraId="392BC614" w14:textId="078DED11">
      <w:pPr>
        <w:pStyle w:val="BodyText"/>
      </w:pPr>
      <w:r w:rsidRPr="007919E5">
        <w:t>The following provides a general overview for requirements covered in this ICR for each entity:</w:t>
      </w:r>
    </w:p>
    <w:p w:rsidR="00C87DD5" w:rsidP="006460A4" w:rsidRDefault="00C87DD5" w14:paraId="72F52161" w14:textId="77777777">
      <w:pPr>
        <w:pStyle w:val="BodyText"/>
      </w:pPr>
      <w:r w:rsidRPr="002F1795">
        <w:t>The recordkeeping requirements and reporting requirements include:</w:t>
      </w:r>
    </w:p>
    <w:p w:rsidRPr="00C87DD5" w:rsidR="00C87DD5" w:rsidP="00C87DD5" w:rsidRDefault="00C87DD5" w14:paraId="486BF7B0" w14:textId="23077D07">
      <w:pPr>
        <w:pStyle w:val="NoSpacing"/>
        <w:rPr>
          <w:rFonts w:cs="Arial"/>
          <w:b/>
          <w:szCs w:val="24"/>
        </w:rPr>
      </w:pPr>
      <w:r w:rsidRPr="00C87DD5">
        <w:rPr>
          <w:rFonts w:cs="Arial"/>
          <w:b/>
          <w:szCs w:val="24"/>
        </w:rPr>
        <w:t>Composite Wood Product Producers:</w:t>
      </w:r>
    </w:p>
    <w:p w:rsidRPr="00C87DD5" w:rsidR="00C87DD5" w:rsidP="00C87DD5" w:rsidRDefault="00C87DD5" w14:paraId="7B8CDD03" w14:textId="77777777">
      <w:pPr>
        <w:rPr>
          <w:rFonts w:cs="Arial"/>
          <w:b/>
          <w:bCs/>
          <w:szCs w:val="24"/>
        </w:rPr>
      </w:pPr>
    </w:p>
    <w:p w:rsidRPr="00C87DD5" w:rsidR="00C87DD5" w:rsidP="00C87DD5" w:rsidRDefault="00C87DD5" w14:paraId="660BE600" w14:textId="77777777">
      <w:pPr>
        <w:rPr>
          <w:rFonts w:cs="Arial"/>
          <w:szCs w:val="24"/>
        </w:rPr>
      </w:pPr>
      <w:r w:rsidRPr="00C87DD5">
        <w:rPr>
          <w:rFonts w:cs="Arial"/>
          <w:b/>
          <w:bCs/>
          <w:szCs w:val="24"/>
        </w:rPr>
        <w:t xml:space="preserve">(A)  </w:t>
      </w:r>
      <w:r w:rsidRPr="00C87DD5">
        <w:rPr>
          <w:rFonts w:cs="Arial"/>
          <w:b/>
          <w:bCs/>
          <w:szCs w:val="24"/>
          <w:u w:val="single"/>
        </w:rPr>
        <w:t>Notifications/Reports</w:t>
      </w:r>
      <w:r w:rsidRPr="00C87DD5">
        <w:rPr>
          <w:rFonts w:cs="Arial"/>
          <w:szCs w:val="24"/>
        </w:rPr>
        <w:t xml:space="preserve">.  Respondents are required to submit information to EPA to accomplish the following reporting tasks:  </w:t>
      </w:r>
    </w:p>
    <w:p w:rsidRPr="00C87DD5" w:rsidR="00C87DD5" w:rsidP="00C87DD5" w:rsidRDefault="00C87DD5" w14:paraId="71838908" w14:textId="77777777">
      <w:pPr>
        <w:ind w:firstLine="720"/>
        <w:rPr>
          <w:rFonts w:cs="Arial"/>
          <w:szCs w:val="24"/>
        </w:rPr>
      </w:pPr>
    </w:p>
    <w:p w:rsidRPr="00C87DD5" w:rsidR="00C87DD5" w:rsidP="00C87DD5" w:rsidRDefault="00C87DD5" w14:paraId="5E2CDB7C" w14:textId="77777777">
      <w:pPr>
        <w:widowControl w:val="0"/>
        <w:numPr>
          <w:ilvl w:val="0"/>
          <w:numId w:val="26"/>
        </w:numPr>
        <w:adjustRightInd w:val="0"/>
        <w:rPr>
          <w:rFonts w:cs="Arial"/>
          <w:szCs w:val="24"/>
        </w:rPr>
      </w:pPr>
      <w:r w:rsidRPr="00C87DD5">
        <w:rPr>
          <w:rFonts w:cs="Arial"/>
          <w:szCs w:val="24"/>
        </w:rPr>
        <w:t xml:space="preserve">Imports of regulated composite wood products and finished goods containing regulated composite wood products must be accompanied by a TSCA § 13 import certification. </w:t>
      </w:r>
      <w:bookmarkStart w:name="_Hlk23492768" w:id="9"/>
      <w:r w:rsidRPr="00C87DD5">
        <w:rPr>
          <w:rFonts w:cs="Arial"/>
          <w:szCs w:val="24"/>
        </w:rPr>
        <w:t xml:space="preserve">EPA considers these to be certifications, and not an “information” collection within the meaning of the Paperwork Reduction Act. </w:t>
      </w:r>
    </w:p>
    <w:bookmarkEnd w:id="9"/>
    <w:p w:rsidRPr="00C87DD5" w:rsidR="00C87DD5" w:rsidP="00C87DD5" w:rsidRDefault="00C87DD5" w14:paraId="79ED0D51" w14:textId="77777777">
      <w:pPr>
        <w:rPr>
          <w:rFonts w:cs="Arial"/>
          <w:szCs w:val="24"/>
        </w:rPr>
      </w:pPr>
    </w:p>
    <w:p w:rsidRPr="00C87DD5" w:rsidR="00C87DD5" w:rsidP="00C87DD5" w:rsidRDefault="00C87DD5" w14:paraId="1624E480" w14:textId="77777777">
      <w:pPr>
        <w:widowControl w:val="0"/>
        <w:numPr>
          <w:ilvl w:val="0"/>
          <w:numId w:val="26"/>
        </w:numPr>
        <w:adjustRightInd w:val="0"/>
        <w:rPr>
          <w:rFonts w:cs="Arial"/>
          <w:szCs w:val="24"/>
        </w:rPr>
      </w:pPr>
      <w:r w:rsidRPr="00C87DD5">
        <w:rPr>
          <w:rFonts w:cs="Arial"/>
          <w:szCs w:val="24"/>
        </w:rPr>
        <w:t xml:space="preserve">Panel producers who lose their EPA-recognized TPC and are not able to obtain a new EPA-recognized TPC within 90 calendar days must submit an extension request to EPA for a </w:t>
      </w:r>
      <w:proofErr w:type="gramStart"/>
      <w:r w:rsidRPr="00C87DD5">
        <w:rPr>
          <w:rFonts w:cs="Arial"/>
          <w:szCs w:val="24"/>
        </w:rPr>
        <w:t>90 calendar</w:t>
      </w:r>
      <w:proofErr w:type="gramEnd"/>
      <w:r w:rsidRPr="00C87DD5">
        <w:rPr>
          <w:rFonts w:cs="Arial"/>
          <w:szCs w:val="24"/>
        </w:rPr>
        <w:t xml:space="preserve"> day extension.</w:t>
      </w:r>
    </w:p>
    <w:p w:rsidRPr="00C87DD5" w:rsidR="00C87DD5" w:rsidP="00C87DD5" w:rsidRDefault="00C87DD5" w14:paraId="4E0C663E" w14:textId="77777777">
      <w:pPr>
        <w:rPr>
          <w:rFonts w:cs="Arial"/>
          <w:b/>
          <w:bCs/>
          <w:szCs w:val="24"/>
        </w:rPr>
      </w:pPr>
    </w:p>
    <w:p w:rsidRPr="00C87DD5" w:rsidR="00C87DD5" w:rsidP="00C87DD5" w:rsidRDefault="00C87DD5" w14:paraId="51DEA7AC" w14:textId="6607A330">
      <w:pPr>
        <w:rPr>
          <w:rFonts w:cs="Arial"/>
          <w:szCs w:val="24"/>
        </w:rPr>
      </w:pPr>
      <w:r w:rsidRPr="00C87DD5">
        <w:rPr>
          <w:rFonts w:cs="Arial"/>
          <w:b/>
          <w:bCs/>
          <w:szCs w:val="24"/>
        </w:rPr>
        <w:t xml:space="preserve">(B) </w:t>
      </w:r>
      <w:r w:rsidRPr="00C87DD5">
        <w:rPr>
          <w:rFonts w:cs="Arial"/>
          <w:b/>
          <w:bCs/>
          <w:szCs w:val="24"/>
          <w:u w:val="single"/>
        </w:rPr>
        <w:t>Third-Party Notifications/Reports</w:t>
      </w:r>
      <w:r w:rsidRPr="00C87DD5">
        <w:rPr>
          <w:rFonts w:cs="Arial"/>
          <w:szCs w:val="24"/>
        </w:rPr>
        <w:t>.  Respondents are required to submit information to entities other than EPA as follows:</w:t>
      </w:r>
    </w:p>
    <w:p w:rsidRPr="00C87DD5" w:rsidR="00C87DD5" w:rsidP="00C87DD5" w:rsidRDefault="00C87DD5" w14:paraId="65D3440E" w14:textId="77777777">
      <w:pPr>
        <w:ind w:firstLine="720"/>
        <w:rPr>
          <w:rFonts w:cs="Arial"/>
          <w:szCs w:val="24"/>
        </w:rPr>
      </w:pPr>
    </w:p>
    <w:p w:rsidRPr="00C87DD5" w:rsidR="00C87DD5" w:rsidP="00C87DD5" w:rsidRDefault="00C87DD5" w14:paraId="74E6AD5E" w14:textId="77777777">
      <w:pPr>
        <w:widowControl w:val="0"/>
        <w:numPr>
          <w:ilvl w:val="0"/>
          <w:numId w:val="26"/>
        </w:numPr>
        <w:adjustRightInd w:val="0"/>
        <w:rPr>
          <w:rFonts w:eastAsia="Calibri" w:cs="Arial"/>
          <w:szCs w:val="24"/>
        </w:rPr>
      </w:pPr>
      <w:r w:rsidRPr="00C87DD5">
        <w:rPr>
          <w:rFonts w:eastAsia="Calibri" w:cs="Arial"/>
          <w:szCs w:val="24"/>
        </w:rPr>
        <w:t xml:space="preserve">Composite wood product panel producers must apply for product certification from a third-party certifier. The application must include the panel producer’s name, address, telephone number, and other contact information, including name and contact information for the panel producer’s quality control manager, and an identification of the specific products for which certification is requested, the chemical formulation of the </w:t>
      </w:r>
      <w:r w:rsidRPr="00C87DD5">
        <w:rPr>
          <w:rFonts w:eastAsia="Calibri" w:cs="Arial"/>
          <w:szCs w:val="24"/>
        </w:rPr>
        <w:lastRenderedPageBreak/>
        <w:t xml:space="preserve">resins, including base resins, catalysts, and other additives used in panel production, and testing results. A copy of the panel producer’s quality control manual must also be provided to the third-party certifier with the application.  Manuals must include information on the organizational structure of the quality control department, a description of the sampling procedures and frequency of testing, a description of procedures used to identify significant production changes, a description of the resin and press time for each product type, and a description of recordkeeping procedures. Changes in manuals must be submitted to and approved by an EPA-recognized TPC.  </w:t>
      </w:r>
    </w:p>
    <w:p w:rsidRPr="00C87DD5" w:rsidR="00C87DD5" w:rsidP="00C87DD5" w:rsidRDefault="00C87DD5" w14:paraId="5095D8A6" w14:textId="77777777">
      <w:pPr>
        <w:ind w:left="720"/>
        <w:rPr>
          <w:rFonts w:eastAsia="Calibri" w:cs="Arial"/>
          <w:szCs w:val="24"/>
        </w:rPr>
      </w:pPr>
      <w:r w:rsidRPr="00C87DD5">
        <w:rPr>
          <w:rFonts w:eastAsia="Calibri" w:cs="Arial"/>
          <w:szCs w:val="24"/>
        </w:rPr>
        <w:t xml:space="preserve"> </w:t>
      </w:r>
    </w:p>
    <w:p w:rsidRPr="00C87DD5" w:rsidR="00C87DD5" w:rsidP="00C87DD5" w:rsidRDefault="00C87DD5" w14:paraId="1FA5288E" w14:textId="77777777">
      <w:pPr>
        <w:widowControl w:val="0"/>
        <w:numPr>
          <w:ilvl w:val="0"/>
          <w:numId w:val="26"/>
        </w:numPr>
        <w:adjustRightInd w:val="0"/>
        <w:rPr>
          <w:rFonts w:eastAsia="Calibri" w:cs="Arial"/>
          <w:szCs w:val="24"/>
        </w:rPr>
      </w:pPr>
      <w:r w:rsidRPr="00C87DD5">
        <w:rPr>
          <w:rFonts w:eastAsia="Calibri" w:cs="Arial"/>
          <w:szCs w:val="24"/>
        </w:rPr>
        <w:t xml:space="preserve">Composite wood product panel producers must provide information on the qualifications of their quality control manager and quality control employees to the EPA-recognized TPC.  </w:t>
      </w:r>
    </w:p>
    <w:p w:rsidRPr="00C87DD5" w:rsidR="00C87DD5" w:rsidP="00C87DD5" w:rsidRDefault="00C87DD5" w14:paraId="1E1197AB" w14:textId="77777777">
      <w:pPr>
        <w:ind w:left="720"/>
        <w:rPr>
          <w:rFonts w:eastAsia="Calibri" w:cs="Arial"/>
          <w:szCs w:val="24"/>
        </w:rPr>
      </w:pPr>
      <w:r w:rsidRPr="00C87DD5">
        <w:rPr>
          <w:rFonts w:eastAsia="Calibri" w:cs="Arial"/>
          <w:szCs w:val="24"/>
        </w:rPr>
        <w:t xml:space="preserve">  </w:t>
      </w:r>
    </w:p>
    <w:p w:rsidRPr="00C87DD5" w:rsidR="00C87DD5" w:rsidP="00C87DD5" w:rsidRDefault="00C87DD5" w14:paraId="23F44AEC" w14:textId="77777777">
      <w:pPr>
        <w:widowControl w:val="0"/>
        <w:numPr>
          <w:ilvl w:val="0"/>
          <w:numId w:val="26"/>
        </w:numPr>
        <w:adjustRightInd w:val="0"/>
        <w:rPr>
          <w:rFonts w:eastAsia="Calibri" w:cs="Arial"/>
          <w:szCs w:val="24"/>
        </w:rPr>
      </w:pPr>
      <w:r w:rsidRPr="00C87DD5">
        <w:rPr>
          <w:rFonts w:eastAsia="Calibri" w:cs="Arial"/>
          <w:szCs w:val="24"/>
        </w:rPr>
        <w:t xml:space="preserve">Composite wood product panel producers must provide their EPA-recognized TPC with monthly product data reports that include production information and quality control test results for each </w:t>
      </w:r>
      <w:r w:rsidRPr="00C87DD5">
        <w:rPr>
          <w:rFonts w:cs="Arial"/>
          <w:szCs w:val="24"/>
        </w:rPr>
        <w:t>production facility, pro</w:t>
      </w:r>
      <w:r w:rsidRPr="00C87DD5">
        <w:rPr>
          <w:rFonts w:eastAsia="Calibri" w:cs="Arial"/>
          <w:szCs w:val="24"/>
        </w:rPr>
        <w:t xml:space="preserve">duction line, and product type. </w:t>
      </w:r>
    </w:p>
    <w:p w:rsidRPr="00C87DD5" w:rsidR="00C87DD5" w:rsidP="00C87DD5" w:rsidRDefault="00C87DD5" w14:paraId="6DEB045E" w14:textId="77777777">
      <w:pPr>
        <w:ind w:left="720"/>
        <w:rPr>
          <w:rFonts w:eastAsia="Calibri" w:cs="Arial"/>
          <w:szCs w:val="24"/>
        </w:rPr>
      </w:pPr>
    </w:p>
    <w:p w:rsidRPr="00C87DD5" w:rsidR="00C87DD5" w:rsidP="00C87DD5" w:rsidRDefault="00C87DD5" w14:paraId="6C1372AC" w14:textId="77777777">
      <w:pPr>
        <w:widowControl w:val="0"/>
        <w:numPr>
          <w:ilvl w:val="0"/>
          <w:numId w:val="26"/>
        </w:numPr>
        <w:adjustRightInd w:val="0"/>
        <w:rPr>
          <w:rFonts w:cs="Arial"/>
          <w:szCs w:val="24"/>
        </w:rPr>
      </w:pPr>
      <w:r w:rsidRPr="00C87DD5">
        <w:rPr>
          <w:rFonts w:cs="Arial"/>
          <w:szCs w:val="24"/>
        </w:rPr>
        <w:t xml:space="preserve">Composite wood product panel producers must notify their </w:t>
      </w:r>
      <w:r w:rsidRPr="00C87DD5">
        <w:rPr>
          <w:rFonts w:eastAsia="Calibri" w:cs="Arial"/>
          <w:szCs w:val="24"/>
        </w:rPr>
        <w:t>EPA-recognized TPC</w:t>
      </w:r>
      <w:r w:rsidRPr="00C87DD5">
        <w:rPr>
          <w:rFonts w:cs="Arial"/>
          <w:szCs w:val="24"/>
        </w:rPr>
        <w:t xml:space="preserve"> if they change quality control managers. This notification must occur within 10 calendar days of the change.  </w:t>
      </w:r>
    </w:p>
    <w:p w:rsidRPr="00C87DD5" w:rsidR="00C87DD5" w:rsidP="00C87DD5" w:rsidRDefault="00C87DD5" w14:paraId="4123194F" w14:textId="77777777">
      <w:pPr>
        <w:rPr>
          <w:rFonts w:cs="Arial"/>
          <w:szCs w:val="24"/>
        </w:rPr>
      </w:pPr>
    </w:p>
    <w:p w:rsidRPr="00C87DD5" w:rsidR="00C87DD5" w:rsidP="00C87DD5" w:rsidRDefault="00C87DD5" w14:paraId="7A8ECA08" w14:textId="0CD9FACF">
      <w:pPr>
        <w:widowControl w:val="0"/>
        <w:numPr>
          <w:ilvl w:val="0"/>
          <w:numId w:val="26"/>
        </w:numPr>
        <w:adjustRightInd w:val="0"/>
        <w:rPr>
          <w:rFonts w:cs="Arial"/>
          <w:bCs/>
          <w:szCs w:val="24"/>
        </w:rPr>
      </w:pPr>
      <w:r w:rsidRPr="00C87DD5">
        <w:rPr>
          <w:rFonts w:cs="Arial"/>
          <w:szCs w:val="24"/>
        </w:rPr>
        <w:t xml:space="preserve">Composite wood product panel producers wishing to take advantage of reduced testing and third-party certification requirements for products made with NAF-based or ULEF resins must apply to an EPA-recognized TPC or </w:t>
      </w:r>
      <w:r w:rsidR="00BD4823">
        <w:rPr>
          <w:rFonts w:cs="Arial"/>
          <w:szCs w:val="24"/>
        </w:rPr>
        <w:t>the California Air Resources Board (CARB)</w:t>
      </w:r>
      <w:r w:rsidRPr="00C87DD5">
        <w:rPr>
          <w:rFonts w:cs="Arial"/>
          <w:szCs w:val="24"/>
        </w:rPr>
        <w:t>.</w:t>
      </w:r>
      <w:r w:rsidRPr="00C87DD5">
        <w:rPr>
          <w:rFonts w:cs="Arial"/>
          <w:bCs/>
          <w:szCs w:val="24"/>
        </w:rPr>
        <w:t xml:space="preserve"> The application must include the panel producer’s name and contact information as well as an identification of the specific product and resin system. Testing results must also be part of the application. If the application is granted, every two years thereafter, the panel producer must have one test performed by an EPA-recognized TPC that demonstrates continued compliance with the reduced formaldehyde emission standards for each product type.</w:t>
      </w:r>
    </w:p>
    <w:p w:rsidRPr="00C87DD5" w:rsidR="00C87DD5" w:rsidP="00C87DD5" w:rsidRDefault="00C87DD5" w14:paraId="52E9890B" w14:textId="77777777">
      <w:pPr>
        <w:rPr>
          <w:rFonts w:cs="Arial"/>
          <w:bCs/>
          <w:szCs w:val="24"/>
        </w:rPr>
      </w:pPr>
    </w:p>
    <w:p w:rsidRPr="00C87DD5" w:rsidR="00C87DD5" w:rsidP="00C87DD5" w:rsidRDefault="00C87DD5" w14:paraId="643B59D0" w14:textId="77777777">
      <w:pPr>
        <w:widowControl w:val="0"/>
        <w:numPr>
          <w:ilvl w:val="0"/>
          <w:numId w:val="26"/>
        </w:numPr>
        <w:adjustRightInd w:val="0"/>
        <w:rPr>
          <w:rFonts w:cs="Arial"/>
          <w:iCs/>
          <w:szCs w:val="24"/>
        </w:rPr>
      </w:pPr>
      <w:r w:rsidRPr="00C87DD5">
        <w:rPr>
          <w:rFonts w:cs="Arial"/>
          <w:iCs/>
          <w:szCs w:val="24"/>
        </w:rPr>
        <w:t>Panels or bundles of regulated composite wood products must be labeled with the producer’s name (or number), lot or batch number, the number of the EPA-recognized TPC, and markings indicating that the product complies with the TSCA Title VI emission standards. Products that qualify for reduced testing and third-party certification requirements based on the use of NAF-based or ULEF resins may also be marked with indications that they were produced using NAF-based or ULEF resins. Boards that are shipped into the United States for testing purposes must also be labeled as such.</w:t>
      </w:r>
    </w:p>
    <w:p w:rsidRPr="00C87DD5" w:rsidR="00C87DD5" w:rsidP="00C87DD5" w:rsidRDefault="00C87DD5" w14:paraId="53F17334" w14:textId="77777777">
      <w:pPr>
        <w:ind w:left="720"/>
        <w:rPr>
          <w:rFonts w:cs="Arial"/>
          <w:iCs/>
          <w:szCs w:val="24"/>
        </w:rPr>
      </w:pPr>
      <w:r w:rsidRPr="00C87DD5">
        <w:rPr>
          <w:rFonts w:cs="Arial"/>
          <w:iCs/>
          <w:szCs w:val="24"/>
        </w:rPr>
        <w:t xml:space="preserve">  </w:t>
      </w:r>
    </w:p>
    <w:p w:rsidR="00C87DD5" w:rsidP="00C87DD5" w:rsidRDefault="00C87DD5" w14:paraId="70DD6848" w14:textId="04B76D5C">
      <w:pPr>
        <w:widowControl w:val="0"/>
        <w:numPr>
          <w:ilvl w:val="0"/>
          <w:numId w:val="26"/>
        </w:numPr>
        <w:adjustRightInd w:val="0"/>
        <w:rPr>
          <w:rFonts w:cs="Arial"/>
          <w:iCs/>
          <w:szCs w:val="24"/>
        </w:rPr>
      </w:pPr>
      <w:r w:rsidRPr="00C87DD5">
        <w:rPr>
          <w:rFonts w:cs="Arial"/>
          <w:iCs/>
          <w:szCs w:val="24"/>
        </w:rPr>
        <w:t xml:space="preserve">Fabricators of finished goods containing composite wood products are required to label every finished good they produce, or every box containing finished goods.  The label </w:t>
      </w:r>
      <w:r w:rsidR="00B43027">
        <w:rPr>
          <w:rFonts w:cs="Arial"/>
          <w:iCs/>
          <w:szCs w:val="24"/>
        </w:rPr>
        <w:t xml:space="preserve">can </w:t>
      </w:r>
      <w:r w:rsidRPr="00C87DD5">
        <w:rPr>
          <w:rFonts w:cs="Arial"/>
          <w:iCs/>
          <w:szCs w:val="24"/>
        </w:rPr>
        <w:t xml:space="preserve">be applied as a stamp, tag, sticker, and must include the fabricator’s name (or other responsible party), the date the finished good was produced and a marking to denote that the product was made in compliance with TSCA Title VI.    </w:t>
      </w:r>
    </w:p>
    <w:p w:rsidRPr="00E4382D" w:rsidR="00910431" w:rsidP="00E4382D" w:rsidRDefault="00910431" w14:paraId="24919DA9" w14:textId="77777777">
      <w:pPr>
        <w:pStyle w:val="NoSpacing"/>
      </w:pPr>
    </w:p>
    <w:p w:rsidRPr="00C87DD5" w:rsidR="00C87DD5" w:rsidP="00C87DD5" w:rsidRDefault="00C87DD5" w14:paraId="7E53B1C8" w14:textId="77777777">
      <w:pPr>
        <w:rPr>
          <w:rFonts w:cs="Arial"/>
          <w:szCs w:val="24"/>
        </w:rPr>
      </w:pPr>
      <w:r w:rsidRPr="00C87DD5">
        <w:rPr>
          <w:rFonts w:cs="Arial"/>
          <w:b/>
          <w:bCs/>
          <w:szCs w:val="24"/>
        </w:rPr>
        <w:t xml:space="preserve">(C)  </w:t>
      </w:r>
      <w:r w:rsidRPr="00C87DD5">
        <w:rPr>
          <w:rFonts w:cs="Arial"/>
          <w:b/>
          <w:bCs/>
          <w:szCs w:val="24"/>
          <w:u w:val="single"/>
        </w:rPr>
        <w:t>Records</w:t>
      </w:r>
      <w:r w:rsidRPr="00C87DD5">
        <w:rPr>
          <w:rFonts w:cs="Arial"/>
          <w:szCs w:val="24"/>
        </w:rPr>
        <w:t>.  All records must be kept for three years, unless otherwise indicated. Respondents are required to maintain records as follows:</w:t>
      </w:r>
    </w:p>
    <w:p w:rsidRPr="00C87DD5" w:rsidR="00C87DD5" w:rsidP="00C87DD5" w:rsidRDefault="00C87DD5" w14:paraId="6BD8440F" w14:textId="77777777">
      <w:pPr>
        <w:ind w:firstLine="720"/>
        <w:rPr>
          <w:rFonts w:cs="Arial"/>
          <w:szCs w:val="24"/>
        </w:rPr>
      </w:pPr>
    </w:p>
    <w:p w:rsidRPr="00C87DD5" w:rsidR="00C87DD5" w:rsidP="00C87DD5" w:rsidRDefault="00C87DD5" w14:paraId="62B7DDC5" w14:textId="77777777">
      <w:pPr>
        <w:widowControl w:val="0"/>
        <w:numPr>
          <w:ilvl w:val="0"/>
          <w:numId w:val="27"/>
        </w:numPr>
        <w:adjustRightInd w:val="0"/>
        <w:rPr>
          <w:rFonts w:cs="Arial"/>
          <w:szCs w:val="24"/>
        </w:rPr>
      </w:pPr>
      <w:r w:rsidRPr="00C87DD5">
        <w:rPr>
          <w:rFonts w:cs="Arial"/>
          <w:szCs w:val="24"/>
        </w:rPr>
        <w:t xml:space="preserve">Panel producers must maintain the following records for at least three years and make </w:t>
      </w:r>
      <w:r w:rsidRPr="00C87DD5">
        <w:rPr>
          <w:rFonts w:cs="Arial"/>
          <w:szCs w:val="24"/>
        </w:rPr>
        <w:lastRenderedPageBreak/>
        <w:t>them available upon request to EPA, their TPCs, and to purchasers of their composite wood products:</w:t>
      </w:r>
    </w:p>
    <w:p w:rsidRPr="00C87DD5" w:rsidR="00C87DD5" w:rsidP="00C87DD5" w:rsidRDefault="00C87DD5" w14:paraId="42C3C52E" w14:textId="77777777">
      <w:pPr>
        <w:pStyle w:val="NoSpacing"/>
        <w:numPr>
          <w:ilvl w:val="1"/>
          <w:numId w:val="27"/>
        </w:numPr>
        <w:rPr>
          <w:rFonts w:cs="Arial"/>
          <w:szCs w:val="24"/>
        </w:rPr>
      </w:pPr>
      <w:r w:rsidRPr="00C87DD5">
        <w:rPr>
          <w:rFonts w:cs="Arial"/>
          <w:szCs w:val="24"/>
        </w:rPr>
        <w:t xml:space="preserve">Records of all quarterly emission testing and all ongoing quality control testing that identify the TPC conducting or overseeing the testing and the laboratory or quality control facility actually performing the testing. These records must also include the date, the product type tested, the lot or batch number that the tested material represents, the test method used, and the test results.  </w:t>
      </w:r>
    </w:p>
    <w:p w:rsidRPr="00C87DD5" w:rsidR="00C87DD5" w:rsidP="00C87DD5" w:rsidRDefault="00C87DD5" w14:paraId="6B703DCA" w14:textId="77777777">
      <w:pPr>
        <w:pStyle w:val="NoSpacing"/>
        <w:numPr>
          <w:ilvl w:val="1"/>
          <w:numId w:val="27"/>
        </w:numPr>
        <w:rPr>
          <w:rFonts w:cs="Arial"/>
          <w:szCs w:val="24"/>
        </w:rPr>
      </w:pPr>
      <w:r w:rsidRPr="00C87DD5">
        <w:rPr>
          <w:rFonts w:cs="Arial"/>
          <w:szCs w:val="24"/>
        </w:rPr>
        <w:t>Production records, including a description of the composite wood product(s), the date of manufacture, lot or batch numbers, and tracking information allowing each product to be traced to a specific lot number or batch produced.</w:t>
      </w:r>
    </w:p>
    <w:p w:rsidRPr="00C87DD5" w:rsidR="00C87DD5" w:rsidP="00C87DD5" w:rsidRDefault="00C87DD5" w14:paraId="4BFF648B" w14:textId="77777777">
      <w:pPr>
        <w:pStyle w:val="NoSpacing"/>
        <w:numPr>
          <w:ilvl w:val="1"/>
          <w:numId w:val="27"/>
        </w:numPr>
        <w:rPr>
          <w:rFonts w:cs="Arial"/>
          <w:szCs w:val="24"/>
        </w:rPr>
      </w:pPr>
      <w:r w:rsidRPr="00C87DD5">
        <w:rPr>
          <w:rFonts w:cs="Arial"/>
          <w:szCs w:val="24"/>
        </w:rPr>
        <w:t xml:space="preserve">Records of changes in production, including changes of more than 10% in the resin use percentage, changes in resin composition that result in a higher ratio of formaldehyde to other resin components, and changes in the process, such as changes in press time by more than 20 percent.   </w:t>
      </w:r>
    </w:p>
    <w:p w:rsidRPr="00C87DD5" w:rsidR="00C87DD5" w:rsidP="00C87DD5" w:rsidRDefault="00C87DD5" w14:paraId="1FC11392" w14:textId="77777777">
      <w:pPr>
        <w:pStyle w:val="NoSpacing"/>
        <w:numPr>
          <w:ilvl w:val="1"/>
          <w:numId w:val="27"/>
        </w:numPr>
        <w:rPr>
          <w:rFonts w:cs="Arial"/>
          <w:szCs w:val="24"/>
        </w:rPr>
      </w:pPr>
      <w:r w:rsidRPr="00C87DD5">
        <w:rPr>
          <w:rFonts w:cs="Arial"/>
          <w:szCs w:val="24"/>
        </w:rPr>
        <w:t>Purchaser information for each composite wood product, if applicable, including the name, contact person, address, phone number, e-mail address if available, purchase order or invoice number, and amount purchased.</w:t>
      </w:r>
    </w:p>
    <w:p w:rsidRPr="00C87DD5" w:rsidR="00C87DD5" w:rsidP="00C87DD5" w:rsidRDefault="00C87DD5" w14:paraId="4D18912B" w14:textId="77777777">
      <w:pPr>
        <w:pStyle w:val="NoSpacing"/>
        <w:numPr>
          <w:ilvl w:val="1"/>
          <w:numId w:val="27"/>
        </w:numPr>
        <w:rPr>
          <w:rFonts w:cs="Arial"/>
          <w:szCs w:val="24"/>
        </w:rPr>
      </w:pPr>
      <w:r w:rsidRPr="00C87DD5">
        <w:rPr>
          <w:rFonts w:cs="Arial"/>
          <w:szCs w:val="24"/>
        </w:rPr>
        <w:t xml:space="preserve">Transporter information for each composite wood product, if applicable, including name, contact person, address, phone number, e-mail address if available, and shipping invoice number.  </w:t>
      </w:r>
    </w:p>
    <w:p w:rsidRPr="00C87DD5" w:rsidR="00C87DD5" w:rsidP="00C87DD5" w:rsidRDefault="00C87DD5" w14:paraId="42860340" w14:textId="77777777">
      <w:pPr>
        <w:pStyle w:val="NoSpacing"/>
        <w:numPr>
          <w:ilvl w:val="1"/>
          <w:numId w:val="27"/>
        </w:numPr>
        <w:rPr>
          <w:rFonts w:cs="Arial"/>
          <w:szCs w:val="24"/>
        </w:rPr>
      </w:pPr>
      <w:r w:rsidRPr="00C87DD5">
        <w:rPr>
          <w:rFonts w:cs="Arial"/>
          <w:szCs w:val="24"/>
        </w:rPr>
        <w:t xml:space="preserve">Information on the disposition of non-complying lots, including product type and amount of composite wood products affected, lot or batch numbers, mitigation measures used, results of retesting, and final disposition.  </w:t>
      </w:r>
    </w:p>
    <w:p w:rsidRPr="00C87DD5" w:rsidR="00C87DD5" w:rsidP="00C87DD5" w:rsidRDefault="00C87DD5" w14:paraId="2A3785EB" w14:textId="77777777">
      <w:pPr>
        <w:pStyle w:val="NoSpacing"/>
        <w:numPr>
          <w:ilvl w:val="1"/>
          <w:numId w:val="27"/>
        </w:numPr>
        <w:rPr>
          <w:rFonts w:cs="Arial"/>
          <w:szCs w:val="24"/>
        </w:rPr>
      </w:pPr>
      <w:r w:rsidRPr="00C87DD5">
        <w:rPr>
          <w:rFonts w:cs="Arial"/>
          <w:szCs w:val="24"/>
        </w:rPr>
        <w:t xml:space="preserve">Copies of labels used.  </w:t>
      </w:r>
    </w:p>
    <w:p w:rsidRPr="00C87DD5" w:rsidR="00C87DD5" w:rsidP="00C87DD5" w:rsidRDefault="00C87DD5" w14:paraId="2F194FC7" w14:textId="77777777">
      <w:pPr>
        <w:ind w:left="720"/>
        <w:rPr>
          <w:rFonts w:cs="Arial"/>
          <w:szCs w:val="24"/>
        </w:rPr>
      </w:pPr>
    </w:p>
    <w:p w:rsidRPr="00C87DD5" w:rsidR="00C87DD5" w:rsidP="00C87DD5" w:rsidRDefault="00C87DD5" w14:paraId="7916631A" w14:textId="77777777">
      <w:pPr>
        <w:pStyle w:val="NoSpacing"/>
        <w:numPr>
          <w:ilvl w:val="0"/>
          <w:numId w:val="27"/>
        </w:numPr>
        <w:rPr>
          <w:rFonts w:cs="Arial"/>
          <w:szCs w:val="24"/>
        </w:rPr>
      </w:pPr>
      <w:r w:rsidRPr="00C87DD5">
        <w:rPr>
          <w:rFonts w:cs="Arial"/>
          <w:szCs w:val="24"/>
        </w:rPr>
        <w:t>Records demonstrating initial and continued eligibility for the reduced testing or third-party certification provisions in 40 CFR § 770.17 and 40 CFR § 770.18, if applicable.  These records must be kept for as long as the panel producer is producing composite wood products with reduced testing or under a third-party certification exemption.</w:t>
      </w:r>
    </w:p>
    <w:p w:rsidRPr="00C87DD5" w:rsidR="00C87DD5" w:rsidP="00C87DD5" w:rsidRDefault="00C87DD5" w14:paraId="6AE4C62B" w14:textId="77777777">
      <w:pPr>
        <w:ind w:left="720"/>
        <w:rPr>
          <w:rFonts w:cs="Arial"/>
          <w:szCs w:val="24"/>
        </w:rPr>
      </w:pPr>
    </w:p>
    <w:p w:rsidRPr="00C87DD5" w:rsidR="00C87DD5" w:rsidP="00C87DD5" w:rsidRDefault="00C87DD5" w14:paraId="659344D9" w14:textId="77777777">
      <w:pPr>
        <w:widowControl w:val="0"/>
        <w:numPr>
          <w:ilvl w:val="0"/>
          <w:numId w:val="27"/>
        </w:numPr>
        <w:adjustRightInd w:val="0"/>
        <w:rPr>
          <w:rFonts w:cs="Arial"/>
          <w:szCs w:val="24"/>
        </w:rPr>
      </w:pPr>
      <w:r w:rsidRPr="00C87DD5">
        <w:rPr>
          <w:rFonts w:cs="Arial"/>
          <w:szCs w:val="24"/>
        </w:rPr>
        <w:t>Panel producers are required to maintain an up-to-date quality control manual on their premises.</w:t>
      </w:r>
    </w:p>
    <w:p w:rsidRPr="00C87DD5" w:rsidR="00C87DD5" w:rsidP="00C87DD5" w:rsidRDefault="00C87DD5" w14:paraId="5DC521F4" w14:textId="77777777">
      <w:pPr>
        <w:ind w:left="720"/>
        <w:rPr>
          <w:rFonts w:cs="Arial"/>
          <w:szCs w:val="24"/>
        </w:rPr>
      </w:pPr>
    </w:p>
    <w:p w:rsidRPr="00C87DD5" w:rsidR="00C87DD5" w:rsidP="00C87DD5" w:rsidRDefault="00C87DD5" w14:paraId="6EB487C5" w14:textId="77777777">
      <w:pPr>
        <w:widowControl w:val="0"/>
        <w:numPr>
          <w:ilvl w:val="0"/>
          <w:numId w:val="27"/>
        </w:numPr>
        <w:adjustRightInd w:val="0"/>
        <w:rPr>
          <w:rFonts w:cs="Arial"/>
          <w:szCs w:val="24"/>
        </w:rPr>
      </w:pPr>
      <w:r w:rsidRPr="00C87DD5">
        <w:rPr>
          <w:rFonts w:cs="Arial"/>
          <w:szCs w:val="24"/>
        </w:rPr>
        <w:t>Panel producers are required to maintain the credentials of their quality control managers and quality control employees for as long as employees are serving in a quality control capacity.</w:t>
      </w:r>
    </w:p>
    <w:p w:rsidRPr="00C87DD5" w:rsidR="00C87DD5" w:rsidP="00C87DD5" w:rsidRDefault="00C87DD5" w14:paraId="1EC9939E" w14:textId="77777777">
      <w:pPr>
        <w:ind w:left="720"/>
        <w:contextualSpacing/>
        <w:rPr>
          <w:rFonts w:cs="Arial"/>
          <w:szCs w:val="24"/>
        </w:rPr>
      </w:pPr>
    </w:p>
    <w:p w:rsidRPr="00C87DD5" w:rsidR="00C87DD5" w:rsidP="00C87DD5" w:rsidRDefault="00C87DD5" w14:paraId="3630E266" w14:textId="0931F862">
      <w:pPr>
        <w:widowControl w:val="0"/>
        <w:numPr>
          <w:ilvl w:val="0"/>
          <w:numId w:val="27"/>
        </w:numPr>
        <w:adjustRightInd w:val="0"/>
        <w:rPr>
          <w:rFonts w:cs="Arial"/>
          <w:szCs w:val="24"/>
        </w:rPr>
      </w:pPr>
      <w:r w:rsidRPr="00C87DD5">
        <w:rPr>
          <w:rFonts w:cs="Arial"/>
          <w:szCs w:val="24"/>
        </w:rPr>
        <w:t xml:space="preserve">Producers of exempt laminated products are required to maintain records demonstrating that they are using compliant platforms and </w:t>
      </w:r>
      <w:r w:rsidRPr="00C87DD5">
        <w:rPr>
          <w:rFonts w:cs="Arial"/>
          <w:iCs/>
          <w:szCs w:val="24"/>
        </w:rPr>
        <w:t xml:space="preserve">phenol-formaldehyde </w:t>
      </w:r>
      <w:proofErr w:type="gramStart"/>
      <w:r w:rsidRPr="00C87DD5">
        <w:rPr>
          <w:rFonts w:cs="Arial"/>
          <w:iCs/>
          <w:szCs w:val="24"/>
        </w:rPr>
        <w:t>resins</w:t>
      </w:r>
      <w:proofErr w:type="gramEnd"/>
      <w:r w:rsidRPr="00C87DD5">
        <w:rPr>
          <w:rFonts w:cs="Arial"/>
          <w:iCs/>
          <w:szCs w:val="24"/>
        </w:rPr>
        <w:t xml:space="preserve"> or resins formulated with no</w:t>
      </w:r>
      <w:r w:rsidR="002315C0">
        <w:rPr>
          <w:rFonts w:cs="Arial"/>
          <w:iCs/>
          <w:szCs w:val="24"/>
        </w:rPr>
        <w:t>-</w:t>
      </w:r>
      <w:r w:rsidRPr="00C87DD5">
        <w:rPr>
          <w:rFonts w:cs="Arial"/>
          <w:iCs/>
          <w:szCs w:val="24"/>
        </w:rPr>
        <w:t>added formaldehyde as part of the resin cross-linking structure</w:t>
      </w:r>
      <w:r w:rsidRPr="00C87DD5">
        <w:rPr>
          <w:rFonts w:cs="Arial"/>
          <w:szCs w:val="24"/>
        </w:rPr>
        <w:t xml:space="preserve">.  These records include records of purchases of </w:t>
      </w:r>
      <w:r w:rsidRPr="00C87DD5">
        <w:rPr>
          <w:rFonts w:cs="Arial"/>
          <w:iCs/>
          <w:szCs w:val="24"/>
        </w:rPr>
        <w:t>phenol-formaldehyde resins or resins formulated with no</w:t>
      </w:r>
      <w:r w:rsidR="002315C0">
        <w:rPr>
          <w:rFonts w:cs="Arial"/>
          <w:iCs/>
          <w:szCs w:val="24"/>
        </w:rPr>
        <w:t>-</w:t>
      </w:r>
      <w:r w:rsidRPr="00C87DD5">
        <w:rPr>
          <w:rFonts w:cs="Arial"/>
          <w:iCs/>
          <w:szCs w:val="24"/>
        </w:rPr>
        <w:t>added formaldehyde as part of the resin cross-linking structure</w:t>
      </w:r>
      <w:r w:rsidRPr="00C87DD5">
        <w:rPr>
          <w:rFonts w:cs="Arial"/>
          <w:szCs w:val="24"/>
        </w:rPr>
        <w:t xml:space="preserve"> and of compliant, certified platforms, or, if the resins or platforms are made in-house, records demonstrating that the platforms have been certified by an EPA-recognized TPC and records demonstrating the production of </w:t>
      </w:r>
      <w:r w:rsidRPr="00C87DD5">
        <w:rPr>
          <w:rFonts w:cs="Arial"/>
          <w:iCs/>
          <w:szCs w:val="24"/>
        </w:rPr>
        <w:t>phenol-formaldehyde resins or resins formulated with no</w:t>
      </w:r>
      <w:r w:rsidR="002315C0">
        <w:rPr>
          <w:rFonts w:cs="Arial"/>
          <w:iCs/>
          <w:szCs w:val="24"/>
        </w:rPr>
        <w:t>-</w:t>
      </w:r>
      <w:r w:rsidRPr="00C87DD5">
        <w:rPr>
          <w:rFonts w:cs="Arial"/>
          <w:iCs/>
          <w:szCs w:val="24"/>
        </w:rPr>
        <w:t>added formaldehyde as part of the resin cross-linking structure</w:t>
      </w:r>
      <w:r w:rsidRPr="00C87DD5">
        <w:rPr>
          <w:rFonts w:cs="Arial"/>
          <w:szCs w:val="24"/>
        </w:rPr>
        <w:t xml:space="preserve">.   </w:t>
      </w:r>
    </w:p>
    <w:p w:rsidRPr="00C87DD5" w:rsidR="00C87DD5" w:rsidP="00C87DD5" w:rsidRDefault="00C87DD5" w14:paraId="0C6A4045" w14:textId="77777777">
      <w:pPr>
        <w:rPr>
          <w:rFonts w:cs="Arial"/>
          <w:szCs w:val="24"/>
        </w:rPr>
      </w:pPr>
    </w:p>
    <w:p w:rsidRPr="00C87DD5" w:rsidR="00C87DD5" w:rsidP="00C87DD5" w:rsidRDefault="00C87DD5" w14:paraId="6330490B" w14:textId="7A9CF89E">
      <w:pPr>
        <w:widowControl w:val="0"/>
        <w:numPr>
          <w:ilvl w:val="0"/>
          <w:numId w:val="27"/>
        </w:numPr>
        <w:adjustRightInd w:val="0"/>
        <w:rPr>
          <w:rFonts w:cs="Arial"/>
          <w:szCs w:val="24"/>
        </w:rPr>
      </w:pPr>
      <w:r w:rsidRPr="00C87DD5">
        <w:rPr>
          <w:rFonts w:cs="Arial"/>
          <w:bCs/>
          <w:szCs w:val="24"/>
        </w:rPr>
        <w:t xml:space="preserve">Importers, fabricators of finished goods that incorporate composite wood products, </w:t>
      </w:r>
      <w:r w:rsidR="000C1E95">
        <w:rPr>
          <w:rFonts w:cs="Arial"/>
          <w:bCs/>
          <w:szCs w:val="24"/>
        </w:rPr>
        <w:t xml:space="preserve">and </w:t>
      </w:r>
      <w:r w:rsidRPr="00C87DD5">
        <w:rPr>
          <w:rFonts w:cs="Arial"/>
          <w:bCs/>
          <w:szCs w:val="24"/>
        </w:rPr>
        <w:lastRenderedPageBreak/>
        <w:t xml:space="preserve">laminated product producers whose products are exempt from the definition of hardwood plywood must maintain bills of lading, invoices, or comparable documents that include a written affirmation from the supplier that the composite wood products are compliant or were produced before a date one year after publication of the final rule.  </w:t>
      </w:r>
    </w:p>
    <w:p w:rsidRPr="00C87DD5" w:rsidR="00C87DD5" w:rsidP="00C87DD5" w:rsidRDefault="00C87DD5" w14:paraId="4E6F0AC1" w14:textId="77777777">
      <w:pPr>
        <w:pStyle w:val="ListParagraph"/>
        <w:rPr>
          <w:rFonts w:cs="Arial"/>
          <w:szCs w:val="24"/>
        </w:rPr>
      </w:pPr>
    </w:p>
    <w:p w:rsidRPr="00C87DD5" w:rsidR="00C87DD5" w:rsidP="00C87DD5" w:rsidRDefault="00C87DD5" w14:paraId="14FC6D33" w14:textId="77777777">
      <w:pPr>
        <w:widowControl w:val="0"/>
        <w:numPr>
          <w:ilvl w:val="0"/>
          <w:numId w:val="27"/>
        </w:numPr>
        <w:adjustRightInd w:val="0"/>
        <w:rPr>
          <w:rFonts w:cs="Arial"/>
          <w:szCs w:val="24"/>
        </w:rPr>
      </w:pPr>
      <w:r w:rsidRPr="00C87DD5">
        <w:rPr>
          <w:rFonts w:cs="Arial"/>
          <w:szCs w:val="24"/>
        </w:rPr>
        <w:t>Importers must also provide additional records if requested by EPA within 30 days of request. Additional records may include identification of the panel producer, the date the composite wood products were produced, identification of the supplier if different, and the date the composite wood products, component parts, or finished goods were purchased.</w:t>
      </w:r>
    </w:p>
    <w:p w:rsidRPr="00C87DD5" w:rsidR="00C87DD5" w:rsidP="00C87DD5" w:rsidRDefault="00C87DD5" w14:paraId="32F60443" w14:textId="77777777">
      <w:pPr>
        <w:pStyle w:val="ListParagraph"/>
        <w:rPr>
          <w:rFonts w:cs="Arial"/>
          <w:szCs w:val="24"/>
        </w:rPr>
      </w:pPr>
    </w:p>
    <w:p w:rsidRPr="00C87DD5" w:rsidR="00C87DD5" w:rsidP="00C87DD5" w:rsidRDefault="00C87DD5" w14:paraId="230E43CD" w14:textId="77777777">
      <w:pPr>
        <w:pStyle w:val="NoSpacing"/>
        <w:numPr>
          <w:ilvl w:val="0"/>
          <w:numId w:val="27"/>
        </w:numPr>
        <w:rPr>
          <w:rFonts w:cs="Arial"/>
          <w:szCs w:val="24"/>
        </w:rPr>
      </w:pPr>
      <w:r w:rsidRPr="00C87DD5">
        <w:rPr>
          <w:rFonts w:cs="Arial"/>
          <w:szCs w:val="24"/>
        </w:rPr>
        <w:t xml:space="preserve">Non-importing distributors and retailers must retain invoices and bills of lading and copies of labels used.  </w:t>
      </w:r>
    </w:p>
    <w:p w:rsidRPr="00C87DD5" w:rsidR="00C87DD5" w:rsidP="00C87DD5" w:rsidRDefault="00C87DD5" w14:paraId="205EB095" w14:textId="77777777">
      <w:pPr>
        <w:ind w:left="720"/>
        <w:rPr>
          <w:rFonts w:cs="Arial"/>
          <w:szCs w:val="24"/>
        </w:rPr>
      </w:pPr>
    </w:p>
    <w:p w:rsidRPr="00C87DD5" w:rsidR="00C87DD5" w:rsidP="00C87DD5" w:rsidRDefault="00C87DD5" w14:paraId="77170557" w14:textId="409E2571">
      <w:pPr>
        <w:rPr>
          <w:rFonts w:cs="Arial"/>
          <w:b/>
          <w:szCs w:val="24"/>
        </w:rPr>
      </w:pPr>
      <w:r w:rsidRPr="00C87DD5">
        <w:rPr>
          <w:rFonts w:cs="Arial"/>
          <w:b/>
          <w:szCs w:val="24"/>
        </w:rPr>
        <w:t>EPA-recognized ABs:</w:t>
      </w:r>
    </w:p>
    <w:p w:rsidRPr="00C87DD5" w:rsidR="00C87DD5" w:rsidP="00C87DD5" w:rsidRDefault="00C87DD5" w14:paraId="33C73018" w14:textId="77777777">
      <w:pPr>
        <w:rPr>
          <w:rFonts w:cs="Arial"/>
          <w:b/>
          <w:bCs/>
          <w:szCs w:val="24"/>
        </w:rPr>
      </w:pPr>
    </w:p>
    <w:p w:rsidRPr="00C87DD5" w:rsidR="00C87DD5" w:rsidP="00C87DD5" w:rsidRDefault="00C87DD5" w14:paraId="6BA912CD" w14:textId="37A799E1">
      <w:pPr>
        <w:rPr>
          <w:rFonts w:cs="Arial"/>
          <w:szCs w:val="24"/>
        </w:rPr>
      </w:pPr>
      <w:r w:rsidRPr="00C87DD5">
        <w:rPr>
          <w:rFonts w:cs="Arial"/>
          <w:b/>
          <w:bCs/>
          <w:szCs w:val="24"/>
        </w:rPr>
        <w:t xml:space="preserve">(A)  </w:t>
      </w:r>
      <w:r w:rsidRPr="00C87DD5">
        <w:rPr>
          <w:rFonts w:cs="Arial"/>
          <w:b/>
          <w:bCs/>
          <w:szCs w:val="24"/>
          <w:u w:val="single"/>
        </w:rPr>
        <w:t>Notifications/Reports</w:t>
      </w:r>
      <w:r w:rsidRPr="00C87DD5">
        <w:rPr>
          <w:rFonts w:cs="Arial"/>
          <w:szCs w:val="24"/>
        </w:rPr>
        <w:t>. The reporting requirements for EPA-recognized ABs to EPA include:</w:t>
      </w:r>
    </w:p>
    <w:p w:rsidRPr="00C87DD5" w:rsidR="00C87DD5" w:rsidP="00C87DD5" w:rsidRDefault="00C87DD5" w14:paraId="50433809" w14:textId="77777777">
      <w:pPr>
        <w:rPr>
          <w:rFonts w:cs="Arial"/>
          <w:szCs w:val="24"/>
        </w:rPr>
      </w:pPr>
    </w:p>
    <w:p w:rsidRPr="00C87DD5" w:rsidR="00C87DD5" w:rsidP="00C87DD5" w:rsidRDefault="00C87DD5" w14:paraId="3DC98AF6" w14:textId="585AD6A8">
      <w:pPr>
        <w:widowControl w:val="0"/>
        <w:numPr>
          <w:ilvl w:val="0"/>
          <w:numId w:val="26"/>
        </w:numPr>
        <w:adjustRightInd w:val="0"/>
        <w:rPr>
          <w:rFonts w:cs="Arial"/>
          <w:szCs w:val="24"/>
        </w:rPr>
      </w:pPr>
      <w:r w:rsidRPr="00C87DD5">
        <w:rPr>
          <w:rFonts w:cs="Arial"/>
          <w:szCs w:val="24"/>
        </w:rPr>
        <w:t xml:space="preserve">Product ABs that wish to participate in the program must submit an application to become recognized by EPA via a recognition agreement.  The application must include: 1) The name, address, telephone number, and email address of the organization or  primary contact; 2) Documentation of its International Accreditation Forum Inc. Multilateral Recognition Arrangement (IAF </w:t>
      </w:r>
      <w:r w:rsidR="00EA2035">
        <w:rPr>
          <w:rFonts w:cs="Arial"/>
          <w:szCs w:val="24"/>
        </w:rPr>
        <w:t>MRA</w:t>
      </w:r>
      <w:r w:rsidRPr="00C87DD5">
        <w:rPr>
          <w:rFonts w:cs="Arial"/>
          <w:szCs w:val="24"/>
        </w:rPr>
        <w:t>) signatory status</w:t>
      </w:r>
      <w:r w:rsidRPr="00C87DD5">
        <w:rPr>
          <w:rFonts w:cs="Arial"/>
          <w:bCs/>
          <w:szCs w:val="24"/>
        </w:rPr>
        <w:t>, or membership in an equivalent organization as determined by EPA</w:t>
      </w:r>
      <w:r w:rsidRPr="00C87DD5">
        <w:rPr>
          <w:rFonts w:cs="Arial"/>
          <w:szCs w:val="24"/>
        </w:rPr>
        <w:t xml:space="preserve">; 3) A description of any other qualifications related to its experience </w:t>
      </w:r>
      <w:r w:rsidRPr="00C87DD5">
        <w:rPr>
          <w:rFonts w:cs="Arial"/>
          <w:bCs/>
          <w:szCs w:val="24"/>
        </w:rPr>
        <w:t>in performing product accreditation of TPCs for manufactured products including an affirmation that assessors will be technically competent to assess a TPC’s ability to perform their activities</w:t>
      </w:r>
      <w:r w:rsidRPr="00C87DD5">
        <w:rPr>
          <w:rFonts w:cs="Arial"/>
          <w:color w:val="000000"/>
          <w:szCs w:val="24"/>
        </w:rPr>
        <w:t xml:space="preserve">; and </w:t>
      </w:r>
      <w:r w:rsidRPr="00C87DD5">
        <w:rPr>
          <w:rFonts w:cs="Arial"/>
          <w:szCs w:val="24"/>
        </w:rPr>
        <w:t xml:space="preserve">4) </w:t>
      </w:r>
      <w:r w:rsidRPr="00C87DD5">
        <w:rPr>
          <w:rFonts w:cs="Arial"/>
          <w:bCs/>
          <w:szCs w:val="24"/>
        </w:rPr>
        <w:t xml:space="preserve">If not a domestic entity, name and address of an agent for service located in the United States. CBI claims for items 1, 2, and </w:t>
      </w:r>
      <w:r w:rsidRPr="00C87DD5">
        <w:rPr>
          <w:rFonts w:cs="Arial"/>
          <w:szCs w:val="24"/>
        </w:rPr>
        <w:t>4 may be substantiated contemporaneously</w:t>
      </w:r>
      <w:r w:rsidRPr="00C87DD5">
        <w:rPr>
          <w:rFonts w:cs="Arial"/>
          <w:bCs/>
          <w:szCs w:val="24"/>
        </w:rPr>
        <w:t xml:space="preserve">. </w:t>
      </w:r>
    </w:p>
    <w:p w:rsidRPr="00C87DD5" w:rsidR="00C87DD5" w:rsidP="00C87DD5" w:rsidRDefault="00C87DD5" w14:paraId="77E4C319" w14:textId="77777777">
      <w:pPr>
        <w:ind w:left="720"/>
        <w:rPr>
          <w:rFonts w:cs="Arial"/>
          <w:szCs w:val="24"/>
        </w:rPr>
      </w:pPr>
    </w:p>
    <w:p w:rsidRPr="00C87DD5" w:rsidR="00C87DD5" w:rsidP="00C87DD5" w:rsidRDefault="00C87DD5" w14:paraId="1E1D9E14" w14:textId="77777777">
      <w:pPr>
        <w:widowControl w:val="0"/>
        <w:numPr>
          <w:ilvl w:val="0"/>
          <w:numId w:val="25"/>
        </w:numPr>
        <w:adjustRightInd w:val="0"/>
        <w:rPr>
          <w:rFonts w:cs="Arial"/>
          <w:szCs w:val="24"/>
        </w:rPr>
      </w:pPr>
      <w:r w:rsidRPr="00C87DD5">
        <w:rPr>
          <w:rFonts w:cs="Arial"/>
          <w:szCs w:val="24"/>
        </w:rPr>
        <w:t xml:space="preserve">Laboratory ABs that wish to participate in the program must submit an application to become recognized by EPA via a recognition agreement.  The application must include: 1) The name, address, telephone number, and email address of the organization or primary contact; 2) Documentation of </w:t>
      </w:r>
      <w:r w:rsidRPr="00C87DD5">
        <w:rPr>
          <w:rFonts w:cs="Arial"/>
          <w:color w:val="141C24"/>
          <w:szCs w:val="24"/>
        </w:rPr>
        <w:t>International Laboratory Accreditation Cooperation</w:t>
      </w:r>
      <w:r w:rsidRPr="00C87DD5">
        <w:rPr>
          <w:rFonts w:cs="Arial"/>
          <w:szCs w:val="24"/>
        </w:rPr>
        <w:t xml:space="preserve"> Mutual Recognition Arrangement (ILAC MRA) signatory status, membership in one of the ILAC recognized regional accreditation cooperations, or an equivalent organization as determined by EPA; 3) A description of any other qualifications related to the laboratory AB’s experience in performing laboratory accreditation including an affirmation that assessors will be technically competent to assess TPCs ability to perform their activities required under the rule.</w:t>
      </w:r>
      <w:r w:rsidRPr="00C87DD5">
        <w:rPr>
          <w:rFonts w:cs="Arial"/>
          <w:color w:val="000000" w:themeColor="text1"/>
          <w:szCs w:val="24"/>
        </w:rPr>
        <w:t xml:space="preserve">; </w:t>
      </w:r>
      <w:r w:rsidRPr="00C87DD5">
        <w:rPr>
          <w:rFonts w:cs="Arial"/>
          <w:szCs w:val="24"/>
        </w:rPr>
        <w:t xml:space="preserve">and 4) </w:t>
      </w:r>
      <w:r w:rsidRPr="00C87DD5">
        <w:rPr>
          <w:rFonts w:cs="Arial"/>
          <w:color w:val="000000" w:themeColor="text1"/>
          <w:szCs w:val="24"/>
        </w:rPr>
        <w:t xml:space="preserve">If not a domestic entity, the name and address of an agent for service located in the United States. </w:t>
      </w:r>
      <w:r w:rsidRPr="00C87DD5">
        <w:rPr>
          <w:rFonts w:cs="Arial"/>
          <w:szCs w:val="24"/>
        </w:rPr>
        <w:t xml:space="preserve">CBI claims for items 1, 2 and 4 may be substantiated contemporaneously.  </w:t>
      </w:r>
    </w:p>
    <w:p w:rsidRPr="00C87DD5" w:rsidR="00C87DD5" w:rsidP="00C87DD5" w:rsidRDefault="00C87DD5" w14:paraId="714632D0" w14:textId="77777777">
      <w:pPr>
        <w:ind w:left="720"/>
        <w:rPr>
          <w:rFonts w:cs="Arial"/>
          <w:szCs w:val="24"/>
        </w:rPr>
      </w:pPr>
    </w:p>
    <w:p w:rsidRPr="00C87DD5" w:rsidR="00C87DD5" w:rsidP="00C87DD5" w:rsidRDefault="00C87DD5" w14:paraId="2D1855B1" w14:textId="25C1ACE5">
      <w:pPr>
        <w:widowControl w:val="0"/>
        <w:numPr>
          <w:ilvl w:val="0"/>
          <w:numId w:val="25"/>
        </w:numPr>
        <w:adjustRightInd w:val="0"/>
        <w:rPr>
          <w:rFonts w:cs="Arial"/>
          <w:szCs w:val="24"/>
        </w:rPr>
      </w:pPr>
      <w:r w:rsidRPr="00C87DD5">
        <w:rPr>
          <w:rFonts w:cs="Arial"/>
          <w:szCs w:val="24"/>
        </w:rPr>
        <w:t xml:space="preserve">EPA-recognized product ABs </w:t>
      </w:r>
      <w:r w:rsidR="008F791D">
        <w:rPr>
          <w:rFonts w:cs="Arial"/>
          <w:szCs w:val="24"/>
        </w:rPr>
        <w:t xml:space="preserve">are </w:t>
      </w:r>
      <w:r w:rsidRPr="00C87DD5">
        <w:rPr>
          <w:rFonts w:cs="Arial"/>
          <w:szCs w:val="24"/>
        </w:rPr>
        <w:t>required to submit an annual report to EPA on or before March 1st of each year for the AB services performed during the previous calendar year including the number and locations of assessment, reassessment, and surveillance on-site assessments performed for each EPA-recognized TPC.</w:t>
      </w:r>
    </w:p>
    <w:p w:rsidRPr="00C87DD5" w:rsidR="00C87DD5" w:rsidP="00C87DD5" w:rsidRDefault="00C87DD5" w14:paraId="199C3228" w14:textId="77777777">
      <w:pPr>
        <w:ind w:left="720"/>
        <w:rPr>
          <w:rFonts w:cs="Arial"/>
          <w:szCs w:val="24"/>
        </w:rPr>
      </w:pPr>
    </w:p>
    <w:p w:rsidRPr="00C87DD5" w:rsidR="00C87DD5" w:rsidP="00C87DD5" w:rsidRDefault="00C87DD5" w14:paraId="183CED9E" w14:textId="34199E12">
      <w:pPr>
        <w:widowControl w:val="0"/>
        <w:numPr>
          <w:ilvl w:val="0"/>
          <w:numId w:val="25"/>
        </w:numPr>
        <w:adjustRightInd w:val="0"/>
        <w:rPr>
          <w:rFonts w:cs="Arial"/>
          <w:szCs w:val="24"/>
        </w:rPr>
      </w:pPr>
      <w:r w:rsidRPr="00C87DD5">
        <w:rPr>
          <w:rFonts w:cs="Arial"/>
          <w:szCs w:val="24"/>
        </w:rPr>
        <w:lastRenderedPageBreak/>
        <w:t xml:space="preserve">EPA-recognized laboratory ABs </w:t>
      </w:r>
      <w:r w:rsidR="008F791D">
        <w:rPr>
          <w:rFonts w:cs="Arial"/>
          <w:szCs w:val="24"/>
        </w:rPr>
        <w:t xml:space="preserve">are </w:t>
      </w:r>
      <w:r w:rsidRPr="00C87DD5">
        <w:rPr>
          <w:rFonts w:cs="Arial"/>
          <w:szCs w:val="24"/>
        </w:rPr>
        <w:t>required to submit an annual report to EPA on or before March 1st of each year for AB services performed during the previous calendar year including the number and locations of assessment, reassessment, and surveillance on-site assessments performed for each TPC laboratory.</w:t>
      </w:r>
    </w:p>
    <w:p w:rsidRPr="00C87DD5" w:rsidR="00C87DD5" w:rsidP="00C87DD5" w:rsidRDefault="00C87DD5" w14:paraId="74748C01" w14:textId="77777777">
      <w:pPr>
        <w:ind w:left="360"/>
        <w:rPr>
          <w:rFonts w:cs="Arial"/>
          <w:szCs w:val="24"/>
        </w:rPr>
      </w:pPr>
    </w:p>
    <w:p w:rsidRPr="00C87DD5" w:rsidR="00C87DD5" w:rsidP="00C87DD5" w:rsidRDefault="00C87DD5" w14:paraId="362BF8C0" w14:textId="05E1F1B8">
      <w:pPr>
        <w:widowControl w:val="0"/>
        <w:numPr>
          <w:ilvl w:val="0"/>
          <w:numId w:val="23"/>
        </w:numPr>
        <w:adjustRightInd w:val="0"/>
        <w:rPr>
          <w:rFonts w:cs="Arial"/>
          <w:szCs w:val="24"/>
        </w:rPr>
      </w:pPr>
      <w:r w:rsidRPr="00C87DD5">
        <w:rPr>
          <w:rFonts w:cs="Arial"/>
          <w:szCs w:val="24"/>
        </w:rPr>
        <w:t xml:space="preserve">EPA-recognized product ABs </w:t>
      </w:r>
      <w:r w:rsidR="008F791D">
        <w:rPr>
          <w:rFonts w:cs="Arial"/>
          <w:szCs w:val="24"/>
        </w:rPr>
        <w:t xml:space="preserve">are </w:t>
      </w:r>
      <w:r w:rsidRPr="00C87DD5">
        <w:rPr>
          <w:rFonts w:cs="Arial"/>
          <w:szCs w:val="24"/>
        </w:rPr>
        <w:t>required to submit notice to EPA if it loses its status as a signatory to the IAF MLA, or loss of membership in one of the IAF recognized regional accreditation cooperations, or an equivalent organization as determined by EPA within five calendar days of the date that the body receives notification of the loss of its signatory or membership status. CBI claims for this information may be substantiated contemporaneously.</w:t>
      </w:r>
    </w:p>
    <w:p w:rsidRPr="00C87DD5" w:rsidR="00C87DD5" w:rsidP="00A6162C" w:rsidRDefault="00C87DD5" w14:paraId="4FF2B74A" w14:textId="77777777">
      <w:pPr>
        <w:rPr>
          <w:rFonts w:cs="Arial"/>
          <w:szCs w:val="24"/>
        </w:rPr>
      </w:pPr>
    </w:p>
    <w:p w:rsidRPr="00C87DD5" w:rsidR="00C87DD5" w:rsidP="00C87DD5" w:rsidRDefault="00C87DD5" w14:paraId="2D6E6E0C" w14:textId="66A7E0BE">
      <w:pPr>
        <w:widowControl w:val="0"/>
        <w:numPr>
          <w:ilvl w:val="0"/>
          <w:numId w:val="23"/>
        </w:numPr>
        <w:adjustRightInd w:val="0"/>
        <w:rPr>
          <w:rFonts w:cs="Arial"/>
          <w:szCs w:val="24"/>
        </w:rPr>
      </w:pPr>
      <w:r w:rsidRPr="00C87DD5">
        <w:rPr>
          <w:rFonts w:cs="Arial"/>
          <w:szCs w:val="24"/>
        </w:rPr>
        <w:t xml:space="preserve">EPA-recognized laboratory ABs </w:t>
      </w:r>
      <w:r w:rsidR="00FD1AE6">
        <w:rPr>
          <w:rFonts w:cs="Arial"/>
          <w:szCs w:val="24"/>
        </w:rPr>
        <w:t xml:space="preserve">are </w:t>
      </w:r>
      <w:r w:rsidRPr="00C87DD5">
        <w:rPr>
          <w:rFonts w:cs="Arial"/>
          <w:szCs w:val="24"/>
        </w:rPr>
        <w:t>required to submit notice to EPA if it loses its status as a signatory to the ILAC MRA, or loss of membership in one of the ILAC recognized regional accreditation cooperations, or an equivalent organization as determined by EPA within five calendar days of the date that the body receives notice of the loss of its signatory or membership status. CBI claims for this information may be substantiated contemporaneously.</w:t>
      </w:r>
    </w:p>
    <w:p w:rsidRPr="00C87DD5" w:rsidR="00C87DD5" w:rsidP="00C87DD5" w:rsidRDefault="00C87DD5" w14:paraId="008085E0" w14:textId="77777777">
      <w:pPr>
        <w:rPr>
          <w:rFonts w:cs="Arial"/>
          <w:szCs w:val="24"/>
        </w:rPr>
      </w:pPr>
    </w:p>
    <w:p w:rsidRPr="00C87DD5" w:rsidR="00C87DD5" w:rsidP="00C87DD5" w:rsidRDefault="00C87DD5" w14:paraId="5D9C88BD" w14:textId="2BDC10C0">
      <w:pPr>
        <w:widowControl w:val="0"/>
        <w:numPr>
          <w:ilvl w:val="0"/>
          <w:numId w:val="23"/>
        </w:numPr>
        <w:adjustRightInd w:val="0"/>
        <w:rPr>
          <w:rFonts w:cs="Arial"/>
          <w:szCs w:val="24"/>
        </w:rPr>
      </w:pPr>
      <w:r w:rsidRPr="00C87DD5">
        <w:rPr>
          <w:rFonts w:cs="Arial"/>
          <w:szCs w:val="24"/>
        </w:rPr>
        <w:t xml:space="preserve">EPA-recognized ABs </w:t>
      </w:r>
      <w:r w:rsidR="00FD1AE6">
        <w:rPr>
          <w:rFonts w:cs="Arial"/>
          <w:szCs w:val="24"/>
        </w:rPr>
        <w:t xml:space="preserve">are </w:t>
      </w:r>
      <w:r w:rsidRPr="00C87DD5">
        <w:rPr>
          <w:rFonts w:cs="Arial"/>
          <w:szCs w:val="24"/>
        </w:rPr>
        <w:t>required to submit notice to EPA that an EPA-recognized TPC has failed to comply with any provision of the regulation within 72 hours of the time the AB identifies the deficiency. The notice must include a description of the steps taken to address the deficiency.</w:t>
      </w:r>
    </w:p>
    <w:p w:rsidRPr="00C87DD5" w:rsidR="00C87DD5" w:rsidP="00A6162C" w:rsidRDefault="00C87DD5" w14:paraId="59369480" w14:textId="77777777">
      <w:pPr>
        <w:rPr>
          <w:rFonts w:cs="Arial"/>
          <w:szCs w:val="24"/>
        </w:rPr>
      </w:pPr>
    </w:p>
    <w:p w:rsidRPr="00C87DD5" w:rsidR="00C87DD5" w:rsidP="00C87DD5" w:rsidRDefault="00C87DD5" w14:paraId="1DEBCFA3" w14:textId="6F2F629F">
      <w:pPr>
        <w:widowControl w:val="0"/>
        <w:numPr>
          <w:ilvl w:val="0"/>
          <w:numId w:val="23"/>
        </w:numPr>
        <w:adjustRightInd w:val="0"/>
        <w:rPr>
          <w:rFonts w:cs="Arial"/>
          <w:bCs/>
          <w:szCs w:val="24"/>
        </w:rPr>
      </w:pPr>
      <w:r w:rsidRPr="00C87DD5">
        <w:rPr>
          <w:rFonts w:cs="Arial"/>
          <w:szCs w:val="24"/>
        </w:rPr>
        <w:t xml:space="preserve">EPA-recognized ABs </w:t>
      </w:r>
      <w:r w:rsidR="00FD1AE6">
        <w:rPr>
          <w:rFonts w:cs="Arial"/>
          <w:szCs w:val="24"/>
        </w:rPr>
        <w:t xml:space="preserve">are </w:t>
      </w:r>
      <w:r w:rsidRPr="00C87DD5">
        <w:rPr>
          <w:rFonts w:cs="Arial"/>
          <w:szCs w:val="24"/>
        </w:rPr>
        <w:t xml:space="preserve">required to submit notice to EPA </w:t>
      </w:r>
      <w:r w:rsidRPr="00C87DD5">
        <w:rPr>
          <w:rFonts w:cs="Arial"/>
          <w:bCs/>
          <w:szCs w:val="24"/>
        </w:rPr>
        <w:t xml:space="preserve">of suspension, reduction or withdrawal of an </w:t>
      </w:r>
      <w:r w:rsidRPr="00C87DD5">
        <w:rPr>
          <w:rFonts w:cs="Arial"/>
          <w:szCs w:val="24"/>
        </w:rPr>
        <w:t xml:space="preserve">EPA-recognized </w:t>
      </w:r>
      <w:r w:rsidRPr="00C87DD5">
        <w:rPr>
          <w:rFonts w:cs="Arial"/>
          <w:bCs/>
          <w:szCs w:val="24"/>
        </w:rPr>
        <w:t>TPC’s accreditation within 72 hours of the time that the suspension, reduction or withdrawal takes effect.</w:t>
      </w:r>
      <w:r w:rsidRPr="00C87DD5" w:rsidDel="00496D79">
        <w:rPr>
          <w:rFonts w:cs="Arial"/>
          <w:szCs w:val="24"/>
        </w:rPr>
        <w:t xml:space="preserve"> </w:t>
      </w:r>
    </w:p>
    <w:p w:rsidRPr="00C87DD5" w:rsidR="00C87DD5" w:rsidP="00A6162C" w:rsidRDefault="00C87DD5" w14:paraId="7A897195" w14:textId="77777777">
      <w:pPr>
        <w:rPr>
          <w:rFonts w:cs="Arial"/>
          <w:bCs/>
          <w:szCs w:val="24"/>
        </w:rPr>
      </w:pPr>
    </w:p>
    <w:p w:rsidRPr="00C87DD5" w:rsidR="00C87DD5" w:rsidP="00C87DD5" w:rsidRDefault="00C87DD5" w14:paraId="05D76B60" w14:textId="75E79CB0">
      <w:pPr>
        <w:widowControl w:val="0"/>
        <w:numPr>
          <w:ilvl w:val="0"/>
          <w:numId w:val="23"/>
        </w:numPr>
        <w:adjustRightInd w:val="0"/>
        <w:rPr>
          <w:rFonts w:cs="Arial"/>
          <w:szCs w:val="24"/>
        </w:rPr>
      </w:pPr>
      <w:r w:rsidRPr="00C87DD5">
        <w:rPr>
          <w:rFonts w:cs="Arial"/>
          <w:szCs w:val="24"/>
        </w:rPr>
        <w:t xml:space="preserve">EPA-recognized ABs </w:t>
      </w:r>
      <w:r w:rsidR="00FD1AE6">
        <w:rPr>
          <w:rFonts w:cs="Arial"/>
          <w:szCs w:val="24"/>
        </w:rPr>
        <w:t xml:space="preserve">are </w:t>
      </w:r>
      <w:r w:rsidRPr="00C87DD5">
        <w:rPr>
          <w:rFonts w:cs="Arial"/>
          <w:szCs w:val="24"/>
        </w:rPr>
        <w:t>required to submit notice to EPA of a change in a non-domestic AB’s agent for service within five calendar days. CBI claims for this information may be substantiated contemporaneously.</w:t>
      </w:r>
    </w:p>
    <w:p w:rsidRPr="00C87DD5" w:rsidR="00C87DD5" w:rsidP="00C87DD5" w:rsidRDefault="00C87DD5" w14:paraId="1E351FCB" w14:textId="77777777">
      <w:pPr>
        <w:pStyle w:val="NoSpacing"/>
        <w:rPr>
          <w:rFonts w:cs="Arial"/>
          <w:szCs w:val="24"/>
        </w:rPr>
      </w:pPr>
    </w:p>
    <w:p w:rsidRPr="00C87DD5" w:rsidR="00C87DD5" w:rsidP="00C87DD5" w:rsidRDefault="00C87DD5" w14:paraId="3ACADA7E" w14:textId="77117F84">
      <w:pPr>
        <w:pStyle w:val="NoSpacing"/>
        <w:rPr>
          <w:rFonts w:cs="Arial"/>
          <w:szCs w:val="24"/>
        </w:rPr>
      </w:pPr>
      <w:r w:rsidRPr="00C87DD5">
        <w:rPr>
          <w:rFonts w:cs="Arial"/>
          <w:b/>
          <w:bCs/>
          <w:szCs w:val="24"/>
        </w:rPr>
        <w:t xml:space="preserve">(C)  </w:t>
      </w:r>
      <w:r w:rsidRPr="00C87DD5">
        <w:rPr>
          <w:rFonts w:cs="Arial"/>
          <w:b/>
          <w:bCs/>
          <w:szCs w:val="24"/>
          <w:u w:val="single"/>
        </w:rPr>
        <w:t>Records</w:t>
      </w:r>
      <w:r w:rsidRPr="00C87DD5">
        <w:rPr>
          <w:rFonts w:cs="Arial"/>
          <w:szCs w:val="24"/>
        </w:rPr>
        <w:t>.  All records must be kept for three years, unless otherwise indicated.</w:t>
      </w:r>
    </w:p>
    <w:p w:rsidRPr="00C87DD5" w:rsidR="00C87DD5" w:rsidP="00C87DD5" w:rsidRDefault="00C87DD5" w14:paraId="343EFA4C" w14:textId="77777777">
      <w:pPr>
        <w:pStyle w:val="ListParagraph"/>
        <w:ind w:left="0"/>
        <w:rPr>
          <w:rFonts w:cs="Arial"/>
          <w:szCs w:val="24"/>
        </w:rPr>
      </w:pPr>
    </w:p>
    <w:p w:rsidRPr="00C87DD5" w:rsidR="00C87DD5" w:rsidP="00C87DD5" w:rsidRDefault="00C87DD5" w14:paraId="794B92CC" w14:textId="77777777">
      <w:pPr>
        <w:widowControl w:val="0"/>
        <w:numPr>
          <w:ilvl w:val="0"/>
          <w:numId w:val="24"/>
        </w:numPr>
        <w:adjustRightInd w:val="0"/>
        <w:rPr>
          <w:rFonts w:cs="Arial"/>
          <w:szCs w:val="24"/>
        </w:rPr>
      </w:pPr>
      <w:r w:rsidRPr="00C87DD5">
        <w:rPr>
          <w:rFonts w:cs="Arial"/>
          <w:szCs w:val="24"/>
        </w:rPr>
        <w:t xml:space="preserve">Each EPA-recognized </w:t>
      </w:r>
      <w:r w:rsidRPr="00C87DD5">
        <w:rPr>
          <w:rFonts w:cs="Arial"/>
          <w:bCs/>
          <w:szCs w:val="24"/>
        </w:rPr>
        <w:t>product AB must maintain, in electronic form,</w:t>
      </w:r>
      <w:r w:rsidRPr="00C87DD5">
        <w:rPr>
          <w:rFonts w:cs="Arial"/>
          <w:szCs w:val="24"/>
        </w:rPr>
        <w:t xml:space="preserve"> </w:t>
      </w:r>
      <w:r w:rsidRPr="00C87DD5">
        <w:rPr>
          <w:rFonts w:cs="Arial"/>
          <w:bCs/>
          <w:szCs w:val="24"/>
        </w:rPr>
        <w:t xml:space="preserve">checklists and other records documenting compliance with the requirements for assessment, reassessment, and surveillance on-site assessments of </w:t>
      </w:r>
      <w:r w:rsidRPr="00C87DD5">
        <w:rPr>
          <w:rFonts w:cs="Arial"/>
          <w:szCs w:val="24"/>
        </w:rPr>
        <w:t xml:space="preserve">EPA-recognized </w:t>
      </w:r>
      <w:r w:rsidRPr="00C87DD5">
        <w:rPr>
          <w:rFonts w:cs="Arial"/>
          <w:bCs/>
          <w:szCs w:val="24"/>
        </w:rPr>
        <w:t>TPCs for 3 years.</w:t>
      </w:r>
    </w:p>
    <w:p w:rsidRPr="00C87DD5" w:rsidR="00C87DD5" w:rsidP="00C87DD5" w:rsidRDefault="00C87DD5" w14:paraId="634B94D1" w14:textId="77777777">
      <w:pPr>
        <w:ind w:left="720"/>
        <w:rPr>
          <w:rFonts w:cs="Arial"/>
          <w:szCs w:val="24"/>
        </w:rPr>
      </w:pPr>
    </w:p>
    <w:p w:rsidRPr="00C87DD5" w:rsidR="00C87DD5" w:rsidP="00C87DD5" w:rsidRDefault="00C87DD5" w14:paraId="659907BD" w14:textId="77777777">
      <w:pPr>
        <w:widowControl w:val="0"/>
        <w:numPr>
          <w:ilvl w:val="0"/>
          <w:numId w:val="24"/>
        </w:numPr>
        <w:adjustRightInd w:val="0"/>
        <w:rPr>
          <w:rFonts w:cs="Arial"/>
          <w:szCs w:val="24"/>
        </w:rPr>
      </w:pPr>
      <w:r w:rsidRPr="00C87DD5">
        <w:rPr>
          <w:rFonts w:cs="Arial"/>
          <w:szCs w:val="24"/>
        </w:rPr>
        <w:t>Each EPA-recognized laboratory AB must maintain, in electronic form, the checklists and other records documenting compliance with the requirements for assessment, reassessment, and surveillance on-site assessments of TPC laboratories for 3 years.</w:t>
      </w:r>
    </w:p>
    <w:p w:rsidRPr="00C87DD5" w:rsidR="00C87DD5" w:rsidP="00C87DD5" w:rsidRDefault="00C87DD5" w14:paraId="6662D9D4" w14:textId="77777777">
      <w:pPr>
        <w:rPr>
          <w:rFonts w:cs="Arial"/>
          <w:b/>
          <w:szCs w:val="24"/>
        </w:rPr>
      </w:pPr>
    </w:p>
    <w:p w:rsidR="00C87DD5" w:rsidP="00C87DD5" w:rsidRDefault="00C87DD5" w14:paraId="0B7B46CF" w14:textId="15A9799D">
      <w:pPr>
        <w:rPr>
          <w:rFonts w:cs="Arial"/>
          <w:b/>
          <w:szCs w:val="24"/>
        </w:rPr>
      </w:pPr>
      <w:r w:rsidRPr="00C87DD5">
        <w:rPr>
          <w:rFonts w:cs="Arial"/>
          <w:b/>
          <w:szCs w:val="24"/>
        </w:rPr>
        <w:t>EPA-recognized TPCs:</w:t>
      </w:r>
    </w:p>
    <w:p w:rsidRPr="00FA59CF" w:rsidR="00FA59CF" w:rsidP="00FA59CF" w:rsidRDefault="00FA59CF" w14:paraId="21AB30A3" w14:textId="77777777">
      <w:pPr>
        <w:pStyle w:val="NoSpacing"/>
      </w:pPr>
    </w:p>
    <w:p w:rsidRPr="00C87DD5" w:rsidR="00C87DD5" w:rsidP="00C87DD5" w:rsidRDefault="00C87DD5" w14:paraId="6F1506D4" w14:textId="13CD6051">
      <w:pPr>
        <w:pStyle w:val="ListParagraph"/>
        <w:ind w:left="0"/>
        <w:rPr>
          <w:rFonts w:cs="Arial"/>
          <w:szCs w:val="24"/>
        </w:rPr>
      </w:pPr>
      <w:r w:rsidRPr="00C87DD5">
        <w:rPr>
          <w:rFonts w:cs="Arial"/>
          <w:b/>
          <w:bCs/>
          <w:szCs w:val="24"/>
        </w:rPr>
        <w:t xml:space="preserve">(A)  </w:t>
      </w:r>
      <w:r w:rsidRPr="00C87DD5">
        <w:rPr>
          <w:rFonts w:cs="Arial"/>
          <w:b/>
          <w:bCs/>
          <w:szCs w:val="24"/>
          <w:u w:val="single"/>
        </w:rPr>
        <w:t>Notifications/Reports</w:t>
      </w:r>
      <w:r w:rsidRPr="00C87DD5">
        <w:rPr>
          <w:rFonts w:cs="Arial"/>
          <w:szCs w:val="24"/>
        </w:rPr>
        <w:t>. The reporting requirements for EPA-recognized TPCs to EPA include:</w:t>
      </w:r>
    </w:p>
    <w:p w:rsidRPr="00C87DD5" w:rsidR="00C87DD5" w:rsidP="00C87DD5" w:rsidRDefault="00C87DD5" w14:paraId="14B3EF53" w14:textId="77777777">
      <w:pPr>
        <w:pStyle w:val="ListParagraph"/>
        <w:ind w:left="0"/>
        <w:rPr>
          <w:rFonts w:cs="Arial"/>
          <w:szCs w:val="24"/>
        </w:rPr>
      </w:pPr>
    </w:p>
    <w:p w:rsidRPr="00C87DD5" w:rsidR="00C87DD5" w:rsidP="00C87DD5" w:rsidRDefault="00C87DD5" w14:paraId="55F103D0" w14:textId="77777777">
      <w:pPr>
        <w:widowControl w:val="0"/>
        <w:numPr>
          <w:ilvl w:val="0"/>
          <w:numId w:val="23"/>
        </w:numPr>
        <w:adjustRightInd w:val="0"/>
        <w:rPr>
          <w:rFonts w:cs="Arial"/>
          <w:szCs w:val="24"/>
        </w:rPr>
      </w:pPr>
      <w:r w:rsidRPr="00C87DD5">
        <w:rPr>
          <w:rFonts w:cs="Arial"/>
          <w:szCs w:val="24"/>
        </w:rPr>
        <w:lastRenderedPageBreak/>
        <w:t xml:space="preserve">TPCs that wish to participate in the program must submit an application to EPA. The application must include: </w:t>
      </w:r>
      <w:r w:rsidRPr="00C87DD5">
        <w:rPr>
          <w:rFonts w:cs="Arial"/>
          <w:bCs/>
          <w:szCs w:val="24"/>
        </w:rPr>
        <w:t xml:space="preserve">1) </w:t>
      </w:r>
      <w:r w:rsidRPr="00C87DD5">
        <w:rPr>
          <w:rFonts w:cs="Arial"/>
          <w:szCs w:val="24"/>
        </w:rPr>
        <w:t>Email address of the organization or primary contact, organization name, organization telephone number, and organization address;</w:t>
      </w:r>
      <w:r w:rsidRPr="00C87DD5">
        <w:rPr>
          <w:rFonts w:cs="Arial"/>
          <w:bCs/>
          <w:szCs w:val="24"/>
        </w:rPr>
        <w:t xml:space="preserve"> 2) Type of composite wood products that the applicant intends to certify; 3) A copy of the TPC’s certificate of accreditation from an EPA-recognized product AB to ISO/IEC 17065:2012(E) with a scope of accreditation that includes composite wood products and 40 CFR Part 770—Formaldehyde Standards for Composite Wood Products; 4) A copy of the TPC laboratory’s certificate of accreditation from an EPA-recognized laboratory AB to ISO/IEC 17025:2005(E) with a scope of accreditation to include 40 CFR Part 770-- Formaldehyde Standards for Composite Wood Products and the formaldehyde test methods ASTM E1333-10 </w:t>
      </w:r>
      <w:r w:rsidRPr="00C87DD5">
        <w:rPr>
          <w:rFonts w:cs="Arial"/>
          <w:szCs w:val="24"/>
        </w:rPr>
        <w:t>and ASTM D6007-02, if used;</w:t>
      </w:r>
      <w:r w:rsidRPr="00C87DD5">
        <w:rPr>
          <w:rFonts w:cs="Arial"/>
          <w:bCs/>
          <w:szCs w:val="24"/>
        </w:rPr>
        <w:t xml:space="preserve"> 5) An affirmation of the TPC’s ability to conduct inspections of composite wood products and properly train and supervise inspectors to inspect composite wood products in conformance with ISO/IEC 17020:2012(E) as required under ISO/IEC 17065:2012(E) Section 6.2.1; 6) A description of the TPC’s experience in the composite wood product industry with at least one type of composite wood product and indicate the specific product(s) the applicant intends to certify; 7) A description of the TPC’s experience in performing or verifying formaldehyde emissions testing on composite wood products; 8) </w:t>
      </w:r>
      <w:r w:rsidRPr="00C87DD5">
        <w:rPr>
          <w:rFonts w:cs="Arial"/>
          <w:szCs w:val="24"/>
        </w:rPr>
        <w:t xml:space="preserve">A description of the TPC’s experience with test method ASTM E1333-10 and/or ASTM D6007-02, if used, and experience evaluating correlation between test methods; 9) </w:t>
      </w:r>
      <w:r w:rsidRPr="00C87DD5">
        <w:rPr>
          <w:rFonts w:cs="Arial"/>
          <w:bCs/>
          <w:szCs w:val="24"/>
        </w:rPr>
        <w:t>If not a domestic entity, the name and address of an agent for service located in the United States.</w:t>
      </w:r>
      <w:r w:rsidRPr="00C87DD5">
        <w:rPr>
          <w:rFonts w:cs="Arial"/>
          <w:szCs w:val="24"/>
        </w:rPr>
        <w:t xml:space="preserve"> CBI claims for items 1-4 and 9 may be substantiated contemporaneously. </w:t>
      </w:r>
    </w:p>
    <w:p w:rsidRPr="00C87DD5" w:rsidR="00C87DD5" w:rsidP="00C87DD5" w:rsidRDefault="00C87DD5" w14:paraId="1A2C3967" w14:textId="4C982985">
      <w:pPr>
        <w:pStyle w:val="NoSpacing"/>
        <w:rPr>
          <w:rFonts w:cs="Arial"/>
          <w:szCs w:val="24"/>
        </w:rPr>
      </w:pPr>
    </w:p>
    <w:p w:rsidRPr="00C87DD5" w:rsidR="00C87DD5" w:rsidP="00C87DD5" w:rsidRDefault="00C87DD5" w14:paraId="2DA2DB0B" w14:textId="77777777">
      <w:pPr>
        <w:widowControl w:val="0"/>
        <w:numPr>
          <w:ilvl w:val="0"/>
          <w:numId w:val="23"/>
        </w:numPr>
        <w:adjustRightInd w:val="0"/>
        <w:rPr>
          <w:rFonts w:cs="Arial"/>
          <w:szCs w:val="24"/>
        </w:rPr>
      </w:pPr>
      <w:r w:rsidRPr="00C87DD5">
        <w:rPr>
          <w:rFonts w:cs="Arial"/>
          <w:szCs w:val="24"/>
        </w:rPr>
        <w:t xml:space="preserve">If an EPA-recognized TPC receives an application for </w:t>
      </w:r>
      <w:r w:rsidRPr="00C87DD5">
        <w:rPr>
          <w:rFonts w:cs="Arial"/>
          <w:bCs/>
          <w:szCs w:val="24"/>
        </w:rPr>
        <w:t>NAF or ULEF third-party certification exemption or ULEF reduced testing</w:t>
      </w:r>
      <w:r w:rsidRPr="00C87DD5">
        <w:rPr>
          <w:rFonts w:cs="Arial"/>
          <w:szCs w:val="24"/>
        </w:rPr>
        <w:t xml:space="preserve">, it must notify EPA of </w:t>
      </w:r>
      <w:r w:rsidRPr="00C87DD5">
        <w:rPr>
          <w:rFonts w:cs="Arial"/>
          <w:bCs/>
          <w:szCs w:val="24"/>
        </w:rPr>
        <w:t>an approved or rejected application, including a renewal application, must be provided within five calendar days of the approval or rejection and copies of all approved applications must be forwarded to EPA within 30 calendar days of approval.</w:t>
      </w:r>
    </w:p>
    <w:p w:rsidRPr="00C87DD5" w:rsidR="00C87DD5" w:rsidP="00C87DD5" w:rsidRDefault="00C87DD5" w14:paraId="5BB9F86E" w14:textId="77777777">
      <w:pPr>
        <w:ind w:left="720"/>
        <w:rPr>
          <w:rFonts w:cs="Arial"/>
          <w:szCs w:val="24"/>
        </w:rPr>
      </w:pPr>
    </w:p>
    <w:p w:rsidRPr="00C87DD5" w:rsidR="00C87DD5" w:rsidP="00C87DD5" w:rsidRDefault="00C87DD5" w14:paraId="087C8016" w14:textId="77777777">
      <w:pPr>
        <w:pStyle w:val="ListParagraph"/>
        <w:numPr>
          <w:ilvl w:val="0"/>
          <w:numId w:val="28"/>
        </w:numPr>
        <w:rPr>
          <w:rFonts w:cs="Arial"/>
          <w:szCs w:val="24"/>
        </w:rPr>
      </w:pPr>
      <w:r w:rsidRPr="00C87DD5">
        <w:rPr>
          <w:rFonts w:cs="Arial"/>
          <w:szCs w:val="24"/>
        </w:rPr>
        <w:t xml:space="preserve">If an EPA-recognized TPC receives an application for reduced testing, it must notify EPA of </w:t>
      </w:r>
      <w:r w:rsidRPr="00C87DD5">
        <w:rPr>
          <w:rFonts w:cs="Arial"/>
          <w:bCs/>
          <w:szCs w:val="24"/>
        </w:rPr>
        <w:t>an approved or rejected application, including a renewal application, for reduced testing for medium-density fiberboard or particleboard must be provided within five calendar days of the approval or rejection and copies of all approved applications must be forwarded to EPA within 30 calendar days of approval.</w:t>
      </w:r>
    </w:p>
    <w:p w:rsidRPr="00C87DD5" w:rsidR="00C87DD5" w:rsidP="00C87DD5" w:rsidRDefault="00C87DD5" w14:paraId="2B4A8397" w14:textId="77777777">
      <w:pPr>
        <w:pStyle w:val="ListParagraph"/>
        <w:rPr>
          <w:rFonts w:cs="Arial"/>
          <w:szCs w:val="24"/>
        </w:rPr>
      </w:pPr>
    </w:p>
    <w:p w:rsidRPr="00C87DD5" w:rsidR="00C87DD5" w:rsidP="00C87DD5" w:rsidRDefault="00C87DD5" w14:paraId="64A70927" w14:textId="77777777">
      <w:pPr>
        <w:widowControl w:val="0"/>
        <w:numPr>
          <w:ilvl w:val="0"/>
          <w:numId w:val="23"/>
        </w:numPr>
        <w:adjustRightInd w:val="0"/>
        <w:rPr>
          <w:rFonts w:cs="Arial"/>
          <w:szCs w:val="24"/>
        </w:rPr>
      </w:pPr>
      <w:r w:rsidRPr="00C87DD5">
        <w:rPr>
          <w:rFonts w:cs="Arial"/>
          <w:szCs w:val="24"/>
        </w:rPr>
        <w:t>EPA-recognized TPCs must notify EPA of a failed quarterly test in writing within 72 hours.</w:t>
      </w:r>
    </w:p>
    <w:p w:rsidRPr="00C87DD5" w:rsidR="00C87DD5" w:rsidP="00C87DD5" w:rsidRDefault="00C87DD5" w14:paraId="7716FA13" w14:textId="77777777">
      <w:pPr>
        <w:pStyle w:val="ListParagraph"/>
        <w:rPr>
          <w:rFonts w:cs="Arial"/>
          <w:szCs w:val="24"/>
        </w:rPr>
      </w:pPr>
    </w:p>
    <w:p w:rsidRPr="00C87DD5" w:rsidR="00C87DD5" w:rsidP="00C87DD5" w:rsidRDefault="00C87DD5" w14:paraId="4784B419" w14:textId="77777777">
      <w:pPr>
        <w:widowControl w:val="0"/>
        <w:numPr>
          <w:ilvl w:val="0"/>
          <w:numId w:val="23"/>
        </w:numPr>
        <w:adjustRightInd w:val="0"/>
        <w:rPr>
          <w:rFonts w:cs="Arial"/>
          <w:szCs w:val="24"/>
        </w:rPr>
      </w:pPr>
      <w:r w:rsidRPr="00C87DD5">
        <w:rPr>
          <w:rFonts w:cs="Arial"/>
          <w:szCs w:val="24"/>
        </w:rPr>
        <w:t xml:space="preserve">EPA-recognized </w:t>
      </w:r>
      <w:r w:rsidRPr="00C87DD5">
        <w:rPr>
          <w:rFonts w:cs="Arial"/>
          <w:bCs/>
          <w:szCs w:val="24"/>
        </w:rPr>
        <w:t>TPCs must notify EPA of a panel producer exceeding its established Quality Control Limit (QCL) for more than two consecutive quality control within 72 hours of the time that the TPC is made aware of the second exceedance.</w:t>
      </w:r>
    </w:p>
    <w:p w:rsidRPr="00C87DD5" w:rsidR="00C87DD5" w:rsidP="00C87DD5" w:rsidRDefault="00C87DD5" w14:paraId="48FDED09" w14:textId="77777777">
      <w:pPr>
        <w:rPr>
          <w:rFonts w:cs="Arial"/>
          <w:szCs w:val="24"/>
        </w:rPr>
      </w:pPr>
    </w:p>
    <w:p w:rsidRPr="00C87DD5" w:rsidR="00C87DD5" w:rsidP="00C87DD5" w:rsidRDefault="00C87DD5" w14:paraId="507B56D3" w14:textId="77777777">
      <w:pPr>
        <w:widowControl w:val="0"/>
        <w:numPr>
          <w:ilvl w:val="0"/>
          <w:numId w:val="23"/>
        </w:numPr>
        <w:adjustRightInd w:val="0"/>
        <w:rPr>
          <w:rFonts w:cs="Arial"/>
          <w:szCs w:val="24"/>
        </w:rPr>
      </w:pPr>
      <w:r w:rsidRPr="00C87DD5">
        <w:rPr>
          <w:rFonts w:cs="Arial"/>
          <w:szCs w:val="24"/>
        </w:rPr>
        <w:t xml:space="preserve">EPA-recognized </w:t>
      </w:r>
      <w:r w:rsidRPr="00C87DD5">
        <w:rPr>
          <w:rFonts w:cs="Arial"/>
          <w:bCs/>
          <w:szCs w:val="24"/>
        </w:rPr>
        <w:t>TPCs must notify EPA of a change in a non-domestic TPC’s agent for service within five calendar days. CBI claims for this information may be</w:t>
      </w:r>
      <w:r w:rsidRPr="00C87DD5">
        <w:rPr>
          <w:rFonts w:cs="Arial"/>
          <w:szCs w:val="24"/>
        </w:rPr>
        <w:t xml:space="preserve"> substantiated contemporaneously</w:t>
      </w:r>
      <w:r w:rsidRPr="00C87DD5">
        <w:rPr>
          <w:rFonts w:cs="Arial"/>
          <w:bCs/>
          <w:szCs w:val="24"/>
        </w:rPr>
        <w:t xml:space="preserve">. </w:t>
      </w:r>
    </w:p>
    <w:p w:rsidRPr="00C87DD5" w:rsidR="00C87DD5" w:rsidP="00C87DD5" w:rsidRDefault="00C87DD5" w14:paraId="26BEAD5A" w14:textId="77777777">
      <w:pPr>
        <w:ind w:left="720"/>
        <w:rPr>
          <w:rFonts w:cs="Arial"/>
          <w:szCs w:val="24"/>
        </w:rPr>
      </w:pPr>
    </w:p>
    <w:p w:rsidRPr="00C87DD5" w:rsidR="00C87DD5" w:rsidP="00C87DD5" w:rsidRDefault="00C87DD5" w14:paraId="7C0D2138" w14:textId="77777777">
      <w:pPr>
        <w:widowControl w:val="0"/>
        <w:numPr>
          <w:ilvl w:val="0"/>
          <w:numId w:val="23"/>
        </w:numPr>
        <w:adjustRightInd w:val="0"/>
        <w:rPr>
          <w:rFonts w:cs="Arial"/>
          <w:szCs w:val="24"/>
        </w:rPr>
      </w:pPr>
      <w:r w:rsidRPr="00C87DD5">
        <w:rPr>
          <w:rFonts w:cs="Arial"/>
          <w:szCs w:val="24"/>
        </w:rPr>
        <w:t xml:space="preserve">EPA-recognized </w:t>
      </w:r>
      <w:r w:rsidRPr="00C87DD5">
        <w:rPr>
          <w:rFonts w:cs="Arial"/>
          <w:bCs/>
          <w:szCs w:val="24"/>
        </w:rPr>
        <w:t>TPCs must notify EPA of a loss of accreditation or notification that the TPC has discontinued its participation in the EPA TSCA Title VI Third-Party Certification Program within 72 hours. CBI claims for this information may be</w:t>
      </w:r>
      <w:r w:rsidRPr="00C87DD5">
        <w:rPr>
          <w:rFonts w:cs="Arial"/>
          <w:szCs w:val="24"/>
        </w:rPr>
        <w:t xml:space="preserve"> substantiated </w:t>
      </w:r>
      <w:r w:rsidRPr="00C87DD5">
        <w:rPr>
          <w:rFonts w:cs="Arial"/>
          <w:szCs w:val="24"/>
        </w:rPr>
        <w:lastRenderedPageBreak/>
        <w:t>contemporaneously</w:t>
      </w:r>
      <w:r w:rsidRPr="00C87DD5">
        <w:rPr>
          <w:rFonts w:cs="Arial"/>
          <w:bCs/>
          <w:szCs w:val="24"/>
        </w:rPr>
        <w:t xml:space="preserve">. </w:t>
      </w:r>
    </w:p>
    <w:p w:rsidRPr="00C87DD5" w:rsidR="00C87DD5" w:rsidP="00C87DD5" w:rsidRDefault="00C87DD5" w14:paraId="1EC06525" w14:textId="77777777">
      <w:pPr>
        <w:pStyle w:val="ListParagraph"/>
        <w:rPr>
          <w:rFonts w:cs="Arial"/>
          <w:szCs w:val="24"/>
        </w:rPr>
      </w:pPr>
    </w:p>
    <w:p w:rsidRPr="00C87DD5" w:rsidR="00C87DD5" w:rsidP="00C87DD5" w:rsidRDefault="00C87DD5" w14:paraId="55F50366" w14:textId="6C365E91">
      <w:pPr>
        <w:widowControl w:val="0"/>
        <w:numPr>
          <w:ilvl w:val="0"/>
          <w:numId w:val="23"/>
        </w:numPr>
        <w:adjustRightInd w:val="0"/>
        <w:rPr>
          <w:rFonts w:cs="Arial"/>
          <w:szCs w:val="24"/>
        </w:rPr>
      </w:pPr>
      <w:r w:rsidRPr="00C87DD5">
        <w:rPr>
          <w:rFonts w:cs="Arial"/>
          <w:szCs w:val="24"/>
        </w:rPr>
        <w:t>EPA-recognized TPCs must submit an annual report on or before March 1</w:t>
      </w:r>
      <w:r w:rsidRPr="00C87DD5">
        <w:rPr>
          <w:rFonts w:cs="Arial"/>
          <w:szCs w:val="24"/>
          <w:vertAlign w:val="superscript"/>
        </w:rPr>
        <w:t>st</w:t>
      </w:r>
      <w:r w:rsidRPr="00C87DD5">
        <w:rPr>
          <w:rFonts w:cs="Arial"/>
          <w:szCs w:val="24"/>
        </w:rPr>
        <w:t xml:space="preserve"> of each year for the TPC services performed during the previous calendar year to EPA that includes the following elements, which align with the annual report requirements under the </w:t>
      </w:r>
      <w:r w:rsidR="00D57B44">
        <w:rPr>
          <w:rFonts w:cs="Arial"/>
          <w:szCs w:val="24"/>
        </w:rPr>
        <w:t>California Air Resources Board (</w:t>
      </w:r>
      <w:r w:rsidRPr="00C87DD5">
        <w:rPr>
          <w:rFonts w:cs="Arial"/>
          <w:szCs w:val="24"/>
        </w:rPr>
        <w:t>CARB</w:t>
      </w:r>
      <w:r w:rsidR="00D57B44">
        <w:rPr>
          <w:rFonts w:cs="Arial"/>
          <w:szCs w:val="24"/>
        </w:rPr>
        <w:t>)</w:t>
      </w:r>
      <w:r w:rsidRPr="00C87DD5">
        <w:rPr>
          <w:rFonts w:cs="Arial"/>
          <w:szCs w:val="24"/>
        </w:rPr>
        <w:t xml:space="preserve"> </w:t>
      </w:r>
      <w:r w:rsidRPr="00384B3A" w:rsidR="00384B3A">
        <w:rPr>
          <w:rFonts w:cs="Arial"/>
          <w:szCs w:val="24"/>
        </w:rPr>
        <w:t>Air Toxics Control Measure (ATCM) to Reduce Formaldehyde Emissions from Composite Wood Products</w:t>
      </w:r>
      <w:r w:rsidRPr="00C87DD5">
        <w:rPr>
          <w:rFonts w:cs="Arial"/>
          <w:szCs w:val="24"/>
        </w:rPr>
        <w:t>, as applicable: For each panel producer making composite wood products certified by the TPC, the EPA-recognized TPC must provide the following information: 1) Composite wood products that the EPA-recognized TPC has certified during the previous calendar year; 2) Types of resin systems used for the composite wood products certified; 3) Dates of quarterly inspections; 4) For each quarterly test, the date, result, test method, and whether a contract laboratory was used; 5) For each failed quarterly test, the volume of product affected, the results of recertification testing, and a description of the final disposition of the affected product, including how the non-complying lot was addressed; 6) For each non-complying lot resulting from a failed quality control test, the test date, method, product type, volume of product affected, lot numbers, the results of retesting, and a description of the final disposition of the affected product, including how the non-complying lot was addressed; 7) Any corrective actions that resulted from quarterly tests and inspections; and 8) A list of laboratories and test methods used by the TPC, number and volume (cubic meters) of large and small chambers, date of equivalence determination and equivalence data; 9) Any non-conformities identified by its EPA-recognized AB(s) and how they were addressed; and 10) The results compared with the mean of the interlaboratory comparison for all formaldehyde emissions interlaboratory comparison tests outside of the CARB interlaboratory comparison or, if available, the results of an EPA-recognized proficiency testing program.</w:t>
      </w:r>
    </w:p>
    <w:p w:rsidRPr="00C87DD5" w:rsidR="00C87DD5" w:rsidP="00C87DD5" w:rsidRDefault="00C87DD5" w14:paraId="329E8620" w14:textId="77777777">
      <w:pPr>
        <w:ind w:left="360"/>
        <w:rPr>
          <w:rFonts w:cs="Arial"/>
          <w:iCs/>
          <w:szCs w:val="24"/>
        </w:rPr>
      </w:pPr>
    </w:p>
    <w:p w:rsidRPr="00C87DD5" w:rsidR="00C87DD5" w:rsidP="00C87DD5" w:rsidRDefault="00C87DD5" w14:paraId="068C405C" w14:textId="4C170CDE">
      <w:pPr>
        <w:rPr>
          <w:rFonts w:cs="Arial"/>
          <w:iCs/>
          <w:szCs w:val="24"/>
        </w:rPr>
      </w:pPr>
      <w:r w:rsidRPr="00C87DD5">
        <w:rPr>
          <w:rFonts w:cs="Arial"/>
          <w:b/>
          <w:bCs/>
          <w:szCs w:val="24"/>
        </w:rPr>
        <w:t xml:space="preserve">(B) </w:t>
      </w:r>
      <w:r w:rsidRPr="00C87DD5">
        <w:rPr>
          <w:rFonts w:cs="Arial"/>
          <w:b/>
          <w:bCs/>
          <w:szCs w:val="24"/>
          <w:u w:val="single"/>
        </w:rPr>
        <w:t>Third-Party Notifications/Reports</w:t>
      </w:r>
      <w:r w:rsidRPr="00C87DD5">
        <w:rPr>
          <w:rFonts w:cs="Arial"/>
          <w:szCs w:val="24"/>
        </w:rPr>
        <w:t xml:space="preserve">.  </w:t>
      </w:r>
      <w:r w:rsidRPr="00C87DD5">
        <w:rPr>
          <w:rFonts w:cs="Arial"/>
          <w:iCs/>
          <w:szCs w:val="24"/>
        </w:rPr>
        <w:t xml:space="preserve">The third-party notifications/reports for TPCs include: </w:t>
      </w:r>
    </w:p>
    <w:p w:rsidRPr="00C87DD5" w:rsidR="00C87DD5" w:rsidP="00C87DD5" w:rsidRDefault="00C87DD5" w14:paraId="4D8DCEE1" w14:textId="77777777">
      <w:pPr>
        <w:pStyle w:val="ListParagraph"/>
        <w:ind w:left="0"/>
        <w:rPr>
          <w:rFonts w:cs="Arial"/>
          <w:iCs/>
          <w:szCs w:val="24"/>
        </w:rPr>
      </w:pPr>
    </w:p>
    <w:p w:rsidRPr="00C87DD5" w:rsidR="00C87DD5" w:rsidP="00C87DD5" w:rsidRDefault="00C87DD5" w14:paraId="54467630" w14:textId="77777777">
      <w:pPr>
        <w:numPr>
          <w:ilvl w:val="0"/>
          <w:numId w:val="23"/>
        </w:numPr>
        <w:adjustRightInd w:val="0"/>
        <w:rPr>
          <w:rFonts w:cs="Arial"/>
          <w:color w:val="000000"/>
          <w:szCs w:val="24"/>
        </w:rPr>
      </w:pPr>
      <w:r w:rsidRPr="00C87DD5">
        <w:rPr>
          <w:rFonts w:cs="Arial"/>
          <w:bCs/>
          <w:szCs w:val="24"/>
        </w:rPr>
        <w:t xml:space="preserve">EPA-recognized TPCs </w:t>
      </w:r>
      <w:r w:rsidRPr="00C87DD5">
        <w:rPr>
          <w:rFonts w:cs="Arial"/>
          <w:color w:val="000000"/>
          <w:szCs w:val="24"/>
        </w:rPr>
        <w:t xml:space="preserve">must provide their TPC numbers to any </w:t>
      </w:r>
      <w:r w:rsidRPr="00C87DD5">
        <w:rPr>
          <w:rFonts w:cs="Arial"/>
          <w:szCs w:val="24"/>
        </w:rPr>
        <w:t>panel producers</w:t>
      </w:r>
      <w:r w:rsidRPr="00C87DD5">
        <w:rPr>
          <w:rFonts w:cs="Arial"/>
          <w:color w:val="000000"/>
          <w:szCs w:val="24"/>
        </w:rPr>
        <w:t xml:space="preserve"> receiving their TSCA Title VI certification services. </w:t>
      </w:r>
    </w:p>
    <w:p w:rsidRPr="00C87DD5" w:rsidR="00C87DD5" w:rsidP="00C87DD5" w:rsidRDefault="00C87DD5" w14:paraId="2E30F138" w14:textId="77777777">
      <w:pPr>
        <w:rPr>
          <w:rFonts w:cs="Arial"/>
          <w:szCs w:val="24"/>
        </w:rPr>
      </w:pPr>
    </w:p>
    <w:p w:rsidRPr="00C87DD5" w:rsidR="00C87DD5" w:rsidP="00C87DD5" w:rsidRDefault="00C87DD5" w14:paraId="26A2CCC2" w14:textId="77777777">
      <w:pPr>
        <w:widowControl w:val="0"/>
        <w:numPr>
          <w:ilvl w:val="0"/>
          <w:numId w:val="23"/>
        </w:numPr>
        <w:adjustRightInd w:val="0"/>
        <w:rPr>
          <w:rFonts w:cs="Arial"/>
          <w:szCs w:val="24"/>
        </w:rPr>
      </w:pPr>
      <w:r w:rsidRPr="00C87DD5">
        <w:rPr>
          <w:rFonts w:cs="Arial"/>
          <w:szCs w:val="24"/>
        </w:rPr>
        <w:t>EPA-recognized TPCs must notify their panel producer of a failed quarterly test in writing within 72 hours.</w:t>
      </w:r>
    </w:p>
    <w:p w:rsidRPr="00C87DD5" w:rsidR="00C87DD5" w:rsidP="00C87DD5" w:rsidRDefault="00C87DD5" w14:paraId="4E95F908" w14:textId="77777777">
      <w:pPr>
        <w:ind w:left="720"/>
        <w:rPr>
          <w:rFonts w:cs="Arial"/>
          <w:szCs w:val="24"/>
        </w:rPr>
      </w:pPr>
    </w:p>
    <w:p w:rsidRPr="00C87DD5" w:rsidR="00C87DD5" w:rsidP="00C87DD5" w:rsidRDefault="00C87DD5" w14:paraId="6A7F777A" w14:textId="77777777">
      <w:pPr>
        <w:widowControl w:val="0"/>
        <w:numPr>
          <w:ilvl w:val="0"/>
          <w:numId w:val="23"/>
        </w:numPr>
        <w:adjustRightInd w:val="0"/>
        <w:rPr>
          <w:rFonts w:cs="Arial"/>
          <w:szCs w:val="24"/>
        </w:rPr>
      </w:pPr>
      <w:r w:rsidRPr="00C87DD5">
        <w:rPr>
          <w:rFonts w:cs="Arial"/>
          <w:szCs w:val="24"/>
        </w:rPr>
        <w:t xml:space="preserve">EPA-recognized TPCs </w:t>
      </w:r>
      <w:r w:rsidRPr="00C87DD5">
        <w:rPr>
          <w:rFonts w:cs="Arial"/>
          <w:bCs/>
          <w:szCs w:val="24"/>
        </w:rPr>
        <w:t xml:space="preserve">must provide any changes in personnel qualifications, procedures, or laboratories used to their TPC’s </w:t>
      </w:r>
      <w:r w:rsidRPr="00C87DD5">
        <w:rPr>
          <w:rFonts w:cs="Arial"/>
          <w:szCs w:val="24"/>
        </w:rPr>
        <w:t xml:space="preserve">EPA-recognized </w:t>
      </w:r>
      <w:r w:rsidRPr="00C87DD5">
        <w:rPr>
          <w:rFonts w:cs="Arial"/>
          <w:bCs/>
          <w:szCs w:val="24"/>
        </w:rPr>
        <w:t>ABs within 30 calendar days.</w:t>
      </w:r>
      <w:r w:rsidRPr="00C87DD5" w:rsidDel="002C7F6D">
        <w:rPr>
          <w:rFonts w:cs="Arial"/>
          <w:szCs w:val="24"/>
        </w:rPr>
        <w:t xml:space="preserve"> </w:t>
      </w:r>
    </w:p>
    <w:p w:rsidRPr="00C87DD5" w:rsidR="00C87DD5" w:rsidP="00C87DD5" w:rsidRDefault="00C87DD5" w14:paraId="37177FC7" w14:textId="77777777">
      <w:pPr>
        <w:ind w:left="720"/>
        <w:rPr>
          <w:rFonts w:cs="Arial"/>
          <w:szCs w:val="24"/>
        </w:rPr>
      </w:pPr>
    </w:p>
    <w:p w:rsidRPr="00C87DD5" w:rsidR="00C87DD5" w:rsidP="00C87DD5" w:rsidRDefault="00C87DD5" w14:paraId="1B8DC3D2" w14:textId="77777777">
      <w:pPr>
        <w:widowControl w:val="0"/>
        <w:numPr>
          <w:ilvl w:val="0"/>
          <w:numId w:val="23"/>
        </w:numPr>
        <w:adjustRightInd w:val="0"/>
        <w:rPr>
          <w:rFonts w:cs="Arial"/>
          <w:szCs w:val="24"/>
        </w:rPr>
      </w:pPr>
      <w:r w:rsidRPr="00C87DD5">
        <w:rPr>
          <w:rFonts w:cs="Arial"/>
          <w:szCs w:val="24"/>
        </w:rPr>
        <w:t xml:space="preserve">Should an EPA-recognized TPC withdraw from the program or lose its accreditation, it will be required to notify all panel producers that receive its services within 72 hours. </w:t>
      </w:r>
    </w:p>
    <w:p w:rsidRPr="00C87DD5" w:rsidR="00C87DD5" w:rsidP="00C87DD5" w:rsidRDefault="00C87DD5" w14:paraId="289E108E" w14:textId="77777777">
      <w:pPr>
        <w:rPr>
          <w:rFonts w:cs="Arial"/>
          <w:szCs w:val="24"/>
        </w:rPr>
      </w:pPr>
    </w:p>
    <w:p w:rsidRPr="00C87DD5" w:rsidR="00C87DD5" w:rsidP="00C87DD5" w:rsidRDefault="00C87DD5" w14:paraId="52EDD314" w14:textId="77777777">
      <w:pPr>
        <w:widowControl w:val="0"/>
        <w:numPr>
          <w:ilvl w:val="0"/>
          <w:numId w:val="23"/>
        </w:numPr>
        <w:adjustRightInd w:val="0"/>
        <w:rPr>
          <w:rFonts w:cs="Arial"/>
          <w:szCs w:val="24"/>
        </w:rPr>
      </w:pPr>
      <w:r w:rsidRPr="00C87DD5">
        <w:rPr>
          <w:rFonts w:cs="Arial"/>
          <w:szCs w:val="24"/>
        </w:rPr>
        <w:t xml:space="preserve">EPA-recognized TPCs that receive applications from panel producers for reduced testing or third-party certification exemptions for ULEF or NAF-based resins must act on those applications within 90 calendar days. </w:t>
      </w:r>
    </w:p>
    <w:p w:rsidRPr="00C87DD5" w:rsidR="00C87DD5" w:rsidP="00C87DD5" w:rsidRDefault="00C87DD5" w14:paraId="08C788A6" w14:textId="77777777">
      <w:pPr>
        <w:rPr>
          <w:rFonts w:cs="Arial"/>
          <w:szCs w:val="24"/>
        </w:rPr>
      </w:pPr>
    </w:p>
    <w:p w:rsidRPr="00C87DD5" w:rsidR="00C87DD5" w:rsidP="00C87DD5" w:rsidRDefault="00C87DD5" w14:paraId="68CD0DF0" w14:textId="77777777">
      <w:pPr>
        <w:pStyle w:val="NoSpacing"/>
        <w:rPr>
          <w:rFonts w:cs="Arial"/>
          <w:szCs w:val="24"/>
        </w:rPr>
      </w:pPr>
      <w:r w:rsidRPr="00C87DD5">
        <w:rPr>
          <w:rFonts w:cs="Arial"/>
          <w:b/>
          <w:bCs/>
          <w:szCs w:val="24"/>
        </w:rPr>
        <w:t xml:space="preserve">(C)  </w:t>
      </w:r>
      <w:r w:rsidRPr="00C87DD5">
        <w:rPr>
          <w:rFonts w:cs="Arial"/>
          <w:b/>
          <w:bCs/>
          <w:szCs w:val="24"/>
          <w:u w:val="single"/>
        </w:rPr>
        <w:t>Records</w:t>
      </w:r>
      <w:r w:rsidRPr="00C87DD5">
        <w:rPr>
          <w:rFonts w:cs="Arial"/>
          <w:szCs w:val="24"/>
        </w:rPr>
        <w:t>.  All records must be kept for three years, unless otherwise indicated.</w:t>
      </w:r>
    </w:p>
    <w:p w:rsidRPr="00C87DD5" w:rsidR="00C87DD5" w:rsidP="00C87DD5" w:rsidRDefault="00C87DD5" w14:paraId="62D30831" w14:textId="77777777">
      <w:pPr>
        <w:ind w:left="720"/>
        <w:rPr>
          <w:rFonts w:cs="Arial"/>
          <w:szCs w:val="24"/>
        </w:rPr>
      </w:pPr>
    </w:p>
    <w:p w:rsidRPr="00C87DD5" w:rsidR="00C87DD5" w:rsidP="00C87DD5" w:rsidRDefault="00C87DD5" w14:paraId="54EE2D32" w14:textId="2BD0B548">
      <w:pPr>
        <w:widowControl w:val="0"/>
        <w:numPr>
          <w:ilvl w:val="0"/>
          <w:numId w:val="27"/>
        </w:numPr>
        <w:adjustRightInd w:val="0"/>
        <w:rPr>
          <w:rFonts w:cs="Arial"/>
          <w:szCs w:val="24"/>
        </w:rPr>
      </w:pPr>
      <w:r w:rsidRPr="00C87DD5">
        <w:rPr>
          <w:rFonts w:cs="Arial"/>
          <w:szCs w:val="24"/>
        </w:rPr>
        <w:t>EPA-recognized TPCs</w:t>
      </w:r>
      <w:r w:rsidR="00FD1AE6">
        <w:rPr>
          <w:rFonts w:cs="Arial"/>
          <w:szCs w:val="24"/>
        </w:rPr>
        <w:t xml:space="preserve"> are </w:t>
      </w:r>
      <w:r w:rsidRPr="00C87DD5">
        <w:rPr>
          <w:rFonts w:cs="Arial"/>
          <w:szCs w:val="24"/>
        </w:rPr>
        <w:t xml:space="preserve">required to supply the following records to EPA within 30 </w:t>
      </w:r>
      <w:r w:rsidRPr="00C87DD5">
        <w:rPr>
          <w:rFonts w:cs="Arial"/>
          <w:szCs w:val="24"/>
        </w:rPr>
        <w:lastRenderedPageBreak/>
        <w:t xml:space="preserve">days of request: 1) A list of panel producers that it has certified and their respective product types, including resin systems used; 2) The results of inspections and emission tests conducted for and linked to each panel producer and product type; 3) A list of laboratories it uses, test methods, including test conditions and conditioning time and quarterly test results; 4) The methods and results for establishing test method correlations and equivalence; 5) Documentation for NAF or ULEF third-party certification exemptions or ULEF reduced testing approvals, including the name of the panel producer, facility, products approved, type of resin systems used and dates of approval; 6) Documentation of reduced testing approval for panel producers of medium-density fiberboard or particleboard, including the name of the panel producer, products approved and dates of approval; and 7) A copy of the most recent assessment, reassessment, and/or surveillance on-site assessment report provided by its EPA-recognized </w:t>
      </w:r>
      <w:proofErr w:type="spellStart"/>
      <w:r w:rsidRPr="00C87DD5">
        <w:rPr>
          <w:rFonts w:cs="Arial"/>
          <w:szCs w:val="24"/>
        </w:rPr>
        <w:t>ABs.</w:t>
      </w:r>
      <w:proofErr w:type="spellEnd"/>
      <w:r w:rsidRPr="00C87DD5">
        <w:rPr>
          <w:rFonts w:cs="Arial"/>
          <w:szCs w:val="24"/>
        </w:rPr>
        <w:t xml:space="preserve"> These records must be maintained for 3 years.  </w:t>
      </w:r>
    </w:p>
    <w:p w:rsidRPr="007919E5" w:rsidR="00F40219" w:rsidP="00F40219" w:rsidRDefault="00F40219" w14:paraId="0143A361" w14:textId="77777777"/>
    <w:p w:rsidRPr="007919E5" w:rsidR="005B4F77" w:rsidP="005B4F77" w:rsidRDefault="005B4F77" w14:paraId="1ADF68A1" w14:textId="77777777">
      <w:pPr>
        <w:pStyle w:val="Heading2"/>
        <w:numPr>
          <w:ilvl w:val="1"/>
          <w:numId w:val="3"/>
        </w:numPr>
        <w:tabs>
          <w:tab w:val="left" w:pos="1080"/>
        </w:tabs>
      </w:pPr>
      <w:bookmarkStart w:name="_Toc501020166" w:id="10"/>
      <w:r w:rsidRPr="007919E5">
        <w:t>Necessity of the Information Collection</w:t>
      </w:r>
      <w:bookmarkEnd w:id="10"/>
    </w:p>
    <w:p w:rsidR="006460A4" w:rsidP="006460A4" w:rsidRDefault="006460A4" w14:paraId="224CD3C6" w14:textId="7656F9BC">
      <w:pPr>
        <w:pStyle w:val="BodyText"/>
      </w:pPr>
      <w:r>
        <w:t>The reporting and recordkeeping requirements of this ICR are implemented under the authority of TSCA Title VI. TSCA Title VI directs EPA to promulgate regulations to ensure compliance with the emissions standards, including provisions on testing requirements, laminated products, products made with NAF-based resins or ULEF resins, product labeling requirements, chain of custody for product compliance documentation, recordkeeping, product inventory sell-through dates, a product stockpiling prohibition, and product certification by a TPC. The reported information allows EPA to ensure compliance with the emissions standards; moreover, a reasonable amount of reporting encourages regulated entities to fulfill their obligations under the statute and regulations.</w:t>
      </w:r>
    </w:p>
    <w:p w:rsidR="006460A4" w:rsidP="006460A4" w:rsidRDefault="006460A4" w14:paraId="5937787C" w14:textId="77777777">
      <w:pPr>
        <w:pStyle w:val="BodyText"/>
      </w:pPr>
      <w:r>
        <w:t xml:space="preserve">To meet its statutory obligations, EPA must obtain sufficient information to establish and oversee a credible third-party certification program for composite wood products. This information will help EPA ensure that all program participants are carrying out their responsibilities diligently, impartially, and uniformly. The regulations aim to ensure consistent application of the requirements of TSCA Title VI by using voluntary consensus standards as requirements, and by leveraging the expertise of international </w:t>
      </w:r>
      <w:proofErr w:type="spellStart"/>
      <w:r>
        <w:t>ABs.</w:t>
      </w:r>
      <w:proofErr w:type="spellEnd"/>
    </w:p>
    <w:p w:rsidR="008648B5" w:rsidP="006460A4" w:rsidRDefault="006460A4" w14:paraId="3E02C873" w14:textId="6B34C79E">
      <w:pPr>
        <w:pStyle w:val="BodyText"/>
      </w:pPr>
      <w:r>
        <w:t xml:space="preserve">High quality TPCs are essential in ensuring that domestic and foreign composite wood panel producers that are supplying products to the U.S. have adequate quality assurance and quality control procedures, are adequately testing their products to determine that they are compliant, and are otherwise acting in manner that is consistent with the requirements of TSCA Title VI. The reporting and record maintenance requirements </w:t>
      </w:r>
      <w:r w:rsidR="00D57B44">
        <w:t xml:space="preserve">described </w:t>
      </w:r>
      <w:r>
        <w:t xml:space="preserve">in this ICR help ensure that all program participants remain qualified and are held accountable for their </w:t>
      </w:r>
      <w:proofErr w:type="gramStart"/>
      <w:r>
        <w:t>activities, and</w:t>
      </w:r>
      <w:proofErr w:type="gramEnd"/>
      <w:r>
        <w:t xml:space="preserve"> allow panel producers to obtain credible TSCA Title VI certifications for their regulated composite wood products.  </w:t>
      </w:r>
    </w:p>
    <w:p w:rsidRPr="007919E5" w:rsidR="008648B5" w:rsidP="008648B5" w:rsidRDefault="008648B5" w14:paraId="0BD0B96D" w14:textId="77777777">
      <w:pPr>
        <w:pStyle w:val="Heading2"/>
        <w:numPr>
          <w:ilvl w:val="1"/>
          <w:numId w:val="3"/>
        </w:numPr>
        <w:tabs>
          <w:tab w:val="left" w:pos="1080"/>
        </w:tabs>
      </w:pPr>
      <w:bookmarkStart w:name="_Toc501020167" w:id="11"/>
      <w:r w:rsidRPr="007919E5">
        <w:t>Uses, Users, and Purpose of the Information Collection</w:t>
      </w:r>
      <w:bookmarkEnd w:id="11"/>
    </w:p>
    <w:p w:rsidRPr="001D1D05" w:rsidR="001D1D05" w:rsidP="006460A4" w:rsidRDefault="001D1D05" w14:paraId="0ED6DA1F" w14:textId="6147AC4A">
      <w:pPr>
        <w:pStyle w:val="BodyText"/>
        <w:rPr>
          <w:rFonts w:eastAsiaTheme="minorHAnsi"/>
        </w:rPr>
      </w:pPr>
      <w:r w:rsidRPr="001D1D05">
        <w:rPr>
          <w:rFonts w:eastAsiaTheme="minorHAnsi"/>
        </w:rPr>
        <w:t>EPA use</w:t>
      </w:r>
      <w:r w:rsidR="00D57B44">
        <w:rPr>
          <w:rFonts w:eastAsiaTheme="minorHAnsi"/>
        </w:rPr>
        <w:t>s</w:t>
      </w:r>
      <w:r w:rsidRPr="001D1D05">
        <w:rPr>
          <w:rFonts w:eastAsiaTheme="minorHAnsi"/>
        </w:rPr>
        <w:t xml:space="preserve"> the information collected to evaluate compliance with the emissions standards. The information that is collected and required to be reported to TPCs is necessary to ensure that producers of composite wood products maintain proper quality assurance and control measures. TPCs require access to this information so that they can certify that products are produced in accordance with TSCA Title VI requirements. TSCA Title VI also directs EPA to include labeling provisions and chain of custody provisions. The information contained in the </w:t>
      </w:r>
      <w:r w:rsidRPr="001D1D05">
        <w:rPr>
          <w:rFonts w:eastAsiaTheme="minorHAnsi"/>
        </w:rPr>
        <w:lastRenderedPageBreak/>
        <w:t>labels accompanying composite wood panels and finished goods containing such panels allow</w:t>
      </w:r>
      <w:r w:rsidR="00D57B44">
        <w:rPr>
          <w:rFonts w:eastAsiaTheme="minorHAnsi"/>
        </w:rPr>
        <w:t>s</w:t>
      </w:r>
      <w:r w:rsidRPr="001D1D05">
        <w:rPr>
          <w:rFonts w:eastAsiaTheme="minorHAnsi"/>
        </w:rPr>
        <w:t xml:space="preserve"> downstream purchasers of these products to determine whether the merchandise is compliant; non-compliant merchandise may not be legally sold supplied or offered for sale in the United States.</w:t>
      </w:r>
    </w:p>
    <w:p w:rsidRPr="007919E5" w:rsidR="00AB22ED" w:rsidP="006460A4" w:rsidRDefault="001D1D05" w14:paraId="1DECD455" w14:textId="122FA426">
      <w:pPr>
        <w:pStyle w:val="BodyText"/>
      </w:pPr>
      <w:r w:rsidRPr="001D1D05">
        <w:t>EPA use</w:t>
      </w:r>
      <w:r w:rsidR="00D57B44">
        <w:t>s</w:t>
      </w:r>
      <w:r w:rsidRPr="001D1D05">
        <w:t xml:space="preserve"> information collected from TPCs and ABs to evaluate the credentials of entities that wish to participate in the EPA TSCA Title VI Third-Party Certification Program, oversee compliance with the program requirements, monitor issues as they arise, and inform interested parties where they can obtain EPA TSCA Title VI certification services.</w:t>
      </w:r>
    </w:p>
    <w:p w:rsidRPr="007919E5" w:rsidR="00E33A13" w:rsidP="00F53D76" w:rsidRDefault="00512823" w14:paraId="04DA2077" w14:textId="77777777">
      <w:pPr>
        <w:pStyle w:val="Heading1"/>
        <w:numPr>
          <w:ilvl w:val="0"/>
          <w:numId w:val="3"/>
        </w:numPr>
      </w:pPr>
      <w:bookmarkStart w:name="_Toc501020168" w:id="12"/>
      <w:r w:rsidRPr="007919E5">
        <w:t>NON-DUPLICATION, CONSULTATIONS, AND OTHER COLLECTION CRITERIA</w:t>
      </w:r>
      <w:bookmarkEnd w:id="12"/>
    </w:p>
    <w:p w:rsidRPr="007919E5" w:rsidR="00512823" w:rsidP="00E33A13" w:rsidRDefault="00512823" w14:paraId="3F1C203D" w14:textId="77777777">
      <w:pPr>
        <w:pStyle w:val="Heading2"/>
        <w:numPr>
          <w:ilvl w:val="1"/>
          <w:numId w:val="3"/>
        </w:numPr>
        <w:tabs>
          <w:tab w:val="left" w:pos="1080"/>
        </w:tabs>
      </w:pPr>
      <w:bookmarkStart w:name="_Toc501020169" w:id="13"/>
      <w:r w:rsidRPr="007919E5">
        <w:t>Non-Duplication</w:t>
      </w:r>
      <w:bookmarkEnd w:id="13"/>
    </w:p>
    <w:p w:rsidR="001D1D05" w:rsidP="006460A4" w:rsidRDefault="001D1D05" w14:paraId="51D6DCF8" w14:textId="4CD4226A">
      <w:pPr>
        <w:pStyle w:val="BodyText"/>
      </w:pPr>
      <w:r>
        <w:t>TSCA Title VI assigns to the EPA Administrator the responsibility for promulgating regulations that ensure compliance with the statutory emissions standards for formaldehyde from composite wood products. The information collection requirements addressed in this ICR are not duplicative of any other Federal requirement. There are no federal regulations on formaldehyde emissions from composite wood products other than those of the Department of Housing and Urban Development (HUD) that are applicable to particleboard and plywood used in manufactured housing. In contrast with the HUD emissions standards which are only applicable to particleboard and plywood used in manufactured housing, the emissions standards in TSCA Title VI apply to hardwood plywood, medium-density fiberboard, and particleboard sold, supplied, offered for sale, or manufactured (defined by statute to include import) in the United States.</w:t>
      </w:r>
    </w:p>
    <w:p w:rsidR="00E33A13" w:rsidP="006460A4" w:rsidRDefault="001D1D05" w14:paraId="67F46657" w14:textId="12CED24B">
      <w:pPr>
        <w:pStyle w:val="BodyText"/>
      </w:pPr>
      <w:r>
        <w:t>Because the regulatory requirements are necessarily tailored to the unique TSCA Title VI requirements, these records and reports are the sole source of information for EPA to rely on in order to ensure compliance with the emissions standards. Similarly, the third-party certification program is necessarily tailored to the unique TSCA Title VI requirements. The records and reports from TPCs and ABs are the sole source of information for EPA to rely on in determining the number of program participants, evaluating their credentials, monitoring their compliance with the program, determining the number of panel producers receiving certification services, and evaluating a panel producer’s compliance history.</w:t>
      </w:r>
    </w:p>
    <w:p w:rsidR="00A53759" w:rsidP="00A53759" w:rsidRDefault="00512823" w14:paraId="25053E1A" w14:textId="68E8584B">
      <w:pPr>
        <w:pStyle w:val="Heading2"/>
        <w:numPr>
          <w:ilvl w:val="1"/>
          <w:numId w:val="3"/>
        </w:numPr>
        <w:tabs>
          <w:tab w:val="left" w:pos="1080"/>
        </w:tabs>
      </w:pPr>
      <w:bookmarkStart w:name="_Toc501020170" w:id="14"/>
      <w:r w:rsidRPr="007919E5">
        <w:t>Consultations and Public Comments</w:t>
      </w:r>
      <w:bookmarkEnd w:id="14"/>
    </w:p>
    <w:p w:rsidRPr="00C43253" w:rsidR="00C43253" w:rsidP="006460A4" w:rsidRDefault="00C43253" w14:paraId="2B5A03FF" w14:textId="268748A6">
      <w:pPr>
        <w:pStyle w:val="BodyText"/>
        <w:rPr>
          <w:szCs w:val="24"/>
        </w:rPr>
      </w:pPr>
      <w:r w:rsidRPr="00217BFC">
        <w:rPr>
          <w:rStyle w:val="CommentReference"/>
          <w:sz w:val="24"/>
          <w:szCs w:val="24"/>
        </w:rPr>
        <w:t xml:space="preserve">EPA opened a public comment period for 60 days upon posting the proposed ICR on January 28, 2020 and received two public comments. Neither of those comments were germane to the </w:t>
      </w:r>
      <w:r w:rsidR="00217BFC">
        <w:rPr>
          <w:rStyle w:val="CommentReference"/>
          <w:sz w:val="24"/>
          <w:szCs w:val="24"/>
        </w:rPr>
        <w:t>ICR</w:t>
      </w:r>
      <w:r w:rsidRPr="00217BFC">
        <w:rPr>
          <w:rStyle w:val="CommentReference"/>
          <w:sz w:val="24"/>
          <w:szCs w:val="24"/>
        </w:rPr>
        <w:t xml:space="preserve"> and are not being considered in th</w:t>
      </w:r>
      <w:r w:rsidR="00217BFC">
        <w:rPr>
          <w:rStyle w:val="CommentReference"/>
          <w:sz w:val="24"/>
          <w:szCs w:val="24"/>
        </w:rPr>
        <w:t>is</w:t>
      </w:r>
      <w:r w:rsidRPr="00217BFC">
        <w:rPr>
          <w:rStyle w:val="CommentReference"/>
          <w:sz w:val="24"/>
          <w:szCs w:val="24"/>
        </w:rPr>
        <w:t xml:space="preserve"> final ICR. As well, EPA sent an email message to nine entities that have been active in communications on previous TSCA Title VI actions to solicit feedback on the ICR. These entities included Capital Testing and Certification Services (previously Hardwood Plywood and Veneer Association Laboratories), the Composite Panel Association, Benchmark International, the California Air Resources Board, A2LA, American National Standards Institute, the Kitchen Cabinet Manufacturers Association, the American Home Furnishings Alliance, and Georgia Pacific. The Agency received one germane response to its consultation questionnaire requesting an update to the annual report and failure to comply reporting functions in the CDX system to reflect a date range rather than simply a date. The Agency intends to update the TSCA Title VI function in the CDX system in the near future </w:t>
      </w:r>
      <w:r w:rsidRPr="00217BFC">
        <w:rPr>
          <w:rStyle w:val="CommentReference"/>
          <w:sz w:val="24"/>
          <w:szCs w:val="24"/>
        </w:rPr>
        <w:lastRenderedPageBreak/>
        <w:t>and will take this into consideration during those updates. The consultation response did not have an impact on this supporting statement.</w:t>
      </w:r>
      <w:r w:rsidRPr="00C43253">
        <w:rPr>
          <w:rStyle w:val="CommentReference"/>
          <w:sz w:val="24"/>
          <w:szCs w:val="24"/>
        </w:rPr>
        <w:t xml:space="preserve"> </w:t>
      </w:r>
    </w:p>
    <w:p w:rsidRPr="001203BA" w:rsidR="00512823" w:rsidP="00E33A13" w:rsidRDefault="00512823" w14:paraId="074DB365" w14:textId="77777777">
      <w:pPr>
        <w:pStyle w:val="Heading2"/>
        <w:numPr>
          <w:ilvl w:val="1"/>
          <w:numId w:val="3"/>
        </w:numPr>
        <w:tabs>
          <w:tab w:val="left" w:pos="1080"/>
        </w:tabs>
        <w:rPr>
          <w:szCs w:val="24"/>
        </w:rPr>
      </w:pPr>
      <w:bookmarkStart w:name="_Toc501020171" w:id="15"/>
      <w:r w:rsidRPr="001203BA">
        <w:rPr>
          <w:szCs w:val="24"/>
        </w:rPr>
        <w:t>Effects of Less Frequent Collection</w:t>
      </w:r>
      <w:bookmarkEnd w:id="15"/>
    </w:p>
    <w:p w:rsidR="001D1D05" w:rsidP="006460A4" w:rsidRDefault="001D1D05" w14:paraId="0B1D75CF" w14:textId="1CB600A0">
      <w:pPr>
        <w:pStyle w:val="BodyText"/>
      </w:pPr>
      <w:r>
        <w:t xml:space="preserve">EPA has judged that the reporting and recordkeeping requirements of the ICR are the minimum amount necessary to fulfill its statutory mandate to promulgate regulations that ensure compliance with the emissions standards. The reports and records </w:t>
      </w:r>
      <w:r w:rsidR="00DA28A5">
        <w:t xml:space="preserve">described </w:t>
      </w:r>
      <w:r>
        <w:t xml:space="preserve">in this ICR allow EPA carry out its </w:t>
      </w:r>
      <w:proofErr w:type="gramStart"/>
      <w:r>
        <w:t>statutorily-delegated</w:t>
      </w:r>
      <w:proofErr w:type="gramEnd"/>
      <w:r>
        <w:t xml:space="preserve"> roles in program design, enforcement, and oversight. EPA believes that less frequent reporting and failure to require notice of significant events could result in uncertified and noncompliant products being distributed in commerce in violation of the statute. For example, panel producers must provide their EPA TSCA Title VI TPC with monthly product data reports for each production facility, production line, and product type. These reports include production information and quality control test results and allow the EPA TSCA Title VI TPC to monitor quality control testing and ensure that production at the facility remains in compliance with the statutory emission standards. </w:t>
      </w:r>
    </w:p>
    <w:p w:rsidR="001D1D05" w:rsidP="006460A4" w:rsidRDefault="001D1D05" w14:paraId="274C625D" w14:textId="418EC205">
      <w:pPr>
        <w:pStyle w:val="BodyText"/>
      </w:pPr>
      <w:r>
        <w:t>Although the third-party certification program is critical to the implementation of TSCA Title VI, EPA cannot subdelegate its statutory duty to ensure compliance with TSCA Title VI to TPCs. Likewise</w:t>
      </w:r>
      <w:r w:rsidR="00FA59CF">
        <w:t>,</w:t>
      </w:r>
      <w:r>
        <w:t xml:space="preserve"> it cannot subdelegate its oversight duties to </w:t>
      </w:r>
      <w:proofErr w:type="spellStart"/>
      <w:r>
        <w:t>ABs.</w:t>
      </w:r>
      <w:proofErr w:type="spellEnd"/>
      <w:r>
        <w:t xml:space="preserve"> EPA believes that requiring applications, annual reports, and certain one-time notifications from the ABs and TPCs that wish to be recognized as program participants allow</w:t>
      </w:r>
      <w:r w:rsidR="006F549F">
        <w:t>s</w:t>
      </w:r>
      <w:r>
        <w:t xml:space="preserve"> EPA to effectively monitor the program. Annual reports and notifications that are triggered by specific occurrences allow</w:t>
      </w:r>
      <w:r w:rsidR="006F549F">
        <w:t>s</w:t>
      </w:r>
      <w:r>
        <w:t xml:space="preserve"> EPA to ensure compliance with the emission standards, as required by the statute. EPA believes that less frequent reporting and failure to require notice of significant events could result in uncertified and noncompliant products being distributed in commerce.</w:t>
      </w:r>
    </w:p>
    <w:p w:rsidRPr="007919E5" w:rsidR="00DB7F57" w:rsidP="00DB7F57" w:rsidRDefault="00DB7F57" w14:paraId="7471F376" w14:textId="77777777">
      <w:pPr>
        <w:pStyle w:val="Heading2"/>
        <w:numPr>
          <w:ilvl w:val="1"/>
          <w:numId w:val="3"/>
        </w:numPr>
        <w:tabs>
          <w:tab w:val="left" w:pos="1080"/>
        </w:tabs>
      </w:pPr>
      <w:bookmarkStart w:name="_Toc501020172" w:id="16"/>
      <w:r w:rsidRPr="007919E5">
        <w:t>Small Entity Flexibility</w:t>
      </w:r>
      <w:bookmarkEnd w:id="16"/>
    </w:p>
    <w:p w:rsidRPr="007919E5" w:rsidR="00DB7F57" w:rsidP="006460A4" w:rsidRDefault="0057276A" w14:paraId="74C6A3F1" w14:textId="2FE9D415">
      <w:pPr>
        <w:pStyle w:val="BodyText"/>
      </w:pPr>
      <w:r w:rsidRPr="002F1795">
        <w:t xml:space="preserve">Small businesses are not exempt from the requirements of TSCA Title VI. The information collections apply to all entities that manufacture (including import), sell, supply, or offer for sale regulated composite wood products in the United States regardless of size. They also apply to entities that manufacture regulated composite products, including finished goods, for import into the U.S. and to </w:t>
      </w:r>
      <w:r>
        <w:t>TPCs and ABs</w:t>
      </w:r>
      <w:r w:rsidRPr="002F1795">
        <w:t xml:space="preserve"> that wish to participate in the program.  </w:t>
      </w:r>
      <w:r>
        <w:t xml:space="preserve">EPA has elected to require equal disclosure by all participating ABs and TPCs because the third-party certification program is essential to ensuring compliance with the highly technical requirements of TSCA Title VI. </w:t>
      </w:r>
      <w:r w:rsidRPr="002F1795">
        <w:t>During the Small Business Advocacy Review Panel process, the Panel recommended regulatory flexibility alternatives to alleviate burden on small business</w:t>
      </w:r>
      <w:r>
        <w:t xml:space="preserve"> that EPA implemented in </w:t>
      </w:r>
      <w:r w:rsidR="006F549F">
        <w:t xml:space="preserve">the </w:t>
      </w:r>
      <w:r>
        <w:t>final rule</w:t>
      </w:r>
      <w:r w:rsidRPr="002F1795">
        <w:t>.  For example, EPA</w:t>
      </w:r>
      <w:r>
        <w:t xml:space="preserve"> allows </w:t>
      </w:r>
      <w:r w:rsidRPr="002F1795">
        <w:t xml:space="preserve">labeling by bundle, as opposed to individual boards.  </w:t>
      </w:r>
      <w:r w:rsidR="006F549F">
        <w:t xml:space="preserve">Also, the frequency of </w:t>
      </w:r>
      <w:r w:rsidRPr="002F1795">
        <w:t xml:space="preserve">quality control tests for hardwood plywood </w:t>
      </w:r>
      <w:r w:rsidR="006F549F">
        <w:t xml:space="preserve">is </w:t>
      </w:r>
      <w:r w:rsidRPr="002F1795">
        <w:t xml:space="preserve">based on production volume, allowing low volume producers to conduct fewer tests. </w:t>
      </w:r>
      <w:r w:rsidR="005A571C">
        <w:t xml:space="preserve">EPA has developed and posted several small entity compliance guides on its formaldehyde webpage to support regulatory comprehension. </w:t>
      </w:r>
    </w:p>
    <w:p w:rsidRPr="007919E5" w:rsidR="00512823" w:rsidP="00DB7F57" w:rsidRDefault="00512823" w14:paraId="038C4DA4" w14:textId="77777777">
      <w:pPr>
        <w:pStyle w:val="Heading2"/>
        <w:numPr>
          <w:ilvl w:val="1"/>
          <w:numId w:val="3"/>
        </w:numPr>
        <w:tabs>
          <w:tab w:val="left" w:pos="1080"/>
        </w:tabs>
      </w:pPr>
      <w:bookmarkStart w:name="_Toc501020173" w:id="17"/>
      <w:r w:rsidRPr="007919E5">
        <w:t xml:space="preserve">General </w:t>
      </w:r>
      <w:r w:rsidRPr="007919E5" w:rsidR="00E33A13">
        <w:t xml:space="preserve">PRA Related </w:t>
      </w:r>
      <w:r w:rsidRPr="007919E5">
        <w:t>Guidelines</w:t>
      </w:r>
      <w:bookmarkEnd w:id="17"/>
    </w:p>
    <w:p w:rsidRPr="002F1795" w:rsidR="001D1D05" w:rsidP="006460A4" w:rsidRDefault="001D1D05" w14:paraId="023D1AD1" w14:textId="3565F591">
      <w:pPr>
        <w:pStyle w:val="BodyText"/>
      </w:pPr>
      <w:r w:rsidRPr="002F1795">
        <w:t>In general, this information collection complies with the gui</w:t>
      </w:r>
      <w:r>
        <w:t xml:space="preserve">delines at 5 CFR 1320.5(d)(2). </w:t>
      </w:r>
      <w:r w:rsidRPr="002F1795">
        <w:t>The exceptions to OMB’s Paperwork Reduction Act Guidelines, and the explanation of why such characteristics are needed to fulfill the statutory requirements, are described below:</w:t>
      </w:r>
    </w:p>
    <w:p w:rsidRPr="002F1795" w:rsidR="001D1D05" w:rsidP="006460A4" w:rsidRDefault="001D1D05" w14:paraId="46068779" w14:textId="6C4581BB">
      <w:pPr>
        <w:pStyle w:val="BodyText"/>
        <w:rPr>
          <w:i/>
          <w:iCs/>
          <w:color w:val="000000"/>
        </w:rPr>
      </w:pPr>
      <w:r w:rsidRPr="002F1795">
        <w:rPr>
          <w:color w:val="000000"/>
        </w:rPr>
        <w:lastRenderedPageBreak/>
        <w:t xml:space="preserve">Record retention for 3 years is especially critical because these regulated products (composite wood panels, component parts, and finished goods) may be in commerce for 3 years or even longer. Composite wood products are regulated beginning with the manufacture (including import) of panels through their incorporation into component parts and finished goods, the distribution of those products, and the </w:t>
      </w:r>
      <w:r>
        <w:rPr>
          <w:color w:val="000000"/>
        </w:rPr>
        <w:t xml:space="preserve">retail sale of those products. </w:t>
      </w:r>
      <w:r w:rsidRPr="002F1795">
        <w:rPr>
          <w:color w:val="000000"/>
        </w:rPr>
        <w:t>This is a lengthy process and the amount of time composite wood panels are held in inventory and the amount of time before they are incorporated into</w:t>
      </w:r>
      <w:r>
        <w:rPr>
          <w:color w:val="000000"/>
        </w:rPr>
        <w:t xml:space="preserve"> a finished good are variable. </w:t>
      </w:r>
      <w:r w:rsidRPr="002F1795">
        <w:rPr>
          <w:color w:val="000000"/>
        </w:rPr>
        <w:t xml:space="preserve">This point was illustrated by the fact that the State of California had to twice extend its “sell-through date” when it enacted </w:t>
      </w:r>
      <w:r w:rsidR="00384B3A">
        <w:rPr>
          <w:color w:val="000000"/>
        </w:rPr>
        <w:t xml:space="preserve">the </w:t>
      </w:r>
      <w:r w:rsidRPr="002F1795">
        <w:rPr>
          <w:color w:val="000000"/>
        </w:rPr>
        <w:t xml:space="preserve">ATCM establishing formaldehyde emissions standards for composite wood products. </w:t>
      </w:r>
      <w:r w:rsidR="00384B3A">
        <w:rPr>
          <w:color w:val="000000"/>
        </w:rPr>
        <w:t xml:space="preserve">CARB </w:t>
      </w:r>
      <w:r w:rsidRPr="002F1795">
        <w:rPr>
          <w:color w:val="000000"/>
        </w:rPr>
        <w:t>found that these extensions were necessary because the recession increased the amount of time manufacturers needed to clear preexisting inventory. (</w:t>
      </w:r>
      <w:r w:rsidRPr="002F1795">
        <w:rPr>
          <w:i/>
          <w:iCs/>
          <w:color w:val="000000"/>
        </w:rPr>
        <w:t>See, e.g.,</w:t>
      </w:r>
      <w:r>
        <w:rPr>
          <w:i/>
          <w:iCs/>
          <w:color w:val="000000"/>
        </w:rPr>
        <w:t xml:space="preserve"> </w:t>
      </w:r>
      <w:r w:rsidRPr="002F1795">
        <w:rPr>
          <w:color w:val="000000"/>
        </w:rPr>
        <w:t xml:space="preserve">Composite Wood Products Regulation Advisory: 11-01, Extension of Sell-Through Dates for: Distributors, Importers, Fabricators, and Retailers of Finished Goods Containing Phase 1 Hardwood Plywood- Veneer Core and Distributors of Phase 1 Particleboard and Medium Density Fiberboard Panels, </w:t>
      </w:r>
      <w:r w:rsidRPr="002F1795">
        <w:rPr>
          <w:i/>
          <w:iCs/>
          <w:color w:val="000000"/>
        </w:rPr>
        <w:t xml:space="preserve">available at </w:t>
      </w:r>
      <w:hyperlink w:history="1" r:id="rId16">
        <w:r w:rsidRPr="007634FB" w:rsidR="00FA59CF">
          <w:rPr>
            <w:rStyle w:val="Hyperlink"/>
          </w:rPr>
          <w:t>http://www.arb.ca.gov/toxics/compwood/outreach/11_01_advisory.pdf</w:t>
        </w:r>
      </w:hyperlink>
      <w:r w:rsidRPr="00E81FE8">
        <w:rPr>
          <w:iCs/>
        </w:rPr>
        <w:t>)</w:t>
      </w:r>
      <w:r w:rsidRPr="002F1795">
        <w:rPr>
          <w:iCs/>
          <w:color w:val="000000"/>
        </w:rPr>
        <w:t xml:space="preserve">. </w:t>
      </w:r>
      <w:r w:rsidRPr="002F1795">
        <w:rPr>
          <w:color w:val="000000"/>
        </w:rPr>
        <w:t xml:space="preserve">It is essential that </w:t>
      </w:r>
      <w:r>
        <w:rPr>
          <w:color w:val="000000"/>
        </w:rPr>
        <w:t xml:space="preserve">regular business records and panel producer, importer, and laminator records </w:t>
      </w:r>
      <w:r w:rsidRPr="002F1795">
        <w:rPr>
          <w:color w:val="000000"/>
        </w:rPr>
        <w:t>be retained for this entire period of time so that both EPA and interested downstream consumers can be assured that a finished good containing regulated composite wood product was made from compliant composite wood panels.</w:t>
      </w:r>
      <w:r>
        <w:rPr>
          <w:color w:val="000000"/>
        </w:rPr>
        <w:t xml:space="preserve"> </w:t>
      </w:r>
    </w:p>
    <w:p w:rsidRPr="007919E5" w:rsidR="00512823" w:rsidP="006460A4" w:rsidRDefault="001D1D05" w14:paraId="37E2E81C" w14:textId="238A8C73">
      <w:pPr>
        <w:pStyle w:val="BodyText"/>
      </w:pPr>
      <w:r w:rsidRPr="002F1795">
        <w:t>A number of provisions require reporting only upon the occurrence of a specific event.</w:t>
      </w:r>
      <w:r>
        <w:t xml:space="preserve"> </w:t>
      </w:r>
      <w:r w:rsidRPr="002F1795">
        <w:t xml:space="preserve">For example, a panel producer must notify </w:t>
      </w:r>
      <w:r>
        <w:t>its EPA TSCA Title VI TPC</w:t>
      </w:r>
      <w:r w:rsidRPr="002F1795">
        <w:t xml:space="preserve"> </w:t>
      </w:r>
      <w:r>
        <w:t>within 72 hours</w:t>
      </w:r>
      <w:r w:rsidRPr="002F1795">
        <w:t xml:space="preserve"> if it makes production changes that are likely to have an impact on formaldehyde emissions from its products.</w:t>
      </w:r>
      <w:r>
        <w:t xml:space="preserve"> </w:t>
      </w:r>
      <w:r w:rsidRPr="002F1795">
        <w:t>These reporting requirements are not triggered by the calendar (</w:t>
      </w:r>
      <w:r w:rsidRPr="002F1795">
        <w:rPr>
          <w:i/>
        </w:rPr>
        <w:t>i.e.</w:t>
      </w:r>
      <w:r w:rsidRPr="002F1795">
        <w:t>, they are not required quarterly or at more frequent intervals). Therefore, the Agency does not believe that these provisions need special justification. Moreover, EPA believes that unless these notifications are provided within the inter</w:t>
      </w:r>
      <w:r>
        <w:t xml:space="preserve">vals prescribed in the </w:t>
      </w:r>
      <w:r w:rsidRPr="002F1795">
        <w:t>rule, a change in circum</w:t>
      </w:r>
      <w:r>
        <w:t>stances could result in non</w:t>
      </w:r>
      <w:r w:rsidRPr="002F1795">
        <w:t>compliant products being distributed in commerce. Not only is this a violation of the statute, but it greatly increases the cost</w:t>
      </w:r>
      <w:r>
        <w:t>s</w:t>
      </w:r>
      <w:r w:rsidRPr="002F1795">
        <w:t xml:space="preserve"> associated of segregating, treating and retesting these products.</w:t>
      </w:r>
    </w:p>
    <w:p w:rsidRPr="007919E5" w:rsidR="00512823" w:rsidP="00DB7F57" w:rsidRDefault="00512823" w14:paraId="72BF5391" w14:textId="77777777">
      <w:pPr>
        <w:pStyle w:val="Heading2"/>
        <w:numPr>
          <w:ilvl w:val="1"/>
          <w:numId w:val="3"/>
        </w:numPr>
        <w:tabs>
          <w:tab w:val="left" w:pos="1080"/>
        </w:tabs>
      </w:pPr>
      <w:bookmarkStart w:name="_Toc501020174" w:id="18"/>
      <w:r w:rsidRPr="007919E5">
        <w:t>Confidentiality</w:t>
      </w:r>
      <w:bookmarkEnd w:id="18"/>
    </w:p>
    <w:p w:rsidR="001D1D05" w:rsidP="006460A4" w:rsidRDefault="001D1D05" w14:paraId="111312A9" w14:textId="5D268B27">
      <w:pPr>
        <w:pStyle w:val="BodyText"/>
      </w:pPr>
      <w:r>
        <w:t xml:space="preserve">Regulated entities may claim some of the information given to EPA as </w:t>
      </w:r>
      <w:r w:rsidR="006F549F">
        <w:t>confidential business information (</w:t>
      </w:r>
      <w:r>
        <w:t>CBI</w:t>
      </w:r>
      <w:r w:rsidR="006F549F">
        <w:t>)</w:t>
      </w:r>
      <w:r>
        <w:t xml:space="preserve">. EPA handles claims of confidentiality pursuant to established CBI procedures, as found at Section 14 of TSCA, 40 CFR Part 2, and the Agency’s TSCA CBI Manual. CBI is also protected under the Freedom of Information Act (5 USC Section 525). Much of the information requested in the reporting requirements of these collections is not of a confidential nature. For example, information on the names and contact information for TPCs and ABs is publicly available. </w:t>
      </w:r>
      <w:proofErr w:type="gramStart"/>
      <w:r>
        <w:t>Likewise</w:t>
      </w:r>
      <w:proofErr w:type="gramEnd"/>
      <w:r>
        <w:t xml:space="preserve"> the address of their domestic agents, and their status as participants in the program. EPA will nonetheless allow this information to be substantiated contemporaneously.  A panel producer’s quarterly test results </w:t>
      </w:r>
      <w:r w:rsidR="00065B59">
        <w:t xml:space="preserve">are </w:t>
      </w:r>
      <w:r>
        <w:t>not eligible for treatment as CBI.</w:t>
      </w:r>
    </w:p>
    <w:p w:rsidR="00512823" w:rsidP="006460A4" w:rsidRDefault="00217BFC" w14:paraId="5C7462C0" w14:textId="090ABCBB">
      <w:pPr>
        <w:pStyle w:val="BodyText"/>
      </w:pPr>
      <w:r>
        <w:t>TSCA</w:t>
      </w:r>
      <w:r w:rsidR="001D1D05">
        <w:t xml:space="preserve"> Section 14(c) now requires a supporting statement and certification for confidentiality claims asserted after June 22, 2016. Thus, EPA is requiring a statement and certification consistent with the section 14(c)(1)(B) statement (and with a related certification requirement in section 14(c)(5) of the revised statute) to meet the new statutory requirements.</w:t>
      </w:r>
    </w:p>
    <w:p w:rsidRPr="007919E5" w:rsidR="00082F67" w:rsidP="006460A4" w:rsidRDefault="00082F67" w14:paraId="0157905F" w14:textId="269378CC">
      <w:pPr>
        <w:pStyle w:val="BodyText"/>
      </w:pPr>
      <w:r w:rsidRPr="00082F67">
        <w:lastRenderedPageBreak/>
        <w:t>Most of the information requested in the reporting requirements of these collections is not of a confidential nature.  Nonetheless, the electronic reporting application is designed to support TSCA Confidential Business Information needs by providing a secure environment that meets Federal standards. Users are able to claim CBI for appropriate data fields. The electronic reporting application would use Transportation Layer Security (TLS) with 256-bit digital encryption, and the data would be encrypted at rest using a key that only a user knows. All data remains encrypted until it is behind several EPA firewalls and within the EPA CBI LAN, and all encryption modules are Federal Information Processing Standard (FIPS) 140-2 compliant. Also, users are required to have valid CDX credentials (username and password combination) to access the application, and they are required to know the answers to the 20-5-1 series of questions associated with a CDX account in order to submit data to the EPA.</w:t>
      </w:r>
    </w:p>
    <w:p w:rsidRPr="007919E5" w:rsidR="00512823" w:rsidP="00DB7F57" w:rsidRDefault="00512823" w14:paraId="49C7D9D2" w14:textId="77777777">
      <w:pPr>
        <w:pStyle w:val="Heading2"/>
        <w:numPr>
          <w:ilvl w:val="1"/>
          <w:numId w:val="3"/>
        </w:numPr>
        <w:tabs>
          <w:tab w:val="left" w:pos="1080"/>
        </w:tabs>
      </w:pPr>
      <w:bookmarkStart w:name="_Toc501020175" w:id="19"/>
      <w:r w:rsidRPr="007919E5">
        <w:t>Sensitive Questions</w:t>
      </w:r>
      <w:bookmarkEnd w:id="19"/>
    </w:p>
    <w:p w:rsidRPr="007919E5" w:rsidR="008648B5" w:rsidP="006460A4" w:rsidRDefault="00512823" w14:paraId="12FC17D9" w14:textId="77777777">
      <w:pPr>
        <w:pStyle w:val="BodyText"/>
      </w:pPr>
      <w:r w:rsidRPr="007919E5">
        <w:t>This information collection does not include questions of a sensitive nature.</w:t>
      </w:r>
    </w:p>
    <w:p w:rsidRPr="007919E5" w:rsidR="00DB7F57" w:rsidP="00DB7F57" w:rsidRDefault="00DB7F57" w14:paraId="5D354116" w14:textId="77777777">
      <w:pPr>
        <w:pStyle w:val="Heading1"/>
        <w:numPr>
          <w:ilvl w:val="0"/>
          <w:numId w:val="3"/>
        </w:numPr>
        <w:rPr>
          <w:sz w:val="24"/>
          <w:szCs w:val="24"/>
        </w:rPr>
      </w:pPr>
      <w:bookmarkStart w:name="_Toc501020176" w:id="20"/>
      <w:r w:rsidRPr="007919E5">
        <w:t>AGENCY ACTIVITIES, COLLECTION METHODOLOGY, AND INFORMATION MANAGEMENT</w:t>
      </w:r>
      <w:bookmarkEnd w:id="20"/>
    </w:p>
    <w:p w:rsidRPr="007919E5" w:rsidR="00DB7F57" w:rsidP="00F53D76" w:rsidRDefault="00DB7F57" w14:paraId="5F0EDDF4" w14:textId="77777777">
      <w:pPr>
        <w:pStyle w:val="Heading2"/>
        <w:numPr>
          <w:ilvl w:val="1"/>
          <w:numId w:val="3"/>
        </w:numPr>
        <w:tabs>
          <w:tab w:val="left" w:pos="1080"/>
        </w:tabs>
      </w:pPr>
      <w:bookmarkStart w:name="_Toc501020177" w:id="21"/>
      <w:r w:rsidRPr="007919E5">
        <w:t>Agency Activities</w:t>
      </w:r>
      <w:bookmarkEnd w:id="21"/>
    </w:p>
    <w:p w:rsidR="0057276A" w:rsidP="006460A4" w:rsidRDefault="006460A4" w14:paraId="216ED252" w14:textId="11811A21">
      <w:pPr>
        <w:pStyle w:val="BodyText"/>
      </w:pPr>
      <w:r>
        <w:t>E</w:t>
      </w:r>
      <w:r w:rsidR="0057276A">
        <w:t xml:space="preserve">PA resources </w:t>
      </w:r>
      <w:r w:rsidR="00FD1AE6">
        <w:t xml:space="preserve">are </w:t>
      </w:r>
      <w:r w:rsidR="0057276A">
        <w:t>devoted to reviewing and analyzing import certifications, auditing and inspecting facilities, producing audit and inspection reports, reviewing and analyzing data submissions, maintaining files of submitted data, responding to public inquiries, providing regulatory interpretations and developing rulemakings. EPA publish</w:t>
      </w:r>
      <w:r w:rsidR="000E67A8">
        <w:t>es</w:t>
      </w:r>
      <w:r w:rsidR="0057276A">
        <w:t xml:space="preserve"> certain information on the Internet, including list</w:t>
      </w:r>
      <w:r w:rsidR="000E67A8">
        <w:t>s</w:t>
      </w:r>
      <w:r w:rsidR="0057276A">
        <w:t xml:space="preserve"> of EPA-recognized </w:t>
      </w:r>
      <w:r w:rsidR="000E67A8">
        <w:t xml:space="preserve">ABs and </w:t>
      </w:r>
      <w:r w:rsidR="0057276A">
        <w:t>TPC</w:t>
      </w:r>
      <w:r w:rsidR="000E67A8">
        <w:t>s</w:t>
      </w:r>
      <w:r w:rsidR="0057276A">
        <w:t>. EPA plans to continue</w:t>
      </w:r>
      <w:r w:rsidR="00FF611F">
        <w:t xml:space="preserve"> </w:t>
      </w:r>
      <w:r w:rsidR="0057276A">
        <w:t>its use of the Internet to facilitate the transfer of information from EPA to the public. More specific Agency activities are as follows:</w:t>
      </w:r>
    </w:p>
    <w:p w:rsidR="0057276A" w:rsidP="006460A4" w:rsidRDefault="0057276A" w14:paraId="338745C4" w14:textId="77777777">
      <w:pPr>
        <w:pStyle w:val="BodyText"/>
        <w:numPr>
          <w:ilvl w:val="0"/>
          <w:numId w:val="28"/>
        </w:numPr>
      </w:pPr>
      <w:r w:rsidRPr="00C44615">
        <w:t xml:space="preserve">Receive and evaluate applications from </w:t>
      </w:r>
      <w:r>
        <w:t>ABs</w:t>
      </w:r>
      <w:r w:rsidRPr="00C44615">
        <w:t xml:space="preserve"> </w:t>
      </w:r>
      <w:r>
        <w:t xml:space="preserve">and TPCs </w:t>
      </w:r>
      <w:r w:rsidRPr="00C44615">
        <w:t>that wish to participate in the program.</w:t>
      </w:r>
    </w:p>
    <w:p w:rsidR="0057276A" w:rsidP="006460A4" w:rsidRDefault="0057276A" w14:paraId="0CE46F74" w14:textId="77777777">
      <w:pPr>
        <w:pStyle w:val="BodyText"/>
        <w:numPr>
          <w:ilvl w:val="0"/>
          <w:numId w:val="28"/>
        </w:numPr>
      </w:pPr>
      <w:r>
        <w:t xml:space="preserve">Develop and enter into recognition agreements with qualified </w:t>
      </w:r>
      <w:proofErr w:type="spellStart"/>
      <w:r>
        <w:t>ABs.</w:t>
      </w:r>
      <w:proofErr w:type="spellEnd"/>
    </w:p>
    <w:p w:rsidR="0057276A" w:rsidP="006460A4" w:rsidRDefault="0057276A" w14:paraId="056105D6" w14:textId="77777777">
      <w:pPr>
        <w:pStyle w:val="BodyText"/>
        <w:numPr>
          <w:ilvl w:val="0"/>
          <w:numId w:val="28"/>
        </w:numPr>
      </w:pPr>
      <w:r w:rsidRPr="00C44615">
        <w:t xml:space="preserve">Supply a point of contact for each </w:t>
      </w:r>
      <w:r>
        <w:t xml:space="preserve">recognition agreement </w:t>
      </w:r>
      <w:r w:rsidRPr="00C44615">
        <w:t xml:space="preserve">for </w:t>
      </w:r>
      <w:r>
        <w:t>ABs</w:t>
      </w:r>
      <w:r w:rsidRPr="00C44615">
        <w:t xml:space="preserve"> to consult with on implementation of</w:t>
      </w:r>
      <w:r>
        <w:t xml:space="preserve"> the recognition agreement</w:t>
      </w:r>
      <w:r w:rsidRPr="00C44615">
        <w:t>.</w:t>
      </w:r>
    </w:p>
    <w:p w:rsidR="0057276A" w:rsidP="006460A4" w:rsidRDefault="0057276A" w14:paraId="36A53ACC" w14:textId="2AB52FBC">
      <w:pPr>
        <w:pStyle w:val="BodyText"/>
        <w:numPr>
          <w:ilvl w:val="0"/>
          <w:numId w:val="28"/>
        </w:numPr>
      </w:pPr>
      <w:r>
        <w:t xml:space="preserve">Maintain a current and publicly available list of EPA-recognized ABs and TPCs. </w:t>
      </w:r>
    </w:p>
    <w:p w:rsidR="0057276A" w:rsidP="006460A4" w:rsidRDefault="0057276A" w14:paraId="15A4E21B" w14:textId="77777777">
      <w:pPr>
        <w:pStyle w:val="BodyText"/>
        <w:numPr>
          <w:ilvl w:val="0"/>
          <w:numId w:val="28"/>
        </w:numPr>
      </w:pPr>
      <w:r w:rsidRPr="00C44615">
        <w:t xml:space="preserve">Evaluate the annual reports from </w:t>
      </w:r>
      <w:r>
        <w:t>EPA-</w:t>
      </w:r>
      <w:r w:rsidRPr="00C44615">
        <w:t xml:space="preserve">recognized </w:t>
      </w:r>
      <w:r>
        <w:t>ABs</w:t>
      </w:r>
      <w:r w:rsidRPr="00C44615">
        <w:t xml:space="preserve"> and </w:t>
      </w:r>
      <w:r>
        <w:t>TPC</w:t>
      </w:r>
      <w:r w:rsidRPr="00C44615">
        <w:t xml:space="preserve">s. </w:t>
      </w:r>
    </w:p>
    <w:p w:rsidR="0057276A" w:rsidP="006460A4" w:rsidRDefault="0057276A" w14:paraId="476E6DCF" w14:textId="77777777">
      <w:pPr>
        <w:pStyle w:val="BodyText"/>
        <w:numPr>
          <w:ilvl w:val="0"/>
          <w:numId w:val="28"/>
        </w:numPr>
      </w:pPr>
      <w:r w:rsidRPr="00C44615">
        <w:t xml:space="preserve">Evaluate all notices received from </w:t>
      </w:r>
      <w:r>
        <w:t>EPA-recognized ABs</w:t>
      </w:r>
      <w:r w:rsidRPr="00C44615">
        <w:t xml:space="preserve"> and </w:t>
      </w:r>
      <w:r>
        <w:t>TPCs</w:t>
      </w:r>
      <w:r w:rsidRPr="00C44615">
        <w:t xml:space="preserve"> to </w:t>
      </w:r>
      <w:r w:rsidRPr="00C933E4">
        <w:t xml:space="preserve">determine whether further agency action is warranted. </w:t>
      </w:r>
    </w:p>
    <w:p w:rsidRPr="007919E5" w:rsidR="00DB7F57" w:rsidP="006460A4" w:rsidRDefault="0057276A" w14:paraId="0EB00859" w14:textId="64D14451">
      <w:pPr>
        <w:pStyle w:val="BodyText"/>
        <w:numPr>
          <w:ilvl w:val="0"/>
          <w:numId w:val="28"/>
        </w:numPr>
      </w:pPr>
      <w:r>
        <w:t>Review 90 calendar day extension requests from p</w:t>
      </w:r>
      <w:r w:rsidRPr="00F171E2">
        <w:t xml:space="preserve">anel producers </w:t>
      </w:r>
      <w:r>
        <w:t>who lose their EPA-recognized TPC and are not able to obtain a new EPA-recognized TPC within the initial 90 calendar days.</w:t>
      </w:r>
    </w:p>
    <w:p w:rsidRPr="007919E5" w:rsidR="00660CEA" w:rsidP="00DB7F57" w:rsidRDefault="00660CEA" w14:paraId="47C1DC1D" w14:textId="77777777">
      <w:pPr>
        <w:pStyle w:val="Heading2"/>
        <w:numPr>
          <w:ilvl w:val="1"/>
          <w:numId w:val="3"/>
        </w:numPr>
        <w:tabs>
          <w:tab w:val="left" w:pos="1080"/>
        </w:tabs>
      </w:pPr>
      <w:bookmarkStart w:name="_Toc501020178" w:id="22"/>
      <w:r w:rsidRPr="007919E5">
        <w:lastRenderedPageBreak/>
        <w:t>Estimated Agency Costs</w:t>
      </w:r>
      <w:bookmarkEnd w:id="22"/>
    </w:p>
    <w:p w:rsidRPr="002D4CF2" w:rsidR="002D4CF2" w:rsidP="002D4CF2" w:rsidRDefault="002D4CF2" w14:paraId="07331BA5" w14:textId="3E45204D">
      <w:pPr>
        <w:pStyle w:val="BodyText"/>
      </w:pPr>
      <w:r w:rsidRPr="002F1795">
        <w:t xml:space="preserve">EPA resources </w:t>
      </w:r>
      <w:r w:rsidR="00FD1AE6">
        <w:t xml:space="preserve">are </w:t>
      </w:r>
      <w:r w:rsidRPr="002F1795">
        <w:t xml:space="preserve">devoted to reviewing and analyzing data submissions, compiling and recording data, maintaining hard-copy files of submitted data, auditing and inspecting facilities, producing audit and inspection reports, responding to public inquiries, and providing regulatory interpretations. EPA </w:t>
      </w:r>
      <w:r w:rsidRPr="0049555B">
        <w:t>anticipates that these activities will require the equivalent of one full-time employee (FTE) at Headquarters.  Using the 201</w:t>
      </w:r>
      <w:r w:rsidRPr="0049555B" w:rsidR="0049555B">
        <w:t>9</w:t>
      </w:r>
      <w:r w:rsidRPr="0049555B">
        <w:t xml:space="preserve"> Washington/Baltimore area annual salary rate for a GS-13, Step 5 employee ($</w:t>
      </w:r>
      <w:r w:rsidRPr="0049555B" w:rsidR="0049555B">
        <w:t>112,393</w:t>
      </w:r>
      <w:r w:rsidRPr="0049555B">
        <w:t>), and multiplying by a loading factor of 1.6 to reflect overhead and fringe benefits results in an estimated EPA cost of $</w:t>
      </w:r>
      <w:r w:rsidRPr="0049555B" w:rsidR="0049555B">
        <w:t>179</w:t>
      </w:r>
      <w:r w:rsidRPr="0049555B">
        <w:t>,</w:t>
      </w:r>
      <w:r w:rsidRPr="0049555B" w:rsidR="0049555B">
        <w:t>829</w:t>
      </w:r>
      <w:r w:rsidRPr="0049555B">
        <w:t xml:space="preserve"> per year. </w:t>
      </w:r>
    </w:p>
    <w:p w:rsidRPr="007919E5" w:rsidR="00DB7F57" w:rsidP="00F53D76" w:rsidRDefault="00DB7F57" w14:paraId="2A225B7B" w14:textId="77777777">
      <w:pPr>
        <w:pStyle w:val="Heading3"/>
        <w:numPr>
          <w:ilvl w:val="2"/>
          <w:numId w:val="3"/>
        </w:numPr>
        <w:tabs>
          <w:tab w:val="left" w:pos="1800"/>
        </w:tabs>
        <w:spacing w:after="200"/>
      </w:pPr>
      <w:bookmarkStart w:name="_Toc501020179" w:id="23"/>
      <w:r w:rsidRPr="007919E5">
        <w:t>Collection Schedule</w:t>
      </w:r>
      <w:bookmarkEnd w:id="23"/>
    </w:p>
    <w:p w:rsidR="0057276A" w:rsidP="006460A4" w:rsidRDefault="0057276A" w14:paraId="2BC62217" w14:textId="5BE97D9C">
      <w:pPr>
        <w:pStyle w:val="BodyText"/>
      </w:pPr>
      <w:r w:rsidRPr="002F1795">
        <w:t xml:space="preserve">Panel producers must provide their </w:t>
      </w:r>
      <w:r>
        <w:t>EPA-recognized TPCs</w:t>
      </w:r>
      <w:r w:rsidRPr="002F1795">
        <w:t xml:space="preserve"> with monthly product data reports.  </w:t>
      </w:r>
      <w:r>
        <w:t>Reporting activities for ABs and TPCs are mostly</w:t>
      </w:r>
      <w:r w:rsidRPr="002F1795">
        <w:t xml:space="preserve"> triggered by specific events or on an as needed basis rather than by specific dates</w:t>
      </w:r>
      <w:r>
        <w:t xml:space="preserve">, as shown in </w:t>
      </w:r>
      <w:r w:rsidRPr="00084B89">
        <w:rPr>
          <w:highlight w:val="yellow"/>
        </w:rPr>
        <w:fldChar w:fldCharType="begin"/>
      </w:r>
      <w:r w:rsidRPr="00084B89">
        <w:instrText xml:space="preserve"> REF _Ref419883048 \h </w:instrText>
      </w:r>
      <w:r w:rsidRPr="00084B89">
        <w:rPr>
          <w:highlight w:val="yellow"/>
        </w:rPr>
        <w:instrText xml:space="preserve"> \* MERGEFORMAT </w:instrText>
      </w:r>
      <w:r w:rsidRPr="00084B89">
        <w:rPr>
          <w:highlight w:val="yellow"/>
        </w:rPr>
      </w:r>
      <w:r w:rsidRPr="00084B89">
        <w:rPr>
          <w:highlight w:val="yellow"/>
        </w:rPr>
        <w:fldChar w:fldCharType="separate"/>
      </w:r>
      <w:r w:rsidRPr="005B50D2" w:rsidR="005B50D2">
        <w:t>Exhibit 1</w:t>
      </w:r>
      <w:r w:rsidRPr="00084B89">
        <w:rPr>
          <w:highlight w:val="yellow"/>
        </w:rPr>
        <w:fldChar w:fldCharType="end"/>
      </w:r>
      <w:r w:rsidRPr="002F1795">
        <w:t>.</w:t>
      </w:r>
      <w:r>
        <w:t xml:space="preserve"> </w:t>
      </w:r>
    </w:p>
    <w:tbl>
      <w:tblPr>
        <w:tblW w:w="9692" w:type="dxa"/>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47"/>
        <w:gridCol w:w="5314"/>
        <w:gridCol w:w="3231"/>
      </w:tblGrid>
      <w:tr w:rsidRPr="00C44615" w:rsidR="0057276A" w:rsidTr="00AA7E6D" w14:paraId="0D6A3D45" w14:textId="77777777">
        <w:trPr>
          <w:tblHeader/>
        </w:trPr>
        <w:tc>
          <w:tcPr>
            <w:tcW w:w="9692" w:type="dxa"/>
            <w:gridSpan w:val="3"/>
            <w:shd w:val="clear" w:color="auto" w:fill="BFBFBF" w:themeFill="background1" w:themeFillShade="BF"/>
          </w:tcPr>
          <w:p w:rsidRPr="00BE6A76" w:rsidR="0057276A" w:rsidP="00D4207E" w:rsidRDefault="0057276A" w14:paraId="6C18C5D4" w14:textId="2E09E19C">
            <w:pPr>
              <w:pStyle w:val="BodyTextIndent"/>
              <w:rPr>
                <w:b/>
                <w:sz w:val="22"/>
              </w:rPr>
            </w:pPr>
            <w:bookmarkStart w:name="_Ref419883048" w:id="24"/>
            <w:r w:rsidRPr="00441B9F">
              <w:rPr>
                <w:b/>
                <w:szCs w:val="24"/>
              </w:rPr>
              <w:t xml:space="preserve">Exhibit </w:t>
            </w:r>
            <w:r w:rsidRPr="00441B9F">
              <w:rPr>
                <w:b/>
                <w:szCs w:val="24"/>
              </w:rPr>
              <w:fldChar w:fldCharType="begin"/>
            </w:r>
            <w:r w:rsidRPr="00441B9F">
              <w:rPr>
                <w:b/>
                <w:szCs w:val="24"/>
              </w:rPr>
              <w:instrText xml:space="preserve"> SEQ Table \* ARABIC </w:instrText>
            </w:r>
            <w:r w:rsidRPr="00441B9F">
              <w:rPr>
                <w:b/>
                <w:szCs w:val="24"/>
              </w:rPr>
              <w:fldChar w:fldCharType="separate"/>
            </w:r>
            <w:r w:rsidR="005B50D2">
              <w:rPr>
                <w:b/>
                <w:noProof/>
                <w:szCs w:val="24"/>
              </w:rPr>
              <w:t>1</w:t>
            </w:r>
            <w:r w:rsidRPr="00441B9F">
              <w:rPr>
                <w:b/>
                <w:szCs w:val="24"/>
              </w:rPr>
              <w:fldChar w:fldCharType="end"/>
            </w:r>
            <w:bookmarkEnd w:id="24"/>
            <w:r w:rsidRPr="00441B9F">
              <w:rPr>
                <w:b/>
                <w:szCs w:val="24"/>
              </w:rPr>
              <w:t>: Collection Requirements and Schedule for ABs and TPCs</w:t>
            </w:r>
          </w:p>
        </w:tc>
      </w:tr>
      <w:tr w:rsidRPr="00C44615" w:rsidR="0057276A" w:rsidTr="00AA7E6D" w14:paraId="6735B4F2" w14:textId="77777777">
        <w:trPr>
          <w:tblHeader/>
        </w:trPr>
        <w:tc>
          <w:tcPr>
            <w:tcW w:w="1147" w:type="dxa"/>
            <w:shd w:val="clear" w:color="auto" w:fill="BFBFBF" w:themeFill="background1" w:themeFillShade="BF"/>
          </w:tcPr>
          <w:p w:rsidRPr="00BE6A76" w:rsidR="0057276A" w:rsidP="00AA7E6D" w:rsidRDefault="0057276A" w14:paraId="3FBD3F3B" w14:textId="77777777">
            <w:pPr>
              <w:pStyle w:val="BodyTextIndent"/>
              <w:ind w:left="0"/>
              <w:jc w:val="center"/>
              <w:rPr>
                <w:b/>
                <w:sz w:val="22"/>
              </w:rPr>
            </w:pPr>
            <w:r w:rsidRPr="00BE6A76">
              <w:rPr>
                <w:b/>
                <w:sz w:val="22"/>
              </w:rPr>
              <w:t>Ref. #</w:t>
            </w:r>
          </w:p>
        </w:tc>
        <w:tc>
          <w:tcPr>
            <w:tcW w:w="5314" w:type="dxa"/>
            <w:shd w:val="clear" w:color="auto" w:fill="BFBFBF" w:themeFill="background1" w:themeFillShade="BF"/>
          </w:tcPr>
          <w:p w:rsidRPr="00BE6A76" w:rsidR="0057276A" w:rsidP="0084224B" w:rsidRDefault="0057276A" w14:paraId="5A2F98FE" w14:textId="77777777">
            <w:pPr>
              <w:pStyle w:val="BodyTextIndent"/>
              <w:jc w:val="center"/>
              <w:rPr>
                <w:b/>
                <w:sz w:val="22"/>
              </w:rPr>
            </w:pPr>
            <w:r w:rsidRPr="00BE6A76">
              <w:rPr>
                <w:b/>
                <w:sz w:val="22"/>
              </w:rPr>
              <w:t>Collection Requirement</w:t>
            </w:r>
          </w:p>
        </w:tc>
        <w:tc>
          <w:tcPr>
            <w:tcW w:w="3231" w:type="dxa"/>
            <w:shd w:val="clear" w:color="auto" w:fill="BFBFBF" w:themeFill="background1" w:themeFillShade="BF"/>
          </w:tcPr>
          <w:p w:rsidRPr="00BE6A76" w:rsidR="0057276A" w:rsidP="0084224B" w:rsidRDefault="0057276A" w14:paraId="6F0D2AF4" w14:textId="77777777">
            <w:pPr>
              <w:pStyle w:val="BodyTextIndent"/>
              <w:jc w:val="center"/>
              <w:rPr>
                <w:b/>
                <w:sz w:val="22"/>
              </w:rPr>
            </w:pPr>
            <w:r w:rsidRPr="00BE6A76">
              <w:rPr>
                <w:b/>
                <w:sz w:val="22"/>
              </w:rPr>
              <w:t>Collection Schedule</w:t>
            </w:r>
          </w:p>
        </w:tc>
      </w:tr>
      <w:tr w:rsidRPr="00C44615" w:rsidR="0057276A" w:rsidTr="00F051D4" w14:paraId="3D6AACD0" w14:textId="77777777">
        <w:tc>
          <w:tcPr>
            <w:tcW w:w="1147" w:type="dxa"/>
          </w:tcPr>
          <w:p w:rsidRPr="00BE6A76" w:rsidR="0057276A" w:rsidP="00FF611F" w:rsidRDefault="0057276A" w14:paraId="126B8DBF" w14:textId="77777777">
            <w:pPr>
              <w:pStyle w:val="BodyTextIndent"/>
              <w:spacing w:after="0"/>
              <w:ind w:left="0"/>
              <w:jc w:val="center"/>
              <w:rPr>
                <w:sz w:val="22"/>
              </w:rPr>
            </w:pPr>
            <w:r w:rsidRPr="406B5892">
              <w:rPr>
                <w:sz w:val="22"/>
              </w:rPr>
              <w:t>1</w:t>
            </w:r>
          </w:p>
        </w:tc>
        <w:tc>
          <w:tcPr>
            <w:tcW w:w="5314" w:type="dxa"/>
          </w:tcPr>
          <w:p w:rsidRPr="00BE6A76" w:rsidR="0057276A" w:rsidP="00FF611F" w:rsidRDefault="0057276A" w14:paraId="43298618" w14:textId="77777777">
            <w:pPr>
              <w:pStyle w:val="BodyTextIndent"/>
              <w:spacing w:after="0"/>
              <w:ind w:left="0"/>
              <w:rPr>
                <w:sz w:val="22"/>
              </w:rPr>
            </w:pPr>
            <w:r w:rsidRPr="00BE6A76">
              <w:rPr>
                <w:sz w:val="22"/>
              </w:rPr>
              <w:t>Application to EPA f</w:t>
            </w:r>
            <w:r>
              <w:rPr>
                <w:sz w:val="22"/>
              </w:rPr>
              <w:t>rom a product AB</w:t>
            </w:r>
          </w:p>
        </w:tc>
        <w:tc>
          <w:tcPr>
            <w:tcW w:w="3231" w:type="dxa"/>
          </w:tcPr>
          <w:p w:rsidRPr="00BE6A76" w:rsidR="0057276A" w:rsidP="00FF611F" w:rsidRDefault="0057276A" w14:paraId="2B0A18EB" w14:textId="77777777">
            <w:pPr>
              <w:pStyle w:val="BodyTextIndent"/>
              <w:spacing w:after="0"/>
              <w:ind w:left="0"/>
              <w:rPr>
                <w:sz w:val="22"/>
              </w:rPr>
            </w:pPr>
            <w:r>
              <w:rPr>
                <w:sz w:val="22"/>
              </w:rPr>
              <w:t>When product AB</w:t>
            </w:r>
            <w:r w:rsidRPr="00BE6A76">
              <w:rPr>
                <w:sz w:val="22"/>
              </w:rPr>
              <w:t xml:space="preserve"> wishes to participate in the program and every three years thereafter for as long as it wishes to continue to participate</w:t>
            </w:r>
          </w:p>
        </w:tc>
      </w:tr>
      <w:tr w:rsidRPr="00C44615" w:rsidR="0057276A" w:rsidTr="00F051D4" w14:paraId="3D1874EF" w14:textId="77777777">
        <w:tc>
          <w:tcPr>
            <w:tcW w:w="1147" w:type="dxa"/>
          </w:tcPr>
          <w:p w:rsidRPr="00BE6A76" w:rsidR="0057276A" w:rsidP="00FF611F" w:rsidRDefault="0057276A" w14:paraId="40747F4E" w14:textId="77777777">
            <w:pPr>
              <w:pStyle w:val="BodyTextIndent"/>
              <w:spacing w:after="0"/>
              <w:ind w:left="0"/>
              <w:jc w:val="center"/>
              <w:rPr>
                <w:sz w:val="22"/>
              </w:rPr>
            </w:pPr>
            <w:r w:rsidRPr="406B5892">
              <w:rPr>
                <w:sz w:val="22"/>
              </w:rPr>
              <w:t>2</w:t>
            </w:r>
          </w:p>
        </w:tc>
        <w:tc>
          <w:tcPr>
            <w:tcW w:w="5314" w:type="dxa"/>
          </w:tcPr>
          <w:p w:rsidRPr="00BE6A76" w:rsidR="0057276A" w:rsidP="00FF611F" w:rsidRDefault="0057276A" w14:paraId="5044A1B6" w14:textId="77777777">
            <w:pPr>
              <w:pStyle w:val="BodyTextIndent"/>
              <w:spacing w:after="0"/>
              <w:ind w:left="0"/>
              <w:rPr>
                <w:sz w:val="22"/>
              </w:rPr>
            </w:pPr>
            <w:r w:rsidRPr="00BE6A76">
              <w:rPr>
                <w:sz w:val="22"/>
              </w:rPr>
              <w:t>Application to EPA from</w:t>
            </w:r>
            <w:r>
              <w:rPr>
                <w:sz w:val="22"/>
              </w:rPr>
              <w:t xml:space="preserve"> a laboratory AB</w:t>
            </w:r>
          </w:p>
        </w:tc>
        <w:tc>
          <w:tcPr>
            <w:tcW w:w="3231" w:type="dxa"/>
          </w:tcPr>
          <w:p w:rsidRPr="00BE6A76" w:rsidR="0057276A" w:rsidP="00FF611F" w:rsidRDefault="0057276A" w14:paraId="73FC9CCE" w14:textId="77777777">
            <w:pPr>
              <w:pStyle w:val="BodyTextIndent"/>
              <w:spacing w:after="0"/>
              <w:ind w:left="0"/>
              <w:rPr>
                <w:sz w:val="22"/>
              </w:rPr>
            </w:pPr>
            <w:r w:rsidRPr="00BE6A76">
              <w:rPr>
                <w:sz w:val="22"/>
              </w:rPr>
              <w:t>Wh</w:t>
            </w:r>
            <w:r>
              <w:rPr>
                <w:sz w:val="22"/>
              </w:rPr>
              <w:t>en laboratory AB</w:t>
            </w:r>
            <w:r w:rsidRPr="00BE6A76">
              <w:rPr>
                <w:sz w:val="22"/>
              </w:rPr>
              <w:t xml:space="preserve"> wishes to participate in the program and every three years thereafter for as long as it wishes to continue to participate</w:t>
            </w:r>
          </w:p>
        </w:tc>
      </w:tr>
      <w:tr w:rsidRPr="00C44615" w:rsidR="0057276A" w:rsidTr="00F051D4" w14:paraId="143C69C1" w14:textId="77777777">
        <w:tc>
          <w:tcPr>
            <w:tcW w:w="1147" w:type="dxa"/>
          </w:tcPr>
          <w:p w:rsidRPr="00BE6A76" w:rsidR="0057276A" w:rsidP="00FF611F" w:rsidRDefault="0057276A" w14:paraId="6E4AD674" w14:textId="77777777">
            <w:pPr>
              <w:pStyle w:val="BodyTextIndent"/>
              <w:spacing w:after="0"/>
              <w:ind w:left="0"/>
              <w:jc w:val="center"/>
              <w:rPr>
                <w:sz w:val="22"/>
              </w:rPr>
            </w:pPr>
            <w:r w:rsidRPr="406B5892">
              <w:rPr>
                <w:sz w:val="22"/>
              </w:rPr>
              <w:t>3</w:t>
            </w:r>
          </w:p>
        </w:tc>
        <w:tc>
          <w:tcPr>
            <w:tcW w:w="5314" w:type="dxa"/>
          </w:tcPr>
          <w:p w:rsidRPr="00BE6A76" w:rsidR="0057276A" w:rsidP="00FF611F" w:rsidRDefault="0057276A" w14:paraId="481213FB" w14:textId="77777777">
            <w:pPr>
              <w:pStyle w:val="BodyTextIndent"/>
              <w:spacing w:after="0"/>
              <w:ind w:left="0"/>
              <w:rPr>
                <w:sz w:val="22"/>
              </w:rPr>
            </w:pPr>
            <w:r w:rsidRPr="00BE6A76">
              <w:rPr>
                <w:sz w:val="22"/>
              </w:rPr>
              <w:t>Annual report to EPA from a</w:t>
            </w:r>
            <w:r>
              <w:rPr>
                <w:sz w:val="22"/>
              </w:rPr>
              <w:t>n EPA-recognized</w:t>
            </w:r>
            <w:r w:rsidRPr="00BE6A76">
              <w:rPr>
                <w:sz w:val="22"/>
              </w:rPr>
              <w:t xml:space="preserve"> </w:t>
            </w:r>
            <w:r>
              <w:rPr>
                <w:sz w:val="22"/>
              </w:rPr>
              <w:t>p</w:t>
            </w:r>
            <w:r w:rsidRPr="00BE6A76">
              <w:rPr>
                <w:sz w:val="22"/>
              </w:rPr>
              <w:t xml:space="preserve">roduct </w:t>
            </w:r>
            <w:r>
              <w:rPr>
                <w:sz w:val="22"/>
              </w:rPr>
              <w:t>AB</w:t>
            </w:r>
          </w:p>
        </w:tc>
        <w:tc>
          <w:tcPr>
            <w:tcW w:w="3231" w:type="dxa"/>
          </w:tcPr>
          <w:p w:rsidRPr="00BE6A76" w:rsidR="0057276A" w:rsidP="00FF611F" w:rsidRDefault="0057276A" w14:paraId="78955720" w14:textId="77777777">
            <w:pPr>
              <w:pStyle w:val="BodyTextIndent"/>
              <w:spacing w:after="0"/>
              <w:ind w:left="0"/>
              <w:rPr>
                <w:sz w:val="22"/>
              </w:rPr>
            </w:pPr>
            <w:r w:rsidRPr="00BE6A76">
              <w:rPr>
                <w:sz w:val="22"/>
              </w:rPr>
              <w:t xml:space="preserve">Annually, </w:t>
            </w:r>
            <w:r>
              <w:rPr>
                <w:sz w:val="22"/>
              </w:rPr>
              <w:t>on or before March 1</w:t>
            </w:r>
            <w:r w:rsidRPr="000712C8">
              <w:rPr>
                <w:sz w:val="22"/>
                <w:vertAlign w:val="superscript"/>
              </w:rPr>
              <w:t>st</w:t>
            </w:r>
            <w:r>
              <w:rPr>
                <w:sz w:val="22"/>
              </w:rPr>
              <w:t xml:space="preserve"> each year</w:t>
            </w:r>
          </w:p>
        </w:tc>
      </w:tr>
      <w:tr w:rsidRPr="00C44615" w:rsidR="0057276A" w:rsidTr="00F051D4" w14:paraId="20A2BD64" w14:textId="77777777">
        <w:tc>
          <w:tcPr>
            <w:tcW w:w="1147" w:type="dxa"/>
          </w:tcPr>
          <w:p w:rsidRPr="00BE6A76" w:rsidR="0057276A" w:rsidP="00FF611F" w:rsidRDefault="0057276A" w14:paraId="6CB1BFCB" w14:textId="77777777">
            <w:pPr>
              <w:pStyle w:val="BodyTextIndent"/>
              <w:spacing w:after="0"/>
              <w:ind w:left="0"/>
              <w:jc w:val="center"/>
              <w:rPr>
                <w:sz w:val="22"/>
              </w:rPr>
            </w:pPr>
            <w:r w:rsidRPr="406B5892">
              <w:rPr>
                <w:sz w:val="22"/>
              </w:rPr>
              <w:t>4</w:t>
            </w:r>
          </w:p>
        </w:tc>
        <w:tc>
          <w:tcPr>
            <w:tcW w:w="5314" w:type="dxa"/>
          </w:tcPr>
          <w:p w:rsidRPr="00BE6A76" w:rsidR="0057276A" w:rsidP="00FF611F" w:rsidRDefault="0057276A" w14:paraId="7A17AECD" w14:textId="77777777">
            <w:pPr>
              <w:pStyle w:val="BodyTextIndent"/>
              <w:spacing w:after="0"/>
              <w:ind w:left="0"/>
              <w:rPr>
                <w:sz w:val="22"/>
              </w:rPr>
            </w:pPr>
            <w:r w:rsidRPr="00BE6A76">
              <w:rPr>
                <w:sz w:val="22"/>
              </w:rPr>
              <w:t>Annual report to EPA from a</w:t>
            </w:r>
            <w:r>
              <w:rPr>
                <w:sz w:val="22"/>
              </w:rPr>
              <w:t>n EPA-recognized</w:t>
            </w:r>
            <w:r w:rsidRPr="00BE6A76">
              <w:rPr>
                <w:sz w:val="22"/>
              </w:rPr>
              <w:t xml:space="preserve"> </w:t>
            </w:r>
            <w:r>
              <w:rPr>
                <w:sz w:val="22"/>
              </w:rPr>
              <w:t>l</w:t>
            </w:r>
            <w:r w:rsidRPr="00BE6A76">
              <w:rPr>
                <w:sz w:val="22"/>
              </w:rPr>
              <w:t xml:space="preserve">aboratory </w:t>
            </w:r>
            <w:r>
              <w:rPr>
                <w:sz w:val="22"/>
              </w:rPr>
              <w:t>AB</w:t>
            </w:r>
          </w:p>
        </w:tc>
        <w:tc>
          <w:tcPr>
            <w:tcW w:w="3231" w:type="dxa"/>
          </w:tcPr>
          <w:p w:rsidRPr="00BE6A76" w:rsidR="0057276A" w:rsidP="00FF611F" w:rsidRDefault="0057276A" w14:paraId="7999E994" w14:textId="77777777">
            <w:pPr>
              <w:pStyle w:val="BodyTextIndent"/>
              <w:spacing w:after="0"/>
              <w:ind w:left="0"/>
              <w:rPr>
                <w:sz w:val="22"/>
              </w:rPr>
            </w:pPr>
            <w:r w:rsidRPr="00BE6A76">
              <w:rPr>
                <w:sz w:val="22"/>
              </w:rPr>
              <w:t xml:space="preserve">Annually, </w:t>
            </w:r>
            <w:r>
              <w:rPr>
                <w:sz w:val="22"/>
              </w:rPr>
              <w:t>on or before March 1</w:t>
            </w:r>
            <w:r w:rsidRPr="00D85C4F">
              <w:rPr>
                <w:sz w:val="22"/>
                <w:vertAlign w:val="superscript"/>
              </w:rPr>
              <w:t>st</w:t>
            </w:r>
            <w:r>
              <w:rPr>
                <w:sz w:val="22"/>
              </w:rPr>
              <w:t xml:space="preserve"> each year</w:t>
            </w:r>
          </w:p>
        </w:tc>
      </w:tr>
      <w:tr w:rsidRPr="00C44615" w:rsidR="0057276A" w:rsidTr="00F051D4" w14:paraId="717E5919" w14:textId="77777777">
        <w:trPr>
          <w:cantSplit/>
        </w:trPr>
        <w:tc>
          <w:tcPr>
            <w:tcW w:w="1147" w:type="dxa"/>
          </w:tcPr>
          <w:p w:rsidRPr="00BE6A76" w:rsidR="0057276A" w:rsidP="00FF611F" w:rsidRDefault="0057276A" w14:paraId="1E486B17" w14:textId="77777777">
            <w:pPr>
              <w:pStyle w:val="BodyTextIndent"/>
              <w:spacing w:after="0"/>
              <w:ind w:left="0"/>
              <w:jc w:val="center"/>
              <w:rPr>
                <w:sz w:val="22"/>
              </w:rPr>
            </w:pPr>
            <w:r w:rsidRPr="406B5892">
              <w:rPr>
                <w:sz w:val="22"/>
              </w:rPr>
              <w:t>5</w:t>
            </w:r>
          </w:p>
        </w:tc>
        <w:tc>
          <w:tcPr>
            <w:tcW w:w="5314" w:type="dxa"/>
          </w:tcPr>
          <w:p w:rsidRPr="00BE6A76" w:rsidR="0057276A" w:rsidP="00FF611F" w:rsidRDefault="0057276A" w14:paraId="5B4108F3" w14:textId="77777777">
            <w:pPr>
              <w:pStyle w:val="BodyTextIndent"/>
              <w:spacing w:after="0"/>
              <w:ind w:left="0"/>
              <w:rPr>
                <w:sz w:val="22"/>
              </w:rPr>
            </w:pPr>
            <w:r w:rsidRPr="406B5892">
              <w:rPr>
                <w:sz w:val="22"/>
              </w:rPr>
              <w:t>EPA-recognized product ABs must provide notification of the loss of its status as a signatory to the ILAC MRA, or loss of membership in one of the ILAC recognized regional accreditation cooperations, or an equivalent organization as determined by EPA</w:t>
            </w:r>
          </w:p>
        </w:tc>
        <w:tc>
          <w:tcPr>
            <w:tcW w:w="3231" w:type="dxa"/>
          </w:tcPr>
          <w:p w:rsidRPr="00BE6A76" w:rsidR="0057276A" w:rsidP="00FF611F" w:rsidRDefault="0057276A" w14:paraId="690149F0" w14:textId="77777777">
            <w:pPr>
              <w:pStyle w:val="BodyTextIndent"/>
              <w:spacing w:after="0"/>
              <w:ind w:left="0"/>
              <w:rPr>
                <w:sz w:val="22"/>
              </w:rPr>
            </w:pPr>
            <w:r w:rsidRPr="00BE6A76">
              <w:rPr>
                <w:sz w:val="22"/>
              </w:rPr>
              <w:t>Within 5</w:t>
            </w:r>
            <w:r>
              <w:rPr>
                <w:sz w:val="22"/>
              </w:rPr>
              <w:t xml:space="preserve"> calendar</w:t>
            </w:r>
            <w:r w:rsidRPr="00BE6A76">
              <w:rPr>
                <w:sz w:val="22"/>
              </w:rPr>
              <w:t xml:space="preserve"> days of being informed of loss of status</w:t>
            </w:r>
          </w:p>
        </w:tc>
      </w:tr>
      <w:tr w:rsidRPr="00C44615" w:rsidR="0057276A" w:rsidTr="00F051D4" w14:paraId="077E4370" w14:textId="77777777">
        <w:tc>
          <w:tcPr>
            <w:tcW w:w="1147" w:type="dxa"/>
          </w:tcPr>
          <w:p w:rsidRPr="00BE6A76" w:rsidR="0057276A" w:rsidP="00FF611F" w:rsidRDefault="0057276A" w14:paraId="172CF6EA" w14:textId="77777777">
            <w:pPr>
              <w:pStyle w:val="BodyTextIndent"/>
              <w:spacing w:after="0"/>
              <w:ind w:left="0"/>
              <w:jc w:val="center"/>
              <w:rPr>
                <w:sz w:val="22"/>
              </w:rPr>
            </w:pPr>
            <w:r w:rsidRPr="406B5892">
              <w:rPr>
                <w:sz w:val="22"/>
              </w:rPr>
              <w:t>6</w:t>
            </w:r>
          </w:p>
        </w:tc>
        <w:tc>
          <w:tcPr>
            <w:tcW w:w="5314" w:type="dxa"/>
          </w:tcPr>
          <w:p w:rsidRPr="00E4572A" w:rsidR="0057276A" w:rsidP="00FF611F" w:rsidRDefault="0057276A" w14:paraId="330938F7" w14:textId="77777777">
            <w:pPr>
              <w:pStyle w:val="BodyTextIndent"/>
              <w:spacing w:after="0"/>
              <w:ind w:left="0"/>
              <w:rPr>
                <w:sz w:val="22"/>
              </w:rPr>
            </w:pPr>
            <w:r w:rsidRPr="406B5892">
              <w:rPr>
                <w:sz w:val="22"/>
              </w:rPr>
              <w:t>EPA-recognized laboratory AB must provide notification of the loss of its status as a signatory to the IAF MLA, or loss of membership in one of the IAF recognized regional accreditation cooperations, or an equivalent organization as determined by EPA</w:t>
            </w:r>
          </w:p>
        </w:tc>
        <w:tc>
          <w:tcPr>
            <w:tcW w:w="3231" w:type="dxa"/>
          </w:tcPr>
          <w:p w:rsidRPr="00BE6A76" w:rsidR="0057276A" w:rsidP="00FF611F" w:rsidRDefault="0057276A" w14:paraId="03DB19ED" w14:textId="77777777">
            <w:pPr>
              <w:pStyle w:val="BodyTextIndent"/>
              <w:spacing w:after="0"/>
              <w:ind w:left="0"/>
              <w:rPr>
                <w:sz w:val="22"/>
              </w:rPr>
            </w:pPr>
            <w:r w:rsidRPr="00BE6A76">
              <w:rPr>
                <w:sz w:val="22"/>
              </w:rPr>
              <w:t xml:space="preserve">Within 5 </w:t>
            </w:r>
            <w:r>
              <w:rPr>
                <w:sz w:val="22"/>
              </w:rPr>
              <w:t>calendar</w:t>
            </w:r>
            <w:r w:rsidRPr="00BE6A76">
              <w:rPr>
                <w:sz w:val="22"/>
              </w:rPr>
              <w:t xml:space="preserve"> days of being informed of loss of status</w:t>
            </w:r>
          </w:p>
        </w:tc>
      </w:tr>
      <w:tr w:rsidRPr="00C44615" w:rsidR="0057276A" w:rsidTr="00F051D4" w14:paraId="0A7954B2" w14:textId="77777777">
        <w:tc>
          <w:tcPr>
            <w:tcW w:w="1147" w:type="dxa"/>
          </w:tcPr>
          <w:p w:rsidRPr="00BE6A76" w:rsidR="0057276A" w:rsidP="00FF611F" w:rsidRDefault="0057276A" w14:paraId="11EDC4DB" w14:textId="77777777">
            <w:pPr>
              <w:pStyle w:val="BodyTextIndent"/>
              <w:spacing w:after="0"/>
              <w:ind w:left="0"/>
              <w:jc w:val="center"/>
              <w:rPr>
                <w:sz w:val="22"/>
              </w:rPr>
            </w:pPr>
            <w:r w:rsidRPr="406B5892">
              <w:rPr>
                <w:sz w:val="22"/>
              </w:rPr>
              <w:t>7</w:t>
            </w:r>
          </w:p>
        </w:tc>
        <w:tc>
          <w:tcPr>
            <w:tcW w:w="5314" w:type="dxa"/>
          </w:tcPr>
          <w:p w:rsidRPr="00BE6A76" w:rsidR="0057276A" w:rsidP="00FF611F" w:rsidRDefault="0057276A" w14:paraId="69A5BCA1" w14:textId="77777777">
            <w:pPr>
              <w:pStyle w:val="BodyTextIndent"/>
              <w:spacing w:after="0"/>
              <w:ind w:left="0"/>
              <w:rPr>
                <w:sz w:val="22"/>
              </w:rPr>
            </w:pPr>
            <w:r w:rsidRPr="00BE6A76">
              <w:rPr>
                <w:sz w:val="22"/>
              </w:rPr>
              <w:t>A</w:t>
            </w:r>
            <w:r>
              <w:rPr>
                <w:sz w:val="22"/>
              </w:rPr>
              <w:t>n EPA-recognized</w:t>
            </w:r>
            <w:r>
              <w:t xml:space="preserve"> </w:t>
            </w:r>
            <w:r>
              <w:rPr>
                <w:sz w:val="22"/>
              </w:rPr>
              <w:t>AB</w:t>
            </w:r>
            <w:r w:rsidRPr="00BE6A76">
              <w:rPr>
                <w:sz w:val="22"/>
              </w:rPr>
              <w:t xml:space="preserve"> must submit notice that </w:t>
            </w:r>
            <w:proofErr w:type="gramStart"/>
            <w:r w:rsidRPr="00BE6A76">
              <w:rPr>
                <w:sz w:val="22"/>
              </w:rPr>
              <w:t>a</w:t>
            </w:r>
            <w:proofErr w:type="gramEnd"/>
            <w:r w:rsidRPr="00BE6A76">
              <w:rPr>
                <w:sz w:val="22"/>
              </w:rPr>
              <w:t xml:space="preserve"> </w:t>
            </w:r>
            <w:r>
              <w:rPr>
                <w:sz w:val="22"/>
              </w:rPr>
              <w:t>EPA-recognized TPC</w:t>
            </w:r>
            <w:r w:rsidRPr="00BE6A76">
              <w:rPr>
                <w:sz w:val="22"/>
              </w:rPr>
              <w:t xml:space="preserve"> has failed to comply with any provision of the regulation</w:t>
            </w:r>
          </w:p>
        </w:tc>
        <w:tc>
          <w:tcPr>
            <w:tcW w:w="3231" w:type="dxa"/>
          </w:tcPr>
          <w:p w:rsidRPr="00BE6A76" w:rsidR="0057276A" w:rsidP="00FF611F" w:rsidRDefault="0057276A" w14:paraId="164259BD" w14:textId="77777777">
            <w:pPr>
              <w:pStyle w:val="BodyTextIndent"/>
              <w:spacing w:after="0"/>
              <w:ind w:left="0"/>
              <w:rPr>
                <w:sz w:val="22"/>
              </w:rPr>
            </w:pPr>
            <w:r w:rsidRPr="00BE6A76">
              <w:rPr>
                <w:sz w:val="22"/>
              </w:rPr>
              <w:t xml:space="preserve">Within </w:t>
            </w:r>
            <w:r>
              <w:rPr>
                <w:sz w:val="22"/>
              </w:rPr>
              <w:t>72</w:t>
            </w:r>
            <w:r w:rsidRPr="00BE6A76">
              <w:rPr>
                <w:sz w:val="22"/>
              </w:rPr>
              <w:t xml:space="preserve"> hours of</w:t>
            </w:r>
            <w:r>
              <w:rPr>
                <w:sz w:val="22"/>
              </w:rPr>
              <w:t xml:space="preserve"> the time the AB</w:t>
            </w:r>
            <w:r w:rsidRPr="00BE6A76">
              <w:rPr>
                <w:sz w:val="22"/>
              </w:rPr>
              <w:t xml:space="preserve"> identifies the </w:t>
            </w:r>
            <w:r>
              <w:rPr>
                <w:sz w:val="22"/>
              </w:rPr>
              <w:t>deficiency</w:t>
            </w:r>
          </w:p>
        </w:tc>
      </w:tr>
      <w:tr w:rsidRPr="00C44615" w:rsidR="0057276A" w:rsidTr="00F051D4" w14:paraId="1F58F87F" w14:textId="77777777">
        <w:tc>
          <w:tcPr>
            <w:tcW w:w="1147" w:type="dxa"/>
          </w:tcPr>
          <w:p w:rsidRPr="00BE6A76" w:rsidR="0057276A" w:rsidP="00FF611F" w:rsidRDefault="0057276A" w14:paraId="6BB2EA82" w14:textId="77777777">
            <w:pPr>
              <w:pStyle w:val="BodyTextIndent"/>
              <w:spacing w:after="0"/>
              <w:ind w:left="0"/>
              <w:jc w:val="center"/>
              <w:rPr>
                <w:sz w:val="22"/>
              </w:rPr>
            </w:pPr>
            <w:r w:rsidRPr="406B5892">
              <w:rPr>
                <w:sz w:val="22"/>
              </w:rPr>
              <w:t>8</w:t>
            </w:r>
          </w:p>
        </w:tc>
        <w:tc>
          <w:tcPr>
            <w:tcW w:w="5314" w:type="dxa"/>
          </w:tcPr>
          <w:p w:rsidRPr="00BE6A76" w:rsidR="0057276A" w:rsidP="00FF611F" w:rsidRDefault="0057276A" w14:paraId="49DB5FC2" w14:textId="77777777">
            <w:pPr>
              <w:pStyle w:val="BodyTextIndent"/>
              <w:spacing w:after="0"/>
              <w:ind w:left="0"/>
              <w:rPr>
                <w:sz w:val="22"/>
              </w:rPr>
            </w:pPr>
            <w:r w:rsidRPr="00BE6A76">
              <w:rPr>
                <w:sz w:val="22"/>
              </w:rPr>
              <w:t>A</w:t>
            </w:r>
            <w:r>
              <w:rPr>
                <w:sz w:val="22"/>
              </w:rPr>
              <w:t>n EPA-recognized</w:t>
            </w:r>
            <w:r>
              <w:t xml:space="preserve"> </w:t>
            </w:r>
            <w:r>
              <w:rPr>
                <w:sz w:val="22"/>
              </w:rPr>
              <w:t>AB</w:t>
            </w:r>
            <w:r w:rsidRPr="00BE6A76">
              <w:rPr>
                <w:sz w:val="22"/>
              </w:rPr>
              <w:t xml:space="preserve"> must submit notice when it </w:t>
            </w:r>
            <w:r>
              <w:rPr>
                <w:bCs/>
              </w:rPr>
              <w:t>suspends, reduces or withdraws</w:t>
            </w:r>
            <w:r w:rsidRPr="00BE6A76" w:rsidDel="003422BC">
              <w:rPr>
                <w:sz w:val="22"/>
              </w:rPr>
              <w:t xml:space="preserve"> </w:t>
            </w:r>
            <w:r w:rsidRPr="00BE6A76">
              <w:rPr>
                <w:sz w:val="22"/>
              </w:rPr>
              <w:t xml:space="preserve">a </w:t>
            </w:r>
            <w:r>
              <w:rPr>
                <w:sz w:val="22"/>
              </w:rPr>
              <w:t>TPC</w:t>
            </w:r>
            <w:r w:rsidRPr="00BE6A76">
              <w:rPr>
                <w:sz w:val="22"/>
              </w:rPr>
              <w:t>’s accreditation</w:t>
            </w:r>
          </w:p>
        </w:tc>
        <w:tc>
          <w:tcPr>
            <w:tcW w:w="3231" w:type="dxa"/>
          </w:tcPr>
          <w:p w:rsidRPr="00BE6A76" w:rsidR="0057276A" w:rsidP="00FF611F" w:rsidRDefault="0057276A" w14:paraId="7FF569EB" w14:textId="77777777">
            <w:pPr>
              <w:rPr>
                <w:sz w:val="22"/>
              </w:rPr>
            </w:pPr>
            <w:r w:rsidRPr="00BE6A76">
              <w:rPr>
                <w:sz w:val="22"/>
              </w:rPr>
              <w:t xml:space="preserve">Within </w:t>
            </w:r>
            <w:r>
              <w:rPr>
                <w:sz w:val="22"/>
              </w:rPr>
              <w:t>72</w:t>
            </w:r>
            <w:r w:rsidRPr="00BE6A76">
              <w:rPr>
                <w:sz w:val="22"/>
              </w:rPr>
              <w:t xml:space="preserve"> hours </w:t>
            </w:r>
            <w:r>
              <w:rPr>
                <w:sz w:val="22"/>
              </w:rPr>
              <w:t xml:space="preserve">of the time that the suspension, reduction or withdrawal </w:t>
            </w:r>
            <w:r w:rsidRPr="00BE6A76">
              <w:rPr>
                <w:sz w:val="22"/>
              </w:rPr>
              <w:t>takes effect</w:t>
            </w:r>
          </w:p>
          <w:p w:rsidRPr="00BE6A76" w:rsidR="0057276A" w:rsidP="00FF611F" w:rsidRDefault="0057276A" w14:paraId="04ED516A" w14:textId="77777777">
            <w:pPr>
              <w:pStyle w:val="BodyTextIndent"/>
              <w:spacing w:after="0"/>
              <w:rPr>
                <w:sz w:val="22"/>
              </w:rPr>
            </w:pPr>
          </w:p>
        </w:tc>
      </w:tr>
      <w:tr w:rsidRPr="00C44615" w:rsidR="0057276A" w:rsidTr="00F051D4" w14:paraId="65BD5AC6" w14:textId="77777777">
        <w:tc>
          <w:tcPr>
            <w:tcW w:w="1147" w:type="dxa"/>
            <w:shd w:val="clear" w:color="auto" w:fill="auto"/>
          </w:tcPr>
          <w:p w:rsidRPr="00BE6A76" w:rsidR="0057276A" w:rsidP="00FF611F" w:rsidRDefault="0057276A" w14:paraId="3341E153" w14:textId="77777777">
            <w:pPr>
              <w:pStyle w:val="BodyTextIndent"/>
              <w:spacing w:after="0"/>
              <w:ind w:left="0"/>
              <w:jc w:val="center"/>
              <w:rPr>
                <w:sz w:val="22"/>
              </w:rPr>
            </w:pPr>
            <w:r w:rsidRPr="406B5892">
              <w:rPr>
                <w:sz w:val="22"/>
              </w:rPr>
              <w:lastRenderedPageBreak/>
              <w:t>9</w:t>
            </w:r>
          </w:p>
        </w:tc>
        <w:tc>
          <w:tcPr>
            <w:tcW w:w="5314" w:type="dxa"/>
            <w:shd w:val="clear" w:color="auto" w:fill="auto"/>
          </w:tcPr>
          <w:p w:rsidRPr="00BE6A76" w:rsidR="0057276A" w:rsidP="00FF611F" w:rsidRDefault="0057276A" w14:paraId="016E080B" w14:textId="77777777">
            <w:pPr>
              <w:pStyle w:val="BodyTextIndent"/>
              <w:spacing w:after="0"/>
              <w:ind w:left="0"/>
              <w:rPr>
                <w:sz w:val="22"/>
              </w:rPr>
            </w:pPr>
            <w:r w:rsidRPr="00BE6A76">
              <w:rPr>
                <w:sz w:val="22"/>
              </w:rPr>
              <w:t xml:space="preserve">A </w:t>
            </w:r>
            <w:r>
              <w:rPr>
                <w:sz w:val="22"/>
              </w:rPr>
              <w:t>TPC</w:t>
            </w:r>
            <w:r w:rsidRPr="00BE6A76">
              <w:rPr>
                <w:sz w:val="22"/>
              </w:rPr>
              <w:t xml:space="preserve"> that wishes to participate in the program must submit an application for </w:t>
            </w:r>
            <w:r>
              <w:rPr>
                <w:sz w:val="22"/>
              </w:rPr>
              <w:t>EPA recognition</w:t>
            </w:r>
          </w:p>
        </w:tc>
        <w:tc>
          <w:tcPr>
            <w:tcW w:w="3231" w:type="dxa"/>
            <w:shd w:val="clear" w:color="auto" w:fill="auto"/>
          </w:tcPr>
          <w:p w:rsidRPr="00BE6A76" w:rsidR="0057276A" w:rsidP="00FF611F" w:rsidRDefault="0057276A" w14:paraId="75374E22" w14:textId="77777777">
            <w:pPr>
              <w:pStyle w:val="BodyTextIndent"/>
              <w:spacing w:after="0"/>
              <w:ind w:left="0"/>
              <w:rPr>
                <w:sz w:val="22"/>
              </w:rPr>
            </w:pPr>
            <w:r w:rsidRPr="00BE6A76">
              <w:rPr>
                <w:sz w:val="22"/>
              </w:rPr>
              <w:t xml:space="preserve">When it desires to become </w:t>
            </w:r>
            <w:r>
              <w:rPr>
                <w:sz w:val="22"/>
              </w:rPr>
              <w:t>recognized to perform</w:t>
            </w:r>
            <w:r w:rsidRPr="00BE6A76">
              <w:rPr>
                <w:sz w:val="22"/>
              </w:rPr>
              <w:t xml:space="preserve"> TSCA Title VI certification services, and every two years thereafter for as long as it desires to continue providing TSCA Title VI certification services</w:t>
            </w:r>
          </w:p>
        </w:tc>
      </w:tr>
      <w:tr w:rsidRPr="00C44615" w:rsidR="0057276A" w:rsidTr="00F051D4" w14:paraId="798D28A3" w14:textId="77777777">
        <w:tc>
          <w:tcPr>
            <w:tcW w:w="1147" w:type="dxa"/>
          </w:tcPr>
          <w:p w:rsidRPr="00BE6A76" w:rsidR="0057276A" w:rsidP="00FF611F" w:rsidRDefault="0057276A" w14:paraId="2C503D04" w14:textId="77777777">
            <w:pPr>
              <w:pStyle w:val="BodyTextIndent"/>
              <w:spacing w:after="0"/>
              <w:ind w:left="0"/>
              <w:jc w:val="center"/>
              <w:rPr>
                <w:sz w:val="22"/>
              </w:rPr>
            </w:pPr>
            <w:r w:rsidRPr="406B5892">
              <w:rPr>
                <w:sz w:val="22"/>
              </w:rPr>
              <w:t>10</w:t>
            </w:r>
          </w:p>
        </w:tc>
        <w:tc>
          <w:tcPr>
            <w:tcW w:w="5314" w:type="dxa"/>
          </w:tcPr>
          <w:p w:rsidRPr="00BE6A76" w:rsidR="0057276A" w:rsidP="00FF611F" w:rsidRDefault="0057276A" w14:paraId="1D418930" w14:textId="77777777">
            <w:pPr>
              <w:pStyle w:val="BodyTextIndent"/>
              <w:spacing w:after="0"/>
              <w:ind w:left="0"/>
              <w:rPr>
                <w:sz w:val="22"/>
              </w:rPr>
            </w:pPr>
            <w:r w:rsidRPr="00BE6A76">
              <w:rPr>
                <w:sz w:val="22"/>
              </w:rPr>
              <w:t xml:space="preserve">An </w:t>
            </w:r>
            <w:r>
              <w:rPr>
                <w:sz w:val="22"/>
              </w:rPr>
              <w:t>EPA-recognized TPC</w:t>
            </w:r>
            <w:r w:rsidRPr="00BE6A76">
              <w:rPr>
                <w:sz w:val="22"/>
              </w:rPr>
              <w:t xml:space="preserve"> must supply the following records to EPA: </w:t>
            </w:r>
            <w:r>
              <w:rPr>
                <w:sz w:val="22"/>
              </w:rPr>
              <w:t>1)</w:t>
            </w:r>
            <w:r w:rsidRPr="00B750AC">
              <w:rPr>
                <w:sz w:val="22"/>
              </w:rPr>
              <w:t xml:space="preserve">A list of panel producers and their respective products and product types, including type of resin systems used, that the </w:t>
            </w:r>
            <w:r>
              <w:rPr>
                <w:sz w:val="22"/>
              </w:rPr>
              <w:t>EPA-recognized</w:t>
            </w:r>
            <w:r w:rsidRPr="00B750AC">
              <w:rPr>
                <w:sz w:val="22"/>
              </w:rPr>
              <w:t xml:space="preserve"> TPC has certified;</w:t>
            </w:r>
            <w:r>
              <w:rPr>
                <w:sz w:val="22"/>
              </w:rPr>
              <w:t xml:space="preserve"> 2)</w:t>
            </w:r>
            <w:r w:rsidRPr="00B750AC">
              <w:rPr>
                <w:sz w:val="22"/>
              </w:rPr>
              <w:t xml:space="preserve"> Results of inspections and formaldehyde emissions tests conducted for and linked to each</w:t>
            </w:r>
            <w:r>
              <w:rPr>
                <w:sz w:val="22"/>
              </w:rPr>
              <w:t xml:space="preserve"> panel producer and product type; 3</w:t>
            </w:r>
            <w:r w:rsidRPr="00B750AC">
              <w:rPr>
                <w:sz w:val="22"/>
              </w:rPr>
              <w:t xml:space="preserve">) A list of laboratories used by the </w:t>
            </w:r>
            <w:r>
              <w:rPr>
                <w:sz w:val="22"/>
              </w:rPr>
              <w:t>EPA-recognized</w:t>
            </w:r>
            <w:r w:rsidRPr="00B750AC">
              <w:rPr>
                <w:sz w:val="22"/>
              </w:rPr>
              <w:t xml:space="preserve"> TPC, as well as all test methods used, including test conditions and conditioning t</w:t>
            </w:r>
            <w:r>
              <w:rPr>
                <w:sz w:val="22"/>
              </w:rPr>
              <w:t>ime, and quarterly test results; 4</w:t>
            </w:r>
            <w:r w:rsidRPr="00B750AC">
              <w:rPr>
                <w:sz w:val="22"/>
              </w:rPr>
              <w:t>) Methods and results for establishing test meth</w:t>
            </w:r>
            <w:r>
              <w:rPr>
                <w:sz w:val="22"/>
              </w:rPr>
              <w:t>od correlations and equivalence; 5</w:t>
            </w:r>
            <w:r w:rsidRPr="00B750AC">
              <w:rPr>
                <w:sz w:val="22"/>
              </w:rPr>
              <w:t>) Documentation for NAF or ULEF third-party certification exemptions or ULEF reduced testing approvals, including the name of the panel producer, facility, products approved, type of resin sys</w:t>
            </w:r>
            <w:r>
              <w:rPr>
                <w:sz w:val="22"/>
              </w:rPr>
              <w:t>tems used and dates of approval; 6</w:t>
            </w:r>
            <w:r w:rsidRPr="00B750AC">
              <w:rPr>
                <w:sz w:val="22"/>
              </w:rPr>
              <w:t>) Documentation of reduced testing approval for panel producers of medium-density fiberboard or particleboard, including the name of the panel producer, products approved and dates of approval; and</w:t>
            </w:r>
            <w:r>
              <w:rPr>
                <w:sz w:val="22"/>
              </w:rPr>
              <w:t xml:space="preserve"> 7</w:t>
            </w:r>
            <w:r w:rsidRPr="00B750AC">
              <w:rPr>
                <w:sz w:val="22"/>
              </w:rPr>
              <w:t xml:space="preserve">) A copy of the most recent assessment, reassessment, and/or surveillance on-site assessment report provided by its </w:t>
            </w:r>
            <w:r>
              <w:rPr>
                <w:sz w:val="22"/>
              </w:rPr>
              <w:t>EPA-recognized</w:t>
            </w:r>
            <w:r w:rsidRPr="00B750AC">
              <w:rPr>
                <w:sz w:val="22"/>
              </w:rPr>
              <w:t xml:space="preserve"> ABs</w:t>
            </w:r>
          </w:p>
        </w:tc>
        <w:tc>
          <w:tcPr>
            <w:tcW w:w="3231" w:type="dxa"/>
          </w:tcPr>
          <w:p w:rsidRPr="00BE6A76" w:rsidR="0057276A" w:rsidP="00FF611F" w:rsidRDefault="0057276A" w14:paraId="7638BBE5" w14:textId="77777777">
            <w:pPr>
              <w:pStyle w:val="BodyTextIndent"/>
              <w:spacing w:after="0"/>
              <w:ind w:left="0"/>
              <w:rPr>
                <w:sz w:val="22"/>
              </w:rPr>
            </w:pPr>
            <w:r w:rsidRPr="00BE6A76">
              <w:rPr>
                <w:sz w:val="22"/>
              </w:rPr>
              <w:t xml:space="preserve">Within 30 </w:t>
            </w:r>
            <w:r>
              <w:rPr>
                <w:sz w:val="22"/>
              </w:rPr>
              <w:t xml:space="preserve">calendar </w:t>
            </w:r>
            <w:r w:rsidRPr="00BE6A76">
              <w:rPr>
                <w:sz w:val="22"/>
              </w:rPr>
              <w:t>days of request by EPA</w:t>
            </w:r>
          </w:p>
        </w:tc>
      </w:tr>
      <w:tr w:rsidRPr="00C44615" w:rsidR="0057276A" w:rsidTr="00F051D4" w14:paraId="73FDE41B" w14:textId="77777777">
        <w:tc>
          <w:tcPr>
            <w:tcW w:w="1147" w:type="dxa"/>
          </w:tcPr>
          <w:p w:rsidRPr="00BE6A76" w:rsidR="0057276A" w:rsidP="00FF611F" w:rsidRDefault="0057276A" w14:paraId="375CFD83" w14:textId="77777777">
            <w:pPr>
              <w:pStyle w:val="BodyTextIndent"/>
              <w:spacing w:after="0"/>
              <w:ind w:left="0"/>
              <w:jc w:val="center"/>
              <w:rPr>
                <w:sz w:val="22"/>
              </w:rPr>
            </w:pPr>
            <w:r w:rsidRPr="406B5892">
              <w:rPr>
                <w:sz w:val="22"/>
              </w:rPr>
              <w:t>11</w:t>
            </w:r>
          </w:p>
        </w:tc>
        <w:tc>
          <w:tcPr>
            <w:tcW w:w="5314" w:type="dxa"/>
          </w:tcPr>
          <w:p w:rsidRPr="00BE6A76" w:rsidR="0057276A" w:rsidP="00FF611F" w:rsidRDefault="0057276A" w14:paraId="268DC8F3" w14:textId="0F9B4186">
            <w:pPr>
              <w:rPr>
                <w:sz w:val="22"/>
              </w:rPr>
            </w:pPr>
            <w:r w:rsidRPr="00BE6A76">
              <w:rPr>
                <w:sz w:val="22"/>
              </w:rPr>
              <w:t>A</w:t>
            </w:r>
            <w:r>
              <w:rPr>
                <w:sz w:val="22"/>
              </w:rPr>
              <w:t>n EPA-recognized</w:t>
            </w:r>
            <w:r w:rsidRPr="00BE6A76">
              <w:rPr>
                <w:sz w:val="22"/>
              </w:rPr>
              <w:t xml:space="preserve"> </w:t>
            </w:r>
            <w:r>
              <w:rPr>
                <w:sz w:val="22"/>
              </w:rPr>
              <w:t>TPC</w:t>
            </w:r>
            <w:r w:rsidRPr="00BE6A76">
              <w:rPr>
                <w:sz w:val="22"/>
              </w:rPr>
              <w:t xml:space="preserve"> </w:t>
            </w:r>
            <w:r w:rsidR="00FD1AE6">
              <w:rPr>
                <w:sz w:val="22"/>
              </w:rPr>
              <w:t xml:space="preserve">must </w:t>
            </w:r>
            <w:r w:rsidRPr="00BE6A76">
              <w:rPr>
                <w:sz w:val="22"/>
              </w:rPr>
              <w:t xml:space="preserve">provide its </w:t>
            </w:r>
            <w:r>
              <w:rPr>
                <w:sz w:val="22"/>
              </w:rPr>
              <w:t>TPC</w:t>
            </w:r>
            <w:r w:rsidRPr="00BE6A76">
              <w:rPr>
                <w:sz w:val="22"/>
              </w:rPr>
              <w:t xml:space="preserve"> number to any panel producer receiving its TSCA Title VI certification services</w:t>
            </w:r>
          </w:p>
        </w:tc>
        <w:tc>
          <w:tcPr>
            <w:tcW w:w="3231" w:type="dxa"/>
          </w:tcPr>
          <w:p w:rsidRPr="00BE6A76" w:rsidR="0057276A" w:rsidP="00FF611F" w:rsidRDefault="0057276A" w14:paraId="2862DE7B" w14:textId="77777777">
            <w:pPr>
              <w:pStyle w:val="BodyTextIndent"/>
              <w:spacing w:after="0"/>
              <w:ind w:left="0"/>
              <w:rPr>
                <w:sz w:val="22"/>
              </w:rPr>
            </w:pPr>
            <w:r w:rsidRPr="00BE6A76">
              <w:rPr>
                <w:sz w:val="22"/>
              </w:rPr>
              <w:t>When a panel producer begins receiving its services</w:t>
            </w:r>
          </w:p>
        </w:tc>
      </w:tr>
      <w:tr w:rsidRPr="00C44615" w:rsidR="0057276A" w:rsidTr="00F051D4" w14:paraId="76504D90" w14:textId="77777777">
        <w:tc>
          <w:tcPr>
            <w:tcW w:w="1147" w:type="dxa"/>
          </w:tcPr>
          <w:p w:rsidRPr="00BE6A76" w:rsidR="0057276A" w:rsidP="00FF611F" w:rsidRDefault="0057276A" w14:paraId="6E24CE53" w14:textId="77777777">
            <w:pPr>
              <w:pStyle w:val="BodyTextIndent"/>
              <w:spacing w:after="0"/>
              <w:ind w:left="0"/>
              <w:jc w:val="center"/>
              <w:rPr>
                <w:sz w:val="22"/>
              </w:rPr>
            </w:pPr>
            <w:r w:rsidRPr="406B5892">
              <w:rPr>
                <w:sz w:val="22"/>
              </w:rPr>
              <w:t>12</w:t>
            </w:r>
          </w:p>
        </w:tc>
        <w:tc>
          <w:tcPr>
            <w:tcW w:w="5314" w:type="dxa"/>
          </w:tcPr>
          <w:p w:rsidRPr="00BE6A76" w:rsidR="0057276A" w:rsidP="00FF611F" w:rsidRDefault="0057276A" w14:paraId="150C435C" w14:textId="77777777">
            <w:pPr>
              <w:pStyle w:val="BodyTextIndent"/>
              <w:spacing w:after="0"/>
              <w:ind w:left="0"/>
              <w:rPr>
                <w:sz w:val="22"/>
              </w:rPr>
            </w:pPr>
            <w:r w:rsidRPr="00BE6A76">
              <w:rPr>
                <w:sz w:val="22"/>
              </w:rPr>
              <w:t>A</w:t>
            </w:r>
            <w:r>
              <w:rPr>
                <w:sz w:val="22"/>
              </w:rPr>
              <w:t>n</w:t>
            </w:r>
            <w:r w:rsidRPr="00BE6A76">
              <w:rPr>
                <w:sz w:val="22"/>
              </w:rPr>
              <w:t xml:space="preserve"> </w:t>
            </w:r>
            <w:r>
              <w:rPr>
                <w:sz w:val="22"/>
              </w:rPr>
              <w:t>EPA-recognized</w:t>
            </w:r>
            <w:r w:rsidRPr="00BE6A76">
              <w:rPr>
                <w:sz w:val="22"/>
              </w:rPr>
              <w:t xml:space="preserve"> </w:t>
            </w:r>
            <w:r>
              <w:rPr>
                <w:sz w:val="22"/>
              </w:rPr>
              <w:t>TPC</w:t>
            </w:r>
            <w:r w:rsidRPr="00BE6A76">
              <w:rPr>
                <w:sz w:val="22"/>
              </w:rPr>
              <w:t xml:space="preserve"> must submit an annual report to EPA on its TSCA Title VI certification activities</w:t>
            </w:r>
          </w:p>
        </w:tc>
        <w:tc>
          <w:tcPr>
            <w:tcW w:w="3231" w:type="dxa"/>
          </w:tcPr>
          <w:p w:rsidRPr="00BE6A76" w:rsidR="0057276A" w:rsidP="00FF611F" w:rsidRDefault="0057276A" w14:paraId="1280E7FB" w14:textId="77777777">
            <w:pPr>
              <w:pStyle w:val="BodyTextIndent"/>
              <w:spacing w:after="0"/>
              <w:ind w:left="0"/>
              <w:rPr>
                <w:sz w:val="22"/>
              </w:rPr>
            </w:pPr>
            <w:r w:rsidRPr="00BE6A76">
              <w:rPr>
                <w:sz w:val="22"/>
              </w:rPr>
              <w:t xml:space="preserve">Annual, </w:t>
            </w:r>
            <w:r>
              <w:rPr>
                <w:sz w:val="22"/>
              </w:rPr>
              <w:t>the 1</w:t>
            </w:r>
            <w:r w:rsidRPr="006D70DF">
              <w:rPr>
                <w:sz w:val="22"/>
                <w:vertAlign w:val="superscript"/>
              </w:rPr>
              <w:t>st</w:t>
            </w:r>
            <w:r>
              <w:rPr>
                <w:sz w:val="22"/>
              </w:rPr>
              <w:t xml:space="preserve"> of March every year.</w:t>
            </w:r>
          </w:p>
        </w:tc>
      </w:tr>
      <w:tr w:rsidRPr="00C44615" w:rsidR="0057276A" w:rsidTr="00F051D4" w14:paraId="3FE594C1" w14:textId="77777777">
        <w:tc>
          <w:tcPr>
            <w:tcW w:w="1147" w:type="dxa"/>
          </w:tcPr>
          <w:p w:rsidRPr="00BE6A76" w:rsidR="0057276A" w:rsidP="00FF611F" w:rsidRDefault="0057276A" w14:paraId="01BC9529" w14:textId="77777777">
            <w:pPr>
              <w:pStyle w:val="BodyTextIndent"/>
              <w:spacing w:after="0"/>
              <w:ind w:left="0"/>
              <w:jc w:val="center"/>
              <w:rPr>
                <w:sz w:val="22"/>
              </w:rPr>
            </w:pPr>
            <w:r w:rsidRPr="406B5892">
              <w:rPr>
                <w:sz w:val="22"/>
              </w:rPr>
              <w:t>13</w:t>
            </w:r>
          </w:p>
        </w:tc>
        <w:tc>
          <w:tcPr>
            <w:tcW w:w="5314" w:type="dxa"/>
          </w:tcPr>
          <w:p w:rsidRPr="00BE6A76" w:rsidR="0057276A" w:rsidP="00FF611F" w:rsidRDefault="0057276A" w14:paraId="3AB30582" w14:textId="59F9C268">
            <w:pPr>
              <w:rPr>
                <w:sz w:val="22"/>
              </w:rPr>
            </w:pPr>
            <w:r w:rsidRPr="00BE6A76">
              <w:rPr>
                <w:sz w:val="22"/>
              </w:rPr>
              <w:t>Should a</w:t>
            </w:r>
            <w:r>
              <w:rPr>
                <w:sz w:val="22"/>
              </w:rPr>
              <w:t>n</w:t>
            </w:r>
            <w:r w:rsidRPr="00BE6A76">
              <w:rPr>
                <w:sz w:val="22"/>
              </w:rPr>
              <w:t xml:space="preserve"> </w:t>
            </w:r>
            <w:r>
              <w:rPr>
                <w:sz w:val="22"/>
              </w:rPr>
              <w:t>EPA-recognized</w:t>
            </w:r>
            <w:r w:rsidRPr="00BE6A76">
              <w:rPr>
                <w:sz w:val="22"/>
              </w:rPr>
              <w:t xml:space="preserve"> </w:t>
            </w:r>
            <w:r>
              <w:rPr>
                <w:sz w:val="22"/>
              </w:rPr>
              <w:t>TPC</w:t>
            </w:r>
            <w:r w:rsidRPr="00BE6A76">
              <w:rPr>
                <w:sz w:val="22"/>
              </w:rPr>
              <w:t xml:space="preserve"> withdraw from the program or lose its accreditation, it </w:t>
            </w:r>
            <w:r w:rsidR="00FD1AE6">
              <w:rPr>
                <w:sz w:val="22"/>
              </w:rPr>
              <w:t xml:space="preserve">must </w:t>
            </w:r>
            <w:r w:rsidRPr="00BE6A76">
              <w:rPr>
                <w:sz w:val="22"/>
              </w:rPr>
              <w:t xml:space="preserve">notify all panel producers that receive its TSCA Title VI </w:t>
            </w:r>
            <w:r>
              <w:rPr>
                <w:sz w:val="22"/>
              </w:rPr>
              <w:t>certification</w:t>
            </w:r>
            <w:r w:rsidRPr="00BE6A76">
              <w:rPr>
                <w:sz w:val="22"/>
              </w:rPr>
              <w:t xml:space="preserve"> services</w:t>
            </w:r>
          </w:p>
        </w:tc>
        <w:tc>
          <w:tcPr>
            <w:tcW w:w="3231" w:type="dxa"/>
          </w:tcPr>
          <w:p w:rsidRPr="00BE6A76" w:rsidR="0057276A" w:rsidP="00FF611F" w:rsidRDefault="0057276A" w14:paraId="00E72E3D" w14:textId="77777777">
            <w:pPr>
              <w:pStyle w:val="BodyTextIndent"/>
              <w:spacing w:after="0"/>
              <w:ind w:left="0"/>
              <w:rPr>
                <w:sz w:val="22"/>
              </w:rPr>
            </w:pPr>
            <w:r w:rsidRPr="00BE6A76">
              <w:rPr>
                <w:sz w:val="22"/>
              </w:rPr>
              <w:t xml:space="preserve">Within </w:t>
            </w:r>
            <w:r>
              <w:rPr>
                <w:sz w:val="22"/>
              </w:rPr>
              <w:t>72 hours</w:t>
            </w:r>
          </w:p>
        </w:tc>
      </w:tr>
      <w:tr w:rsidRPr="00C44615" w:rsidR="0057276A" w:rsidTr="00F051D4" w14:paraId="525EBB19" w14:textId="77777777">
        <w:tc>
          <w:tcPr>
            <w:tcW w:w="1147" w:type="dxa"/>
          </w:tcPr>
          <w:p w:rsidRPr="00BE6A76" w:rsidR="0057276A" w:rsidP="00FF611F" w:rsidRDefault="0057276A" w14:paraId="65888B9A" w14:textId="77777777">
            <w:pPr>
              <w:pStyle w:val="BodyTextIndent"/>
              <w:spacing w:after="0"/>
              <w:ind w:left="0"/>
              <w:jc w:val="center"/>
              <w:rPr>
                <w:sz w:val="22"/>
              </w:rPr>
            </w:pPr>
            <w:r w:rsidRPr="406B5892">
              <w:rPr>
                <w:sz w:val="22"/>
              </w:rPr>
              <w:t>14</w:t>
            </w:r>
          </w:p>
        </w:tc>
        <w:tc>
          <w:tcPr>
            <w:tcW w:w="5314" w:type="dxa"/>
          </w:tcPr>
          <w:p w:rsidRPr="00BE6A76" w:rsidR="0057276A" w:rsidP="00FF611F" w:rsidRDefault="0057276A" w14:paraId="42606FEE" w14:textId="77777777">
            <w:pPr>
              <w:rPr>
                <w:sz w:val="22"/>
              </w:rPr>
            </w:pPr>
            <w:r>
              <w:rPr>
                <w:sz w:val="22"/>
              </w:rPr>
              <w:t>A TSCA Title VI TPC will notify</w:t>
            </w:r>
            <w:r w:rsidRPr="00BE6A76">
              <w:rPr>
                <w:sz w:val="22"/>
              </w:rPr>
              <w:t xml:space="preserve"> EPA of</w:t>
            </w:r>
            <w:r>
              <w:rPr>
                <w:sz w:val="22"/>
              </w:rPr>
              <w:t xml:space="preserve"> an </w:t>
            </w:r>
            <w:r w:rsidRPr="00BE6A76">
              <w:rPr>
                <w:sz w:val="22"/>
              </w:rPr>
              <w:t>application</w:t>
            </w:r>
            <w:r>
              <w:rPr>
                <w:sz w:val="22"/>
              </w:rPr>
              <w:t xml:space="preserve"> approval</w:t>
            </w:r>
            <w:r w:rsidRPr="00BE6A76">
              <w:rPr>
                <w:sz w:val="22"/>
              </w:rPr>
              <w:t xml:space="preserve"> for reduced testing</w:t>
            </w:r>
            <w:r>
              <w:rPr>
                <w:sz w:val="22"/>
              </w:rPr>
              <w:t xml:space="preserve"> and</w:t>
            </w:r>
            <w:r w:rsidRPr="00BE6A76">
              <w:rPr>
                <w:sz w:val="22"/>
              </w:rPr>
              <w:t xml:space="preserve"> forward copies of all approved applications for reduced testing to EPA</w:t>
            </w:r>
            <w:r>
              <w:rPr>
                <w:sz w:val="22"/>
              </w:rPr>
              <w:t>.</w:t>
            </w:r>
          </w:p>
        </w:tc>
        <w:tc>
          <w:tcPr>
            <w:tcW w:w="3231" w:type="dxa"/>
          </w:tcPr>
          <w:p w:rsidRPr="00BE6A76" w:rsidR="0057276A" w:rsidP="00FF611F" w:rsidRDefault="0057276A" w14:paraId="08B2E743" w14:textId="77777777">
            <w:pPr>
              <w:pStyle w:val="BodyTextIndent"/>
              <w:spacing w:after="0"/>
              <w:ind w:left="0"/>
              <w:rPr>
                <w:sz w:val="22"/>
              </w:rPr>
            </w:pPr>
            <w:r w:rsidRPr="00BE6A76">
              <w:rPr>
                <w:sz w:val="22"/>
              </w:rPr>
              <w:t>Notification with</w:t>
            </w:r>
            <w:r>
              <w:rPr>
                <w:sz w:val="22"/>
              </w:rPr>
              <w:t>in</w:t>
            </w:r>
            <w:r w:rsidRPr="00BE6A76">
              <w:rPr>
                <w:sz w:val="22"/>
              </w:rPr>
              <w:t xml:space="preserve"> 5 </w:t>
            </w:r>
            <w:r>
              <w:rPr>
                <w:sz w:val="22"/>
              </w:rPr>
              <w:t xml:space="preserve">calendar </w:t>
            </w:r>
            <w:r w:rsidRPr="00BE6A76">
              <w:rPr>
                <w:sz w:val="22"/>
              </w:rPr>
              <w:t>days of approval</w:t>
            </w:r>
            <w:r>
              <w:rPr>
                <w:sz w:val="22"/>
              </w:rPr>
              <w:t xml:space="preserve">. </w:t>
            </w:r>
            <w:r w:rsidRPr="00BE6A76">
              <w:rPr>
                <w:sz w:val="22"/>
              </w:rPr>
              <w:t xml:space="preserve">Forward copy of application within 30 </w:t>
            </w:r>
            <w:r>
              <w:rPr>
                <w:sz w:val="22"/>
              </w:rPr>
              <w:t xml:space="preserve">calendar </w:t>
            </w:r>
            <w:r w:rsidRPr="00BE6A76">
              <w:rPr>
                <w:sz w:val="22"/>
              </w:rPr>
              <w:t>days of receipt</w:t>
            </w:r>
          </w:p>
        </w:tc>
      </w:tr>
      <w:tr w:rsidRPr="00C44615" w:rsidR="0057276A" w:rsidTr="00F051D4" w14:paraId="61757E5C" w14:textId="77777777">
        <w:tc>
          <w:tcPr>
            <w:tcW w:w="1147" w:type="dxa"/>
          </w:tcPr>
          <w:p w:rsidRPr="00BE6A76" w:rsidR="0057276A" w:rsidP="00FF611F" w:rsidRDefault="0057276A" w14:paraId="173C8C0C" w14:textId="77777777">
            <w:pPr>
              <w:pStyle w:val="BodyTextIndent"/>
              <w:spacing w:after="0"/>
              <w:ind w:left="0"/>
              <w:jc w:val="center"/>
              <w:rPr>
                <w:sz w:val="22"/>
              </w:rPr>
            </w:pPr>
            <w:r w:rsidRPr="406B5892">
              <w:rPr>
                <w:sz w:val="22"/>
              </w:rPr>
              <w:t>15</w:t>
            </w:r>
          </w:p>
        </w:tc>
        <w:tc>
          <w:tcPr>
            <w:tcW w:w="5314" w:type="dxa"/>
          </w:tcPr>
          <w:p w:rsidRPr="00BE6A76" w:rsidR="0057276A" w:rsidP="00FF611F" w:rsidRDefault="0057276A" w14:paraId="08D5534C" w14:textId="77777777">
            <w:pPr>
              <w:rPr>
                <w:sz w:val="22"/>
              </w:rPr>
            </w:pPr>
            <w:r>
              <w:rPr>
                <w:sz w:val="22"/>
              </w:rPr>
              <w:t>EPA-recognized</w:t>
            </w:r>
            <w:r>
              <w:t xml:space="preserve"> </w:t>
            </w:r>
            <w:r>
              <w:rPr>
                <w:sz w:val="22"/>
              </w:rPr>
              <w:t>TPC</w:t>
            </w:r>
            <w:r w:rsidRPr="00BE6A76">
              <w:rPr>
                <w:sz w:val="22"/>
              </w:rPr>
              <w:t>s must act on applications for reduced testing</w:t>
            </w:r>
          </w:p>
        </w:tc>
        <w:tc>
          <w:tcPr>
            <w:tcW w:w="3231" w:type="dxa"/>
          </w:tcPr>
          <w:p w:rsidRPr="00BE6A76" w:rsidR="0057276A" w:rsidP="00FF611F" w:rsidRDefault="0057276A" w14:paraId="7AE94127" w14:textId="77777777">
            <w:pPr>
              <w:pStyle w:val="BodyTextIndent"/>
              <w:spacing w:after="0"/>
              <w:ind w:left="0"/>
              <w:rPr>
                <w:sz w:val="22"/>
              </w:rPr>
            </w:pPr>
            <w:r w:rsidRPr="00BE6A76">
              <w:rPr>
                <w:sz w:val="22"/>
              </w:rPr>
              <w:t xml:space="preserve">Within 90 </w:t>
            </w:r>
            <w:r>
              <w:rPr>
                <w:sz w:val="22"/>
              </w:rPr>
              <w:t xml:space="preserve">calendar </w:t>
            </w:r>
            <w:r w:rsidRPr="00BE6A76">
              <w:rPr>
                <w:sz w:val="22"/>
              </w:rPr>
              <w:t>days of receipt of a complete application</w:t>
            </w:r>
          </w:p>
        </w:tc>
      </w:tr>
      <w:tr w:rsidRPr="00C44615" w:rsidR="0057276A" w:rsidTr="00F051D4" w14:paraId="55895E7B" w14:textId="77777777">
        <w:tc>
          <w:tcPr>
            <w:tcW w:w="1147" w:type="dxa"/>
          </w:tcPr>
          <w:p w:rsidRPr="00BE6A76" w:rsidR="0057276A" w:rsidP="00FF611F" w:rsidRDefault="0057276A" w14:paraId="737D7FBD" w14:textId="77777777">
            <w:pPr>
              <w:pStyle w:val="BodyTextIndent"/>
              <w:spacing w:after="0"/>
              <w:ind w:left="0"/>
              <w:jc w:val="center"/>
              <w:rPr>
                <w:sz w:val="22"/>
              </w:rPr>
            </w:pPr>
            <w:r w:rsidRPr="406B5892">
              <w:rPr>
                <w:sz w:val="22"/>
              </w:rPr>
              <w:lastRenderedPageBreak/>
              <w:t>16</w:t>
            </w:r>
          </w:p>
        </w:tc>
        <w:tc>
          <w:tcPr>
            <w:tcW w:w="5314" w:type="dxa"/>
          </w:tcPr>
          <w:p w:rsidRPr="00BE6A76" w:rsidR="0057276A" w:rsidP="00FF611F" w:rsidRDefault="0057276A" w14:paraId="309A5A37" w14:textId="77777777">
            <w:pPr>
              <w:rPr>
                <w:sz w:val="22"/>
              </w:rPr>
            </w:pPr>
            <w:r>
              <w:rPr>
                <w:sz w:val="22"/>
              </w:rPr>
              <w:t>In the event of a failed quarterly test, the EPA-recognized</w:t>
            </w:r>
            <w:r>
              <w:t xml:space="preserve"> </w:t>
            </w:r>
            <w:r>
              <w:rPr>
                <w:sz w:val="22"/>
              </w:rPr>
              <w:t xml:space="preserve">TPC that conducted the test must notify the panel producer and EPA </w:t>
            </w:r>
          </w:p>
        </w:tc>
        <w:tc>
          <w:tcPr>
            <w:tcW w:w="3231" w:type="dxa"/>
          </w:tcPr>
          <w:p w:rsidRPr="00BE6A76" w:rsidR="0057276A" w:rsidP="00FF611F" w:rsidRDefault="0057276A" w14:paraId="2C83C0D4" w14:textId="77777777">
            <w:pPr>
              <w:pStyle w:val="BodyTextIndent"/>
              <w:spacing w:after="0"/>
              <w:ind w:left="0"/>
              <w:rPr>
                <w:sz w:val="22"/>
              </w:rPr>
            </w:pPr>
            <w:r>
              <w:rPr>
                <w:sz w:val="22"/>
              </w:rPr>
              <w:t xml:space="preserve">Within 72 hours of the failed test result </w:t>
            </w:r>
          </w:p>
        </w:tc>
      </w:tr>
      <w:tr w:rsidRPr="00C44615" w:rsidR="0057276A" w:rsidTr="00F051D4" w14:paraId="6A60A7A5" w14:textId="77777777">
        <w:tc>
          <w:tcPr>
            <w:tcW w:w="1147" w:type="dxa"/>
          </w:tcPr>
          <w:p w:rsidRPr="00BE6A76" w:rsidR="0057276A" w:rsidP="00FF611F" w:rsidRDefault="0057276A" w14:paraId="11FA69E1" w14:textId="77777777">
            <w:pPr>
              <w:pStyle w:val="BodyTextIndent"/>
              <w:spacing w:after="0"/>
              <w:ind w:left="0"/>
              <w:jc w:val="center"/>
              <w:rPr>
                <w:sz w:val="22"/>
              </w:rPr>
            </w:pPr>
            <w:r w:rsidRPr="406B5892">
              <w:rPr>
                <w:sz w:val="22"/>
              </w:rPr>
              <w:t>17</w:t>
            </w:r>
          </w:p>
        </w:tc>
        <w:tc>
          <w:tcPr>
            <w:tcW w:w="5314" w:type="dxa"/>
          </w:tcPr>
          <w:p w:rsidRPr="00BE6A76" w:rsidR="0057276A" w:rsidP="00FF611F" w:rsidRDefault="0057276A" w14:paraId="4EBCA45F" w14:textId="77777777">
            <w:pPr>
              <w:rPr>
                <w:sz w:val="22"/>
              </w:rPr>
            </w:pPr>
            <w:r>
              <w:rPr>
                <w:sz w:val="22"/>
              </w:rPr>
              <w:t>A Panel Producer that wishes to apply for reduced testing or third-party certification for products made with NAF or ULEF resins must submit an application to their EPA-recognized</w:t>
            </w:r>
            <w:r>
              <w:t xml:space="preserve"> </w:t>
            </w:r>
            <w:r>
              <w:rPr>
                <w:sz w:val="22"/>
              </w:rPr>
              <w:t>TPC or CARB and then the EPA-recognized</w:t>
            </w:r>
            <w:r>
              <w:t xml:space="preserve"> </w:t>
            </w:r>
            <w:r>
              <w:rPr>
                <w:sz w:val="22"/>
              </w:rPr>
              <w:t>TPC or CARB will send a copy to EPA</w:t>
            </w:r>
          </w:p>
        </w:tc>
        <w:tc>
          <w:tcPr>
            <w:tcW w:w="3231" w:type="dxa"/>
          </w:tcPr>
          <w:p w:rsidRPr="00BE6A76" w:rsidR="0057276A" w:rsidP="00FF611F" w:rsidRDefault="0057276A" w14:paraId="35FA9CDD" w14:textId="77777777">
            <w:pPr>
              <w:pStyle w:val="BodyTextIndent"/>
              <w:spacing w:after="0"/>
              <w:ind w:left="0"/>
              <w:rPr>
                <w:sz w:val="22"/>
              </w:rPr>
            </w:pPr>
            <w:r>
              <w:rPr>
                <w:sz w:val="22"/>
              </w:rPr>
              <w:t>When they wish to receive the exemption and renewal applications every two years thereafter.</w:t>
            </w:r>
          </w:p>
        </w:tc>
      </w:tr>
      <w:tr w:rsidRPr="00C44615" w:rsidR="0057276A" w:rsidTr="00F051D4" w14:paraId="49E1AF3B" w14:textId="77777777">
        <w:tc>
          <w:tcPr>
            <w:tcW w:w="1147" w:type="dxa"/>
          </w:tcPr>
          <w:p w:rsidRPr="00BE6A76" w:rsidR="0057276A" w:rsidP="00FF611F" w:rsidRDefault="0057276A" w14:paraId="190C4B39" w14:textId="77777777">
            <w:pPr>
              <w:pStyle w:val="BodyTextIndent"/>
              <w:spacing w:after="0"/>
              <w:ind w:left="0"/>
              <w:jc w:val="center"/>
              <w:rPr>
                <w:sz w:val="22"/>
              </w:rPr>
            </w:pPr>
            <w:r w:rsidRPr="406B5892">
              <w:rPr>
                <w:sz w:val="22"/>
              </w:rPr>
              <w:t>18</w:t>
            </w:r>
          </w:p>
        </w:tc>
        <w:tc>
          <w:tcPr>
            <w:tcW w:w="5314" w:type="dxa"/>
          </w:tcPr>
          <w:p w:rsidRPr="00BE6A76" w:rsidR="0057276A" w:rsidP="00FF611F" w:rsidRDefault="0057276A" w14:paraId="4BAC29C1" w14:textId="7375F740">
            <w:pPr>
              <w:rPr>
                <w:sz w:val="22"/>
              </w:rPr>
            </w:pPr>
            <w:r>
              <w:rPr>
                <w:sz w:val="22"/>
              </w:rPr>
              <w:t>Panel Producers must submit product data reports to their EPA-recognized</w:t>
            </w:r>
            <w:r>
              <w:t xml:space="preserve"> </w:t>
            </w:r>
            <w:r>
              <w:rPr>
                <w:sz w:val="22"/>
              </w:rPr>
              <w:t>TPC</w:t>
            </w:r>
          </w:p>
        </w:tc>
        <w:tc>
          <w:tcPr>
            <w:tcW w:w="3231" w:type="dxa"/>
          </w:tcPr>
          <w:p w:rsidRPr="00BE6A76" w:rsidR="0057276A" w:rsidP="00FF611F" w:rsidRDefault="0057276A" w14:paraId="26CAB72B" w14:textId="77777777">
            <w:pPr>
              <w:pStyle w:val="BodyTextIndent"/>
              <w:spacing w:after="0"/>
              <w:ind w:left="0"/>
              <w:rPr>
                <w:sz w:val="22"/>
              </w:rPr>
            </w:pPr>
            <w:r>
              <w:rPr>
                <w:sz w:val="22"/>
              </w:rPr>
              <w:t xml:space="preserve">Monthly </w:t>
            </w:r>
          </w:p>
        </w:tc>
      </w:tr>
      <w:tr w:rsidRPr="00C44615" w:rsidR="0057276A" w:rsidTr="00F051D4" w14:paraId="5B7EE284" w14:textId="77777777">
        <w:tc>
          <w:tcPr>
            <w:tcW w:w="1147" w:type="dxa"/>
          </w:tcPr>
          <w:p w:rsidR="0057276A" w:rsidP="00FF611F" w:rsidRDefault="0057276A" w14:paraId="720C56A1" w14:textId="77777777">
            <w:pPr>
              <w:pStyle w:val="BodyTextIndent"/>
              <w:spacing w:after="0"/>
              <w:ind w:left="0"/>
              <w:jc w:val="center"/>
              <w:rPr>
                <w:sz w:val="22"/>
              </w:rPr>
            </w:pPr>
            <w:r w:rsidRPr="406B5892">
              <w:rPr>
                <w:sz w:val="22"/>
              </w:rPr>
              <w:t>19</w:t>
            </w:r>
          </w:p>
        </w:tc>
        <w:tc>
          <w:tcPr>
            <w:tcW w:w="5314" w:type="dxa"/>
          </w:tcPr>
          <w:p w:rsidR="0057276A" w:rsidP="00FF611F" w:rsidRDefault="0057276A" w14:paraId="5E64436A" w14:textId="77777777">
            <w:pPr>
              <w:rPr>
                <w:sz w:val="22"/>
              </w:rPr>
            </w:pPr>
            <w:r>
              <w:rPr>
                <w:sz w:val="22"/>
              </w:rPr>
              <w:t>Panel Producers must notify their EPA-recognized</w:t>
            </w:r>
            <w:r>
              <w:t xml:space="preserve"> </w:t>
            </w:r>
            <w:r>
              <w:rPr>
                <w:sz w:val="22"/>
              </w:rPr>
              <w:t>TPC of changes in quality control manager</w:t>
            </w:r>
          </w:p>
        </w:tc>
        <w:tc>
          <w:tcPr>
            <w:tcW w:w="3231" w:type="dxa"/>
          </w:tcPr>
          <w:p w:rsidR="0057276A" w:rsidP="00FF611F" w:rsidRDefault="0057276A" w14:paraId="477B2D1F" w14:textId="77777777">
            <w:pPr>
              <w:pStyle w:val="BodyTextIndent"/>
              <w:spacing w:after="0"/>
              <w:ind w:left="0"/>
              <w:rPr>
                <w:sz w:val="22"/>
              </w:rPr>
            </w:pPr>
            <w:r>
              <w:rPr>
                <w:sz w:val="22"/>
              </w:rPr>
              <w:t xml:space="preserve">Within 10 calendar days </w:t>
            </w:r>
          </w:p>
        </w:tc>
      </w:tr>
      <w:tr w:rsidRPr="00C44615" w:rsidR="0057276A" w:rsidTr="00F051D4" w14:paraId="756A2249" w14:textId="77777777">
        <w:tc>
          <w:tcPr>
            <w:tcW w:w="1147" w:type="dxa"/>
          </w:tcPr>
          <w:p w:rsidR="0057276A" w:rsidP="00FF611F" w:rsidRDefault="0057276A" w14:paraId="2DC4BD24" w14:textId="77777777">
            <w:pPr>
              <w:pStyle w:val="BodyTextIndent"/>
              <w:spacing w:after="0"/>
              <w:ind w:left="0"/>
              <w:jc w:val="center"/>
              <w:rPr>
                <w:sz w:val="22"/>
              </w:rPr>
            </w:pPr>
            <w:r w:rsidRPr="406B5892">
              <w:rPr>
                <w:sz w:val="22"/>
              </w:rPr>
              <w:t>20</w:t>
            </w:r>
          </w:p>
        </w:tc>
        <w:tc>
          <w:tcPr>
            <w:tcW w:w="5314" w:type="dxa"/>
          </w:tcPr>
          <w:p w:rsidR="0057276A" w:rsidP="00FF611F" w:rsidRDefault="0057276A" w14:paraId="6F98EA16" w14:textId="77777777">
            <w:pPr>
              <w:rPr>
                <w:sz w:val="22"/>
              </w:rPr>
            </w:pPr>
            <w:r>
              <w:rPr>
                <w:sz w:val="22"/>
              </w:rPr>
              <w:t>Panel Producers must inform their EPA-recognized</w:t>
            </w:r>
            <w:r>
              <w:t xml:space="preserve"> </w:t>
            </w:r>
            <w:r>
              <w:rPr>
                <w:sz w:val="22"/>
              </w:rPr>
              <w:t>TPC of any significant changes in production that could affect formaldehyde emissions</w:t>
            </w:r>
          </w:p>
        </w:tc>
        <w:tc>
          <w:tcPr>
            <w:tcW w:w="3231" w:type="dxa"/>
          </w:tcPr>
          <w:p w:rsidR="0057276A" w:rsidP="00FF611F" w:rsidRDefault="0057276A" w14:paraId="5859504B" w14:textId="77777777">
            <w:pPr>
              <w:pStyle w:val="BodyTextIndent"/>
              <w:spacing w:after="0"/>
              <w:ind w:left="0"/>
              <w:rPr>
                <w:sz w:val="22"/>
              </w:rPr>
            </w:pPr>
            <w:r>
              <w:rPr>
                <w:sz w:val="22"/>
              </w:rPr>
              <w:t xml:space="preserve">Within 72 hours of making those changes. </w:t>
            </w:r>
          </w:p>
        </w:tc>
      </w:tr>
      <w:tr w:rsidRPr="00C44615" w:rsidR="0057276A" w:rsidTr="00F051D4" w14:paraId="63CF0DF9" w14:textId="77777777">
        <w:tc>
          <w:tcPr>
            <w:tcW w:w="1147" w:type="dxa"/>
          </w:tcPr>
          <w:p w:rsidR="0057276A" w:rsidP="00FF611F" w:rsidRDefault="0057276A" w14:paraId="03B250F2" w14:textId="77777777">
            <w:pPr>
              <w:pStyle w:val="BodyTextIndent"/>
              <w:spacing w:after="0"/>
              <w:ind w:left="0"/>
              <w:jc w:val="center"/>
              <w:rPr>
                <w:sz w:val="22"/>
              </w:rPr>
            </w:pPr>
            <w:r w:rsidRPr="406B5892">
              <w:rPr>
                <w:sz w:val="22"/>
              </w:rPr>
              <w:t>21</w:t>
            </w:r>
          </w:p>
        </w:tc>
        <w:tc>
          <w:tcPr>
            <w:tcW w:w="5314" w:type="dxa"/>
          </w:tcPr>
          <w:p w:rsidR="0057276A" w:rsidP="00FF611F" w:rsidRDefault="0057276A" w14:paraId="6AD8024B" w14:textId="77777777">
            <w:pPr>
              <w:rPr>
                <w:sz w:val="22"/>
              </w:rPr>
            </w:pPr>
            <w:r>
              <w:rPr>
                <w:sz w:val="22"/>
              </w:rPr>
              <w:t>Should a non-complying lot be distributed the Panel Producer is responsible for notifying the recipients</w:t>
            </w:r>
          </w:p>
        </w:tc>
        <w:tc>
          <w:tcPr>
            <w:tcW w:w="3231" w:type="dxa"/>
          </w:tcPr>
          <w:p w:rsidR="0057276A" w:rsidP="00FF611F" w:rsidRDefault="0057276A" w14:paraId="7BDCE1CA" w14:textId="77777777">
            <w:pPr>
              <w:pStyle w:val="BodyTextIndent"/>
              <w:spacing w:after="0"/>
              <w:ind w:left="0"/>
              <w:rPr>
                <w:sz w:val="22"/>
              </w:rPr>
            </w:pPr>
            <w:r>
              <w:rPr>
                <w:sz w:val="22"/>
              </w:rPr>
              <w:t>Within 72 hours</w:t>
            </w:r>
          </w:p>
        </w:tc>
      </w:tr>
      <w:tr w:rsidRPr="00C44615" w:rsidR="0057276A" w:rsidTr="00F051D4" w14:paraId="06EBF574" w14:textId="77777777">
        <w:tc>
          <w:tcPr>
            <w:tcW w:w="1147" w:type="dxa"/>
          </w:tcPr>
          <w:p w:rsidR="0057276A" w:rsidP="00FF611F" w:rsidRDefault="0057276A" w14:paraId="1957F296" w14:textId="77777777">
            <w:pPr>
              <w:pStyle w:val="BodyTextIndent"/>
              <w:spacing w:after="0"/>
              <w:ind w:left="0"/>
              <w:jc w:val="center"/>
              <w:rPr>
                <w:sz w:val="22"/>
              </w:rPr>
            </w:pPr>
            <w:r w:rsidRPr="406B5892">
              <w:rPr>
                <w:sz w:val="22"/>
              </w:rPr>
              <w:t>22</w:t>
            </w:r>
          </w:p>
        </w:tc>
        <w:tc>
          <w:tcPr>
            <w:tcW w:w="5314" w:type="dxa"/>
          </w:tcPr>
          <w:p w:rsidR="0057276A" w:rsidP="00FF611F" w:rsidRDefault="0057276A" w14:paraId="5E0211E6" w14:textId="77777777">
            <w:pPr>
              <w:rPr>
                <w:sz w:val="22"/>
              </w:rPr>
            </w:pPr>
            <w:r w:rsidRPr="002B51DE">
              <w:rPr>
                <w:sz w:val="22"/>
              </w:rPr>
              <w:t xml:space="preserve">Panel producers who are not able to obtain a new TSCA Title VI TPC within 90 calendar days must </w:t>
            </w:r>
            <w:r>
              <w:rPr>
                <w:sz w:val="22"/>
              </w:rPr>
              <w:t>submit an extension request to</w:t>
            </w:r>
            <w:r w:rsidRPr="002B51DE">
              <w:rPr>
                <w:sz w:val="22"/>
              </w:rPr>
              <w:t xml:space="preserve"> EPA for a </w:t>
            </w:r>
            <w:proofErr w:type="gramStart"/>
            <w:r w:rsidRPr="002B51DE">
              <w:rPr>
                <w:sz w:val="22"/>
              </w:rPr>
              <w:t>90 calendar</w:t>
            </w:r>
            <w:proofErr w:type="gramEnd"/>
            <w:r w:rsidRPr="002B51DE">
              <w:rPr>
                <w:sz w:val="22"/>
              </w:rPr>
              <w:t xml:space="preserve"> day extension, for good cause</w:t>
            </w:r>
          </w:p>
        </w:tc>
        <w:tc>
          <w:tcPr>
            <w:tcW w:w="3231" w:type="dxa"/>
          </w:tcPr>
          <w:p w:rsidR="0057276A" w:rsidP="00FF611F" w:rsidRDefault="0057276A" w14:paraId="1075813F" w14:textId="77777777">
            <w:pPr>
              <w:pStyle w:val="BodyTextIndent"/>
              <w:spacing w:after="0"/>
              <w:ind w:left="0"/>
              <w:rPr>
                <w:sz w:val="22"/>
              </w:rPr>
            </w:pPr>
            <w:r>
              <w:rPr>
                <w:sz w:val="22"/>
              </w:rPr>
              <w:t>Prior to 90 calendar days following loss of their TSCA Title VI TPC</w:t>
            </w:r>
          </w:p>
        </w:tc>
      </w:tr>
    </w:tbl>
    <w:p w:rsidRPr="007919E5" w:rsidR="00660CEA" w:rsidP="00660CEA" w:rsidRDefault="00660CEA" w14:paraId="11465722" w14:textId="77777777">
      <w:pPr>
        <w:pStyle w:val="NoSpacing"/>
      </w:pPr>
    </w:p>
    <w:p w:rsidRPr="007919E5" w:rsidR="00660CEA" w:rsidP="00660CEA" w:rsidRDefault="00660CEA" w14:paraId="528963D4" w14:textId="77777777">
      <w:pPr>
        <w:pStyle w:val="Heading3"/>
        <w:numPr>
          <w:ilvl w:val="2"/>
          <w:numId w:val="3"/>
        </w:numPr>
        <w:tabs>
          <w:tab w:val="left" w:pos="1800"/>
        </w:tabs>
        <w:spacing w:after="200"/>
      </w:pPr>
      <w:bookmarkStart w:name="_Toc501020180" w:id="25"/>
      <w:r w:rsidRPr="007919E5">
        <w:t>Use of Technology to Facilitate Collection Activities</w:t>
      </w:r>
      <w:bookmarkEnd w:id="25"/>
    </w:p>
    <w:p w:rsidR="003D4992" w:rsidP="003D4992" w:rsidRDefault="003D4992" w14:paraId="526E0B31" w14:textId="6F4F8AD8">
      <w:pPr>
        <w:pStyle w:val="BodyText"/>
      </w:pPr>
      <w:r>
        <w:t>The information to comply with the reporting requirements for EPA-recognized ABs and TPCs is required to be submitted via the Internet through EPA’s Central Data Exchange (CDX). The required use of CDX for submission of TSCA Title VI notices and reports is consistent with the Government Paperwork Elimination Act (GPEA, Pub. L. 105-277), which requires that, when practicable, federal organizations use electronic forms, electronic filings, and electronic signatures to conduct official business with the public. EPA’s Cross-Media Electronic Reporting Regulation (CROMERR) (October 13, 2005; 70 FR 59848; FRL-7977-1) provides that any requirement in Title 40 of the Code of Federal Regulations to submit a report directly to EPA can be satisfied with an electronic submission that meets certain conditions once the Agency publishes a notice that electronic document submission is available for that requirement.</w:t>
      </w:r>
    </w:p>
    <w:p w:rsidR="003D4992" w:rsidP="003D4992" w:rsidRDefault="003D4992" w14:paraId="594C65CB" w14:textId="150D6E4F">
      <w:pPr>
        <w:pStyle w:val="BodyText"/>
      </w:pPr>
      <w:r>
        <w:t xml:space="preserve">The adoption of electronic communications reduces the reporting burden on industry by reducing both the cost and the time required to review, edit and transmit data to the Agency.  All information sent via CDX is transmitted securely to protect CBI.  Furthermore, if anything in the submission has been claimed CBI, a sanitized copy of the notice must be provided by the submitter. With electronic reporting, this can be done automatically during the submission process, eliminating the need for the submitter to do this manually.  Electronic reporting also allows submitters to share a draft notice within their company during the creation of a notice and to save a copy of the final file for future use. </w:t>
      </w:r>
    </w:p>
    <w:p w:rsidRPr="00855BD9" w:rsidR="00855BD9" w:rsidP="003D4992" w:rsidRDefault="003D4992" w14:paraId="5AFD92D6" w14:textId="5BD901E0">
      <w:pPr>
        <w:pStyle w:val="BodyText"/>
      </w:pPr>
      <w:r>
        <w:t xml:space="preserve">EPA also benefits from receiving electronic submissions.  Data systems are populated electronically, as oppose to manual data entry, reducing the potential for human error that </w:t>
      </w:r>
      <w:r>
        <w:lastRenderedPageBreak/>
        <w:t>exists when data are entered by hand.  Agency personnel are also able to communicate more efficiently with submitters electronically, compared to using mail.</w:t>
      </w:r>
    </w:p>
    <w:p w:rsidRPr="007919E5" w:rsidR="00660CEA" w:rsidP="00660CEA" w:rsidRDefault="00660CEA" w14:paraId="35CC41B4" w14:textId="77777777">
      <w:pPr>
        <w:pStyle w:val="NoSpacing"/>
      </w:pPr>
    </w:p>
    <w:p w:rsidRPr="007919E5" w:rsidR="006D7B41" w:rsidP="00660CEA" w:rsidRDefault="00E33A13" w14:paraId="6641C6E3" w14:textId="42C51B8E">
      <w:pPr>
        <w:pStyle w:val="Heading1"/>
        <w:numPr>
          <w:ilvl w:val="0"/>
          <w:numId w:val="3"/>
        </w:numPr>
      </w:pPr>
      <w:bookmarkStart w:name="_Toc501020181" w:id="26"/>
      <w:r w:rsidRPr="007919E5">
        <w:t>T</w:t>
      </w:r>
      <w:r w:rsidR="00470772">
        <w:t>HE</w:t>
      </w:r>
      <w:r w:rsidRPr="007919E5">
        <w:t xml:space="preserve"> RESPONDENTS AND </w:t>
      </w:r>
      <w:r w:rsidRPr="007919E5" w:rsidR="006D7B41">
        <w:t>INFORMATION COLLECTION (IC) ACTIVITIES</w:t>
      </w:r>
      <w:bookmarkEnd w:id="26"/>
    </w:p>
    <w:p w:rsidRPr="007919E5" w:rsidR="004A492D" w:rsidP="004A492D" w:rsidRDefault="00E33A13" w14:paraId="0477CCE8" w14:textId="01799022">
      <w:r w:rsidRPr="007919E5">
        <w:t xml:space="preserve">For each </w:t>
      </w:r>
      <w:r w:rsidRPr="007919E5" w:rsidR="00512823">
        <w:t>respondent category</w:t>
      </w:r>
      <w:r w:rsidRPr="007919E5">
        <w:t>, this section of the ICR describes the respondents, the information collection activities and related estimates for burden and costs associated with those activities.</w:t>
      </w:r>
      <w:r w:rsidR="005A2C1A">
        <w:t xml:space="preserve"> </w:t>
      </w:r>
      <w:r w:rsidRPr="005A2C1A" w:rsidR="005A2C1A">
        <w:t xml:space="preserve">Not all firms subject to the TSCA Title VI rule will incur additional burden or costs for compliance. Many of the provisions in this rule are identical to those in the 2008 </w:t>
      </w:r>
      <w:r w:rsidR="00B46D77">
        <w:t xml:space="preserve">CARB </w:t>
      </w:r>
      <w:r w:rsidRPr="005A2C1A" w:rsidR="005A2C1A">
        <w:t>ATCM. Firms that were already complying with the CARB ATCM incur little to no additional burden or costs due to the TSCA Title VI rule. In other cases, the ordinary business practices at firms subject to the TSCA Title VI rule are sufficient to comply with the rule’s requirements.</w:t>
      </w:r>
    </w:p>
    <w:p w:rsidRPr="007919E5" w:rsidR="00F44411" w:rsidP="00F44411" w:rsidRDefault="00F44411" w14:paraId="02FC9CFA" w14:textId="77777777">
      <w:pPr>
        <w:pStyle w:val="NoSpacing"/>
        <w:rPr>
          <w:lang w:bidi="en-US"/>
        </w:rPr>
      </w:pPr>
    </w:p>
    <w:p w:rsidRPr="007919E5" w:rsidR="00660CEA" w:rsidP="00660CEA" w:rsidRDefault="00660CEA" w14:paraId="301EDB3E" w14:textId="77777777">
      <w:pPr>
        <w:pStyle w:val="Heading2"/>
        <w:numPr>
          <w:ilvl w:val="1"/>
          <w:numId w:val="3"/>
        </w:numPr>
        <w:tabs>
          <w:tab w:val="left" w:pos="1080"/>
        </w:tabs>
      </w:pPr>
      <w:bookmarkStart w:name="_Toc501020182" w:id="27"/>
      <w:r w:rsidRPr="007919E5">
        <w:t>Methodology for Estimating Respondent Burden and Costs</w:t>
      </w:r>
      <w:bookmarkEnd w:id="27"/>
    </w:p>
    <w:p w:rsidRPr="002F1795" w:rsidR="0057276A" w:rsidP="0057276A" w:rsidRDefault="0057276A" w14:paraId="33D8A062" w14:textId="00825300">
      <w:r w:rsidRPr="002F1795">
        <w:t xml:space="preserve">The primary respondents </w:t>
      </w:r>
      <w:r w:rsidR="00FD1AE6">
        <w:t xml:space="preserve">are </w:t>
      </w:r>
      <w:r w:rsidR="00F40EA3">
        <w:t>producers, fabricators</w:t>
      </w:r>
      <w:r w:rsidRPr="002F1795">
        <w:t>, distributors, importers, retailers of regulated composite wood products and finished goods containing regulated composite wood products</w:t>
      </w:r>
      <w:r w:rsidR="00F40EA3">
        <w:t>, as well as accreditation bodies and third-party certifiers</w:t>
      </w:r>
      <w:r w:rsidRPr="002F1795">
        <w:t xml:space="preserve">. </w:t>
      </w:r>
    </w:p>
    <w:p w:rsidRPr="002F1795" w:rsidR="0057276A" w:rsidP="0057276A" w:rsidRDefault="0057276A" w14:paraId="188D9297" w14:textId="77777777"/>
    <w:p w:rsidRPr="002F1795" w:rsidR="0057276A" w:rsidP="0057276A" w:rsidRDefault="0057276A" w14:paraId="0A3D6D2C" w14:textId="77777777">
      <w:r w:rsidRPr="002F1795">
        <w:t xml:space="preserve">The following NAICS codes may be affected: </w:t>
      </w:r>
    </w:p>
    <w:p w:rsidRPr="002F1795" w:rsidR="0057276A" w:rsidP="0057276A" w:rsidRDefault="0057276A" w14:paraId="7191DAF1" w14:textId="77777777"/>
    <w:p w:rsidRPr="002F1795" w:rsidR="0057276A" w:rsidP="0057276A" w:rsidRDefault="0057276A" w14:paraId="038944F8" w14:textId="77777777">
      <w:pPr>
        <w:widowControl w:val="0"/>
        <w:numPr>
          <w:ilvl w:val="0"/>
          <w:numId w:val="22"/>
        </w:numPr>
        <w:adjustRightInd w:val="0"/>
        <w:contextualSpacing/>
      </w:pPr>
      <w:r w:rsidRPr="002F1795">
        <w:t>Hardwood Veneer and Plywood Manufacturing (NAICS code 321211);</w:t>
      </w:r>
    </w:p>
    <w:p w:rsidRPr="002F1795" w:rsidR="0057276A" w:rsidP="0057276A" w:rsidRDefault="0057276A" w14:paraId="4427837C" w14:textId="77777777">
      <w:pPr>
        <w:widowControl w:val="0"/>
        <w:numPr>
          <w:ilvl w:val="0"/>
          <w:numId w:val="22"/>
        </w:numPr>
        <w:adjustRightInd w:val="0"/>
        <w:contextualSpacing/>
      </w:pPr>
      <w:r w:rsidRPr="002F1795">
        <w:t>Reconstituted Wood Product Manufacturing (NAICS code 321219);</w:t>
      </w:r>
    </w:p>
    <w:p w:rsidRPr="002F1795" w:rsidR="0057276A" w:rsidP="0057276A" w:rsidRDefault="0057276A" w14:paraId="3AEBF806" w14:textId="77777777">
      <w:pPr>
        <w:widowControl w:val="0"/>
        <w:numPr>
          <w:ilvl w:val="0"/>
          <w:numId w:val="22"/>
        </w:numPr>
        <w:adjustRightInd w:val="0"/>
        <w:contextualSpacing/>
      </w:pPr>
      <w:r w:rsidRPr="002F1795">
        <w:t>All Other Miscellaneous Wood Product Manufacturing (NAICS code 321999);</w:t>
      </w:r>
    </w:p>
    <w:p w:rsidRPr="002F1795" w:rsidR="0057276A" w:rsidP="0057276A" w:rsidRDefault="0057276A" w14:paraId="0996DF11" w14:textId="77777777">
      <w:pPr>
        <w:widowControl w:val="0"/>
        <w:numPr>
          <w:ilvl w:val="0"/>
          <w:numId w:val="22"/>
        </w:numPr>
        <w:adjustRightInd w:val="0"/>
        <w:contextualSpacing/>
      </w:pPr>
      <w:r w:rsidRPr="002F1795">
        <w:t>Furniture and Related Product Manufacturing (NAICS code 337);</w:t>
      </w:r>
    </w:p>
    <w:p w:rsidRPr="002F1795" w:rsidR="0057276A" w:rsidP="0057276A" w:rsidRDefault="0057276A" w14:paraId="7BF83D54" w14:textId="77777777">
      <w:pPr>
        <w:widowControl w:val="0"/>
        <w:numPr>
          <w:ilvl w:val="0"/>
          <w:numId w:val="22"/>
        </w:numPr>
        <w:adjustRightInd w:val="0"/>
        <w:contextualSpacing/>
      </w:pPr>
      <w:r w:rsidRPr="002F1795">
        <w:t>Miscellaneous Manufacturing (NAICS code 339);</w:t>
      </w:r>
    </w:p>
    <w:p w:rsidRPr="002F1795" w:rsidR="0057276A" w:rsidP="0057276A" w:rsidRDefault="0057276A" w14:paraId="7D55BB85" w14:textId="77777777">
      <w:pPr>
        <w:widowControl w:val="0"/>
        <w:numPr>
          <w:ilvl w:val="0"/>
          <w:numId w:val="22"/>
        </w:numPr>
        <w:adjustRightInd w:val="0"/>
        <w:contextualSpacing/>
      </w:pPr>
      <w:r w:rsidRPr="002F1795">
        <w:t>Merchant Wholesalers, Durable Goods (NAICS code 423);</w:t>
      </w:r>
    </w:p>
    <w:p w:rsidRPr="002F1795" w:rsidR="0057276A" w:rsidP="0057276A" w:rsidRDefault="0057276A" w14:paraId="5D07CED5" w14:textId="2C277D7A">
      <w:pPr>
        <w:widowControl w:val="0"/>
        <w:numPr>
          <w:ilvl w:val="0"/>
          <w:numId w:val="22"/>
        </w:numPr>
        <w:adjustRightInd w:val="0"/>
        <w:contextualSpacing/>
      </w:pPr>
      <w:r w:rsidRPr="002F1795">
        <w:t xml:space="preserve">Merchant Wholesalers, Nondurable Goods (NAICS code 424); </w:t>
      </w:r>
    </w:p>
    <w:p w:rsidR="000E67A8" w:rsidP="0057276A" w:rsidRDefault="0057276A" w14:paraId="3648793E" w14:textId="77777777">
      <w:pPr>
        <w:widowControl w:val="0"/>
        <w:numPr>
          <w:ilvl w:val="0"/>
          <w:numId w:val="22"/>
        </w:numPr>
        <w:adjustRightInd w:val="0"/>
        <w:contextualSpacing/>
      </w:pPr>
      <w:r w:rsidRPr="0057276A">
        <w:t>Retail Trade (NAICS Sector 44 and 45)</w:t>
      </w:r>
      <w:r w:rsidR="000E67A8">
        <w:t>;</w:t>
      </w:r>
      <w:r w:rsidRPr="0057276A">
        <w:t xml:space="preserve"> </w:t>
      </w:r>
    </w:p>
    <w:p w:rsidRPr="0057276A" w:rsidR="0057276A" w:rsidP="0057276A" w:rsidRDefault="0057276A" w14:paraId="0F96A26A" w14:textId="22E7D464">
      <w:pPr>
        <w:widowControl w:val="0"/>
        <w:numPr>
          <w:ilvl w:val="0"/>
          <w:numId w:val="22"/>
        </w:numPr>
        <w:adjustRightInd w:val="0"/>
        <w:contextualSpacing/>
      </w:pPr>
      <w:r w:rsidRPr="0057276A">
        <w:t>Engineering services (NAICS code 541330)</w:t>
      </w:r>
      <w:r w:rsidR="000E67A8">
        <w:t>;</w:t>
      </w:r>
    </w:p>
    <w:p w:rsidRPr="0057276A" w:rsidR="0057276A" w:rsidP="0057276A" w:rsidRDefault="0057276A" w14:paraId="20E1789A" w14:textId="4D4A65A9">
      <w:pPr>
        <w:widowControl w:val="0"/>
        <w:numPr>
          <w:ilvl w:val="0"/>
          <w:numId w:val="22"/>
        </w:numPr>
        <w:adjustRightInd w:val="0"/>
        <w:contextualSpacing/>
      </w:pPr>
      <w:r w:rsidRPr="0057276A">
        <w:t>Testing laboratories (NAICS code 541380)</w:t>
      </w:r>
      <w:r w:rsidR="000E67A8">
        <w:t>;</w:t>
      </w:r>
    </w:p>
    <w:p w:rsidRPr="0057276A" w:rsidR="0057276A" w:rsidP="0057276A" w:rsidRDefault="0057276A" w14:paraId="04DC795A" w14:textId="1A8DEA9C">
      <w:pPr>
        <w:widowControl w:val="0"/>
        <w:numPr>
          <w:ilvl w:val="0"/>
          <w:numId w:val="22"/>
        </w:numPr>
        <w:adjustRightInd w:val="0"/>
        <w:contextualSpacing/>
      </w:pPr>
      <w:r w:rsidRPr="0057276A">
        <w:t>Administrative management and general management consulting services (NAICS code 541611)</w:t>
      </w:r>
      <w:r w:rsidR="000E67A8">
        <w:t>;</w:t>
      </w:r>
    </w:p>
    <w:p w:rsidRPr="0057276A" w:rsidR="0057276A" w:rsidP="0057276A" w:rsidRDefault="0057276A" w14:paraId="1928172A" w14:textId="0720C3CF">
      <w:pPr>
        <w:widowControl w:val="0"/>
        <w:numPr>
          <w:ilvl w:val="0"/>
          <w:numId w:val="22"/>
        </w:numPr>
        <w:adjustRightInd w:val="0"/>
        <w:contextualSpacing/>
      </w:pPr>
      <w:r w:rsidRPr="0057276A">
        <w:t>All other professional, scientific, and technical services (NAICS code 541990)</w:t>
      </w:r>
      <w:r w:rsidR="000E67A8">
        <w:t>;</w:t>
      </w:r>
    </w:p>
    <w:p w:rsidRPr="0057276A" w:rsidR="0057276A" w:rsidP="0057276A" w:rsidRDefault="0057276A" w14:paraId="320D52D7" w14:textId="3C95B6B1">
      <w:pPr>
        <w:widowControl w:val="0"/>
        <w:numPr>
          <w:ilvl w:val="0"/>
          <w:numId w:val="22"/>
        </w:numPr>
        <w:adjustRightInd w:val="0"/>
        <w:contextualSpacing/>
      </w:pPr>
      <w:r w:rsidRPr="0057276A">
        <w:t>All other support services (NAICS code 561990)</w:t>
      </w:r>
      <w:r w:rsidR="000E67A8">
        <w:t>;</w:t>
      </w:r>
    </w:p>
    <w:p w:rsidRPr="0057276A" w:rsidR="0057276A" w:rsidP="0057276A" w:rsidRDefault="0057276A" w14:paraId="442FDEDE" w14:textId="50C43050">
      <w:pPr>
        <w:widowControl w:val="0"/>
        <w:numPr>
          <w:ilvl w:val="0"/>
          <w:numId w:val="22"/>
        </w:numPr>
        <w:adjustRightInd w:val="0"/>
        <w:contextualSpacing/>
      </w:pPr>
      <w:r w:rsidRPr="0057276A">
        <w:t>Business associations (NAICS code 813910)</w:t>
      </w:r>
      <w:r w:rsidR="000E67A8">
        <w:t xml:space="preserve">; and </w:t>
      </w:r>
    </w:p>
    <w:p w:rsidR="0057276A" w:rsidP="0057276A" w:rsidRDefault="0057276A" w14:paraId="7B85BF8A" w14:textId="77777777">
      <w:pPr>
        <w:widowControl w:val="0"/>
        <w:numPr>
          <w:ilvl w:val="0"/>
          <w:numId w:val="22"/>
        </w:numPr>
        <w:adjustRightInd w:val="0"/>
        <w:contextualSpacing/>
      </w:pPr>
      <w:r w:rsidRPr="0057276A">
        <w:t>Professional organizations (NAICS code 813920).</w:t>
      </w:r>
    </w:p>
    <w:p w:rsidRPr="007919E5" w:rsidR="00C74E75" w:rsidP="00C622B8" w:rsidRDefault="00C74E75" w14:paraId="188A47B3" w14:textId="245BCCAF">
      <w:pPr>
        <w:pStyle w:val="NoSpacing"/>
      </w:pPr>
    </w:p>
    <w:p w:rsidRPr="007919E5" w:rsidR="00B80F41" w:rsidP="00C622B8" w:rsidRDefault="00B80F41" w14:paraId="0BED5AF3" w14:textId="77777777">
      <w:pPr>
        <w:pStyle w:val="NoSpacing"/>
      </w:pPr>
    </w:p>
    <w:p w:rsidR="00880280" w:rsidP="007363B2" w:rsidRDefault="00F94DD2" w14:paraId="2BC6C33E" w14:textId="748C9EE3">
      <w:pPr>
        <w:pStyle w:val="Heading2"/>
        <w:numPr>
          <w:ilvl w:val="1"/>
          <w:numId w:val="3"/>
        </w:numPr>
        <w:tabs>
          <w:tab w:val="left" w:pos="1080"/>
        </w:tabs>
        <w:rPr>
          <w:lang w:bidi="en-US"/>
        </w:rPr>
      </w:pPr>
      <w:bookmarkStart w:name="_Toc501020183" w:id="28"/>
      <w:bookmarkEnd w:id="28"/>
      <w:r w:rsidRPr="00F94DD2">
        <w:rPr>
          <w:lang w:bidi="en-US"/>
        </w:rPr>
        <w:t>Burden and Cost Estimates</w:t>
      </w:r>
    </w:p>
    <w:p w:rsidRPr="00E94251" w:rsidR="00F44411" w:rsidP="00241544" w:rsidRDefault="00E33A13" w14:paraId="033CE663" w14:textId="193E1487">
      <w:pPr>
        <w:pStyle w:val="Heading2"/>
      </w:pPr>
      <w:bookmarkStart w:name="_Toc501020184" w:id="29"/>
      <w:r w:rsidRPr="00E94251">
        <w:t xml:space="preserve">IC </w:t>
      </w:r>
      <w:r w:rsidRPr="00E94251" w:rsidR="00B302C6">
        <w:t xml:space="preserve">#1: </w:t>
      </w:r>
      <w:bookmarkEnd w:id="29"/>
      <w:r w:rsidRPr="00E94251" w:rsidR="00C110A7">
        <w:t>Producers</w:t>
      </w:r>
    </w:p>
    <w:p w:rsidR="00A81F42" w:rsidP="00A81F42" w:rsidRDefault="00A81F42" w14:paraId="3864A580" w14:textId="129F4046">
      <w:r>
        <w:t xml:space="preserve">Based on data from the TSCA Title VI program there are </w:t>
      </w:r>
      <w:r w:rsidRPr="00491BA3">
        <w:t>currently 1,</w:t>
      </w:r>
      <w:r w:rsidRPr="00491BA3" w:rsidR="004028A4">
        <w:t>2</w:t>
      </w:r>
      <w:r w:rsidR="004028A4">
        <w:t>04</w:t>
      </w:r>
      <w:r w:rsidRPr="0026628B" w:rsidR="004028A4">
        <w:t xml:space="preserve"> </w:t>
      </w:r>
      <w:r w:rsidRPr="00491BA3">
        <w:t>panel producers</w:t>
      </w:r>
      <w:r>
        <w:t xml:space="preserve">, many of which were compliant with the CARB ATCM prior to the promulgation of the TSCA Title VI rule. </w:t>
      </w:r>
      <w:proofErr w:type="gramStart"/>
      <w:r>
        <w:t>Therefore</w:t>
      </w:r>
      <w:proofErr w:type="gramEnd"/>
      <w:r>
        <w:t xml:space="preserve"> only a fraction of the producers incur incremental burdens and costs due to the TSCA rule.</w:t>
      </w:r>
    </w:p>
    <w:p w:rsidRPr="00A81F42" w:rsidR="00A81F42" w:rsidP="00A81F42" w:rsidRDefault="00A81F42" w14:paraId="6353B7D9" w14:textId="77777777">
      <w:pPr>
        <w:pStyle w:val="NoSpacing"/>
      </w:pPr>
    </w:p>
    <w:p w:rsidRPr="00E94251" w:rsidR="00B302C6" w:rsidP="00C85F64" w:rsidRDefault="00B302C6" w14:paraId="525F14AB" w14:textId="1B1965D7">
      <w:r w:rsidRPr="00E94251">
        <w:rPr>
          <w:u w:val="single"/>
        </w:rPr>
        <w:t>Respondent</w:t>
      </w:r>
      <w:r w:rsidRPr="00E94251" w:rsidR="00C85F64">
        <w:rPr>
          <w:u w:val="single"/>
        </w:rPr>
        <w:t xml:space="preserve"> </w:t>
      </w:r>
      <w:r w:rsidRPr="00E94251">
        <w:rPr>
          <w:u w:val="single"/>
        </w:rPr>
        <w:t>NAICS Codes</w:t>
      </w:r>
    </w:p>
    <w:p w:rsidRPr="00E94251" w:rsidR="00B80F41" w:rsidP="00B80F41" w:rsidRDefault="00B80F41" w14:paraId="24A8C083" w14:textId="77777777">
      <w:pPr>
        <w:pStyle w:val="NoSpacing"/>
      </w:pPr>
    </w:p>
    <w:p w:rsidRPr="00E94251" w:rsidR="00880280" w:rsidP="00B80F41" w:rsidRDefault="00E94251" w14:paraId="78EE2AA4" w14:textId="2F50F887">
      <w:pPr>
        <w:pStyle w:val="NoSpacing"/>
      </w:pPr>
      <w:r w:rsidRPr="00E94251">
        <w:t>321211</w:t>
      </w:r>
      <w:r w:rsidRPr="00E94251" w:rsidR="00880280">
        <w:tab/>
      </w:r>
      <w:r w:rsidRPr="00E94251">
        <w:t>Hardwood Veneer and Plywood Manufacturing</w:t>
      </w:r>
    </w:p>
    <w:p w:rsidRPr="00E94251" w:rsidR="00880280" w:rsidP="00B80F41" w:rsidRDefault="00E94251" w14:paraId="63E6D99A" w14:textId="36E4C81D">
      <w:pPr>
        <w:pStyle w:val="NoSpacing"/>
      </w:pPr>
      <w:r w:rsidRPr="00E94251">
        <w:t>321219</w:t>
      </w:r>
      <w:r w:rsidRPr="00E94251" w:rsidR="00880280">
        <w:tab/>
      </w:r>
      <w:r w:rsidRPr="00E94251">
        <w:t>Reconstituted Wood Product Manufacturing</w:t>
      </w:r>
    </w:p>
    <w:p w:rsidRPr="00E94251" w:rsidR="007363B2" w:rsidP="00B80F41" w:rsidRDefault="00E94251" w14:paraId="2A36C4E2" w14:textId="01DDCBFE">
      <w:pPr>
        <w:pStyle w:val="NoSpacing"/>
      </w:pPr>
      <w:r w:rsidRPr="00E94251">
        <w:t>321999</w:t>
      </w:r>
      <w:r w:rsidRPr="00E94251" w:rsidR="00880280">
        <w:tab/>
      </w:r>
      <w:r w:rsidRPr="00E94251">
        <w:t>All Other Miscellaneous Wood Product Manufacturing</w:t>
      </w:r>
    </w:p>
    <w:p w:rsidRPr="0057276A" w:rsidR="00C85F64" w:rsidP="00C85F64" w:rsidRDefault="00C85F64" w14:paraId="122BE713" w14:textId="77777777">
      <w:pPr>
        <w:rPr>
          <w:highlight w:val="yellow"/>
          <w:u w:val="single"/>
        </w:rPr>
      </w:pPr>
    </w:p>
    <w:p w:rsidRPr="00352BCB" w:rsidR="00B302C6" w:rsidP="00C85F64" w:rsidRDefault="00B302C6" w14:paraId="394C76A1" w14:textId="77777777">
      <w:pPr>
        <w:rPr>
          <w:u w:val="single"/>
        </w:rPr>
      </w:pPr>
      <w:r w:rsidRPr="00352BCB">
        <w:rPr>
          <w:u w:val="single"/>
        </w:rPr>
        <w:t>Information Collection Activities</w:t>
      </w:r>
    </w:p>
    <w:p w:rsidRPr="00352BCB" w:rsidR="008102C9" w:rsidP="008102C9" w:rsidRDefault="008102C9" w14:paraId="428D4D21" w14:textId="68A8C18C">
      <w:pPr>
        <w:pStyle w:val="NoSpacing"/>
      </w:pPr>
    </w:p>
    <w:p w:rsidR="008102C9" w:rsidP="00035451" w:rsidRDefault="008102C9" w14:paraId="6BCE6941" w14:textId="36946E60">
      <w:pPr>
        <w:pStyle w:val="BodyText"/>
      </w:pPr>
      <w:r w:rsidRPr="00352BCB">
        <w:t xml:space="preserve">The incremental labor burden and costs from the required information collection activities for composite wood product producers </w:t>
      </w:r>
      <w:r w:rsidR="00C87773">
        <w:t>are attributable</w:t>
      </w:r>
      <w:r w:rsidRPr="00352BCB">
        <w:t xml:space="preserve"> to the following activities</w:t>
      </w:r>
      <w:r w:rsidR="00F40EA3">
        <w:t xml:space="preserve"> shown in the IC #1 table below</w:t>
      </w:r>
      <w:r w:rsidRPr="00352BCB">
        <w:t>:</w:t>
      </w:r>
    </w:p>
    <w:p w:rsidR="00035451" w:rsidP="00035451" w:rsidRDefault="00035451" w14:paraId="2EFAF613" w14:textId="67BB9C82">
      <w:pPr>
        <w:pStyle w:val="BodyText"/>
        <w:rPr>
          <w:rFonts w:cs="Arial"/>
          <w:szCs w:val="24"/>
        </w:rPr>
      </w:pPr>
      <w:r w:rsidRPr="00035451">
        <w:rPr>
          <w:b/>
        </w:rPr>
        <w:t>Testing and Certification</w:t>
      </w:r>
      <w:r>
        <w:rPr>
          <w:b/>
        </w:rPr>
        <w:t xml:space="preserve"> (data elements A-L)</w:t>
      </w:r>
      <w:r w:rsidRPr="00035451">
        <w:rPr>
          <w:b/>
        </w:rPr>
        <w:t>:</w:t>
      </w:r>
      <w:r w:rsidRPr="00035451">
        <w:rPr>
          <w:rFonts w:ascii="Times New Roman" w:hAnsi="Times New Roman"/>
        </w:rPr>
        <w:t xml:space="preserve"> </w:t>
      </w:r>
      <w:r w:rsidRPr="00035451">
        <w:rPr>
          <w:rFonts w:cs="Arial"/>
          <w:szCs w:val="24"/>
        </w:rPr>
        <w:t xml:space="preserve"> Composite panel producers that do not qualify for an exemption will need to perform formaldehyde emission testing on their composite wood products and attain certification from an EPA-recognized TPC. These entities must undergo qualifying tests at a TPC lab, obtain an on-site audit from a TPC, implement quality control systems, and train quality control employees in order to receive initial certification. </w:t>
      </w:r>
      <w:r w:rsidR="00291FFC">
        <w:rPr>
          <w:rFonts w:cs="Arial"/>
          <w:szCs w:val="24"/>
        </w:rPr>
        <w:t xml:space="preserve">These activities are assumed to have already occurred prior to the time period covered by this ICR. </w:t>
      </w:r>
      <w:r w:rsidR="009176B4">
        <w:rPr>
          <w:rFonts w:cs="Arial"/>
          <w:szCs w:val="24"/>
        </w:rPr>
        <w:t>In order to maintain its certified status</w:t>
      </w:r>
      <w:r w:rsidRPr="00035451">
        <w:rPr>
          <w:rFonts w:cs="Arial"/>
          <w:szCs w:val="24"/>
        </w:rPr>
        <w:t xml:space="preserve">, a mill is required to conduct on-going quality control testing, submit monthly reports to the certifying TPC, </w:t>
      </w:r>
      <w:r w:rsidR="009176B4">
        <w:rPr>
          <w:rFonts w:cs="Arial"/>
          <w:szCs w:val="24"/>
        </w:rPr>
        <w:t xml:space="preserve">have their certified products tested quarterly by their TPC, and participate in </w:t>
      </w:r>
      <w:r w:rsidRPr="00035451">
        <w:rPr>
          <w:rFonts w:cs="Arial"/>
          <w:szCs w:val="24"/>
        </w:rPr>
        <w:t xml:space="preserve">quarterly on-site audits </w:t>
      </w:r>
      <w:r w:rsidR="009176B4">
        <w:rPr>
          <w:rFonts w:cs="Arial"/>
          <w:szCs w:val="24"/>
        </w:rPr>
        <w:t>by their TPC</w:t>
      </w:r>
      <w:r w:rsidRPr="00035451">
        <w:rPr>
          <w:rFonts w:cs="Arial"/>
          <w:szCs w:val="24"/>
        </w:rPr>
        <w:t>.  Mills that produce products made with ULEF or NAF resins that meet more stringent emissions limits may apply for exemptions from some of the on-going testing and certification requirements</w:t>
      </w:r>
      <w:r>
        <w:rPr>
          <w:rFonts w:cs="Arial"/>
          <w:szCs w:val="24"/>
        </w:rPr>
        <w:t>. The incremental costs incurred by panel producers include the following:</w:t>
      </w:r>
    </w:p>
    <w:p w:rsidRPr="00FF2E60" w:rsidR="00035451" w:rsidP="00035451" w:rsidRDefault="00035451" w14:paraId="3A988477" w14:textId="77777777">
      <w:pPr>
        <w:pStyle w:val="NoSpacing"/>
        <w:numPr>
          <w:ilvl w:val="1"/>
          <w:numId w:val="30"/>
        </w:numPr>
        <w:rPr>
          <w:rFonts w:cs="Arial" w:eastAsiaTheme="minorEastAsia"/>
          <w:b/>
          <w:lang w:bidi="en-US"/>
        </w:rPr>
      </w:pPr>
      <w:r w:rsidRPr="00FF2E60">
        <w:rPr>
          <w:rFonts w:cs="Arial" w:eastAsiaTheme="minorEastAsia"/>
          <w:lang w:bidi="en-US"/>
        </w:rPr>
        <w:t>An annual fee charged by the TPC</w:t>
      </w:r>
      <w:r>
        <w:rPr>
          <w:rFonts w:cs="Arial" w:eastAsiaTheme="minorEastAsia"/>
          <w:lang w:bidi="en-US"/>
        </w:rPr>
        <w:t xml:space="preserve"> (Data Element: A)</w:t>
      </w:r>
    </w:p>
    <w:p w:rsidRPr="00FF2E60" w:rsidR="00035451" w:rsidP="00035451" w:rsidRDefault="00035451" w14:paraId="081E93CA" w14:textId="77777777">
      <w:pPr>
        <w:pStyle w:val="NoSpacing"/>
        <w:numPr>
          <w:ilvl w:val="1"/>
          <w:numId w:val="30"/>
        </w:numPr>
        <w:rPr>
          <w:rFonts w:cs="Arial" w:eastAsiaTheme="minorEastAsia"/>
          <w:b/>
          <w:lang w:bidi="en-US"/>
        </w:rPr>
      </w:pPr>
      <w:r w:rsidRPr="00FF2E60">
        <w:rPr>
          <w:rFonts w:cs="Arial" w:eastAsiaTheme="minorEastAsia"/>
          <w:lang w:bidi="en-US"/>
        </w:rPr>
        <w:t>On-site quarterly audits performed by the TPC</w:t>
      </w:r>
      <w:r>
        <w:rPr>
          <w:rFonts w:cs="Arial" w:eastAsiaTheme="minorEastAsia"/>
          <w:lang w:bidi="en-US"/>
        </w:rPr>
        <w:t xml:space="preserve"> (Data Elements: B, C)</w:t>
      </w:r>
    </w:p>
    <w:p w:rsidRPr="00FF2E60" w:rsidR="00035451" w:rsidP="00035451" w:rsidRDefault="00035451" w14:paraId="18185599" w14:textId="77777777">
      <w:pPr>
        <w:pStyle w:val="NoSpacing"/>
        <w:numPr>
          <w:ilvl w:val="1"/>
          <w:numId w:val="30"/>
        </w:numPr>
        <w:rPr>
          <w:rFonts w:cs="Arial" w:eastAsiaTheme="minorEastAsia"/>
          <w:b/>
          <w:lang w:bidi="en-US"/>
        </w:rPr>
      </w:pPr>
      <w:r w:rsidRPr="00FF2E60">
        <w:rPr>
          <w:rFonts w:cs="Arial" w:eastAsiaTheme="minorEastAsia"/>
          <w:lang w:bidi="en-US"/>
        </w:rPr>
        <w:t>Desk audits performed by the TPC</w:t>
      </w:r>
      <w:r>
        <w:rPr>
          <w:rFonts w:cs="Arial" w:eastAsiaTheme="minorEastAsia"/>
          <w:lang w:bidi="en-US"/>
        </w:rPr>
        <w:t xml:space="preserve"> (Data Element: D)</w:t>
      </w:r>
    </w:p>
    <w:p w:rsidRPr="00FF2E60" w:rsidR="00035451" w:rsidP="00035451" w:rsidRDefault="009176B4" w14:paraId="78987E4F" w14:textId="7B7B554E">
      <w:pPr>
        <w:pStyle w:val="NoSpacing"/>
        <w:numPr>
          <w:ilvl w:val="1"/>
          <w:numId w:val="30"/>
        </w:numPr>
        <w:rPr>
          <w:rFonts w:cs="Arial" w:eastAsiaTheme="minorEastAsia"/>
          <w:lang w:bidi="en-US"/>
        </w:rPr>
      </w:pPr>
      <w:r>
        <w:rPr>
          <w:rFonts w:cs="Arial" w:eastAsiaTheme="minorEastAsia"/>
          <w:lang w:bidi="en-US"/>
        </w:rPr>
        <w:t xml:space="preserve">Quarterly </w:t>
      </w:r>
      <w:r w:rsidRPr="00FF2E60" w:rsidR="00035451">
        <w:rPr>
          <w:rFonts w:cs="Arial" w:eastAsiaTheme="minorEastAsia"/>
          <w:lang w:bidi="en-US"/>
        </w:rPr>
        <w:t>testing performed by the TPC</w:t>
      </w:r>
      <w:r w:rsidR="00035451">
        <w:rPr>
          <w:rFonts w:cs="Arial" w:eastAsiaTheme="minorEastAsia"/>
          <w:lang w:bidi="en-US"/>
        </w:rPr>
        <w:t xml:space="preserve"> (Data Elements: E, F, G, H)</w:t>
      </w:r>
    </w:p>
    <w:p w:rsidRPr="00FF2E60" w:rsidR="00035451" w:rsidP="00035451" w:rsidRDefault="00035451" w14:paraId="0D329197" w14:textId="77777777">
      <w:pPr>
        <w:pStyle w:val="NoSpacing"/>
        <w:numPr>
          <w:ilvl w:val="1"/>
          <w:numId w:val="30"/>
        </w:numPr>
        <w:rPr>
          <w:rFonts w:cs="Arial" w:eastAsiaTheme="minorEastAsia"/>
          <w:lang w:bidi="en-US"/>
        </w:rPr>
      </w:pPr>
      <w:r w:rsidRPr="00FF2E60">
        <w:rPr>
          <w:rFonts w:cs="Arial" w:eastAsiaTheme="minorEastAsia"/>
          <w:lang w:bidi="en-US"/>
        </w:rPr>
        <w:t>Quality control testing</w:t>
      </w:r>
      <w:r>
        <w:rPr>
          <w:rFonts w:cs="Arial" w:eastAsiaTheme="minorEastAsia"/>
          <w:lang w:bidi="en-US"/>
        </w:rPr>
        <w:t xml:space="preserve"> (Data Elements: I, J, K, L)</w:t>
      </w:r>
    </w:p>
    <w:p w:rsidRPr="00035451" w:rsidR="00035451" w:rsidP="00035451" w:rsidRDefault="00035451" w14:paraId="0D060272" w14:textId="77777777">
      <w:pPr>
        <w:pStyle w:val="NoSpacing"/>
      </w:pPr>
    </w:p>
    <w:p w:rsidRPr="00035451" w:rsidR="00035451" w:rsidP="00035451" w:rsidRDefault="00035451" w14:paraId="6CBEF5B1" w14:textId="491C8E00">
      <w:pPr>
        <w:pStyle w:val="BodyText"/>
        <w:rPr>
          <w:rFonts w:eastAsiaTheme="minorHAnsi"/>
        </w:rPr>
      </w:pPr>
      <w:r w:rsidRPr="00035451">
        <w:rPr>
          <w:b/>
        </w:rPr>
        <w:t>Recordkeeping</w:t>
      </w:r>
      <w:r>
        <w:rPr>
          <w:b/>
        </w:rPr>
        <w:t xml:space="preserve"> </w:t>
      </w:r>
      <w:r w:rsidRPr="00035451">
        <w:rPr>
          <w:b/>
        </w:rPr>
        <w:t xml:space="preserve">(Data Element: M):  </w:t>
      </w:r>
      <w:r w:rsidRPr="00035451">
        <w:rPr>
          <w:rFonts w:eastAsiaTheme="minorHAnsi"/>
        </w:rPr>
        <w:t xml:space="preserve">Panel producers must maintain various records including emissions testing results, product and production records, and representative copies of labels used. </w:t>
      </w:r>
    </w:p>
    <w:p w:rsidR="0068414E" w:rsidP="00035451" w:rsidRDefault="00352BCB" w14:paraId="43DCEF35" w14:textId="48814E00">
      <w:pPr>
        <w:pStyle w:val="BodyText"/>
      </w:pPr>
      <w:r>
        <w:t xml:space="preserve">See </w:t>
      </w:r>
      <w:r w:rsidR="00CD1AF1">
        <w:t xml:space="preserve">Attachment </w:t>
      </w:r>
      <w:r w:rsidR="00D4207E">
        <w:t>3</w:t>
      </w:r>
      <w:r w:rsidR="00CD1AF1">
        <w:t xml:space="preserve"> </w:t>
      </w:r>
      <w:r>
        <w:t>for a detailed description of the assumptions used to estimate the burden and cost estimates presented in the IC# 1 table below.</w:t>
      </w:r>
    </w:p>
    <w:p w:rsidRPr="00943009" w:rsidR="00035451" w:rsidP="00284484" w:rsidRDefault="00035451" w14:paraId="46FC3248" w14:textId="77777777">
      <w:pPr>
        <w:pStyle w:val="NoSpacing"/>
      </w:pPr>
    </w:p>
    <w:tbl>
      <w:tblPr>
        <w:tblW w:w="1084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5"/>
        <w:gridCol w:w="1521"/>
        <w:gridCol w:w="1071"/>
        <w:gridCol w:w="790"/>
        <w:gridCol w:w="1306"/>
        <w:gridCol w:w="1461"/>
        <w:gridCol w:w="1433"/>
      </w:tblGrid>
      <w:tr w:rsidRPr="00943009" w:rsidR="004E4E65" w:rsidTr="00AA7E6D" w14:paraId="628CDB38" w14:textId="77777777">
        <w:tc>
          <w:tcPr>
            <w:tcW w:w="10847" w:type="dxa"/>
            <w:gridSpan w:val="7"/>
            <w:shd w:val="clear" w:color="auto" w:fill="BFBFBF" w:themeFill="background1" w:themeFillShade="BF"/>
            <w:vAlign w:val="center"/>
            <w:hideMark/>
          </w:tcPr>
          <w:p w:rsidRPr="00035451" w:rsidR="004E4E65" w:rsidP="00D4207E" w:rsidRDefault="004E4E65" w14:paraId="0992DF4A" w14:textId="019338B8">
            <w:pPr>
              <w:keepNext/>
              <w:keepLines/>
              <w:rPr>
                <w:rFonts w:eastAsia="Times New Roman" w:cs="Arial"/>
                <w:b/>
                <w:bCs/>
                <w:color w:val="000000"/>
                <w:sz w:val="22"/>
              </w:rPr>
            </w:pPr>
            <w:r w:rsidRPr="00035451">
              <w:rPr>
                <w:rFonts w:eastAsia="Times New Roman" w:cs="Arial"/>
                <w:b/>
                <w:bCs/>
                <w:color w:val="000000"/>
                <w:sz w:val="22"/>
              </w:rPr>
              <w:lastRenderedPageBreak/>
              <w:t xml:space="preserve">IC# 1. </w:t>
            </w:r>
            <w:r w:rsidRPr="00035451" w:rsidR="00943009">
              <w:rPr>
                <w:rFonts w:eastAsia="Times New Roman" w:cs="Arial"/>
                <w:b/>
                <w:bCs/>
                <w:color w:val="000000"/>
                <w:sz w:val="22"/>
              </w:rPr>
              <w:t>Recordkeeping and Reporting Activities for Producers</w:t>
            </w:r>
          </w:p>
        </w:tc>
      </w:tr>
      <w:tr w:rsidRPr="0057276A" w:rsidR="00CF1A53" w:rsidTr="00AA7E6D" w14:paraId="7FA39E11" w14:textId="77777777">
        <w:tc>
          <w:tcPr>
            <w:tcW w:w="10847" w:type="dxa"/>
            <w:gridSpan w:val="7"/>
            <w:shd w:val="clear" w:color="auto" w:fill="BFBFBF" w:themeFill="background1" w:themeFillShade="BF"/>
            <w:vAlign w:val="center"/>
            <w:hideMark/>
          </w:tcPr>
          <w:p w:rsidRPr="00035451" w:rsidR="00CF1A53" w:rsidP="00035451" w:rsidRDefault="00CF1A53" w14:paraId="385713E9" w14:textId="2B6682CD">
            <w:pPr>
              <w:keepNext/>
              <w:keepLines/>
              <w:jc w:val="center"/>
              <w:rPr>
                <w:rFonts w:eastAsia="Times New Roman" w:cs="Arial"/>
                <w:b/>
                <w:bCs/>
                <w:color w:val="000000"/>
                <w:sz w:val="22"/>
              </w:rPr>
            </w:pPr>
            <w:r w:rsidRPr="00035451">
              <w:rPr>
                <w:rFonts w:eastAsia="Times New Roman" w:cs="Arial"/>
                <w:b/>
                <w:bCs/>
                <w:color w:val="000000"/>
                <w:sz w:val="22"/>
              </w:rPr>
              <w:t> </w:t>
            </w:r>
            <w:r w:rsidRPr="00035451" w:rsidR="004E4E65">
              <w:rPr>
                <w:rFonts w:eastAsia="Times New Roman" w:cs="Arial"/>
                <w:b/>
                <w:bCs/>
                <w:color w:val="000000"/>
                <w:sz w:val="22"/>
              </w:rPr>
              <w:t xml:space="preserve">Citation: 40 CFR </w:t>
            </w:r>
            <w:r w:rsidRPr="000A1B41" w:rsidR="00035451">
              <w:rPr>
                <w:rFonts w:eastAsia="Times New Roman" w:cs="Arial"/>
                <w:b/>
                <w:bCs/>
                <w:color w:val="000000"/>
                <w:sz w:val="22"/>
              </w:rPr>
              <w:t>770</w:t>
            </w:r>
          </w:p>
        </w:tc>
      </w:tr>
      <w:tr w:rsidRPr="0057276A" w:rsidR="00E66E27" w:rsidTr="00DE4552" w14:paraId="7E9423C9" w14:textId="77777777">
        <w:tc>
          <w:tcPr>
            <w:tcW w:w="3265" w:type="dxa"/>
            <w:shd w:val="clear" w:color="auto" w:fill="BFBFBF" w:themeFill="background1" w:themeFillShade="BF"/>
            <w:vAlign w:val="center"/>
            <w:hideMark/>
          </w:tcPr>
          <w:p w:rsidRPr="009176B4" w:rsidR="00E66E27" w:rsidP="00FF2E60" w:rsidRDefault="00E66E27" w14:paraId="42F3FCDE" w14:textId="2D075A0F">
            <w:pPr>
              <w:keepNext/>
              <w:keepLines/>
              <w:rPr>
                <w:rFonts w:eastAsia="Times New Roman" w:cs="Arial"/>
                <w:b/>
                <w:bCs/>
                <w:sz w:val="18"/>
                <w:szCs w:val="18"/>
              </w:rPr>
            </w:pPr>
            <w:r w:rsidRPr="009176B4">
              <w:rPr>
                <w:rFonts w:eastAsia="Times New Roman" w:cs="Arial"/>
                <w:b/>
                <w:bCs/>
                <w:sz w:val="18"/>
                <w:szCs w:val="18"/>
              </w:rPr>
              <w:t>Data Element</w:t>
            </w:r>
          </w:p>
        </w:tc>
        <w:tc>
          <w:tcPr>
            <w:tcW w:w="1521" w:type="dxa"/>
            <w:tcBorders>
              <w:bottom w:val="single" w:color="auto" w:sz="4" w:space="0"/>
            </w:tcBorders>
            <w:shd w:val="clear" w:color="auto" w:fill="BFBFBF" w:themeFill="background1" w:themeFillShade="BF"/>
            <w:vAlign w:val="center"/>
            <w:hideMark/>
          </w:tcPr>
          <w:p w:rsidRPr="009176B4" w:rsidR="00E66E27" w:rsidP="00972548" w:rsidRDefault="00E66E27" w14:paraId="0B33409A" w14:textId="77777777">
            <w:pPr>
              <w:keepNext/>
              <w:keepLines/>
              <w:jc w:val="center"/>
              <w:rPr>
                <w:rFonts w:eastAsia="Times New Roman" w:cs="Arial"/>
                <w:b/>
                <w:bCs/>
                <w:sz w:val="18"/>
                <w:szCs w:val="18"/>
              </w:rPr>
            </w:pPr>
            <w:r w:rsidRPr="009176B4">
              <w:rPr>
                <w:rFonts w:eastAsia="Times New Roman" w:cs="Arial"/>
                <w:b/>
                <w:bCs/>
                <w:sz w:val="18"/>
                <w:szCs w:val="18"/>
              </w:rPr>
              <w:t>Respondents</w:t>
            </w:r>
          </w:p>
        </w:tc>
        <w:tc>
          <w:tcPr>
            <w:tcW w:w="1071" w:type="dxa"/>
            <w:shd w:val="clear" w:color="auto" w:fill="BFBFBF" w:themeFill="background1" w:themeFillShade="BF"/>
            <w:vAlign w:val="center"/>
            <w:hideMark/>
          </w:tcPr>
          <w:p w:rsidRPr="009176B4" w:rsidR="00E66E27" w:rsidP="00972548" w:rsidRDefault="00E66E27" w14:paraId="484205C6" w14:textId="77777777">
            <w:pPr>
              <w:keepNext/>
              <w:keepLines/>
              <w:jc w:val="center"/>
              <w:rPr>
                <w:rFonts w:eastAsia="Times New Roman" w:cs="Arial"/>
                <w:b/>
                <w:bCs/>
                <w:sz w:val="18"/>
                <w:szCs w:val="18"/>
              </w:rPr>
            </w:pPr>
            <w:r w:rsidRPr="009176B4">
              <w:rPr>
                <w:rFonts w:eastAsia="Times New Roman" w:cs="Arial"/>
                <w:b/>
                <w:bCs/>
                <w:sz w:val="18"/>
                <w:szCs w:val="18"/>
              </w:rPr>
              <w:t>Responses</w:t>
            </w:r>
          </w:p>
        </w:tc>
        <w:tc>
          <w:tcPr>
            <w:tcW w:w="790" w:type="dxa"/>
            <w:shd w:val="clear" w:color="auto" w:fill="BFBFBF" w:themeFill="background1" w:themeFillShade="BF"/>
            <w:vAlign w:val="center"/>
            <w:hideMark/>
          </w:tcPr>
          <w:p w:rsidRPr="009176B4" w:rsidR="00E66E27" w:rsidP="00972548" w:rsidRDefault="00972548" w14:paraId="27E44EC1" w14:textId="6569358D">
            <w:pPr>
              <w:keepNext/>
              <w:keepLines/>
              <w:jc w:val="center"/>
              <w:rPr>
                <w:rFonts w:eastAsia="Times New Roman" w:cs="Arial"/>
                <w:b/>
                <w:bCs/>
                <w:sz w:val="18"/>
                <w:szCs w:val="18"/>
              </w:rPr>
            </w:pPr>
            <w:r>
              <w:rPr>
                <w:rFonts w:eastAsia="Times New Roman" w:cs="Arial"/>
                <w:b/>
                <w:bCs/>
                <w:sz w:val="18"/>
                <w:szCs w:val="18"/>
              </w:rPr>
              <w:t xml:space="preserve">Total </w:t>
            </w:r>
            <w:r w:rsidRPr="009176B4" w:rsidR="00E66E27">
              <w:rPr>
                <w:rFonts w:eastAsia="Times New Roman" w:cs="Arial"/>
                <w:b/>
                <w:bCs/>
                <w:sz w:val="18"/>
                <w:szCs w:val="18"/>
              </w:rPr>
              <w:t>Burden</w:t>
            </w:r>
            <w:r w:rsidR="00E66E27">
              <w:rPr>
                <w:rFonts w:eastAsia="Times New Roman" w:cs="Arial"/>
                <w:b/>
                <w:bCs/>
                <w:sz w:val="18"/>
                <w:szCs w:val="18"/>
              </w:rPr>
              <w:t xml:space="preserve"> </w:t>
            </w:r>
            <w:r w:rsidR="00525D83">
              <w:rPr>
                <w:rFonts w:eastAsia="Times New Roman" w:cs="Arial"/>
                <w:b/>
                <w:bCs/>
                <w:sz w:val="18"/>
                <w:szCs w:val="18"/>
              </w:rPr>
              <w:t>(</w:t>
            </w:r>
            <w:r w:rsidR="00E66E27">
              <w:rPr>
                <w:rFonts w:eastAsia="Times New Roman" w:cs="Arial"/>
                <w:b/>
                <w:bCs/>
                <w:sz w:val="18"/>
                <w:szCs w:val="18"/>
              </w:rPr>
              <w:t>Hours</w:t>
            </w:r>
            <w:r w:rsidR="00525D83">
              <w:rPr>
                <w:rFonts w:eastAsia="Times New Roman" w:cs="Arial"/>
                <w:b/>
                <w:bCs/>
                <w:sz w:val="18"/>
                <w:szCs w:val="18"/>
              </w:rPr>
              <w:t>)</w:t>
            </w:r>
          </w:p>
        </w:tc>
        <w:tc>
          <w:tcPr>
            <w:tcW w:w="1306" w:type="dxa"/>
            <w:shd w:val="clear" w:color="auto" w:fill="BFBFBF" w:themeFill="background1" w:themeFillShade="BF"/>
            <w:vAlign w:val="center"/>
            <w:hideMark/>
          </w:tcPr>
          <w:p w:rsidRPr="009176B4" w:rsidR="00E66E27" w:rsidP="00972548" w:rsidRDefault="00972548" w14:paraId="7CAE0313" w14:textId="53BBD678">
            <w:pPr>
              <w:keepNext/>
              <w:keepLines/>
              <w:jc w:val="center"/>
              <w:rPr>
                <w:rFonts w:eastAsia="Times New Roman" w:cs="Arial"/>
                <w:b/>
                <w:bCs/>
                <w:sz w:val="18"/>
                <w:szCs w:val="18"/>
              </w:rPr>
            </w:pPr>
            <w:r>
              <w:rPr>
                <w:rFonts w:eastAsia="Times New Roman" w:cs="Arial"/>
                <w:b/>
                <w:bCs/>
                <w:sz w:val="18"/>
                <w:szCs w:val="18"/>
              </w:rPr>
              <w:t xml:space="preserve">Total </w:t>
            </w:r>
            <w:r w:rsidRPr="009176B4" w:rsidR="00E66E27">
              <w:rPr>
                <w:rFonts w:eastAsia="Times New Roman" w:cs="Arial"/>
                <w:b/>
                <w:bCs/>
                <w:sz w:val="18"/>
                <w:szCs w:val="18"/>
              </w:rPr>
              <w:t>Labor Cost</w:t>
            </w:r>
          </w:p>
        </w:tc>
        <w:tc>
          <w:tcPr>
            <w:tcW w:w="1461" w:type="dxa"/>
            <w:shd w:val="clear" w:color="auto" w:fill="BFBFBF" w:themeFill="background1" w:themeFillShade="BF"/>
            <w:vAlign w:val="center"/>
            <w:hideMark/>
          </w:tcPr>
          <w:p w:rsidRPr="009176B4" w:rsidR="00E66E27" w:rsidP="00972548" w:rsidRDefault="00972548" w14:paraId="3AB8DC40" w14:textId="4A8699C3">
            <w:pPr>
              <w:keepNext/>
              <w:keepLines/>
              <w:jc w:val="center"/>
              <w:rPr>
                <w:rFonts w:eastAsia="Times New Roman" w:cs="Arial"/>
                <w:b/>
                <w:bCs/>
                <w:sz w:val="18"/>
                <w:szCs w:val="18"/>
              </w:rPr>
            </w:pPr>
            <w:r>
              <w:rPr>
                <w:rFonts w:eastAsia="Times New Roman" w:cs="Arial"/>
                <w:b/>
                <w:bCs/>
                <w:sz w:val="18"/>
                <w:szCs w:val="18"/>
              </w:rPr>
              <w:t xml:space="preserve">Total </w:t>
            </w:r>
            <w:r w:rsidR="00E66E27">
              <w:rPr>
                <w:rFonts w:eastAsia="Times New Roman" w:cs="Arial"/>
                <w:b/>
                <w:bCs/>
                <w:sz w:val="18"/>
                <w:szCs w:val="18"/>
              </w:rPr>
              <w:t xml:space="preserve">Non-Labor </w:t>
            </w:r>
            <w:r w:rsidRPr="009176B4" w:rsidR="00E66E27">
              <w:rPr>
                <w:rFonts w:eastAsia="Times New Roman" w:cs="Arial"/>
                <w:b/>
                <w:bCs/>
                <w:sz w:val="18"/>
                <w:szCs w:val="18"/>
              </w:rPr>
              <w:t xml:space="preserve"> Cost</w:t>
            </w:r>
          </w:p>
        </w:tc>
        <w:tc>
          <w:tcPr>
            <w:tcW w:w="1433" w:type="dxa"/>
            <w:shd w:val="clear" w:color="auto" w:fill="BFBFBF" w:themeFill="background1" w:themeFillShade="BF"/>
            <w:vAlign w:val="center"/>
            <w:hideMark/>
          </w:tcPr>
          <w:p w:rsidRPr="009176B4" w:rsidR="00E66E27" w:rsidP="00972548" w:rsidRDefault="00E66E27" w14:paraId="60E64FE6" w14:textId="77777777">
            <w:pPr>
              <w:keepNext/>
              <w:keepLines/>
              <w:jc w:val="center"/>
              <w:rPr>
                <w:rFonts w:eastAsia="Times New Roman" w:cs="Arial"/>
                <w:b/>
                <w:bCs/>
                <w:sz w:val="18"/>
                <w:szCs w:val="18"/>
              </w:rPr>
            </w:pPr>
            <w:r w:rsidRPr="009176B4">
              <w:rPr>
                <w:rFonts w:eastAsia="Times New Roman" w:cs="Arial"/>
                <w:b/>
                <w:bCs/>
                <w:sz w:val="18"/>
                <w:szCs w:val="18"/>
              </w:rPr>
              <w:t>Total Cost</w:t>
            </w:r>
          </w:p>
        </w:tc>
      </w:tr>
      <w:tr w:rsidRPr="0057276A" w:rsidR="004028A4" w:rsidTr="00DE4552" w14:paraId="2264F4C1" w14:textId="77777777">
        <w:tc>
          <w:tcPr>
            <w:tcW w:w="3265" w:type="dxa"/>
            <w:shd w:val="clear" w:color="auto" w:fill="auto"/>
            <w:vAlign w:val="center"/>
          </w:tcPr>
          <w:p w:rsidRPr="00DB6048" w:rsidR="004028A4" w:rsidP="004028A4" w:rsidRDefault="004028A4" w14:paraId="135C167F" w14:textId="3346C22E">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Third Party Certifier Fee</w:t>
            </w:r>
          </w:p>
        </w:tc>
        <w:tc>
          <w:tcPr>
            <w:tcW w:w="1521" w:type="dxa"/>
            <w:shd w:val="clear" w:color="auto" w:fill="auto"/>
            <w:vAlign w:val="center"/>
          </w:tcPr>
          <w:p w:rsidRPr="00943009" w:rsidR="004028A4" w:rsidP="004028A4" w:rsidRDefault="004028A4" w14:paraId="46CD18A0" w14:textId="7F5B00E8">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45369E52" w14:textId="3D193C6B">
            <w:pPr>
              <w:keepNext/>
              <w:keepLines/>
              <w:ind w:right="90"/>
              <w:jc w:val="right"/>
              <w:rPr>
                <w:rFonts w:eastAsia="Times New Roman" w:cs="Arial"/>
                <w:color w:val="000000"/>
                <w:sz w:val="18"/>
                <w:szCs w:val="18"/>
              </w:rPr>
            </w:pPr>
            <w:r>
              <w:rPr>
                <w:rFonts w:cs="Arial"/>
                <w:color w:val="000000"/>
                <w:sz w:val="18"/>
                <w:szCs w:val="18"/>
              </w:rPr>
              <w:t>204</w:t>
            </w:r>
          </w:p>
        </w:tc>
        <w:tc>
          <w:tcPr>
            <w:tcW w:w="790" w:type="dxa"/>
            <w:shd w:val="clear" w:color="auto" w:fill="auto"/>
            <w:vAlign w:val="center"/>
          </w:tcPr>
          <w:p w:rsidRPr="00943009" w:rsidR="004028A4" w:rsidP="004028A4" w:rsidRDefault="004028A4" w14:paraId="5B6494B7" w14:textId="1CE0E732">
            <w:pPr>
              <w:keepNext/>
              <w:keepLines/>
              <w:ind w:right="90"/>
              <w:jc w:val="right"/>
              <w:rPr>
                <w:rFonts w:eastAsia="Times New Roman" w:cs="Arial"/>
                <w:color w:val="000000"/>
                <w:sz w:val="18"/>
                <w:szCs w:val="18"/>
              </w:rPr>
            </w:pPr>
            <w:r>
              <w:rPr>
                <w:rFonts w:cs="Arial"/>
                <w:color w:val="000000"/>
                <w:sz w:val="18"/>
                <w:szCs w:val="18"/>
              </w:rPr>
              <w:t>0</w:t>
            </w:r>
          </w:p>
        </w:tc>
        <w:tc>
          <w:tcPr>
            <w:tcW w:w="1306" w:type="dxa"/>
            <w:shd w:val="clear" w:color="auto" w:fill="auto"/>
            <w:vAlign w:val="center"/>
          </w:tcPr>
          <w:p w:rsidRPr="00943009" w:rsidR="004028A4" w:rsidP="004028A4" w:rsidRDefault="004028A4" w14:paraId="3CAA2405" w14:textId="03CFCF80">
            <w:pPr>
              <w:keepNext/>
              <w:keepLines/>
              <w:ind w:right="90"/>
              <w:jc w:val="right"/>
              <w:rPr>
                <w:rFonts w:eastAsia="Times New Roman" w:cs="Arial"/>
                <w:color w:val="000000"/>
                <w:sz w:val="18"/>
                <w:szCs w:val="18"/>
              </w:rPr>
            </w:pPr>
            <w:r>
              <w:rPr>
                <w:rFonts w:cs="Arial"/>
                <w:color w:val="000000"/>
                <w:sz w:val="18"/>
                <w:szCs w:val="18"/>
              </w:rPr>
              <w:t xml:space="preserve">$0 </w:t>
            </w:r>
          </w:p>
        </w:tc>
        <w:tc>
          <w:tcPr>
            <w:tcW w:w="1461" w:type="dxa"/>
            <w:shd w:val="clear" w:color="auto" w:fill="auto"/>
            <w:vAlign w:val="center"/>
          </w:tcPr>
          <w:p w:rsidRPr="00943009" w:rsidR="004028A4" w:rsidP="004028A4" w:rsidRDefault="004028A4" w14:paraId="6634B11A" w14:textId="0BE48F99">
            <w:pPr>
              <w:keepNext/>
              <w:keepLines/>
              <w:ind w:right="90"/>
              <w:jc w:val="right"/>
              <w:rPr>
                <w:rFonts w:eastAsia="Times New Roman" w:cs="Arial"/>
                <w:color w:val="000000"/>
                <w:sz w:val="18"/>
                <w:szCs w:val="18"/>
              </w:rPr>
            </w:pPr>
            <w:r>
              <w:rPr>
                <w:rFonts w:cs="Arial"/>
                <w:color w:val="000000"/>
                <w:sz w:val="18"/>
                <w:szCs w:val="18"/>
              </w:rPr>
              <w:t xml:space="preserve">$1,366,392 </w:t>
            </w:r>
          </w:p>
        </w:tc>
        <w:tc>
          <w:tcPr>
            <w:tcW w:w="1433" w:type="dxa"/>
            <w:shd w:val="clear" w:color="auto" w:fill="auto"/>
            <w:vAlign w:val="center"/>
          </w:tcPr>
          <w:p w:rsidRPr="00943009" w:rsidR="004028A4" w:rsidP="004028A4" w:rsidRDefault="004028A4" w14:paraId="0E7B11C2" w14:textId="092F6F9F">
            <w:pPr>
              <w:keepNext/>
              <w:keepLines/>
              <w:ind w:right="90"/>
              <w:jc w:val="right"/>
              <w:rPr>
                <w:rFonts w:eastAsia="Times New Roman" w:cs="Arial"/>
                <w:color w:val="000000"/>
                <w:sz w:val="18"/>
                <w:szCs w:val="18"/>
              </w:rPr>
            </w:pPr>
            <w:r>
              <w:rPr>
                <w:rFonts w:cs="Arial"/>
                <w:color w:val="000000"/>
                <w:sz w:val="18"/>
                <w:szCs w:val="18"/>
              </w:rPr>
              <w:t xml:space="preserve">$1,366,392 </w:t>
            </w:r>
          </w:p>
        </w:tc>
      </w:tr>
      <w:tr w:rsidRPr="0057276A" w:rsidR="004028A4" w:rsidTr="00DE4552" w14:paraId="140C6B9C" w14:textId="77777777">
        <w:tc>
          <w:tcPr>
            <w:tcW w:w="3265" w:type="dxa"/>
            <w:shd w:val="clear" w:color="auto" w:fill="auto"/>
            <w:vAlign w:val="center"/>
          </w:tcPr>
          <w:p w:rsidRPr="00DB6048" w:rsidR="004028A4" w:rsidP="004028A4" w:rsidRDefault="004028A4" w14:paraId="350AAD4E" w14:textId="226EDCBF">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 xml:space="preserve">Recurring On-site Audit </w:t>
            </w:r>
            <w:r>
              <w:rPr>
                <w:rFonts w:cs="Arial"/>
                <w:color w:val="000000"/>
                <w:sz w:val="18"/>
                <w:szCs w:val="18"/>
              </w:rPr>
              <w:t xml:space="preserve"> by TPC</w:t>
            </w:r>
          </w:p>
        </w:tc>
        <w:tc>
          <w:tcPr>
            <w:tcW w:w="1521" w:type="dxa"/>
            <w:shd w:val="clear" w:color="auto" w:fill="auto"/>
            <w:vAlign w:val="center"/>
          </w:tcPr>
          <w:p w:rsidRPr="00943009" w:rsidR="004028A4" w:rsidP="004028A4" w:rsidRDefault="004028A4" w14:paraId="2DB4D3A3" w14:textId="6EA4B2B1">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0D27F001" w14:textId="1B309594">
            <w:pPr>
              <w:keepNext/>
              <w:keepLines/>
              <w:ind w:right="90"/>
              <w:jc w:val="right"/>
              <w:rPr>
                <w:rFonts w:eastAsia="Times New Roman" w:cs="Arial"/>
                <w:color w:val="000000"/>
                <w:sz w:val="18"/>
                <w:szCs w:val="18"/>
              </w:rPr>
            </w:pPr>
            <w:r>
              <w:rPr>
                <w:rFonts w:cs="Arial"/>
                <w:color w:val="000000"/>
                <w:sz w:val="18"/>
                <w:szCs w:val="18"/>
              </w:rPr>
              <w:t>816</w:t>
            </w:r>
          </w:p>
        </w:tc>
        <w:tc>
          <w:tcPr>
            <w:tcW w:w="790" w:type="dxa"/>
            <w:shd w:val="clear" w:color="auto" w:fill="auto"/>
            <w:vAlign w:val="center"/>
          </w:tcPr>
          <w:p w:rsidRPr="00943009" w:rsidR="004028A4" w:rsidP="004028A4" w:rsidRDefault="004028A4" w14:paraId="502F1D65" w14:textId="0816E1A3">
            <w:pPr>
              <w:keepNext/>
              <w:keepLines/>
              <w:ind w:right="90"/>
              <w:jc w:val="right"/>
              <w:rPr>
                <w:rFonts w:eastAsia="Times New Roman" w:cs="Arial"/>
                <w:color w:val="000000"/>
                <w:sz w:val="18"/>
                <w:szCs w:val="18"/>
              </w:rPr>
            </w:pPr>
            <w:r>
              <w:rPr>
                <w:rFonts w:cs="Arial"/>
                <w:color w:val="000000"/>
                <w:sz w:val="18"/>
                <w:szCs w:val="18"/>
              </w:rPr>
              <w:t>3,264</w:t>
            </w:r>
          </w:p>
        </w:tc>
        <w:tc>
          <w:tcPr>
            <w:tcW w:w="1306" w:type="dxa"/>
            <w:shd w:val="clear" w:color="auto" w:fill="auto"/>
            <w:vAlign w:val="center"/>
          </w:tcPr>
          <w:p w:rsidRPr="00943009" w:rsidR="004028A4" w:rsidP="004028A4" w:rsidRDefault="004028A4" w14:paraId="3A878D06" w14:textId="16F0870E">
            <w:pPr>
              <w:keepNext/>
              <w:keepLines/>
              <w:ind w:right="90"/>
              <w:jc w:val="right"/>
              <w:rPr>
                <w:rFonts w:eastAsia="Times New Roman" w:cs="Arial"/>
                <w:color w:val="000000"/>
                <w:sz w:val="18"/>
                <w:szCs w:val="18"/>
              </w:rPr>
            </w:pPr>
            <w:r>
              <w:rPr>
                <w:rFonts w:cs="Arial"/>
                <w:color w:val="000000"/>
                <w:sz w:val="18"/>
                <w:szCs w:val="18"/>
              </w:rPr>
              <w:t xml:space="preserve">$290,496 </w:t>
            </w:r>
          </w:p>
        </w:tc>
        <w:tc>
          <w:tcPr>
            <w:tcW w:w="1461" w:type="dxa"/>
            <w:shd w:val="clear" w:color="auto" w:fill="auto"/>
            <w:vAlign w:val="center"/>
          </w:tcPr>
          <w:p w:rsidRPr="00943009" w:rsidR="004028A4" w:rsidP="004028A4" w:rsidRDefault="004028A4" w14:paraId="7D39F724" w14:textId="7188FE65">
            <w:pPr>
              <w:keepNext/>
              <w:keepLines/>
              <w:ind w:right="90"/>
              <w:jc w:val="right"/>
              <w:rPr>
                <w:rFonts w:eastAsia="Times New Roman" w:cs="Arial"/>
                <w:color w:val="000000"/>
                <w:sz w:val="18"/>
                <w:szCs w:val="18"/>
              </w:rPr>
            </w:pPr>
            <w:r>
              <w:rPr>
                <w:rFonts w:cs="Arial"/>
                <w:color w:val="000000"/>
                <w:sz w:val="18"/>
                <w:szCs w:val="18"/>
              </w:rPr>
              <w:t xml:space="preserve">$409,632 </w:t>
            </w:r>
          </w:p>
        </w:tc>
        <w:tc>
          <w:tcPr>
            <w:tcW w:w="1433" w:type="dxa"/>
            <w:shd w:val="clear" w:color="auto" w:fill="auto"/>
            <w:vAlign w:val="center"/>
          </w:tcPr>
          <w:p w:rsidRPr="00943009" w:rsidR="004028A4" w:rsidP="004028A4" w:rsidRDefault="004028A4" w14:paraId="33CB29B9" w14:textId="6A9D358A">
            <w:pPr>
              <w:keepNext/>
              <w:keepLines/>
              <w:ind w:right="90"/>
              <w:jc w:val="right"/>
              <w:rPr>
                <w:rFonts w:eastAsia="Times New Roman" w:cs="Arial"/>
                <w:color w:val="000000"/>
                <w:sz w:val="18"/>
                <w:szCs w:val="18"/>
              </w:rPr>
            </w:pPr>
            <w:r>
              <w:rPr>
                <w:rFonts w:cs="Arial"/>
                <w:color w:val="000000"/>
                <w:sz w:val="18"/>
                <w:szCs w:val="18"/>
              </w:rPr>
              <w:t xml:space="preserve">$700,128 </w:t>
            </w:r>
          </w:p>
        </w:tc>
      </w:tr>
      <w:tr w:rsidRPr="0057276A" w:rsidR="004028A4" w:rsidTr="00DE4552" w14:paraId="08539794" w14:textId="77777777">
        <w:tc>
          <w:tcPr>
            <w:tcW w:w="3265" w:type="dxa"/>
            <w:shd w:val="clear" w:color="auto" w:fill="auto"/>
            <w:vAlign w:val="center"/>
          </w:tcPr>
          <w:p w:rsidRPr="00DB6048" w:rsidR="004028A4" w:rsidP="004028A4" w:rsidRDefault="004028A4" w14:paraId="1900AC90" w14:textId="19AADA5C">
            <w:pPr>
              <w:pStyle w:val="ListParagraph"/>
              <w:keepNext/>
              <w:keepLines/>
              <w:numPr>
                <w:ilvl w:val="0"/>
                <w:numId w:val="31"/>
              </w:numPr>
              <w:ind w:hanging="265"/>
              <w:rPr>
                <w:rFonts w:cs="Arial"/>
                <w:color w:val="000000"/>
                <w:sz w:val="18"/>
                <w:szCs w:val="18"/>
              </w:rPr>
            </w:pPr>
            <w:r w:rsidRPr="00DB6048">
              <w:rPr>
                <w:rFonts w:cs="Arial"/>
                <w:color w:val="000000"/>
                <w:sz w:val="18"/>
                <w:szCs w:val="18"/>
              </w:rPr>
              <w:t>On-site Audit Travel</w:t>
            </w:r>
          </w:p>
        </w:tc>
        <w:tc>
          <w:tcPr>
            <w:tcW w:w="1521" w:type="dxa"/>
            <w:shd w:val="clear" w:color="auto" w:fill="auto"/>
            <w:vAlign w:val="center"/>
          </w:tcPr>
          <w:p w:rsidR="004028A4" w:rsidP="004028A4" w:rsidRDefault="004028A4" w14:paraId="035F6A77" w14:textId="4699E956">
            <w:pPr>
              <w:keepNext/>
              <w:keepLines/>
              <w:ind w:right="90"/>
              <w:jc w:val="right"/>
              <w:rPr>
                <w:rFonts w:cs="Arial"/>
                <w:color w:val="000000"/>
                <w:sz w:val="18"/>
                <w:szCs w:val="18"/>
              </w:rPr>
            </w:pPr>
            <w:r>
              <w:rPr>
                <w:rFonts w:cs="Arial"/>
                <w:color w:val="000000"/>
                <w:sz w:val="18"/>
                <w:szCs w:val="18"/>
              </w:rPr>
              <w:t>204</w:t>
            </w:r>
          </w:p>
        </w:tc>
        <w:tc>
          <w:tcPr>
            <w:tcW w:w="1071" w:type="dxa"/>
            <w:shd w:val="clear" w:color="auto" w:fill="auto"/>
            <w:vAlign w:val="center"/>
          </w:tcPr>
          <w:p w:rsidR="004028A4" w:rsidP="004028A4" w:rsidRDefault="004028A4" w14:paraId="7E8412DF" w14:textId="2D4EA60D">
            <w:pPr>
              <w:keepNext/>
              <w:keepLines/>
              <w:ind w:right="90"/>
              <w:jc w:val="right"/>
              <w:rPr>
                <w:rFonts w:cs="Arial"/>
                <w:color w:val="000000"/>
                <w:sz w:val="18"/>
                <w:szCs w:val="18"/>
              </w:rPr>
            </w:pPr>
            <w:r>
              <w:rPr>
                <w:rFonts w:cs="Arial"/>
                <w:color w:val="000000"/>
                <w:sz w:val="18"/>
                <w:szCs w:val="18"/>
              </w:rPr>
              <w:t>204</w:t>
            </w:r>
          </w:p>
        </w:tc>
        <w:tc>
          <w:tcPr>
            <w:tcW w:w="790" w:type="dxa"/>
            <w:shd w:val="clear" w:color="auto" w:fill="auto"/>
            <w:vAlign w:val="center"/>
          </w:tcPr>
          <w:p w:rsidR="004028A4" w:rsidP="004028A4" w:rsidRDefault="004028A4" w14:paraId="2BD4E555" w14:textId="1D0ACFA7">
            <w:pPr>
              <w:keepNext/>
              <w:keepLines/>
              <w:ind w:right="90"/>
              <w:jc w:val="right"/>
              <w:rPr>
                <w:rFonts w:cs="Arial"/>
                <w:color w:val="000000"/>
                <w:sz w:val="18"/>
                <w:szCs w:val="18"/>
              </w:rPr>
            </w:pPr>
            <w:r>
              <w:rPr>
                <w:rFonts w:cs="Arial"/>
                <w:color w:val="000000"/>
                <w:sz w:val="18"/>
                <w:szCs w:val="18"/>
              </w:rPr>
              <w:t>0</w:t>
            </w:r>
          </w:p>
        </w:tc>
        <w:tc>
          <w:tcPr>
            <w:tcW w:w="1306" w:type="dxa"/>
            <w:shd w:val="clear" w:color="auto" w:fill="auto"/>
            <w:vAlign w:val="center"/>
          </w:tcPr>
          <w:p w:rsidR="004028A4" w:rsidP="004028A4" w:rsidRDefault="004028A4" w14:paraId="216EAC26" w14:textId="4E69EB4E">
            <w:pPr>
              <w:keepNext/>
              <w:keepLines/>
              <w:ind w:right="90"/>
              <w:jc w:val="right"/>
              <w:rPr>
                <w:rFonts w:cs="Arial"/>
                <w:color w:val="000000"/>
                <w:sz w:val="18"/>
                <w:szCs w:val="18"/>
              </w:rPr>
            </w:pPr>
            <w:r>
              <w:rPr>
                <w:rFonts w:cs="Arial"/>
                <w:color w:val="000000"/>
                <w:sz w:val="18"/>
                <w:szCs w:val="18"/>
              </w:rPr>
              <w:t xml:space="preserve">$0 </w:t>
            </w:r>
          </w:p>
        </w:tc>
        <w:tc>
          <w:tcPr>
            <w:tcW w:w="1461" w:type="dxa"/>
            <w:shd w:val="clear" w:color="auto" w:fill="auto"/>
            <w:vAlign w:val="center"/>
          </w:tcPr>
          <w:p w:rsidR="004028A4" w:rsidP="004028A4" w:rsidRDefault="004028A4" w14:paraId="2DCEDF1C" w14:textId="329D7871">
            <w:pPr>
              <w:keepNext/>
              <w:keepLines/>
              <w:ind w:right="90"/>
              <w:jc w:val="right"/>
              <w:rPr>
                <w:rFonts w:cs="Arial"/>
                <w:color w:val="000000"/>
                <w:sz w:val="18"/>
                <w:szCs w:val="18"/>
              </w:rPr>
            </w:pPr>
            <w:r>
              <w:rPr>
                <w:rFonts w:cs="Arial"/>
                <w:color w:val="000000"/>
                <w:sz w:val="18"/>
                <w:szCs w:val="18"/>
              </w:rPr>
              <w:t xml:space="preserve">$341,700 </w:t>
            </w:r>
          </w:p>
        </w:tc>
        <w:tc>
          <w:tcPr>
            <w:tcW w:w="1433" w:type="dxa"/>
            <w:shd w:val="clear" w:color="auto" w:fill="auto"/>
            <w:vAlign w:val="center"/>
          </w:tcPr>
          <w:p w:rsidR="004028A4" w:rsidP="004028A4" w:rsidRDefault="004028A4" w14:paraId="7451FC93" w14:textId="63992E4A">
            <w:pPr>
              <w:keepNext/>
              <w:keepLines/>
              <w:ind w:right="90"/>
              <w:jc w:val="right"/>
              <w:rPr>
                <w:rFonts w:cs="Arial"/>
                <w:color w:val="000000"/>
                <w:sz w:val="18"/>
                <w:szCs w:val="18"/>
              </w:rPr>
            </w:pPr>
            <w:r>
              <w:rPr>
                <w:rFonts w:cs="Arial"/>
                <w:color w:val="000000"/>
                <w:sz w:val="18"/>
                <w:szCs w:val="18"/>
              </w:rPr>
              <w:t xml:space="preserve">$341,700 </w:t>
            </w:r>
          </w:p>
        </w:tc>
      </w:tr>
      <w:tr w:rsidRPr="0057276A" w:rsidR="004028A4" w:rsidTr="00DE4552" w14:paraId="0AB5EB07" w14:textId="77777777">
        <w:tc>
          <w:tcPr>
            <w:tcW w:w="3265" w:type="dxa"/>
            <w:shd w:val="clear" w:color="auto" w:fill="auto"/>
            <w:vAlign w:val="center"/>
          </w:tcPr>
          <w:p w:rsidRPr="00DB6048" w:rsidR="004028A4" w:rsidP="004028A4" w:rsidRDefault="004028A4" w14:paraId="20F9414F" w14:textId="7DCC580A">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Desk Audits</w:t>
            </w:r>
          </w:p>
        </w:tc>
        <w:tc>
          <w:tcPr>
            <w:tcW w:w="1521" w:type="dxa"/>
            <w:shd w:val="clear" w:color="auto" w:fill="auto"/>
            <w:vAlign w:val="center"/>
          </w:tcPr>
          <w:p w:rsidRPr="00943009" w:rsidR="004028A4" w:rsidP="004028A4" w:rsidRDefault="004028A4" w14:paraId="7FAEF511" w14:textId="1EB2A1FE">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75FC8F2C" w14:textId="1F84791B">
            <w:pPr>
              <w:keepNext/>
              <w:keepLines/>
              <w:ind w:right="90"/>
              <w:jc w:val="right"/>
              <w:rPr>
                <w:rFonts w:eastAsia="Times New Roman" w:cs="Arial"/>
                <w:color w:val="000000"/>
                <w:sz w:val="18"/>
                <w:szCs w:val="18"/>
              </w:rPr>
            </w:pPr>
            <w:r>
              <w:rPr>
                <w:rFonts w:cs="Arial"/>
                <w:color w:val="000000"/>
                <w:sz w:val="18"/>
                <w:szCs w:val="18"/>
              </w:rPr>
              <w:t>1,632</w:t>
            </w:r>
          </w:p>
        </w:tc>
        <w:tc>
          <w:tcPr>
            <w:tcW w:w="790" w:type="dxa"/>
            <w:shd w:val="clear" w:color="auto" w:fill="auto"/>
            <w:vAlign w:val="center"/>
          </w:tcPr>
          <w:p w:rsidRPr="00943009" w:rsidR="004028A4" w:rsidP="004028A4" w:rsidRDefault="004028A4" w14:paraId="750D90E1" w14:textId="42156CB7">
            <w:pPr>
              <w:keepNext/>
              <w:keepLines/>
              <w:ind w:right="90"/>
              <w:jc w:val="right"/>
              <w:rPr>
                <w:rFonts w:eastAsia="Times New Roman" w:cs="Arial"/>
                <w:color w:val="000000"/>
                <w:sz w:val="18"/>
                <w:szCs w:val="18"/>
              </w:rPr>
            </w:pPr>
            <w:r>
              <w:rPr>
                <w:rFonts w:cs="Arial"/>
                <w:color w:val="000000"/>
                <w:sz w:val="18"/>
                <w:szCs w:val="18"/>
              </w:rPr>
              <w:t>1,632</w:t>
            </w:r>
          </w:p>
        </w:tc>
        <w:tc>
          <w:tcPr>
            <w:tcW w:w="1306" w:type="dxa"/>
            <w:shd w:val="clear" w:color="auto" w:fill="auto"/>
            <w:vAlign w:val="center"/>
          </w:tcPr>
          <w:p w:rsidRPr="00943009" w:rsidR="004028A4" w:rsidP="004028A4" w:rsidRDefault="004028A4" w14:paraId="247BF85C" w14:textId="39AC80F9">
            <w:pPr>
              <w:keepNext/>
              <w:keepLines/>
              <w:ind w:right="90"/>
              <w:jc w:val="right"/>
              <w:rPr>
                <w:rFonts w:eastAsia="Times New Roman" w:cs="Arial"/>
                <w:color w:val="000000"/>
                <w:sz w:val="18"/>
                <w:szCs w:val="18"/>
              </w:rPr>
            </w:pPr>
            <w:r>
              <w:rPr>
                <w:rFonts w:cs="Arial"/>
                <w:color w:val="000000"/>
                <w:sz w:val="18"/>
                <w:szCs w:val="18"/>
              </w:rPr>
              <w:t xml:space="preserve">$145,248 </w:t>
            </w:r>
          </w:p>
        </w:tc>
        <w:tc>
          <w:tcPr>
            <w:tcW w:w="1461" w:type="dxa"/>
            <w:shd w:val="clear" w:color="auto" w:fill="auto"/>
            <w:vAlign w:val="center"/>
          </w:tcPr>
          <w:p w:rsidRPr="00943009" w:rsidR="004028A4" w:rsidP="004028A4" w:rsidRDefault="004028A4" w14:paraId="42F39533" w14:textId="0EE5F529">
            <w:pPr>
              <w:keepNext/>
              <w:keepLines/>
              <w:ind w:right="90"/>
              <w:jc w:val="right"/>
              <w:rPr>
                <w:rFonts w:eastAsia="Times New Roman" w:cs="Arial"/>
                <w:color w:val="000000"/>
                <w:sz w:val="18"/>
                <w:szCs w:val="18"/>
              </w:rPr>
            </w:pPr>
            <w:r>
              <w:rPr>
                <w:rFonts w:cs="Arial"/>
                <w:color w:val="000000"/>
                <w:sz w:val="18"/>
                <w:szCs w:val="18"/>
              </w:rPr>
              <w:t xml:space="preserve">$455,328 </w:t>
            </w:r>
          </w:p>
        </w:tc>
        <w:tc>
          <w:tcPr>
            <w:tcW w:w="1433" w:type="dxa"/>
            <w:shd w:val="clear" w:color="auto" w:fill="auto"/>
            <w:vAlign w:val="center"/>
          </w:tcPr>
          <w:p w:rsidRPr="00943009" w:rsidR="004028A4" w:rsidP="004028A4" w:rsidRDefault="004028A4" w14:paraId="15AF8CB6" w14:textId="7F4F903E">
            <w:pPr>
              <w:keepNext/>
              <w:keepLines/>
              <w:ind w:right="90"/>
              <w:jc w:val="right"/>
              <w:rPr>
                <w:rFonts w:eastAsia="Times New Roman" w:cs="Arial"/>
                <w:color w:val="000000"/>
                <w:sz w:val="18"/>
                <w:szCs w:val="18"/>
              </w:rPr>
            </w:pPr>
            <w:r>
              <w:rPr>
                <w:rFonts w:cs="Arial"/>
                <w:color w:val="000000"/>
                <w:sz w:val="18"/>
                <w:szCs w:val="18"/>
              </w:rPr>
              <w:t xml:space="preserve">$600,576 </w:t>
            </w:r>
          </w:p>
        </w:tc>
      </w:tr>
      <w:tr w:rsidRPr="0057276A" w:rsidR="004028A4" w:rsidTr="00DE4552" w14:paraId="53E6CA30" w14:textId="77777777">
        <w:tc>
          <w:tcPr>
            <w:tcW w:w="3265" w:type="dxa"/>
            <w:shd w:val="clear" w:color="auto" w:fill="auto"/>
            <w:vAlign w:val="center"/>
          </w:tcPr>
          <w:p w:rsidRPr="00DB6048" w:rsidR="004028A4" w:rsidP="004028A4" w:rsidRDefault="004028A4" w14:paraId="142DD22E" w14:textId="67336BDC">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 xml:space="preserve">HWPW </w:t>
            </w:r>
            <w:r>
              <w:rPr>
                <w:rFonts w:cs="Arial"/>
                <w:color w:val="000000"/>
                <w:sz w:val="18"/>
                <w:szCs w:val="18"/>
              </w:rPr>
              <w:t xml:space="preserve">Quarterly </w:t>
            </w:r>
            <w:r w:rsidRPr="00DB6048">
              <w:rPr>
                <w:rFonts w:cs="Arial"/>
                <w:color w:val="000000"/>
                <w:sz w:val="18"/>
                <w:szCs w:val="18"/>
              </w:rPr>
              <w:t>Testing Fee</w:t>
            </w:r>
          </w:p>
        </w:tc>
        <w:tc>
          <w:tcPr>
            <w:tcW w:w="1521" w:type="dxa"/>
            <w:shd w:val="clear" w:color="auto" w:fill="auto"/>
            <w:vAlign w:val="center"/>
          </w:tcPr>
          <w:p w:rsidRPr="00943009" w:rsidR="004028A4" w:rsidP="004028A4" w:rsidRDefault="004028A4" w14:paraId="33A95E67" w14:textId="63170DF9">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039771A9" w14:textId="78729066">
            <w:pPr>
              <w:keepNext/>
              <w:keepLines/>
              <w:ind w:right="90"/>
              <w:jc w:val="right"/>
              <w:rPr>
                <w:rFonts w:eastAsia="Times New Roman" w:cs="Arial"/>
                <w:color w:val="000000"/>
                <w:sz w:val="18"/>
                <w:szCs w:val="18"/>
              </w:rPr>
            </w:pPr>
            <w:r>
              <w:rPr>
                <w:rFonts w:cs="Arial"/>
                <w:color w:val="000000"/>
                <w:sz w:val="18"/>
                <w:szCs w:val="18"/>
              </w:rPr>
              <w:t>816</w:t>
            </w:r>
          </w:p>
        </w:tc>
        <w:tc>
          <w:tcPr>
            <w:tcW w:w="790" w:type="dxa"/>
            <w:shd w:val="clear" w:color="auto" w:fill="auto"/>
            <w:vAlign w:val="center"/>
          </w:tcPr>
          <w:p w:rsidRPr="00943009" w:rsidR="004028A4" w:rsidP="004028A4" w:rsidRDefault="004028A4" w14:paraId="63F00482" w14:textId="3EE919F7">
            <w:pPr>
              <w:keepNext/>
              <w:keepLines/>
              <w:ind w:right="90"/>
              <w:jc w:val="right"/>
              <w:rPr>
                <w:rFonts w:eastAsia="Times New Roman" w:cs="Arial"/>
                <w:color w:val="000000"/>
                <w:sz w:val="18"/>
                <w:szCs w:val="18"/>
              </w:rPr>
            </w:pPr>
            <w:r>
              <w:rPr>
                <w:rFonts w:cs="Arial"/>
                <w:color w:val="000000"/>
                <w:sz w:val="18"/>
                <w:szCs w:val="18"/>
              </w:rPr>
              <w:t>816</w:t>
            </w:r>
          </w:p>
        </w:tc>
        <w:tc>
          <w:tcPr>
            <w:tcW w:w="1306" w:type="dxa"/>
            <w:shd w:val="clear" w:color="auto" w:fill="auto"/>
            <w:vAlign w:val="center"/>
          </w:tcPr>
          <w:p w:rsidRPr="00943009" w:rsidR="004028A4" w:rsidP="004028A4" w:rsidRDefault="004028A4" w14:paraId="09E9DE33" w14:textId="0748340D">
            <w:pPr>
              <w:keepNext/>
              <w:keepLines/>
              <w:ind w:right="90"/>
              <w:jc w:val="right"/>
              <w:rPr>
                <w:rFonts w:eastAsia="Times New Roman" w:cs="Arial"/>
                <w:color w:val="000000"/>
                <w:sz w:val="18"/>
                <w:szCs w:val="18"/>
              </w:rPr>
            </w:pPr>
            <w:r>
              <w:rPr>
                <w:rFonts w:cs="Arial"/>
                <w:color w:val="000000"/>
                <w:sz w:val="18"/>
                <w:szCs w:val="18"/>
              </w:rPr>
              <w:t xml:space="preserve">$72,624 </w:t>
            </w:r>
          </w:p>
        </w:tc>
        <w:tc>
          <w:tcPr>
            <w:tcW w:w="1461" w:type="dxa"/>
            <w:shd w:val="clear" w:color="auto" w:fill="auto"/>
            <w:vAlign w:val="center"/>
          </w:tcPr>
          <w:p w:rsidRPr="00943009" w:rsidR="004028A4" w:rsidP="004028A4" w:rsidRDefault="004028A4" w14:paraId="6BFDFE60" w14:textId="6CEC0609">
            <w:pPr>
              <w:keepNext/>
              <w:keepLines/>
              <w:ind w:right="90"/>
              <w:jc w:val="right"/>
              <w:rPr>
                <w:rFonts w:eastAsia="Times New Roman" w:cs="Arial"/>
                <w:color w:val="000000"/>
                <w:sz w:val="18"/>
                <w:szCs w:val="18"/>
              </w:rPr>
            </w:pPr>
            <w:r>
              <w:rPr>
                <w:rFonts w:cs="Arial"/>
                <w:color w:val="000000"/>
                <w:sz w:val="18"/>
                <w:szCs w:val="18"/>
              </w:rPr>
              <w:t xml:space="preserve">$1,137,178 </w:t>
            </w:r>
          </w:p>
        </w:tc>
        <w:tc>
          <w:tcPr>
            <w:tcW w:w="1433" w:type="dxa"/>
            <w:shd w:val="clear" w:color="auto" w:fill="auto"/>
            <w:vAlign w:val="center"/>
          </w:tcPr>
          <w:p w:rsidRPr="00943009" w:rsidR="004028A4" w:rsidP="004028A4" w:rsidRDefault="004028A4" w14:paraId="0A149D64" w14:textId="4D5320D8">
            <w:pPr>
              <w:keepNext/>
              <w:keepLines/>
              <w:ind w:right="90"/>
              <w:jc w:val="right"/>
              <w:rPr>
                <w:rFonts w:eastAsia="Times New Roman" w:cs="Arial"/>
                <w:color w:val="000000"/>
                <w:sz w:val="18"/>
                <w:szCs w:val="18"/>
              </w:rPr>
            </w:pPr>
            <w:r>
              <w:rPr>
                <w:rFonts w:cs="Arial"/>
                <w:color w:val="000000"/>
                <w:sz w:val="18"/>
                <w:szCs w:val="18"/>
              </w:rPr>
              <w:t xml:space="preserve">$1,209,802 </w:t>
            </w:r>
          </w:p>
        </w:tc>
      </w:tr>
      <w:tr w:rsidRPr="0057276A" w:rsidR="004028A4" w:rsidTr="00DE4552" w14:paraId="0E33BAB8" w14:textId="77777777">
        <w:tc>
          <w:tcPr>
            <w:tcW w:w="3265" w:type="dxa"/>
            <w:shd w:val="clear" w:color="auto" w:fill="auto"/>
            <w:vAlign w:val="center"/>
          </w:tcPr>
          <w:p w:rsidRPr="00DB6048" w:rsidR="004028A4" w:rsidP="004028A4" w:rsidRDefault="004028A4" w14:paraId="57E76A81" w14:textId="152ED924">
            <w:pPr>
              <w:pStyle w:val="ListParagraph"/>
              <w:keepNext/>
              <w:keepLines/>
              <w:numPr>
                <w:ilvl w:val="0"/>
                <w:numId w:val="31"/>
              </w:numPr>
              <w:ind w:hanging="265"/>
              <w:rPr>
                <w:rFonts w:eastAsia="Times New Roman" w:cs="Arial"/>
                <w:color w:val="000000"/>
                <w:sz w:val="18"/>
                <w:szCs w:val="18"/>
              </w:rPr>
            </w:pPr>
            <w:r>
              <w:rPr>
                <w:rFonts w:cs="Arial"/>
                <w:color w:val="000000"/>
                <w:sz w:val="18"/>
                <w:szCs w:val="18"/>
              </w:rPr>
              <w:t xml:space="preserve">Particleboard Quarterly </w:t>
            </w:r>
            <w:r w:rsidRPr="00DB6048">
              <w:rPr>
                <w:rFonts w:cs="Arial"/>
                <w:color w:val="000000"/>
                <w:sz w:val="18"/>
                <w:szCs w:val="18"/>
              </w:rPr>
              <w:t>Testing Fee</w:t>
            </w:r>
          </w:p>
        </w:tc>
        <w:tc>
          <w:tcPr>
            <w:tcW w:w="1521" w:type="dxa"/>
            <w:shd w:val="clear" w:color="auto" w:fill="auto"/>
            <w:vAlign w:val="center"/>
          </w:tcPr>
          <w:p w:rsidRPr="00943009" w:rsidR="004028A4" w:rsidP="004028A4" w:rsidRDefault="004028A4" w14:paraId="310276AB" w14:textId="28C51D53">
            <w:pPr>
              <w:keepNext/>
              <w:keepLines/>
              <w:ind w:right="90"/>
              <w:jc w:val="right"/>
              <w:rPr>
                <w:rFonts w:eastAsia="Times New Roman" w:cs="Arial"/>
                <w:color w:val="000000"/>
                <w:sz w:val="18"/>
                <w:szCs w:val="18"/>
              </w:rPr>
            </w:pPr>
            <w:r>
              <w:rPr>
                <w:rFonts w:cs="Arial"/>
                <w:color w:val="000000"/>
                <w:sz w:val="18"/>
                <w:szCs w:val="18"/>
              </w:rPr>
              <w:t>33</w:t>
            </w:r>
          </w:p>
        </w:tc>
        <w:tc>
          <w:tcPr>
            <w:tcW w:w="1071" w:type="dxa"/>
            <w:shd w:val="clear" w:color="auto" w:fill="auto"/>
            <w:vAlign w:val="center"/>
          </w:tcPr>
          <w:p w:rsidRPr="00943009" w:rsidR="004028A4" w:rsidP="004028A4" w:rsidRDefault="004028A4" w14:paraId="468F3E7C" w14:textId="5FB01417">
            <w:pPr>
              <w:keepNext/>
              <w:keepLines/>
              <w:ind w:right="90"/>
              <w:jc w:val="right"/>
              <w:rPr>
                <w:rFonts w:eastAsia="Times New Roman" w:cs="Arial"/>
                <w:color w:val="000000"/>
                <w:sz w:val="18"/>
                <w:szCs w:val="18"/>
              </w:rPr>
            </w:pPr>
            <w:r>
              <w:rPr>
                <w:rFonts w:cs="Arial"/>
                <w:color w:val="000000"/>
                <w:sz w:val="18"/>
                <w:szCs w:val="18"/>
              </w:rPr>
              <w:t>132</w:t>
            </w:r>
          </w:p>
        </w:tc>
        <w:tc>
          <w:tcPr>
            <w:tcW w:w="790" w:type="dxa"/>
            <w:shd w:val="clear" w:color="auto" w:fill="auto"/>
            <w:vAlign w:val="center"/>
          </w:tcPr>
          <w:p w:rsidRPr="00943009" w:rsidR="004028A4" w:rsidP="004028A4" w:rsidRDefault="004028A4" w14:paraId="005CF604" w14:textId="6BA40DC9">
            <w:pPr>
              <w:keepNext/>
              <w:keepLines/>
              <w:ind w:right="90"/>
              <w:jc w:val="right"/>
              <w:rPr>
                <w:rFonts w:eastAsia="Times New Roman" w:cs="Arial"/>
                <w:color w:val="000000"/>
                <w:sz w:val="18"/>
                <w:szCs w:val="18"/>
              </w:rPr>
            </w:pPr>
            <w:r>
              <w:rPr>
                <w:rFonts w:cs="Arial"/>
                <w:color w:val="000000"/>
                <w:sz w:val="18"/>
                <w:szCs w:val="18"/>
              </w:rPr>
              <w:t>0</w:t>
            </w:r>
          </w:p>
        </w:tc>
        <w:tc>
          <w:tcPr>
            <w:tcW w:w="1306" w:type="dxa"/>
            <w:shd w:val="clear" w:color="auto" w:fill="auto"/>
            <w:vAlign w:val="center"/>
          </w:tcPr>
          <w:p w:rsidRPr="00943009" w:rsidR="004028A4" w:rsidP="004028A4" w:rsidRDefault="004028A4" w14:paraId="09569833" w14:textId="31656696">
            <w:pPr>
              <w:keepNext/>
              <w:keepLines/>
              <w:ind w:right="90"/>
              <w:jc w:val="right"/>
              <w:rPr>
                <w:rFonts w:eastAsia="Times New Roman" w:cs="Arial"/>
                <w:color w:val="000000"/>
                <w:sz w:val="18"/>
                <w:szCs w:val="18"/>
              </w:rPr>
            </w:pPr>
            <w:r>
              <w:rPr>
                <w:rFonts w:cs="Arial"/>
                <w:color w:val="000000"/>
                <w:sz w:val="18"/>
                <w:szCs w:val="18"/>
              </w:rPr>
              <w:t xml:space="preserve">$0 </w:t>
            </w:r>
          </w:p>
        </w:tc>
        <w:tc>
          <w:tcPr>
            <w:tcW w:w="1461" w:type="dxa"/>
            <w:shd w:val="clear" w:color="auto" w:fill="auto"/>
            <w:vAlign w:val="center"/>
          </w:tcPr>
          <w:p w:rsidRPr="00943009" w:rsidR="004028A4" w:rsidP="004028A4" w:rsidRDefault="004028A4" w14:paraId="5A199E77" w14:textId="74C8033F">
            <w:pPr>
              <w:keepNext/>
              <w:keepLines/>
              <w:ind w:right="90"/>
              <w:jc w:val="right"/>
              <w:rPr>
                <w:rFonts w:eastAsia="Times New Roman" w:cs="Arial"/>
                <w:color w:val="000000"/>
                <w:sz w:val="18"/>
                <w:szCs w:val="18"/>
              </w:rPr>
            </w:pPr>
            <w:r>
              <w:rPr>
                <w:rFonts w:cs="Arial"/>
                <w:color w:val="000000"/>
                <w:sz w:val="18"/>
                <w:szCs w:val="18"/>
              </w:rPr>
              <w:t xml:space="preserve">$155,654 </w:t>
            </w:r>
          </w:p>
        </w:tc>
        <w:tc>
          <w:tcPr>
            <w:tcW w:w="1433" w:type="dxa"/>
            <w:shd w:val="clear" w:color="auto" w:fill="auto"/>
            <w:vAlign w:val="center"/>
          </w:tcPr>
          <w:p w:rsidRPr="00943009" w:rsidR="004028A4" w:rsidP="004028A4" w:rsidRDefault="004028A4" w14:paraId="23E11D74" w14:textId="5CDA67B9">
            <w:pPr>
              <w:keepNext/>
              <w:keepLines/>
              <w:ind w:right="90"/>
              <w:jc w:val="right"/>
              <w:rPr>
                <w:rFonts w:eastAsia="Times New Roman" w:cs="Arial"/>
                <w:color w:val="000000"/>
                <w:sz w:val="18"/>
                <w:szCs w:val="18"/>
              </w:rPr>
            </w:pPr>
            <w:r>
              <w:rPr>
                <w:rFonts w:cs="Arial"/>
                <w:color w:val="000000"/>
                <w:sz w:val="18"/>
                <w:szCs w:val="18"/>
              </w:rPr>
              <w:t xml:space="preserve">$155,654 </w:t>
            </w:r>
          </w:p>
        </w:tc>
      </w:tr>
      <w:tr w:rsidRPr="0057276A" w:rsidR="004028A4" w:rsidTr="00DE4552" w14:paraId="3FC31E1B" w14:textId="77777777">
        <w:tc>
          <w:tcPr>
            <w:tcW w:w="3265" w:type="dxa"/>
            <w:shd w:val="clear" w:color="auto" w:fill="auto"/>
            <w:vAlign w:val="center"/>
          </w:tcPr>
          <w:p w:rsidRPr="00DB6048" w:rsidR="004028A4" w:rsidP="004028A4" w:rsidRDefault="004028A4" w14:paraId="718ED492" w14:textId="0E345D53">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 xml:space="preserve">HWPW </w:t>
            </w:r>
            <w:r>
              <w:rPr>
                <w:rFonts w:cs="Arial"/>
                <w:color w:val="000000"/>
                <w:sz w:val="18"/>
                <w:szCs w:val="18"/>
              </w:rPr>
              <w:t xml:space="preserve">Quarterly </w:t>
            </w:r>
            <w:r w:rsidRPr="00DB6048">
              <w:rPr>
                <w:rFonts w:cs="Arial"/>
                <w:color w:val="000000"/>
                <w:sz w:val="18"/>
                <w:szCs w:val="18"/>
              </w:rPr>
              <w:t>Testing Shipment</w:t>
            </w:r>
          </w:p>
        </w:tc>
        <w:tc>
          <w:tcPr>
            <w:tcW w:w="1521" w:type="dxa"/>
            <w:shd w:val="clear" w:color="auto" w:fill="auto"/>
            <w:vAlign w:val="center"/>
          </w:tcPr>
          <w:p w:rsidRPr="00943009" w:rsidR="004028A4" w:rsidP="004028A4" w:rsidRDefault="004028A4" w14:paraId="6A1E40B9" w14:textId="7E79F4A3">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25A5DB11" w14:textId="69F5D9F6">
            <w:pPr>
              <w:keepNext/>
              <w:keepLines/>
              <w:ind w:right="90"/>
              <w:jc w:val="right"/>
              <w:rPr>
                <w:rFonts w:eastAsia="Times New Roman" w:cs="Arial"/>
                <w:color w:val="000000"/>
                <w:sz w:val="18"/>
                <w:szCs w:val="18"/>
              </w:rPr>
            </w:pPr>
            <w:r>
              <w:rPr>
                <w:rFonts w:cs="Arial"/>
                <w:color w:val="000000"/>
                <w:sz w:val="18"/>
                <w:szCs w:val="18"/>
              </w:rPr>
              <w:t>816</w:t>
            </w:r>
          </w:p>
        </w:tc>
        <w:tc>
          <w:tcPr>
            <w:tcW w:w="790" w:type="dxa"/>
            <w:shd w:val="clear" w:color="auto" w:fill="auto"/>
            <w:vAlign w:val="center"/>
          </w:tcPr>
          <w:p w:rsidRPr="00943009" w:rsidR="004028A4" w:rsidP="004028A4" w:rsidRDefault="004028A4" w14:paraId="66D1D731" w14:textId="7B9E0FFA">
            <w:pPr>
              <w:keepNext/>
              <w:keepLines/>
              <w:ind w:right="90"/>
              <w:jc w:val="right"/>
              <w:rPr>
                <w:rFonts w:eastAsia="Times New Roman" w:cs="Arial"/>
                <w:color w:val="000000"/>
                <w:sz w:val="18"/>
                <w:szCs w:val="18"/>
              </w:rPr>
            </w:pPr>
            <w:r>
              <w:rPr>
                <w:rFonts w:cs="Arial"/>
                <w:color w:val="000000"/>
                <w:sz w:val="18"/>
                <w:szCs w:val="18"/>
              </w:rPr>
              <w:t>0</w:t>
            </w:r>
          </w:p>
        </w:tc>
        <w:tc>
          <w:tcPr>
            <w:tcW w:w="1306" w:type="dxa"/>
            <w:shd w:val="clear" w:color="auto" w:fill="auto"/>
            <w:vAlign w:val="center"/>
          </w:tcPr>
          <w:p w:rsidRPr="00943009" w:rsidR="004028A4" w:rsidP="004028A4" w:rsidRDefault="004028A4" w14:paraId="1B395F99" w14:textId="6B311A3D">
            <w:pPr>
              <w:keepNext/>
              <w:keepLines/>
              <w:ind w:right="90"/>
              <w:jc w:val="right"/>
              <w:rPr>
                <w:rFonts w:eastAsia="Times New Roman" w:cs="Arial"/>
                <w:color w:val="000000"/>
                <w:sz w:val="18"/>
                <w:szCs w:val="18"/>
              </w:rPr>
            </w:pPr>
            <w:r>
              <w:rPr>
                <w:rFonts w:cs="Arial"/>
                <w:color w:val="000000"/>
                <w:sz w:val="18"/>
                <w:szCs w:val="18"/>
              </w:rPr>
              <w:t xml:space="preserve">$0 </w:t>
            </w:r>
          </w:p>
        </w:tc>
        <w:tc>
          <w:tcPr>
            <w:tcW w:w="1461" w:type="dxa"/>
            <w:shd w:val="clear" w:color="auto" w:fill="auto"/>
            <w:vAlign w:val="center"/>
          </w:tcPr>
          <w:p w:rsidRPr="00943009" w:rsidR="004028A4" w:rsidP="004028A4" w:rsidRDefault="004028A4" w14:paraId="03154089" w14:textId="07496D0F">
            <w:pPr>
              <w:keepNext/>
              <w:keepLines/>
              <w:ind w:right="90"/>
              <w:jc w:val="right"/>
              <w:rPr>
                <w:rFonts w:eastAsia="Times New Roman" w:cs="Arial"/>
                <w:color w:val="000000"/>
                <w:sz w:val="18"/>
                <w:szCs w:val="18"/>
              </w:rPr>
            </w:pPr>
            <w:r>
              <w:rPr>
                <w:rFonts w:cs="Arial"/>
                <w:color w:val="000000"/>
                <w:sz w:val="18"/>
                <w:szCs w:val="18"/>
              </w:rPr>
              <w:t xml:space="preserve">$118,810 </w:t>
            </w:r>
          </w:p>
        </w:tc>
        <w:tc>
          <w:tcPr>
            <w:tcW w:w="1433" w:type="dxa"/>
            <w:shd w:val="clear" w:color="auto" w:fill="auto"/>
            <w:vAlign w:val="center"/>
          </w:tcPr>
          <w:p w:rsidRPr="00943009" w:rsidR="004028A4" w:rsidP="004028A4" w:rsidRDefault="004028A4" w14:paraId="615973FA" w14:textId="688FF5EE">
            <w:pPr>
              <w:keepNext/>
              <w:keepLines/>
              <w:ind w:right="90"/>
              <w:jc w:val="right"/>
              <w:rPr>
                <w:rFonts w:eastAsia="Times New Roman" w:cs="Arial"/>
                <w:color w:val="000000"/>
                <w:sz w:val="18"/>
                <w:szCs w:val="18"/>
              </w:rPr>
            </w:pPr>
            <w:r>
              <w:rPr>
                <w:rFonts w:cs="Arial"/>
                <w:color w:val="000000"/>
                <w:sz w:val="18"/>
                <w:szCs w:val="18"/>
              </w:rPr>
              <w:t xml:space="preserve">$118,810 </w:t>
            </w:r>
          </w:p>
        </w:tc>
      </w:tr>
      <w:tr w:rsidRPr="0057276A" w:rsidR="004028A4" w:rsidTr="00DE4552" w14:paraId="045E0BB0" w14:textId="77777777">
        <w:tc>
          <w:tcPr>
            <w:tcW w:w="3265" w:type="dxa"/>
            <w:shd w:val="clear" w:color="auto" w:fill="auto"/>
            <w:vAlign w:val="center"/>
          </w:tcPr>
          <w:p w:rsidRPr="00DB6048" w:rsidR="004028A4" w:rsidP="004028A4" w:rsidRDefault="004028A4" w14:paraId="3B66CBF3" w14:textId="231DA42C">
            <w:pPr>
              <w:pStyle w:val="ListParagraph"/>
              <w:keepNext/>
              <w:keepLines/>
              <w:numPr>
                <w:ilvl w:val="0"/>
                <w:numId w:val="31"/>
              </w:numPr>
              <w:ind w:hanging="265"/>
              <w:rPr>
                <w:rFonts w:eastAsia="Times New Roman" w:cs="Arial"/>
                <w:color w:val="000000"/>
                <w:sz w:val="18"/>
                <w:szCs w:val="18"/>
              </w:rPr>
            </w:pPr>
            <w:r>
              <w:rPr>
                <w:rFonts w:cs="Arial"/>
                <w:color w:val="000000"/>
                <w:sz w:val="18"/>
                <w:szCs w:val="18"/>
              </w:rPr>
              <w:t xml:space="preserve">Particleboard Quarterly Testing </w:t>
            </w:r>
            <w:r w:rsidRPr="00DB6048">
              <w:rPr>
                <w:rFonts w:cs="Arial"/>
                <w:color w:val="000000"/>
                <w:sz w:val="18"/>
                <w:szCs w:val="18"/>
              </w:rPr>
              <w:t>Shipment</w:t>
            </w:r>
          </w:p>
        </w:tc>
        <w:tc>
          <w:tcPr>
            <w:tcW w:w="1521" w:type="dxa"/>
            <w:shd w:val="clear" w:color="auto" w:fill="auto"/>
            <w:vAlign w:val="center"/>
          </w:tcPr>
          <w:p w:rsidRPr="00943009" w:rsidR="004028A4" w:rsidP="004028A4" w:rsidRDefault="004028A4" w14:paraId="45D7A7C6" w14:textId="60B64D67">
            <w:pPr>
              <w:keepNext/>
              <w:keepLines/>
              <w:ind w:right="90"/>
              <w:jc w:val="right"/>
              <w:rPr>
                <w:rFonts w:eastAsia="Times New Roman" w:cs="Arial"/>
                <w:color w:val="000000"/>
                <w:sz w:val="18"/>
                <w:szCs w:val="18"/>
              </w:rPr>
            </w:pPr>
            <w:r>
              <w:rPr>
                <w:rFonts w:cs="Arial"/>
                <w:color w:val="000000"/>
                <w:sz w:val="18"/>
                <w:szCs w:val="18"/>
              </w:rPr>
              <w:t>33</w:t>
            </w:r>
          </w:p>
        </w:tc>
        <w:tc>
          <w:tcPr>
            <w:tcW w:w="1071" w:type="dxa"/>
            <w:shd w:val="clear" w:color="auto" w:fill="auto"/>
            <w:vAlign w:val="center"/>
          </w:tcPr>
          <w:p w:rsidRPr="00943009" w:rsidR="004028A4" w:rsidP="004028A4" w:rsidRDefault="004028A4" w14:paraId="7D4C26BA" w14:textId="22D51121">
            <w:pPr>
              <w:keepNext/>
              <w:keepLines/>
              <w:ind w:right="90"/>
              <w:jc w:val="right"/>
              <w:rPr>
                <w:rFonts w:eastAsia="Times New Roman" w:cs="Arial"/>
                <w:color w:val="000000"/>
                <w:sz w:val="18"/>
                <w:szCs w:val="18"/>
              </w:rPr>
            </w:pPr>
            <w:r>
              <w:rPr>
                <w:rFonts w:cs="Arial"/>
                <w:color w:val="000000"/>
                <w:sz w:val="18"/>
                <w:szCs w:val="18"/>
              </w:rPr>
              <w:t>132</w:t>
            </w:r>
          </w:p>
        </w:tc>
        <w:tc>
          <w:tcPr>
            <w:tcW w:w="790" w:type="dxa"/>
            <w:shd w:val="clear" w:color="auto" w:fill="auto"/>
            <w:vAlign w:val="center"/>
          </w:tcPr>
          <w:p w:rsidRPr="00943009" w:rsidR="004028A4" w:rsidP="004028A4" w:rsidRDefault="004028A4" w14:paraId="6D769891" w14:textId="688606BD">
            <w:pPr>
              <w:keepNext/>
              <w:keepLines/>
              <w:ind w:right="90"/>
              <w:jc w:val="right"/>
              <w:rPr>
                <w:rFonts w:eastAsia="Times New Roman" w:cs="Arial"/>
                <w:color w:val="000000"/>
                <w:sz w:val="18"/>
                <w:szCs w:val="18"/>
              </w:rPr>
            </w:pPr>
            <w:r>
              <w:rPr>
                <w:rFonts w:cs="Arial"/>
                <w:color w:val="000000"/>
                <w:sz w:val="18"/>
                <w:szCs w:val="18"/>
              </w:rPr>
              <w:t>0</w:t>
            </w:r>
          </w:p>
        </w:tc>
        <w:tc>
          <w:tcPr>
            <w:tcW w:w="1306" w:type="dxa"/>
            <w:shd w:val="clear" w:color="auto" w:fill="auto"/>
            <w:vAlign w:val="center"/>
          </w:tcPr>
          <w:p w:rsidRPr="00943009" w:rsidR="004028A4" w:rsidP="004028A4" w:rsidRDefault="004028A4" w14:paraId="79C7DB33" w14:textId="18D77207">
            <w:pPr>
              <w:keepNext/>
              <w:keepLines/>
              <w:ind w:right="90"/>
              <w:jc w:val="right"/>
              <w:rPr>
                <w:rFonts w:eastAsia="Times New Roman" w:cs="Arial"/>
                <w:color w:val="000000"/>
                <w:sz w:val="18"/>
                <w:szCs w:val="18"/>
              </w:rPr>
            </w:pPr>
            <w:r>
              <w:rPr>
                <w:rFonts w:cs="Arial"/>
                <w:color w:val="000000"/>
                <w:sz w:val="18"/>
                <w:szCs w:val="18"/>
              </w:rPr>
              <w:t xml:space="preserve">$0 </w:t>
            </w:r>
          </w:p>
        </w:tc>
        <w:tc>
          <w:tcPr>
            <w:tcW w:w="1461" w:type="dxa"/>
            <w:shd w:val="clear" w:color="auto" w:fill="auto"/>
            <w:vAlign w:val="center"/>
          </w:tcPr>
          <w:p w:rsidRPr="00943009" w:rsidR="004028A4" w:rsidP="004028A4" w:rsidRDefault="004028A4" w14:paraId="03311C5B" w14:textId="1BF5246B">
            <w:pPr>
              <w:keepNext/>
              <w:keepLines/>
              <w:ind w:right="90"/>
              <w:jc w:val="right"/>
              <w:rPr>
                <w:rFonts w:eastAsia="Times New Roman" w:cs="Arial"/>
                <w:color w:val="000000"/>
                <w:sz w:val="18"/>
                <w:szCs w:val="18"/>
              </w:rPr>
            </w:pPr>
            <w:r>
              <w:rPr>
                <w:rFonts w:cs="Arial"/>
                <w:color w:val="000000"/>
                <w:sz w:val="18"/>
                <w:szCs w:val="18"/>
              </w:rPr>
              <w:t xml:space="preserve">$16,262 </w:t>
            </w:r>
          </w:p>
        </w:tc>
        <w:tc>
          <w:tcPr>
            <w:tcW w:w="1433" w:type="dxa"/>
            <w:shd w:val="clear" w:color="auto" w:fill="auto"/>
            <w:vAlign w:val="center"/>
          </w:tcPr>
          <w:p w:rsidRPr="00943009" w:rsidR="004028A4" w:rsidP="004028A4" w:rsidRDefault="004028A4" w14:paraId="0E198709" w14:textId="02D8FF82">
            <w:pPr>
              <w:keepNext/>
              <w:keepLines/>
              <w:ind w:right="90"/>
              <w:jc w:val="right"/>
              <w:rPr>
                <w:rFonts w:eastAsia="Times New Roman" w:cs="Arial"/>
                <w:color w:val="000000"/>
                <w:sz w:val="18"/>
                <w:szCs w:val="18"/>
              </w:rPr>
            </w:pPr>
            <w:r>
              <w:rPr>
                <w:rFonts w:cs="Arial"/>
                <w:color w:val="000000"/>
                <w:sz w:val="18"/>
                <w:szCs w:val="18"/>
              </w:rPr>
              <w:t xml:space="preserve">$16,262 </w:t>
            </w:r>
          </w:p>
        </w:tc>
      </w:tr>
      <w:tr w:rsidRPr="0057276A" w:rsidR="004028A4" w:rsidTr="00DE4552" w14:paraId="2CE1EA6B" w14:textId="77777777">
        <w:tc>
          <w:tcPr>
            <w:tcW w:w="3265" w:type="dxa"/>
            <w:shd w:val="clear" w:color="auto" w:fill="auto"/>
            <w:vAlign w:val="center"/>
          </w:tcPr>
          <w:p w:rsidRPr="00DB6048" w:rsidR="004028A4" w:rsidP="004028A4" w:rsidRDefault="004028A4" w14:paraId="7531CD49" w14:textId="23906C0F">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Quality Control Testing</w:t>
            </w:r>
          </w:p>
        </w:tc>
        <w:tc>
          <w:tcPr>
            <w:tcW w:w="1521" w:type="dxa"/>
            <w:shd w:val="clear" w:color="auto" w:fill="auto"/>
            <w:vAlign w:val="center"/>
          </w:tcPr>
          <w:p w:rsidRPr="00943009" w:rsidR="004028A4" w:rsidP="004028A4" w:rsidRDefault="004028A4" w14:paraId="38F841FF" w14:textId="6F91A994">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270895E0" w14:textId="673D831F">
            <w:pPr>
              <w:keepNext/>
              <w:keepLines/>
              <w:ind w:right="90"/>
              <w:jc w:val="right"/>
              <w:rPr>
                <w:rFonts w:eastAsia="Times New Roman" w:cs="Arial"/>
                <w:color w:val="000000"/>
                <w:sz w:val="18"/>
                <w:szCs w:val="18"/>
              </w:rPr>
            </w:pPr>
            <w:r>
              <w:rPr>
                <w:rFonts w:cs="Arial"/>
                <w:color w:val="000000"/>
                <w:sz w:val="18"/>
                <w:szCs w:val="18"/>
              </w:rPr>
              <w:t>10,608</w:t>
            </w:r>
          </w:p>
        </w:tc>
        <w:tc>
          <w:tcPr>
            <w:tcW w:w="790" w:type="dxa"/>
            <w:shd w:val="clear" w:color="auto" w:fill="auto"/>
            <w:vAlign w:val="center"/>
          </w:tcPr>
          <w:p w:rsidRPr="00943009" w:rsidR="004028A4" w:rsidP="004028A4" w:rsidRDefault="004028A4" w14:paraId="0F6A7BBC" w14:textId="416DBC6B">
            <w:pPr>
              <w:keepNext/>
              <w:keepLines/>
              <w:ind w:right="90"/>
              <w:jc w:val="right"/>
              <w:rPr>
                <w:rFonts w:eastAsia="Times New Roman" w:cs="Arial"/>
                <w:color w:val="000000"/>
                <w:sz w:val="18"/>
                <w:szCs w:val="18"/>
              </w:rPr>
            </w:pPr>
            <w:r>
              <w:rPr>
                <w:rFonts w:cs="Arial"/>
                <w:color w:val="000000"/>
                <w:sz w:val="18"/>
                <w:szCs w:val="18"/>
              </w:rPr>
              <w:t>15,912</w:t>
            </w:r>
          </w:p>
        </w:tc>
        <w:tc>
          <w:tcPr>
            <w:tcW w:w="1306" w:type="dxa"/>
            <w:shd w:val="clear" w:color="auto" w:fill="auto"/>
            <w:vAlign w:val="center"/>
          </w:tcPr>
          <w:p w:rsidRPr="00943009" w:rsidR="004028A4" w:rsidP="004028A4" w:rsidRDefault="004028A4" w14:paraId="0319881C" w14:textId="621BD0D6">
            <w:pPr>
              <w:keepNext/>
              <w:keepLines/>
              <w:ind w:right="90"/>
              <w:jc w:val="right"/>
              <w:rPr>
                <w:rFonts w:eastAsia="Times New Roman" w:cs="Arial"/>
                <w:color w:val="000000"/>
                <w:sz w:val="18"/>
                <w:szCs w:val="18"/>
              </w:rPr>
            </w:pPr>
            <w:r>
              <w:rPr>
                <w:rFonts w:cs="Arial"/>
                <w:color w:val="000000"/>
                <w:sz w:val="18"/>
                <w:szCs w:val="18"/>
              </w:rPr>
              <w:t xml:space="preserve">$1,416,168 </w:t>
            </w:r>
          </w:p>
        </w:tc>
        <w:tc>
          <w:tcPr>
            <w:tcW w:w="1461" w:type="dxa"/>
            <w:shd w:val="clear" w:color="auto" w:fill="auto"/>
            <w:vAlign w:val="center"/>
          </w:tcPr>
          <w:p w:rsidRPr="00943009" w:rsidR="004028A4" w:rsidP="004028A4" w:rsidRDefault="004028A4" w14:paraId="05873F1E" w14:textId="664F6E34">
            <w:pPr>
              <w:keepNext/>
              <w:keepLines/>
              <w:ind w:right="90"/>
              <w:jc w:val="right"/>
              <w:rPr>
                <w:rFonts w:eastAsia="Times New Roman" w:cs="Arial"/>
                <w:color w:val="000000"/>
                <w:sz w:val="18"/>
                <w:szCs w:val="18"/>
              </w:rPr>
            </w:pPr>
            <w:r>
              <w:rPr>
                <w:rFonts w:cs="Arial"/>
                <w:color w:val="000000"/>
                <w:sz w:val="18"/>
                <w:szCs w:val="18"/>
              </w:rPr>
              <w:t xml:space="preserve">$7,308,912 </w:t>
            </w:r>
          </w:p>
        </w:tc>
        <w:tc>
          <w:tcPr>
            <w:tcW w:w="1433" w:type="dxa"/>
            <w:shd w:val="clear" w:color="auto" w:fill="auto"/>
            <w:vAlign w:val="center"/>
          </w:tcPr>
          <w:p w:rsidRPr="00943009" w:rsidR="004028A4" w:rsidP="004028A4" w:rsidRDefault="004028A4" w14:paraId="308D0412" w14:textId="0F8207DB">
            <w:pPr>
              <w:keepNext/>
              <w:keepLines/>
              <w:ind w:right="90"/>
              <w:jc w:val="right"/>
              <w:rPr>
                <w:rFonts w:eastAsia="Times New Roman" w:cs="Arial"/>
                <w:color w:val="000000"/>
                <w:sz w:val="18"/>
                <w:szCs w:val="18"/>
              </w:rPr>
            </w:pPr>
            <w:r>
              <w:rPr>
                <w:rFonts w:cs="Arial"/>
                <w:color w:val="000000"/>
                <w:sz w:val="18"/>
                <w:szCs w:val="18"/>
              </w:rPr>
              <w:t xml:space="preserve">$8,725,080 </w:t>
            </w:r>
          </w:p>
        </w:tc>
      </w:tr>
      <w:tr w:rsidRPr="0057276A" w:rsidR="004028A4" w:rsidTr="00DE4552" w14:paraId="0B3E3817" w14:textId="77777777">
        <w:tc>
          <w:tcPr>
            <w:tcW w:w="3265" w:type="dxa"/>
            <w:shd w:val="clear" w:color="auto" w:fill="auto"/>
            <w:vAlign w:val="center"/>
          </w:tcPr>
          <w:p w:rsidRPr="00DB6048" w:rsidR="004028A4" w:rsidP="004028A4" w:rsidRDefault="004028A4" w14:paraId="71EAC4D3" w14:textId="5F0B2AA0">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Quality Control Testing Shipping</w:t>
            </w:r>
          </w:p>
        </w:tc>
        <w:tc>
          <w:tcPr>
            <w:tcW w:w="1521" w:type="dxa"/>
            <w:shd w:val="clear" w:color="auto" w:fill="auto"/>
            <w:vAlign w:val="center"/>
          </w:tcPr>
          <w:p w:rsidRPr="00943009" w:rsidR="004028A4" w:rsidP="004028A4" w:rsidRDefault="004028A4" w14:paraId="19DD7D69" w14:textId="21501E2D">
            <w:pPr>
              <w:keepNext/>
              <w:keepLines/>
              <w:ind w:right="90"/>
              <w:jc w:val="right"/>
              <w:rPr>
                <w:rFonts w:eastAsia="Times New Roman" w:cs="Arial"/>
                <w:color w:val="000000"/>
                <w:sz w:val="18"/>
                <w:szCs w:val="18"/>
              </w:rPr>
            </w:pPr>
            <w:r>
              <w:rPr>
                <w:rFonts w:cs="Arial"/>
                <w:color w:val="000000"/>
                <w:sz w:val="18"/>
                <w:szCs w:val="18"/>
              </w:rPr>
              <w:t>204</w:t>
            </w:r>
          </w:p>
        </w:tc>
        <w:tc>
          <w:tcPr>
            <w:tcW w:w="1071" w:type="dxa"/>
            <w:shd w:val="clear" w:color="auto" w:fill="auto"/>
            <w:vAlign w:val="center"/>
          </w:tcPr>
          <w:p w:rsidRPr="00943009" w:rsidR="004028A4" w:rsidP="004028A4" w:rsidRDefault="004028A4" w14:paraId="6120E4AF" w14:textId="07EFBEB6">
            <w:pPr>
              <w:keepNext/>
              <w:keepLines/>
              <w:ind w:right="90"/>
              <w:jc w:val="right"/>
              <w:rPr>
                <w:rFonts w:eastAsia="Times New Roman" w:cs="Arial"/>
                <w:color w:val="000000"/>
                <w:sz w:val="18"/>
                <w:szCs w:val="18"/>
              </w:rPr>
            </w:pPr>
            <w:r>
              <w:rPr>
                <w:rFonts w:cs="Arial"/>
                <w:color w:val="000000"/>
                <w:sz w:val="18"/>
                <w:szCs w:val="18"/>
              </w:rPr>
              <w:t>10,608</w:t>
            </w:r>
          </w:p>
        </w:tc>
        <w:tc>
          <w:tcPr>
            <w:tcW w:w="790" w:type="dxa"/>
            <w:shd w:val="clear" w:color="auto" w:fill="auto"/>
            <w:vAlign w:val="center"/>
          </w:tcPr>
          <w:p w:rsidRPr="00943009" w:rsidR="004028A4" w:rsidP="004028A4" w:rsidRDefault="004028A4" w14:paraId="45F1E89D" w14:textId="63B6E0AC">
            <w:pPr>
              <w:keepNext/>
              <w:keepLines/>
              <w:ind w:right="90"/>
              <w:jc w:val="right"/>
              <w:rPr>
                <w:rFonts w:eastAsia="Times New Roman" w:cs="Arial"/>
                <w:color w:val="000000"/>
                <w:sz w:val="18"/>
                <w:szCs w:val="18"/>
              </w:rPr>
            </w:pPr>
            <w:r>
              <w:rPr>
                <w:rFonts w:cs="Arial"/>
                <w:color w:val="000000"/>
                <w:sz w:val="18"/>
                <w:szCs w:val="18"/>
              </w:rPr>
              <w:t>0</w:t>
            </w:r>
          </w:p>
        </w:tc>
        <w:tc>
          <w:tcPr>
            <w:tcW w:w="1306" w:type="dxa"/>
            <w:shd w:val="clear" w:color="auto" w:fill="auto"/>
            <w:vAlign w:val="center"/>
          </w:tcPr>
          <w:p w:rsidRPr="00943009" w:rsidR="004028A4" w:rsidP="004028A4" w:rsidRDefault="004028A4" w14:paraId="6C759D1C" w14:textId="27606212">
            <w:pPr>
              <w:keepNext/>
              <w:keepLines/>
              <w:ind w:right="90"/>
              <w:jc w:val="right"/>
              <w:rPr>
                <w:rFonts w:eastAsia="Times New Roman" w:cs="Arial"/>
                <w:color w:val="000000"/>
                <w:sz w:val="18"/>
                <w:szCs w:val="18"/>
              </w:rPr>
            </w:pPr>
            <w:r>
              <w:rPr>
                <w:rFonts w:cs="Arial"/>
                <w:color w:val="000000"/>
                <w:sz w:val="18"/>
                <w:szCs w:val="18"/>
              </w:rPr>
              <w:t xml:space="preserve">$0 </w:t>
            </w:r>
          </w:p>
        </w:tc>
        <w:tc>
          <w:tcPr>
            <w:tcW w:w="1461" w:type="dxa"/>
            <w:shd w:val="clear" w:color="auto" w:fill="auto"/>
            <w:vAlign w:val="center"/>
          </w:tcPr>
          <w:p w:rsidRPr="00943009" w:rsidR="004028A4" w:rsidP="004028A4" w:rsidRDefault="004028A4" w14:paraId="77191F59" w14:textId="69FE690E">
            <w:pPr>
              <w:keepNext/>
              <w:keepLines/>
              <w:ind w:right="90"/>
              <w:jc w:val="right"/>
              <w:rPr>
                <w:rFonts w:eastAsia="Times New Roman" w:cs="Arial"/>
                <w:color w:val="000000"/>
                <w:sz w:val="18"/>
                <w:szCs w:val="18"/>
              </w:rPr>
            </w:pPr>
            <w:r>
              <w:rPr>
                <w:rFonts w:cs="Arial"/>
                <w:color w:val="000000"/>
                <w:sz w:val="18"/>
                <w:szCs w:val="18"/>
              </w:rPr>
              <w:t xml:space="preserve">$248,227 </w:t>
            </w:r>
          </w:p>
        </w:tc>
        <w:tc>
          <w:tcPr>
            <w:tcW w:w="1433" w:type="dxa"/>
            <w:shd w:val="clear" w:color="auto" w:fill="auto"/>
            <w:vAlign w:val="center"/>
          </w:tcPr>
          <w:p w:rsidRPr="00943009" w:rsidR="004028A4" w:rsidP="004028A4" w:rsidRDefault="004028A4" w14:paraId="19D493FE" w14:textId="0C5C5EED">
            <w:pPr>
              <w:keepNext/>
              <w:keepLines/>
              <w:ind w:right="90"/>
              <w:jc w:val="right"/>
              <w:rPr>
                <w:rFonts w:eastAsia="Times New Roman" w:cs="Arial"/>
                <w:color w:val="000000"/>
                <w:sz w:val="18"/>
                <w:szCs w:val="18"/>
              </w:rPr>
            </w:pPr>
            <w:r>
              <w:rPr>
                <w:rFonts w:cs="Arial"/>
                <w:color w:val="000000"/>
                <w:sz w:val="18"/>
                <w:szCs w:val="18"/>
              </w:rPr>
              <w:t xml:space="preserve">$248,227 </w:t>
            </w:r>
          </w:p>
        </w:tc>
      </w:tr>
      <w:tr w:rsidRPr="0057276A" w:rsidR="004028A4" w:rsidTr="00DE4552" w14:paraId="5F7126A6" w14:textId="77777777">
        <w:tc>
          <w:tcPr>
            <w:tcW w:w="3265" w:type="dxa"/>
            <w:shd w:val="clear" w:color="auto" w:fill="auto"/>
            <w:vAlign w:val="center"/>
          </w:tcPr>
          <w:p w:rsidRPr="00DB6048" w:rsidR="004028A4" w:rsidP="004028A4" w:rsidRDefault="004028A4" w14:paraId="79749205" w14:textId="5D206B49">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Lost HWPW Product</w:t>
            </w:r>
          </w:p>
        </w:tc>
        <w:tc>
          <w:tcPr>
            <w:tcW w:w="1521" w:type="dxa"/>
            <w:shd w:val="clear" w:color="auto" w:fill="auto"/>
            <w:vAlign w:val="center"/>
          </w:tcPr>
          <w:p w:rsidR="004028A4" w:rsidP="004028A4" w:rsidRDefault="004028A4" w14:paraId="512272EA" w14:textId="2CAE1736">
            <w:pPr>
              <w:keepNext/>
              <w:keepLines/>
              <w:ind w:right="90"/>
              <w:jc w:val="right"/>
              <w:rPr>
                <w:rFonts w:cs="Arial"/>
                <w:color w:val="000000"/>
                <w:sz w:val="18"/>
                <w:szCs w:val="18"/>
              </w:rPr>
            </w:pPr>
            <w:r>
              <w:rPr>
                <w:rFonts w:cs="Arial"/>
                <w:color w:val="000000"/>
                <w:sz w:val="18"/>
                <w:szCs w:val="18"/>
              </w:rPr>
              <w:t>204</w:t>
            </w:r>
          </w:p>
        </w:tc>
        <w:tc>
          <w:tcPr>
            <w:tcW w:w="1071" w:type="dxa"/>
            <w:shd w:val="clear" w:color="auto" w:fill="auto"/>
            <w:vAlign w:val="center"/>
          </w:tcPr>
          <w:p w:rsidR="004028A4" w:rsidP="004028A4" w:rsidRDefault="004028A4" w14:paraId="319F585F" w14:textId="51F73881">
            <w:pPr>
              <w:keepNext/>
              <w:keepLines/>
              <w:ind w:right="90"/>
              <w:jc w:val="right"/>
              <w:rPr>
                <w:rFonts w:cs="Arial"/>
                <w:color w:val="000000"/>
                <w:sz w:val="18"/>
                <w:szCs w:val="18"/>
              </w:rPr>
            </w:pPr>
            <w:r>
              <w:rPr>
                <w:rFonts w:cs="Arial"/>
                <w:color w:val="000000"/>
                <w:sz w:val="18"/>
                <w:szCs w:val="18"/>
              </w:rPr>
              <w:t>11,424</w:t>
            </w:r>
          </w:p>
        </w:tc>
        <w:tc>
          <w:tcPr>
            <w:tcW w:w="790" w:type="dxa"/>
            <w:shd w:val="clear" w:color="auto" w:fill="auto"/>
            <w:vAlign w:val="center"/>
          </w:tcPr>
          <w:p w:rsidR="004028A4" w:rsidP="004028A4" w:rsidRDefault="004028A4" w14:paraId="490DF46D" w14:textId="63AC7E3C">
            <w:pPr>
              <w:keepNext/>
              <w:keepLines/>
              <w:ind w:right="90"/>
              <w:jc w:val="right"/>
              <w:rPr>
                <w:rFonts w:cs="Arial"/>
                <w:color w:val="000000"/>
                <w:sz w:val="18"/>
                <w:szCs w:val="18"/>
              </w:rPr>
            </w:pPr>
            <w:r>
              <w:rPr>
                <w:rFonts w:cs="Arial"/>
                <w:color w:val="000000"/>
                <w:sz w:val="18"/>
                <w:szCs w:val="18"/>
              </w:rPr>
              <w:t>0</w:t>
            </w:r>
          </w:p>
        </w:tc>
        <w:tc>
          <w:tcPr>
            <w:tcW w:w="1306" w:type="dxa"/>
            <w:shd w:val="clear" w:color="auto" w:fill="auto"/>
            <w:vAlign w:val="center"/>
          </w:tcPr>
          <w:p w:rsidR="004028A4" w:rsidP="004028A4" w:rsidRDefault="004028A4" w14:paraId="3766D11D" w14:textId="4F16F501">
            <w:pPr>
              <w:keepNext/>
              <w:keepLines/>
              <w:ind w:right="90"/>
              <w:jc w:val="right"/>
              <w:rPr>
                <w:rFonts w:cs="Arial"/>
                <w:color w:val="000000"/>
                <w:sz w:val="18"/>
                <w:szCs w:val="18"/>
              </w:rPr>
            </w:pPr>
            <w:r>
              <w:rPr>
                <w:rFonts w:cs="Arial"/>
                <w:color w:val="000000"/>
                <w:sz w:val="18"/>
                <w:szCs w:val="18"/>
              </w:rPr>
              <w:t xml:space="preserve">$0 </w:t>
            </w:r>
          </w:p>
        </w:tc>
        <w:tc>
          <w:tcPr>
            <w:tcW w:w="1461" w:type="dxa"/>
            <w:shd w:val="clear" w:color="auto" w:fill="auto"/>
            <w:vAlign w:val="center"/>
          </w:tcPr>
          <w:p w:rsidR="004028A4" w:rsidP="004028A4" w:rsidRDefault="004028A4" w14:paraId="7E71255D" w14:textId="35756563">
            <w:pPr>
              <w:keepNext/>
              <w:keepLines/>
              <w:ind w:right="90"/>
              <w:jc w:val="right"/>
              <w:rPr>
                <w:rFonts w:cs="Arial"/>
                <w:color w:val="000000"/>
                <w:sz w:val="18"/>
                <w:szCs w:val="18"/>
              </w:rPr>
            </w:pPr>
            <w:r>
              <w:rPr>
                <w:rFonts w:cs="Arial"/>
                <w:color w:val="000000"/>
                <w:sz w:val="18"/>
                <w:szCs w:val="18"/>
              </w:rPr>
              <w:t xml:space="preserve">$534,643 </w:t>
            </w:r>
          </w:p>
        </w:tc>
        <w:tc>
          <w:tcPr>
            <w:tcW w:w="1433" w:type="dxa"/>
            <w:shd w:val="clear" w:color="auto" w:fill="auto"/>
            <w:vAlign w:val="center"/>
          </w:tcPr>
          <w:p w:rsidR="004028A4" w:rsidP="004028A4" w:rsidRDefault="004028A4" w14:paraId="55B36D33" w14:textId="1144C140">
            <w:pPr>
              <w:keepNext/>
              <w:keepLines/>
              <w:ind w:right="90"/>
              <w:jc w:val="right"/>
              <w:rPr>
                <w:rFonts w:cs="Arial"/>
                <w:color w:val="000000"/>
                <w:sz w:val="18"/>
                <w:szCs w:val="18"/>
              </w:rPr>
            </w:pPr>
            <w:r>
              <w:rPr>
                <w:rFonts w:cs="Arial"/>
                <w:color w:val="000000"/>
                <w:sz w:val="18"/>
                <w:szCs w:val="18"/>
              </w:rPr>
              <w:t xml:space="preserve">$534,643 </w:t>
            </w:r>
          </w:p>
        </w:tc>
      </w:tr>
      <w:tr w:rsidRPr="0057276A" w:rsidR="004028A4" w:rsidTr="00DE4552" w14:paraId="16707BCB" w14:textId="77777777">
        <w:tc>
          <w:tcPr>
            <w:tcW w:w="3265" w:type="dxa"/>
            <w:shd w:val="clear" w:color="auto" w:fill="auto"/>
            <w:vAlign w:val="center"/>
          </w:tcPr>
          <w:p w:rsidRPr="00DB6048" w:rsidR="004028A4" w:rsidP="004028A4" w:rsidRDefault="004028A4" w14:paraId="6430E8E2" w14:textId="2E634CE3">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Lost Particleboard Product</w:t>
            </w:r>
          </w:p>
        </w:tc>
        <w:tc>
          <w:tcPr>
            <w:tcW w:w="1521" w:type="dxa"/>
            <w:shd w:val="clear" w:color="auto" w:fill="auto"/>
            <w:vAlign w:val="center"/>
          </w:tcPr>
          <w:p w:rsidR="004028A4" w:rsidP="004028A4" w:rsidRDefault="004028A4" w14:paraId="485AAE37" w14:textId="1382078E">
            <w:pPr>
              <w:keepNext/>
              <w:keepLines/>
              <w:ind w:right="90"/>
              <w:jc w:val="right"/>
              <w:rPr>
                <w:rFonts w:cs="Arial"/>
                <w:color w:val="000000"/>
                <w:sz w:val="18"/>
                <w:szCs w:val="18"/>
              </w:rPr>
            </w:pPr>
            <w:r>
              <w:rPr>
                <w:rFonts w:cs="Arial"/>
                <w:color w:val="000000"/>
                <w:sz w:val="18"/>
                <w:szCs w:val="18"/>
              </w:rPr>
              <w:t>33</w:t>
            </w:r>
          </w:p>
        </w:tc>
        <w:tc>
          <w:tcPr>
            <w:tcW w:w="1071" w:type="dxa"/>
            <w:shd w:val="clear" w:color="auto" w:fill="auto"/>
            <w:vAlign w:val="center"/>
          </w:tcPr>
          <w:p w:rsidR="004028A4" w:rsidP="004028A4" w:rsidRDefault="004028A4" w14:paraId="59DA40B5" w14:textId="09C6B2AE">
            <w:pPr>
              <w:keepNext/>
              <w:keepLines/>
              <w:ind w:right="90"/>
              <w:jc w:val="right"/>
              <w:rPr>
                <w:rFonts w:cs="Arial"/>
                <w:color w:val="000000"/>
                <w:sz w:val="18"/>
                <w:szCs w:val="18"/>
              </w:rPr>
            </w:pPr>
            <w:r>
              <w:rPr>
                <w:rFonts w:cs="Arial"/>
                <w:color w:val="000000"/>
                <w:sz w:val="18"/>
                <w:szCs w:val="18"/>
              </w:rPr>
              <w:t>132</w:t>
            </w:r>
          </w:p>
        </w:tc>
        <w:tc>
          <w:tcPr>
            <w:tcW w:w="790" w:type="dxa"/>
            <w:shd w:val="clear" w:color="auto" w:fill="auto"/>
            <w:vAlign w:val="center"/>
          </w:tcPr>
          <w:p w:rsidR="004028A4" w:rsidP="004028A4" w:rsidRDefault="004028A4" w14:paraId="24F13998" w14:textId="65BC653A">
            <w:pPr>
              <w:keepNext/>
              <w:keepLines/>
              <w:ind w:right="90"/>
              <w:jc w:val="right"/>
              <w:rPr>
                <w:rFonts w:cs="Arial"/>
                <w:color w:val="000000"/>
                <w:sz w:val="18"/>
                <w:szCs w:val="18"/>
              </w:rPr>
            </w:pPr>
            <w:r>
              <w:rPr>
                <w:rFonts w:cs="Arial"/>
                <w:color w:val="000000"/>
                <w:sz w:val="18"/>
                <w:szCs w:val="18"/>
              </w:rPr>
              <w:t>0</w:t>
            </w:r>
          </w:p>
        </w:tc>
        <w:tc>
          <w:tcPr>
            <w:tcW w:w="1306" w:type="dxa"/>
            <w:shd w:val="clear" w:color="auto" w:fill="auto"/>
            <w:vAlign w:val="center"/>
          </w:tcPr>
          <w:p w:rsidR="004028A4" w:rsidP="004028A4" w:rsidRDefault="004028A4" w14:paraId="553B4DE4" w14:textId="7CB5295B">
            <w:pPr>
              <w:keepNext/>
              <w:keepLines/>
              <w:ind w:right="90"/>
              <w:jc w:val="right"/>
              <w:rPr>
                <w:rFonts w:cs="Arial"/>
                <w:color w:val="000000"/>
                <w:sz w:val="18"/>
                <w:szCs w:val="18"/>
              </w:rPr>
            </w:pPr>
            <w:r>
              <w:rPr>
                <w:rFonts w:cs="Arial"/>
                <w:color w:val="000000"/>
                <w:sz w:val="18"/>
                <w:szCs w:val="18"/>
              </w:rPr>
              <w:t xml:space="preserve">$0 </w:t>
            </w:r>
          </w:p>
        </w:tc>
        <w:tc>
          <w:tcPr>
            <w:tcW w:w="1461" w:type="dxa"/>
            <w:shd w:val="clear" w:color="auto" w:fill="auto"/>
            <w:vAlign w:val="center"/>
          </w:tcPr>
          <w:p w:rsidR="004028A4" w:rsidP="004028A4" w:rsidRDefault="004028A4" w14:paraId="5F27FD37" w14:textId="29A336A3">
            <w:pPr>
              <w:keepNext/>
              <w:keepLines/>
              <w:ind w:right="90"/>
              <w:jc w:val="right"/>
              <w:rPr>
                <w:rFonts w:cs="Arial"/>
                <w:color w:val="000000"/>
                <w:sz w:val="18"/>
                <w:szCs w:val="18"/>
              </w:rPr>
            </w:pPr>
            <w:r>
              <w:rPr>
                <w:rFonts w:cs="Arial"/>
                <w:color w:val="000000"/>
                <w:sz w:val="18"/>
                <w:szCs w:val="18"/>
              </w:rPr>
              <w:t xml:space="preserve">$3,992 </w:t>
            </w:r>
          </w:p>
        </w:tc>
        <w:tc>
          <w:tcPr>
            <w:tcW w:w="1433" w:type="dxa"/>
            <w:shd w:val="clear" w:color="auto" w:fill="auto"/>
            <w:vAlign w:val="center"/>
          </w:tcPr>
          <w:p w:rsidR="004028A4" w:rsidP="004028A4" w:rsidRDefault="004028A4" w14:paraId="1C2A1B92" w14:textId="7A243BE2">
            <w:pPr>
              <w:keepNext/>
              <w:keepLines/>
              <w:ind w:right="90"/>
              <w:jc w:val="right"/>
              <w:rPr>
                <w:rFonts w:cs="Arial"/>
                <w:color w:val="000000"/>
                <w:sz w:val="18"/>
                <w:szCs w:val="18"/>
              </w:rPr>
            </w:pPr>
            <w:r>
              <w:rPr>
                <w:rFonts w:cs="Arial"/>
                <w:color w:val="000000"/>
                <w:sz w:val="18"/>
                <w:szCs w:val="18"/>
              </w:rPr>
              <w:t xml:space="preserve">$3,992 </w:t>
            </w:r>
          </w:p>
        </w:tc>
      </w:tr>
      <w:tr w:rsidRPr="0057276A" w:rsidR="004028A4" w:rsidTr="00DE4552" w14:paraId="2322A2AC" w14:textId="77777777">
        <w:tc>
          <w:tcPr>
            <w:tcW w:w="3265" w:type="dxa"/>
            <w:shd w:val="clear" w:color="auto" w:fill="auto"/>
            <w:vAlign w:val="center"/>
          </w:tcPr>
          <w:p w:rsidRPr="00DB6048" w:rsidR="004028A4" w:rsidP="004028A4" w:rsidRDefault="004028A4" w14:paraId="713BB424" w14:textId="42D0A946">
            <w:pPr>
              <w:pStyle w:val="ListParagraph"/>
              <w:keepNext/>
              <w:keepLines/>
              <w:numPr>
                <w:ilvl w:val="0"/>
                <w:numId w:val="31"/>
              </w:numPr>
              <w:ind w:hanging="265"/>
              <w:rPr>
                <w:rFonts w:eastAsia="Times New Roman" w:cs="Arial"/>
                <w:color w:val="000000"/>
                <w:sz w:val="18"/>
                <w:szCs w:val="18"/>
              </w:rPr>
            </w:pPr>
            <w:r w:rsidRPr="00DB6048">
              <w:rPr>
                <w:rFonts w:cs="Arial"/>
                <w:color w:val="000000"/>
                <w:sz w:val="18"/>
                <w:szCs w:val="18"/>
              </w:rPr>
              <w:t xml:space="preserve">Producer </w:t>
            </w:r>
            <w:r>
              <w:rPr>
                <w:rFonts w:cs="Arial"/>
                <w:color w:val="000000"/>
                <w:sz w:val="18"/>
                <w:szCs w:val="18"/>
              </w:rPr>
              <w:t>R</w:t>
            </w:r>
            <w:r w:rsidRPr="00DB6048">
              <w:rPr>
                <w:rFonts w:cs="Arial"/>
                <w:color w:val="000000"/>
                <w:sz w:val="18"/>
                <w:szCs w:val="18"/>
              </w:rPr>
              <w:t xml:space="preserve">ecurring </w:t>
            </w:r>
            <w:r>
              <w:rPr>
                <w:rFonts w:cs="Arial"/>
                <w:color w:val="000000"/>
                <w:sz w:val="18"/>
                <w:szCs w:val="18"/>
              </w:rPr>
              <w:t>R</w:t>
            </w:r>
            <w:r w:rsidRPr="00DB6048">
              <w:rPr>
                <w:rFonts w:cs="Arial"/>
                <w:color w:val="000000"/>
                <w:sz w:val="18"/>
                <w:szCs w:val="18"/>
              </w:rPr>
              <w:t>ecordkeeping</w:t>
            </w:r>
          </w:p>
        </w:tc>
        <w:tc>
          <w:tcPr>
            <w:tcW w:w="1521" w:type="dxa"/>
            <w:shd w:val="clear" w:color="auto" w:fill="auto"/>
            <w:vAlign w:val="center"/>
          </w:tcPr>
          <w:p w:rsidRPr="00E4481A" w:rsidR="004028A4" w:rsidP="004028A4" w:rsidRDefault="004028A4" w14:paraId="706F4498" w14:textId="1BA4349E">
            <w:pPr>
              <w:keepNext/>
              <w:keepLines/>
              <w:ind w:right="90"/>
              <w:jc w:val="right"/>
              <w:rPr>
                <w:rFonts w:eastAsia="Times New Roman" w:cs="Arial"/>
                <w:color w:val="000000"/>
                <w:sz w:val="18"/>
                <w:szCs w:val="18"/>
                <w:highlight w:val="yellow"/>
              </w:rPr>
            </w:pPr>
            <w:r>
              <w:rPr>
                <w:rFonts w:cs="Arial"/>
                <w:color w:val="000000"/>
                <w:sz w:val="18"/>
                <w:szCs w:val="18"/>
              </w:rPr>
              <w:t>1,204</w:t>
            </w:r>
          </w:p>
        </w:tc>
        <w:tc>
          <w:tcPr>
            <w:tcW w:w="1071" w:type="dxa"/>
            <w:shd w:val="clear" w:color="auto" w:fill="auto"/>
            <w:vAlign w:val="center"/>
          </w:tcPr>
          <w:p w:rsidRPr="00E4481A" w:rsidR="004028A4" w:rsidP="004028A4" w:rsidRDefault="004028A4" w14:paraId="77A77473" w14:textId="1C8DC228">
            <w:pPr>
              <w:keepNext/>
              <w:keepLines/>
              <w:ind w:right="90"/>
              <w:jc w:val="right"/>
              <w:rPr>
                <w:rFonts w:eastAsia="Times New Roman" w:cs="Arial"/>
                <w:color w:val="000000"/>
                <w:sz w:val="18"/>
                <w:szCs w:val="18"/>
                <w:highlight w:val="yellow"/>
              </w:rPr>
            </w:pPr>
            <w:r>
              <w:rPr>
                <w:rFonts w:cs="Arial"/>
                <w:color w:val="000000"/>
                <w:sz w:val="18"/>
                <w:szCs w:val="18"/>
              </w:rPr>
              <w:t>1,204</w:t>
            </w:r>
          </w:p>
        </w:tc>
        <w:tc>
          <w:tcPr>
            <w:tcW w:w="790" w:type="dxa"/>
            <w:shd w:val="clear" w:color="auto" w:fill="auto"/>
            <w:vAlign w:val="center"/>
          </w:tcPr>
          <w:p w:rsidRPr="00E4481A" w:rsidR="004028A4" w:rsidP="004028A4" w:rsidRDefault="004028A4" w14:paraId="6E2B5C15" w14:textId="0918B6E9">
            <w:pPr>
              <w:keepNext/>
              <w:keepLines/>
              <w:ind w:right="90"/>
              <w:jc w:val="right"/>
              <w:rPr>
                <w:rFonts w:eastAsia="Times New Roman" w:cs="Arial"/>
                <w:color w:val="000000"/>
                <w:sz w:val="18"/>
                <w:szCs w:val="18"/>
                <w:highlight w:val="yellow"/>
              </w:rPr>
            </w:pPr>
            <w:r>
              <w:rPr>
                <w:rFonts w:cs="Arial"/>
                <w:color w:val="000000"/>
                <w:sz w:val="18"/>
                <w:szCs w:val="18"/>
              </w:rPr>
              <w:t>62,608</w:t>
            </w:r>
          </w:p>
        </w:tc>
        <w:tc>
          <w:tcPr>
            <w:tcW w:w="1306" w:type="dxa"/>
            <w:shd w:val="clear" w:color="auto" w:fill="auto"/>
            <w:vAlign w:val="center"/>
          </w:tcPr>
          <w:p w:rsidRPr="00E4481A" w:rsidR="004028A4" w:rsidP="004028A4" w:rsidRDefault="004028A4" w14:paraId="107878A9" w14:textId="3A181D1D">
            <w:pPr>
              <w:keepNext/>
              <w:keepLines/>
              <w:ind w:right="90"/>
              <w:jc w:val="right"/>
              <w:rPr>
                <w:rFonts w:eastAsia="Times New Roman" w:cs="Arial"/>
                <w:color w:val="000000"/>
                <w:sz w:val="18"/>
                <w:szCs w:val="18"/>
                <w:highlight w:val="yellow"/>
              </w:rPr>
            </w:pPr>
            <w:r>
              <w:rPr>
                <w:rFonts w:cs="Arial"/>
                <w:color w:val="000000"/>
                <w:sz w:val="18"/>
                <w:szCs w:val="18"/>
              </w:rPr>
              <w:t xml:space="preserve">$5,572,112 </w:t>
            </w:r>
          </w:p>
        </w:tc>
        <w:tc>
          <w:tcPr>
            <w:tcW w:w="1461" w:type="dxa"/>
            <w:shd w:val="clear" w:color="auto" w:fill="auto"/>
            <w:vAlign w:val="center"/>
          </w:tcPr>
          <w:p w:rsidRPr="00E4481A" w:rsidR="004028A4" w:rsidP="004028A4" w:rsidRDefault="004028A4" w14:paraId="78B99593" w14:textId="0C013955">
            <w:pPr>
              <w:keepNext/>
              <w:keepLines/>
              <w:ind w:right="90"/>
              <w:jc w:val="right"/>
              <w:rPr>
                <w:rFonts w:eastAsia="Times New Roman" w:cs="Arial"/>
                <w:color w:val="000000"/>
                <w:sz w:val="18"/>
                <w:szCs w:val="18"/>
                <w:highlight w:val="yellow"/>
              </w:rPr>
            </w:pPr>
            <w:r>
              <w:rPr>
                <w:rFonts w:cs="Arial"/>
                <w:color w:val="000000"/>
                <w:sz w:val="18"/>
                <w:szCs w:val="18"/>
              </w:rPr>
              <w:t xml:space="preserve">$0 </w:t>
            </w:r>
          </w:p>
        </w:tc>
        <w:tc>
          <w:tcPr>
            <w:tcW w:w="1433" w:type="dxa"/>
            <w:shd w:val="clear" w:color="auto" w:fill="auto"/>
            <w:vAlign w:val="center"/>
          </w:tcPr>
          <w:p w:rsidRPr="00E4481A" w:rsidR="004028A4" w:rsidP="004028A4" w:rsidRDefault="004028A4" w14:paraId="02AC32B9" w14:textId="17E5A47F">
            <w:pPr>
              <w:keepNext/>
              <w:keepLines/>
              <w:ind w:right="90"/>
              <w:jc w:val="right"/>
              <w:rPr>
                <w:rFonts w:eastAsia="Times New Roman" w:cs="Arial"/>
                <w:color w:val="000000"/>
                <w:sz w:val="18"/>
                <w:szCs w:val="18"/>
                <w:highlight w:val="yellow"/>
              </w:rPr>
            </w:pPr>
            <w:r>
              <w:rPr>
                <w:rFonts w:cs="Arial"/>
                <w:color w:val="000000"/>
                <w:sz w:val="18"/>
                <w:szCs w:val="18"/>
              </w:rPr>
              <w:t xml:space="preserve">$5,572,112 </w:t>
            </w:r>
          </w:p>
        </w:tc>
      </w:tr>
      <w:tr w:rsidRPr="0057276A" w:rsidR="004028A4" w:rsidTr="00DE4552" w14:paraId="49F3BD98" w14:textId="77777777">
        <w:tc>
          <w:tcPr>
            <w:tcW w:w="3265" w:type="dxa"/>
            <w:shd w:val="clear" w:color="auto" w:fill="auto"/>
            <w:vAlign w:val="center"/>
          </w:tcPr>
          <w:p w:rsidRPr="00943009" w:rsidR="004028A4" w:rsidP="004028A4" w:rsidRDefault="004028A4" w14:paraId="6CFA8266" w14:textId="385E5F7B">
            <w:pPr>
              <w:keepNext/>
              <w:keepLines/>
              <w:jc w:val="right"/>
              <w:rPr>
                <w:rFonts w:eastAsia="Times New Roman" w:cs="Arial"/>
                <w:b/>
                <w:color w:val="000000"/>
                <w:sz w:val="18"/>
                <w:szCs w:val="18"/>
              </w:rPr>
            </w:pPr>
            <w:r w:rsidRPr="00943009">
              <w:rPr>
                <w:rFonts w:eastAsia="Times New Roman" w:cs="Arial"/>
                <w:b/>
                <w:color w:val="000000"/>
                <w:sz w:val="18"/>
                <w:szCs w:val="18"/>
              </w:rPr>
              <w:t>Total</w:t>
            </w:r>
          </w:p>
        </w:tc>
        <w:tc>
          <w:tcPr>
            <w:tcW w:w="1521" w:type="dxa"/>
            <w:shd w:val="clear" w:color="auto" w:fill="auto"/>
            <w:vAlign w:val="center"/>
          </w:tcPr>
          <w:p w:rsidRPr="004028A4" w:rsidR="004028A4" w:rsidP="004028A4" w:rsidRDefault="004028A4" w14:paraId="61697E29" w14:textId="56FF927D">
            <w:pPr>
              <w:keepNext/>
              <w:keepLines/>
              <w:ind w:right="90"/>
              <w:jc w:val="right"/>
              <w:rPr>
                <w:rFonts w:eastAsia="Times New Roman" w:cs="Arial"/>
                <w:b/>
                <w:color w:val="000000"/>
                <w:sz w:val="18"/>
                <w:szCs w:val="18"/>
                <w:highlight w:val="yellow"/>
              </w:rPr>
            </w:pPr>
            <w:r w:rsidRPr="004028A4">
              <w:rPr>
                <w:rFonts w:cs="Arial"/>
                <w:b/>
                <w:color w:val="000000"/>
                <w:sz w:val="18"/>
                <w:szCs w:val="18"/>
              </w:rPr>
              <w:t>1,204</w:t>
            </w:r>
          </w:p>
        </w:tc>
        <w:tc>
          <w:tcPr>
            <w:tcW w:w="1071" w:type="dxa"/>
            <w:shd w:val="clear" w:color="auto" w:fill="auto"/>
            <w:vAlign w:val="center"/>
          </w:tcPr>
          <w:p w:rsidRPr="004028A4" w:rsidR="004028A4" w:rsidP="004028A4" w:rsidRDefault="004028A4" w14:paraId="2719D585" w14:textId="115D8936">
            <w:pPr>
              <w:keepNext/>
              <w:keepLines/>
              <w:ind w:right="90"/>
              <w:jc w:val="right"/>
              <w:rPr>
                <w:rFonts w:eastAsia="Times New Roman" w:cs="Arial"/>
                <w:b/>
                <w:color w:val="000000"/>
                <w:sz w:val="18"/>
                <w:szCs w:val="18"/>
                <w:highlight w:val="yellow"/>
              </w:rPr>
            </w:pPr>
            <w:r w:rsidRPr="004028A4">
              <w:rPr>
                <w:rFonts w:cs="Arial"/>
                <w:b/>
                <w:color w:val="000000"/>
                <w:sz w:val="18"/>
                <w:szCs w:val="18"/>
              </w:rPr>
              <w:t>38,728</w:t>
            </w:r>
          </w:p>
        </w:tc>
        <w:tc>
          <w:tcPr>
            <w:tcW w:w="790" w:type="dxa"/>
            <w:shd w:val="clear" w:color="auto" w:fill="auto"/>
            <w:vAlign w:val="center"/>
          </w:tcPr>
          <w:p w:rsidRPr="004028A4" w:rsidR="004028A4" w:rsidP="004028A4" w:rsidRDefault="004028A4" w14:paraId="25211500" w14:textId="6DCBEC1B">
            <w:pPr>
              <w:keepNext/>
              <w:keepLines/>
              <w:ind w:right="90"/>
              <w:jc w:val="right"/>
              <w:rPr>
                <w:rFonts w:eastAsia="Times New Roman" w:cs="Arial"/>
                <w:b/>
                <w:color w:val="000000"/>
                <w:sz w:val="18"/>
                <w:szCs w:val="18"/>
                <w:highlight w:val="yellow"/>
              </w:rPr>
            </w:pPr>
            <w:r w:rsidRPr="004028A4">
              <w:rPr>
                <w:rFonts w:cs="Arial"/>
                <w:b/>
                <w:color w:val="000000"/>
                <w:sz w:val="18"/>
                <w:szCs w:val="18"/>
              </w:rPr>
              <w:t>84,232</w:t>
            </w:r>
          </w:p>
        </w:tc>
        <w:tc>
          <w:tcPr>
            <w:tcW w:w="1306" w:type="dxa"/>
            <w:shd w:val="clear" w:color="auto" w:fill="auto"/>
            <w:vAlign w:val="center"/>
          </w:tcPr>
          <w:p w:rsidRPr="004028A4" w:rsidR="004028A4" w:rsidP="004028A4" w:rsidRDefault="004028A4" w14:paraId="012F77FF" w14:textId="4CACE04A">
            <w:pPr>
              <w:keepNext/>
              <w:keepLines/>
              <w:ind w:right="90"/>
              <w:jc w:val="right"/>
              <w:rPr>
                <w:rFonts w:eastAsia="Times New Roman" w:cs="Arial"/>
                <w:b/>
                <w:color w:val="000000"/>
                <w:sz w:val="18"/>
                <w:szCs w:val="18"/>
                <w:highlight w:val="yellow"/>
              </w:rPr>
            </w:pPr>
            <w:r w:rsidRPr="004028A4">
              <w:rPr>
                <w:rFonts w:cs="Arial"/>
                <w:b/>
                <w:bCs/>
                <w:color w:val="000000"/>
                <w:sz w:val="18"/>
                <w:szCs w:val="18"/>
              </w:rPr>
              <w:t xml:space="preserve">$7,496,648 </w:t>
            </w:r>
          </w:p>
        </w:tc>
        <w:tc>
          <w:tcPr>
            <w:tcW w:w="1461" w:type="dxa"/>
            <w:shd w:val="clear" w:color="auto" w:fill="auto"/>
            <w:vAlign w:val="center"/>
          </w:tcPr>
          <w:p w:rsidRPr="004028A4" w:rsidR="004028A4" w:rsidP="004028A4" w:rsidRDefault="004028A4" w14:paraId="151B20B2" w14:textId="76CA2D0A">
            <w:pPr>
              <w:keepNext/>
              <w:keepLines/>
              <w:ind w:right="90"/>
              <w:jc w:val="right"/>
              <w:rPr>
                <w:rFonts w:eastAsia="Times New Roman" w:cs="Arial"/>
                <w:b/>
                <w:color w:val="000000"/>
                <w:sz w:val="18"/>
                <w:szCs w:val="18"/>
                <w:highlight w:val="yellow"/>
              </w:rPr>
            </w:pPr>
            <w:r w:rsidRPr="004028A4">
              <w:rPr>
                <w:rFonts w:cs="Arial"/>
                <w:b/>
                <w:bCs/>
                <w:color w:val="000000"/>
                <w:sz w:val="18"/>
                <w:szCs w:val="18"/>
              </w:rPr>
              <w:t xml:space="preserve">$12,096,730 </w:t>
            </w:r>
          </w:p>
        </w:tc>
        <w:tc>
          <w:tcPr>
            <w:tcW w:w="1433" w:type="dxa"/>
            <w:shd w:val="clear" w:color="auto" w:fill="auto"/>
            <w:vAlign w:val="center"/>
          </w:tcPr>
          <w:p w:rsidRPr="004028A4" w:rsidR="004028A4" w:rsidP="004028A4" w:rsidRDefault="004028A4" w14:paraId="4CC202D7" w14:textId="2E58DCE9">
            <w:pPr>
              <w:keepNext/>
              <w:keepLines/>
              <w:ind w:right="90"/>
              <w:jc w:val="right"/>
              <w:rPr>
                <w:rFonts w:eastAsia="Times New Roman" w:cs="Arial"/>
                <w:b/>
                <w:color w:val="000000"/>
                <w:sz w:val="18"/>
                <w:szCs w:val="18"/>
                <w:highlight w:val="yellow"/>
              </w:rPr>
            </w:pPr>
            <w:r w:rsidRPr="004028A4">
              <w:rPr>
                <w:rFonts w:cs="Arial"/>
                <w:b/>
                <w:bCs/>
                <w:color w:val="000000"/>
                <w:sz w:val="18"/>
                <w:szCs w:val="18"/>
              </w:rPr>
              <w:t xml:space="preserve">$19,593,378 </w:t>
            </w:r>
          </w:p>
        </w:tc>
      </w:tr>
    </w:tbl>
    <w:p w:rsidRPr="0057276A" w:rsidR="0068414E" w:rsidP="00284484" w:rsidRDefault="0068414E" w14:paraId="3B6BEA42" w14:textId="77777777">
      <w:pPr>
        <w:pStyle w:val="NoSpacing"/>
        <w:rPr>
          <w:highlight w:val="yellow"/>
        </w:rPr>
      </w:pPr>
    </w:p>
    <w:p w:rsidRPr="00953355" w:rsidR="005F4ED1" w:rsidP="005F4ED1" w:rsidRDefault="005F4ED1" w14:paraId="1D0C78A0" w14:textId="1AACF121">
      <w:pPr>
        <w:pStyle w:val="Heading2"/>
        <w:tabs>
          <w:tab w:val="left" w:pos="1080"/>
        </w:tabs>
        <w:rPr>
          <w:lang w:bidi="en-US"/>
        </w:rPr>
      </w:pPr>
      <w:r w:rsidRPr="00953355">
        <w:t>IC #</w:t>
      </w:r>
      <w:r>
        <w:t>2</w:t>
      </w:r>
      <w:r w:rsidRPr="00953355">
        <w:t xml:space="preserve">: </w:t>
      </w:r>
      <w:r>
        <w:t>Fabricators</w:t>
      </w:r>
      <w:r w:rsidR="00470772">
        <w:t xml:space="preserve"> and Laminators</w:t>
      </w:r>
      <w:r>
        <w:t xml:space="preserve"> </w:t>
      </w:r>
    </w:p>
    <w:p w:rsidRPr="00E94251" w:rsidR="00D26AFB" w:rsidP="00D26AFB" w:rsidRDefault="00D26AFB" w14:paraId="4BE33834" w14:textId="77777777">
      <w:bookmarkStart w:name="_Hlk23757980" w:id="30"/>
      <w:r w:rsidRPr="00E94251">
        <w:rPr>
          <w:u w:val="single"/>
        </w:rPr>
        <w:t>Respondent NAICS Codes</w:t>
      </w:r>
    </w:p>
    <w:p w:rsidRPr="002F1795" w:rsidR="00D26AFB" w:rsidP="00D26AFB" w:rsidRDefault="00D26AFB" w14:paraId="66F0068B" w14:textId="77777777"/>
    <w:p w:rsidRPr="002F1795" w:rsidR="00D26AFB" w:rsidP="00BC4AD4" w:rsidRDefault="00BC4AD4" w14:paraId="2137F2AA" w14:textId="0DF5ACC7">
      <w:pPr>
        <w:widowControl w:val="0"/>
        <w:adjustRightInd w:val="0"/>
        <w:contextualSpacing/>
      </w:pPr>
      <w:r>
        <w:t>337</w:t>
      </w:r>
      <w:r>
        <w:tab/>
      </w:r>
      <w:r w:rsidRPr="002F1795" w:rsidR="00D26AFB">
        <w:t xml:space="preserve">Furniture and Related Product Manufacturing </w:t>
      </w:r>
    </w:p>
    <w:p w:rsidR="00D26AFB" w:rsidP="00BC4AD4" w:rsidRDefault="00BC4AD4" w14:paraId="7A653A5F" w14:textId="74BD1F5B">
      <w:pPr>
        <w:widowControl w:val="0"/>
        <w:adjustRightInd w:val="0"/>
        <w:contextualSpacing/>
      </w:pPr>
      <w:r>
        <w:t>339</w:t>
      </w:r>
      <w:r>
        <w:tab/>
      </w:r>
      <w:r w:rsidRPr="002F1795" w:rsidR="00D26AFB">
        <w:t xml:space="preserve">Miscellaneous Manufacturing </w:t>
      </w:r>
    </w:p>
    <w:p w:rsidR="00D26AFB" w:rsidP="00D26AFB" w:rsidRDefault="00D26AFB" w14:paraId="187D4DD1" w14:textId="77777777">
      <w:pPr>
        <w:pStyle w:val="NoSpacing"/>
      </w:pPr>
    </w:p>
    <w:p w:rsidRPr="00695644" w:rsidR="00817FF3" w:rsidP="005F4ED1" w:rsidRDefault="000449F9" w14:paraId="0649B073" w14:textId="2C10DDC6">
      <w:pPr>
        <w:pStyle w:val="NoSpacing"/>
      </w:pPr>
      <w:r w:rsidRPr="00695644">
        <w:t>T</w:t>
      </w:r>
      <w:r w:rsidRPr="00695644" w:rsidR="00817FF3">
        <w:t xml:space="preserve">he previously approved ICR (EPA ICR #2446.02) estimated that </w:t>
      </w:r>
      <w:r w:rsidRPr="00491BA3" w:rsidR="00817FF3">
        <w:t>there were 79,978 domestic and 31,183 foreign fabricators and laminators subject to the TSCA Title VI rule, for a total of 111,161 firms. This analysis retains those estimates.</w:t>
      </w:r>
    </w:p>
    <w:p w:rsidRPr="00695644" w:rsidR="00817FF3" w:rsidP="005F4ED1" w:rsidRDefault="00817FF3" w14:paraId="1026F0AA" w14:textId="77777777">
      <w:pPr>
        <w:pStyle w:val="NoSpacing"/>
      </w:pPr>
    </w:p>
    <w:p w:rsidRPr="00695644" w:rsidR="006C734A" w:rsidP="0046193A" w:rsidRDefault="009D090D" w14:paraId="7B998C15" w14:textId="349EF441">
      <w:pPr>
        <w:pStyle w:val="NoSpacing"/>
      </w:pPr>
      <w:r w:rsidRPr="00695644">
        <w:t>Under the TSCA Title VI rule, a</w:t>
      </w:r>
      <w:r w:rsidRPr="00695644" w:rsidR="006C734A">
        <w:t xml:space="preserve">ll fabricators and laminators are required to label their products with their name, the date the finished good was produced, and a statement of compliance. The previously approved ICR (EPA ICR #2446.02) estimated that </w:t>
      </w:r>
      <w:r w:rsidRPr="00695644">
        <w:t xml:space="preserve">many fabricators and laminators would not incur an incremental cost to comply with the TSCA labeling requirements because they were already complying with similar requirements in the CARB ATCM or because their existing labeling systems were sufficient to meet the rule’s requirements without any significant modification. While some firms were estimated to </w:t>
      </w:r>
      <w:r w:rsidRPr="00695644" w:rsidR="006C734A">
        <w:t xml:space="preserve">incur a one-time burden to change their labels to comply with the </w:t>
      </w:r>
      <w:r w:rsidRPr="00695644">
        <w:t xml:space="preserve">rule’s </w:t>
      </w:r>
      <w:r w:rsidRPr="00695644" w:rsidR="0046193A">
        <w:t>requirements</w:t>
      </w:r>
      <w:r w:rsidRPr="00695644" w:rsidR="000449F9">
        <w:t xml:space="preserve">, </w:t>
      </w:r>
      <w:r w:rsidRPr="00695644" w:rsidR="00115F44">
        <w:t xml:space="preserve">such </w:t>
      </w:r>
      <w:r w:rsidRPr="00695644" w:rsidR="0046193A">
        <w:t xml:space="preserve">firms have already incurred those </w:t>
      </w:r>
      <w:r w:rsidRPr="00695644" w:rsidR="00115F44">
        <w:t xml:space="preserve">one-time </w:t>
      </w:r>
      <w:proofErr w:type="gramStart"/>
      <w:r w:rsidRPr="00695644" w:rsidR="0046193A">
        <w:t>costs</w:t>
      </w:r>
      <w:proofErr w:type="gramEnd"/>
      <w:r w:rsidRPr="00695644" w:rsidR="000449F9">
        <w:t xml:space="preserve"> so </w:t>
      </w:r>
      <w:r w:rsidRPr="00695644" w:rsidR="0046193A">
        <w:t xml:space="preserve">they </w:t>
      </w:r>
      <w:r w:rsidRPr="00695644" w:rsidR="00115F44">
        <w:t xml:space="preserve">do not </w:t>
      </w:r>
      <w:r w:rsidRPr="00695644" w:rsidR="0046193A">
        <w:t xml:space="preserve">incur additional burden in the period covered by this ICR. </w:t>
      </w:r>
      <w:r w:rsidRPr="00695644" w:rsidR="000449F9">
        <w:t xml:space="preserve">Therefore, no incremental </w:t>
      </w:r>
      <w:r w:rsidRPr="00695644" w:rsidR="00EF4858">
        <w:t xml:space="preserve">labeling </w:t>
      </w:r>
      <w:r w:rsidRPr="00695644" w:rsidR="000449F9">
        <w:t>costs are estimated in this ICR for fabricators and laminators.</w:t>
      </w:r>
    </w:p>
    <w:p w:rsidRPr="00695644" w:rsidR="006C734A" w:rsidP="005F4ED1" w:rsidRDefault="006C734A" w14:paraId="4F381733" w14:textId="77777777">
      <w:pPr>
        <w:pStyle w:val="NoSpacing"/>
      </w:pPr>
    </w:p>
    <w:p w:rsidRPr="00695644" w:rsidR="00470772" w:rsidP="005F4ED1" w:rsidRDefault="00470772" w14:paraId="49A4668E" w14:textId="4DD24855">
      <w:pPr>
        <w:pStyle w:val="NoSpacing"/>
      </w:pPr>
      <w:r w:rsidRPr="00695644">
        <w:t xml:space="preserve">Fabricators </w:t>
      </w:r>
      <w:r w:rsidRPr="00695644" w:rsidR="00115F44">
        <w:t xml:space="preserve">and laminators </w:t>
      </w:r>
      <w:r w:rsidRPr="00695644">
        <w:t xml:space="preserve">that do not import composite wood panels </w:t>
      </w:r>
      <w:r w:rsidRPr="00695644" w:rsidR="00115F44">
        <w:t xml:space="preserve">or component parts </w:t>
      </w:r>
      <w:r w:rsidRPr="00695644">
        <w:t xml:space="preserve">are only required to maintain invoices, bills of lading, or </w:t>
      </w:r>
      <w:r w:rsidRPr="00695644" w:rsidR="007D787C">
        <w:t xml:space="preserve">other </w:t>
      </w:r>
      <w:r w:rsidRPr="00695644" w:rsidR="00115F44">
        <w:t xml:space="preserve">similar documents </w:t>
      </w:r>
      <w:r w:rsidRPr="00695644" w:rsidR="007D787C">
        <w:t>from their supplier</w:t>
      </w:r>
      <w:r w:rsidRPr="00695644" w:rsidR="00115F44">
        <w:t>s</w:t>
      </w:r>
      <w:r w:rsidRPr="00695644" w:rsidR="007D787C">
        <w:t xml:space="preserve"> that include a statement that the composite wood products or component parts are TSCA Title VI compliant or were produced before a date one year after the publication </w:t>
      </w:r>
      <w:r w:rsidRPr="00695644" w:rsidR="00115F44">
        <w:t>o</w:t>
      </w:r>
      <w:r w:rsidRPr="00695644" w:rsidR="007D787C">
        <w:t xml:space="preserve">f the final rule. These </w:t>
      </w:r>
      <w:r w:rsidRPr="00695644" w:rsidR="00695644">
        <w:t xml:space="preserve">documents </w:t>
      </w:r>
      <w:r w:rsidRPr="00695644" w:rsidR="007D787C">
        <w:t xml:space="preserve">are assumed to be kept as ordinary business records and therefore no </w:t>
      </w:r>
      <w:r w:rsidRPr="00695644" w:rsidR="00115F44">
        <w:t xml:space="preserve">recordkeeping </w:t>
      </w:r>
      <w:r w:rsidRPr="00695644" w:rsidR="007D787C">
        <w:t xml:space="preserve">burden is estimated.  </w:t>
      </w:r>
    </w:p>
    <w:p w:rsidRPr="00695644" w:rsidR="00470772" w:rsidP="005F4ED1" w:rsidRDefault="00470772" w14:paraId="7BE347A8" w14:textId="5940F071">
      <w:pPr>
        <w:pStyle w:val="NoSpacing"/>
      </w:pPr>
    </w:p>
    <w:p w:rsidRPr="00695644" w:rsidR="00470772" w:rsidP="00470772" w:rsidRDefault="00470772" w14:paraId="75479B39" w14:textId="607CCAF4">
      <w:pPr>
        <w:pStyle w:val="NoSpacing"/>
        <w:rPr>
          <w:highlight w:val="yellow"/>
        </w:rPr>
      </w:pPr>
      <w:r w:rsidRPr="00695644">
        <w:t xml:space="preserve">Firms that import composite wood panels or component parts must be able to provide </w:t>
      </w:r>
      <w:r w:rsidRPr="00695644" w:rsidR="00B65EED">
        <w:t xml:space="preserve">EPA with </w:t>
      </w:r>
      <w:r w:rsidRPr="00695644">
        <w:t xml:space="preserve">additional records identifying the panel producer, supplier, date of manufacture, and date </w:t>
      </w:r>
      <w:r w:rsidRPr="00695644">
        <w:lastRenderedPageBreak/>
        <w:t>of purchase within 30 days of request</w:t>
      </w:r>
      <w:r w:rsidRPr="00695644" w:rsidR="00B65EED">
        <w:t>. These records are assumed to be kept as ordinary business records and therefore no recordkeeping burden is estimated</w:t>
      </w:r>
      <w:r w:rsidRPr="00695644">
        <w:t xml:space="preserve">.  </w:t>
      </w:r>
    </w:p>
    <w:bookmarkEnd w:id="30"/>
    <w:p w:rsidRPr="00695644" w:rsidR="00695644" w:rsidP="00695644" w:rsidRDefault="00695644" w14:paraId="20357897" w14:textId="4A9E173A">
      <w:pPr>
        <w:pStyle w:val="NoSpacing"/>
      </w:pPr>
    </w:p>
    <w:p w:rsidR="00470772" w:rsidP="00695644" w:rsidRDefault="00695644" w14:paraId="7F21B42B" w14:textId="5AE98F55">
      <w:pPr>
        <w:pStyle w:val="NoSpacing"/>
      </w:pPr>
      <w:r w:rsidRPr="00695644">
        <w:t>Laminated product producers whose products are exempt from the definition of hardwood plywood will have to keep records demonstrating eligibility for the exemption once that requirement takes effect seven years after the promulgation of the final rule. Since that occurs in the next ICR cycle, there is no burden for this activity during the time period covered by this ICR.</w:t>
      </w:r>
    </w:p>
    <w:p w:rsidR="006A0E12" w:rsidP="00695644" w:rsidRDefault="006A0E12" w14:paraId="4D2CA13F" w14:textId="4432C0E8">
      <w:pPr>
        <w:pStyle w:val="NoSpacing"/>
      </w:pPr>
    </w:p>
    <w:p w:rsidRPr="00695644" w:rsidR="006A0E12" w:rsidP="00695644" w:rsidRDefault="006A0E12" w14:paraId="6A1F6802" w14:textId="34992926">
      <w:pPr>
        <w:pStyle w:val="NoSpacing"/>
        <w:rPr>
          <w:highlight w:val="yellow"/>
        </w:rPr>
      </w:pPr>
      <w:r>
        <w:t>As shown in the IC #2 table below, there is no incremental burden or cost for fabricators and laminators.</w:t>
      </w:r>
    </w:p>
    <w:p w:rsidR="00ED1A92" w:rsidP="005F4ED1" w:rsidRDefault="00ED1A92" w14:paraId="47E7577B" w14:textId="77777777">
      <w:pPr>
        <w:pStyle w:val="NoSpacing"/>
        <w:rPr>
          <w:highlight w:val="yellow"/>
        </w:rPr>
      </w:pPr>
    </w:p>
    <w:tbl>
      <w:tblPr>
        <w:tblW w:w="1064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7"/>
        <w:gridCol w:w="1357"/>
        <w:gridCol w:w="1240"/>
        <w:gridCol w:w="1087"/>
        <w:gridCol w:w="1221"/>
        <w:gridCol w:w="1247"/>
        <w:gridCol w:w="1220"/>
      </w:tblGrid>
      <w:tr w:rsidRPr="00C11C35" w:rsidR="00ED1A92" w:rsidTr="00AB1CC4" w14:paraId="3F06453E" w14:textId="77777777">
        <w:tc>
          <w:tcPr>
            <w:tcW w:w="10649" w:type="dxa"/>
            <w:gridSpan w:val="7"/>
            <w:shd w:val="clear" w:color="auto" w:fill="BFBFBF" w:themeFill="background1" w:themeFillShade="BF"/>
            <w:vAlign w:val="center"/>
            <w:hideMark/>
          </w:tcPr>
          <w:p w:rsidRPr="00C11C35" w:rsidR="00ED1A92" w:rsidP="00D4207E" w:rsidRDefault="00ED1A92" w14:paraId="276A95EC" w14:textId="16B1336C">
            <w:pPr>
              <w:keepNext/>
              <w:keepLines/>
              <w:rPr>
                <w:rFonts w:eastAsia="Times New Roman" w:cs="Arial"/>
                <w:b/>
                <w:bCs/>
                <w:sz w:val="22"/>
              </w:rPr>
            </w:pPr>
            <w:r w:rsidRPr="00C11C35">
              <w:rPr>
                <w:rFonts w:eastAsia="Times New Roman" w:cs="Arial"/>
                <w:b/>
                <w:bCs/>
                <w:sz w:val="22"/>
              </w:rPr>
              <w:t xml:space="preserve">IC# </w:t>
            </w:r>
            <w:r w:rsidR="00D4207E">
              <w:rPr>
                <w:rFonts w:eastAsia="Times New Roman" w:cs="Arial"/>
                <w:b/>
                <w:bCs/>
                <w:sz w:val="22"/>
              </w:rPr>
              <w:t>2</w:t>
            </w:r>
            <w:r w:rsidRPr="00C11C35">
              <w:rPr>
                <w:rFonts w:eastAsia="Times New Roman" w:cs="Arial"/>
                <w:b/>
                <w:bCs/>
                <w:sz w:val="22"/>
              </w:rPr>
              <w:t>. Recordkeeping and Reporting Activities for</w:t>
            </w:r>
            <w:r>
              <w:rPr>
                <w:rFonts w:eastAsia="Times New Roman" w:cs="Arial"/>
                <w:b/>
                <w:bCs/>
                <w:sz w:val="22"/>
              </w:rPr>
              <w:t xml:space="preserve"> Fabricators</w:t>
            </w:r>
            <w:r w:rsidRPr="00C11C35">
              <w:rPr>
                <w:rFonts w:eastAsia="Times New Roman" w:cs="Arial"/>
                <w:b/>
                <w:bCs/>
                <w:sz w:val="22"/>
              </w:rPr>
              <w:t> </w:t>
            </w:r>
            <w:r w:rsidR="00470772">
              <w:rPr>
                <w:rFonts w:eastAsia="Times New Roman" w:cs="Arial"/>
                <w:b/>
                <w:bCs/>
                <w:sz w:val="22"/>
              </w:rPr>
              <w:t>and Laminators</w:t>
            </w:r>
          </w:p>
        </w:tc>
      </w:tr>
      <w:tr w:rsidRPr="00C11C35" w:rsidR="00ED1A92" w:rsidTr="00AB1CC4" w14:paraId="52EAE780" w14:textId="77777777">
        <w:tc>
          <w:tcPr>
            <w:tcW w:w="10649" w:type="dxa"/>
            <w:gridSpan w:val="7"/>
            <w:shd w:val="clear" w:color="auto" w:fill="BFBFBF" w:themeFill="background1" w:themeFillShade="BF"/>
            <w:vAlign w:val="center"/>
            <w:hideMark/>
          </w:tcPr>
          <w:p w:rsidRPr="00C11C35" w:rsidR="00ED1A92" w:rsidP="00AB1CC4" w:rsidRDefault="00ED1A92" w14:paraId="6E9B3270" w14:textId="77777777">
            <w:pPr>
              <w:keepNext/>
              <w:keepLines/>
              <w:jc w:val="center"/>
              <w:rPr>
                <w:rFonts w:eastAsia="Times New Roman" w:cs="Arial"/>
                <w:b/>
                <w:bCs/>
                <w:sz w:val="22"/>
              </w:rPr>
            </w:pPr>
            <w:r w:rsidRPr="00C11C35">
              <w:rPr>
                <w:rFonts w:eastAsia="Times New Roman" w:cs="Arial"/>
                <w:b/>
                <w:bCs/>
                <w:sz w:val="22"/>
              </w:rPr>
              <w:t xml:space="preserve">Citation: 40 CFR </w:t>
            </w:r>
            <w:r w:rsidRPr="000A1B41">
              <w:rPr>
                <w:rFonts w:eastAsia="Times New Roman" w:cs="Arial"/>
                <w:b/>
                <w:bCs/>
                <w:sz w:val="22"/>
              </w:rPr>
              <w:t>770</w:t>
            </w:r>
          </w:p>
        </w:tc>
      </w:tr>
      <w:tr w:rsidRPr="00C11C35" w:rsidR="00ED1A92" w:rsidTr="000A1B41" w14:paraId="31E92178" w14:textId="77777777">
        <w:tc>
          <w:tcPr>
            <w:tcW w:w="3277" w:type="dxa"/>
            <w:shd w:val="clear" w:color="auto" w:fill="BFBFBF" w:themeFill="background1" w:themeFillShade="BF"/>
            <w:vAlign w:val="center"/>
            <w:hideMark/>
          </w:tcPr>
          <w:p w:rsidRPr="00C11C35" w:rsidR="00ED1A92" w:rsidP="00AB1CC4" w:rsidRDefault="00ED1A92" w14:paraId="18BFFA3C" w14:textId="77777777">
            <w:pPr>
              <w:keepNext/>
              <w:keepLines/>
              <w:rPr>
                <w:rFonts w:eastAsia="Times New Roman" w:cs="Arial"/>
                <w:b/>
                <w:bCs/>
                <w:sz w:val="18"/>
                <w:szCs w:val="18"/>
              </w:rPr>
            </w:pPr>
            <w:r w:rsidRPr="00C11C35">
              <w:rPr>
                <w:rFonts w:eastAsia="Times New Roman" w:cs="Arial"/>
                <w:b/>
                <w:bCs/>
                <w:sz w:val="18"/>
                <w:szCs w:val="18"/>
              </w:rPr>
              <w:t>Data Element</w:t>
            </w:r>
          </w:p>
        </w:tc>
        <w:tc>
          <w:tcPr>
            <w:tcW w:w="1357" w:type="dxa"/>
            <w:tcBorders>
              <w:bottom w:val="single" w:color="auto" w:sz="4" w:space="0"/>
            </w:tcBorders>
            <w:shd w:val="clear" w:color="auto" w:fill="BFBFBF" w:themeFill="background1" w:themeFillShade="BF"/>
            <w:vAlign w:val="center"/>
            <w:hideMark/>
          </w:tcPr>
          <w:p w:rsidRPr="00C11C35" w:rsidR="00ED1A92" w:rsidP="00AB1CC4" w:rsidRDefault="00ED1A92" w14:paraId="17EF9662" w14:textId="77777777">
            <w:pPr>
              <w:keepNext/>
              <w:keepLines/>
              <w:jc w:val="center"/>
              <w:rPr>
                <w:rFonts w:eastAsia="Times New Roman" w:cs="Arial"/>
                <w:b/>
                <w:bCs/>
                <w:sz w:val="18"/>
                <w:szCs w:val="18"/>
              </w:rPr>
            </w:pPr>
            <w:r w:rsidRPr="009176B4">
              <w:rPr>
                <w:rFonts w:eastAsia="Times New Roman" w:cs="Arial"/>
                <w:b/>
                <w:bCs/>
                <w:sz w:val="18"/>
                <w:szCs w:val="18"/>
              </w:rPr>
              <w:t>Respondents</w:t>
            </w:r>
          </w:p>
        </w:tc>
        <w:tc>
          <w:tcPr>
            <w:tcW w:w="1240" w:type="dxa"/>
            <w:tcBorders>
              <w:bottom w:val="single" w:color="auto" w:sz="4" w:space="0"/>
            </w:tcBorders>
            <w:shd w:val="clear" w:color="auto" w:fill="BFBFBF" w:themeFill="background1" w:themeFillShade="BF"/>
            <w:vAlign w:val="center"/>
            <w:hideMark/>
          </w:tcPr>
          <w:p w:rsidRPr="00C11C35" w:rsidR="00ED1A92" w:rsidP="00AB1CC4" w:rsidRDefault="00ED1A92" w14:paraId="5D68E51F" w14:textId="77777777">
            <w:pPr>
              <w:keepNext/>
              <w:keepLines/>
              <w:jc w:val="center"/>
              <w:rPr>
                <w:rFonts w:eastAsia="Times New Roman" w:cs="Arial"/>
                <w:b/>
                <w:bCs/>
                <w:sz w:val="18"/>
                <w:szCs w:val="18"/>
              </w:rPr>
            </w:pPr>
            <w:r w:rsidRPr="009176B4">
              <w:rPr>
                <w:rFonts w:eastAsia="Times New Roman" w:cs="Arial"/>
                <w:b/>
                <w:bCs/>
                <w:sz w:val="18"/>
                <w:szCs w:val="18"/>
              </w:rPr>
              <w:t>Responses</w:t>
            </w:r>
          </w:p>
        </w:tc>
        <w:tc>
          <w:tcPr>
            <w:tcW w:w="1087" w:type="dxa"/>
            <w:shd w:val="clear" w:color="auto" w:fill="BFBFBF" w:themeFill="background1" w:themeFillShade="BF"/>
            <w:vAlign w:val="center"/>
            <w:hideMark/>
          </w:tcPr>
          <w:p w:rsidRPr="00C11C35" w:rsidR="00ED1A92" w:rsidP="00AB1CC4" w:rsidRDefault="00ED1A92" w14:paraId="1C2AC6F5" w14:textId="6F70B8CA">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Burden</w:t>
            </w:r>
            <w:r>
              <w:rPr>
                <w:rFonts w:eastAsia="Times New Roman" w:cs="Arial"/>
                <w:b/>
                <w:bCs/>
                <w:sz w:val="18"/>
                <w:szCs w:val="18"/>
              </w:rPr>
              <w:t xml:space="preserve"> </w:t>
            </w:r>
            <w:r w:rsidR="00525D83">
              <w:rPr>
                <w:rFonts w:eastAsia="Times New Roman" w:cs="Arial"/>
                <w:b/>
                <w:bCs/>
                <w:sz w:val="18"/>
                <w:szCs w:val="18"/>
              </w:rPr>
              <w:t>(</w:t>
            </w:r>
            <w:r>
              <w:rPr>
                <w:rFonts w:eastAsia="Times New Roman" w:cs="Arial"/>
                <w:b/>
                <w:bCs/>
                <w:sz w:val="18"/>
                <w:szCs w:val="18"/>
              </w:rPr>
              <w:t>Hours</w:t>
            </w:r>
            <w:r w:rsidR="00525D83">
              <w:rPr>
                <w:rFonts w:eastAsia="Times New Roman" w:cs="Arial"/>
                <w:b/>
                <w:bCs/>
                <w:sz w:val="18"/>
                <w:szCs w:val="18"/>
              </w:rPr>
              <w:t>)</w:t>
            </w:r>
          </w:p>
        </w:tc>
        <w:tc>
          <w:tcPr>
            <w:tcW w:w="1221" w:type="dxa"/>
            <w:shd w:val="clear" w:color="auto" w:fill="BFBFBF" w:themeFill="background1" w:themeFillShade="BF"/>
            <w:vAlign w:val="center"/>
            <w:hideMark/>
          </w:tcPr>
          <w:p w:rsidRPr="00C11C35" w:rsidR="00ED1A92" w:rsidP="00AB1CC4" w:rsidRDefault="00ED1A92" w14:paraId="301F5FAD" w14:textId="77777777">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Labor Cost</w:t>
            </w:r>
          </w:p>
        </w:tc>
        <w:tc>
          <w:tcPr>
            <w:tcW w:w="1247" w:type="dxa"/>
            <w:shd w:val="clear" w:color="auto" w:fill="BFBFBF" w:themeFill="background1" w:themeFillShade="BF"/>
            <w:vAlign w:val="center"/>
            <w:hideMark/>
          </w:tcPr>
          <w:p w:rsidRPr="00C11C35" w:rsidR="00ED1A92" w:rsidP="00AB1CC4" w:rsidRDefault="00ED1A92" w14:paraId="3EA62BF1" w14:textId="77777777">
            <w:pPr>
              <w:keepNext/>
              <w:keepLines/>
              <w:jc w:val="center"/>
              <w:rPr>
                <w:rFonts w:eastAsia="Times New Roman" w:cs="Arial"/>
                <w:b/>
                <w:bCs/>
                <w:sz w:val="18"/>
                <w:szCs w:val="18"/>
              </w:rPr>
            </w:pPr>
            <w:r>
              <w:rPr>
                <w:rFonts w:eastAsia="Times New Roman" w:cs="Arial"/>
                <w:b/>
                <w:bCs/>
                <w:sz w:val="18"/>
                <w:szCs w:val="18"/>
              </w:rPr>
              <w:t xml:space="preserve">Total Non-Labor </w:t>
            </w:r>
            <w:r w:rsidRPr="009176B4">
              <w:rPr>
                <w:rFonts w:eastAsia="Times New Roman" w:cs="Arial"/>
                <w:b/>
                <w:bCs/>
                <w:sz w:val="18"/>
                <w:szCs w:val="18"/>
              </w:rPr>
              <w:t xml:space="preserve"> Cost</w:t>
            </w:r>
          </w:p>
        </w:tc>
        <w:tc>
          <w:tcPr>
            <w:tcW w:w="1220" w:type="dxa"/>
            <w:shd w:val="clear" w:color="auto" w:fill="BFBFBF" w:themeFill="background1" w:themeFillShade="BF"/>
            <w:vAlign w:val="center"/>
            <w:hideMark/>
          </w:tcPr>
          <w:p w:rsidRPr="00C11C35" w:rsidR="00ED1A92" w:rsidP="00AB1CC4" w:rsidRDefault="00ED1A92" w14:paraId="07F089F5" w14:textId="77777777">
            <w:pPr>
              <w:keepNext/>
              <w:keepLines/>
              <w:jc w:val="center"/>
              <w:rPr>
                <w:rFonts w:eastAsia="Times New Roman" w:cs="Arial"/>
                <w:b/>
                <w:bCs/>
                <w:sz w:val="18"/>
                <w:szCs w:val="18"/>
              </w:rPr>
            </w:pPr>
            <w:r w:rsidRPr="009176B4">
              <w:rPr>
                <w:rFonts w:eastAsia="Times New Roman" w:cs="Arial"/>
                <w:b/>
                <w:bCs/>
                <w:sz w:val="18"/>
                <w:szCs w:val="18"/>
              </w:rPr>
              <w:t>Total Cost</w:t>
            </w:r>
          </w:p>
        </w:tc>
      </w:tr>
      <w:tr w:rsidRPr="004244C5" w:rsidR="00D71E5E" w:rsidTr="000A1B41" w14:paraId="282D4942" w14:textId="77777777">
        <w:tc>
          <w:tcPr>
            <w:tcW w:w="3277" w:type="dxa"/>
            <w:shd w:val="clear" w:color="auto" w:fill="auto"/>
            <w:vAlign w:val="bottom"/>
          </w:tcPr>
          <w:p w:rsidRPr="004E4ADD" w:rsidR="00D71E5E" w:rsidP="00D71E5E" w:rsidRDefault="00D71E5E" w14:paraId="744E49E4" w14:textId="70B2D074">
            <w:pPr>
              <w:pStyle w:val="ListParagraph"/>
              <w:keepNext/>
              <w:keepLines/>
              <w:numPr>
                <w:ilvl w:val="0"/>
                <w:numId w:val="37"/>
              </w:numPr>
              <w:rPr>
                <w:rFonts w:eastAsia="Times New Roman" w:cs="Arial"/>
                <w:color w:val="000000"/>
                <w:sz w:val="18"/>
                <w:szCs w:val="18"/>
              </w:rPr>
            </w:pPr>
            <w:r>
              <w:rPr>
                <w:rFonts w:eastAsia="Times New Roman" w:cs="Arial"/>
                <w:color w:val="000000"/>
                <w:sz w:val="18"/>
                <w:szCs w:val="18"/>
              </w:rPr>
              <w:t>Labeling</w:t>
            </w:r>
          </w:p>
        </w:tc>
        <w:tc>
          <w:tcPr>
            <w:tcW w:w="1357" w:type="dxa"/>
            <w:shd w:val="clear" w:color="auto" w:fill="auto"/>
            <w:vAlign w:val="center"/>
          </w:tcPr>
          <w:p w:rsidRPr="004E4ADD" w:rsidR="00D71E5E" w:rsidP="00D71E5E" w:rsidRDefault="00D71E5E" w14:paraId="7A75AB15" w14:textId="21951C04">
            <w:pPr>
              <w:keepNext/>
              <w:keepLines/>
              <w:jc w:val="right"/>
              <w:rPr>
                <w:rFonts w:eastAsia="Times New Roman" w:cs="Arial"/>
                <w:color w:val="000000"/>
                <w:sz w:val="18"/>
                <w:szCs w:val="18"/>
              </w:rPr>
            </w:pPr>
            <w:r>
              <w:rPr>
                <w:rFonts w:eastAsia="Times New Roman" w:cs="Arial"/>
                <w:color w:val="000000"/>
                <w:sz w:val="18"/>
                <w:szCs w:val="18"/>
              </w:rPr>
              <w:t>111,161</w:t>
            </w:r>
          </w:p>
        </w:tc>
        <w:tc>
          <w:tcPr>
            <w:tcW w:w="1240" w:type="dxa"/>
            <w:shd w:val="clear" w:color="auto" w:fill="auto"/>
            <w:vAlign w:val="center"/>
          </w:tcPr>
          <w:p w:rsidRPr="004E4ADD" w:rsidR="00D71E5E" w:rsidP="00D71E5E" w:rsidRDefault="00D71E5E" w14:paraId="0F313D31" w14:textId="3E155012">
            <w:pPr>
              <w:keepNext/>
              <w:keepLines/>
              <w:jc w:val="right"/>
              <w:rPr>
                <w:rFonts w:eastAsia="Times New Roman" w:cs="Arial"/>
                <w:color w:val="000000"/>
                <w:sz w:val="18"/>
                <w:szCs w:val="18"/>
              </w:rPr>
            </w:pPr>
            <w:r>
              <w:rPr>
                <w:rFonts w:eastAsia="Times New Roman" w:cs="Arial"/>
                <w:color w:val="000000"/>
                <w:sz w:val="18"/>
                <w:szCs w:val="18"/>
              </w:rPr>
              <w:t>111,161</w:t>
            </w:r>
          </w:p>
        </w:tc>
        <w:tc>
          <w:tcPr>
            <w:tcW w:w="1087" w:type="dxa"/>
            <w:shd w:val="clear" w:color="auto" w:fill="auto"/>
            <w:vAlign w:val="center"/>
          </w:tcPr>
          <w:p w:rsidRPr="004E4ADD" w:rsidR="00D71E5E" w:rsidP="00D71E5E" w:rsidRDefault="00D71E5E" w14:paraId="6F053E50" w14:textId="69C3B5FB">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21" w:type="dxa"/>
            <w:shd w:val="clear" w:color="auto" w:fill="auto"/>
            <w:vAlign w:val="center"/>
          </w:tcPr>
          <w:p w:rsidRPr="004E4ADD" w:rsidR="00D71E5E" w:rsidP="00D71E5E" w:rsidRDefault="00D71E5E" w14:paraId="37348823" w14:textId="14293E52">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47" w:type="dxa"/>
            <w:shd w:val="clear" w:color="auto" w:fill="auto"/>
            <w:vAlign w:val="center"/>
          </w:tcPr>
          <w:p w:rsidRPr="004E4ADD" w:rsidR="00D71E5E" w:rsidP="00D71E5E" w:rsidRDefault="00D71E5E" w14:paraId="755770F7" w14:textId="0D4884FE">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20" w:type="dxa"/>
            <w:shd w:val="clear" w:color="auto" w:fill="auto"/>
            <w:vAlign w:val="center"/>
          </w:tcPr>
          <w:p w:rsidRPr="004E4ADD" w:rsidR="00D71E5E" w:rsidP="00D71E5E" w:rsidRDefault="00D71E5E" w14:paraId="3695B429" w14:textId="3222B667">
            <w:pPr>
              <w:keepNext/>
              <w:keepLines/>
              <w:jc w:val="right"/>
              <w:rPr>
                <w:rFonts w:eastAsia="Times New Roman" w:cs="Arial"/>
                <w:color w:val="000000"/>
                <w:sz w:val="18"/>
                <w:szCs w:val="18"/>
              </w:rPr>
            </w:pPr>
            <w:r w:rsidRPr="004E4ADD">
              <w:rPr>
                <w:rFonts w:eastAsia="Times New Roman" w:cs="Arial"/>
                <w:color w:val="000000"/>
                <w:sz w:val="18"/>
                <w:szCs w:val="18"/>
              </w:rPr>
              <w:t>0</w:t>
            </w:r>
          </w:p>
        </w:tc>
      </w:tr>
      <w:tr w:rsidRPr="004244C5" w:rsidR="00D71E5E" w:rsidTr="000A1B41" w14:paraId="4496D15C" w14:textId="77777777">
        <w:tc>
          <w:tcPr>
            <w:tcW w:w="3277" w:type="dxa"/>
            <w:shd w:val="clear" w:color="auto" w:fill="auto"/>
            <w:vAlign w:val="bottom"/>
          </w:tcPr>
          <w:p w:rsidRPr="004E4ADD" w:rsidR="00D71E5E" w:rsidP="00D71E5E" w:rsidRDefault="00D71E5E" w14:paraId="441B3BA8" w14:textId="5B6F91CF">
            <w:pPr>
              <w:pStyle w:val="ListParagraph"/>
              <w:keepNext/>
              <w:keepLines/>
              <w:numPr>
                <w:ilvl w:val="0"/>
                <w:numId w:val="37"/>
              </w:numPr>
              <w:rPr>
                <w:rFonts w:eastAsia="Times New Roman" w:cs="Arial"/>
                <w:color w:val="000000"/>
                <w:sz w:val="18"/>
                <w:szCs w:val="18"/>
              </w:rPr>
            </w:pPr>
            <w:r w:rsidRPr="004E4ADD">
              <w:rPr>
                <w:rFonts w:eastAsia="Times New Roman" w:cs="Arial"/>
                <w:color w:val="000000"/>
                <w:sz w:val="18"/>
                <w:szCs w:val="18"/>
              </w:rPr>
              <w:t>Recordkeeping</w:t>
            </w:r>
          </w:p>
        </w:tc>
        <w:tc>
          <w:tcPr>
            <w:tcW w:w="1357" w:type="dxa"/>
            <w:shd w:val="clear" w:color="auto" w:fill="auto"/>
            <w:vAlign w:val="center"/>
          </w:tcPr>
          <w:p w:rsidRPr="004E4ADD" w:rsidR="00D71E5E" w:rsidP="00D71E5E" w:rsidRDefault="00D71E5E" w14:paraId="63CC8468" w14:textId="0209BCBF">
            <w:pPr>
              <w:keepNext/>
              <w:keepLines/>
              <w:jc w:val="right"/>
              <w:rPr>
                <w:rFonts w:eastAsia="Times New Roman" w:cs="Arial"/>
                <w:color w:val="000000"/>
                <w:sz w:val="18"/>
                <w:szCs w:val="18"/>
              </w:rPr>
            </w:pPr>
            <w:r w:rsidRPr="004E4ADD">
              <w:rPr>
                <w:rFonts w:eastAsia="Times New Roman" w:cs="Arial"/>
                <w:color w:val="000000"/>
                <w:sz w:val="18"/>
                <w:szCs w:val="18"/>
              </w:rPr>
              <w:t>111,161</w:t>
            </w:r>
          </w:p>
        </w:tc>
        <w:tc>
          <w:tcPr>
            <w:tcW w:w="1240" w:type="dxa"/>
            <w:shd w:val="clear" w:color="auto" w:fill="auto"/>
            <w:vAlign w:val="center"/>
          </w:tcPr>
          <w:p w:rsidRPr="004E4ADD" w:rsidR="00D71E5E" w:rsidP="00D71E5E" w:rsidRDefault="00D71E5E" w14:paraId="38006498" w14:textId="52ADA4FE">
            <w:pPr>
              <w:keepNext/>
              <w:keepLines/>
              <w:jc w:val="right"/>
              <w:rPr>
                <w:rFonts w:eastAsia="Times New Roman" w:cs="Arial"/>
                <w:color w:val="000000"/>
                <w:sz w:val="18"/>
                <w:szCs w:val="18"/>
              </w:rPr>
            </w:pPr>
            <w:r w:rsidRPr="004E4ADD">
              <w:rPr>
                <w:rFonts w:eastAsia="Times New Roman" w:cs="Arial"/>
                <w:color w:val="000000"/>
                <w:sz w:val="18"/>
                <w:szCs w:val="18"/>
              </w:rPr>
              <w:t>111,161</w:t>
            </w:r>
          </w:p>
        </w:tc>
        <w:tc>
          <w:tcPr>
            <w:tcW w:w="1087" w:type="dxa"/>
            <w:shd w:val="clear" w:color="auto" w:fill="auto"/>
            <w:vAlign w:val="center"/>
          </w:tcPr>
          <w:p w:rsidRPr="004E4ADD" w:rsidR="00D71E5E" w:rsidP="00D71E5E" w:rsidRDefault="00D71E5E" w14:paraId="021FFAC2" w14:textId="7B62D75D">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21" w:type="dxa"/>
            <w:shd w:val="clear" w:color="auto" w:fill="auto"/>
            <w:vAlign w:val="center"/>
          </w:tcPr>
          <w:p w:rsidRPr="004E4ADD" w:rsidR="00D71E5E" w:rsidP="00D71E5E" w:rsidRDefault="00D71E5E" w14:paraId="1FE3884B" w14:textId="19ECFF9A">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47" w:type="dxa"/>
            <w:shd w:val="clear" w:color="auto" w:fill="auto"/>
            <w:vAlign w:val="center"/>
          </w:tcPr>
          <w:p w:rsidRPr="004E4ADD" w:rsidR="00D71E5E" w:rsidP="00D71E5E" w:rsidRDefault="00D71E5E" w14:paraId="76F07857" w14:textId="34167151">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20" w:type="dxa"/>
            <w:shd w:val="clear" w:color="auto" w:fill="auto"/>
            <w:vAlign w:val="center"/>
          </w:tcPr>
          <w:p w:rsidRPr="004E4ADD" w:rsidR="00D71E5E" w:rsidP="00D71E5E" w:rsidRDefault="00D71E5E" w14:paraId="0245A34F" w14:textId="5C05F702">
            <w:pPr>
              <w:keepNext/>
              <w:keepLines/>
              <w:jc w:val="right"/>
              <w:rPr>
                <w:rFonts w:eastAsia="Times New Roman" w:cs="Arial"/>
                <w:color w:val="000000"/>
                <w:sz w:val="18"/>
                <w:szCs w:val="18"/>
              </w:rPr>
            </w:pPr>
            <w:r w:rsidRPr="004E4ADD">
              <w:rPr>
                <w:rFonts w:eastAsia="Times New Roman" w:cs="Arial"/>
                <w:color w:val="000000"/>
                <w:sz w:val="18"/>
                <w:szCs w:val="18"/>
              </w:rPr>
              <w:t>0</w:t>
            </w:r>
          </w:p>
        </w:tc>
      </w:tr>
      <w:tr w:rsidRPr="004244C5" w:rsidR="00D71E5E" w:rsidTr="00ED1A92" w14:paraId="630F3244" w14:textId="77777777">
        <w:tc>
          <w:tcPr>
            <w:tcW w:w="3277" w:type="dxa"/>
            <w:shd w:val="clear" w:color="auto" w:fill="auto"/>
            <w:vAlign w:val="center"/>
            <w:hideMark/>
          </w:tcPr>
          <w:p w:rsidRPr="004E4ADD" w:rsidR="00D71E5E" w:rsidP="00D71E5E" w:rsidRDefault="00D71E5E" w14:paraId="1E0A9EFE" w14:textId="77777777">
            <w:pPr>
              <w:keepNext/>
              <w:keepLines/>
              <w:jc w:val="right"/>
              <w:rPr>
                <w:rFonts w:eastAsia="Times New Roman" w:cs="Arial"/>
                <w:b/>
                <w:bCs/>
                <w:color w:val="000000"/>
                <w:sz w:val="18"/>
                <w:szCs w:val="18"/>
              </w:rPr>
            </w:pPr>
            <w:r w:rsidRPr="004E4ADD">
              <w:rPr>
                <w:rFonts w:eastAsia="Times New Roman" w:cs="Arial"/>
                <w:b/>
                <w:bCs/>
                <w:color w:val="000000"/>
                <w:sz w:val="18"/>
                <w:szCs w:val="18"/>
              </w:rPr>
              <w:t xml:space="preserve">Total </w:t>
            </w:r>
          </w:p>
        </w:tc>
        <w:tc>
          <w:tcPr>
            <w:tcW w:w="1357" w:type="dxa"/>
            <w:shd w:val="clear" w:color="auto" w:fill="auto"/>
            <w:vAlign w:val="center"/>
          </w:tcPr>
          <w:p w:rsidRPr="004E4ADD" w:rsidR="00D71E5E" w:rsidP="00D71E5E" w:rsidRDefault="00D71E5E" w14:paraId="18822FD2" w14:textId="30B571E4">
            <w:pPr>
              <w:keepNext/>
              <w:keepLines/>
              <w:jc w:val="right"/>
              <w:rPr>
                <w:rFonts w:eastAsia="Times New Roman" w:cs="Arial"/>
                <w:b/>
                <w:bCs/>
                <w:color w:val="000000"/>
                <w:sz w:val="18"/>
                <w:szCs w:val="18"/>
              </w:rPr>
            </w:pPr>
            <w:r w:rsidRPr="004E4ADD">
              <w:rPr>
                <w:rFonts w:eastAsia="Times New Roman" w:cs="Arial"/>
                <w:b/>
                <w:color w:val="000000"/>
                <w:sz w:val="18"/>
                <w:szCs w:val="18"/>
              </w:rPr>
              <w:t>111,161</w:t>
            </w:r>
          </w:p>
        </w:tc>
        <w:tc>
          <w:tcPr>
            <w:tcW w:w="1240" w:type="dxa"/>
            <w:shd w:val="clear" w:color="auto" w:fill="auto"/>
            <w:vAlign w:val="center"/>
          </w:tcPr>
          <w:p w:rsidRPr="004E4ADD" w:rsidR="00D71E5E" w:rsidP="00D71E5E" w:rsidRDefault="00D71E5E" w14:paraId="557151F2" w14:textId="6A9F9809">
            <w:pPr>
              <w:keepNext/>
              <w:keepLines/>
              <w:jc w:val="right"/>
              <w:rPr>
                <w:rFonts w:eastAsia="Times New Roman" w:cs="Arial"/>
                <w:b/>
                <w:bCs/>
                <w:color w:val="000000"/>
                <w:sz w:val="18"/>
                <w:szCs w:val="18"/>
              </w:rPr>
            </w:pPr>
            <w:r w:rsidRPr="004E4ADD">
              <w:rPr>
                <w:rFonts w:eastAsia="Times New Roman" w:cs="Arial"/>
                <w:b/>
                <w:color w:val="000000"/>
                <w:sz w:val="18"/>
                <w:szCs w:val="18"/>
              </w:rPr>
              <w:t>111,161</w:t>
            </w:r>
          </w:p>
        </w:tc>
        <w:tc>
          <w:tcPr>
            <w:tcW w:w="1087" w:type="dxa"/>
            <w:shd w:val="clear" w:color="auto" w:fill="auto"/>
            <w:vAlign w:val="center"/>
          </w:tcPr>
          <w:p w:rsidRPr="004E4ADD" w:rsidR="00D71E5E" w:rsidP="00D71E5E" w:rsidRDefault="00D71E5E" w14:paraId="776195C4" w14:textId="0E0C3B02">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c>
          <w:tcPr>
            <w:tcW w:w="1221" w:type="dxa"/>
            <w:shd w:val="clear" w:color="auto" w:fill="auto"/>
            <w:vAlign w:val="center"/>
          </w:tcPr>
          <w:p w:rsidRPr="004E4ADD" w:rsidR="00D71E5E" w:rsidP="00D71E5E" w:rsidRDefault="00D71E5E" w14:paraId="75BB6CC5" w14:textId="06406132">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c>
          <w:tcPr>
            <w:tcW w:w="1247" w:type="dxa"/>
            <w:shd w:val="clear" w:color="auto" w:fill="auto"/>
            <w:vAlign w:val="center"/>
          </w:tcPr>
          <w:p w:rsidRPr="004E4ADD" w:rsidR="00D71E5E" w:rsidP="00D71E5E" w:rsidRDefault="00D71E5E" w14:paraId="3248C96A" w14:textId="6EDD67BE">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c>
          <w:tcPr>
            <w:tcW w:w="1220" w:type="dxa"/>
            <w:shd w:val="clear" w:color="auto" w:fill="auto"/>
            <w:vAlign w:val="center"/>
          </w:tcPr>
          <w:p w:rsidRPr="004E4ADD" w:rsidR="00D71E5E" w:rsidP="00D71E5E" w:rsidRDefault="00D71E5E" w14:paraId="2D63A720" w14:textId="3EE1E726">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r>
    </w:tbl>
    <w:p w:rsidR="005F4ED1" w:rsidP="005F4ED1" w:rsidRDefault="005F4ED1" w14:paraId="7815A441" w14:textId="714B4620">
      <w:pPr>
        <w:pStyle w:val="NoSpacing"/>
        <w:rPr>
          <w:highlight w:val="yellow"/>
        </w:rPr>
      </w:pPr>
    </w:p>
    <w:p w:rsidR="005F4ED1" w:rsidP="005F4ED1" w:rsidRDefault="005F4ED1" w14:paraId="4DEB280A" w14:textId="5B3EA7BE">
      <w:pPr>
        <w:pStyle w:val="Heading2"/>
        <w:tabs>
          <w:tab w:val="left" w:pos="1080"/>
        </w:tabs>
      </w:pPr>
      <w:r w:rsidRPr="00953355">
        <w:t>IC #</w:t>
      </w:r>
      <w:r>
        <w:t>3</w:t>
      </w:r>
      <w:r w:rsidRPr="00953355">
        <w:t xml:space="preserve">: </w:t>
      </w:r>
      <w:r>
        <w:t xml:space="preserve">Distributors </w:t>
      </w:r>
      <w:r w:rsidR="00384C18">
        <w:t xml:space="preserve">and </w:t>
      </w:r>
      <w:r>
        <w:t xml:space="preserve">Importers </w:t>
      </w:r>
    </w:p>
    <w:p w:rsidRPr="00E94251" w:rsidR="00D26AFB" w:rsidP="00D26AFB" w:rsidRDefault="00D26AFB" w14:paraId="34DBE94C" w14:textId="77777777">
      <w:bookmarkStart w:name="_Hlk23760035" w:id="31"/>
      <w:r w:rsidRPr="00E94251">
        <w:rPr>
          <w:u w:val="single"/>
        </w:rPr>
        <w:t>Respondent NAICS Codes</w:t>
      </w:r>
    </w:p>
    <w:p w:rsidRPr="001E69B9" w:rsidR="00D26AFB" w:rsidP="00D26AFB" w:rsidRDefault="00D26AFB" w14:paraId="7391E1FF" w14:textId="77777777">
      <w:pPr>
        <w:pStyle w:val="NoSpacing"/>
      </w:pPr>
    </w:p>
    <w:p w:rsidRPr="002F1795" w:rsidR="00D26AFB" w:rsidP="00BC4AD4" w:rsidRDefault="00BC4AD4" w14:paraId="3E97E83A" w14:textId="5D214C4B">
      <w:pPr>
        <w:widowControl w:val="0"/>
        <w:adjustRightInd w:val="0"/>
        <w:contextualSpacing/>
      </w:pPr>
      <w:r w:rsidRPr="002F1795">
        <w:t>423</w:t>
      </w:r>
      <w:r>
        <w:tab/>
      </w:r>
      <w:r w:rsidRPr="002F1795" w:rsidR="00D26AFB">
        <w:t xml:space="preserve">Merchant Wholesalers, Durable Goods </w:t>
      </w:r>
    </w:p>
    <w:p w:rsidR="00D26AFB" w:rsidP="00BC4AD4" w:rsidRDefault="00BC4AD4" w14:paraId="64B4C4D2" w14:textId="596DEC3D">
      <w:pPr>
        <w:widowControl w:val="0"/>
        <w:adjustRightInd w:val="0"/>
        <w:contextualSpacing/>
      </w:pPr>
      <w:r>
        <w:t>424</w:t>
      </w:r>
      <w:r>
        <w:tab/>
      </w:r>
      <w:r w:rsidRPr="002F1795" w:rsidR="00D26AFB">
        <w:t xml:space="preserve">Merchant Wholesalers, Nondurable Goods </w:t>
      </w:r>
    </w:p>
    <w:p w:rsidR="00D26AFB" w:rsidP="00D26AFB" w:rsidRDefault="00D26AFB" w14:paraId="05EF9EA2" w14:textId="77777777">
      <w:pPr>
        <w:pStyle w:val="NoSpacing"/>
      </w:pPr>
    </w:p>
    <w:p w:rsidRPr="00247358" w:rsidR="00817FF3" w:rsidP="00817FF3" w:rsidRDefault="00817FF3" w14:paraId="3EA7E240" w14:textId="7E011BB5">
      <w:pPr>
        <w:pStyle w:val="NoSpacing"/>
      </w:pPr>
      <w:r w:rsidRPr="00247358">
        <w:t>The previously approved ICR (EPA ICR #2446.02</w:t>
      </w:r>
      <w:r w:rsidRPr="00491BA3">
        <w:t xml:space="preserve">) estimated that there were 85,559 domestic </w:t>
      </w:r>
      <w:r w:rsidRPr="00491BA3" w:rsidR="00FF41E0">
        <w:t xml:space="preserve">distributors and importers </w:t>
      </w:r>
      <w:r w:rsidRPr="00491BA3">
        <w:t xml:space="preserve">and 33,249 foreign </w:t>
      </w:r>
      <w:r w:rsidRPr="00491BA3" w:rsidR="00620DBB">
        <w:t xml:space="preserve">distributors </w:t>
      </w:r>
      <w:r w:rsidRPr="00491BA3">
        <w:t>subject to the TSCA Title VI rule, for a total of</w:t>
      </w:r>
      <w:r w:rsidRPr="00491BA3" w:rsidR="00620DBB">
        <w:t xml:space="preserve"> 118,808</w:t>
      </w:r>
      <w:r w:rsidRPr="00491BA3">
        <w:t xml:space="preserve"> firms. This analysis retains those</w:t>
      </w:r>
      <w:r w:rsidRPr="00247358">
        <w:t xml:space="preserve"> estimates.</w:t>
      </w:r>
    </w:p>
    <w:p w:rsidRPr="00247358" w:rsidR="00817FF3" w:rsidP="00384C18" w:rsidRDefault="00817FF3" w14:paraId="737DDD83" w14:textId="3A1158F8">
      <w:pPr>
        <w:pStyle w:val="NoSpacing"/>
      </w:pPr>
    </w:p>
    <w:p w:rsidRPr="00247358" w:rsidR="00115F44" w:rsidP="00115F44" w:rsidRDefault="00115F44" w14:paraId="6C1B31F5" w14:textId="3E28282E">
      <w:pPr>
        <w:pStyle w:val="NoSpacing"/>
      </w:pPr>
      <w:r w:rsidRPr="00247358">
        <w:t xml:space="preserve">Distributors that do not import composite wood panels, component parts, or finished goods are only required to maintain invoices, bills of lading, or other similar documents from their suppliers that include a statement that the composite wood products, component parts, or finished goods are TSCA Title VI compliant or were produced before a date one year after the publication of the final rule. These </w:t>
      </w:r>
      <w:r w:rsidRPr="00247358" w:rsidR="005F2811">
        <w:t xml:space="preserve">documents </w:t>
      </w:r>
      <w:r w:rsidRPr="00247358">
        <w:t xml:space="preserve">are assumed to be kept as ordinary business records and therefore no recordkeeping burden is estimated.  </w:t>
      </w:r>
    </w:p>
    <w:p w:rsidRPr="00247358" w:rsidR="00E42262" w:rsidP="00E42262" w:rsidRDefault="00E42262" w14:paraId="6D70E5EF" w14:textId="77777777">
      <w:pPr>
        <w:pStyle w:val="NoSpacing"/>
      </w:pPr>
    </w:p>
    <w:p w:rsidRPr="00247358" w:rsidR="00E42262" w:rsidP="00E42262" w:rsidRDefault="00E42262" w14:paraId="1F3204F3" w14:textId="4BE1BE76">
      <w:pPr>
        <w:pStyle w:val="NoSpacing"/>
        <w:rPr>
          <w:highlight w:val="yellow"/>
        </w:rPr>
      </w:pPr>
      <w:r w:rsidRPr="00247358">
        <w:t>Firms that import composite wood panels, component parts, or finished goods must be able to provide EPA with additional records identifying the panel producer, supplier, date of manufacture, and date of purchase within 30 days of request. These</w:t>
      </w:r>
      <w:r w:rsidRPr="00247358" w:rsidR="00247358">
        <w:t xml:space="preserve"> documents</w:t>
      </w:r>
      <w:r w:rsidRPr="00247358">
        <w:t xml:space="preserve"> are assumed to be kept as ordinary business records and therefore no recordkeeping burden is estimated.  </w:t>
      </w:r>
    </w:p>
    <w:p w:rsidRPr="00247358" w:rsidR="00E42262" w:rsidP="00115F44" w:rsidRDefault="00E42262" w14:paraId="49697316" w14:textId="77777777">
      <w:pPr>
        <w:pStyle w:val="NoSpacing"/>
      </w:pPr>
    </w:p>
    <w:p w:rsidR="000A64BB" w:rsidP="00115F44" w:rsidRDefault="000A64BB" w14:paraId="4D5D7CD9" w14:textId="7E956D30">
      <w:pPr>
        <w:pStyle w:val="NoSpacing"/>
      </w:pPr>
      <w:r w:rsidRPr="000A1B41">
        <w:t>If a finished good (including component parts sold separately) is not individually labeled, the importer or distributor must retain a copy of the label, be able to identify the products associated with that label and make the label information available to potential customers upon request.</w:t>
      </w:r>
      <w:r w:rsidRPr="000A1B41" w:rsidR="00B16CB4">
        <w:t xml:space="preserve">  Followin</w:t>
      </w:r>
      <w:r w:rsidR="00B16CB4">
        <w:t xml:space="preserve">g the assumptions in the final rule’s economic analysis, compliance is </w:t>
      </w:r>
      <w:r w:rsidR="0068444F">
        <w:t xml:space="preserve">assumed to be </w:t>
      </w:r>
      <w:r w:rsidR="00B16CB4">
        <w:t>achieved through implementing a labeling system with initial, but no recurring incremental costs.</w:t>
      </w:r>
    </w:p>
    <w:p w:rsidR="006A0E12" w:rsidP="00115F44" w:rsidRDefault="006A0E12" w14:paraId="2608406B" w14:textId="29CC7CE5">
      <w:pPr>
        <w:pStyle w:val="NoSpacing"/>
      </w:pPr>
    </w:p>
    <w:p w:rsidRPr="00695644" w:rsidR="006A0E12" w:rsidP="006A0E12" w:rsidRDefault="006A0E12" w14:paraId="21225EB5" w14:textId="09609132">
      <w:pPr>
        <w:pStyle w:val="NoSpacing"/>
        <w:rPr>
          <w:highlight w:val="yellow"/>
        </w:rPr>
      </w:pPr>
      <w:r>
        <w:lastRenderedPageBreak/>
        <w:t>As shown in the IC #3 table below, there is no incremental burden or cost for distributors and importers.</w:t>
      </w:r>
    </w:p>
    <w:bookmarkEnd w:id="31"/>
    <w:p w:rsidR="00ED1A92" w:rsidP="00ED1A92" w:rsidRDefault="00ED1A92" w14:paraId="54251D3E" w14:textId="77777777">
      <w:pPr>
        <w:pStyle w:val="NoSpacing"/>
        <w:rPr>
          <w:highlight w:val="yellow"/>
        </w:rPr>
      </w:pPr>
    </w:p>
    <w:tbl>
      <w:tblPr>
        <w:tblW w:w="1064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9"/>
        <w:gridCol w:w="1498"/>
        <w:gridCol w:w="1237"/>
        <w:gridCol w:w="1077"/>
        <w:gridCol w:w="1199"/>
        <w:gridCol w:w="1224"/>
        <w:gridCol w:w="1195"/>
      </w:tblGrid>
      <w:tr w:rsidRPr="00C11C35" w:rsidR="00ED1A92" w:rsidTr="00AB1CC4" w14:paraId="5812E30C" w14:textId="77777777">
        <w:tc>
          <w:tcPr>
            <w:tcW w:w="10649" w:type="dxa"/>
            <w:gridSpan w:val="7"/>
            <w:shd w:val="clear" w:color="auto" w:fill="BFBFBF" w:themeFill="background1" w:themeFillShade="BF"/>
            <w:vAlign w:val="center"/>
            <w:hideMark/>
          </w:tcPr>
          <w:p w:rsidRPr="00C11C35" w:rsidR="00ED1A92" w:rsidP="00D4207E" w:rsidRDefault="00ED1A92" w14:paraId="2EDFBAED" w14:textId="6FE8D20D">
            <w:pPr>
              <w:keepNext/>
              <w:keepLines/>
              <w:rPr>
                <w:rFonts w:eastAsia="Times New Roman" w:cs="Arial"/>
                <w:b/>
                <w:bCs/>
                <w:sz w:val="22"/>
              </w:rPr>
            </w:pPr>
            <w:r w:rsidRPr="00C11C35">
              <w:rPr>
                <w:rFonts w:eastAsia="Times New Roman" w:cs="Arial"/>
                <w:b/>
                <w:bCs/>
                <w:sz w:val="22"/>
              </w:rPr>
              <w:t xml:space="preserve">IC# </w:t>
            </w:r>
            <w:r w:rsidR="00D4207E">
              <w:rPr>
                <w:rFonts w:eastAsia="Times New Roman" w:cs="Arial"/>
                <w:b/>
                <w:bCs/>
                <w:sz w:val="22"/>
              </w:rPr>
              <w:t>3</w:t>
            </w:r>
            <w:r w:rsidRPr="00C11C35">
              <w:rPr>
                <w:rFonts w:eastAsia="Times New Roman" w:cs="Arial"/>
                <w:b/>
                <w:bCs/>
                <w:sz w:val="22"/>
              </w:rPr>
              <w:t>. Recordkeeping and Reporting Activities for</w:t>
            </w:r>
            <w:r>
              <w:rPr>
                <w:rFonts w:eastAsia="Times New Roman" w:cs="Arial"/>
                <w:b/>
                <w:bCs/>
                <w:sz w:val="22"/>
              </w:rPr>
              <w:t xml:space="preserve"> Distributors and Importers</w:t>
            </w:r>
          </w:p>
        </w:tc>
      </w:tr>
      <w:tr w:rsidRPr="00C11C35" w:rsidR="00ED1A92" w:rsidTr="00AB1CC4" w14:paraId="1497FB1F" w14:textId="77777777">
        <w:tc>
          <w:tcPr>
            <w:tcW w:w="10649" w:type="dxa"/>
            <w:gridSpan w:val="7"/>
            <w:shd w:val="clear" w:color="auto" w:fill="BFBFBF" w:themeFill="background1" w:themeFillShade="BF"/>
            <w:vAlign w:val="center"/>
            <w:hideMark/>
          </w:tcPr>
          <w:p w:rsidRPr="00C11C35" w:rsidR="00ED1A92" w:rsidP="00AB1CC4" w:rsidRDefault="00ED1A92" w14:paraId="679D321A" w14:textId="77777777">
            <w:pPr>
              <w:keepNext/>
              <w:keepLines/>
              <w:jc w:val="center"/>
              <w:rPr>
                <w:rFonts w:eastAsia="Times New Roman" w:cs="Arial"/>
                <w:b/>
                <w:bCs/>
                <w:sz w:val="22"/>
              </w:rPr>
            </w:pPr>
            <w:r w:rsidRPr="00C11C35">
              <w:rPr>
                <w:rFonts w:eastAsia="Times New Roman" w:cs="Arial"/>
                <w:b/>
                <w:bCs/>
                <w:sz w:val="22"/>
              </w:rPr>
              <w:t>Citation: 4</w:t>
            </w:r>
            <w:r w:rsidRPr="000A1B41">
              <w:rPr>
                <w:rFonts w:eastAsia="Times New Roman" w:cs="Arial"/>
                <w:b/>
                <w:bCs/>
                <w:sz w:val="22"/>
              </w:rPr>
              <w:t>0 CFR 770</w:t>
            </w:r>
          </w:p>
        </w:tc>
      </w:tr>
      <w:tr w:rsidRPr="00C11C35" w:rsidR="00ED1A92" w:rsidTr="000A1B41" w14:paraId="2628B738" w14:textId="77777777">
        <w:tc>
          <w:tcPr>
            <w:tcW w:w="3219" w:type="dxa"/>
            <w:shd w:val="clear" w:color="auto" w:fill="BFBFBF" w:themeFill="background1" w:themeFillShade="BF"/>
            <w:vAlign w:val="center"/>
            <w:hideMark/>
          </w:tcPr>
          <w:p w:rsidRPr="00C11C35" w:rsidR="00ED1A92" w:rsidP="00AB1CC4" w:rsidRDefault="00ED1A92" w14:paraId="2589886A" w14:textId="77777777">
            <w:pPr>
              <w:keepNext/>
              <w:keepLines/>
              <w:rPr>
                <w:rFonts w:eastAsia="Times New Roman" w:cs="Arial"/>
                <w:b/>
                <w:bCs/>
                <w:sz w:val="18"/>
                <w:szCs w:val="18"/>
              </w:rPr>
            </w:pPr>
            <w:r w:rsidRPr="00C11C35">
              <w:rPr>
                <w:rFonts w:eastAsia="Times New Roman" w:cs="Arial"/>
                <w:b/>
                <w:bCs/>
                <w:sz w:val="18"/>
                <w:szCs w:val="18"/>
              </w:rPr>
              <w:t>Data Element</w:t>
            </w:r>
          </w:p>
        </w:tc>
        <w:tc>
          <w:tcPr>
            <w:tcW w:w="1498" w:type="dxa"/>
            <w:tcBorders>
              <w:bottom w:val="single" w:color="auto" w:sz="4" w:space="0"/>
            </w:tcBorders>
            <w:shd w:val="clear" w:color="auto" w:fill="BFBFBF" w:themeFill="background1" w:themeFillShade="BF"/>
            <w:vAlign w:val="center"/>
            <w:hideMark/>
          </w:tcPr>
          <w:p w:rsidRPr="00C11C35" w:rsidR="00ED1A92" w:rsidP="00AB1CC4" w:rsidRDefault="00ED1A92" w14:paraId="28430E2B" w14:textId="77777777">
            <w:pPr>
              <w:keepNext/>
              <w:keepLines/>
              <w:jc w:val="center"/>
              <w:rPr>
                <w:rFonts w:eastAsia="Times New Roman" w:cs="Arial"/>
                <w:b/>
                <w:bCs/>
                <w:sz w:val="18"/>
                <w:szCs w:val="18"/>
              </w:rPr>
            </w:pPr>
            <w:r w:rsidRPr="009176B4">
              <w:rPr>
                <w:rFonts w:eastAsia="Times New Roman" w:cs="Arial"/>
                <w:b/>
                <w:bCs/>
                <w:sz w:val="18"/>
                <w:szCs w:val="18"/>
              </w:rPr>
              <w:t>Respondents</w:t>
            </w:r>
          </w:p>
        </w:tc>
        <w:tc>
          <w:tcPr>
            <w:tcW w:w="1237" w:type="dxa"/>
            <w:tcBorders>
              <w:bottom w:val="single" w:color="auto" w:sz="4" w:space="0"/>
            </w:tcBorders>
            <w:shd w:val="clear" w:color="auto" w:fill="BFBFBF" w:themeFill="background1" w:themeFillShade="BF"/>
            <w:vAlign w:val="center"/>
            <w:hideMark/>
          </w:tcPr>
          <w:p w:rsidRPr="00C11C35" w:rsidR="00ED1A92" w:rsidP="00AB1CC4" w:rsidRDefault="00ED1A92" w14:paraId="2F836249" w14:textId="77777777">
            <w:pPr>
              <w:keepNext/>
              <w:keepLines/>
              <w:jc w:val="center"/>
              <w:rPr>
                <w:rFonts w:eastAsia="Times New Roman" w:cs="Arial"/>
                <w:b/>
                <w:bCs/>
                <w:sz w:val="18"/>
                <w:szCs w:val="18"/>
              </w:rPr>
            </w:pPr>
            <w:r w:rsidRPr="009176B4">
              <w:rPr>
                <w:rFonts w:eastAsia="Times New Roman" w:cs="Arial"/>
                <w:b/>
                <w:bCs/>
                <w:sz w:val="18"/>
                <w:szCs w:val="18"/>
              </w:rPr>
              <w:t>Responses</w:t>
            </w:r>
          </w:p>
        </w:tc>
        <w:tc>
          <w:tcPr>
            <w:tcW w:w="1077" w:type="dxa"/>
            <w:shd w:val="clear" w:color="auto" w:fill="BFBFBF" w:themeFill="background1" w:themeFillShade="BF"/>
            <w:vAlign w:val="center"/>
            <w:hideMark/>
          </w:tcPr>
          <w:p w:rsidRPr="00C11C35" w:rsidR="00ED1A92" w:rsidP="00AB1CC4" w:rsidRDefault="00ED1A92" w14:paraId="5E5E5C1D" w14:textId="31476447">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Burden</w:t>
            </w:r>
            <w:r>
              <w:rPr>
                <w:rFonts w:eastAsia="Times New Roman" w:cs="Arial"/>
                <w:b/>
                <w:bCs/>
                <w:sz w:val="18"/>
                <w:szCs w:val="18"/>
              </w:rPr>
              <w:t xml:space="preserve"> </w:t>
            </w:r>
            <w:r w:rsidR="00525D83">
              <w:rPr>
                <w:rFonts w:eastAsia="Times New Roman" w:cs="Arial"/>
                <w:b/>
                <w:bCs/>
                <w:sz w:val="18"/>
                <w:szCs w:val="18"/>
              </w:rPr>
              <w:t>(</w:t>
            </w:r>
            <w:r>
              <w:rPr>
                <w:rFonts w:eastAsia="Times New Roman" w:cs="Arial"/>
                <w:b/>
                <w:bCs/>
                <w:sz w:val="18"/>
                <w:szCs w:val="18"/>
              </w:rPr>
              <w:t>Hours</w:t>
            </w:r>
            <w:r w:rsidR="00525D83">
              <w:rPr>
                <w:rFonts w:eastAsia="Times New Roman" w:cs="Arial"/>
                <w:b/>
                <w:bCs/>
                <w:sz w:val="18"/>
                <w:szCs w:val="18"/>
              </w:rPr>
              <w:t>)</w:t>
            </w:r>
          </w:p>
        </w:tc>
        <w:tc>
          <w:tcPr>
            <w:tcW w:w="1199" w:type="dxa"/>
            <w:shd w:val="clear" w:color="auto" w:fill="BFBFBF" w:themeFill="background1" w:themeFillShade="BF"/>
            <w:vAlign w:val="center"/>
            <w:hideMark/>
          </w:tcPr>
          <w:p w:rsidRPr="00C11C35" w:rsidR="00ED1A92" w:rsidP="00AB1CC4" w:rsidRDefault="00ED1A92" w14:paraId="6500BD51" w14:textId="77777777">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Labor Cost</w:t>
            </w:r>
          </w:p>
        </w:tc>
        <w:tc>
          <w:tcPr>
            <w:tcW w:w="1224" w:type="dxa"/>
            <w:shd w:val="clear" w:color="auto" w:fill="BFBFBF" w:themeFill="background1" w:themeFillShade="BF"/>
            <w:vAlign w:val="center"/>
            <w:hideMark/>
          </w:tcPr>
          <w:p w:rsidRPr="00C11C35" w:rsidR="00ED1A92" w:rsidP="00AB1CC4" w:rsidRDefault="00ED1A92" w14:paraId="686BC522" w14:textId="77777777">
            <w:pPr>
              <w:keepNext/>
              <w:keepLines/>
              <w:jc w:val="center"/>
              <w:rPr>
                <w:rFonts w:eastAsia="Times New Roman" w:cs="Arial"/>
                <w:b/>
                <w:bCs/>
                <w:sz w:val="18"/>
                <w:szCs w:val="18"/>
              </w:rPr>
            </w:pPr>
            <w:r>
              <w:rPr>
                <w:rFonts w:eastAsia="Times New Roman" w:cs="Arial"/>
                <w:b/>
                <w:bCs/>
                <w:sz w:val="18"/>
                <w:szCs w:val="18"/>
              </w:rPr>
              <w:t xml:space="preserve">Total Non-Labor </w:t>
            </w:r>
            <w:r w:rsidRPr="009176B4">
              <w:rPr>
                <w:rFonts w:eastAsia="Times New Roman" w:cs="Arial"/>
                <w:b/>
                <w:bCs/>
                <w:sz w:val="18"/>
                <w:szCs w:val="18"/>
              </w:rPr>
              <w:t xml:space="preserve"> Cost</w:t>
            </w:r>
          </w:p>
        </w:tc>
        <w:tc>
          <w:tcPr>
            <w:tcW w:w="1195" w:type="dxa"/>
            <w:shd w:val="clear" w:color="auto" w:fill="BFBFBF" w:themeFill="background1" w:themeFillShade="BF"/>
            <w:vAlign w:val="center"/>
            <w:hideMark/>
          </w:tcPr>
          <w:p w:rsidRPr="00C11C35" w:rsidR="00ED1A92" w:rsidP="00AB1CC4" w:rsidRDefault="00ED1A92" w14:paraId="09769B19" w14:textId="77777777">
            <w:pPr>
              <w:keepNext/>
              <w:keepLines/>
              <w:jc w:val="center"/>
              <w:rPr>
                <w:rFonts w:eastAsia="Times New Roman" w:cs="Arial"/>
                <w:b/>
                <w:bCs/>
                <w:sz w:val="18"/>
                <w:szCs w:val="18"/>
              </w:rPr>
            </w:pPr>
            <w:r w:rsidRPr="009176B4">
              <w:rPr>
                <w:rFonts w:eastAsia="Times New Roman" w:cs="Arial"/>
                <w:b/>
                <w:bCs/>
                <w:sz w:val="18"/>
                <w:szCs w:val="18"/>
              </w:rPr>
              <w:t>Total Cost</w:t>
            </w:r>
          </w:p>
        </w:tc>
      </w:tr>
      <w:tr w:rsidRPr="004244C5" w:rsidR="00D71E5E" w:rsidTr="000A1B41" w14:paraId="399FB2E2" w14:textId="77777777">
        <w:tc>
          <w:tcPr>
            <w:tcW w:w="3219" w:type="dxa"/>
            <w:shd w:val="clear" w:color="auto" w:fill="auto"/>
            <w:vAlign w:val="bottom"/>
          </w:tcPr>
          <w:p w:rsidRPr="004E4ADD" w:rsidR="00D71E5E" w:rsidP="00D71E5E" w:rsidRDefault="00D71E5E" w14:paraId="46125C22" w14:textId="21FC9750">
            <w:pPr>
              <w:pStyle w:val="ListParagraph"/>
              <w:keepNext/>
              <w:keepLines/>
              <w:numPr>
                <w:ilvl w:val="0"/>
                <w:numId w:val="38"/>
              </w:numPr>
              <w:ind w:left="461"/>
              <w:rPr>
                <w:rFonts w:eastAsia="Times New Roman" w:cs="Arial"/>
                <w:color w:val="000000"/>
                <w:sz w:val="18"/>
                <w:szCs w:val="18"/>
              </w:rPr>
            </w:pPr>
            <w:r w:rsidRPr="004E4ADD">
              <w:rPr>
                <w:rFonts w:eastAsia="Times New Roman" w:cs="Arial"/>
                <w:color w:val="000000"/>
                <w:sz w:val="18"/>
                <w:szCs w:val="18"/>
              </w:rPr>
              <w:t>Recordkeeping</w:t>
            </w:r>
          </w:p>
        </w:tc>
        <w:tc>
          <w:tcPr>
            <w:tcW w:w="1498" w:type="dxa"/>
            <w:shd w:val="clear" w:color="auto" w:fill="auto"/>
            <w:vAlign w:val="center"/>
          </w:tcPr>
          <w:p w:rsidRPr="004E4ADD" w:rsidR="00D71E5E" w:rsidP="00D71E5E" w:rsidRDefault="00D71E5E" w14:paraId="49657186" w14:textId="27C09D15">
            <w:pPr>
              <w:keepNext/>
              <w:keepLines/>
              <w:jc w:val="right"/>
              <w:rPr>
                <w:rFonts w:eastAsia="Times New Roman" w:cs="Arial"/>
                <w:color w:val="000000"/>
                <w:sz w:val="18"/>
                <w:szCs w:val="18"/>
              </w:rPr>
            </w:pPr>
            <w:r w:rsidRPr="004E4ADD">
              <w:rPr>
                <w:rFonts w:eastAsia="Times New Roman" w:cs="Arial"/>
                <w:color w:val="000000"/>
                <w:sz w:val="18"/>
                <w:szCs w:val="18"/>
              </w:rPr>
              <w:t>118,808</w:t>
            </w:r>
          </w:p>
        </w:tc>
        <w:tc>
          <w:tcPr>
            <w:tcW w:w="1237" w:type="dxa"/>
            <w:shd w:val="clear" w:color="auto" w:fill="auto"/>
            <w:vAlign w:val="center"/>
          </w:tcPr>
          <w:p w:rsidRPr="000A1B41" w:rsidR="00D71E5E" w:rsidP="00D71E5E" w:rsidRDefault="00D71E5E" w14:paraId="53C0EE1B" w14:textId="1BFDE745">
            <w:pPr>
              <w:keepNext/>
              <w:keepLines/>
              <w:jc w:val="right"/>
              <w:rPr>
                <w:rFonts w:eastAsia="Times New Roman" w:cs="Arial"/>
                <w:color w:val="000000"/>
                <w:sz w:val="18"/>
                <w:szCs w:val="18"/>
              </w:rPr>
            </w:pPr>
            <w:r w:rsidRPr="000A1B41">
              <w:rPr>
                <w:rFonts w:eastAsia="Times New Roman" w:cs="Arial"/>
                <w:color w:val="000000"/>
                <w:sz w:val="18"/>
                <w:szCs w:val="18"/>
              </w:rPr>
              <w:t>118,808</w:t>
            </w:r>
          </w:p>
        </w:tc>
        <w:tc>
          <w:tcPr>
            <w:tcW w:w="1077" w:type="dxa"/>
            <w:shd w:val="clear" w:color="auto" w:fill="auto"/>
            <w:vAlign w:val="center"/>
          </w:tcPr>
          <w:p w:rsidRPr="004E4ADD" w:rsidR="00D71E5E" w:rsidP="00D71E5E" w:rsidRDefault="00D71E5E" w14:paraId="2B7B6624" w14:textId="37C65FAB">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199" w:type="dxa"/>
            <w:shd w:val="clear" w:color="auto" w:fill="auto"/>
            <w:vAlign w:val="center"/>
          </w:tcPr>
          <w:p w:rsidRPr="004E4ADD" w:rsidR="00D71E5E" w:rsidP="00D71E5E" w:rsidRDefault="00D71E5E" w14:paraId="380A2EDF" w14:textId="5050F65E">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224" w:type="dxa"/>
            <w:shd w:val="clear" w:color="auto" w:fill="auto"/>
            <w:vAlign w:val="center"/>
          </w:tcPr>
          <w:p w:rsidRPr="004E4ADD" w:rsidR="00D71E5E" w:rsidP="00D71E5E" w:rsidRDefault="00D71E5E" w14:paraId="79B4F8E6" w14:textId="4D08466B">
            <w:pPr>
              <w:keepNext/>
              <w:keepLines/>
              <w:jc w:val="right"/>
              <w:rPr>
                <w:rFonts w:eastAsia="Times New Roman" w:cs="Arial"/>
                <w:color w:val="000000"/>
                <w:sz w:val="18"/>
                <w:szCs w:val="18"/>
              </w:rPr>
            </w:pPr>
            <w:r w:rsidRPr="004E4ADD">
              <w:rPr>
                <w:rFonts w:eastAsia="Times New Roman" w:cs="Arial"/>
                <w:color w:val="000000"/>
                <w:sz w:val="18"/>
                <w:szCs w:val="18"/>
              </w:rPr>
              <w:t>0</w:t>
            </w:r>
          </w:p>
        </w:tc>
        <w:tc>
          <w:tcPr>
            <w:tcW w:w="1195" w:type="dxa"/>
            <w:shd w:val="clear" w:color="auto" w:fill="auto"/>
            <w:vAlign w:val="center"/>
          </w:tcPr>
          <w:p w:rsidRPr="004E4ADD" w:rsidR="00D71E5E" w:rsidP="00D71E5E" w:rsidRDefault="00D71E5E" w14:paraId="2EBD923B" w14:textId="518261A5">
            <w:pPr>
              <w:keepNext/>
              <w:keepLines/>
              <w:jc w:val="right"/>
              <w:rPr>
                <w:rFonts w:eastAsia="Times New Roman" w:cs="Arial"/>
                <w:color w:val="000000"/>
                <w:sz w:val="18"/>
                <w:szCs w:val="18"/>
              </w:rPr>
            </w:pPr>
            <w:r w:rsidRPr="004E4ADD">
              <w:rPr>
                <w:rFonts w:eastAsia="Times New Roman" w:cs="Arial"/>
                <w:color w:val="000000"/>
                <w:sz w:val="18"/>
                <w:szCs w:val="18"/>
              </w:rPr>
              <w:t>0</w:t>
            </w:r>
          </w:p>
        </w:tc>
      </w:tr>
      <w:tr w:rsidRPr="004244C5" w:rsidR="00D71E5E" w:rsidTr="000A64BB" w14:paraId="740D5578" w14:textId="77777777">
        <w:tc>
          <w:tcPr>
            <w:tcW w:w="3219" w:type="dxa"/>
            <w:shd w:val="clear" w:color="auto" w:fill="auto"/>
            <w:vAlign w:val="center"/>
            <w:hideMark/>
          </w:tcPr>
          <w:p w:rsidRPr="004E4ADD" w:rsidR="00D71E5E" w:rsidP="00D71E5E" w:rsidRDefault="00D71E5E" w14:paraId="52B139D4" w14:textId="77777777">
            <w:pPr>
              <w:keepNext/>
              <w:keepLines/>
              <w:jc w:val="right"/>
              <w:rPr>
                <w:rFonts w:eastAsia="Times New Roman" w:cs="Arial"/>
                <w:b/>
                <w:bCs/>
                <w:color w:val="000000"/>
                <w:sz w:val="18"/>
                <w:szCs w:val="18"/>
              </w:rPr>
            </w:pPr>
            <w:r w:rsidRPr="004E4ADD">
              <w:rPr>
                <w:rFonts w:eastAsia="Times New Roman" w:cs="Arial"/>
                <w:b/>
                <w:bCs/>
                <w:color w:val="000000"/>
                <w:sz w:val="18"/>
                <w:szCs w:val="18"/>
              </w:rPr>
              <w:t xml:space="preserve">Total </w:t>
            </w:r>
          </w:p>
        </w:tc>
        <w:tc>
          <w:tcPr>
            <w:tcW w:w="1498" w:type="dxa"/>
            <w:shd w:val="clear" w:color="auto" w:fill="auto"/>
            <w:vAlign w:val="center"/>
          </w:tcPr>
          <w:p w:rsidRPr="004E4ADD" w:rsidR="00D71E5E" w:rsidP="00D71E5E" w:rsidRDefault="00D71E5E" w14:paraId="74045E44" w14:textId="59326033">
            <w:pPr>
              <w:keepNext/>
              <w:keepLines/>
              <w:jc w:val="right"/>
              <w:rPr>
                <w:rFonts w:eastAsia="Times New Roman" w:cs="Arial"/>
                <w:b/>
                <w:bCs/>
                <w:color w:val="000000"/>
                <w:sz w:val="18"/>
                <w:szCs w:val="18"/>
              </w:rPr>
            </w:pPr>
            <w:r w:rsidRPr="004E4ADD">
              <w:rPr>
                <w:rFonts w:eastAsia="Times New Roman" w:cs="Arial"/>
                <w:b/>
                <w:color w:val="000000"/>
                <w:sz w:val="18"/>
                <w:szCs w:val="18"/>
              </w:rPr>
              <w:t>118,808</w:t>
            </w:r>
          </w:p>
        </w:tc>
        <w:tc>
          <w:tcPr>
            <w:tcW w:w="1237" w:type="dxa"/>
            <w:shd w:val="clear" w:color="auto" w:fill="auto"/>
            <w:vAlign w:val="center"/>
          </w:tcPr>
          <w:p w:rsidRPr="000A1B41" w:rsidR="00D71E5E" w:rsidP="00D71E5E" w:rsidRDefault="00D71E5E" w14:paraId="66A15841" w14:textId="769DF70A">
            <w:pPr>
              <w:keepNext/>
              <w:keepLines/>
              <w:jc w:val="right"/>
              <w:rPr>
                <w:rFonts w:eastAsia="Times New Roman" w:cs="Arial"/>
                <w:b/>
                <w:bCs/>
                <w:color w:val="000000"/>
                <w:sz w:val="18"/>
                <w:szCs w:val="18"/>
              </w:rPr>
            </w:pPr>
            <w:r w:rsidRPr="000A1B41">
              <w:rPr>
                <w:rFonts w:eastAsia="Times New Roman" w:cs="Arial"/>
                <w:b/>
                <w:color w:val="000000"/>
                <w:sz w:val="18"/>
                <w:szCs w:val="18"/>
              </w:rPr>
              <w:t>118,808</w:t>
            </w:r>
          </w:p>
        </w:tc>
        <w:tc>
          <w:tcPr>
            <w:tcW w:w="1077" w:type="dxa"/>
            <w:shd w:val="clear" w:color="auto" w:fill="auto"/>
            <w:vAlign w:val="center"/>
          </w:tcPr>
          <w:p w:rsidRPr="004E4ADD" w:rsidR="00D71E5E" w:rsidP="00D71E5E" w:rsidRDefault="00D71E5E" w14:paraId="56C391B3" w14:textId="0782F442">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c>
          <w:tcPr>
            <w:tcW w:w="1199" w:type="dxa"/>
            <w:shd w:val="clear" w:color="auto" w:fill="auto"/>
            <w:vAlign w:val="center"/>
          </w:tcPr>
          <w:p w:rsidRPr="004E4ADD" w:rsidR="00D71E5E" w:rsidP="00D71E5E" w:rsidRDefault="00D71E5E" w14:paraId="27B962EF" w14:textId="45E14891">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c>
          <w:tcPr>
            <w:tcW w:w="1224" w:type="dxa"/>
            <w:shd w:val="clear" w:color="auto" w:fill="auto"/>
            <w:vAlign w:val="center"/>
          </w:tcPr>
          <w:p w:rsidRPr="004E4ADD" w:rsidR="00D71E5E" w:rsidP="00D71E5E" w:rsidRDefault="00D71E5E" w14:paraId="0E153BAD" w14:textId="6EA9AC2E">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c>
          <w:tcPr>
            <w:tcW w:w="1195" w:type="dxa"/>
            <w:shd w:val="clear" w:color="auto" w:fill="auto"/>
            <w:vAlign w:val="center"/>
          </w:tcPr>
          <w:p w:rsidRPr="004E4ADD" w:rsidR="00D71E5E" w:rsidP="00D71E5E" w:rsidRDefault="00D71E5E" w14:paraId="5F9F0EF2" w14:textId="7E3F41D1">
            <w:pPr>
              <w:keepNext/>
              <w:keepLines/>
              <w:jc w:val="right"/>
              <w:rPr>
                <w:rFonts w:eastAsia="Times New Roman" w:cs="Arial"/>
                <w:b/>
                <w:bCs/>
                <w:color w:val="000000"/>
                <w:sz w:val="18"/>
                <w:szCs w:val="18"/>
              </w:rPr>
            </w:pPr>
            <w:r w:rsidRPr="004E4ADD">
              <w:rPr>
                <w:rFonts w:eastAsia="Times New Roman" w:cs="Arial"/>
                <w:b/>
                <w:color w:val="000000"/>
                <w:sz w:val="18"/>
                <w:szCs w:val="18"/>
              </w:rPr>
              <w:t>0</w:t>
            </w:r>
          </w:p>
        </w:tc>
      </w:tr>
    </w:tbl>
    <w:p w:rsidR="005F4ED1" w:rsidP="005F4ED1" w:rsidRDefault="005F4ED1" w14:paraId="01237558" w14:textId="48595289">
      <w:pPr>
        <w:pStyle w:val="NoSpacing"/>
      </w:pPr>
    </w:p>
    <w:p w:rsidRPr="00953355" w:rsidR="005F4ED1" w:rsidP="005F4ED1" w:rsidRDefault="005F4ED1" w14:paraId="5A7DC3FA" w14:textId="64780C53">
      <w:pPr>
        <w:pStyle w:val="Heading2"/>
        <w:tabs>
          <w:tab w:val="left" w:pos="1080"/>
        </w:tabs>
        <w:rPr>
          <w:lang w:bidi="en-US"/>
        </w:rPr>
      </w:pPr>
      <w:r w:rsidRPr="00953355">
        <w:t>IC #</w:t>
      </w:r>
      <w:r>
        <w:t>4</w:t>
      </w:r>
      <w:r w:rsidRPr="00953355">
        <w:t xml:space="preserve">: </w:t>
      </w:r>
      <w:r>
        <w:t xml:space="preserve">Retailers </w:t>
      </w:r>
    </w:p>
    <w:p w:rsidRPr="00E94251" w:rsidR="00D26AFB" w:rsidP="00D26AFB" w:rsidRDefault="00D26AFB" w14:paraId="4EA39A66" w14:textId="77777777">
      <w:bookmarkStart w:name="_Hlk23761675" w:id="32"/>
      <w:r w:rsidRPr="00E94251">
        <w:rPr>
          <w:u w:val="single"/>
        </w:rPr>
        <w:t>Respondent NAICS Codes</w:t>
      </w:r>
    </w:p>
    <w:p w:rsidRPr="001E69B9" w:rsidR="00D26AFB" w:rsidP="00D26AFB" w:rsidRDefault="00D26AFB" w14:paraId="7567121F" w14:textId="77777777">
      <w:pPr>
        <w:pStyle w:val="NoSpacing"/>
      </w:pPr>
    </w:p>
    <w:p w:rsidR="00D26AFB" w:rsidP="00BC4AD4" w:rsidRDefault="00BC4AD4" w14:paraId="0E2F22A8" w14:textId="2B62ACD2">
      <w:pPr>
        <w:widowControl w:val="0"/>
        <w:adjustRightInd w:val="0"/>
        <w:contextualSpacing/>
      </w:pPr>
      <w:r w:rsidRPr="0057276A">
        <w:t>Sector</w:t>
      </w:r>
      <w:r w:rsidR="006A0E12">
        <w:t>s</w:t>
      </w:r>
      <w:r w:rsidRPr="0057276A">
        <w:t xml:space="preserve"> 44 and 45</w:t>
      </w:r>
      <w:r>
        <w:tab/>
      </w:r>
      <w:r w:rsidRPr="0057276A" w:rsidR="00D26AFB">
        <w:t xml:space="preserve">Retail Trade  </w:t>
      </w:r>
    </w:p>
    <w:p w:rsidR="00D26AFB" w:rsidP="00D26AFB" w:rsidRDefault="00D26AFB" w14:paraId="41513004" w14:textId="77777777">
      <w:pPr>
        <w:pStyle w:val="NoSpacing"/>
      </w:pPr>
    </w:p>
    <w:p w:rsidRPr="006F62C0" w:rsidR="00620DBB" w:rsidP="00620DBB" w:rsidRDefault="00620DBB" w14:paraId="7786653E" w14:textId="12605137">
      <w:pPr>
        <w:pStyle w:val="NoSpacing"/>
      </w:pPr>
      <w:r w:rsidRPr="00491BA3">
        <w:t>The previously approved ICR (EPA ICR #2446.02) estimated that there were 759,046 domestic retailers subject to the TSCA Title VI rule. This analysis retains th</w:t>
      </w:r>
      <w:r w:rsidRPr="00491BA3" w:rsidR="00FF41E0">
        <w:t xml:space="preserve">at </w:t>
      </w:r>
      <w:r w:rsidRPr="00491BA3">
        <w:t>estimate.</w:t>
      </w:r>
    </w:p>
    <w:p w:rsidRPr="006F62C0" w:rsidR="005F4ED1" w:rsidP="005F4ED1" w:rsidRDefault="005F4ED1" w14:paraId="25C039FF" w14:textId="77777777">
      <w:pPr>
        <w:pStyle w:val="NoSpacing"/>
      </w:pPr>
    </w:p>
    <w:p w:rsidRPr="006F62C0" w:rsidR="00D92D50" w:rsidP="00D92D50" w:rsidRDefault="00D92D50" w14:paraId="1A1511FD" w14:textId="2BACC949">
      <w:pPr>
        <w:pStyle w:val="NoSpacing"/>
      </w:pPr>
      <w:r w:rsidRPr="006F62C0">
        <w:t xml:space="preserve">Retailers that do not import composite wood panels, component parts, or finished goods are only required to maintain invoices, bills of lading, or other similar documents from their suppliers that include a statement that the composite wood products, component parts, or finished goods are TSCA Title VI compliant or were produced before a date one year after the publication of the final rule. These </w:t>
      </w:r>
      <w:r w:rsidR="00247358">
        <w:t xml:space="preserve">documents </w:t>
      </w:r>
      <w:r w:rsidRPr="006F62C0">
        <w:t xml:space="preserve">are assumed to be kept as ordinary business records and therefore no recordkeeping burden is estimated.  </w:t>
      </w:r>
    </w:p>
    <w:p w:rsidRPr="006F62C0" w:rsidR="00E42262" w:rsidP="00D92D50" w:rsidRDefault="00E42262" w14:paraId="65BB44D8" w14:textId="5C4CF12D">
      <w:pPr>
        <w:pStyle w:val="NoSpacing"/>
      </w:pPr>
    </w:p>
    <w:p w:rsidRPr="006F62C0" w:rsidR="00E42262" w:rsidP="00D92D50" w:rsidRDefault="00E42262" w14:paraId="0ECD3BF8" w14:textId="0D750F20">
      <w:pPr>
        <w:pStyle w:val="NoSpacing"/>
      </w:pPr>
      <w:r w:rsidRPr="000A1B41">
        <w:t>If a finished good (including component parts sold separately) is not individually labeled, the retailer must retain a copy of the label, be able to identify the products associated with that label and make the label information available to potential customers upon request.</w:t>
      </w:r>
      <w:r w:rsidRPr="000A1B41" w:rsidR="00B16CB4">
        <w:t xml:space="preserve"> Follo</w:t>
      </w:r>
      <w:r w:rsidR="00B16CB4">
        <w:t xml:space="preserve">wing the assumptions in the final rule’s economic analysis, compliance is </w:t>
      </w:r>
      <w:r w:rsidR="0068444F">
        <w:t xml:space="preserve">assumed to be </w:t>
      </w:r>
      <w:r w:rsidR="00B16CB4">
        <w:t>achieved through implementing a labeling system with initial, but no recurring incremental costs.</w:t>
      </w:r>
    </w:p>
    <w:bookmarkEnd w:id="32"/>
    <w:p w:rsidR="00470772" w:rsidP="00384C18" w:rsidRDefault="00470772" w14:paraId="0C990712" w14:textId="58AEE95A">
      <w:pPr>
        <w:pStyle w:val="NoSpacing"/>
        <w:rPr>
          <w:highlight w:val="yellow"/>
        </w:rPr>
      </w:pPr>
    </w:p>
    <w:p w:rsidRPr="00695644" w:rsidR="006A0E12" w:rsidP="006A0E12" w:rsidRDefault="006A0E12" w14:paraId="7B319600" w14:textId="34672895">
      <w:pPr>
        <w:pStyle w:val="NoSpacing"/>
        <w:rPr>
          <w:highlight w:val="yellow"/>
        </w:rPr>
      </w:pPr>
      <w:r>
        <w:t>As shown in the IC #4 table below, there is no incremental burden or cost for retailers.</w:t>
      </w:r>
    </w:p>
    <w:p w:rsidR="00ED1A92" w:rsidP="00ED1A92" w:rsidRDefault="00ED1A92" w14:paraId="6B16019D" w14:textId="77777777">
      <w:pPr>
        <w:pStyle w:val="NoSpacing"/>
        <w:rPr>
          <w:highlight w:val="yellow"/>
        </w:rPr>
      </w:pPr>
    </w:p>
    <w:tbl>
      <w:tblPr>
        <w:tblW w:w="1064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7"/>
        <w:gridCol w:w="1357"/>
        <w:gridCol w:w="1240"/>
        <w:gridCol w:w="1087"/>
        <w:gridCol w:w="1221"/>
        <w:gridCol w:w="1247"/>
        <w:gridCol w:w="1220"/>
      </w:tblGrid>
      <w:tr w:rsidRPr="00C11C35" w:rsidR="00ED1A92" w:rsidTr="00AB1CC4" w14:paraId="718BF664" w14:textId="77777777">
        <w:tc>
          <w:tcPr>
            <w:tcW w:w="10649" w:type="dxa"/>
            <w:gridSpan w:val="7"/>
            <w:shd w:val="clear" w:color="auto" w:fill="BFBFBF" w:themeFill="background1" w:themeFillShade="BF"/>
            <w:vAlign w:val="center"/>
            <w:hideMark/>
          </w:tcPr>
          <w:p w:rsidRPr="00C11C35" w:rsidR="00ED1A92" w:rsidP="00D4207E" w:rsidRDefault="00ED1A92" w14:paraId="4648CA76" w14:textId="16CB7CFD">
            <w:pPr>
              <w:keepNext/>
              <w:keepLines/>
              <w:rPr>
                <w:rFonts w:eastAsia="Times New Roman" w:cs="Arial"/>
                <w:b/>
                <w:bCs/>
                <w:sz w:val="22"/>
              </w:rPr>
            </w:pPr>
            <w:r w:rsidRPr="00C11C35">
              <w:rPr>
                <w:rFonts w:eastAsia="Times New Roman" w:cs="Arial"/>
                <w:b/>
                <w:bCs/>
                <w:sz w:val="22"/>
              </w:rPr>
              <w:t xml:space="preserve">IC# </w:t>
            </w:r>
            <w:r w:rsidR="00D4207E">
              <w:rPr>
                <w:rFonts w:eastAsia="Times New Roman" w:cs="Arial"/>
                <w:b/>
                <w:bCs/>
                <w:sz w:val="22"/>
              </w:rPr>
              <w:t>4</w:t>
            </w:r>
            <w:r w:rsidRPr="00C11C35">
              <w:rPr>
                <w:rFonts w:eastAsia="Times New Roman" w:cs="Arial"/>
                <w:b/>
                <w:bCs/>
                <w:sz w:val="22"/>
              </w:rPr>
              <w:t>. Recordkeeping and Reporting Activities for</w:t>
            </w:r>
            <w:r>
              <w:rPr>
                <w:rFonts w:eastAsia="Times New Roman" w:cs="Arial"/>
                <w:b/>
                <w:bCs/>
                <w:sz w:val="22"/>
              </w:rPr>
              <w:t xml:space="preserve"> </w:t>
            </w:r>
            <w:r w:rsidR="00C03F4C">
              <w:rPr>
                <w:rFonts w:eastAsia="Times New Roman" w:cs="Arial"/>
                <w:b/>
                <w:bCs/>
                <w:sz w:val="22"/>
              </w:rPr>
              <w:t>Retailers</w:t>
            </w:r>
          </w:p>
        </w:tc>
      </w:tr>
      <w:tr w:rsidRPr="00C11C35" w:rsidR="00ED1A92" w:rsidTr="00AB1CC4" w14:paraId="21EAFD15" w14:textId="77777777">
        <w:tc>
          <w:tcPr>
            <w:tcW w:w="10649" w:type="dxa"/>
            <w:gridSpan w:val="7"/>
            <w:shd w:val="clear" w:color="auto" w:fill="BFBFBF" w:themeFill="background1" w:themeFillShade="BF"/>
            <w:vAlign w:val="center"/>
            <w:hideMark/>
          </w:tcPr>
          <w:p w:rsidRPr="00C11C35" w:rsidR="00ED1A92" w:rsidP="00AB1CC4" w:rsidRDefault="00ED1A92" w14:paraId="21785F41" w14:textId="77777777">
            <w:pPr>
              <w:keepNext/>
              <w:keepLines/>
              <w:jc w:val="center"/>
              <w:rPr>
                <w:rFonts w:eastAsia="Times New Roman" w:cs="Arial"/>
                <w:b/>
                <w:bCs/>
                <w:sz w:val="22"/>
              </w:rPr>
            </w:pPr>
            <w:r w:rsidRPr="00C11C35">
              <w:rPr>
                <w:rFonts w:eastAsia="Times New Roman" w:cs="Arial"/>
                <w:b/>
                <w:bCs/>
                <w:sz w:val="22"/>
              </w:rPr>
              <w:t>Citation: 40 C</w:t>
            </w:r>
            <w:r w:rsidRPr="000A1B41">
              <w:rPr>
                <w:rFonts w:eastAsia="Times New Roman" w:cs="Arial"/>
                <w:b/>
                <w:bCs/>
                <w:sz w:val="22"/>
              </w:rPr>
              <w:t>FR 770</w:t>
            </w:r>
          </w:p>
        </w:tc>
      </w:tr>
      <w:tr w:rsidRPr="00C11C35" w:rsidR="00ED1A92" w:rsidTr="000A1B41" w14:paraId="114F4681" w14:textId="77777777">
        <w:tc>
          <w:tcPr>
            <w:tcW w:w="3277" w:type="dxa"/>
            <w:shd w:val="clear" w:color="auto" w:fill="BFBFBF" w:themeFill="background1" w:themeFillShade="BF"/>
            <w:vAlign w:val="center"/>
            <w:hideMark/>
          </w:tcPr>
          <w:p w:rsidRPr="00C11C35" w:rsidR="00ED1A92" w:rsidP="00AB1CC4" w:rsidRDefault="00ED1A92" w14:paraId="4EFBD882" w14:textId="77777777">
            <w:pPr>
              <w:keepNext/>
              <w:keepLines/>
              <w:rPr>
                <w:rFonts w:eastAsia="Times New Roman" w:cs="Arial"/>
                <w:b/>
                <w:bCs/>
                <w:sz w:val="18"/>
                <w:szCs w:val="18"/>
              </w:rPr>
            </w:pPr>
            <w:r w:rsidRPr="00C11C35">
              <w:rPr>
                <w:rFonts w:eastAsia="Times New Roman" w:cs="Arial"/>
                <w:b/>
                <w:bCs/>
                <w:sz w:val="18"/>
                <w:szCs w:val="18"/>
              </w:rPr>
              <w:t>Data Element</w:t>
            </w:r>
          </w:p>
        </w:tc>
        <w:tc>
          <w:tcPr>
            <w:tcW w:w="1357" w:type="dxa"/>
            <w:tcBorders>
              <w:bottom w:val="single" w:color="auto" w:sz="4" w:space="0"/>
            </w:tcBorders>
            <w:shd w:val="clear" w:color="auto" w:fill="BFBFBF" w:themeFill="background1" w:themeFillShade="BF"/>
            <w:vAlign w:val="center"/>
            <w:hideMark/>
          </w:tcPr>
          <w:p w:rsidRPr="00C11C35" w:rsidR="00ED1A92" w:rsidP="00AB1CC4" w:rsidRDefault="00ED1A92" w14:paraId="2EADD0D0" w14:textId="77777777">
            <w:pPr>
              <w:keepNext/>
              <w:keepLines/>
              <w:jc w:val="center"/>
              <w:rPr>
                <w:rFonts w:eastAsia="Times New Roman" w:cs="Arial"/>
                <w:b/>
                <w:bCs/>
                <w:sz w:val="18"/>
                <w:szCs w:val="18"/>
              </w:rPr>
            </w:pPr>
            <w:r w:rsidRPr="009176B4">
              <w:rPr>
                <w:rFonts w:eastAsia="Times New Roman" w:cs="Arial"/>
                <w:b/>
                <w:bCs/>
                <w:sz w:val="18"/>
                <w:szCs w:val="18"/>
              </w:rPr>
              <w:t>Respondents</w:t>
            </w:r>
          </w:p>
        </w:tc>
        <w:tc>
          <w:tcPr>
            <w:tcW w:w="1240" w:type="dxa"/>
            <w:tcBorders>
              <w:bottom w:val="single" w:color="auto" w:sz="4" w:space="0"/>
            </w:tcBorders>
            <w:shd w:val="clear" w:color="auto" w:fill="BFBFBF" w:themeFill="background1" w:themeFillShade="BF"/>
            <w:vAlign w:val="center"/>
            <w:hideMark/>
          </w:tcPr>
          <w:p w:rsidRPr="00C11C35" w:rsidR="00ED1A92" w:rsidP="00AB1CC4" w:rsidRDefault="00ED1A92" w14:paraId="5D309061" w14:textId="77777777">
            <w:pPr>
              <w:keepNext/>
              <w:keepLines/>
              <w:jc w:val="center"/>
              <w:rPr>
                <w:rFonts w:eastAsia="Times New Roman" w:cs="Arial"/>
                <w:b/>
                <w:bCs/>
                <w:sz w:val="18"/>
                <w:szCs w:val="18"/>
              </w:rPr>
            </w:pPr>
            <w:r w:rsidRPr="009176B4">
              <w:rPr>
                <w:rFonts w:eastAsia="Times New Roman" w:cs="Arial"/>
                <w:b/>
                <w:bCs/>
                <w:sz w:val="18"/>
                <w:szCs w:val="18"/>
              </w:rPr>
              <w:t>Responses</w:t>
            </w:r>
          </w:p>
        </w:tc>
        <w:tc>
          <w:tcPr>
            <w:tcW w:w="1087" w:type="dxa"/>
            <w:shd w:val="clear" w:color="auto" w:fill="BFBFBF" w:themeFill="background1" w:themeFillShade="BF"/>
            <w:vAlign w:val="center"/>
            <w:hideMark/>
          </w:tcPr>
          <w:p w:rsidRPr="00C11C35" w:rsidR="00ED1A92" w:rsidP="00AB1CC4" w:rsidRDefault="00ED1A92" w14:paraId="2B1FCAC2" w14:textId="787C2384">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Burden</w:t>
            </w:r>
            <w:r>
              <w:rPr>
                <w:rFonts w:eastAsia="Times New Roman" w:cs="Arial"/>
                <w:b/>
                <w:bCs/>
                <w:sz w:val="18"/>
                <w:szCs w:val="18"/>
              </w:rPr>
              <w:t xml:space="preserve"> </w:t>
            </w:r>
            <w:r w:rsidR="00525D83">
              <w:rPr>
                <w:rFonts w:eastAsia="Times New Roman" w:cs="Arial"/>
                <w:b/>
                <w:bCs/>
                <w:sz w:val="18"/>
                <w:szCs w:val="18"/>
              </w:rPr>
              <w:t>(</w:t>
            </w:r>
            <w:r>
              <w:rPr>
                <w:rFonts w:eastAsia="Times New Roman" w:cs="Arial"/>
                <w:b/>
                <w:bCs/>
                <w:sz w:val="18"/>
                <w:szCs w:val="18"/>
              </w:rPr>
              <w:t>Hours</w:t>
            </w:r>
            <w:r w:rsidR="00525D83">
              <w:rPr>
                <w:rFonts w:eastAsia="Times New Roman" w:cs="Arial"/>
                <w:b/>
                <w:bCs/>
                <w:sz w:val="18"/>
                <w:szCs w:val="18"/>
              </w:rPr>
              <w:t>)</w:t>
            </w:r>
          </w:p>
        </w:tc>
        <w:tc>
          <w:tcPr>
            <w:tcW w:w="1221" w:type="dxa"/>
            <w:shd w:val="clear" w:color="auto" w:fill="BFBFBF" w:themeFill="background1" w:themeFillShade="BF"/>
            <w:vAlign w:val="center"/>
            <w:hideMark/>
          </w:tcPr>
          <w:p w:rsidRPr="00C11C35" w:rsidR="00ED1A92" w:rsidP="00AB1CC4" w:rsidRDefault="00ED1A92" w14:paraId="7DB22F11" w14:textId="77777777">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Labor Cost</w:t>
            </w:r>
          </w:p>
        </w:tc>
        <w:tc>
          <w:tcPr>
            <w:tcW w:w="1247" w:type="dxa"/>
            <w:shd w:val="clear" w:color="auto" w:fill="BFBFBF" w:themeFill="background1" w:themeFillShade="BF"/>
            <w:vAlign w:val="center"/>
            <w:hideMark/>
          </w:tcPr>
          <w:p w:rsidRPr="00C11C35" w:rsidR="00ED1A92" w:rsidP="00AB1CC4" w:rsidRDefault="00ED1A92" w14:paraId="37C4A107" w14:textId="77777777">
            <w:pPr>
              <w:keepNext/>
              <w:keepLines/>
              <w:jc w:val="center"/>
              <w:rPr>
                <w:rFonts w:eastAsia="Times New Roman" w:cs="Arial"/>
                <w:b/>
                <w:bCs/>
                <w:sz w:val="18"/>
                <w:szCs w:val="18"/>
              </w:rPr>
            </w:pPr>
            <w:r>
              <w:rPr>
                <w:rFonts w:eastAsia="Times New Roman" w:cs="Arial"/>
                <w:b/>
                <w:bCs/>
                <w:sz w:val="18"/>
                <w:szCs w:val="18"/>
              </w:rPr>
              <w:t xml:space="preserve">Total Non-Labor </w:t>
            </w:r>
            <w:r w:rsidRPr="009176B4">
              <w:rPr>
                <w:rFonts w:eastAsia="Times New Roman" w:cs="Arial"/>
                <w:b/>
                <w:bCs/>
                <w:sz w:val="18"/>
                <w:szCs w:val="18"/>
              </w:rPr>
              <w:t xml:space="preserve"> Cost</w:t>
            </w:r>
          </w:p>
        </w:tc>
        <w:tc>
          <w:tcPr>
            <w:tcW w:w="1220" w:type="dxa"/>
            <w:shd w:val="clear" w:color="auto" w:fill="BFBFBF" w:themeFill="background1" w:themeFillShade="BF"/>
            <w:vAlign w:val="center"/>
            <w:hideMark/>
          </w:tcPr>
          <w:p w:rsidRPr="00C11C35" w:rsidR="00ED1A92" w:rsidP="00AB1CC4" w:rsidRDefault="00ED1A92" w14:paraId="0D625B25" w14:textId="77777777">
            <w:pPr>
              <w:keepNext/>
              <w:keepLines/>
              <w:jc w:val="center"/>
              <w:rPr>
                <w:rFonts w:eastAsia="Times New Roman" w:cs="Arial"/>
                <w:b/>
                <w:bCs/>
                <w:sz w:val="18"/>
                <w:szCs w:val="18"/>
              </w:rPr>
            </w:pPr>
            <w:r w:rsidRPr="009176B4">
              <w:rPr>
                <w:rFonts w:eastAsia="Times New Roman" w:cs="Arial"/>
                <w:b/>
                <w:bCs/>
                <w:sz w:val="18"/>
                <w:szCs w:val="18"/>
              </w:rPr>
              <w:t>Total Cost</w:t>
            </w:r>
          </w:p>
        </w:tc>
      </w:tr>
      <w:tr w:rsidRPr="004244C5" w:rsidR="00D71E5E" w:rsidTr="000A1B41" w14:paraId="5EBA0C51" w14:textId="77777777">
        <w:tc>
          <w:tcPr>
            <w:tcW w:w="3277" w:type="dxa"/>
            <w:shd w:val="clear" w:color="auto" w:fill="auto"/>
            <w:vAlign w:val="bottom"/>
          </w:tcPr>
          <w:p w:rsidRPr="004E4ADD" w:rsidR="00D71E5E" w:rsidP="00D71E5E" w:rsidRDefault="00D71E5E" w14:paraId="7676B539" w14:textId="328ECC7D">
            <w:pPr>
              <w:pStyle w:val="ListParagraph"/>
              <w:keepNext/>
              <w:keepLines/>
              <w:ind w:left="257"/>
              <w:rPr>
                <w:rFonts w:eastAsia="Times New Roman" w:cs="Arial"/>
                <w:color w:val="000000"/>
                <w:sz w:val="18"/>
                <w:szCs w:val="18"/>
              </w:rPr>
            </w:pPr>
            <w:r w:rsidRPr="004E4ADD">
              <w:rPr>
                <w:rFonts w:eastAsia="Times New Roman" w:cs="Arial"/>
                <w:color w:val="000000"/>
                <w:sz w:val="18"/>
                <w:szCs w:val="18"/>
              </w:rPr>
              <w:t>Recordkeeping</w:t>
            </w:r>
          </w:p>
        </w:tc>
        <w:tc>
          <w:tcPr>
            <w:tcW w:w="1357" w:type="dxa"/>
            <w:shd w:val="clear" w:color="auto" w:fill="auto"/>
            <w:vAlign w:val="center"/>
          </w:tcPr>
          <w:p w:rsidRPr="004E4ADD" w:rsidR="00D71E5E" w:rsidP="00D71E5E" w:rsidRDefault="00D71E5E" w14:paraId="43134F82" w14:textId="6A44180B">
            <w:pPr>
              <w:keepNext/>
              <w:keepLines/>
              <w:jc w:val="right"/>
              <w:rPr>
                <w:rFonts w:eastAsia="Times New Roman" w:cs="Arial"/>
                <w:color w:val="000000"/>
                <w:sz w:val="18"/>
                <w:szCs w:val="18"/>
              </w:rPr>
            </w:pPr>
            <w:r w:rsidRPr="004E4ADD">
              <w:rPr>
                <w:rFonts w:eastAsia="Times New Roman" w:cs="Arial"/>
                <w:color w:val="000000"/>
                <w:sz w:val="18"/>
                <w:szCs w:val="18"/>
              </w:rPr>
              <w:t>759,046</w:t>
            </w:r>
          </w:p>
        </w:tc>
        <w:tc>
          <w:tcPr>
            <w:tcW w:w="1240" w:type="dxa"/>
            <w:shd w:val="clear" w:color="auto" w:fill="auto"/>
            <w:vAlign w:val="center"/>
          </w:tcPr>
          <w:p w:rsidRPr="004E4ADD" w:rsidR="00D71E5E" w:rsidP="00D71E5E" w:rsidRDefault="00D71E5E" w14:paraId="56DDF52F" w14:textId="6C23794C">
            <w:pPr>
              <w:keepNext/>
              <w:keepLines/>
              <w:jc w:val="right"/>
              <w:rPr>
                <w:rFonts w:eastAsia="Times New Roman" w:cs="Arial"/>
                <w:color w:val="000000"/>
                <w:sz w:val="18"/>
                <w:szCs w:val="18"/>
              </w:rPr>
            </w:pPr>
            <w:r w:rsidRPr="004E4ADD">
              <w:rPr>
                <w:rFonts w:eastAsia="Times New Roman" w:cs="Arial"/>
                <w:color w:val="000000"/>
                <w:sz w:val="18"/>
                <w:szCs w:val="18"/>
              </w:rPr>
              <w:t>759,046</w:t>
            </w:r>
          </w:p>
        </w:tc>
        <w:tc>
          <w:tcPr>
            <w:tcW w:w="1087" w:type="dxa"/>
            <w:shd w:val="clear" w:color="auto" w:fill="auto"/>
            <w:vAlign w:val="center"/>
          </w:tcPr>
          <w:p w:rsidRPr="004E4ADD" w:rsidR="00D71E5E" w:rsidP="00D71E5E" w:rsidRDefault="00D71E5E" w14:paraId="1C13E671" w14:textId="610639F6">
            <w:pPr>
              <w:pStyle w:val="ListParagraph"/>
              <w:keepNext/>
              <w:keepLines/>
              <w:ind w:left="0"/>
              <w:jc w:val="right"/>
              <w:rPr>
                <w:rFonts w:eastAsia="Times New Roman" w:cs="Arial"/>
                <w:color w:val="000000"/>
                <w:sz w:val="18"/>
                <w:szCs w:val="18"/>
              </w:rPr>
            </w:pPr>
            <w:r>
              <w:rPr>
                <w:rFonts w:eastAsia="Times New Roman" w:cs="Arial"/>
                <w:color w:val="000000"/>
                <w:sz w:val="18"/>
                <w:szCs w:val="18"/>
              </w:rPr>
              <w:t>0</w:t>
            </w:r>
          </w:p>
        </w:tc>
        <w:tc>
          <w:tcPr>
            <w:tcW w:w="1221" w:type="dxa"/>
            <w:shd w:val="clear" w:color="auto" w:fill="auto"/>
            <w:vAlign w:val="center"/>
          </w:tcPr>
          <w:p w:rsidRPr="004E4ADD" w:rsidR="00D71E5E" w:rsidP="00D71E5E" w:rsidRDefault="00D71E5E" w14:paraId="427C32C6" w14:textId="5D4E3D6D">
            <w:pPr>
              <w:keepNext/>
              <w:keepLines/>
              <w:jc w:val="right"/>
              <w:rPr>
                <w:rFonts w:eastAsia="Times New Roman" w:cs="Arial"/>
                <w:color w:val="000000"/>
                <w:sz w:val="18"/>
                <w:szCs w:val="18"/>
              </w:rPr>
            </w:pPr>
            <w:r>
              <w:rPr>
                <w:rFonts w:eastAsia="Times New Roman" w:cs="Arial"/>
                <w:color w:val="000000"/>
                <w:sz w:val="18"/>
                <w:szCs w:val="18"/>
              </w:rPr>
              <w:t>0</w:t>
            </w:r>
          </w:p>
        </w:tc>
        <w:tc>
          <w:tcPr>
            <w:tcW w:w="1247" w:type="dxa"/>
            <w:shd w:val="clear" w:color="auto" w:fill="auto"/>
            <w:vAlign w:val="center"/>
          </w:tcPr>
          <w:p w:rsidRPr="004E4ADD" w:rsidR="00D71E5E" w:rsidP="00D71E5E" w:rsidRDefault="00D71E5E" w14:paraId="31B4B8D6" w14:textId="3CC153D6">
            <w:pPr>
              <w:keepNext/>
              <w:keepLines/>
              <w:jc w:val="right"/>
              <w:rPr>
                <w:rFonts w:eastAsia="Times New Roman" w:cs="Arial"/>
                <w:color w:val="000000"/>
                <w:sz w:val="18"/>
                <w:szCs w:val="18"/>
              </w:rPr>
            </w:pPr>
            <w:r>
              <w:rPr>
                <w:rFonts w:eastAsia="Times New Roman" w:cs="Arial"/>
                <w:color w:val="000000"/>
                <w:sz w:val="18"/>
                <w:szCs w:val="18"/>
              </w:rPr>
              <w:t>0</w:t>
            </w:r>
          </w:p>
        </w:tc>
        <w:tc>
          <w:tcPr>
            <w:tcW w:w="1220" w:type="dxa"/>
            <w:shd w:val="clear" w:color="auto" w:fill="auto"/>
            <w:vAlign w:val="center"/>
          </w:tcPr>
          <w:p w:rsidRPr="004E4ADD" w:rsidR="00D71E5E" w:rsidP="00D71E5E" w:rsidRDefault="00D71E5E" w14:paraId="7D23BA96" w14:textId="5C61B123">
            <w:pPr>
              <w:keepNext/>
              <w:keepLines/>
              <w:jc w:val="right"/>
              <w:rPr>
                <w:rFonts w:eastAsia="Times New Roman" w:cs="Arial"/>
                <w:color w:val="000000"/>
                <w:sz w:val="18"/>
                <w:szCs w:val="18"/>
              </w:rPr>
            </w:pPr>
            <w:r>
              <w:rPr>
                <w:rFonts w:eastAsia="Times New Roman" w:cs="Arial"/>
                <w:color w:val="000000"/>
                <w:sz w:val="18"/>
                <w:szCs w:val="18"/>
              </w:rPr>
              <w:t>0</w:t>
            </w:r>
          </w:p>
        </w:tc>
      </w:tr>
      <w:tr w:rsidRPr="004244C5" w:rsidR="00D71E5E" w:rsidTr="000A1B41" w14:paraId="2EE951C9" w14:textId="77777777">
        <w:tc>
          <w:tcPr>
            <w:tcW w:w="3277" w:type="dxa"/>
            <w:shd w:val="clear" w:color="auto" w:fill="auto"/>
            <w:vAlign w:val="center"/>
            <w:hideMark/>
          </w:tcPr>
          <w:p w:rsidRPr="004E4ADD" w:rsidR="00D71E5E" w:rsidP="00D71E5E" w:rsidRDefault="00D71E5E" w14:paraId="4A9321A3" w14:textId="77777777">
            <w:pPr>
              <w:keepNext/>
              <w:keepLines/>
              <w:jc w:val="right"/>
              <w:rPr>
                <w:rFonts w:eastAsia="Times New Roman" w:cs="Arial"/>
                <w:b/>
                <w:bCs/>
                <w:color w:val="000000"/>
                <w:sz w:val="18"/>
                <w:szCs w:val="18"/>
              </w:rPr>
            </w:pPr>
            <w:r w:rsidRPr="004E4ADD">
              <w:rPr>
                <w:rFonts w:eastAsia="Times New Roman" w:cs="Arial"/>
                <w:b/>
                <w:bCs/>
                <w:color w:val="000000"/>
                <w:sz w:val="18"/>
                <w:szCs w:val="18"/>
              </w:rPr>
              <w:t xml:space="preserve">Total </w:t>
            </w:r>
          </w:p>
        </w:tc>
        <w:tc>
          <w:tcPr>
            <w:tcW w:w="1357" w:type="dxa"/>
            <w:shd w:val="clear" w:color="auto" w:fill="auto"/>
            <w:vAlign w:val="center"/>
          </w:tcPr>
          <w:p w:rsidRPr="004E4ADD" w:rsidR="00D71E5E" w:rsidP="00D71E5E" w:rsidRDefault="00D71E5E" w14:paraId="097E4615" w14:textId="37B58DA9">
            <w:pPr>
              <w:keepNext/>
              <w:keepLines/>
              <w:jc w:val="right"/>
              <w:rPr>
                <w:rFonts w:eastAsia="Times New Roman" w:cs="Arial"/>
                <w:b/>
                <w:bCs/>
                <w:color w:val="000000"/>
                <w:sz w:val="18"/>
                <w:szCs w:val="18"/>
              </w:rPr>
            </w:pPr>
            <w:r w:rsidRPr="004E4ADD">
              <w:rPr>
                <w:rFonts w:eastAsia="Times New Roman" w:cs="Arial"/>
                <w:b/>
                <w:color w:val="000000"/>
                <w:sz w:val="18"/>
                <w:szCs w:val="18"/>
              </w:rPr>
              <w:t>759,046</w:t>
            </w:r>
          </w:p>
        </w:tc>
        <w:tc>
          <w:tcPr>
            <w:tcW w:w="1240" w:type="dxa"/>
            <w:shd w:val="clear" w:color="auto" w:fill="auto"/>
            <w:vAlign w:val="center"/>
          </w:tcPr>
          <w:p w:rsidRPr="004E4ADD" w:rsidR="00D71E5E" w:rsidP="00D71E5E" w:rsidRDefault="00D71E5E" w14:paraId="4C533B44" w14:textId="27F153F1">
            <w:pPr>
              <w:keepNext/>
              <w:keepLines/>
              <w:jc w:val="right"/>
              <w:rPr>
                <w:rFonts w:eastAsia="Times New Roman" w:cs="Arial"/>
                <w:b/>
                <w:bCs/>
                <w:color w:val="000000"/>
                <w:sz w:val="18"/>
                <w:szCs w:val="18"/>
              </w:rPr>
            </w:pPr>
            <w:r w:rsidRPr="004E4ADD">
              <w:rPr>
                <w:rFonts w:eastAsia="Times New Roman" w:cs="Arial"/>
                <w:b/>
                <w:color w:val="000000"/>
                <w:sz w:val="18"/>
                <w:szCs w:val="18"/>
              </w:rPr>
              <w:t>759,046</w:t>
            </w:r>
          </w:p>
        </w:tc>
        <w:tc>
          <w:tcPr>
            <w:tcW w:w="1087" w:type="dxa"/>
            <w:shd w:val="clear" w:color="auto" w:fill="auto"/>
            <w:vAlign w:val="center"/>
          </w:tcPr>
          <w:p w:rsidRPr="004E4ADD" w:rsidR="00D71E5E" w:rsidP="00D71E5E" w:rsidRDefault="00D71E5E" w14:paraId="30157CEA" w14:textId="31BC75FE">
            <w:pPr>
              <w:keepNext/>
              <w:keepLines/>
              <w:jc w:val="right"/>
              <w:rPr>
                <w:rFonts w:eastAsia="Times New Roman" w:cs="Arial"/>
                <w:b/>
                <w:bCs/>
                <w:color w:val="000000"/>
                <w:sz w:val="18"/>
                <w:szCs w:val="18"/>
              </w:rPr>
            </w:pPr>
            <w:r>
              <w:rPr>
                <w:rFonts w:eastAsia="Times New Roman" w:cs="Arial"/>
                <w:b/>
                <w:bCs/>
                <w:color w:val="000000"/>
                <w:sz w:val="18"/>
                <w:szCs w:val="18"/>
              </w:rPr>
              <w:t>0</w:t>
            </w:r>
          </w:p>
        </w:tc>
        <w:tc>
          <w:tcPr>
            <w:tcW w:w="1221" w:type="dxa"/>
            <w:shd w:val="clear" w:color="auto" w:fill="auto"/>
            <w:vAlign w:val="center"/>
          </w:tcPr>
          <w:p w:rsidRPr="004E4ADD" w:rsidR="00D71E5E" w:rsidP="00D71E5E" w:rsidRDefault="00D71E5E" w14:paraId="4365F559" w14:textId="03075372">
            <w:pPr>
              <w:keepNext/>
              <w:keepLines/>
              <w:jc w:val="right"/>
              <w:rPr>
                <w:rFonts w:eastAsia="Times New Roman" w:cs="Arial"/>
                <w:b/>
                <w:bCs/>
                <w:color w:val="000000"/>
                <w:sz w:val="18"/>
                <w:szCs w:val="18"/>
              </w:rPr>
            </w:pPr>
            <w:r>
              <w:rPr>
                <w:rFonts w:eastAsia="Times New Roman" w:cs="Arial"/>
                <w:b/>
                <w:bCs/>
                <w:color w:val="000000"/>
                <w:sz w:val="18"/>
                <w:szCs w:val="18"/>
              </w:rPr>
              <w:t>0</w:t>
            </w:r>
          </w:p>
        </w:tc>
        <w:tc>
          <w:tcPr>
            <w:tcW w:w="1247" w:type="dxa"/>
            <w:shd w:val="clear" w:color="auto" w:fill="auto"/>
            <w:vAlign w:val="center"/>
          </w:tcPr>
          <w:p w:rsidRPr="004E4ADD" w:rsidR="00D71E5E" w:rsidP="00D71E5E" w:rsidRDefault="00D71E5E" w14:paraId="39823717" w14:textId="2B625A15">
            <w:pPr>
              <w:keepNext/>
              <w:keepLines/>
              <w:jc w:val="right"/>
              <w:rPr>
                <w:rFonts w:eastAsia="Times New Roman" w:cs="Arial"/>
                <w:b/>
                <w:bCs/>
                <w:color w:val="000000"/>
                <w:sz w:val="18"/>
                <w:szCs w:val="18"/>
              </w:rPr>
            </w:pPr>
            <w:r>
              <w:rPr>
                <w:rFonts w:eastAsia="Times New Roman" w:cs="Arial"/>
                <w:b/>
                <w:bCs/>
                <w:color w:val="000000"/>
                <w:sz w:val="18"/>
                <w:szCs w:val="18"/>
              </w:rPr>
              <w:t>0</w:t>
            </w:r>
          </w:p>
        </w:tc>
        <w:tc>
          <w:tcPr>
            <w:tcW w:w="1220" w:type="dxa"/>
            <w:shd w:val="clear" w:color="auto" w:fill="auto"/>
            <w:vAlign w:val="center"/>
          </w:tcPr>
          <w:p w:rsidRPr="004E4ADD" w:rsidR="00D71E5E" w:rsidP="00D71E5E" w:rsidRDefault="00D71E5E" w14:paraId="53884C70" w14:textId="04F5D7DA">
            <w:pPr>
              <w:keepNext/>
              <w:keepLines/>
              <w:jc w:val="right"/>
              <w:rPr>
                <w:rFonts w:eastAsia="Times New Roman" w:cs="Arial"/>
                <w:b/>
                <w:bCs/>
                <w:color w:val="000000"/>
                <w:sz w:val="18"/>
                <w:szCs w:val="18"/>
              </w:rPr>
            </w:pPr>
            <w:r>
              <w:rPr>
                <w:rFonts w:eastAsia="Times New Roman" w:cs="Arial"/>
                <w:b/>
                <w:bCs/>
                <w:color w:val="000000"/>
                <w:sz w:val="18"/>
                <w:szCs w:val="18"/>
              </w:rPr>
              <w:t>0</w:t>
            </w:r>
          </w:p>
        </w:tc>
      </w:tr>
    </w:tbl>
    <w:p w:rsidR="00ED1A92" w:rsidP="00ED1A92" w:rsidRDefault="00ED1A92" w14:paraId="5C899DC5" w14:textId="038CCCA2">
      <w:pPr>
        <w:pStyle w:val="NoSpacing"/>
        <w:rPr>
          <w:highlight w:val="yellow"/>
        </w:rPr>
      </w:pPr>
    </w:p>
    <w:p w:rsidRPr="00953355" w:rsidR="00DB7F57" w:rsidP="00953355" w:rsidRDefault="00DB7F57" w14:paraId="27C03B1F" w14:textId="75E03923">
      <w:pPr>
        <w:pStyle w:val="Heading2"/>
        <w:tabs>
          <w:tab w:val="left" w:pos="1080"/>
        </w:tabs>
        <w:rPr>
          <w:lang w:bidi="en-US"/>
        </w:rPr>
      </w:pPr>
      <w:bookmarkStart w:name="_Toc501020185" w:id="33"/>
      <w:r w:rsidRPr="00953355">
        <w:t>IC #</w:t>
      </w:r>
      <w:r w:rsidR="005F4ED1">
        <w:t>5</w:t>
      </w:r>
      <w:r w:rsidRPr="00953355">
        <w:t xml:space="preserve">: </w:t>
      </w:r>
      <w:bookmarkEnd w:id="33"/>
      <w:r w:rsidRPr="00953355" w:rsidR="00C110A7">
        <w:t>Accrediting Bodies</w:t>
      </w:r>
    </w:p>
    <w:p w:rsidR="002460BB" w:rsidP="00F07228" w:rsidRDefault="002460BB" w14:paraId="4FBB5267" w14:textId="38A41453">
      <w:pPr>
        <w:rPr>
          <w:lang w:val="fr-FR"/>
        </w:rPr>
      </w:pPr>
      <w:r w:rsidRPr="002460BB">
        <w:rPr>
          <w:lang w:val="fr-FR"/>
        </w:rPr>
        <w:t>Based on data from the TSCA Title VI program there are currently</w:t>
      </w:r>
      <w:r>
        <w:rPr>
          <w:lang w:val="fr-FR"/>
        </w:rPr>
        <w:t xml:space="preserve"> 4 domestic and 10 foreign </w:t>
      </w:r>
      <w:proofErr w:type="spellStart"/>
      <w:r>
        <w:rPr>
          <w:lang w:val="fr-FR"/>
        </w:rPr>
        <w:t>a</w:t>
      </w:r>
      <w:r w:rsidRPr="002460BB">
        <w:rPr>
          <w:lang w:val="fr-FR"/>
        </w:rPr>
        <w:t>ccrediting</w:t>
      </w:r>
      <w:proofErr w:type="spellEnd"/>
      <w:r w:rsidRPr="002460BB">
        <w:rPr>
          <w:lang w:val="fr-FR"/>
        </w:rPr>
        <w:t xml:space="preserve"> </w:t>
      </w:r>
      <w:r>
        <w:rPr>
          <w:lang w:val="fr-FR"/>
        </w:rPr>
        <w:t>bodies participating in the program.</w:t>
      </w:r>
    </w:p>
    <w:p w:rsidRPr="002460BB" w:rsidR="002460BB" w:rsidP="002460BB" w:rsidRDefault="002460BB" w14:paraId="3AB0FE12" w14:textId="77777777">
      <w:pPr>
        <w:pStyle w:val="NoSpacing"/>
        <w:rPr>
          <w:lang w:val="fr-FR"/>
        </w:rPr>
      </w:pPr>
    </w:p>
    <w:p w:rsidRPr="00EE0378" w:rsidR="00DB7F57" w:rsidP="00F07228" w:rsidRDefault="00F07228" w14:paraId="14A8D5D4" w14:textId="25ABED4C">
      <w:pPr>
        <w:rPr>
          <w:u w:val="single"/>
          <w:lang w:val="fr-FR"/>
        </w:rPr>
      </w:pPr>
      <w:r w:rsidRPr="00EE0378">
        <w:rPr>
          <w:u w:val="single"/>
          <w:lang w:val="fr-FR"/>
        </w:rPr>
        <w:t>Respondent</w:t>
      </w:r>
      <w:r w:rsidRPr="00EE0378" w:rsidR="00DB7F57">
        <w:rPr>
          <w:u w:val="single"/>
          <w:lang w:val="fr-FR"/>
        </w:rPr>
        <w:t xml:space="preserve"> NAICS Codes</w:t>
      </w:r>
    </w:p>
    <w:p w:rsidRPr="00EE0378" w:rsidR="00F07228" w:rsidP="00C06E7A" w:rsidRDefault="00F07228" w14:paraId="2C1FD705" w14:textId="77777777">
      <w:pPr>
        <w:pStyle w:val="ListParagraph"/>
        <w:ind w:left="1440"/>
        <w:rPr>
          <w:lang w:val="fr-FR"/>
        </w:rPr>
      </w:pPr>
    </w:p>
    <w:p w:rsidRPr="00EE0378" w:rsidR="00C06E7A" w:rsidP="0053065B" w:rsidRDefault="00EE0378" w14:paraId="5C88ACB6" w14:textId="65C47B53">
      <w:pPr>
        <w:rPr>
          <w:lang w:val="fr-FR"/>
        </w:rPr>
      </w:pPr>
      <w:r w:rsidRPr="00EE0378">
        <w:rPr>
          <w:lang w:val="fr-FR"/>
        </w:rPr>
        <w:t>813920</w:t>
      </w:r>
      <w:r w:rsidRPr="00EE0378" w:rsidR="00880280">
        <w:rPr>
          <w:lang w:val="fr-FR"/>
        </w:rPr>
        <w:tab/>
      </w:r>
      <w:r w:rsidRPr="00EE0378">
        <w:rPr>
          <w:lang w:val="fr-FR"/>
        </w:rPr>
        <w:t>Professional organi</w:t>
      </w:r>
      <w:r w:rsidR="009E73C4">
        <w:rPr>
          <w:lang w:val="fr-FR"/>
        </w:rPr>
        <w:t>z</w:t>
      </w:r>
      <w:r w:rsidRPr="00EE0378">
        <w:rPr>
          <w:lang w:val="fr-FR"/>
        </w:rPr>
        <w:t>ations</w:t>
      </w:r>
    </w:p>
    <w:p w:rsidRPr="00BC4AD4" w:rsidR="00880280" w:rsidP="00BC4AD4" w:rsidRDefault="00880280" w14:paraId="0256B06A" w14:textId="77777777">
      <w:pPr>
        <w:rPr>
          <w:highlight w:val="yellow"/>
          <w:lang w:val="fr-FR"/>
        </w:rPr>
      </w:pPr>
    </w:p>
    <w:p w:rsidRPr="00264AB2" w:rsidR="00DB7F57" w:rsidP="00F07228" w:rsidRDefault="00DB7F57" w14:paraId="52BA945E" w14:textId="77777777">
      <w:pPr>
        <w:rPr>
          <w:u w:val="single"/>
          <w:lang w:val="fr-FR"/>
        </w:rPr>
      </w:pPr>
      <w:r w:rsidRPr="00264AB2">
        <w:rPr>
          <w:u w:val="single"/>
          <w:lang w:val="fr-FR"/>
        </w:rPr>
        <w:lastRenderedPageBreak/>
        <w:t>Information Collection Activities</w:t>
      </w:r>
    </w:p>
    <w:p w:rsidRPr="00264AB2" w:rsidR="00264AB2" w:rsidP="00264AB2" w:rsidRDefault="00264AB2" w14:paraId="40D0BA64" w14:textId="77777777">
      <w:pPr>
        <w:pStyle w:val="NoSpacing"/>
        <w:rPr>
          <w:highlight w:val="yellow"/>
          <w:lang w:val="fr-FR"/>
        </w:rPr>
      </w:pPr>
    </w:p>
    <w:p w:rsidR="00264AB2" w:rsidP="00264AB2" w:rsidRDefault="00264AB2" w14:paraId="40704803" w14:textId="427FAF1F">
      <w:pPr>
        <w:pStyle w:val="BodyText"/>
      </w:pPr>
      <w:r w:rsidRPr="003C59BB">
        <w:rPr>
          <w:b/>
        </w:rPr>
        <w:t>CDX Electronic Reporting</w:t>
      </w:r>
      <w:r>
        <w:rPr>
          <w:b/>
        </w:rPr>
        <w:t xml:space="preserve"> (data elements A &amp; B)</w:t>
      </w:r>
      <w:r w:rsidRPr="003C59BB">
        <w:rPr>
          <w:b/>
        </w:rPr>
        <w:t>:</w:t>
      </w:r>
      <w:r w:rsidRPr="003C59BB">
        <w:t xml:space="preserve"> </w:t>
      </w:r>
      <w:bookmarkStart w:name="_Hlk23259972" w:id="34"/>
      <w:r w:rsidRPr="003C59BB">
        <w:t>All accreditation bodies spen</w:t>
      </w:r>
      <w:r w:rsidR="00770170">
        <w:t>t</w:t>
      </w:r>
      <w:r w:rsidRPr="003C59BB">
        <w:t xml:space="preserve"> time in the first year </w:t>
      </w:r>
      <w:r w:rsidR="0088413E">
        <w:t xml:space="preserve">of the TSCA Title VI program </w:t>
      </w:r>
      <w:r w:rsidRPr="003C59BB">
        <w:t>complet</w:t>
      </w:r>
      <w:r w:rsidR="00F068D2">
        <w:t>ing</w:t>
      </w:r>
      <w:r w:rsidRPr="003C59BB">
        <w:t xml:space="preserve"> a </w:t>
      </w:r>
      <w:r w:rsidR="009E73C4">
        <w:t xml:space="preserve">CDX </w:t>
      </w:r>
      <w:r w:rsidRPr="003C59BB">
        <w:t>subscriber agreement and register</w:t>
      </w:r>
      <w:r w:rsidR="00F068D2">
        <w:t>ing</w:t>
      </w:r>
      <w:r w:rsidRPr="003C59BB">
        <w:t xml:space="preserve"> with CDX.   Some </w:t>
      </w:r>
      <w:r w:rsidR="0088413E">
        <w:t xml:space="preserve">accreditation bodies will </w:t>
      </w:r>
      <w:r w:rsidR="009E73C4">
        <w:t xml:space="preserve">repeat these activities </w:t>
      </w:r>
      <w:r w:rsidRPr="003C59BB">
        <w:t xml:space="preserve">in subsequent years due to employee turnover or compromised electronic </w:t>
      </w:r>
      <w:r w:rsidRPr="00C70FE6" w:rsidR="00C70FE6">
        <w:t xml:space="preserve">signatures.  </w:t>
      </w:r>
      <w:bookmarkEnd w:id="34"/>
    </w:p>
    <w:p w:rsidR="00264AB2" w:rsidP="00264AB2" w:rsidRDefault="00264AB2" w14:paraId="38E63D58" w14:textId="3E8F66FB">
      <w:pPr>
        <w:pStyle w:val="BodyText"/>
      </w:pPr>
      <w:r w:rsidRPr="003C59BB">
        <w:rPr>
          <w:b/>
        </w:rPr>
        <w:t>Application Submission</w:t>
      </w:r>
      <w:r>
        <w:rPr>
          <w:b/>
        </w:rPr>
        <w:t xml:space="preserve"> (data element C)</w:t>
      </w:r>
      <w:r w:rsidRPr="003C59BB">
        <w:rPr>
          <w:b/>
        </w:rPr>
        <w:t>:</w:t>
      </w:r>
      <w:r w:rsidRPr="003C59BB">
        <w:t xml:space="preserve"> A</w:t>
      </w:r>
      <w:r w:rsidR="00822594">
        <w:t>ll a</w:t>
      </w:r>
      <w:r w:rsidRPr="003C59BB">
        <w:t xml:space="preserve">ccreditation bodies need to </w:t>
      </w:r>
      <w:r w:rsidR="00E2679A">
        <w:t xml:space="preserve">apply </w:t>
      </w:r>
      <w:r w:rsidR="009D2992">
        <w:t xml:space="preserve">to EPA </w:t>
      </w:r>
      <w:r w:rsidR="0088413E">
        <w:t xml:space="preserve">every </w:t>
      </w:r>
      <w:r w:rsidR="009D2992">
        <w:t xml:space="preserve">three </w:t>
      </w:r>
      <w:r w:rsidR="0088413E">
        <w:t xml:space="preserve">years </w:t>
      </w:r>
      <w:r w:rsidR="00F068D2">
        <w:t xml:space="preserve"> in order to </w:t>
      </w:r>
      <w:r w:rsidR="0088413E">
        <w:t xml:space="preserve">continue </w:t>
      </w:r>
      <w:r w:rsidR="00F068D2">
        <w:t>participat</w:t>
      </w:r>
      <w:r w:rsidR="0088413E">
        <w:t>ing</w:t>
      </w:r>
      <w:r w:rsidR="00F068D2">
        <w:t xml:space="preserve"> in the TSCA Title VI program</w:t>
      </w:r>
      <w:r w:rsidR="0088413E">
        <w:t>.</w:t>
      </w:r>
    </w:p>
    <w:p w:rsidRPr="003C59BB" w:rsidR="00264AB2" w:rsidP="00264AB2" w:rsidRDefault="00264AB2" w14:paraId="73CC38E0" w14:textId="6D0FA260">
      <w:pPr>
        <w:pStyle w:val="BodyText"/>
      </w:pPr>
      <w:r w:rsidRPr="003C59BB">
        <w:rPr>
          <w:b/>
        </w:rPr>
        <w:t>Notifications to EPA</w:t>
      </w:r>
      <w:r>
        <w:rPr>
          <w:b/>
        </w:rPr>
        <w:t xml:space="preserve"> (data elements D &amp; E)</w:t>
      </w:r>
      <w:r w:rsidRPr="003C59BB">
        <w:rPr>
          <w:b/>
        </w:rPr>
        <w:t xml:space="preserve">: </w:t>
      </w:r>
      <w:bookmarkStart w:name="_Hlk23258967" w:id="35"/>
      <w:r w:rsidRPr="003C59BB">
        <w:t xml:space="preserve">Accreditation bodies are required to </w:t>
      </w:r>
      <w:r w:rsidR="005B43A9">
        <w:t xml:space="preserve">notify </w:t>
      </w:r>
      <w:r w:rsidRPr="003C59BB">
        <w:t xml:space="preserve">EPA </w:t>
      </w:r>
      <w:r w:rsidR="005B43A9">
        <w:t>if they lose</w:t>
      </w:r>
      <w:r w:rsidRPr="003C59BB">
        <w:t xml:space="preserve"> signatory status</w:t>
      </w:r>
      <w:r w:rsidR="00645E0E">
        <w:t xml:space="preserve"> with their one of their oversight organization</w:t>
      </w:r>
      <w:r w:rsidR="00917119">
        <w:t>s</w:t>
      </w:r>
      <w:r w:rsidRPr="003C59BB">
        <w:t xml:space="preserve">; </w:t>
      </w:r>
      <w:r w:rsidR="005B43A9">
        <w:t xml:space="preserve">if they </w:t>
      </w:r>
      <w:r w:rsidR="0088413E">
        <w:t>suspen</w:t>
      </w:r>
      <w:r w:rsidR="005B43A9">
        <w:t xml:space="preserve">d, </w:t>
      </w:r>
      <w:r w:rsidR="0088413E">
        <w:t>reduc</w:t>
      </w:r>
      <w:r w:rsidR="005B43A9">
        <w:t xml:space="preserve">e </w:t>
      </w:r>
      <w:r w:rsidR="0088413E">
        <w:t xml:space="preserve">or withdraw a </w:t>
      </w:r>
      <w:r w:rsidRPr="003C59BB">
        <w:t>TPC</w:t>
      </w:r>
      <w:r w:rsidR="0088413E">
        <w:t>’s</w:t>
      </w:r>
      <w:r w:rsidRPr="003C59BB">
        <w:t xml:space="preserve"> accreditation; or </w:t>
      </w:r>
      <w:r w:rsidR="005B43A9">
        <w:t xml:space="preserve">if a </w:t>
      </w:r>
      <w:r w:rsidRPr="003C59BB">
        <w:t xml:space="preserve">TPC </w:t>
      </w:r>
      <w:r w:rsidR="005B43A9">
        <w:t>fails to comply with its requirements</w:t>
      </w:r>
      <w:r w:rsidRPr="003C59BB">
        <w:t>;</w:t>
      </w:r>
    </w:p>
    <w:bookmarkEnd w:id="35"/>
    <w:p w:rsidR="00264AB2" w:rsidP="00264AB2" w:rsidRDefault="00264AB2" w14:paraId="7CAED664" w14:textId="2A8ABEFC">
      <w:pPr>
        <w:pStyle w:val="BodyText"/>
      </w:pPr>
      <w:r w:rsidRPr="003C59BB">
        <w:rPr>
          <w:b/>
        </w:rPr>
        <w:t>Notification to TPC</w:t>
      </w:r>
      <w:r>
        <w:rPr>
          <w:b/>
        </w:rPr>
        <w:t xml:space="preserve"> (data element F)</w:t>
      </w:r>
      <w:r w:rsidRPr="003C59BB">
        <w:rPr>
          <w:b/>
        </w:rPr>
        <w:t>:</w:t>
      </w:r>
      <w:r w:rsidRPr="00B66039">
        <w:rPr>
          <w:rFonts w:ascii="Times New Roman" w:hAnsi="Times New Roman"/>
          <w:b/>
        </w:rPr>
        <w:t xml:space="preserve">  </w:t>
      </w:r>
      <w:bookmarkStart w:name="_Hlk23259045" w:id="36"/>
      <w:r w:rsidRPr="003C59BB">
        <w:t xml:space="preserve">Accreditation bodies are required to </w:t>
      </w:r>
      <w:r w:rsidR="00917119">
        <w:t xml:space="preserve">notify the </w:t>
      </w:r>
      <w:r w:rsidRPr="003C59BB">
        <w:t xml:space="preserve">TPCs </w:t>
      </w:r>
      <w:r w:rsidR="00917119">
        <w:t xml:space="preserve">they accredit </w:t>
      </w:r>
      <w:r w:rsidRPr="003C59BB">
        <w:t xml:space="preserve">if the </w:t>
      </w:r>
      <w:r w:rsidR="00F068D2">
        <w:t xml:space="preserve">AB </w:t>
      </w:r>
      <w:r w:rsidRPr="003C59BB">
        <w:t>withdraw</w:t>
      </w:r>
      <w:r w:rsidR="00F068D2">
        <w:t>s</w:t>
      </w:r>
      <w:r w:rsidRPr="003C59BB">
        <w:t xml:space="preserve"> or </w:t>
      </w:r>
      <w:r w:rsidR="00F068D2">
        <w:t xml:space="preserve">is </w:t>
      </w:r>
      <w:r w:rsidRPr="003C59BB">
        <w:t xml:space="preserve">removed from the </w:t>
      </w:r>
      <w:r w:rsidR="0088413E">
        <w:t xml:space="preserve">TSCA Title VI </w:t>
      </w:r>
      <w:r w:rsidRPr="003C59BB">
        <w:t>program</w:t>
      </w:r>
      <w:bookmarkEnd w:id="36"/>
      <w:r w:rsidRPr="003C59BB">
        <w:t>;</w:t>
      </w:r>
    </w:p>
    <w:p w:rsidRPr="00264AB2" w:rsidR="00264AB2" w:rsidP="00264AB2" w:rsidRDefault="00264AB2" w14:paraId="6715CD80" w14:textId="77777777">
      <w:pPr>
        <w:pStyle w:val="BodyText"/>
      </w:pPr>
      <w:r w:rsidRPr="005337F7">
        <w:rPr>
          <w:rFonts w:cs="Arial"/>
          <w:b/>
        </w:rPr>
        <w:t>Rec</w:t>
      </w:r>
      <w:r w:rsidRPr="00264AB2">
        <w:rPr>
          <w:b/>
        </w:rPr>
        <w:t xml:space="preserve">ordkeeping (data element G): </w:t>
      </w:r>
      <w:r w:rsidRPr="00264AB2">
        <w:t>Each EPA-recognized product AB must maintain</w:t>
      </w:r>
      <w:r w:rsidR="0088413E">
        <w:t xml:space="preserve"> for 3 years</w:t>
      </w:r>
      <w:r w:rsidRPr="00264AB2">
        <w:t>, in electronic form, checklists and other records documenting compliance with the requirements for assessment, reassessment, and surveillance on-site assessments of EPA-recognized TPCs.</w:t>
      </w:r>
      <w:r>
        <w:t xml:space="preserve"> </w:t>
      </w:r>
      <w:r w:rsidRPr="00264AB2">
        <w:t>Each EPA-recognized laboratory AB must maintain</w:t>
      </w:r>
      <w:r w:rsidR="0088413E">
        <w:t xml:space="preserve"> for 3 years</w:t>
      </w:r>
      <w:r w:rsidRPr="00264AB2">
        <w:t>, in electronic form, the checklists and other records documenting compliance with the requirements for assessment, reassessment, and surveillance on-site assessments of TPC laboratories.</w:t>
      </w:r>
    </w:p>
    <w:p w:rsidR="00264AB2" w:rsidP="00264AB2" w:rsidRDefault="00264AB2" w14:paraId="0FA28F8F" w14:textId="702E8073">
      <w:pPr>
        <w:pStyle w:val="BodyText"/>
      </w:pPr>
      <w:r w:rsidRPr="00264AB2">
        <w:rPr>
          <w:b/>
        </w:rPr>
        <w:t>Annual Report to EPA (data element H):</w:t>
      </w:r>
      <w:bookmarkStart w:name="_Hlk23259398" w:id="37"/>
      <w:r>
        <w:t xml:space="preserve"> EPA-r</w:t>
      </w:r>
      <w:r w:rsidRPr="00C44615">
        <w:t xml:space="preserve">ecognized product </w:t>
      </w:r>
      <w:r>
        <w:t>ABs</w:t>
      </w:r>
      <w:r w:rsidRPr="00C44615">
        <w:t xml:space="preserve"> </w:t>
      </w:r>
      <w:r w:rsidR="00FD1AE6">
        <w:t xml:space="preserve">are </w:t>
      </w:r>
      <w:r w:rsidRPr="00C44615">
        <w:t xml:space="preserve">required to submit an annual report to EPA </w:t>
      </w:r>
      <w:r w:rsidRPr="00EC5D5C">
        <w:t>on or before March 1st of each year for the AB services performed during the previous calendar year including the number and locations of assessment, reassessment, and surveillance on-site ass</w:t>
      </w:r>
      <w:r>
        <w:t xml:space="preserve">essments performed for each EPA-recognized </w:t>
      </w:r>
      <w:r w:rsidRPr="00EC5D5C">
        <w:t>TPC</w:t>
      </w:r>
    </w:p>
    <w:bookmarkEnd w:id="37"/>
    <w:p w:rsidRPr="003C59BB" w:rsidR="00264AB2" w:rsidP="00264AB2" w:rsidRDefault="00264AB2" w14:paraId="03088159" w14:textId="42714669">
      <w:pPr>
        <w:pStyle w:val="BodyText"/>
        <w:rPr>
          <w:b/>
        </w:rPr>
      </w:pPr>
      <w:r w:rsidRPr="003C59BB">
        <w:rPr>
          <w:b/>
        </w:rPr>
        <w:t>Assign a Registered Agent</w:t>
      </w:r>
      <w:r>
        <w:rPr>
          <w:b/>
        </w:rPr>
        <w:t xml:space="preserve"> (data element I)</w:t>
      </w:r>
      <w:r w:rsidRPr="003C59BB">
        <w:rPr>
          <w:b/>
        </w:rPr>
        <w:t>:</w:t>
      </w:r>
      <w:r>
        <w:rPr>
          <w:b/>
        </w:rPr>
        <w:t xml:space="preserve"> </w:t>
      </w:r>
      <w:bookmarkStart w:name="_Hlk23259534" w:id="38"/>
      <w:r w:rsidRPr="003C59BB">
        <w:t>Foreign ABs are required to designate an agent for service in the United States in their applications. The agent need</w:t>
      </w:r>
      <w:r w:rsidR="0088413E">
        <w:t>s</w:t>
      </w:r>
      <w:r w:rsidRPr="003C59BB">
        <w:t xml:space="preserve"> to be capable of accepting service of notices and processes made in administrative and judicial proceedings.</w:t>
      </w:r>
      <w:bookmarkEnd w:id="38"/>
    </w:p>
    <w:p w:rsidRPr="006A0E12" w:rsidR="00673434" w:rsidP="006A0E12" w:rsidRDefault="00035451" w14:paraId="16233234" w14:textId="4E24E671">
      <w:pPr>
        <w:pStyle w:val="BodyText"/>
      </w:pPr>
      <w:r>
        <w:t xml:space="preserve">See </w:t>
      </w:r>
      <w:r w:rsidR="00CD1AF1">
        <w:t xml:space="preserve">Attachment </w:t>
      </w:r>
      <w:r w:rsidR="00D4207E">
        <w:t>3</w:t>
      </w:r>
      <w:r w:rsidR="00D91E58">
        <w:t xml:space="preserve"> </w:t>
      </w:r>
      <w:r>
        <w:t xml:space="preserve">for a detailed description of the assumptions used to estimate the burden and cost estimates presented in the IC# </w:t>
      </w:r>
      <w:r w:rsidR="0088413E">
        <w:t>5</w:t>
      </w:r>
      <w:r>
        <w:t xml:space="preserve"> table below.</w:t>
      </w:r>
    </w:p>
    <w:tbl>
      <w:tblPr>
        <w:tblW w:w="972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4"/>
        <w:gridCol w:w="1357"/>
        <w:gridCol w:w="1177"/>
        <w:gridCol w:w="1007"/>
        <w:gridCol w:w="1620"/>
        <w:gridCol w:w="1530"/>
        <w:gridCol w:w="1350"/>
      </w:tblGrid>
      <w:tr w:rsidRPr="0057276A" w:rsidR="004E4E65" w:rsidTr="006F49C8" w14:paraId="0132BA82" w14:textId="77777777">
        <w:tc>
          <w:tcPr>
            <w:tcW w:w="9725" w:type="dxa"/>
            <w:gridSpan w:val="7"/>
            <w:shd w:val="clear" w:color="auto" w:fill="BFBFBF" w:themeFill="background1" w:themeFillShade="BF"/>
            <w:vAlign w:val="center"/>
            <w:hideMark/>
          </w:tcPr>
          <w:p w:rsidRPr="00035451" w:rsidR="004E4E65" w:rsidP="00D4207E" w:rsidRDefault="004E4E65" w14:paraId="4A999695" w14:textId="4E9E0224">
            <w:pPr>
              <w:keepNext/>
              <w:keepLines/>
              <w:rPr>
                <w:rFonts w:eastAsia="Times New Roman" w:cs="Arial"/>
                <w:b/>
                <w:bCs/>
                <w:color w:val="000000"/>
                <w:sz w:val="22"/>
              </w:rPr>
            </w:pPr>
            <w:r w:rsidRPr="00035451">
              <w:rPr>
                <w:rFonts w:eastAsia="Times New Roman" w:cs="Arial"/>
                <w:b/>
                <w:bCs/>
                <w:color w:val="000000"/>
                <w:sz w:val="22"/>
              </w:rPr>
              <w:lastRenderedPageBreak/>
              <w:t xml:space="preserve">IC# </w:t>
            </w:r>
            <w:r w:rsidR="0088413E">
              <w:rPr>
                <w:rFonts w:eastAsia="Times New Roman" w:cs="Arial"/>
                <w:b/>
                <w:bCs/>
                <w:color w:val="000000"/>
                <w:sz w:val="22"/>
              </w:rPr>
              <w:t>5</w:t>
            </w:r>
            <w:r w:rsidRPr="00035451">
              <w:rPr>
                <w:rFonts w:eastAsia="Times New Roman" w:cs="Arial"/>
                <w:b/>
                <w:bCs/>
                <w:color w:val="000000"/>
                <w:sz w:val="22"/>
              </w:rPr>
              <w:t xml:space="preserve">. </w:t>
            </w:r>
            <w:r w:rsidRPr="00035451" w:rsidR="00E62ECE">
              <w:rPr>
                <w:rFonts w:eastAsia="Times New Roman" w:cs="Arial"/>
                <w:b/>
                <w:bCs/>
                <w:color w:val="000000"/>
                <w:sz w:val="22"/>
              </w:rPr>
              <w:t xml:space="preserve">Recordkeeping and Reporting Activities for </w:t>
            </w:r>
            <w:r w:rsidRPr="00035451" w:rsidR="004043CF">
              <w:rPr>
                <w:rFonts w:eastAsia="Times New Roman" w:cs="Arial"/>
                <w:b/>
                <w:bCs/>
                <w:color w:val="000000"/>
                <w:sz w:val="22"/>
              </w:rPr>
              <w:t>Accrediting Bodies</w:t>
            </w:r>
            <w:r w:rsidRPr="00035451">
              <w:rPr>
                <w:rFonts w:eastAsia="Times New Roman" w:cs="Arial"/>
                <w:b/>
                <w:bCs/>
                <w:color w:val="000000"/>
                <w:sz w:val="22"/>
              </w:rPr>
              <w:t> </w:t>
            </w:r>
          </w:p>
        </w:tc>
      </w:tr>
      <w:tr w:rsidRPr="0057276A" w:rsidR="002D1C42" w:rsidTr="006F49C8" w14:paraId="407FEDDD" w14:textId="77777777">
        <w:tc>
          <w:tcPr>
            <w:tcW w:w="9725" w:type="dxa"/>
            <w:gridSpan w:val="7"/>
            <w:shd w:val="clear" w:color="auto" w:fill="BFBFBF" w:themeFill="background1" w:themeFillShade="BF"/>
            <w:vAlign w:val="center"/>
            <w:hideMark/>
          </w:tcPr>
          <w:p w:rsidRPr="00035451" w:rsidR="002D1C42" w:rsidP="00C11C35" w:rsidRDefault="002D1C42" w14:paraId="4FC12A48" w14:textId="6E1A42CC">
            <w:pPr>
              <w:keepNext/>
              <w:keepLines/>
              <w:jc w:val="center"/>
              <w:rPr>
                <w:rFonts w:eastAsia="Times New Roman" w:cs="Arial"/>
                <w:b/>
                <w:bCs/>
                <w:color w:val="000000"/>
                <w:sz w:val="22"/>
              </w:rPr>
            </w:pPr>
            <w:r w:rsidRPr="00035451">
              <w:rPr>
                <w:rFonts w:eastAsia="Times New Roman" w:cs="Arial"/>
                <w:b/>
                <w:bCs/>
                <w:color w:val="000000"/>
                <w:sz w:val="22"/>
              </w:rPr>
              <w:t>Citation: 40 C</w:t>
            </w:r>
            <w:r w:rsidRPr="000A1B41">
              <w:rPr>
                <w:rFonts w:eastAsia="Times New Roman" w:cs="Arial"/>
                <w:b/>
                <w:bCs/>
                <w:color w:val="000000"/>
                <w:sz w:val="22"/>
              </w:rPr>
              <w:t xml:space="preserve">FR </w:t>
            </w:r>
            <w:r w:rsidRPr="000A1B41" w:rsidR="00035451">
              <w:rPr>
                <w:rFonts w:eastAsia="Times New Roman" w:cs="Arial"/>
                <w:b/>
                <w:bCs/>
                <w:color w:val="000000"/>
                <w:sz w:val="22"/>
              </w:rPr>
              <w:t>770</w:t>
            </w:r>
          </w:p>
        </w:tc>
      </w:tr>
      <w:tr w:rsidRPr="0057276A" w:rsidR="00972548" w:rsidTr="006F49C8" w14:paraId="7A7CE81A" w14:textId="77777777">
        <w:tc>
          <w:tcPr>
            <w:tcW w:w="1684" w:type="dxa"/>
            <w:shd w:val="clear" w:color="auto" w:fill="BFBFBF" w:themeFill="background1" w:themeFillShade="BF"/>
            <w:vAlign w:val="center"/>
            <w:hideMark/>
          </w:tcPr>
          <w:p w:rsidRPr="00C11C35" w:rsidR="00972548" w:rsidP="00972548" w:rsidRDefault="00972548" w14:paraId="06D50BBC" w14:textId="77777777">
            <w:pPr>
              <w:keepNext/>
              <w:keepLines/>
              <w:rPr>
                <w:rFonts w:eastAsia="Times New Roman" w:cs="Arial"/>
                <w:b/>
                <w:bCs/>
                <w:sz w:val="18"/>
                <w:szCs w:val="18"/>
              </w:rPr>
            </w:pPr>
            <w:r w:rsidRPr="00C11C35">
              <w:rPr>
                <w:rFonts w:eastAsia="Times New Roman" w:cs="Arial"/>
                <w:b/>
                <w:bCs/>
                <w:sz w:val="18"/>
                <w:szCs w:val="18"/>
              </w:rPr>
              <w:t>Data Element</w:t>
            </w:r>
          </w:p>
        </w:tc>
        <w:tc>
          <w:tcPr>
            <w:tcW w:w="1357" w:type="dxa"/>
            <w:tcBorders>
              <w:bottom w:val="single" w:color="auto" w:sz="4" w:space="0"/>
            </w:tcBorders>
            <w:shd w:val="clear" w:color="auto" w:fill="BFBFBF" w:themeFill="background1" w:themeFillShade="BF"/>
            <w:vAlign w:val="center"/>
            <w:hideMark/>
          </w:tcPr>
          <w:p w:rsidRPr="00C11C35" w:rsidR="00972548" w:rsidP="00972548" w:rsidRDefault="00972548" w14:paraId="63D5D6DF" w14:textId="579E555A">
            <w:pPr>
              <w:keepNext/>
              <w:keepLines/>
              <w:jc w:val="center"/>
              <w:rPr>
                <w:rFonts w:eastAsia="Times New Roman" w:cs="Arial"/>
                <w:b/>
                <w:bCs/>
                <w:sz w:val="18"/>
                <w:szCs w:val="18"/>
              </w:rPr>
            </w:pPr>
            <w:r w:rsidRPr="009176B4">
              <w:rPr>
                <w:rFonts w:eastAsia="Times New Roman" w:cs="Arial"/>
                <w:b/>
                <w:bCs/>
                <w:sz w:val="18"/>
                <w:szCs w:val="18"/>
              </w:rPr>
              <w:t>Respondents</w:t>
            </w:r>
          </w:p>
        </w:tc>
        <w:tc>
          <w:tcPr>
            <w:tcW w:w="1177" w:type="dxa"/>
            <w:shd w:val="clear" w:color="auto" w:fill="BFBFBF" w:themeFill="background1" w:themeFillShade="BF"/>
            <w:vAlign w:val="center"/>
            <w:hideMark/>
          </w:tcPr>
          <w:p w:rsidRPr="00C11C35" w:rsidR="00972548" w:rsidP="00972548" w:rsidRDefault="00972548" w14:paraId="1DA102A1" w14:textId="7BA1853C">
            <w:pPr>
              <w:keepNext/>
              <w:keepLines/>
              <w:jc w:val="center"/>
              <w:rPr>
                <w:rFonts w:eastAsia="Times New Roman" w:cs="Arial"/>
                <w:b/>
                <w:bCs/>
                <w:sz w:val="18"/>
                <w:szCs w:val="18"/>
              </w:rPr>
            </w:pPr>
            <w:r w:rsidRPr="009176B4">
              <w:rPr>
                <w:rFonts w:eastAsia="Times New Roman" w:cs="Arial"/>
                <w:b/>
                <w:bCs/>
                <w:sz w:val="18"/>
                <w:szCs w:val="18"/>
              </w:rPr>
              <w:t>Responses</w:t>
            </w:r>
          </w:p>
        </w:tc>
        <w:tc>
          <w:tcPr>
            <w:tcW w:w="1007" w:type="dxa"/>
            <w:shd w:val="clear" w:color="auto" w:fill="BFBFBF" w:themeFill="background1" w:themeFillShade="BF"/>
            <w:vAlign w:val="center"/>
            <w:hideMark/>
          </w:tcPr>
          <w:p w:rsidRPr="00C11C35" w:rsidR="00972548" w:rsidP="00972548" w:rsidRDefault="00972548" w14:paraId="44EE9741" w14:textId="413B1027">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Burden</w:t>
            </w:r>
            <w:r>
              <w:rPr>
                <w:rFonts w:eastAsia="Times New Roman" w:cs="Arial"/>
                <w:b/>
                <w:bCs/>
                <w:sz w:val="18"/>
                <w:szCs w:val="18"/>
              </w:rPr>
              <w:t xml:space="preserve"> </w:t>
            </w:r>
            <w:r w:rsidR="00525D83">
              <w:rPr>
                <w:rFonts w:eastAsia="Times New Roman" w:cs="Arial"/>
                <w:b/>
                <w:bCs/>
                <w:sz w:val="18"/>
                <w:szCs w:val="18"/>
              </w:rPr>
              <w:t>(</w:t>
            </w:r>
            <w:r>
              <w:rPr>
                <w:rFonts w:eastAsia="Times New Roman" w:cs="Arial"/>
                <w:b/>
                <w:bCs/>
                <w:sz w:val="18"/>
                <w:szCs w:val="18"/>
              </w:rPr>
              <w:t>Hours</w:t>
            </w:r>
            <w:r w:rsidR="00525D83">
              <w:rPr>
                <w:rFonts w:eastAsia="Times New Roman" w:cs="Arial"/>
                <w:b/>
                <w:bCs/>
                <w:sz w:val="18"/>
                <w:szCs w:val="18"/>
              </w:rPr>
              <w:t>)</w:t>
            </w:r>
          </w:p>
        </w:tc>
        <w:tc>
          <w:tcPr>
            <w:tcW w:w="1620" w:type="dxa"/>
            <w:shd w:val="clear" w:color="auto" w:fill="BFBFBF" w:themeFill="background1" w:themeFillShade="BF"/>
            <w:vAlign w:val="center"/>
            <w:hideMark/>
          </w:tcPr>
          <w:p w:rsidRPr="00C11C35" w:rsidR="00972548" w:rsidP="00972548" w:rsidRDefault="00972548" w14:paraId="102D7E5F" w14:textId="6E51F9A6">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Labor Cost</w:t>
            </w:r>
          </w:p>
        </w:tc>
        <w:tc>
          <w:tcPr>
            <w:tcW w:w="1530" w:type="dxa"/>
            <w:shd w:val="clear" w:color="auto" w:fill="BFBFBF" w:themeFill="background1" w:themeFillShade="BF"/>
            <w:vAlign w:val="center"/>
            <w:hideMark/>
          </w:tcPr>
          <w:p w:rsidRPr="00C11C35" w:rsidR="00972548" w:rsidP="00972548" w:rsidRDefault="00972548" w14:paraId="3C55A940" w14:textId="0045FA22">
            <w:pPr>
              <w:keepNext/>
              <w:keepLines/>
              <w:jc w:val="center"/>
              <w:rPr>
                <w:rFonts w:eastAsia="Times New Roman" w:cs="Arial"/>
                <w:b/>
                <w:bCs/>
                <w:sz w:val="18"/>
                <w:szCs w:val="18"/>
              </w:rPr>
            </w:pPr>
            <w:r>
              <w:rPr>
                <w:rFonts w:eastAsia="Times New Roman" w:cs="Arial"/>
                <w:b/>
                <w:bCs/>
                <w:sz w:val="18"/>
                <w:szCs w:val="18"/>
              </w:rPr>
              <w:t xml:space="preserve">Total Non-Labor </w:t>
            </w:r>
            <w:r w:rsidRPr="009176B4">
              <w:rPr>
                <w:rFonts w:eastAsia="Times New Roman" w:cs="Arial"/>
                <w:b/>
                <w:bCs/>
                <w:sz w:val="18"/>
                <w:szCs w:val="18"/>
              </w:rPr>
              <w:t xml:space="preserve"> Cost</w:t>
            </w:r>
          </w:p>
        </w:tc>
        <w:tc>
          <w:tcPr>
            <w:tcW w:w="1350" w:type="dxa"/>
            <w:shd w:val="clear" w:color="auto" w:fill="BFBFBF" w:themeFill="background1" w:themeFillShade="BF"/>
            <w:vAlign w:val="center"/>
            <w:hideMark/>
          </w:tcPr>
          <w:p w:rsidRPr="00C11C35" w:rsidR="00972548" w:rsidP="00972548" w:rsidRDefault="00972548" w14:paraId="3D4AD291" w14:textId="7CD26DF8">
            <w:pPr>
              <w:keepNext/>
              <w:keepLines/>
              <w:jc w:val="center"/>
              <w:rPr>
                <w:rFonts w:eastAsia="Times New Roman" w:cs="Arial"/>
                <w:b/>
                <w:bCs/>
                <w:sz w:val="18"/>
                <w:szCs w:val="18"/>
              </w:rPr>
            </w:pPr>
            <w:r w:rsidRPr="009176B4">
              <w:rPr>
                <w:rFonts w:eastAsia="Times New Roman" w:cs="Arial"/>
                <w:b/>
                <w:bCs/>
                <w:sz w:val="18"/>
                <w:szCs w:val="18"/>
              </w:rPr>
              <w:t>Total Cost</w:t>
            </w:r>
          </w:p>
        </w:tc>
      </w:tr>
      <w:tr w:rsidRPr="0057276A" w:rsidR="002750AF" w:rsidTr="006F49C8" w14:paraId="01928217" w14:textId="77777777">
        <w:tc>
          <w:tcPr>
            <w:tcW w:w="1684" w:type="dxa"/>
            <w:shd w:val="clear" w:color="auto" w:fill="auto"/>
            <w:vAlign w:val="center"/>
            <w:hideMark/>
          </w:tcPr>
          <w:p w:rsidRPr="0088413E" w:rsidR="002750AF" w:rsidP="002750AF" w:rsidRDefault="002750AF" w14:paraId="0568C2BA" w14:textId="34D43F18">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 xml:space="preserve">CDX Registration </w:t>
            </w:r>
            <w:r>
              <w:rPr>
                <w:rFonts w:cs="Arial"/>
                <w:color w:val="000000"/>
                <w:sz w:val="18"/>
                <w:szCs w:val="18"/>
              </w:rPr>
              <w:t>Electronically</w:t>
            </w:r>
          </w:p>
          <w:p w:rsidRPr="00EE0378" w:rsidR="002750AF" w:rsidP="002750AF" w:rsidRDefault="002750AF" w14:paraId="24E12F13" w14:textId="1EC4F7F2">
            <w:pPr>
              <w:pStyle w:val="ListParagraph"/>
              <w:keepNext/>
              <w:keepLines/>
              <w:ind w:left="257"/>
              <w:rPr>
                <w:rFonts w:eastAsia="Times New Roman" w:cs="Arial"/>
                <w:color w:val="000000"/>
                <w:sz w:val="18"/>
                <w:szCs w:val="18"/>
              </w:rPr>
            </w:pPr>
            <w:r w:rsidRPr="00EE0378">
              <w:rPr>
                <w:rFonts w:cs="Arial"/>
                <w:color w:val="000000"/>
                <w:sz w:val="18"/>
                <w:szCs w:val="18"/>
              </w:rPr>
              <w:t>(domestic</w:t>
            </w:r>
            <w:r>
              <w:rPr>
                <w:rFonts w:cs="Arial"/>
                <w:color w:val="000000"/>
                <w:sz w:val="18"/>
                <w:szCs w:val="18"/>
              </w:rPr>
              <w:t xml:space="preserve"> ABs</w:t>
            </w:r>
            <w:r w:rsidRPr="00EE0378">
              <w:rPr>
                <w:rFonts w:cs="Arial"/>
                <w:color w:val="000000"/>
                <w:sz w:val="18"/>
                <w:szCs w:val="18"/>
              </w:rPr>
              <w:t>)</w:t>
            </w:r>
          </w:p>
        </w:tc>
        <w:tc>
          <w:tcPr>
            <w:tcW w:w="1357" w:type="dxa"/>
            <w:shd w:val="clear" w:color="auto" w:fill="auto"/>
            <w:vAlign w:val="center"/>
          </w:tcPr>
          <w:p w:rsidRPr="002750AF" w:rsidR="002750AF" w:rsidP="002750AF" w:rsidRDefault="002750AF" w14:paraId="056E8DE1" w14:textId="28E5615E">
            <w:pPr>
              <w:keepNext/>
              <w:keepLines/>
              <w:jc w:val="right"/>
              <w:rPr>
                <w:rFonts w:cs="Arial"/>
                <w:color w:val="000000"/>
                <w:sz w:val="18"/>
                <w:szCs w:val="18"/>
              </w:rPr>
            </w:pPr>
            <w:r>
              <w:rPr>
                <w:rFonts w:cs="Arial"/>
                <w:color w:val="000000"/>
                <w:sz w:val="18"/>
                <w:szCs w:val="18"/>
              </w:rPr>
              <w:t>4</w:t>
            </w:r>
          </w:p>
        </w:tc>
        <w:tc>
          <w:tcPr>
            <w:tcW w:w="1177" w:type="dxa"/>
            <w:shd w:val="clear" w:color="auto" w:fill="auto"/>
            <w:vAlign w:val="center"/>
            <w:hideMark/>
          </w:tcPr>
          <w:p w:rsidRPr="002750AF" w:rsidR="002750AF" w:rsidP="002750AF" w:rsidRDefault="002750AF" w14:paraId="7D45979F" w14:textId="458DCA34">
            <w:pPr>
              <w:keepNext/>
              <w:keepLines/>
              <w:jc w:val="right"/>
              <w:rPr>
                <w:rFonts w:cs="Arial"/>
                <w:color w:val="000000"/>
                <w:sz w:val="18"/>
                <w:szCs w:val="18"/>
              </w:rPr>
            </w:pPr>
            <w:r>
              <w:rPr>
                <w:rFonts w:cs="Arial"/>
                <w:color w:val="000000"/>
                <w:sz w:val="18"/>
                <w:szCs w:val="18"/>
              </w:rPr>
              <w:t>1</w:t>
            </w:r>
          </w:p>
        </w:tc>
        <w:tc>
          <w:tcPr>
            <w:tcW w:w="1007" w:type="dxa"/>
            <w:shd w:val="clear" w:color="auto" w:fill="auto"/>
            <w:vAlign w:val="center"/>
            <w:hideMark/>
          </w:tcPr>
          <w:p w:rsidRPr="002750AF" w:rsidR="002750AF" w:rsidP="002750AF" w:rsidRDefault="002750AF" w14:paraId="71D6B960" w14:textId="0516BE5A">
            <w:pPr>
              <w:keepNext/>
              <w:keepLines/>
              <w:jc w:val="right"/>
              <w:rPr>
                <w:rFonts w:cs="Arial"/>
                <w:color w:val="000000"/>
                <w:sz w:val="18"/>
                <w:szCs w:val="18"/>
              </w:rPr>
            </w:pPr>
            <w:r>
              <w:rPr>
                <w:rFonts w:cs="Arial"/>
                <w:color w:val="000000"/>
                <w:sz w:val="18"/>
                <w:szCs w:val="18"/>
              </w:rPr>
              <w:t>0.588</w:t>
            </w:r>
          </w:p>
        </w:tc>
        <w:tc>
          <w:tcPr>
            <w:tcW w:w="1620" w:type="dxa"/>
            <w:shd w:val="clear" w:color="auto" w:fill="auto"/>
            <w:vAlign w:val="center"/>
            <w:hideMark/>
          </w:tcPr>
          <w:p w:rsidRPr="002750AF" w:rsidR="002750AF" w:rsidP="002750AF" w:rsidRDefault="002750AF" w14:paraId="55929993" w14:textId="5FA4A101">
            <w:pPr>
              <w:keepNext/>
              <w:keepLines/>
              <w:jc w:val="right"/>
              <w:rPr>
                <w:rFonts w:cs="Arial"/>
                <w:color w:val="000000"/>
                <w:sz w:val="18"/>
                <w:szCs w:val="18"/>
              </w:rPr>
            </w:pPr>
            <w:r w:rsidRPr="002750AF">
              <w:rPr>
                <w:rFonts w:cs="Arial"/>
                <w:color w:val="000000"/>
                <w:sz w:val="18"/>
                <w:szCs w:val="18"/>
              </w:rPr>
              <w:t xml:space="preserve">$41.44 </w:t>
            </w:r>
          </w:p>
        </w:tc>
        <w:tc>
          <w:tcPr>
            <w:tcW w:w="1530" w:type="dxa"/>
            <w:shd w:val="clear" w:color="auto" w:fill="auto"/>
            <w:vAlign w:val="center"/>
            <w:hideMark/>
          </w:tcPr>
          <w:p w:rsidRPr="002750AF" w:rsidR="002750AF" w:rsidP="002750AF" w:rsidRDefault="002750AF" w14:paraId="741A866C" w14:textId="1F2C42B8">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hideMark/>
          </w:tcPr>
          <w:p w:rsidRPr="002750AF" w:rsidR="002750AF" w:rsidP="002750AF" w:rsidRDefault="002750AF" w14:paraId="38A3DE43" w14:textId="5B303213">
            <w:pPr>
              <w:keepNext/>
              <w:keepLines/>
              <w:jc w:val="right"/>
              <w:rPr>
                <w:rFonts w:cs="Arial"/>
                <w:color w:val="000000"/>
                <w:sz w:val="18"/>
                <w:szCs w:val="18"/>
              </w:rPr>
            </w:pPr>
            <w:r w:rsidRPr="002750AF">
              <w:rPr>
                <w:rFonts w:cs="Arial"/>
                <w:color w:val="000000"/>
                <w:sz w:val="18"/>
                <w:szCs w:val="18"/>
              </w:rPr>
              <w:t xml:space="preserve">$41.44 </w:t>
            </w:r>
          </w:p>
        </w:tc>
      </w:tr>
      <w:tr w:rsidRPr="0057276A" w:rsidR="002750AF" w:rsidTr="006F49C8" w14:paraId="1E8B5FFC" w14:textId="77777777">
        <w:tc>
          <w:tcPr>
            <w:tcW w:w="1684" w:type="dxa"/>
            <w:shd w:val="clear" w:color="auto" w:fill="auto"/>
            <w:vAlign w:val="center"/>
            <w:hideMark/>
          </w:tcPr>
          <w:p w:rsidRPr="0088413E" w:rsidR="002750AF" w:rsidP="002750AF" w:rsidRDefault="002750AF" w14:paraId="554E9D8E" w14:textId="1CE0E470">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 xml:space="preserve">CDX Registration </w:t>
            </w:r>
            <w:r>
              <w:rPr>
                <w:rFonts w:cs="Arial"/>
                <w:color w:val="000000"/>
                <w:sz w:val="18"/>
                <w:szCs w:val="18"/>
              </w:rPr>
              <w:t>by Paper</w:t>
            </w:r>
          </w:p>
          <w:p w:rsidRPr="00EE0378" w:rsidR="002750AF" w:rsidP="002750AF" w:rsidRDefault="002750AF" w14:paraId="6C956659" w14:textId="1F031BCF">
            <w:pPr>
              <w:pStyle w:val="ListParagraph"/>
              <w:keepNext/>
              <w:keepLines/>
              <w:ind w:left="257"/>
              <w:rPr>
                <w:rFonts w:eastAsia="Times New Roman" w:cs="Arial"/>
                <w:color w:val="000000"/>
                <w:sz w:val="18"/>
                <w:szCs w:val="18"/>
              </w:rPr>
            </w:pPr>
            <w:r w:rsidRPr="00EE0378">
              <w:rPr>
                <w:rFonts w:cs="Arial"/>
                <w:color w:val="000000"/>
                <w:sz w:val="18"/>
                <w:szCs w:val="18"/>
              </w:rPr>
              <w:t>(foreign</w:t>
            </w:r>
            <w:r>
              <w:rPr>
                <w:rFonts w:cs="Arial"/>
                <w:color w:val="000000"/>
                <w:sz w:val="18"/>
                <w:szCs w:val="18"/>
              </w:rPr>
              <w:t xml:space="preserve"> ABs</w:t>
            </w:r>
            <w:r w:rsidRPr="00EE0378">
              <w:rPr>
                <w:rFonts w:cs="Arial"/>
                <w:color w:val="000000"/>
                <w:sz w:val="18"/>
                <w:szCs w:val="18"/>
              </w:rPr>
              <w:t>)</w:t>
            </w:r>
          </w:p>
        </w:tc>
        <w:tc>
          <w:tcPr>
            <w:tcW w:w="1357" w:type="dxa"/>
            <w:shd w:val="clear" w:color="auto" w:fill="auto"/>
            <w:vAlign w:val="center"/>
          </w:tcPr>
          <w:p w:rsidRPr="002750AF" w:rsidR="002750AF" w:rsidP="002750AF" w:rsidRDefault="002750AF" w14:paraId="01B61438" w14:textId="4390DBB9">
            <w:pPr>
              <w:keepNext/>
              <w:keepLines/>
              <w:jc w:val="right"/>
              <w:rPr>
                <w:rFonts w:cs="Arial"/>
                <w:color w:val="000000"/>
                <w:sz w:val="18"/>
                <w:szCs w:val="18"/>
              </w:rPr>
            </w:pPr>
            <w:r>
              <w:rPr>
                <w:rFonts w:cs="Arial"/>
                <w:color w:val="000000"/>
                <w:sz w:val="18"/>
                <w:szCs w:val="18"/>
              </w:rPr>
              <w:t>10</w:t>
            </w:r>
          </w:p>
        </w:tc>
        <w:tc>
          <w:tcPr>
            <w:tcW w:w="1177" w:type="dxa"/>
            <w:shd w:val="clear" w:color="auto" w:fill="auto"/>
            <w:vAlign w:val="center"/>
            <w:hideMark/>
          </w:tcPr>
          <w:p w:rsidRPr="002750AF" w:rsidR="002750AF" w:rsidP="002750AF" w:rsidRDefault="002750AF" w14:paraId="4132505B" w14:textId="63DAA314">
            <w:pPr>
              <w:keepNext/>
              <w:keepLines/>
              <w:jc w:val="right"/>
              <w:rPr>
                <w:rFonts w:cs="Arial"/>
                <w:color w:val="000000"/>
                <w:sz w:val="18"/>
                <w:szCs w:val="18"/>
              </w:rPr>
            </w:pPr>
            <w:r>
              <w:rPr>
                <w:rFonts w:cs="Arial"/>
                <w:color w:val="000000"/>
                <w:sz w:val="18"/>
                <w:szCs w:val="18"/>
              </w:rPr>
              <w:t>3</w:t>
            </w:r>
          </w:p>
        </w:tc>
        <w:tc>
          <w:tcPr>
            <w:tcW w:w="1007" w:type="dxa"/>
            <w:shd w:val="clear" w:color="auto" w:fill="auto"/>
            <w:vAlign w:val="center"/>
            <w:hideMark/>
          </w:tcPr>
          <w:p w:rsidRPr="002750AF" w:rsidR="002750AF" w:rsidP="002750AF" w:rsidRDefault="002750AF" w14:paraId="42418CC0" w14:textId="3B6806AF">
            <w:pPr>
              <w:keepNext/>
              <w:keepLines/>
              <w:jc w:val="right"/>
              <w:rPr>
                <w:rFonts w:cs="Arial"/>
                <w:color w:val="000000"/>
                <w:sz w:val="18"/>
                <w:szCs w:val="18"/>
              </w:rPr>
            </w:pPr>
            <w:r>
              <w:rPr>
                <w:rFonts w:cs="Arial"/>
                <w:color w:val="000000"/>
                <w:sz w:val="18"/>
                <w:szCs w:val="18"/>
              </w:rPr>
              <w:t>1.55</w:t>
            </w:r>
          </w:p>
        </w:tc>
        <w:tc>
          <w:tcPr>
            <w:tcW w:w="1620" w:type="dxa"/>
            <w:shd w:val="clear" w:color="auto" w:fill="auto"/>
            <w:vAlign w:val="center"/>
            <w:hideMark/>
          </w:tcPr>
          <w:p w:rsidRPr="002750AF" w:rsidR="002750AF" w:rsidP="002750AF" w:rsidRDefault="002750AF" w14:paraId="67C17C7C" w14:textId="2EDCA0F5">
            <w:pPr>
              <w:keepNext/>
              <w:keepLines/>
              <w:jc w:val="right"/>
              <w:rPr>
                <w:rFonts w:cs="Arial"/>
                <w:color w:val="000000"/>
                <w:sz w:val="18"/>
                <w:szCs w:val="18"/>
              </w:rPr>
            </w:pPr>
            <w:r w:rsidRPr="002750AF">
              <w:rPr>
                <w:rFonts w:cs="Arial"/>
                <w:color w:val="000000"/>
                <w:sz w:val="18"/>
                <w:szCs w:val="18"/>
              </w:rPr>
              <w:t xml:space="preserve">$109.85 </w:t>
            </w:r>
          </w:p>
        </w:tc>
        <w:tc>
          <w:tcPr>
            <w:tcW w:w="1530" w:type="dxa"/>
            <w:shd w:val="clear" w:color="auto" w:fill="auto"/>
            <w:vAlign w:val="center"/>
            <w:hideMark/>
          </w:tcPr>
          <w:p w:rsidRPr="002750AF" w:rsidR="002750AF" w:rsidP="002750AF" w:rsidRDefault="002750AF" w14:paraId="04D19FFB" w14:textId="657219EE">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hideMark/>
          </w:tcPr>
          <w:p w:rsidRPr="002750AF" w:rsidR="002750AF" w:rsidP="002750AF" w:rsidRDefault="002750AF" w14:paraId="78F3081E" w14:textId="3E23798D">
            <w:pPr>
              <w:keepNext/>
              <w:keepLines/>
              <w:jc w:val="right"/>
              <w:rPr>
                <w:rFonts w:cs="Arial"/>
                <w:color w:val="000000"/>
                <w:sz w:val="18"/>
                <w:szCs w:val="18"/>
              </w:rPr>
            </w:pPr>
            <w:r w:rsidRPr="002750AF">
              <w:rPr>
                <w:rFonts w:cs="Arial"/>
                <w:color w:val="000000"/>
                <w:sz w:val="18"/>
                <w:szCs w:val="18"/>
              </w:rPr>
              <w:t xml:space="preserve">$109.85 </w:t>
            </w:r>
          </w:p>
        </w:tc>
      </w:tr>
      <w:tr w:rsidRPr="0057276A" w:rsidR="002750AF" w:rsidTr="006F49C8" w14:paraId="1A743B36" w14:textId="77777777">
        <w:tc>
          <w:tcPr>
            <w:tcW w:w="1684" w:type="dxa"/>
            <w:shd w:val="clear" w:color="auto" w:fill="auto"/>
            <w:vAlign w:val="center"/>
            <w:hideMark/>
          </w:tcPr>
          <w:p w:rsidRPr="000D1D90" w:rsidR="002750AF" w:rsidP="002750AF" w:rsidRDefault="002750AF" w14:paraId="2BA2805F"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Application Submission</w:t>
            </w:r>
            <w:r>
              <w:rPr>
                <w:rFonts w:cs="Arial"/>
                <w:color w:val="000000"/>
                <w:sz w:val="18"/>
                <w:szCs w:val="18"/>
              </w:rPr>
              <w:t xml:space="preserve"> </w:t>
            </w:r>
          </w:p>
          <w:p w:rsidRPr="00EE0378" w:rsidR="002750AF" w:rsidP="002750AF" w:rsidRDefault="002750AF" w14:paraId="63EE0E67" w14:textId="51B86FB6">
            <w:pPr>
              <w:pStyle w:val="ListParagraph"/>
              <w:keepNext/>
              <w:keepLines/>
              <w:ind w:left="257"/>
              <w:rPr>
                <w:rFonts w:eastAsia="Times New Roman" w:cs="Arial"/>
                <w:color w:val="000000"/>
                <w:sz w:val="18"/>
                <w:szCs w:val="18"/>
              </w:rPr>
            </w:pPr>
            <w:r>
              <w:rPr>
                <w:rFonts w:cs="Arial"/>
                <w:color w:val="000000"/>
                <w:sz w:val="18"/>
                <w:szCs w:val="18"/>
              </w:rPr>
              <w:t>(all ABs)</w:t>
            </w:r>
          </w:p>
        </w:tc>
        <w:tc>
          <w:tcPr>
            <w:tcW w:w="1357" w:type="dxa"/>
            <w:shd w:val="clear" w:color="auto" w:fill="auto"/>
            <w:vAlign w:val="center"/>
          </w:tcPr>
          <w:p w:rsidRPr="002750AF" w:rsidR="002750AF" w:rsidP="002750AF" w:rsidRDefault="002750AF" w14:paraId="508ECBD8" w14:textId="4425D87C">
            <w:pPr>
              <w:keepNext/>
              <w:keepLines/>
              <w:jc w:val="right"/>
              <w:rPr>
                <w:rFonts w:cs="Arial"/>
                <w:color w:val="000000"/>
                <w:sz w:val="18"/>
                <w:szCs w:val="18"/>
              </w:rPr>
            </w:pPr>
            <w:r>
              <w:rPr>
                <w:rFonts w:cs="Arial"/>
                <w:color w:val="000000"/>
                <w:sz w:val="18"/>
                <w:szCs w:val="18"/>
              </w:rPr>
              <w:t>14</w:t>
            </w:r>
          </w:p>
        </w:tc>
        <w:tc>
          <w:tcPr>
            <w:tcW w:w="1177" w:type="dxa"/>
            <w:shd w:val="clear" w:color="auto" w:fill="auto"/>
            <w:vAlign w:val="center"/>
            <w:hideMark/>
          </w:tcPr>
          <w:p w:rsidRPr="002750AF" w:rsidR="002750AF" w:rsidP="002750AF" w:rsidRDefault="002750AF" w14:paraId="112F04DF" w14:textId="376A832D">
            <w:pPr>
              <w:keepNext/>
              <w:keepLines/>
              <w:jc w:val="right"/>
              <w:rPr>
                <w:rFonts w:cs="Arial"/>
                <w:color w:val="000000"/>
                <w:sz w:val="18"/>
                <w:szCs w:val="18"/>
              </w:rPr>
            </w:pPr>
            <w:r>
              <w:rPr>
                <w:rFonts w:cs="Arial"/>
                <w:color w:val="000000"/>
                <w:sz w:val="18"/>
                <w:szCs w:val="18"/>
              </w:rPr>
              <w:t>5</w:t>
            </w:r>
          </w:p>
        </w:tc>
        <w:tc>
          <w:tcPr>
            <w:tcW w:w="1007" w:type="dxa"/>
            <w:shd w:val="clear" w:color="auto" w:fill="auto"/>
            <w:vAlign w:val="center"/>
            <w:hideMark/>
          </w:tcPr>
          <w:p w:rsidRPr="002750AF" w:rsidR="002750AF" w:rsidP="002750AF" w:rsidRDefault="002750AF" w14:paraId="53DAABF6" w14:textId="3ACCA51D">
            <w:pPr>
              <w:keepNext/>
              <w:keepLines/>
              <w:jc w:val="right"/>
              <w:rPr>
                <w:rFonts w:cs="Arial"/>
                <w:color w:val="000000"/>
                <w:sz w:val="18"/>
                <w:szCs w:val="18"/>
              </w:rPr>
            </w:pPr>
            <w:r>
              <w:rPr>
                <w:rFonts w:cs="Arial"/>
                <w:color w:val="000000"/>
                <w:sz w:val="18"/>
                <w:szCs w:val="18"/>
              </w:rPr>
              <w:t>6.7452</w:t>
            </w:r>
          </w:p>
        </w:tc>
        <w:tc>
          <w:tcPr>
            <w:tcW w:w="1620" w:type="dxa"/>
            <w:shd w:val="clear" w:color="auto" w:fill="auto"/>
            <w:vAlign w:val="center"/>
            <w:hideMark/>
          </w:tcPr>
          <w:p w:rsidRPr="002750AF" w:rsidR="002750AF" w:rsidP="002750AF" w:rsidRDefault="002750AF" w14:paraId="0703EB1D" w14:textId="561A5004">
            <w:pPr>
              <w:keepNext/>
              <w:keepLines/>
              <w:jc w:val="right"/>
              <w:rPr>
                <w:rFonts w:cs="Arial"/>
                <w:color w:val="000000"/>
                <w:sz w:val="18"/>
                <w:szCs w:val="18"/>
              </w:rPr>
            </w:pPr>
            <w:r w:rsidRPr="002750AF">
              <w:rPr>
                <w:rFonts w:cs="Arial"/>
                <w:color w:val="000000"/>
                <w:sz w:val="18"/>
                <w:szCs w:val="18"/>
              </w:rPr>
              <w:t xml:space="preserve">$476.68 </w:t>
            </w:r>
          </w:p>
        </w:tc>
        <w:tc>
          <w:tcPr>
            <w:tcW w:w="1530" w:type="dxa"/>
            <w:shd w:val="clear" w:color="auto" w:fill="auto"/>
            <w:vAlign w:val="center"/>
            <w:hideMark/>
          </w:tcPr>
          <w:p w:rsidRPr="002750AF" w:rsidR="002750AF" w:rsidP="002750AF" w:rsidRDefault="002750AF" w14:paraId="3C5F7CD8" w14:textId="2763934C">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hideMark/>
          </w:tcPr>
          <w:p w:rsidRPr="002750AF" w:rsidR="002750AF" w:rsidP="002750AF" w:rsidRDefault="002750AF" w14:paraId="364544FC" w14:textId="26EC8144">
            <w:pPr>
              <w:keepNext/>
              <w:keepLines/>
              <w:jc w:val="right"/>
              <w:rPr>
                <w:rFonts w:cs="Arial"/>
                <w:color w:val="000000"/>
                <w:sz w:val="18"/>
                <w:szCs w:val="18"/>
              </w:rPr>
            </w:pPr>
            <w:r w:rsidRPr="002750AF">
              <w:rPr>
                <w:rFonts w:cs="Arial"/>
                <w:color w:val="000000"/>
                <w:sz w:val="18"/>
                <w:szCs w:val="18"/>
              </w:rPr>
              <w:t xml:space="preserve">$476.68 </w:t>
            </w:r>
          </w:p>
        </w:tc>
      </w:tr>
      <w:tr w:rsidRPr="0057276A" w:rsidR="002750AF" w:rsidTr="006F49C8" w14:paraId="11300AE4" w14:textId="77777777">
        <w:tc>
          <w:tcPr>
            <w:tcW w:w="1684" w:type="dxa"/>
            <w:shd w:val="clear" w:color="auto" w:fill="auto"/>
            <w:vAlign w:val="center"/>
          </w:tcPr>
          <w:p w:rsidRPr="0088413E" w:rsidR="002750AF" w:rsidP="002750AF" w:rsidRDefault="002750AF" w14:paraId="2E0B94C8"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 xml:space="preserve">Notifications to EPA </w:t>
            </w:r>
          </w:p>
          <w:p w:rsidRPr="00EE0378" w:rsidR="002750AF" w:rsidP="002750AF" w:rsidRDefault="002750AF" w14:paraId="39D06488" w14:textId="43FF23C2">
            <w:pPr>
              <w:pStyle w:val="ListParagraph"/>
              <w:keepNext/>
              <w:keepLines/>
              <w:ind w:left="257"/>
              <w:rPr>
                <w:rFonts w:eastAsia="Times New Roman" w:cs="Arial"/>
                <w:color w:val="000000"/>
                <w:sz w:val="18"/>
                <w:szCs w:val="18"/>
              </w:rPr>
            </w:pPr>
            <w:r w:rsidRPr="00EE0378">
              <w:rPr>
                <w:rFonts w:cs="Arial"/>
                <w:color w:val="000000"/>
                <w:sz w:val="18"/>
                <w:szCs w:val="18"/>
              </w:rPr>
              <w:t>(domestic</w:t>
            </w:r>
            <w:r>
              <w:rPr>
                <w:rFonts w:cs="Arial"/>
                <w:color w:val="000000"/>
                <w:sz w:val="18"/>
                <w:szCs w:val="18"/>
              </w:rPr>
              <w:t xml:space="preserve"> ABs</w:t>
            </w:r>
            <w:r w:rsidRPr="00EE0378">
              <w:rPr>
                <w:rFonts w:cs="Arial"/>
                <w:color w:val="000000"/>
                <w:sz w:val="18"/>
                <w:szCs w:val="18"/>
              </w:rPr>
              <w:t>)</w:t>
            </w:r>
          </w:p>
        </w:tc>
        <w:tc>
          <w:tcPr>
            <w:tcW w:w="1357" w:type="dxa"/>
            <w:shd w:val="clear" w:color="auto" w:fill="auto"/>
            <w:vAlign w:val="center"/>
          </w:tcPr>
          <w:p w:rsidRPr="002750AF" w:rsidR="002750AF" w:rsidP="002750AF" w:rsidRDefault="002750AF" w14:paraId="411221E7" w14:textId="448C37F7">
            <w:pPr>
              <w:keepNext/>
              <w:keepLines/>
              <w:jc w:val="right"/>
              <w:rPr>
                <w:rFonts w:cs="Arial"/>
                <w:color w:val="000000"/>
                <w:sz w:val="18"/>
                <w:szCs w:val="18"/>
              </w:rPr>
            </w:pPr>
            <w:r>
              <w:rPr>
                <w:rFonts w:cs="Arial"/>
                <w:color w:val="000000"/>
                <w:sz w:val="18"/>
                <w:szCs w:val="18"/>
              </w:rPr>
              <w:t>4</w:t>
            </w:r>
          </w:p>
        </w:tc>
        <w:tc>
          <w:tcPr>
            <w:tcW w:w="1177" w:type="dxa"/>
            <w:shd w:val="clear" w:color="auto" w:fill="auto"/>
            <w:vAlign w:val="center"/>
          </w:tcPr>
          <w:p w:rsidRPr="002750AF" w:rsidR="002750AF" w:rsidP="002750AF" w:rsidRDefault="002750AF" w14:paraId="6FAB67B8" w14:textId="43FC5C7C">
            <w:pPr>
              <w:keepNext/>
              <w:keepLines/>
              <w:jc w:val="right"/>
              <w:rPr>
                <w:rFonts w:cs="Arial"/>
                <w:color w:val="000000"/>
                <w:sz w:val="18"/>
                <w:szCs w:val="18"/>
              </w:rPr>
            </w:pPr>
            <w:r>
              <w:rPr>
                <w:rFonts w:cs="Arial"/>
                <w:color w:val="000000"/>
                <w:sz w:val="18"/>
                <w:szCs w:val="18"/>
              </w:rPr>
              <w:t>28</w:t>
            </w:r>
          </w:p>
        </w:tc>
        <w:tc>
          <w:tcPr>
            <w:tcW w:w="1007" w:type="dxa"/>
            <w:shd w:val="clear" w:color="auto" w:fill="auto"/>
            <w:vAlign w:val="center"/>
          </w:tcPr>
          <w:p w:rsidRPr="002750AF" w:rsidR="002750AF" w:rsidP="002750AF" w:rsidRDefault="002750AF" w14:paraId="1DB6DEA7" w14:textId="75FAFCC1">
            <w:pPr>
              <w:keepNext/>
              <w:keepLines/>
              <w:jc w:val="right"/>
              <w:rPr>
                <w:rFonts w:cs="Arial"/>
                <w:color w:val="000000"/>
                <w:sz w:val="18"/>
                <w:szCs w:val="18"/>
              </w:rPr>
            </w:pPr>
            <w:r>
              <w:rPr>
                <w:rFonts w:cs="Arial"/>
                <w:color w:val="000000"/>
                <w:sz w:val="18"/>
                <w:szCs w:val="18"/>
              </w:rPr>
              <w:t>3.3168</w:t>
            </w:r>
          </w:p>
        </w:tc>
        <w:tc>
          <w:tcPr>
            <w:tcW w:w="1620" w:type="dxa"/>
            <w:shd w:val="clear" w:color="auto" w:fill="auto"/>
            <w:vAlign w:val="center"/>
          </w:tcPr>
          <w:p w:rsidRPr="002750AF" w:rsidR="002750AF" w:rsidP="002750AF" w:rsidRDefault="002750AF" w14:paraId="0B887A39" w14:textId="21CB6BF4">
            <w:pPr>
              <w:keepNext/>
              <w:keepLines/>
              <w:jc w:val="right"/>
              <w:rPr>
                <w:rFonts w:cs="Arial"/>
                <w:color w:val="000000"/>
                <w:sz w:val="18"/>
                <w:szCs w:val="18"/>
              </w:rPr>
            </w:pPr>
            <w:r w:rsidRPr="002750AF">
              <w:rPr>
                <w:rFonts w:cs="Arial"/>
                <w:color w:val="000000"/>
                <w:sz w:val="18"/>
                <w:szCs w:val="18"/>
              </w:rPr>
              <w:t xml:space="preserve">$232.67 </w:t>
            </w:r>
          </w:p>
        </w:tc>
        <w:tc>
          <w:tcPr>
            <w:tcW w:w="1530" w:type="dxa"/>
            <w:shd w:val="clear" w:color="auto" w:fill="auto"/>
            <w:vAlign w:val="center"/>
          </w:tcPr>
          <w:p w:rsidRPr="002750AF" w:rsidR="002750AF" w:rsidP="002750AF" w:rsidRDefault="002750AF" w14:paraId="0DC5901C" w14:textId="5C00B6D0">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tcPr>
          <w:p w:rsidRPr="002750AF" w:rsidR="002750AF" w:rsidP="002750AF" w:rsidRDefault="002750AF" w14:paraId="6F364CDF" w14:textId="129677A2">
            <w:pPr>
              <w:keepNext/>
              <w:keepLines/>
              <w:jc w:val="right"/>
              <w:rPr>
                <w:rFonts w:cs="Arial"/>
                <w:color w:val="000000"/>
                <w:sz w:val="18"/>
                <w:szCs w:val="18"/>
              </w:rPr>
            </w:pPr>
            <w:r w:rsidRPr="002750AF">
              <w:rPr>
                <w:rFonts w:cs="Arial"/>
                <w:color w:val="000000"/>
                <w:sz w:val="18"/>
                <w:szCs w:val="18"/>
              </w:rPr>
              <w:t xml:space="preserve">$232.67 </w:t>
            </w:r>
          </w:p>
        </w:tc>
      </w:tr>
      <w:tr w:rsidRPr="0057276A" w:rsidR="002750AF" w:rsidTr="006F49C8" w14:paraId="307EE2B1" w14:textId="77777777">
        <w:tc>
          <w:tcPr>
            <w:tcW w:w="1684" w:type="dxa"/>
            <w:shd w:val="clear" w:color="auto" w:fill="auto"/>
            <w:vAlign w:val="center"/>
          </w:tcPr>
          <w:p w:rsidRPr="0088413E" w:rsidR="002750AF" w:rsidP="002750AF" w:rsidRDefault="002750AF" w14:paraId="719D55AE"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 xml:space="preserve">Notifications to EPA </w:t>
            </w:r>
          </w:p>
          <w:p w:rsidRPr="00EE0378" w:rsidR="002750AF" w:rsidP="002750AF" w:rsidRDefault="002750AF" w14:paraId="705349F3" w14:textId="0D578531">
            <w:pPr>
              <w:pStyle w:val="ListParagraph"/>
              <w:keepNext/>
              <w:keepLines/>
              <w:ind w:left="257"/>
              <w:rPr>
                <w:rFonts w:eastAsia="Times New Roman" w:cs="Arial"/>
                <w:color w:val="000000"/>
                <w:sz w:val="18"/>
                <w:szCs w:val="18"/>
              </w:rPr>
            </w:pPr>
            <w:r w:rsidRPr="00EE0378">
              <w:rPr>
                <w:rFonts w:cs="Arial"/>
                <w:color w:val="000000"/>
                <w:sz w:val="18"/>
                <w:szCs w:val="18"/>
              </w:rPr>
              <w:t>(foreign</w:t>
            </w:r>
            <w:r>
              <w:rPr>
                <w:rFonts w:cs="Arial"/>
                <w:color w:val="000000"/>
                <w:sz w:val="18"/>
                <w:szCs w:val="18"/>
              </w:rPr>
              <w:t xml:space="preserve"> ABs</w:t>
            </w:r>
            <w:r w:rsidRPr="00EE0378">
              <w:rPr>
                <w:rFonts w:cs="Arial"/>
                <w:color w:val="000000"/>
                <w:sz w:val="18"/>
                <w:szCs w:val="18"/>
              </w:rPr>
              <w:t>)</w:t>
            </w:r>
          </w:p>
        </w:tc>
        <w:tc>
          <w:tcPr>
            <w:tcW w:w="1357" w:type="dxa"/>
            <w:shd w:val="clear" w:color="auto" w:fill="auto"/>
            <w:vAlign w:val="center"/>
          </w:tcPr>
          <w:p w:rsidRPr="002750AF" w:rsidR="002750AF" w:rsidP="002750AF" w:rsidRDefault="002750AF" w14:paraId="74213592" w14:textId="6BC80781">
            <w:pPr>
              <w:keepNext/>
              <w:keepLines/>
              <w:jc w:val="right"/>
              <w:rPr>
                <w:rFonts w:cs="Arial"/>
                <w:color w:val="000000"/>
                <w:sz w:val="18"/>
                <w:szCs w:val="18"/>
              </w:rPr>
            </w:pPr>
            <w:r>
              <w:rPr>
                <w:rFonts w:cs="Arial"/>
                <w:color w:val="000000"/>
                <w:sz w:val="18"/>
                <w:szCs w:val="18"/>
              </w:rPr>
              <w:t>10</w:t>
            </w:r>
          </w:p>
        </w:tc>
        <w:tc>
          <w:tcPr>
            <w:tcW w:w="1177" w:type="dxa"/>
            <w:shd w:val="clear" w:color="auto" w:fill="auto"/>
            <w:vAlign w:val="center"/>
          </w:tcPr>
          <w:p w:rsidRPr="002750AF" w:rsidR="002750AF" w:rsidP="002750AF" w:rsidRDefault="002750AF" w14:paraId="3911102F" w14:textId="464BF907">
            <w:pPr>
              <w:keepNext/>
              <w:keepLines/>
              <w:jc w:val="right"/>
              <w:rPr>
                <w:rFonts w:cs="Arial"/>
                <w:color w:val="000000"/>
                <w:sz w:val="18"/>
                <w:szCs w:val="18"/>
              </w:rPr>
            </w:pPr>
            <w:r>
              <w:rPr>
                <w:rFonts w:cs="Arial"/>
                <w:color w:val="000000"/>
                <w:sz w:val="18"/>
                <w:szCs w:val="18"/>
              </w:rPr>
              <w:t>74</w:t>
            </w:r>
          </w:p>
        </w:tc>
        <w:tc>
          <w:tcPr>
            <w:tcW w:w="1007" w:type="dxa"/>
            <w:shd w:val="clear" w:color="auto" w:fill="auto"/>
            <w:vAlign w:val="center"/>
          </w:tcPr>
          <w:p w:rsidRPr="002750AF" w:rsidR="002750AF" w:rsidP="002750AF" w:rsidRDefault="002750AF" w14:paraId="5EA6B583" w14:textId="0DA81D36">
            <w:pPr>
              <w:keepNext/>
              <w:keepLines/>
              <w:jc w:val="right"/>
              <w:rPr>
                <w:rFonts w:cs="Arial"/>
                <w:color w:val="000000"/>
                <w:sz w:val="18"/>
                <w:szCs w:val="18"/>
              </w:rPr>
            </w:pPr>
            <w:r>
              <w:rPr>
                <w:rFonts w:cs="Arial"/>
                <w:color w:val="000000"/>
                <w:sz w:val="18"/>
                <w:szCs w:val="18"/>
              </w:rPr>
              <w:t>8.892</w:t>
            </w:r>
          </w:p>
        </w:tc>
        <w:tc>
          <w:tcPr>
            <w:tcW w:w="1620" w:type="dxa"/>
            <w:shd w:val="clear" w:color="auto" w:fill="auto"/>
            <w:vAlign w:val="center"/>
          </w:tcPr>
          <w:p w:rsidRPr="002750AF" w:rsidR="002750AF" w:rsidP="002750AF" w:rsidRDefault="002750AF" w14:paraId="3C8E45A5" w14:textId="7FA0FFFA">
            <w:pPr>
              <w:keepNext/>
              <w:keepLines/>
              <w:jc w:val="right"/>
              <w:rPr>
                <w:rFonts w:cs="Arial"/>
                <w:color w:val="000000"/>
                <w:sz w:val="18"/>
                <w:szCs w:val="18"/>
              </w:rPr>
            </w:pPr>
            <w:r w:rsidRPr="002750AF">
              <w:rPr>
                <w:rFonts w:cs="Arial"/>
                <w:color w:val="000000"/>
                <w:sz w:val="18"/>
                <w:szCs w:val="18"/>
              </w:rPr>
              <w:t xml:space="preserve">$623.77 </w:t>
            </w:r>
          </w:p>
        </w:tc>
        <w:tc>
          <w:tcPr>
            <w:tcW w:w="1530" w:type="dxa"/>
            <w:shd w:val="clear" w:color="auto" w:fill="auto"/>
            <w:vAlign w:val="center"/>
          </w:tcPr>
          <w:p w:rsidRPr="002750AF" w:rsidR="002750AF" w:rsidP="002750AF" w:rsidRDefault="002750AF" w14:paraId="3912A9BA" w14:textId="4A680491">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tcPr>
          <w:p w:rsidRPr="002750AF" w:rsidR="002750AF" w:rsidP="002750AF" w:rsidRDefault="002750AF" w14:paraId="1C0615CC" w14:textId="4CFF4DD6">
            <w:pPr>
              <w:keepNext/>
              <w:keepLines/>
              <w:jc w:val="right"/>
              <w:rPr>
                <w:rFonts w:cs="Arial"/>
                <w:color w:val="000000"/>
                <w:sz w:val="18"/>
                <w:szCs w:val="18"/>
              </w:rPr>
            </w:pPr>
            <w:r w:rsidRPr="002750AF">
              <w:rPr>
                <w:rFonts w:cs="Arial"/>
                <w:color w:val="000000"/>
                <w:sz w:val="18"/>
                <w:szCs w:val="18"/>
              </w:rPr>
              <w:t xml:space="preserve">$623.77 </w:t>
            </w:r>
          </w:p>
        </w:tc>
      </w:tr>
      <w:tr w:rsidRPr="0057276A" w:rsidR="002750AF" w:rsidTr="006F49C8" w14:paraId="1C405C04" w14:textId="77777777">
        <w:tc>
          <w:tcPr>
            <w:tcW w:w="1684" w:type="dxa"/>
            <w:shd w:val="clear" w:color="auto" w:fill="auto"/>
            <w:vAlign w:val="center"/>
          </w:tcPr>
          <w:p w:rsidRPr="000D1D90" w:rsidR="002750AF" w:rsidP="002750AF" w:rsidRDefault="002750AF" w14:paraId="3046BAAB"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Third Party Certifier Notifications</w:t>
            </w:r>
            <w:r>
              <w:rPr>
                <w:rFonts w:cs="Arial"/>
                <w:color w:val="000000"/>
                <w:sz w:val="18"/>
                <w:szCs w:val="18"/>
              </w:rPr>
              <w:t xml:space="preserve"> </w:t>
            </w:r>
          </w:p>
          <w:p w:rsidRPr="00EE0378" w:rsidR="002750AF" w:rsidP="002750AF" w:rsidRDefault="002750AF" w14:paraId="1CD09756" w14:textId="14237B88">
            <w:pPr>
              <w:pStyle w:val="ListParagraph"/>
              <w:keepNext/>
              <w:keepLines/>
              <w:ind w:left="257"/>
              <w:rPr>
                <w:rFonts w:eastAsia="Times New Roman" w:cs="Arial"/>
                <w:color w:val="000000"/>
                <w:sz w:val="18"/>
                <w:szCs w:val="18"/>
              </w:rPr>
            </w:pPr>
            <w:r>
              <w:rPr>
                <w:rFonts w:cs="Arial"/>
                <w:color w:val="000000"/>
                <w:sz w:val="18"/>
                <w:szCs w:val="18"/>
              </w:rPr>
              <w:t>(all ABs)</w:t>
            </w:r>
          </w:p>
        </w:tc>
        <w:tc>
          <w:tcPr>
            <w:tcW w:w="1357" w:type="dxa"/>
            <w:shd w:val="clear" w:color="auto" w:fill="auto"/>
            <w:vAlign w:val="center"/>
          </w:tcPr>
          <w:p w:rsidRPr="002750AF" w:rsidR="002750AF" w:rsidP="002750AF" w:rsidRDefault="002750AF" w14:paraId="0A83144B" w14:textId="0BD07534">
            <w:pPr>
              <w:keepNext/>
              <w:keepLines/>
              <w:jc w:val="right"/>
              <w:rPr>
                <w:rFonts w:cs="Arial"/>
                <w:color w:val="000000"/>
                <w:sz w:val="18"/>
                <w:szCs w:val="18"/>
              </w:rPr>
            </w:pPr>
            <w:r>
              <w:rPr>
                <w:rFonts w:cs="Arial"/>
                <w:color w:val="000000"/>
                <w:sz w:val="18"/>
                <w:szCs w:val="18"/>
              </w:rPr>
              <w:t>14</w:t>
            </w:r>
          </w:p>
        </w:tc>
        <w:tc>
          <w:tcPr>
            <w:tcW w:w="1177" w:type="dxa"/>
            <w:shd w:val="clear" w:color="auto" w:fill="auto"/>
            <w:vAlign w:val="center"/>
          </w:tcPr>
          <w:p w:rsidRPr="002750AF" w:rsidR="002750AF" w:rsidP="002750AF" w:rsidRDefault="002750AF" w14:paraId="61AE29A1" w14:textId="77B1A3C3">
            <w:pPr>
              <w:keepNext/>
              <w:keepLines/>
              <w:jc w:val="right"/>
              <w:rPr>
                <w:rFonts w:cs="Arial"/>
                <w:color w:val="000000"/>
                <w:sz w:val="18"/>
                <w:szCs w:val="18"/>
              </w:rPr>
            </w:pPr>
            <w:r>
              <w:rPr>
                <w:rFonts w:cs="Arial"/>
                <w:color w:val="000000"/>
                <w:sz w:val="18"/>
                <w:szCs w:val="18"/>
              </w:rPr>
              <w:t>4</w:t>
            </w:r>
          </w:p>
        </w:tc>
        <w:tc>
          <w:tcPr>
            <w:tcW w:w="1007" w:type="dxa"/>
            <w:shd w:val="clear" w:color="auto" w:fill="auto"/>
            <w:vAlign w:val="center"/>
          </w:tcPr>
          <w:p w:rsidRPr="002750AF" w:rsidR="002750AF" w:rsidP="002750AF" w:rsidRDefault="002750AF" w14:paraId="71800204" w14:textId="781045BE">
            <w:pPr>
              <w:keepNext/>
              <w:keepLines/>
              <w:jc w:val="right"/>
              <w:rPr>
                <w:rFonts w:cs="Arial"/>
                <w:color w:val="000000"/>
                <w:sz w:val="18"/>
                <w:szCs w:val="18"/>
              </w:rPr>
            </w:pPr>
            <w:r>
              <w:rPr>
                <w:rFonts w:cs="Arial"/>
                <w:color w:val="000000"/>
                <w:sz w:val="18"/>
                <w:szCs w:val="18"/>
              </w:rPr>
              <w:t>0.21</w:t>
            </w:r>
          </w:p>
        </w:tc>
        <w:tc>
          <w:tcPr>
            <w:tcW w:w="1620" w:type="dxa"/>
            <w:shd w:val="clear" w:color="auto" w:fill="auto"/>
            <w:vAlign w:val="center"/>
          </w:tcPr>
          <w:p w:rsidRPr="002750AF" w:rsidR="002750AF" w:rsidP="002750AF" w:rsidRDefault="002750AF" w14:paraId="56DA4F4F" w14:textId="645D9E9C">
            <w:pPr>
              <w:keepNext/>
              <w:keepLines/>
              <w:jc w:val="right"/>
              <w:rPr>
                <w:rFonts w:cs="Arial"/>
                <w:color w:val="000000"/>
                <w:sz w:val="18"/>
                <w:szCs w:val="18"/>
              </w:rPr>
            </w:pPr>
            <w:r w:rsidRPr="002750AF">
              <w:rPr>
                <w:rFonts w:cs="Arial"/>
                <w:color w:val="000000"/>
                <w:sz w:val="18"/>
                <w:szCs w:val="18"/>
              </w:rPr>
              <w:t xml:space="preserve">$14.73 </w:t>
            </w:r>
          </w:p>
        </w:tc>
        <w:tc>
          <w:tcPr>
            <w:tcW w:w="1530" w:type="dxa"/>
            <w:shd w:val="clear" w:color="auto" w:fill="auto"/>
            <w:vAlign w:val="center"/>
          </w:tcPr>
          <w:p w:rsidRPr="002750AF" w:rsidR="002750AF" w:rsidP="002750AF" w:rsidRDefault="002750AF" w14:paraId="10216D48" w14:textId="2520B25C">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tcPr>
          <w:p w:rsidRPr="002750AF" w:rsidR="002750AF" w:rsidP="002750AF" w:rsidRDefault="002750AF" w14:paraId="6D6A25FD" w14:textId="7BAAC772">
            <w:pPr>
              <w:keepNext/>
              <w:keepLines/>
              <w:jc w:val="right"/>
              <w:rPr>
                <w:rFonts w:cs="Arial"/>
                <w:color w:val="000000"/>
                <w:sz w:val="18"/>
                <w:szCs w:val="18"/>
              </w:rPr>
            </w:pPr>
            <w:r w:rsidRPr="002750AF">
              <w:rPr>
                <w:rFonts w:cs="Arial"/>
                <w:color w:val="000000"/>
                <w:sz w:val="18"/>
                <w:szCs w:val="18"/>
              </w:rPr>
              <w:t xml:space="preserve">$14.73 </w:t>
            </w:r>
          </w:p>
        </w:tc>
      </w:tr>
      <w:tr w:rsidRPr="0057276A" w:rsidR="002750AF" w:rsidTr="006F49C8" w14:paraId="1565D68D" w14:textId="77777777">
        <w:tc>
          <w:tcPr>
            <w:tcW w:w="1684" w:type="dxa"/>
            <w:shd w:val="clear" w:color="auto" w:fill="auto"/>
            <w:vAlign w:val="center"/>
          </w:tcPr>
          <w:p w:rsidRPr="000D1D90" w:rsidR="002750AF" w:rsidP="002750AF" w:rsidRDefault="002750AF" w14:paraId="0FCB52C5"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Recordkeeping</w:t>
            </w:r>
            <w:r>
              <w:rPr>
                <w:rFonts w:cs="Arial"/>
                <w:color w:val="000000"/>
                <w:sz w:val="18"/>
                <w:szCs w:val="18"/>
              </w:rPr>
              <w:t xml:space="preserve"> </w:t>
            </w:r>
          </w:p>
          <w:p w:rsidRPr="00EE0378" w:rsidR="002750AF" w:rsidP="002750AF" w:rsidRDefault="002750AF" w14:paraId="60972486" w14:textId="2473F6AF">
            <w:pPr>
              <w:pStyle w:val="ListParagraph"/>
              <w:keepNext/>
              <w:keepLines/>
              <w:ind w:left="257"/>
              <w:rPr>
                <w:rFonts w:eastAsia="Times New Roman" w:cs="Arial"/>
                <w:color w:val="000000"/>
                <w:sz w:val="18"/>
                <w:szCs w:val="18"/>
              </w:rPr>
            </w:pPr>
            <w:r>
              <w:rPr>
                <w:rFonts w:cs="Arial"/>
                <w:color w:val="000000"/>
                <w:sz w:val="18"/>
                <w:szCs w:val="18"/>
              </w:rPr>
              <w:t>(all ABs)</w:t>
            </w:r>
          </w:p>
        </w:tc>
        <w:tc>
          <w:tcPr>
            <w:tcW w:w="1357" w:type="dxa"/>
            <w:shd w:val="clear" w:color="auto" w:fill="auto"/>
            <w:vAlign w:val="center"/>
          </w:tcPr>
          <w:p w:rsidRPr="002750AF" w:rsidR="002750AF" w:rsidP="002750AF" w:rsidRDefault="002750AF" w14:paraId="21571DBE" w14:textId="1284E6E8">
            <w:pPr>
              <w:keepNext/>
              <w:keepLines/>
              <w:jc w:val="right"/>
              <w:rPr>
                <w:rFonts w:cs="Arial"/>
                <w:color w:val="000000"/>
                <w:sz w:val="18"/>
                <w:szCs w:val="18"/>
              </w:rPr>
            </w:pPr>
            <w:r>
              <w:rPr>
                <w:rFonts w:cs="Arial"/>
                <w:color w:val="000000"/>
                <w:sz w:val="18"/>
                <w:szCs w:val="18"/>
              </w:rPr>
              <w:t>14</w:t>
            </w:r>
          </w:p>
        </w:tc>
        <w:tc>
          <w:tcPr>
            <w:tcW w:w="1177" w:type="dxa"/>
            <w:shd w:val="clear" w:color="auto" w:fill="auto"/>
            <w:vAlign w:val="center"/>
          </w:tcPr>
          <w:p w:rsidRPr="002750AF" w:rsidR="002750AF" w:rsidP="002750AF" w:rsidRDefault="002750AF" w14:paraId="261CB979" w14:textId="4CC22C69">
            <w:pPr>
              <w:keepNext/>
              <w:keepLines/>
              <w:jc w:val="right"/>
              <w:rPr>
                <w:rFonts w:cs="Arial"/>
                <w:color w:val="000000"/>
                <w:sz w:val="18"/>
                <w:szCs w:val="18"/>
              </w:rPr>
            </w:pPr>
            <w:r>
              <w:rPr>
                <w:rFonts w:cs="Arial"/>
                <w:color w:val="000000"/>
                <w:sz w:val="18"/>
                <w:szCs w:val="18"/>
              </w:rPr>
              <w:t>28</w:t>
            </w:r>
          </w:p>
        </w:tc>
        <w:tc>
          <w:tcPr>
            <w:tcW w:w="1007" w:type="dxa"/>
            <w:shd w:val="clear" w:color="auto" w:fill="auto"/>
            <w:vAlign w:val="center"/>
          </w:tcPr>
          <w:p w:rsidRPr="002750AF" w:rsidR="002750AF" w:rsidP="002750AF" w:rsidRDefault="002750AF" w14:paraId="37041A52" w14:textId="26809843">
            <w:pPr>
              <w:keepNext/>
              <w:keepLines/>
              <w:jc w:val="right"/>
              <w:rPr>
                <w:rFonts w:cs="Arial"/>
                <w:color w:val="000000"/>
                <w:sz w:val="18"/>
                <w:szCs w:val="18"/>
              </w:rPr>
            </w:pPr>
            <w:r>
              <w:rPr>
                <w:rFonts w:cs="Arial"/>
                <w:color w:val="000000"/>
                <w:sz w:val="18"/>
                <w:szCs w:val="18"/>
              </w:rPr>
              <w:t>42</w:t>
            </w:r>
          </w:p>
        </w:tc>
        <w:tc>
          <w:tcPr>
            <w:tcW w:w="1620" w:type="dxa"/>
            <w:shd w:val="clear" w:color="auto" w:fill="auto"/>
            <w:vAlign w:val="center"/>
          </w:tcPr>
          <w:p w:rsidRPr="002750AF" w:rsidR="002750AF" w:rsidP="002750AF" w:rsidRDefault="002750AF" w14:paraId="33727A94" w14:textId="69CB1522">
            <w:pPr>
              <w:keepNext/>
              <w:keepLines/>
              <w:jc w:val="right"/>
              <w:rPr>
                <w:rFonts w:cs="Arial"/>
                <w:color w:val="000000"/>
                <w:sz w:val="18"/>
                <w:szCs w:val="18"/>
              </w:rPr>
            </w:pPr>
            <w:r w:rsidRPr="002750AF">
              <w:rPr>
                <w:rFonts w:cs="Arial"/>
                <w:color w:val="000000"/>
                <w:sz w:val="18"/>
                <w:szCs w:val="18"/>
              </w:rPr>
              <w:t xml:space="preserve">$2,946.30 </w:t>
            </w:r>
          </w:p>
        </w:tc>
        <w:tc>
          <w:tcPr>
            <w:tcW w:w="1530" w:type="dxa"/>
            <w:shd w:val="clear" w:color="auto" w:fill="auto"/>
            <w:vAlign w:val="center"/>
          </w:tcPr>
          <w:p w:rsidRPr="002750AF" w:rsidR="002750AF" w:rsidP="002750AF" w:rsidRDefault="002750AF" w14:paraId="49D561D9" w14:textId="47B84B19">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tcPr>
          <w:p w:rsidRPr="002750AF" w:rsidR="002750AF" w:rsidP="002750AF" w:rsidRDefault="002750AF" w14:paraId="1A1792C2" w14:textId="3A85EE28">
            <w:pPr>
              <w:keepNext/>
              <w:keepLines/>
              <w:jc w:val="right"/>
              <w:rPr>
                <w:rFonts w:cs="Arial"/>
                <w:color w:val="000000"/>
                <w:sz w:val="18"/>
                <w:szCs w:val="18"/>
              </w:rPr>
            </w:pPr>
            <w:r w:rsidRPr="002750AF">
              <w:rPr>
                <w:rFonts w:cs="Arial"/>
                <w:color w:val="000000"/>
                <w:sz w:val="18"/>
                <w:szCs w:val="18"/>
              </w:rPr>
              <w:t xml:space="preserve">$2,946.30 </w:t>
            </w:r>
          </w:p>
        </w:tc>
      </w:tr>
      <w:tr w:rsidRPr="0057276A" w:rsidR="002750AF" w:rsidTr="006F49C8" w14:paraId="6A148CBD" w14:textId="77777777">
        <w:tc>
          <w:tcPr>
            <w:tcW w:w="1684" w:type="dxa"/>
            <w:shd w:val="clear" w:color="auto" w:fill="auto"/>
            <w:vAlign w:val="center"/>
          </w:tcPr>
          <w:p w:rsidRPr="000D1D90" w:rsidR="002750AF" w:rsidP="002750AF" w:rsidRDefault="002750AF" w14:paraId="70E2ADD1"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Annual Report to EPA</w:t>
            </w:r>
            <w:r>
              <w:rPr>
                <w:rFonts w:cs="Arial"/>
                <w:color w:val="000000"/>
                <w:sz w:val="18"/>
                <w:szCs w:val="18"/>
              </w:rPr>
              <w:t xml:space="preserve"> </w:t>
            </w:r>
          </w:p>
          <w:p w:rsidRPr="00EE0378" w:rsidR="002750AF" w:rsidP="002750AF" w:rsidRDefault="002750AF" w14:paraId="60C4DCF5" w14:textId="06331614">
            <w:pPr>
              <w:pStyle w:val="ListParagraph"/>
              <w:keepNext/>
              <w:keepLines/>
              <w:ind w:left="257"/>
              <w:rPr>
                <w:rFonts w:eastAsia="Times New Roman" w:cs="Arial"/>
                <w:color w:val="000000"/>
                <w:sz w:val="18"/>
                <w:szCs w:val="18"/>
              </w:rPr>
            </w:pPr>
            <w:r>
              <w:rPr>
                <w:rFonts w:cs="Arial"/>
                <w:color w:val="000000"/>
                <w:sz w:val="18"/>
                <w:szCs w:val="18"/>
              </w:rPr>
              <w:t>(all ABs)</w:t>
            </w:r>
          </w:p>
        </w:tc>
        <w:tc>
          <w:tcPr>
            <w:tcW w:w="1357" w:type="dxa"/>
            <w:shd w:val="clear" w:color="auto" w:fill="auto"/>
            <w:vAlign w:val="center"/>
          </w:tcPr>
          <w:p w:rsidRPr="002750AF" w:rsidR="002750AF" w:rsidP="002750AF" w:rsidRDefault="002750AF" w14:paraId="5087AE3B" w14:textId="2379BD55">
            <w:pPr>
              <w:keepNext/>
              <w:keepLines/>
              <w:jc w:val="right"/>
              <w:rPr>
                <w:rFonts w:cs="Arial"/>
                <w:color w:val="000000"/>
                <w:sz w:val="18"/>
                <w:szCs w:val="18"/>
              </w:rPr>
            </w:pPr>
            <w:r>
              <w:rPr>
                <w:rFonts w:cs="Arial"/>
                <w:color w:val="000000"/>
                <w:sz w:val="18"/>
                <w:szCs w:val="18"/>
              </w:rPr>
              <w:t>14</w:t>
            </w:r>
          </w:p>
        </w:tc>
        <w:tc>
          <w:tcPr>
            <w:tcW w:w="1177" w:type="dxa"/>
            <w:shd w:val="clear" w:color="auto" w:fill="auto"/>
            <w:vAlign w:val="center"/>
          </w:tcPr>
          <w:p w:rsidRPr="002750AF" w:rsidR="002750AF" w:rsidP="002750AF" w:rsidRDefault="002750AF" w14:paraId="0033E1BB" w14:textId="79C89633">
            <w:pPr>
              <w:keepNext/>
              <w:keepLines/>
              <w:jc w:val="right"/>
              <w:rPr>
                <w:rFonts w:cs="Arial"/>
                <w:color w:val="000000"/>
                <w:sz w:val="18"/>
                <w:szCs w:val="18"/>
              </w:rPr>
            </w:pPr>
            <w:r>
              <w:rPr>
                <w:rFonts w:cs="Arial"/>
                <w:color w:val="000000"/>
                <w:sz w:val="18"/>
                <w:szCs w:val="18"/>
              </w:rPr>
              <w:t>14</w:t>
            </w:r>
          </w:p>
        </w:tc>
        <w:tc>
          <w:tcPr>
            <w:tcW w:w="1007" w:type="dxa"/>
            <w:shd w:val="clear" w:color="auto" w:fill="auto"/>
            <w:vAlign w:val="center"/>
          </w:tcPr>
          <w:p w:rsidRPr="002750AF" w:rsidR="002750AF" w:rsidP="002750AF" w:rsidRDefault="002750AF" w14:paraId="616783AC" w14:textId="1FE620FF">
            <w:pPr>
              <w:keepNext/>
              <w:keepLines/>
              <w:jc w:val="right"/>
              <w:rPr>
                <w:rFonts w:cs="Arial"/>
                <w:color w:val="000000"/>
                <w:sz w:val="18"/>
                <w:szCs w:val="18"/>
              </w:rPr>
            </w:pPr>
            <w:r>
              <w:rPr>
                <w:rFonts w:cs="Arial"/>
                <w:color w:val="000000"/>
                <w:sz w:val="18"/>
                <w:szCs w:val="18"/>
              </w:rPr>
              <w:t>52.5</w:t>
            </w:r>
          </w:p>
        </w:tc>
        <w:tc>
          <w:tcPr>
            <w:tcW w:w="1620" w:type="dxa"/>
            <w:shd w:val="clear" w:color="auto" w:fill="auto"/>
            <w:vAlign w:val="center"/>
          </w:tcPr>
          <w:p w:rsidRPr="002750AF" w:rsidR="002750AF" w:rsidP="002750AF" w:rsidRDefault="002750AF" w14:paraId="5B3334ED" w14:textId="610AB91F">
            <w:pPr>
              <w:keepNext/>
              <w:keepLines/>
              <w:jc w:val="right"/>
              <w:rPr>
                <w:rFonts w:cs="Arial"/>
                <w:color w:val="000000"/>
                <w:sz w:val="18"/>
                <w:szCs w:val="18"/>
              </w:rPr>
            </w:pPr>
            <w:r w:rsidRPr="002750AF">
              <w:rPr>
                <w:rFonts w:cs="Arial"/>
                <w:color w:val="000000"/>
                <w:sz w:val="18"/>
                <w:szCs w:val="18"/>
              </w:rPr>
              <w:t xml:space="preserve">$3,682.88 </w:t>
            </w:r>
          </w:p>
        </w:tc>
        <w:tc>
          <w:tcPr>
            <w:tcW w:w="1530" w:type="dxa"/>
            <w:shd w:val="clear" w:color="auto" w:fill="auto"/>
            <w:vAlign w:val="center"/>
          </w:tcPr>
          <w:p w:rsidRPr="002750AF" w:rsidR="002750AF" w:rsidP="002750AF" w:rsidRDefault="002750AF" w14:paraId="56824F59" w14:textId="2F795643">
            <w:pPr>
              <w:keepNext/>
              <w:keepLines/>
              <w:jc w:val="right"/>
              <w:rPr>
                <w:rFonts w:cs="Arial"/>
                <w:color w:val="000000"/>
                <w:sz w:val="18"/>
                <w:szCs w:val="18"/>
              </w:rPr>
            </w:pPr>
            <w:r w:rsidRPr="002750AF">
              <w:rPr>
                <w:rFonts w:cs="Arial"/>
                <w:color w:val="000000"/>
                <w:sz w:val="18"/>
                <w:szCs w:val="18"/>
              </w:rPr>
              <w:t> </w:t>
            </w:r>
          </w:p>
        </w:tc>
        <w:tc>
          <w:tcPr>
            <w:tcW w:w="1350" w:type="dxa"/>
            <w:shd w:val="clear" w:color="auto" w:fill="auto"/>
            <w:vAlign w:val="center"/>
          </w:tcPr>
          <w:p w:rsidRPr="002750AF" w:rsidR="002750AF" w:rsidP="002750AF" w:rsidRDefault="002750AF" w14:paraId="602AEEB5" w14:textId="596739C4">
            <w:pPr>
              <w:keepNext/>
              <w:keepLines/>
              <w:jc w:val="right"/>
              <w:rPr>
                <w:rFonts w:cs="Arial"/>
                <w:color w:val="000000"/>
                <w:sz w:val="18"/>
                <w:szCs w:val="18"/>
              </w:rPr>
            </w:pPr>
            <w:r w:rsidRPr="002750AF">
              <w:rPr>
                <w:rFonts w:cs="Arial"/>
                <w:color w:val="000000"/>
                <w:sz w:val="18"/>
                <w:szCs w:val="18"/>
              </w:rPr>
              <w:t xml:space="preserve">$3,682.88 </w:t>
            </w:r>
          </w:p>
        </w:tc>
      </w:tr>
      <w:tr w:rsidRPr="0057276A" w:rsidR="002750AF" w:rsidTr="006F49C8" w14:paraId="6F6593C5" w14:textId="77777777">
        <w:tc>
          <w:tcPr>
            <w:tcW w:w="1684" w:type="dxa"/>
            <w:shd w:val="clear" w:color="auto" w:fill="auto"/>
            <w:vAlign w:val="center"/>
            <w:hideMark/>
          </w:tcPr>
          <w:p w:rsidRPr="000D1D90" w:rsidR="002750AF" w:rsidP="002750AF" w:rsidRDefault="002750AF" w14:paraId="1B557665" w14:textId="77777777">
            <w:pPr>
              <w:pStyle w:val="ListParagraph"/>
              <w:keepNext/>
              <w:keepLines/>
              <w:numPr>
                <w:ilvl w:val="0"/>
                <w:numId w:val="33"/>
              </w:numPr>
              <w:ind w:left="257" w:hanging="257"/>
              <w:rPr>
                <w:rFonts w:eastAsia="Times New Roman" w:cs="Arial"/>
                <w:color w:val="000000"/>
                <w:sz w:val="18"/>
                <w:szCs w:val="18"/>
              </w:rPr>
            </w:pPr>
            <w:r w:rsidRPr="00EE0378">
              <w:rPr>
                <w:rFonts w:cs="Arial"/>
                <w:color w:val="000000"/>
                <w:sz w:val="18"/>
                <w:szCs w:val="18"/>
              </w:rPr>
              <w:t xml:space="preserve">Assign registered agent </w:t>
            </w:r>
          </w:p>
          <w:p w:rsidRPr="00EE0378" w:rsidR="002750AF" w:rsidP="002750AF" w:rsidRDefault="002750AF" w14:paraId="78103AEA" w14:textId="43331FBD">
            <w:pPr>
              <w:pStyle w:val="ListParagraph"/>
              <w:keepNext/>
              <w:keepLines/>
              <w:ind w:left="257"/>
              <w:rPr>
                <w:rFonts w:eastAsia="Times New Roman" w:cs="Arial"/>
                <w:color w:val="000000"/>
                <w:sz w:val="18"/>
                <w:szCs w:val="18"/>
              </w:rPr>
            </w:pPr>
            <w:r w:rsidRPr="00EE0378">
              <w:rPr>
                <w:rFonts w:cs="Arial"/>
                <w:color w:val="000000"/>
                <w:sz w:val="18"/>
                <w:szCs w:val="18"/>
              </w:rPr>
              <w:t>(foreign</w:t>
            </w:r>
            <w:r>
              <w:rPr>
                <w:rFonts w:cs="Arial"/>
                <w:color w:val="000000"/>
                <w:sz w:val="18"/>
                <w:szCs w:val="18"/>
              </w:rPr>
              <w:t xml:space="preserve"> ABs</w:t>
            </w:r>
            <w:r w:rsidRPr="00EE0378">
              <w:rPr>
                <w:rFonts w:cs="Arial"/>
                <w:color w:val="000000"/>
                <w:sz w:val="18"/>
                <w:szCs w:val="18"/>
              </w:rPr>
              <w:t>)</w:t>
            </w:r>
          </w:p>
        </w:tc>
        <w:tc>
          <w:tcPr>
            <w:tcW w:w="1357" w:type="dxa"/>
            <w:shd w:val="clear" w:color="auto" w:fill="auto"/>
            <w:vAlign w:val="center"/>
          </w:tcPr>
          <w:p w:rsidRPr="002750AF" w:rsidR="002750AF" w:rsidP="002750AF" w:rsidRDefault="002750AF" w14:paraId="22646E98" w14:textId="2E12959D">
            <w:pPr>
              <w:keepNext/>
              <w:keepLines/>
              <w:jc w:val="right"/>
              <w:rPr>
                <w:rFonts w:cs="Arial"/>
                <w:color w:val="000000"/>
                <w:sz w:val="18"/>
                <w:szCs w:val="18"/>
              </w:rPr>
            </w:pPr>
            <w:r>
              <w:rPr>
                <w:rFonts w:cs="Arial"/>
                <w:color w:val="000000"/>
                <w:sz w:val="18"/>
                <w:szCs w:val="18"/>
              </w:rPr>
              <w:t>10</w:t>
            </w:r>
          </w:p>
        </w:tc>
        <w:tc>
          <w:tcPr>
            <w:tcW w:w="1177" w:type="dxa"/>
            <w:shd w:val="clear" w:color="auto" w:fill="auto"/>
            <w:vAlign w:val="center"/>
            <w:hideMark/>
          </w:tcPr>
          <w:p w:rsidRPr="002750AF" w:rsidR="002750AF" w:rsidP="002750AF" w:rsidRDefault="002750AF" w14:paraId="01F3702D" w14:textId="6D48BF87">
            <w:pPr>
              <w:keepNext/>
              <w:keepLines/>
              <w:jc w:val="right"/>
              <w:rPr>
                <w:rFonts w:cs="Arial"/>
                <w:color w:val="000000"/>
                <w:sz w:val="18"/>
                <w:szCs w:val="18"/>
              </w:rPr>
            </w:pPr>
            <w:r>
              <w:rPr>
                <w:rFonts w:cs="Arial"/>
                <w:color w:val="000000"/>
                <w:sz w:val="18"/>
                <w:szCs w:val="18"/>
              </w:rPr>
              <w:t>10</w:t>
            </w:r>
          </w:p>
        </w:tc>
        <w:tc>
          <w:tcPr>
            <w:tcW w:w="1007" w:type="dxa"/>
            <w:shd w:val="clear" w:color="auto" w:fill="auto"/>
            <w:vAlign w:val="center"/>
            <w:hideMark/>
          </w:tcPr>
          <w:p w:rsidRPr="002750AF" w:rsidR="002750AF" w:rsidP="002750AF" w:rsidRDefault="002750AF" w14:paraId="73230F3D" w14:textId="668205DC">
            <w:pPr>
              <w:keepNext/>
              <w:keepLines/>
              <w:jc w:val="right"/>
              <w:rPr>
                <w:rFonts w:cs="Arial"/>
                <w:color w:val="000000"/>
                <w:sz w:val="18"/>
                <w:szCs w:val="18"/>
              </w:rPr>
            </w:pPr>
            <w:r>
              <w:rPr>
                <w:rFonts w:cs="Arial"/>
                <w:color w:val="000000"/>
                <w:sz w:val="18"/>
                <w:szCs w:val="18"/>
              </w:rPr>
              <w:t>-</w:t>
            </w:r>
          </w:p>
        </w:tc>
        <w:tc>
          <w:tcPr>
            <w:tcW w:w="1620" w:type="dxa"/>
            <w:shd w:val="clear" w:color="auto" w:fill="auto"/>
            <w:vAlign w:val="center"/>
            <w:hideMark/>
          </w:tcPr>
          <w:p w:rsidRPr="002750AF" w:rsidR="002750AF" w:rsidP="002750AF" w:rsidRDefault="002750AF" w14:paraId="230C8D67" w14:textId="7F2E26E4">
            <w:pPr>
              <w:keepNext/>
              <w:keepLines/>
              <w:jc w:val="right"/>
              <w:rPr>
                <w:rFonts w:cs="Arial"/>
                <w:color w:val="000000"/>
                <w:sz w:val="18"/>
                <w:szCs w:val="18"/>
              </w:rPr>
            </w:pPr>
            <w:r w:rsidRPr="002750AF">
              <w:rPr>
                <w:rFonts w:cs="Arial"/>
                <w:color w:val="000000"/>
                <w:sz w:val="18"/>
                <w:szCs w:val="18"/>
              </w:rPr>
              <w:t>-</w:t>
            </w:r>
          </w:p>
        </w:tc>
        <w:tc>
          <w:tcPr>
            <w:tcW w:w="1530" w:type="dxa"/>
            <w:shd w:val="clear" w:color="auto" w:fill="auto"/>
            <w:vAlign w:val="center"/>
            <w:hideMark/>
          </w:tcPr>
          <w:p w:rsidRPr="002750AF" w:rsidR="002750AF" w:rsidP="002750AF" w:rsidRDefault="002750AF" w14:paraId="339964BD" w14:textId="45187FFE">
            <w:pPr>
              <w:keepNext/>
              <w:keepLines/>
              <w:jc w:val="right"/>
              <w:rPr>
                <w:rFonts w:cs="Arial"/>
                <w:color w:val="000000"/>
                <w:sz w:val="18"/>
                <w:szCs w:val="18"/>
              </w:rPr>
            </w:pPr>
            <w:r w:rsidRPr="002750AF">
              <w:rPr>
                <w:rFonts w:cs="Arial"/>
                <w:color w:val="000000"/>
                <w:sz w:val="18"/>
                <w:szCs w:val="18"/>
              </w:rPr>
              <w:t xml:space="preserve">$1,500.00 </w:t>
            </w:r>
          </w:p>
        </w:tc>
        <w:tc>
          <w:tcPr>
            <w:tcW w:w="1350" w:type="dxa"/>
            <w:shd w:val="clear" w:color="auto" w:fill="auto"/>
            <w:vAlign w:val="center"/>
            <w:hideMark/>
          </w:tcPr>
          <w:p w:rsidRPr="002750AF" w:rsidR="002750AF" w:rsidP="002750AF" w:rsidRDefault="002750AF" w14:paraId="1EBA629B" w14:textId="222584E4">
            <w:pPr>
              <w:keepNext/>
              <w:keepLines/>
              <w:jc w:val="right"/>
              <w:rPr>
                <w:rFonts w:cs="Arial"/>
                <w:color w:val="000000"/>
                <w:sz w:val="18"/>
                <w:szCs w:val="18"/>
              </w:rPr>
            </w:pPr>
            <w:r w:rsidRPr="002750AF">
              <w:rPr>
                <w:rFonts w:cs="Arial"/>
                <w:color w:val="000000"/>
                <w:sz w:val="18"/>
                <w:szCs w:val="18"/>
              </w:rPr>
              <w:t xml:space="preserve">$1,500.00 </w:t>
            </w:r>
          </w:p>
        </w:tc>
      </w:tr>
      <w:tr w:rsidRPr="0057276A" w:rsidR="002750AF" w:rsidTr="00CC3D5C" w14:paraId="6390E1CB" w14:textId="77777777">
        <w:tc>
          <w:tcPr>
            <w:tcW w:w="1684" w:type="dxa"/>
            <w:shd w:val="clear" w:color="auto" w:fill="auto"/>
            <w:vAlign w:val="center"/>
            <w:hideMark/>
          </w:tcPr>
          <w:p w:rsidRPr="0057276A" w:rsidR="002750AF" w:rsidP="002750AF" w:rsidRDefault="002750AF" w14:paraId="26E2E700" w14:textId="42DB0452">
            <w:pPr>
              <w:keepNext/>
              <w:keepLines/>
              <w:jc w:val="right"/>
              <w:rPr>
                <w:rFonts w:eastAsia="Times New Roman" w:cs="Arial"/>
                <w:b/>
                <w:bCs/>
                <w:color w:val="000000"/>
                <w:sz w:val="18"/>
                <w:szCs w:val="18"/>
                <w:highlight w:val="yellow"/>
              </w:rPr>
            </w:pPr>
            <w:r w:rsidRPr="00035451">
              <w:rPr>
                <w:rFonts w:eastAsia="Times New Roman" w:cs="Arial"/>
                <w:b/>
                <w:bCs/>
                <w:sz w:val="18"/>
                <w:szCs w:val="18"/>
              </w:rPr>
              <w:t xml:space="preserve">Total </w:t>
            </w:r>
          </w:p>
        </w:tc>
        <w:tc>
          <w:tcPr>
            <w:tcW w:w="1357" w:type="dxa"/>
            <w:shd w:val="clear" w:color="auto" w:fill="auto"/>
            <w:vAlign w:val="center"/>
            <w:hideMark/>
          </w:tcPr>
          <w:p w:rsidRPr="002750AF" w:rsidR="002750AF" w:rsidP="002750AF" w:rsidRDefault="002750AF" w14:paraId="69C4BD58" w14:textId="70321287">
            <w:pPr>
              <w:keepNext/>
              <w:keepLines/>
              <w:jc w:val="right"/>
              <w:rPr>
                <w:rFonts w:cs="Arial"/>
                <w:b/>
                <w:color w:val="000000"/>
                <w:sz w:val="18"/>
                <w:szCs w:val="18"/>
              </w:rPr>
            </w:pPr>
            <w:r w:rsidRPr="002750AF">
              <w:rPr>
                <w:rFonts w:cs="Arial"/>
                <w:b/>
                <w:color w:val="000000"/>
                <w:sz w:val="18"/>
                <w:szCs w:val="18"/>
              </w:rPr>
              <w:t>14</w:t>
            </w:r>
          </w:p>
        </w:tc>
        <w:tc>
          <w:tcPr>
            <w:tcW w:w="1177" w:type="dxa"/>
            <w:shd w:val="clear" w:color="auto" w:fill="auto"/>
            <w:vAlign w:val="center"/>
            <w:hideMark/>
          </w:tcPr>
          <w:p w:rsidRPr="002750AF" w:rsidR="002750AF" w:rsidP="002750AF" w:rsidRDefault="002750AF" w14:paraId="3BA0CAB6" w14:textId="6084FF37">
            <w:pPr>
              <w:keepNext/>
              <w:keepLines/>
              <w:jc w:val="right"/>
              <w:rPr>
                <w:rFonts w:cs="Arial"/>
                <w:b/>
                <w:color w:val="000000"/>
                <w:sz w:val="18"/>
                <w:szCs w:val="18"/>
              </w:rPr>
            </w:pPr>
            <w:r w:rsidRPr="002750AF">
              <w:rPr>
                <w:rFonts w:cs="Arial"/>
                <w:b/>
                <w:color w:val="000000"/>
                <w:sz w:val="18"/>
                <w:szCs w:val="18"/>
              </w:rPr>
              <w:t>167</w:t>
            </w:r>
          </w:p>
        </w:tc>
        <w:tc>
          <w:tcPr>
            <w:tcW w:w="1007" w:type="dxa"/>
            <w:shd w:val="clear" w:color="auto" w:fill="auto"/>
            <w:vAlign w:val="center"/>
            <w:hideMark/>
          </w:tcPr>
          <w:p w:rsidRPr="002750AF" w:rsidR="002750AF" w:rsidP="002750AF" w:rsidRDefault="002750AF" w14:paraId="228D779E" w14:textId="522D3F91">
            <w:pPr>
              <w:keepNext/>
              <w:keepLines/>
              <w:jc w:val="right"/>
              <w:rPr>
                <w:rFonts w:cs="Arial"/>
                <w:b/>
                <w:color w:val="000000"/>
                <w:sz w:val="18"/>
                <w:szCs w:val="18"/>
              </w:rPr>
            </w:pPr>
            <w:r w:rsidRPr="002750AF">
              <w:rPr>
                <w:rFonts w:cs="Arial"/>
                <w:b/>
                <w:color w:val="000000"/>
                <w:sz w:val="18"/>
                <w:szCs w:val="18"/>
              </w:rPr>
              <w:t>115.802</w:t>
            </w:r>
          </w:p>
        </w:tc>
        <w:tc>
          <w:tcPr>
            <w:tcW w:w="1620" w:type="dxa"/>
            <w:shd w:val="clear" w:color="auto" w:fill="auto"/>
            <w:vAlign w:val="center"/>
            <w:hideMark/>
          </w:tcPr>
          <w:p w:rsidRPr="002750AF" w:rsidR="002750AF" w:rsidP="002750AF" w:rsidRDefault="002750AF" w14:paraId="2832B786" w14:textId="05AC4066">
            <w:pPr>
              <w:keepNext/>
              <w:keepLines/>
              <w:jc w:val="right"/>
              <w:rPr>
                <w:rFonts w:cs="Arial"/>
                <w:b/>
                <w:color w:val="000000"/>
                <w:sz w:val="18"/>
                <w:szCs w:val="18"/>
              </w:rPr>
            </w:pPr>
            <w:r w:rsidRPr="002750AF">
              <w:rPr>
                <w:rFonts w:cs="Arial"/>
                <w:b/>
                <w:color w:val="000000"/>
                <w:sz w:val="18"/>
                <w:szCs w:val="18"/>
              </w:rPr>
              <w:t xml:space="preserve">$8,128.32 </w:t>
            </w:r>
          </w:p>
        </w:tc>
        <w:tc>
          <w:tcPr>
            <w:tcW w:w="1530" w:type="dxa"/>
            <w:shd w:val="clear" w:color="auto" w:fill="auto"/>
            <w:vAlign w:val="center"/>
            <w:hideMark/>
          </w:tcPr>
          <w:p w:rsidRPr="002750AF" w:rsidR="002750AF" w:rsidP="002750AF" w:rsidRDefault="002750AF" w14:paraId="3CB76253" w14:textId="79D62EB9">
            <w:pPr>
              <w:keepNext/>
              <w:keepLines/>
              <w:jc w:val="right"/>
              <w:rPr>
                <w:rFonts w:cs="Arial"/>
                <w:b/>
                <w:color w:val="000000"/>
                <w:sz w:val="18"/>
                <w:szCs w:val="18"/>
              </w:rPr>
            </w:pPr>
            <w:r w:rsidRPr="002750AF">
              <w:rPr>
                <w:rFonts w:cs="Arial"/>
                <w:b/>
                <w:color w:val="000000"/>
                <w:sz w:val="18"/>
                <w:szCs w:val="18"/>
              </w:rPr>
              <w:t xml:space="preserve">$1,500.00 </w:t>
            </w:r>
          </w:p>
        </w:tc>
        <w:tc>
          <w:tcPr>
            <w:tcW w:w="1350" w:type="dxa"/>
            <w:shd w:val="clear" w:color="auto" w:fill="auto"/>
            <w:vAlign w:val="center"/>
            <w:hideMark/>
          </w:tcPr>
          <w:p w:rsidRPr="002750AF" w:rsidR="002750AF" w:rsidP="002750AF" w:rsidRDefault="002750AF" w14:paraId="6243F167" w14:textId="1F69C1B9">
            <w:pPr>
              <w:keepNext/>
              <w:keepLines/>
              <w:jc w:val="right"/>
              <w:rPr>
                <w:rFonts w:cs="Arial"/>
                <w:b/>
                <w:color w:val="000000"/>
                <w:sz w:val="18"/>
                <w:szCs w:val="18"/>
              </w:rPr>
            </w:pPr>
            <w:r w:rsidRPr="002750AF">
              <w:rPr>
                <w:rFonts w:cs="Arial"/>
                <w:b/>
                <w:color w:val="000000"/>
                <w:sz w:val="18"/>
                <w:szCs w:val="18"/>
              </w:rPr>
              <w:t xml:space="preserve">$9,628.32 </w:t>
            </w:r>
          </w:p>
        </w:tc>
      </w:tr>
    </w:tbl>
    <w:p w:rsidRPr="0057276A" w:rsidR="006A0E12" w:rsidP="00DB7F57" w:rsidRDefault="006A0E12" w14:paraId="6187CB6D" w14:textId="77777777">
      <w:pPr>
        <w:pStyle w:val="ListParagraph"/>
        <w:ind w:left="0"/>
        <w:rPr>
          <w:rFonts w:eastAsiaTheme="minorHAnsi"/>
          <w:highlight w:val="yellow"/>
          <w:lang w:bidi="ar-SA"/>
        </w:rPr>
      </w:pPr>
    </w:p>
    <w:p w:rsidRPr="00EE0378" w:rsidR="00C11E60" w:rsidP="00EE0378" w:rsidRDefault="00874232" w14:paraId="719DDC4C" w14:textId="445EF872">
      <w:pPr>
        <w:pStyle w:val="Heading2"/>
        <w:tabs>
          <w:tab w:val="left" w:pos="1080"/>
        </w:tabs>
      </w:pPr>
      <w:bookmarkStart w:name="_Toc501020186" w:id="39"/>
      <w:r w:rsidRPr="00EE0378">
        <w:t>IC #</w:t>
      </w:r>
      <w:r w:rsidR="0038196A">
        <w:t>6</w:t>
      </w:r>
      <w:r w:rsidRPr="00EE0378" w:rsidR="00C11E60">
        <w:t xml:space="preserve">: </w:t>
      </w:r>
      <w:r w:rsidRPr="00EE0378" w:rsidR="00C110A7">
        <w:t>Third Party Certifiers</w:t>
      </w:r>
      <w:r w:rsidRPr="00EE0378">
        <w:t xml:space="preserve"> </w:t>
      </w:r>
      <w:bookmarkEnd w:id="39"/>
    </w:p>
    <w:p w:rsidR="002460BB" w:rsidP="00F07228" w:rsidRDefault="002460BB" w14:paraId="62E0D61E" w14:textId="2EF2DB2C">
      <w:pPr>
        <w:rPr>
          <w:lang w:val="fr-FR"/>
        </w:rPr>
      </w:pPr>
      <w:r w:rsidRPr="002460BB">
        <w:rPr>
          <w:lang w:val="fr-FR"/>
        </w:rPr>
        <w:t>Based on data from the TSCA Title VI program there are currently</w:t>
      </w:r>
      <w:r>
        <w:rPr>
          <w:lang w:val="fr-FR"/>
        </w:rPr>
        <w:t xml:space="preserve"> 11 domestic and 25 foreign third party certifiers participating in the program.</w:t>
      </w:r>
    </w:p>
    <w:p w:rsidRPr="002460BB" w:rsidR="002460BB" w:rsidP="002460BB" w:rsidRDefault="002460BB" w14:paraId="4F2B9566" w14:textId="77777777">
      <w:pPr>
        <w:pStyle w:val="NoSpacing"/>
        <w:rPr>
          <w:lang w:val="fr-FR"/>
        </w:rPr>
      </w:pPr>
    </w:p>
    <w:p w:rsidRPr="00EE0378" w:rsidR="00F07228" w:rsidP="00F07228" w:rsidRDefault="00F07228" w14:paraId="50194446" w14:textId="6CFA8C2F">
      <w:pPr>
        <w:rPr>
          <w:lang w:val="fr-FR"/>
        </w:rPr>
      </w:pPr>
      <w:r w:rsidRPr="00EE0378">
        <w:rPr>
          <w:u w:val="single"/>
          <w:lang w:val="fr-FR"/>
        </w:rPr>
        <w:t>Respondent NAICS Codes</w:t>
      </w:r>
    </w:p>
    <w:p w:rsidRPr="00EE0378" w:rsidR="00F07228" w:rsidP="00C11E60" w:rsidRDefault="00F07228" w14:paraId="745D0439" w14:textId="77777777">
      <w:pPr>
        <w:pStyle w:val="ListParagraph"/>
        <w:ind w:left="1440"/>
        <w:rPr>
          <w:lang w:val="fr-FR"/>
        </w:rPr>
      </w:pPr>
    </w:p>
    <w:p w:rsidRPr="00EE0378" w:rsidR="00C11E60" w:rsidP="000D1990" w:rsidRDefault="00EE0378" w14:paraId="2F77F3E5" w14:textId="35EE35FD">
      <w:pPr>
        <w:rPr>
          <w:lang w:val="fr-FR"/>
        </w:rPr>
      </w:pPr>
      <w:r w:rsidRPr="00EE0378">
        <w:rPr>
          <w:lang w:val="fr-FR"/>
        </w:rPr>
        <w:t>541380</w:t>
      </w:r>
      <w:r w:rsidRPr="00EE0378" w:rsidR="00BE5369">
        <w:rPr>
          <w:lang w:val="fr-FR"/>
        </w:rPr>
        <w:tab/>
      </w:r>
      <w:r w:rsidRPr="00EE0378">
        <w:rPr>
          <w:lang w:val="fr-FR"/>
        </w:rPr>
        <w:t xml:space="preserve">Testing </w:t>
      </w:r>
      <w:r w:rsidR="009E73C4">
        <w:rPr>
          <w:lang w:val="fr-FR"/>
        </w:rPr>
        <w:t>L</w:t>
      </w:r>
      <w:r w:rsidRPr="00EE0378" w:rsidR="009E73C4">
        <w:rPr>
          <w:lang w:val="fr-FR"/>
        </w:rPr>
        <w:t>aborator</w:t>
      </w:r>
      <w:r w:rsidR="009E73C4">
        <w:rPr>
          <w:lang w:val="fr-FR"/>
        </w:rPr>
        <w:t>i</w:t>
      </w:r>
      <w:r w:rsidRPr="00EE0378" w:rsidR="009E73C4">
        <w:rPr>
          <w:lang w:val="fr-FR"/>
        </w:rPr>
        <w:t>es</w:t>
      </w:r>
    </w:p>
    <w:p w:rsidRPr="00EE0378" w:rsidR="00EE0378" w:rsidP="00EE0378" w:rsidRDefault="00EE0378" w14:paraId="1E5C2211" w14:textId="3AD93C19">
      <w:pPr>
        <w:pStyle w:val="NoSpacing"/>
        <w:rPr>
          <w:lang w:val="fr-FR"/>
        </w:rPr>
      </w:pPr>
      <w:r w:rsidRPr="00EE0378">
        <w:rPr>
          <w:lang w:val="fr-FR"/>
        </w:rPr>
        <w:t>541990</w:t>
      </w:r>
      <w:r w:rsidRPr="00EE0378">
        <w:rPr>
          <w:lang w:val="fr-FR"/>
        </w:rPr>
        <w:tab/>
        <w:t>All other professional, scientific, and technical</w:t>
      </w:r>
      <w:r w:rsidR="00695644">
        <w:rPr>
          <w:lang w:val="fr-FR"/>
        </w:rPr>
        <w:t xml:space="preserve"> services</w:t>
      </w:r>
    </w:p>
    <w:p w:rsidRPr="00EE0378" w:rsidR="00EE0378" w:rsidP="00EE0378" w:rsidRDefault="00EE0378" w14:paraId="6C86B4A4" w14:textId="0A676880">
      <w:pPr>
        <w:pStyle w:val="NoSpacing"/>
        <w:rPr>
          <w:highlight w:val="yellow"/>
          <w:lang w:val="fr-FR"/>
        </w:rPr>
      </w:pPr>
      <w:r w:rsidRPr="00EE0378">
        <w:rPr>
          <w:lang w:val="fr-FR"/>
        </w:rPr>
        <w:t>813910</w:t>
      </w:r>
      <w:r w:rsidRPr="00EE0378">
        <w:rPr>
          <w:lang w:val="fr-FR"/>
        </w:rPr>
        <w:tab/>
        <w:t>Business Associations</w:t>
      </w:r>
    </w:p>
    <w:p w:rsidRPr="0057276A" w:rsidR="00BE5369" w:rsidP="00C11E60" w:rsidRDefault="00BE5369" w14:paraId="27D47554" w14:textId="77777777">
      <w:pPr>
        <w:pStyle w:val="ListParagraph"/>
        <w:ind w:left="1440"/>
        <w:rPr>
          <w:highlight w:val="yellow"/>
          <w:lang w:val="fr-FR"/>
        </w:rPr>
      </w:pPr>
    </w:p>
    <w:p w:rsidRPr="003C59BB" w:rsidR="00C11E60" w:rsidP="00F07228" w:rsidRDefault="00C11E60" w14:paraId="1CA5E8E4" w14:textId="77777777">
      <w:pPr>
        <w:rPr>
          <w:u w:val="single"/>
          <w:lang w:val="fr-FR"/>
        </w:rPr>
      </w:pPr>
      <w:r w:rsidRPr="003C59BB">
        <w:rPr>
          <w:u w:val="single"/>
          <w:lang w:val="fr-FR"/>
        </w:rPr>
        <w:t>Information Collection Activities</w:t>
      </w:r>
    </w:p>
    <w:p w:rsidRPr="0057276A" w:rsidR="000525A8" w:rsidP="00C11E60" w:rsidRDefault="000525A8" w14:paraId="23E43059" w14:textId="77777777">
      <w:pPr>
        <w:pStyle w:val="ListParagraph"/>
        <w:ind w:left="0"/>
        <w:rPr>
          <w:rFonts w:eastAsiaTheme="minorHAnsi"/>
          <w:highlight w:val="yellow"/>
          <w:lang w:val="fr-FR" w:bidi="ar-SA"/>
        </w:rPr>
      </w:pPr>
    </w:p>
    <w:p w:rsidR="003C59BB" w:rsidP="003C59BB" w:rsidRDefault="003C59BB" w14:paraId="366F4CE2" w14:textId="03FB5277">
      <w:pPr>
        <w:pStyle w:val="BodyText"/>
      </w:pPr>
      <w:r w:rsidRPr="003C59BB">
        <w:rPr>
          <w:b/>
        </w:rPr>
        <w:t>CDX Electronic Reporting</w:t>
      </w:r>
      <w:r w:rsidR="00264AB2">
        <w:rPr>
          <w:b/>
        </w:rPr>
        <w:t xml:space="preserve"> (data elements A &amp; B)</w:t>
      </w:r>
      <w:r w:rsidRPr="003C59BB">
        <w:rPr>
          <w:b/>
        </w:rPr>
        <w:t>:</w:t>
      </w:r>
      <w:r w:rsidRPr="003C59BB">
        <w:t xml:space="preserve"> All TPCs spen</w:t>
      </w:r>
      <w:r w:rsidR="000D1D90">
        <w:t>t</w:t>
      </w:r>
      <w:r w:rsidRPr="003C59BB">
        <w:t xml:space="preserve"> time in the first year </w:t>
      </w:r>
      <w:r w:rsidR="0038196A">
        <w:t xml:space="preserve">of the TSCA Title VI program </w:t>
      </w:r>
      <w:r w:rsidRPr="003C59BB">
        <w:t>complet</w:t>
      </w:r>
      <w:r w:rsidR="000D1D90">
        <w:t>ing</w:t>
      </w:r>
      <w:r w:rsidRPr="003C59BB">
        <w:t xml:space="preserve"> a </w:t>
      </w:r>
      <w:r w:rsidR="009E73C4">
        <w:t xml:space="preserve">CDX </w:t>
      </w:r>
      <w:r w:rsidRPr="003C59BB">
        <w:t>subscriber agreement and register</w:t>
      </w:r>
      <w:r w:rsidR="000D1D90">
        <w:t>ing</w:t>
      </w:r>
      <w:r w:rsidRPr="003C59BB">
        <w:t xml:space="preserve"> with CDX.   Some of these respondents will </w:t>
      </w:r>
      <w:r w:rsidR="009E73C4">
        <w:t xml:space="preserve">repeat these activities </w:t>
      </w:r>
      <w:r w:rsidRPr="003C59BB">
        <w:t xml:space="preserve">in subsequent years due to employee turnover or compromised electronic signatures.  </w:t>
      </w:r>
    </w:p>
    <w:p w:rsidR="007A0CBE" w:rsidP="001565AE" w:rsidRDefault="007A0CBE" w14:paraId="64188E87" w14:textId="0ECD1814">
      <w:pPr>
        <w:pStyle w:val="BodyText"/>
      </w:pPr>
      <w:r w:rsidRPr="003C59BB">
        <w:rPr>
          <w:b/>
        </w:rPr>
        <w:lastRenderedPageBreak/>
        <w:t xml:space="preserve">Notifications to </w:t>
      </w:r>
      <w:r>
        <w:rPr>
          <w:b/>
        </w:rPr>
        <w:t>manufacturers (data element C)</w:t>
      </w:r>
      <w:r w:rsidRPr="003C59BB">
        <w:rPr>
          <w:b/>
        </w:rPr>
        <w:t xml:space="preserve">: </w:t>
      </w:r>
      <w:r w:rsidR="001565AE">
        <w:t xml:space="preserve">EPA-recognized </w:t>
      </w:r>
      <w:bookmarkStart w:name="_Hlk23260143" w:id="40"/>
      <w:r w:rsidR="001565AE">
        <w:t xml:space="preserve">TPCs must provide their TPC numbers to any panel producers receiving their TSCA Title VI certification services. EPA-recognized TPCs must notify their panel producer of a failed quarterly test in writing within 72 hours. Should an EPA-recognized TPC withdraw from the </w:t>
      </w:r>
      <w:r w:rsidR="0038196A">
        <w:t xml:space="preserve">TSCA Title VI </w:t>
      </w:r>
      <w:r w:rsidR="001565AE">
        <w:t xml:space="preserve">program or lose its accreditation, it will be required to notify all panel producers that receive its services within 72 hours. </w:t>
      </w:r>
    </w:p>
    <w:bookmarkEnd w:id="40"/>
    <w:p w:rsidR="007A0CBE" w:rsidP="007A0CBE" w:rsidRDefault="007A0CBE" w14:paraId="1A8A96EE" w14:textId="77777777">
      <w:pPr>
        <w:pStyle w:val="BodyText"/>
      </w:pPr>
      <w:r w:rsidRPr="007A0CBE">
        <w:rPr>
          <w:b/>
        </w:rPr>
        <w:t>Recordkeeping (data element D):</w:t>
      </w:r>
      <w:r>
        <w:rPr>
          <w:b/>
        </w:rPr>
        <w:t xml:space="preserve"> </w:t>
      </w:r>
      <w:r w:rsidRPr="00264AB2">
        <w:t xml:space="preserve">EPA-recognized TPCs </w:t>
      </w:r>
      <w:r w:rsidR="00FD1AE6">
        <w:t xml:space="preserve">are </w:t>
      </w:r>
      <w:r w:rsidRPr="00264AB2">
        <w:t xml:space="preserve">required to supply the following records to EPA within 30 days of request: 1) A list of panel producers that it has certified and their respective product types, including resin systems used; 2) The results of inspections and emission tests conducted for and linked to each panel producer and product type; 3) A list of laboratories it uses, test methods, including test conditions and conditioning time and quarterly test results; 4) The methods and results for establishing test method correlations and equivalence; 5) Documentation for NAF or ULEF third-party certification exemptions or ULEF reduced testing approvals, including the name of the panel producer, facility, products approved, type of resin systems used and dates of approval; 6) Documentation of reduced testing approval for panel producers of medium-density fiberboard or particleboard, including the name of the panel producer, products approved and dates of approval; and 7) A copy of the most recent assessment, reassessment, and/or surveillance on-site assessment report provided by its EPA-recognized </w:t>
      </w:r>
      <w:proofErr w:type="spellStart"/>
      <w:r w:rsidRPr="00264AB2">
        <w:t>ABs.</w:t>
      </w:r>
      <w:proofErr w:type="spellEnd"/>
      <w:r w:rsidRPr="00264AB2">
        <w:t xml:space="preserve"> These records must be maintained for 3 years.</w:t>
      </w:r>
    </w:p>
    <w:p w:rsidRPr="007A0CBE" w:rsidR="007A0CBE" w:rsidP="001565AE" w:rsidRDefault="007A0CBE" w14:paraId="61BC4F5F" w14:textId="3756B6D0">
      <w:pPr>
        <w:pStyle w:val="BodyText"/>
        <w:rPr>
          <w:b/>
        </w:rPr>
      </w:pPr>
      <w:r w:rsidRPr="007A0CBE">
        <w:rPr>
          <w:b/>
        </w:rPr>
        <w:t xml:space="preserve">Annual Report </w:t>
      </w:r>
      <w:r>
        <w:rPr>
          <w:b/>
        </w:rPr>
        <w:t xml:space="preserve">to EPA </w:t>
      </w:r>
      <w:r w:rsidRPr="007A0CBE">
        <w:rPr>
          <w:b/>
        </w:rPr>
        <w:t xml:space="preserve">(data element E): </w:t>
      </w:r>
      <w:bookmarkStart w:name="_Hlk23260399" w:id="41"/>
      <w:r w:rsidR="001565AE">
        <w:t xml:space="preserve">EPA-recognized product </w:t>
      </w:r>
      <w:r w:rsidR="009A39E2">
        <w:t>TPC</w:t>
      </w:r>
      <w:r w:rsidR="001565AE">
        <w:t xml:space="preserve">s </w:t>
      </w:r>
      <w:r w:rsidR="00FD1AE6">
        <w:t xml:space="preserve">are </w:t>
      </w:r>
      <w:r w:rsidR="001565AE">
        <w:t>required to</w:t>
      </w:r>
      <w:r w:rsidR="009A39E2">
        <w:t xml:space="preserve"> submit an annual report to EPA. </w:t>
      </w:r>
      <w:r w:rsidRPr="009A39E2" w:rsidR="009A39E2">
        <w:t xml:space="preserve">The report </w:t>
      </w:r>
      <w:r w:rsidR="0038196A">
        <w:t>must i</w:t>
      </w:r>
      <w:r w:rsidRPr="009A39E2" w:rsidR="009A39E2">
        <w:t>nclude: 1) A list of panel producers that the certifier has certified during the previous year and their products, including resins used and the average and range of formaldehyde emissions by panel producer, resin, and product type; 2) A list of any noncomplying products or events by a panel producer; 3) A list of laboratories and test methods used by the certifier; and 4) the results of inter-laboratory comparison or proficiency testing for the lab</w:t>
      </w:r>
      <w:r w:rsidR="009A39E2">
        <w:t>oratories used by the certifier</w:t>
      </w:r>
      <w:r w:rsidR="001565AE">
        <w:t>.</w:t>
      </w:r>
    </w:p>
    <w:bookmarkEnd w:id="41"/>
    <w:p w:rsidR="003C59BB" w:rsidP="003C59BB" w:rsidRDefault="003C59BB" w14:paraId="102EBFE3" w14:textId="7170B91E">
      <w:pPr>
        <w:pStyle w:val="BodyText"/>
        <w:rPr>
          <w:rFonts w:ascii="Times New Roman" w:hAnsi="Times New Roman"/>
        </w:rPr>
      </w:pPr>
      <w:r w:rsidRPr="003C59BB">
        <w:rPr>
          <w:b/>
        </w:rPr>
        <w:t>Notification</w:t>
      </w:r>
      <w:r w:rsidR="007A0CBE">
        <w:rPr>
          <w:b/>
        </w:rPr>
        <w:t>s</w:t>
      </w:r>
      <w:r w:rsidRPr="003C59BB">
        <w:rPr>
          <w:b/>
        </w:rPr>
        <w:t xml:space="preserve"> to </w:t>
      </w:r>
      <w:r w:rsidR="007A0CBE">
        <w:rPr>
          <w:b/>
        </w:rPr>
        <w:t>Accrediting Bodies (data element F)</w:t>
      </w:r>
      <w:r w:rsidRPr="003C59BB">
        <w:rPr>
          <w:b/>
        </w:rPr>
        <w:t>:</w:t>
      </w:r>
      <w:r w:rsidR="007A0CBE">
        <w:rPr>
          <w:b/>
        </w:rPr>
        <w:t xml:space="preserve"> </w:t>
      </w:r>
      <w:r w:rsidR="001565AE">
        <w:t>EPA-recognized</w:t>
      </w:r>
      <w:bookmarkStart w:name="_Hlk23260516" w:id="42"/>
      <w:r w:rsidR="001565AE">
        <w:t xml:space="preserve"> TPCs must provide any changes in personnel qualifications, procedures, or laboratories used to their EPA-recognized ABs within 30 calendar days.</w:t>
      </w:r>
    </w:p>
    <w:bookmarkEnd w:id="42"/>
    <w:p w:rsidR="007A0CBE" w:rsidP="009A39E2" w:rsidRDefault="007A0CBE" w14:paraId="50B85185" w14:textId="61978687">
      <w:pPr>
        <w:pStyle w:val="BodyText"/>
        <w:rPr>
          <w:rFonts w:ascii="Times New Roman" w:hAnsi="Times New Roman"/>
        </w:rPr>
      </w:pPr>
      <w:r w:rsidRPr="003C59BB">
        <w:rPr>
          <w:b/>
        </w:rPr>
        <w:t>Notification</w:t>
      </w:r>
      <w:r>
        <w:rPr>
          <w:b/>
        </w:rPr>
        <w:t>s</w:t>
      </w:r>
      <w:r w:rsidRPr="003C59BB">
        <w:rPr>
          <w:b/>
        </w:rPr>
        <w:t xml:space="preserve"> to </w:t>
      </w:r>
      <w:r>
        <w:rPr>
          <w:b/>
        </w:rPr>
        <w:t>EPA (data element G)</w:t>
      </w:r>
      <w:r w:rsidRPr="003C59BB">
        <w:rPr>
          <w:b/>
        </w:rPr>
        <w:t>:</w:t>
      </w:r>
      <w:r>
        <w:rPr>
          <w:b/>
        </w:rPr>
        <w:t xml:space="preserve"> </w:t>
      </w:r>
      <w:bookmarkStart w:name="_Hlk23260603" w:id="43"/>
      <w:r w:rsidRPr="009A39E2" w:rsidR="009A39E2">
        <w:t xml:space="preserve">Third party certifiers </w:t>
      </w:r>
      <w:r w:rsidR="00FD1AE6">
        <w:t xml:space="preserve">are </w:t>
      </w:r>
      <w:r w:rsidRPr="009A39E2" w:rsidR="009A39E2">
        <w:t>required to provide checklists and other records documenting compliance with the requirements for systems audits and on-site assessments of third-party certifiers to EPA within 30 days of request</w:t>
      </w:r>
      <w:r w:rsidR="009A39E2">
        <w:t xml:space="preserve">. </w:t>
      </w:r>
      <w:r w:rsidRPr="009A39E2" w:rsidR="009A39E2">
        <w:t>If a third-party certifier approves an application for reduced testing, it must notify and forward copies of the application for reduced testing to EPA within 30 days</w:t>
      </w:r>
      <w:r w:rsidR="009A39E2">
        <w:t>.</w:t>
      </w:r>
    </w:p>
    <w:bookmarkEnd w:id="43"/>
    <w:p w:rsidR="00264AB2" w:rsidP="003C59BB" w:rsidRDefault="003C59BB" w14:paraId="724CC800" w14:textId="3D21BD62">
      <w:pPr>
        <w:pStyle w:val="BodyText"/>
        <w:rPr>
          <w:rFonts w:eastAsiaTheme="minorHAnsi"/>
          <w:lang w:bidi="ar-SA"/>
        </w:rPr>
      </w:pPr>
      <w:r w:rsidRPr="003C59BB">
        <w:rPr>
          <w:b/>
        </w:rPr>
        <w:t>Assign a Registered Agent</w:t>
      </w:r>
      <w:r w:rsidR="007A0CBE">
        <w:rPr>
          <w:b/>
        </w:rPr>
        <w:t xml:space="preserve"> (data element H)</w:t>
      </w:r>
      <w:r w:rsidRPr="003C59BB">
        <w:rPr>
          <w:b/>
        </w:rPr>
        <w:t>:</w:t>
      </w:r>
      <w:r>
        <w:rPr>
          <w:b/>
        </w:rPr>
        <w:t xml:space="preserve"> </w:t>
      </w:r>
      <w:r w:rsidRPr="003C59BB">
        <w:t xml:space="preserve">Foreign TPCs are required to designate an agent for service in the United States in their applications. The agent </w:t>
      </w:r>
      <w:r w:rsidR="000D1D90">
        <w:t xml:space="preserve">must </w:t>
      </w:r>
      <w:r w:rsidRPr="003C59BB">
        <w:t>be capable of accepting service of notices and processes made in administrative and judicial proceedings.</w:t>
      </w:r>
      <w:r w:rsidR="007A0CBE">
        <w:rPr>
          <w:rFonts w:eastAsiaTheme="minorHAnsi"/>
          <w:highlight w:val="yellow"/>
          <w:lang w:bidi="ar-SA"/>
        </w:rPr>
        <w:t xml:space="preserve"> </w:t>
      </w:r>
    </w:p>
    <w:p w:rsidR="00035451" w:rsidP="00035451" w:rsidRDefault="00035451" w14:paraId="31EC7F35" w14:textId="57D313F4">
      <w:pPr>
        <w:pStyle w:val="BodyText"/>
      </w:pPr>
      <w:r>
        <w:t xml:space="preserve">See </w:t>
      </w:r>
      <w:r w:rsidR="00CD1AF1">
        <w:t>Attachment</w:t>
      </w:r>
      <w:r>
        <w:t xml:space="preserve"> </w:t>
      </w:r>
      <w:r w:rsidR="00D4207E">
        <w:t>3</w:t>
      </w:r>
      <w:r>
        <w:t xml:space="preserve"> for a detailed description of the assumptions used to estimate the burden and cost estimates presented in the IC# </w:t>
      </w:r>
      <w:r w:rsidR="0038196A">
        <w:t>6</w:t>
      </w:r>
      <w:r>
        <w:t xml:space="preserve"> table below.</w:t>
      </w:r>
    </w:p>
    <w:p w:rsidR="000525A8" w:rsidP="000525A8" w:rsidRDefault="000525A8" w14:paraId="71F1B1D2" w14:textId="3888617C">
      <w:pPr>
        <w:rPr>
          <w:highlight w:val="yellow"/>
        </w:rPr>
      </w:pPr>
    </w:p>
    <w:tbl>
      <w:tblPr>
        <w:tblW w:w="972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4"/>
        <w:gridCol w:w="1357"/>
        <w:gridCol w:w="1348"/>
        <w:gridCol w:w="1318"/>
        <w:gridCol w:w="1408"/>
        <w:gridCol w:w="1170"/>
        <w:gridCol w:w="1440"/>
      </w:tblGrid>
      <w:tr w:rsidRPr="0057276A" w:rsidR="00E62ECE" w:rsidTr="006F49C8" w14:paraId="3AAF5555" w14:textId="77777777">
        <w:tc>
          <w:tcPr>
            <w:tcW w:w="9725" w:type="dxa"/>
            <w:gridSpan w:val="7"/>
            <w:shd w:val="clear" w:color="auto" w:fill="BFBFBF" w:themeFill="background1" w:themeFillShade="BF"/>
            <w:vAlign w:val="center"/>
            <w:hideMark/>
          </w:tcPr>
          <w:p w:rsidRPr="00C11C35" w:rsidR="00E62ECE" w:rsidP="00D4207E" w:rsidRDefault="00E62ECE" w14:paraId="165AF680" w14:textId="51806586">
            <w:pPr>
              <w:keepNext/>
              <w:keepLines/>
              <w:rPr>
                <w:rFonts w:eastAsia="Times New Roman" w:cs="Arial"/>
                <w:b/>
                <w:bCs/>
                <w:sz w:val="22"/>
              </w:rPr>
            </w:pPr>
            <w:r w:rsidRPr="00C11C35">
              <w:rPr>
                <w:rFonts w:eastAsia="Times New Roman" w:cs="Arial"/>
                <w:b/>
                <w:bCs/>
                <w:sz w:val="22"/>
              </w:rPr>
              <w:lastRenderedPageBreak/>
              <w:t xml:space="preserve">IC# </w:t>
            </w:r>
            <w:r w:rsidR="0038196A">
              <w:rPr>
                <w:rFonts w:eastAsia="Times New Roman" w:cs="Arial"/>
                <w:b/>
                <w:bCs/>
                <w:sz w:val="22"/>
              </w:rPr>
              <w:t>6</w:t>
            </w:r>
            <w:r w:rsidRPr="00C11C35">
              <w:rPr>
                <w:rFonts w:eastAsia="Times New Roman" w:cs="Arial"/>
                <w:b/>
                <w:bCs/>
                <w:sz w:val="22"/>
              </w:rPr>
              <w:t>. Recordkeeping and Reporting Activities for Third Party Certifiers </w:t>
            </w:r>
          </w:p>
        </w:tc>
      </w:tr>
      <w:tr w:rsidRPr="0057276A" w:rsidR="00E62ECE" w:rsidTr="006F49C8" w14:paraId="2D933D01" w14:textId="77777777">
        <w:tc>
          <w:tcPr>
            <w:tcW w:w="9725" w:type="dxa"/>
            <w:gridSpan w:val="7"/>
            <w:shd w:val="clear" w:color="auto" w:fill="BFBFBF" w:themeFill="background1" w:themeFillShade="BF"/>
            <w:vAlign w:val="center"/>
            <w:hideMark/>
          </w:tcPr>
          <w:p w:rsidRPr="00C11C35" w:rsidR="00E62ECE" w:rsidP="00C11C35" w:rsidRDefault="00E62ECE" w14:paraId="736966A2" w14:textId="0BB49222">
            <w:pPr>
              <w:keepNext/>
              <w:keepLines/>
              <w:jc w:val="center"/>
              <w:rPr>
                <w:rFonts w:eastAsia="Times New Roman" w:cs="Arial"/>
                <w:b/>
                <w:bCs/>
                <w:sz w:val="22"/>
              </w:rPr>
            </w:pPr>
            <w:r w:rsidRPr="00C11C35">
              <w:rPr>
                <w:rFonts w:eastAsia="Times New Roman" w:cs="Arial"/>
                <w:b/>
                <w:bCs/>
                <w:sz w:val="22"/>
              </w:rPr>
              <w:t>Citation: 4</w:t>
            </w:r>
            <w:r w:rsidRPr="000A1B41">
              <w:rPr>
                <w:rFonts w:eastAsia="Times New Roman" w:cs="Arial"/>
                <w:b/>
                <w:bCs/>
                <w:sz w:val="22"/>
              </w:rPr>
              <w:t xml:space="preserve">0 CFR </w:t>
            </w:r>
            <w:r w:rsidRPr="000A1B41" w:rsidR="00035451">
              <w:rPr>
                <w:rFonts w:eastAsia="Times New Roman" w:cs="Arial"/>
                <w:b/>
                <w:bCs/>
                <w:sz w:val="22"/>
              </w:rPr>
              <w:t>770</w:t>
            </w:r>
          </w:p>
        </w:tc>
      </w:tr>
      <w:tr w:rsidRPr="0057276A" w:rsidR="00972548" w:rsidTr="006F49C8" w14:paraId="33C79380" w14:textId="77777777">
        <w:tc>
          <w:tcPr>
            <w:tcW w:w="1684" w:type="dxa"/>
            <w:shd w:val="clear" w:color="auto" w:fill="BFBFBF" w:themeFill="background1" w:themeFillShade="BF"/>
            <w:vAlign w:val="center"/>
            <w:hideMark/>
          </w:tcPr>
          <w:p w:rsidRPr="00C11C35" w:rsidR="00972548" w:rsidP="00972548" w:rsidRDefault="00972548" w14:paraId="0498156D" w14:textId="77777777">
            <w:pPr>
              <w:keepNext/>
              <w:keepLines/>
              <w:rPr>
                <w:rFonts w:eastAsia="Times New Roman" w:cs="Arial"/>
                <w:b/>
                <w:bCs/>
                <w:sz w:val="18"/>
                <w:szCs w:val="18"/>
              </w:rPr>
            </w:pPr>
            <w:r w:rsidRPr="00C11C35">
              <w:rPr>
                <w:rFonts w:eastAsia="Times New Roman" w:cs="Arial"/>
                <w:b/>
                <w:bCs/>
                <w:sz w:val="18"/>
                <w:szCs w:val="18"/>
              </w:rPr>
              <w:t>Data Element</w:t>
            </w:r>
          </w:p>
        </w:tc>
        <w:tc>
          <w:tcPr>
            <w:tcW w:w="1357" w:type="dxa"/>
            <w:tcBorders>
              <w:bottom w:val="single" w:color="auto" w:sz="4" w:space="0"/>
            </w:tcBorders>
            <w:shd w:val="clear" w:color="auto" w:fill="BFBFBF" w:themeFill="background1" w:themeFillShade="BF"/>
            <w:vAlign w:val="center"/>
            <w:hideMark/>
          </w:tcPr>
          <w:p w:rsidRPr="00C11C35" w:rsidR="00972548" w:rsidP="00972548" w:rsidRDefault="00972548" w14:paraId="50E71791" w14:textId="7D83C0C8">
            <w:pPr>
              <w:keepNext/>
              <w:keepLines/>
              <w:jc w:val="center"/>
              <w:rPr>
                <w:rFonts w:eastAsia="Times New Roman" w:cs="Arial"/>
                <w:b/>
                <w:bCs/>
                <w:sz w:val="18"/>
                <w:szCs w:val="18"/>
              </w:rPr>
            </w:pPr>
            <w:r w:rsidRPr="009176B4">
              <w:rPr>
                <w:rFonts w:eastAsia="Times New Roman" w:cs="Arial"/>
                <w:b/>
                <w:bCs/>
                <w:sz w:val="18"/>
                <w:szCs w:val="18"/>
              </w:rPr>
              <w:t>Respondents</w:t>
            </w:r>
          </w:p>
        </w:tc>
        <w:tc>
          <w:tcPr>
            <w:tcW w:w="1348" w:type="dxa"/>
            <w:shd w:val="clear" w:color="auto" w:fill="BFBFBF" w:themeFill="background1" w:themeFillShade="BF"/>
            <w:vAlign w:val="center"/>
            <w:hideMark/>
          </w:tcPr>
          <w:p w:rsidRPr="00C11C35" w:rsidR="00972548" w:rsidP="00972548" w:rsidRDefault="00972548" w14:paraId="4C7FF416" w14:textId="686D4877">
            <w:pPr>
              <w:keepNext/>
              <w:keepLines/>
              <w:jc w:val="center"/>
              <w:rPr>
                <w:rFonts w:eastAsia="Times New Roman" w:cs="Arial"/>
                <w:b/>
                <w:bCs/>
                <w:sz w:val="18"/>
                <w:szCs w:val="18"/>
              </w:rPr>
            </w:pPr>
            <w:r w:rsidRPr="009176B4">
              <w:rPr>
                <w:rFonts w:eastAsia="Times New Roman" w:cs="Arial"/>
                <w:b/>
                <w:bCs/>
                <w:sz w:val="18"/>
                <w:szCs w:val="18"/>
              </w:rPr>
              <w:t>Responses</w:t>
            </w:r>
          </w:p>
        </w:tc>
        <w:tc>
          <w:tcPr>
            <w:tcW w:w="1318" w:type="dxa"/>
            <w:shd w:val="clear" w:color="auto" w:fill="BFBFBF" w:themeFill="background1" w:themeFillShade="BF"/>
            <w:vAlign w:val="center"/>
            <w:hideMark/>
          </w:tcPr>
          <w:p w:rsidRPr="00C11C35" w:rsidR="00972548" w:rsidP="00972548" w:rsidRDefault="00972548" w14:paraId="63C3C4BC" w14:textId="5A2E0EEC">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Burden</w:t>
            </w:r>
            <w:r>
              <w:rPr>
                <w:rFonts w:eastAsia="Times New Roman" w:cs="Arial"/>
                <w:b/>
                <w:bCs/>
                <w:sz w:val="18"/>
                <w:szCs w:val="18"/>
              </w:rPr>
              <w:t xml:space="preserve"> </w:t>
            </w:r>
            <w:r w:rsidR="00525D83">
              <w:rPr>
                <w:rFonts w:eastAsia="Times New Roman" w:cs="Arial"/>
                <w:b/>
                <w:bCs/>
                <w:sz w:val="18"/>
                <w:szCs w:val="18"/>
              </w:rPr>
              <w:t>(</w:t>
            </w:r>
            <w:r>
              <w:rPr>
                <w:rFonts w:eastAsia="Times New Roman" w:cs="Arial"/>
                <w:b/>
                <w:bCs/>
                <w:sz w:val="18"/>
                <w:szCs w:val="18"/>
              </w:rPr>
              <w:t>Hours</w:t>
            </w:r>
            <w:r w:rsidR="00525D83">
              <w:rPr>
                <w:rFonts w:eastAsia="Times New Roman" w:cs="Arial"/>
                <w:b/>
                <w:bCs/>
                <w:sz w:val="18"/>
                <w:szCs w:val="18"/>
              </w:rPr>
              <w:t>)</w:t>
            </w:r>
          </w:p>
        </w:tc>
        <w:tc>
          <w:tcPr>
            <w:tcW w:w="1408" w:type="dxa"/>
            <w:shd w:val="clear" w:color="auto" w:fill="BFBFBF" w:themeFill="background1" w:themeFillShade="BF"/>
            <w:vAlign w:val="center"/>
            <w:hideMark/>
          </w:tcPr>
          <w:p w:rsidRPr="00C11C35" w:rsidR="00972548" w:rsidP="00972548" w:rsidRDefault="00972548" w14:paraId="685F4AD8" w14:textId="5116181D">
            <w:pPr>
              <w:keepNext/>
              <w:keepLines/>
              <w:jc w:val="center"/>
              <w:rPr>
                <w:rFonts w:eastAsia="Times New Roman" w:cs="Arial"/>
                <w:b/>
                <w:bCs/>
                <w:sz w:val="18"/>
                <w:szCs w:val="18"/>
              </w:rPr>
            </w:pPr>
            <w:r>
              <w:rPr>
                <w:rFonts w:eastAsia="Times New Roman" w:cs="Arial"/>
                <w:b/>
                <w:bCs/>
                <w:sz w:val="18"/>
                <w:szCs w:val="18"/>
              </w:rPr>
              <w:t xml:space="preserve">Total </w:t>
            </w:r>
            <w:r w:rsidRPr="009176B4">
              <w:rPr>
                <w:rFonts w:eastAsia="Times New Roman" w:cs="Arial"/>
                <w:b/>
                <w:bCs/>
                <w:sz w:val="18"/>
                <w:szCs w:val="18"/>
              </w:rPr>
              <w:t>Labor Cost</w:t>
            </w:r>
          </w:p>
        </w:tc>
        <w:tc>
          <w:tcPr>
            <w:tcW w:w="1170" w:type="dxa"/>
            <w:shd w:val="clear" w:color="auto" w:fill="BFBFBF" w:themeFill="background1" w:themeFillShade="BF"/>
            <w:vAlign w:val="center"/>
            <w:hideMark/>
          </w:tcPr>
          <w:p w:rsidRPr="00C11C35" w:rsidR="00972548" w:rsidP="00972548" w:rsidRDefault="00972548" w14:paraId="2AC7258C" w14:textId="5FD7368C">
            <w:pPr>
              <w:keepNext/>
              <w:keepLines/>
              <w:jc w:val="center"/>
              <w:rPr>
                <w:rFonts w:eastAsia="Times New Roman" w:cs="Arial"/>
                <w:b/>
                <w:bCs/>
                <w:sz w:val="18"/>
                <w:szCs w:val="18"/>
              </w:rPr>
            </w:pPr>
            <w:r>
              <w:rPr>
                <w:rFonts w:eastAsia="Times New Roman" w:cs="Arial"/>
                <w:b/>
                <w:bCs/>
                <w:sz w:val="18"/>
                <w:szCs w:val="18"/>
              </w:rPr>
              <w:t xml:space="preserve">Total Non-Labor </w:t>
            </w:r>
            <w:r w:rsidRPr="009176B4">
              <w:rPr>
                <w:rFonts w:eastAsia="Times New Roman" w:cs="Arial"/>
                <w:b/>
                <w:bCs/>
                <w:sz w:val="18"/>
                <w:szCs w:val="18"/>
              </w:rPr>
              <w:t xml:space="preserve"> Cost</w:t>
            </w:r>
          </w:p>
        </w:tc>
        <w:tc>
          <w:tcPr>
            <w:tcW w:w="1440" w:type="dxa"/>
            <w:shd w:val="clear" w:color="auto" w:fill="BFBFBF" w:themeFill="background1" w:themeFillShade="BF"/>
            <w:vAlign w:val="center"/>
            <w:hideMark/>
          </w:tcPr>
          <w:p w:rsidRPr="00C11C35" w:rsidR="00972548" w:rsidP="00972548" w:rsidRDefault="00972548" w14:paraId="34F846F9" w14:textId="68AFCF79">
            <w:pPr>
              <w:keepNext/>
              <w:keepLines/>
              <w:jc w:val="center"/>
              <w:rPr>
                <w:rFonts w:eastAsia="Times New Roman" w:cs="Arial"/>
                <w:b/>
                <w:bCs/>
                <w:sz w:val="18"/>
                <w:szCs w:val="18"/>
              </w:rPr>
            </w:pPr>
            <w:r w:rsidRPr="009176B4">
              <w:rPr>
                <w:rFonts w:eastAsia="Times New Roman" w:cs="Arial"/>
                <w:b/>
                <w:bCs/>
                <w:sz w:val="18"/>
                <w:szCs w:val="18"/>
              </w:rPr>
              <w:t>Total Cost</w:t>
            </w:r>
          </w:p>
        </w:tc>
      </w:tr>
      <w:tr w:rsidRPr="0057276A" w:rsidR="002755C5" w:rsidTr="006F49C8" w14:paraId="3251B35C" w14:textId="77777777">
        <w:tc>
          <w:tcPr>
            <w:tcW w:w="1684" w:type="dxa"/>
            <w:shd w:val="clear" w:color="auto" w:fill="auto"/>
            <w:vAlign w:val="bottom"/>
            <w:hideMark/>
          </w:tcPr>
          <w:p w:rsidRPr="004244C5" w:rsidR="002755C5" w:rsidP="002755C5" w:rsidRDefault="002755C5" w14:paraId="7BDA0DD9" w14:textId="77616528">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CDX Registration Electronically</w:t>
            </w:r>
          </w:p>
          <w:p w:rsidRPr="004244C5" w:rsidR="002755C5" w:rsidP="002755C5" w:rsidRDefault="002755C5" w14:paraId="0A727590" w14:textId="45C3993A">
            <w:pPr>
              <w:pStyle w:val="ListParagraph"/>
              <w:keepNext/>
              <w:keepLines/>
              <w:ind w:left="257"/>
              <w:rPr>
                <w:rFonts w:eastAsia="Times New Roman" w:cs="Arial"/>
                <w:color w:val="000000"/>
                <w:sz w:val="18"/>
                <w:szCs w:val="18"/>
              </w:rPr>
            </w:pPr>
            <w:r w:rsidRPr="004244C5">
              <w:rPr>
                <w:rFonts w:cs="Arial"/>
                <w:color w:val="000000"/>
                <w:sz w:val="18"/>
                <w:szCs w:val="18"/>
              </w:rPr>
              <w:t>(domestic TPCs)</w:t>
            </w:r>
          </w:p>
        </w:tc>
        <w:tc>
          <w:tcPr>
            <w:tcW w:w="1357" w:type="dxa"/>
            <w:shd w:val="clear" w:color="auto" w:fill="auto"/>
            <w:vAlign w:val="center"/>
          </w:tcPr>
          <w:p w:rsidRPr="00831E42" w:rsidR="002755C5" w:rsidRDefault="002755C5" w14:paraId="0B9E881C" w14:textId="585C2CA3">
            <w:pPr>
              <w:keepNext/>
              <w:keepLines/>
              <w:jc w:val="right"/>
              <w:rPr>
                <w:rFonts w:cs="Arial"/>
                <w:color w:val="000000"/>
                <w:sz w:val="18"/>
                <w:szCs w:val="18"/>
              </w:rPr>
            </w:pPr>
            <w:r w:rsidRPr="004244C5">
              <w:rPr>
                <w:rFonts w:cs="Arial"/>
                <w:color w:val="000000"/>
                <w:sz w:val="18"/>
                <w:szCs w:val="18"/>
              </w:rPr>
              <w:t>11</w:t>
            </w:r>
          </w:p>
        </w:tc>
        <w:tc>
          <w:tcPr>
            <w:tcW w:w="1348" w:type="dxa"/>
            <w:shd w:val="clear" w:color="auto" w:fill="auto"/>
            <w:vAlign w:val="center"/>
            <w:hideMark/>
          </w:tcPr>
          <w:p w:rsidRPr="00831E42" w:rsidR="002755C5" w:rsidRDefault="002755C5" w14:paraId="5BD86121" w14:textId="41CA5893">
            <w:pPr>
              <w:keepNext/>
              <w:keepLines/>
              <w:jc w:val="right"/>
              <w:rPr>
                <w:rFonts w:cs="Arial"/>
                <w:color w:val="000000"/>
                <w:sz w:val="18"/>
                <w:szCs w:val="18"/>
              </w:rPr>
            </w:pPr>
            <w:r w:rsidRPr="004244C5">
              <w:rPr>
                <w:rFonts w:cs="Arial"/>
                <w:color w:val="000000"/>
                <w:sz w:val="18"/>
                <w:szCs w:val="18"/>
              </w:rPr>
              <w:t>3</w:t>
            </w:r>
          </w:p>
        </w:tc>
        <w:tc>
          <w:tcPr>
            <w:tcW w:w="1318" w:type="dxa"/>
            <w:shd w:val="clear" w:color="auto" w:fill="auto"/>
            <w:vAlign w:val="center"/>
            <w:hideMark/>
          </w:tcPr>
          <w:p w:rsidRPr="00831E42" w:rsidR="002755C5" w:rsidRDefault="002755C5" w14:paraId="1713095B" w14:textId="1A6E6CB0">
            <w:pPr>
              <w:keepNext/>
              <w:keepLines/>
              <w:jc w:val="right"/>
              <w:rPr>
                <w:rFonts w:cs="Arial"/>
                <w:color w:val="000000"/>
                <w:sz w:val="18"/>
                <w:szCs w:val="18"/>
              </w:rPr>
            </w:pPr>
            <w:r>
              <w:rPr>
                <w:rFonts w:cs="Arial"/>
                <w:color w:val="000000"/>
                <w:sz w:val="18"/>
                <w:szCs w:val="18"/>
              </w:rPr>
              <w:t>1.6</w:t>
            </w:r>
          </w:p>
        </w:tc>
        <w:tc>
          <w:tcPr>
            <w:tcW w:w="1408" w:type="dxa"/>
            <w:shd w:val="clear" w:color="auto" w:fill="auto"/>
            <w:vAlign w:val="center"/>
            <w:hideMark/>
          </w:tcPr>
          <w:p w:rsidRPr="00831E42" w:rsidR="002755C5" w:rsidRDefault="002755C5" w14:paraId="505A9DC8" w14:textId="194C6D76">
            <w:pPr>
              <w:keepNext/>
              <w:keepLines/>
              <w:jc w:val="right"/>
              <w:rPr>
                <w:rFonts w:cs="Arial"/>
                <w:color w:val="000000"/>
                <w:sz w:val="18"/>
                <w:szCs w:val="18"/>
              </w:rPr>
            </w:pPr>
            <w:r w:rsidRPr="00831E42">
              <w:rPr>
                <w:rFonts w:cs="Arial"/>
                <w:color w:val="000000"/>
                <w:sz w:val="18"/>
                <w:szCs w:val="18"/>
              </w:rPr>
              <w:t>$113.96</w:t>
            </w:r>
          </w:p>
        </w:tc>
        <w:tc>
          <w:tcPr>
            <w:tcW w:w="1170" w:type="dxa"/>
            <w:shd w:val="clear" w:color="auto" w:fill="auto"/>
            <w:vAlign w:val="center"/>
            <w:hideMark/>
          </w:tcPr>
          <w:p w:rsidRPr="00831E42" w:rsidR="002755C5" w:rsidRDefault="002755C5" w14:paraId="3F63E490" w14:textId="24101352">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hideMark/>
          </w:tcPr>
          <w:p w:rsidRPr="00831E42" w:rsidR="002755C5" w:rsidRDefault="002755C5" w14:paraId="76443928" w14:textId="17C20742">
            <w:pPr>
              <w:keepNext/>
              <w:keepLines/>
              <w:jc w:val="right"/>
              <w:rPr>
                <w:rFonts w:cs="Arial"/>
                <w:color w:val="000000"/>
                <w:sz w:val="18"/>
                <w:szCs w:val="18"/>
              </w:rPr>
            </w:pPr>
            <w:r w:rsidRPr="00831E42">
              <w:rPr>
                <w:rFonts w:cs="Arial"/>
                <w:color w:val="000000"/>
                <w:sz w:val="18"/>
                <w:szCs w:val="18"/>
              </w:rPr>
              <w:t>$113.96</w:t>
            </w:r>
          </w:p>
        </w:tc>
      </w:tr>
      <w:tr w:rsidRPr="0057276A" w:rsidR="002755C5" w:rsidTr="006F49C8" w14:paraId="13D03ECA" w14:textId="77777777">
        <w:tc>
          <w:tcPr>
            <w:tcW w:w="1684" w:type="dxa"/>
            <w:shd w:val="clear" w:color="auto" w:fill="auto"/>
            <w:vAlign w:val="bottom"/>
            <w:hideMark/>
          </w:tcPr>
          <w:p w:rsidRPr="004244C5" w:rsidR="002755C5" w:rsidP="002755C5" w:rsidRDefault="002755C5" w14:paraId="2933F03E" w14:textId="46DEC00C">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CDX Registration on Paper</w:t>
            </w:r>
          </w:p>
          <w:p w:rsidRPr="004244C5" w:rsidR="002755C5" w:rsidP="002755C5" w:rsidRDefault="002755C5" w14:paraId="035AA5C5" w14:textId="77523E7B">
            <w:pPr>
              <w:pStyle w:val="ListParagraph"/>
              <w:keepNext/>
              <w:keepLines/>
              <w:ind w:left="257"/>
              <w:rPr>
                <w:rFonts w:eastAsia="Times New Roman" w:cs="Arial"/>
                <w:color w:val="000000"/>
                <w:sz w:val="18"/>
                <w:szCs w:val="18"/>
              </w:rPr>
            </w:pPr>
            <w:r w:rsidRPr="004244C5">
              <w:rPr>
                <w:rFonts w:cs="Arial"/>
                <w:color w:val="000000"/>
                <w:sz w:val="18"/>
                <w:szCs w:val="18"/>
              </w:rPr>
              <w:t>(foreign TPCs)</w:t>
            </w:r>
          </w:p>
        </w:tc>
        <w:tc>
          <w:tcPr>
            <w:tcW w:w="1357" w:type="dxa"/>
            <w:shd w:val="clear" w:color="auto" w:fill="auto"/>
            <w:vAlign w:val="center"/>
          </w:tcPr>
          <w:p w:rsidRPr="00831E42" w:rsidR="002755C5" w:rsidRDefault="002755C5" w14:paraId="6633E10A" w14:textId="03DAF856">
            <w:pPr>
              <w:keepNext/>
              <w:keepLines/>
              <w:jc w:val="right"/>
              <w:rPr>
                <w:rFonts w:cs="Arial"/>
                <w:color w:val="000000"/>
                <w:sz w:val="18"/>
                <w:szCs w:val="18"/>
              </w:rPr>
            </w:pPr>
            <w:r w:rsidRPr="004244C5">
              <w:rPr>
                <w:rFonts w:cs="Arial"/>
                <w:color w:val="000000"/>
                <w:sz w:val="18"/>
                <w:szCs w:val="18"/>
              </w:rPr>
              <w:t>25</w:t>
            </w:r>
          </w:p>
        </w:tc>
        <w:tc>
          <w:tcPr>
            <w:tcW w:w="1348" w:type="dxa"/>
            <w:shd w:val="clear" w:color="auto" w:fill="auto"/>
            <w:vAlign w:val="center"/>
            <w:hideMark/>
          </w:tcPr>
          <w:p w:rsidRPr="00831E42" w:rsidR="002755C5" w:rsidRDefault="002755C5" w14:paraId="6F4D1ABD" w14:textId="7A463D49">
            <w:pPr>
              <w:keepNext/>
              <w:keepLines/>
              <w:jc w:val="right"/>
              <w:rPr>
                <w:rFonts w:cs="Arial"/>
                <w:color w:val="000000"/>
                <w:sz w:val="18"/>
                <w:szCs w:val="18"/>
              </w:rPr>
            </w:pPr>
            <w:r w:rsidRPr="004244C5">
              <w:rPr>
                <w:rFonts w:cs="Arial"/>
                <w:color w:val="000000"/>
                <w:sz w:val="18"/>
                <w:szCs w:val="18"/>
              </w:rPr>
              <w:t>8</w:t>
            </w:r>
          </w:p>
        </w:tc>
        <w:tc>
          <w:tcPr>
            <w:tcW w:w="1318" w:type="dxa"/>
            <w:shd w:val="clear" w:color="auto" w:fill="auto"/>
            <w:vAlign w:val="center"/>
            <w:hideMark/>
          </w:tcPr>
          <w:p w:rsidRPr="00831E42" w:rsidR="002755C5" w:rsidRDefault="002755C5" w14:paraId="7C07CA41" w14:textId="099D39FC">
            <w:pPr>
              <w:keepNext/>
              <w:keepLines/>
              <w:jc w:val="right"/>
              <w:rPr>
                <w:rFonts w:cs="Arial"/>
                <w:color w:val="000000"/>
                <w:sz w:val="18"/>
                <w:szCs w:val="18"/>
              </w:rPr>
            </w:pPr>
            <w:r>
              <w:rPr>
                <w:rFonts w:cs="Arial"/>
                <w:color w:val="000000"/>
                <w:sz w:val="18"/>
                <w:szCs w:val="18"/>
              </w:rPr>
              <w:t>3.9</w:t>
            </w:r>
          </w:p>
        </w:tc>
        <w:tc>
          <w:tcPr>
            <w:tcW w:w="1408" w:type="dxa"/>
            <w:shd w:val="clear" w:color="auto" w:fill="auto"/>
            <w:vAlign w:val="center"/>
            <w:hideMark/>
          </w:tcPr>
          <w:p w:rsidRPr="00831E42" w:rsidR="002755C5" w:rsidRDefault="002755C5" w14:paraId="51E71AB8" w14:textId="6FC62534">
            <w:pPr>
              <w:keepNext/>
              <w:keepLines/>
              <w:jc w:val="right"/>
              <w:rPr>
                <w:rFonts w:cs="Arial"/>
                <w:color w:val="000000"/>
                <w:sz w:val="18"/>
                <w:szCs w:val="18"/>
              </w:rPr>
            </w:pPr>
            <w:r w:rsidRPr="00831E42">
              <w:rPr>
                <w:rFonts w:cs="Arial"/>
                <w:color w:val="000000"/>
                <w:sz w:val="18"/>
                <w:szCs w:val="18"/>
              </w:rPr>
              <w:t>$274.62</w:t>
            </w:r>
          </w:p>
        </w:tc>
        <w:tc>
          <w:tcPr>
            <w:tcW w:w="1170" w:type="dxa"/>
            <w:shd w:val="clear" w:color="auto" w:fill="auto"/>
            <w:vAlign w:val="center"/>
            <w:hideMark/>
          </w:tcPr>
          <w:p w:rsidRPr="00831E42" w:rsidR="002755C5" w:rsidRDefault="002755C5" w14:paraId="29F8EF78" w14:textId="1F8E1F9F">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hideMark/>
          </w:tcPr>
          <w:p w:rsidRPr="00831E42" w:rsidR="002755C5" w:rsidRDefault="002755C5" w14:paraId="4E079447" w14:textId="2A5FE79C">
            <w:pPr>
              <w:keepNext/>
              <w:keepLines/>
              <w:jc w:val="right"/>
              <w:rPr>
                <w:rFonts w:cs="Arial"/>
                <w:color w:val="000000"/>
                <w:sz w:val="18"/>
                <w:szCs w:val="18"/>
              </w:rPr>
            </w:pPr>
            <w:r w:rsidRPr="00831E42">
              <w:rPr>
                <w:rFonts w:cs="Arial"/>
                <w:color w:val="000000"/>
                <w:sz w:val="18"/>
                <w:szCs w:val="18"/>
              </w:rPr>
              <w:t>$274.62</w:t>
            </w:r>
          </w:p>
        </w:tc>
      </w:tr>
      <w:tr w:rsidRPr="0057276A" w:rsidR="002755C5" w:rsidTr="006F49C8" w14:paraId="4C9C36B6" w14:textId="77777777">
        <w:tc>
          <w:tcPr>
            <w:tcW w:w="1684" w:type="dxa"/>
            <w:shd w:val="clear" w:color="auto" w:fill="auto"/>
            <w:vAlign w:val="bottom"/>
            <w:hideMark/>
          </w:tcPr>
          <w:p w:rsidRPr="004244C5" w:rsidR="002755C5" w:rsidP="002755C5" w:rsidRDefault="002755C5" w14:paraId="11E6D16D" w14:textId="7E5A95E6">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 xml:space="preserve">Notifications to manufacturers </w:t>
            </w:r>
          </w:p>
          <w:p w:rsidRPr="004244C5" w:rsidR="002755C5" w:rsidP="002755C5" w:rsidRDefault="002755C5" w14:paraId="37057A70" w14:textId="48702922">
            <w:pPr>
              <w:pStyle w:val="ListParagraph"/>
              <w:keepNext/>
              <w:keepLines/>
              <w:ind w:left="257"/>
              <w:rPr>
                <w:rFonts w:eastAsia="Times New Roman" w:cs="Arial"/>
                <w:color w:val="000000"/>
                <w:sz w:val="18"/>
                <w:szCs w:val="18"/>
              </w:rPr>
            </w:pPr>
            <w:r w:rsidRPr="004244C5">
              <w:rPr>
                <w:rFonts w:cs="Arial"/>
                <w:color w:val="000000"/>
                <w:sz w:val="18"/>
                <w:szCs w:val="18"/>
              </w:rPr>
              <w:t>(all TPCs)</w:t>
            </w:r>
          </w:p>
        </w:tc>
        <w:tc>
          <w:tcPr>
            <w:tcW w:w="1357" w:type="dxa"/>
            <w:shd w:val="clear" w:color="auto" w:fill="auto"/>
            <w:vAlign w:val="center"/>
          </w:tcPr>
          <w:p w:rsidRPr="00831E42" w:rsidR="002755C5" w:rsidRDefault="002755C5" w14:paraId="1FB72C10" w14:textId="7A69D0CC">
            <w:pPr>
              <w:keepNext/>
              <w:keepLines/>
              <w:jc w:val="right"/>
              <w:rPr>
                <w:rFonts w:cs="Arial"/>
                <w:color w:val="000000"/>
                <w:sz w:val="18"/>
                <w:szCs w:val="18"/>
              </w:rPr>
            </w:pPr>
            <w:r w:rsidRPr="004244C5">
              <w:rPr>
                <w:rFonts w:cs="Arial"/>
                <w:color w:val="000000"/>
                <w:sz w:val="18"/>
                <w:szCs w:val="18"/>
              </w:rPr>
              <w:t>36</w:t>
            </w:r>
          </w:p>
        </w:tc>
        <w:tc>
          <w:tcPr>
            <w:tcW w:w="1348" w:type="dxa"/>
            <w:shd w:val="clear" w:color="auto" w:fill="auto"/>
            <w:vAlign w:val="center"/>
            <w:hideMark/>
          </w:tcPr>
          <w:p w:rsidRPr="00831E42" w:rsidR="002755C5" w:rsidRDefault="002755C5" w14:paraId="512219EF" w14:textId="5BC499AD">
            <w:pPr>
              <w:keepNext/>
              <w:keepLines/>
              <w:jc w:val="right"/>
              <w:rPr>
                <w:rFonts w:cs="Arial"/>
                <w:color w:val="000000"/>
                <w:sz w:val="18"/>
                <w:szCs w:val="18"/>
              </w:rPr>
            </w:pPr>
            <w:r w:rsidRPr="004244C5">
              <w:rPr>
                <w:rFonts w:cs="Arial"/>
                <w:color w:val="000000"/>
                <w:sz w:val="18"/>
                <w:szCs w:val="18"/>
              </w:rPr>
              <w:t>36</w:t>
            </w:r>
          </w:p>
        </w:tc>
        <w:tc>
          <w:tcPr>
            <w:tcW w:w="1318" w:type="dxa"/>
            <w:shd w:val="clear" w:color="auto" w:fill="auto"/>
            <w:vAlign w:val="center"/>
            <w:hideMark/>
          </w:tcPr>
          <w:p w:rsidRPr="00831E42" w:rsidR="002755C5" w:rsidRDefault="002755C5" w14:paraId="2449C18A" w14:textId="3C452523">
            <w:pPr>
              <w:keepNext/>
              <w:keepLines/>
              <w:jc w:val="right"/>
              <w:rPr>
                <w:rFonts w:cs="Arial"/>
                <w:color w:val="000000"/>
                <w:sz w:val="18"/>
                <w:szCs w:val="18"/>
              </w:rPr>
            </w:pPr>
            <w:r>
              <w:rPr>
                <w:rFonts w:cs="Arial"/>
                <w:color w:val="000000"/>
                <w:sz w:val="18"/>
                <w:szCs w:val="18"/>
              </w:rPr>
              <w:t>2.7</w:t>
            </w:r>
          </w:p>
        </w:tc>
        <w:tc>
          <w:tcPr>
            <w:tcW w:w="1408" w:type="dxa"/>
            <w:shd w:val="clear" w:color="auto" w:fill="auto"/>
            <w:vAlign w:val="center"/>
            <w:hideMark/>
          </w:tcPr>
          <w:p w:rsidRPr="00831E42" w:rsidR="002755C5" w:rsidRDefault="002755C5" w14:paraId="3C928B32" w14:textId="43AE84E9">
            <w:pPr>
              <w:keepNext/>
              <w:keepLines/>
              <w:jc w:val="right"/>
              <w:rPr>
                <w:rFonts w:cs="Arial"/>
                <w:color w:val="000000"/>
                <w:sz w:val="18"/>
                <w:szCs w:val="18"/>
              </w:rPr>
            </w:pPr>
            <w:r w:rsidRPr="00831E42">
              <w:rPr>
                <w:rFonts w:cs="Arial"/>
                <w:color w:val="000000"/>
                <w:sz w:val="18"/>
                <w:szCs w:val="18"/>
              </w:rPr>
              <w:t>$189.41</w:t>
            </w:r>
          </w:p>
        </w:tc>
        <w:tc>
          <w:tcPr>
            <w:tcW w:w="1170" w:type="dxa"/>
            <w:shd w:val="clear" w:color="auto" w:fill="auto"/>
            <w:vAlign w:val="center"/>
            <w:hideMark/>
          </w:tcPr>
          <w:p w:rsidRPr="00831E42" w:rsidR="002755C5" w:rsidRDefault="002755C5" w14:paraId="5CF2E29E" w14:textId="192DA647">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hideMark/>
          </w:tcPr>
          <w:p w:rsidRPr="00831E42" w:rsidR="002755C5" w:rsidRDefault="002755C5" w14:paraId="6CEC9EFD" w14:textId="0750BE26">
            <w:pPr>
              <w:keepNext/>
              <w:keepLines/>
              <w:jc w:val="right"/>
              <w:rPr>
                <w:rFonts w:cs="Arial"/>
                <w:color w:val="000000"/>
                <w:sz w:val="18"/>
                <w:szCs w:val="18"/>
              </w:rPr>
            </w:pPr>
            <w:r w:rsidRPr="00831E42">
              <w:rPr>
                <w:rFonts w:cs="Arial"/>
                <w:color w:val="000000"/>
                <w:sz w:val="18"/>
                <w:szCs w:val="18"/>
              </w:rPr>
              <w:t>$189.41</w:t>
            </w:r>
          </w:p>
        </w:tc>
      </w:tr>
      <w:tr w:rsidRPr="0057276A" w:rsidR="002755C5" w:rsidTr="006F49C8" w14:paraId="65F1E5AB" w14:textId="77777777">
        <w:tc>
          <w:tcPr>
            <w:tcW w:w="1684" w:type="dxa"/>
            <w:shd w:val="clear" w:color="auto" w:fill="auto"/>
            <w:vAlign w:val="bottom"/>
          </w:tcPr>
          <w:p w:rsidRPr="004244C5" w:rsidR="002755C5" w:rsidP="002755C5" w:rsidRDefault="002755C5" w14:paraId="2853D5C4" w14:textId="14625881">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 xml:space="preserve">Recordkeeping </w:t>
            </w:r>
          </w:p>
          <w:p w:rsidRPr="004244C5" w:rsidR="002755C5" w:rsidP="002755C5" w:rsidRDefault="002755C5" w14:paraId="1FEBC60D" w14:textId="5EFCEE6E">
            <w:pPr>
              <w:pStyle w:val="ListParagraph"/>
              <w:keepNext/>
              <w:keepLines/>
              <w:ind w:left="257"/>
              <w:rPr>
                <w:rFonts w:eastAsia="Times New Roman" w:cs="Arial"/>
                <w:color w:val="000000"/>
                <w:sz w:val="18"/>
                <w:szCs w:val="18"/>
              </w:rPr>
            </w:pPr>
            <w:r w:rsidRPr="004244C5">
              <w:rPr>
                <w:rFonts w:cs="Arial"/>
                <w:color w:val="000000"/>
                <w:sz w:val="18"/>
                <w:szCs w:val="18"/>
              </w:rPr>
              <w:t>(all TPCs)</w:t>
            </w:r>
          </w:p>
        </w:tc>
        <w:tc>
          <w:tcPr>
            <w:tcW w:w="1357" w:type="dxa"/>
            <w:shd w:val="clear" w:color="auto" w:fill="auto"/>
            <w:vAlign w:val="center"/>
          </w:tcPr>
          <w:p w:rsidRPr="00831E42" w:rsidR="002755C5" w:rsidRDefault="002755C5" w14:paraId="79AA3F6D" w14:textId="24115C81">
            <w:pPr>
              <w:keepNext/>
              <w:keepLines/>
              <w:jc w:val="right"/>
              <w:rPr>
                <w:rFonts w:cs="Arial"/>
                <w:color w:val="000000"/>
                <w:sz w:val="18"/>
                <w:szCs w:val="18"/>
              </w:rPr>
            </w:pPr>
            <w:r w:rsidRPr="004244C5">
              <w:rPr>
                <w:rFonts w:cs="Arial"/>
                <w:color w:val="000000"/>
                <w:sz w:val="18"/>
                <w:szCs w:val="18"/>
              </w:rPr>
              <w:t>36</w:t>
            </w:r>
          </w:p>
        </w:tc>
        <w:tc>
          <w:tcPr>
            <w:tcW w:w="1348" w:type="dxa"/>
            <w:shd w:val="clear" w:color="auto" w:fill="auto"/>
            <w:vAlign w:val="center"/>
          </w:tcPr>
          <w:p w:rsidRPr="00831E42" w:rsidR="002755C5" w:rsidRDefault="002755C5" w14:paraId="13502F4A" w14:textId="48F694C0">
            <w:pPr>
              <w:keepNext/>
              <w:keepLines/>
              <w:jc w:val="right"/>
              <w:rPr>
                <w:rFonts w:cs="Arial"/>
                <w:color w:val="000000"/>
                <w:sz w:val="18"/>
                <w:szCs w:val="18"/>
              </w:rPr>
            </w:pPr>
            <w:r>
              <w:rPr>
                <w:rFonts w:cs="Arial"/>
                <w:color w:val="000000"/>
                <w:sz w:val="18"/>
                <w:szCs w:val="18"/>
              </w:rPr>
              <w:t>36</w:t>
            </w:r>
          </w:p>
        </w:tc>
        <w:tc>
          <w:tcPr>
            <w:tcW w:w="1318" w:type="dxa"/>
            <w:shd w:val="clear" w:color="auto" w:fill="auto"/>
            <w:vAlign w:val="center"/>
          </w:tcPr>
          <w:p w:rsidRPr="00831E42" w:rsidR="002755C5" w:rsidRDefault="002755C5" w14:paraId="0632D293" w14:textId="36B56144">
            <w:pPr>
              <w:keepNext/>
              <w:keepLines/>
              <w:jc w:val="right"/>
              <w:rPr>
                <w:rFonts w:cs="Arial"/>
                <w:color w:val="000000"/>
                <w:sz w:val="18"/>
                <w:szCs w:val="18"/>
              </w:rPr>
            </w:pPr>
            <w:r>
              <w:rPr>
                <w:rFonts w:cs="Arial"/>
                <w:color w:val="000000"/>
                <w:sz w:val="18"/>
                <w:szCs w:val="18"/>
              </w:rPr>
              <w:t>324</w:t>
            </w:r>
          </w:p>
        </w:tc>
        <w:tc>
          <w:tcPr>
            <w:tcW w:w="1408" w:type="dxa"/>
            <w:shd w:val="clear" w:color="auto" w:fill="auto"/>
            <w:vAlign w:val="center"/>
          </w:tcPr>
          <w:p w:rsidRPr="00831E42" w:rsidR="002755C5" w:rsidRDefault="002755C5" w14:paraId="66C4F6B7" w14:textId="67614D89">
            <w:pPr>
              <w:keepNext/>
              <w:keepLines/>
              <w:jc w:val="right"/>
              <w:rPr>
                <w:rFonts w:cs="Arial"/>
                <w:color w:val="000000"/>
                <w:sz w:val="18"/>
                <w:szCs w:val="18"/>
              </w:rPr>
            </w:pPr>
            <w:r w:rsidRPr="00831E42">
              <w:rPr>
                <w:rFonts w:cs="Arial"/>
                <w:color w:val="000000"/>
                <w:sz w:val="18"/>
                <w:szCs w:val="18"/>
              </w:rPr>
              <w:t>$22,728.60</w:t>
            </w:r>
          </w:p>
        </w:tc>
        <w:tc>
          <w:tcPr>
            <w:tcW w:w="1170" w:type="dxa"/>
            <w:shd w:val="clear" w:color="auto" w:fill="auto"/>
            <w:vAlign w:val="center"/>
          </w:tcPr>
          <w:p w:rsidRPr="00831E42" w:rsidR="002755C5" w:rsidRDefault="002755C5" w14:paraId="2D39B5DB" w14:textId="1AE866D3">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tcPr>
          <w:p w:rsidRPr="00831E42" w:rsidR="002755C5" w:rsidRDefault="002755C5" w14:paraId="1A025134" w14:textId="60BD6F43">
            <w:pPr>
              <w:keepNext/>
              <w:keepLines/>
              <w:jc w:val="right"/>
              <w:rPr>
                <w:rFonts w:cs="Arial"/>
                <w:color w:val="000000"/>
                <w:sz w:val="18"/>
                <w:szCs w:val="18"/>
              </w:rPr>
            </w:pPr>
            <w:r w:rsidRPr="00831E42">
              <w:rPr>
                <w:rFonts w:cs="Arial"/>
                <w:color w:val="000000"/>
                <w:sz w:val="18"/>
                <w:szCs w:val="18"/>
              </w:rPr>
              <w:t>$22,728.60</w:t>
            </w:r>
          </w:p>
        </w:tc>
      </w:tr>
      <w:tr w:rsidRPr="0057276A" w:rsidR="002755C5" w:rsidTr="006F49C8" w14:paraId="05475D72" w14:textId="77777777">
        <w:tc>
          <w:tcPr>
            <w:tcW w:w="1684" w:type="dxa"/>
            <w:shd w:val="clear" w:color="auto" w:fill="auto"/>
            <w:vAlign w:val="bottom"/>
          </w:tcPr>
          <w:p w:rsidRPr="004244C5" w:rsidR="002755C5" w:rsidP="002755C5" w:rsidRDefault="002755C5" w14:paraId="7ABDA4C0" w14:textId="23A617B1">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 xml:space="preserve">Annual report to EPA </w:t>
            </w:r>
          </w:p>
          <w:p w:rsidRPr="004244C5" w:rsidR="002755C5" w:rsidP="002755C5" w:rsidRDefault="002755C5" w14:paraId="0C04D0A7" w14:textId="4894423B">
            <w:pPr>
              <w:pStyle w:val="ListParagraph"/>
              <w:keepNext/>
              <w:keepLines/>
              <w:ind w:left="257"/>
              <w:rPr>
                <w:rFonts w:eastAsia="Times New Roman" w:cs="Arial"/>
                <w:color w:val="000000"/>
                <w:sz w:val="18"/>
                <w:szCs w:val="18"/>
              </w:rPr>
            </w:pPr>
            <w:r w:rsidRPr="004244C5">
              <w:rPr>
                <w:rFonts w:cs="Arial"/>
                <w:color w:val="000000"/>
                <w:sz w:val="18"/>
                <w:szCs w:val="18"/>
              </w:rPr>
              <w:t>(all TPCs)</w:t>
            </w:r>
          </w:p>
        </w:tc>
        <w:tc>
          <w:tcPr>
            <w:tcW w:w="1357" w:type="dxa"/>
            <w:shd w:val="clear" w:color="auto" w:fill="auto"/>
            <w:vAlign w:val="center"/>
          </w:tcPr>
          <w:p w:rsidRPr="00831E42" w:rsidR="002755C5" w:rsidRDefault="002755C5" w14:paraId="3F9A7507" w14:textId="7825EA0B">
            <w:pPr>
              <w:keepNext/>
              <w:keepLines/>
              <w:jc w:val="right"/>
              <w:rPr>
                <w:rFonts w:cs="Arial"/>
                <w:color w:val="000000"/>
                <w:sz w:val="18"/>
                <w:szCs w:val="18"/>
              </w:rPr>
            </w:pPr>
            <w:r w:rsidRPr="004244C5">
              <w:rPr>
                <w:rFonts w:cs="Arial"/>
                <w:color w:val="000000"/>
                <w:sz w:val="18"/>
                <w:szCs w:val="18"/>
              </w:rPr>
              <w:t>36</w:t>
            </w:r>
          </w:p>
        </w:tc>
        <w:tc>
          <w:tcPr>
            <w:tcW w:w="1348" w:type="dxa"/>
            <w:shd w:val="clear" w:color="auto" w:fill="auto"/>
            <w:vAlign w:val="center"/>
          </w:tcPr>
          <w:p w:rsidRPr="00831E42" w:rsidR="002755C5" w:rsidRDefault="002755C5" w14:paraId="23885866" w14:textId="7BABF1B2">
            <w:pPr>
              <w:keepNext/>
              <w:keepLines/>
              <w:jc w:val="right"/>
              <w:rPr>
                <w:rFonts w:cs="Arial"/>
                <w:color w:val="000000"/>
                <w:sz w:val="18"/>
                <w:szCs w:val="18"/>
              </w:rPr>
            </w:pPr>
            <w:r>
              <w:rPr>
                <w:rFonts w:cs="Arial"/>
                <w:color w:val="000000"/>
                <w:sz w:val="18"/>
                <w:szCs w:val="18"/>
              </w:rPr>
              <w:t>36</w:t>
            </w:r>
          </w:p>
        </w:tc>
        <w:tc>
          <w:tcPr>
            <w:tcW w:w="1318" w:type="dxa"/>
            <w:shd w:val="clear" w:color="auto" w:fill="auto"/>
            <w:vAlign w:val="center"/>
          </w:tcPr>
          <w:p w:rsidRPr="00831E42" w:rsidR="002755C5" w:rsidRDefault="002755C5" w14:paraId="40B40624" w14:textId="0E642D35">
            <w:pPr>
              <w:keepNext/>
              <w:keepLines/>
              <w:jc w:val="right"/>
              <w:rPr>
                <w:rFonts w:cs="Arial"/>
                <w:color w:val="000000"/>
                <w:sz w:val="18"/>
                <w:szCs w:val="18"/>
              </w:rPr>
            </w:pPr>
            <w:r>
              <w:rPr>
                <w:rFonts w:cs="Arial"/>
                <w:color w:val="000000"/>
                <w:sz w:val="18"/>
                <w:szCs w:val="18"/>
              </w:rPr>
              <w:t>108</w:t>
            </w:r>
          </w:p>
        </w:tc>
        <w:tc>
          <w:tcPr>
            <w:tcW w:w="1408" w:type="dxa"/>
            <w:shd w:val="clear" w:color="auto" w:fill="auto"/>
            <w:vAlign w:val="center"/>
          </w:tcPr>
          <w:p w:rsidRPr="00831E42" w:rsidR="002755C5" w:rsidRDefault="002755C5" w14:paraId="555C58AF" w14:textId="34270154">
            <w:pPr>
              <w:keepNext/>
              <w:keepLines/>
              <w:jc w:val="right"/>
              <w:rPr>
                <w:rFonts w:cs="Arial"/>
                <w:color w:val="000000"/>
                <w:sz w:val="18"/>
                <w:szCs w:val="18"/>
              </w:rPr>
            </w:pPr>
            <w:r w:rsidRPr="00831E42">
              <w:rPr>
                <w:rFonts w:cs="Arial"/>
                <w:color w:val="000000"/>
                <w:sz w:val="18"/>
                <w:szCs w:val="18"/>
              </w:rPr>
              <w:t>$7,576.20</w:t>
            </w:r>
          </w:p>
        </w:tc>
        <w:tc>
          <w:tcPr>
            <w:tcW w:w="1170" w:type="dxa"/>
            <w:shd w:val="clear" w:color="auto" w:fill="auto"/>
            <w:vAlign w:val="center"/>
          </w:tcPr>
          <w:p w:rsidRPr="00831E42" w:rsidR="002755C5" w:rsidRDefault="002755C5" w14:paraId="52C327F6" w14:textId="576ABA66">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tcPr>
          <w:p w:rsidRPr="00831E42" w:rsidR="002755C5" w:rsidRDefault="002755C5" w14:paraId="23E0E1E9" w14:textId="347DAE73">
            <w:pPr>
              <w:keepNext/>
              <w:keepLines/>
              <w:jc w:val="right"/>
              <w:rPr>
                <w:rFonts w:cs="Arial"/>
                <w:color w:val="000000"/>
                <w:sz w:val="18"/>
                <w:szCs w:val="18"/>
              </w:rPr>
            </w:pPr>
            <w:r w:rsidRPr="00831E42">
              <w:rPr>
                <w:rFonts w:cs="Arial"/>
                <w:color w:val="000000"/>
                <w:sz w:val="18"/>
                <w:szCs w:val="18"/>
              </w:rPr>
              <w:t>$7,576.20</w:t>
            </w:r>
          </w:p>
        </w:tc>
      </w:tr>
      <w:tr w:rsidRPr="0057276A" w:rsidR="002755C5" w:rsidTr="006F49C8" w14:paraId="2042FDB4" w14:textId="77777777">
        <w:tc>
          <w:tcPr>
            <w:tcW w:w="1684" w:type="dxa"/>
            <w:shd w:val="clear" w:color="auto" w:fill="auto"/>
            <w:vAlign w:val="bottom"/>
          </w:tcPr>
          <w:p w:rsidRPr="004244C5" w:rsidR="002755C5" w:rsidP="002755C5" w:rsidRDefault="002755C5" w14:paraId="71E2D1AE" w14:textId="7820CF66">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Notifications to Accrediting Bodies</w:t>
            </w:r>
          </w:p>
          <w:p w:rsidRPr="004244C5" w:rsidR="002755C5" w:rsidP="002755C5" w:rsidRDefault="002755C5" w14:paraId="1DD8A1ED" w14:textId="12A7BFA7">
            <w:pPr>
              <w:pStyle w:val="ListParagraph"/>
              <w:keepNext/>
              <w:keepLines/>
              <w:ind w:left="257"/>
              <w:rPr>
                <w:rFonts w:eastAsia="Times New Roman" w:cs="Arial"/>
                <w:color w:val="000000"/>
                <w:sz w:val="18"/>
                <w:szCs w:val="18"/>
              </w:rPr>
            </w:pPr>
            <w:r w:rsidRPr="004244C5">
              <w:rPr>
                <w:rFonts w:cs="Arial"/>
                <w:color w:val="000000"/>
                <w:sz w:val="18"/>
                <w:szCs w:val="18"/>
              </w:rPr>
              <w:t>(all TPCs)</w:t>
            </w:r>
          </w:p>
        </w:tc>
        <w:tc>
          <w:tcPr>
            <w:tcW w:w="1357" w:type="dxa"/>
            <w:shd w:val="clear" w:color="auto" w:fill="auto"/>
            <w:vAlign w:val="center"/>
          </w:tcPr>
          <w:p w:rsidRPr="00831E42" w:rsidR="002755C5" w:rsidRDefault="002755C5" w14:paraId="248CF17E" w14:textId="4480104F">
            <w:pPr>
              <w:keepNext/>
              <w:keepLines/>
              <w:jc w:val="right"/>
              <w:rPr>
                <w:rFonts w:cs="Arial"/>
                <w:color w:val="000000"/>
                <w:sz w:val="18"/>
                <w:szCs w:val="18"/>
              </w:rPr>
            </w:pPr>
            <w:r w:rsidRPr="004244C5">
              <w:rPr>
                <w:rFonts w:cs="Arial"/>
                <w:color w:val="000000"/>
                <w:sz w:val="18"/>
                <w:szCs w:val="18"/>
              </w:rPr>
              <w:t>36</w:t>
            </w:r>
          </w:p>
        </w:tc>
        <w:tc>
          <w:tcPr>
            <w:tcW w:w="1348" w:type="dxa"/>
            <w:shd w:val="clear" w:color="auto" w:fill="auto"/>
            <w:vAlign w:val="center"/>
          </w:tcPr>
          <w:p w:rsidRPr="00831E42" w:rsidR="002755C5" w:rsidRDefault="002755C5" w14:paraId="4E194072" w14:textId="549A51FC">
            <w:pPr>
              <w:keepNext/>
              <w:keepLines/>
              <w:jc w:val="right"/>
              <w:rPr>
                <w:rFonts w:cs="Arial"/>
                <w:color w:val="000000"/>
                <w:sz w:val="18"/>
                <w:szCs w:val="18"/>
              </w:rPr>
            </w:pPr>
            <w:r>
              <w:rPr>
                <w:rFonts w:cs="Arial"/>
                <w:color w:val="000000"/>
                <w:sz w:val="18"/>
                <w:szCs w:val="18"/>
              </w:rPr>
              <w:t>54</w:t>
            </w:r>
          </w:p>
        </w:tc>
        <w:tc>
          <w:tcPr>
            <w:tcW w:w="1318" w:type="dxa"/>
            <w:shd w:val="clear" w:color="auto" w:fill="auto"/>
            <w:vAlign w:val="center"/>
          </w:tcPr>
          <w:p w:rsidRPr="00831E42" w:rsidR="002755C5" w:rsidRDefault="002755C5" w14:paraId="39CA2ECE" w14:textId="3F481314">
            <w:pPr>
              <w:keepNext/>
              <w:keepLines/>
              <w:jc w:val="right"/>
              <w:rPr>
                <w:rFonts w:cs="Arial"/>
                <w:color w:val="000000"/>
                <w:sz w:val="18"/>
                <w:szCs w:val="18"/>
              </w:rPr>
            </w:pPr>
            <w:r>
              <w:rPr>
                <w:rFonts w:cs="Arial"/>
                <w:color w:val="000000"/>
                <w:sz w:val="18"/>
                <w:szCs w:val="18"/>
              </w:rPr>
              <w:t>3.2</w:t>
            </w:r>
          </w:p>
        </w:tc>
        <w:tc>
          <w:tcPr>
            <w:tcW w:w="1408" w:type="dxa"/>
            <w:shd w:val="clear" w:color="auto" w:fill="auto"/>
            <w:vAlign w:val="center"/>
          </w:tcPr>
          <w:p w:rsidRPr="00831E42" w:rsidR="002755C5" w:rsidRDefault="002755C5" w14:paraId="1C726310" w14:textId="4B10BAA2">
            <w:pPr>
              <w:keepNext/>
              <w:keepLines/>
              <w:jc w:val="right"/>
              <w:rPr>
                <w:rFonts w:cs="Arial"/>
                <w:color w:val="000000"/>
                <w:sz w:val="18"/>
                <w:szCs w:val="18"/>
              </w:rPr>
            </w:pPr>
            <w:r w:rsidRPr="00831E42">
              <w:rPr>
                <w:rFonts w:cs="Arial"/>
                <w:color w:val="000000"/>
                <w:sz w:val="18"/>
                <w:szCs w:val="18"/>
              </w:rPr>
              <w:t>$227.29</w:t>
            </w:r>
          </w:p>
        </w:tc>
        <w:tc>
          <w:tcPr>
            <w:tcW w:w="1170" w:type="dxa"/>
            <w:shd w:val="clear" w:color="auto" w:fill="auto"/>
            <w:vAlign w:val="center"/>
          </w:tcPr>
          <w:p w:rsidRPr="00831E42" w:rsidR="002755C5" w:rsidRDefault="002755C5" w14:paraId="6B4F2890" w14:textId="5BD4C6EB">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tcPr>
          <w:p w:rsidRPr="00831E42" w:rsidR="002755C5" w:rsidRDefault="002755C5" w14:paraId="56D40EA7" w14:textId="0CE01F0F">
            <w:pPr>
              <w:keepNext/>
              <w:keepLines/>
              <w:jc w:val="right"/>
              <w:rPr>
                <w:rFonts w:cs="Arial"/>
                <w:color w:val="000000"/>
                <w:sz w:val="18"/>
                <w:szCs w:val="18"/>
              </w:rPr>
            </w:pPr>
            <w:r w:rsidRPr="00831E42">
              <w:rPr>
                <w:rFonts w:cs="Arial"/>
                <w:color w:val="000000"/>
                <w:sz w:val="18"/>
                <w:szCs w:val="18"/>
              </w:rPr>
              <w:t>$227.29</w:t>
            </w:r>
          </w:p>
        </w:tc>
      </w:tr>
      <w:tr w:rsidRPr="0057276A" w:rsidR="002755C5" w:rsidTr="006F49C8" w14:paraId="0EB08FCC" w14:textId="77777777">
        <w:tc>
          <w:tcPr>
            <w:tcW w:w="1684" w:type="dxa"/>
            <w:shd w:val="clear" w:color="auto" w:fill="auto"/>
            <w:vAlign w:val="bottom"/>
          </w:tcPr>
          <w:p w:rsidRPr="004244C5" w:rsidR="002755C5" w:rsidP="002755C5" w:rsidRDefault="002755C5" w14:paraId="5E579EC8" w14:textId="504E18F5">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Notifications to EPA</w:t>
            </w:r>
          </w:p>
          <w:p w:rsidRPr="004244C5" w:rsidR="002755C5" w:rsidP="002755C5" w:rsidRDefault="002755C5" w14:paraId="450B9E7C" w14:textId="1EB2E08F">
            <w:pPr>
              <w:pStyle w:val="ListParagraph"/>
              <w:keepNext/>
              <w:keepLines/>
              <w:ind w:left="257"/>
              <w:rPr>
                <w:rFonts w:eastAsia="Times New Roman" w:cs="Arial"/>
                <w:color w:val="000000"/>
                <w:sz w:val="18"/>
                <w:szCs w:val="18"/>
              </w:rPr>
            </w:pPr>
            <w:r w:rsidRPr="004244C5">
              <w:rPr>
                <w:rFonts w:cs="Arial"/>
                <w:color w:val="000000"/>
                <w:sz w:val="18"/>
                <w:szCs w:val="18"/>
              </w:rPr>
              <w:t>(all TPCs)</w:t>
            </w:r>
          </w:p>
        </w:tc>
        <w:tc>
          <w:tcPr>
            <w:tcW w:w="1357" w:type="dxa"/>
            <w:shd w:val="clear" w:color="auto" w:fill="auto"/>
            <w:vAlign w:val="center"/>
          </w:tcPr>
          <w:p w:rsidRPr="00831E42" w:rsidR="002755C5" w:rsidRDefault="002755C5" w14:paraId="49D5AF9B" w14:textId="4788D520">
            <w:pPr>
              <w:keepNext/>
              <w:keepLines/>
              <w:jc w:val="right"/>
              <w:rPr>
                <w:rFonts w:cs="Arial"/>
                <w:color w:val="000000"/>
                <w:sz w:val="18"/>
                <w:szCs w:val="18"/>
              </w:rPr>
            </w:pPr>
            <w:r w:rsidRPr="004244C5">
              <w:rPr>
                <w:rFonts w:cs="Arial"/>
                <w:color w:val="000000"/>
                <w:sz w:val="18"/>
                <w:szCs w:val="18"/>
              </w:rPr>
              <w:t>36</w:t>
            </w:r>
          </w:p>
        </w:tc>
        <w:tc>
          <w:tcPr>
            <w:tcW w:w="1348" w:type="dxa"/>
            <w:shd w:val="clear" w:color="auto" w:fill="auto"/>
            <w:vAlign w:val="center"/>
          </w:tcPr>
          <w:p w:rsidRPr="00831E42" w:rsidR="002755C5" w:rsidRDefault="002755C5" w14:paraId="25BEA042" w14:textId="2CC0D1DB">
            <w:pPr>
              <w:keepNext/>
              <w:keepLines/>
              <w:jc w:val="right"/>
              <w:rPr>
                <w:rFonts w:cs="Arial"/>
                <w:color w:val="000000"/>
                <w:sz w:val="18"/>
                <w:szCs w:val="18"/>
              </w:rPr>
            </w:pPr>
            <w:r w:rsidRPr="004244C5">
              <w:rPr>
                <w:rFonts w:cs="Arial"/>
                <w:color w:val="000000"/>
                <w:sz w:val="18"/>
                <w:szCs w:val="18"/>
              </w:rPr>
              <w:t>36</w:t>
            </w:r>
          </w:p>
        </w:tc>
        <w:tc>
          <w:tcPr>
            <w:tcW w:w="1318" w:type="dxa"/>
            <w:shd w:val="clear" w:color="auto" w:fill="auto"/>
            <w:vAlign w:val="center"/>
          </w:tcPr>
          <w:p w:rsidRPr="00831E42" w:rsidR="002755C5" w:rsidRDefault="002755C5" w14:paraId="1D16BA61" w14:textId="0D143554">
            <w:pPr>
              <w:keepNext/>
              <w:keepLines/>
              <w:jc w:val="right"/>
              <w:rPr>
                <w:rFonts w:cs="Arial"/>
                <w:color w:val="000000"/>
                <w:sz w:val="18"/>
                <w:szCs w:val="18"/>
              </w:rPr>
            </w:pPr>
            <w:r>
              <w:rPr>
                <w:rFonts w:cs="Arial"/>
                <w:color w:val="000000"/>
                <w:sz w:val="18"/>
                <w:szCs w:val="18"/>
              </w:rPr>
              <w:t>2.2</w:t>
            </w:r>
          </w:p>
        </w:tc>
        <w:tc>
          <w:tcPr>
            <w:tcW w:w="1408" w:type="dxa"/>
            <w:shd w:val="clear" w:color="auto" w:fill="auto"/>
            <w:vAlign w:val="center"/>
          </w:tcPr>
          <w:p w:rsidRPr="00831E42" w:rsidR="002755C5" w:rsidRDefault="002755C5" w14:paraId="0BF8C9C6" w14:textId="5B4E97CE">
            <w:pPr>
              <w:keepNext/>
              <w:keepLines/>
              <w:jc w:val="right"/>
              <w:rPr>
                <w:rFonts w:cs="Arial"/>
                <w:color w:val="000000"/>
                <w:sz w:val="18"/>
                <w:szCs w:val="18"/>
              </w:rPr>
            </w:pPr>
            <w:r w:rsidRPr="00831E42">
              <w:rPr>
                <w:rFonts w:cs="Arial"/>
                <w:color w:val="000000"/>
                <w:sz w:val="18"/>
                <w:szCs w:val="18"/>
              </w:rPr>
              <w:t>$151.52</w:t>
            </w:r>
          </w:p>
        </w:tc>
        <w:tc>
          <w:tcPr>
            <w:tcW w:w="1170" w:type="dxa"/>
            <w:shd w:val="clear" w:color="auto" w:fill="auto"/>
            <w:vAlign w:val="center"/>
          </w:tcPr>
          <w:p w:rsidRPr="00831E42" w:rsidR="002755C5" w:rsidRDefault="002755C5" w14:paraId="62615CB0" w14:textId="71228DD4">
            <w:pPr>
              <w:keepNext/>
              <w:keepLines/>
              <w:jc w:val="right"/>
              <w:rPr>
                <w:rFonts w:cs="Arial"/>
                <w:color w:val="000000"/>
                <w:sz w:val="18"/>
                <w:szCs w:val="18"/>
              </w:rPr>
            </w:pPr>
            <w:r>
              <w:rPr>
                <w:rFonts w:cs="Arial"/>
                <w:color w:val="000000"/>
                <w:sz w:val="18"/>
                <w:szCs w:val="18"/>
              </w:rPr>
              <w:t>-</w:t>
            </w:r>
          </w:p>
        </w:tc>
        <w:tc>
          <w:tcPr>
            <w:tcW w:w="1440" w:type="dxa"/>
            <w:shd w:val="clear" w:color="auto" w:fill="auto"/>
            <w:vAlign w:val="center"/>
          </w:tcPr>
          <w:p w:rsidRPr="00831E42" w:rsidR="002755C5" w:rsidRDefault="002755C5" w14:paraId="4C2DA8C6" w14:textId="55A7EF9B">
            <w:pPr>
              <w:keepNext/>
              <w:keepLines/>
              <w:jc w:val="right"/>
              <w:rPr>
                <w:rFonts w:cs="Arial"/>
                <w:color w:val="000000"/>
                <w:sz w:val="18"/>
                <w:szCs w:val="18"/>
              </w:rPr>
            </w:pPr>
            <w:r w:rsidRPr="00831E42">
              <w:rPr>
                <w:rFonts w:cs="Arial"/>
                <w:color w:val="000000"/>
                <w:sz w:val="18"/>
                <w:szCs w:val="18"/>
              </w:rPr>
              <w:t>$151.52</w:t>
            </w:r>
          </w:p>
        </w:tc>
      </w:tr>
      <w:tr w:rsidRPr="0057276A" w:rsidR="002755C5" w:rsidTr="006F49C8" w14:paraId="1139812F" w14:textId="77777777">
        <w:tc>
          <w:tcPr>
            <w:tcW w:w="1684" w:type="dxa"/>
            <w:shd w:val="clear" w:color="auto" w:fill="auto"/>
            <w:vAlign w:val="bottom"/>
          </w:tcPr>
          <w:p w:rsidRPr="004244C5" w:rsidR="002755C5" w:rsidP="002755C5" w:rsidRDefault="002755C5" w14:paraId="3F58FF25" w14:textId="7E2A6721">
            <w:pPr>
              <w:pStyle w:val="ListParagraph"/>
              <w:keepNext/>
              <w:keepLines/>
              <w:numPr>
                <w:ilvl w:val="0"/>
                <w:numId w:val="34"/>
              </w:numPr>
              <w:ind w:left="257" w:hanging="257"/>
              <w:rPr>
                <w:rFonts w:eastAsia="Times New Roman" w:cs="Arial"/>
                <w:color w:val="000000"/>
                <w:sz w:val="18"/>
                <w:szCs w:val="18"/>
              </w:rPr>
            </w:pPr>
            <w:r w:rsidRPr="004244C5">
              <w:rPr>
                <w:rFonts w:cs="Arial"/>
                <w:color w:val="000000"/>
                <w:sz w:val="18"/>
                <w:szCs w:val="18"/>
              </w:rPr>
              <w:t xml:space="preserve">Assign registered agent </w:t>
            </w:r>
          </w:p>
          <w:p w:rsidRPr="004244C5" w:rsidR="002755C5" w:rsidP="002755C5" w:rsidRDefault="002755C5" w14:paraId="26892CC0" w14:textId="60E153CE">
            <w:pPr>
              <w:pStyle w:val="ListParagraph"/>
              <w:keepNext/>
              <w:keepLines/>
              <w:ind w:left="257"/>
              <w:rPr>
                <w:rFonts w:eastAsia="Times New Roman" w:cs="Arial"/>
                <w:color w:val="000000"/>
                <w:sz w:val="18"/>
                <w:szCs w:val="18"/>
              </w:rPr>
            </w:pPr>
            <w:r w:rsidRPr="004244C5">
              <w:rPr>
                <w:rFonts w:cs="Arial"/>
                <w:color w:val="000000"/>
                <w:sz w:val="18"/>
                <w:szCs w:val="18"/>
              </w:rPr>
              <w:t>(foreign TPCs)</w:t>
            </w:r>
          </w:p>
        </w:tc>
        <w:tc>
          <w:tcPr>
            <w:tcW w:w="1357" w:type="dxa"/>
            <w:shd w:val="clear" w:color="auto" w:fill="auto"/>
            <w:vAlign w:val="center"/>
          </w:tcPr>
          <w:p w:rsidRPr="00831E42" w:rsidR="002755C5" w:rsidRDefault="002755C5" w14:paraId="7CCD5DEB" w14:textId="2282A974">
            <w:pPr>
              <w:keepNext/>
              <w:keepLines/>
              <w:jc w:val="right"/>
              <w:rPr>
                <w:rFonts w:cs="Arial"/>
                <w:color w:val="000000"/>
                <w:sz w:val="18"/>
                <w:szCs w:val="18"/>
              </w:rPr>
            </w:pPr>
            <w:r w:rsidRPr="004244C5">
              <w:rPr>
                <w:rFonts w:cs="Arial"/>
                <w:color w:val="000000"/>
                <w:sz w:val="18"/>
                <w:szCs w:val="18"/>
              </w:rPr>
              <w:t>25</w:t>
            </w:r>
          </w:p>
        </w:tc>
        <w:tc>
          <w:tcPr>
            <w:tcW w:w="1348" w:type="dxa"/>
            <w:shd w:val="clear" w:color="auto" w:fill="auto"/>
            <w:vAlign w:val="center"/>
          </w:tcPr>
          <w:p w:rsidRPr="00831E42" w:rsidR="002755C5" w:rsidRDefault="00482826" w14:paraId="6D990691" w14:textId="269FF53C">
            <w:pPr>
              <w:keepNext/>
              <w:keepLines/>
              <w:jc w:val="right"/>
              <w:rPr>
                <w:rFonts w:cs="Arial"/>
                <w:color w:val="000000"/>
                <w:sz w:val="18"/>
                <w:szCs w:val="18"/>
              </w:rPr>
            </w:pPr>
            <w:r>
              <w:rPr>
                <w:rFonts w:cs="Arial"/>
                <w:color w:val="000000"/>
                <w:sz w:val="18"/>
                <w:szCs w:val="18"/>
              </w:rPr>
              <w:t>25</w:t>
            </w:r>
          </w:p>
        </w:tc>
        <w:tc>
          <w:tcPr>
            <w:tcW w:w="1318" w:type="dxa"/>
            <w:shd w:val="clear" w:color="auto" w:fill="auto"/>
            <w:vAlign w:val="center"/>
          </w:tcPr>
          <w:p w:rsidRPr="00831E42" w:rsidR="002755C5" w:rsidRDefault="002755C5" w14:paraId="229DCECE" w14:textId="618FD629">
            <w:pPr>
              <w:keepNext/>
              <w:keepLines/>
              <w:jc w:val="right"/>
              <w:rPr>
                <w:rFonts w:cs="Arial"/>
                <w:color w:val="000000"/>
                <w:sz w:val="18"/>
                <w:szCs w:val="18"/>
              </w:rPr>
            </w:pPr>
            <w:r>
              <w:rPr>
                <w:rFonts w:cs="Arial"/>
                <w:color w:val="000000"/>
                <w:sz w:val="18"/>
                <w:szCs w:val="18"/>
              </w:rPr>
              <w:t>-</w:t>
            </w:r>
          </w:p>
        </w:tc>
        <w:tc>
          <w:tcPr>
            <w:tcW w:w="1408" w:type="dxa"/>
            <w:shd w:val="clear" w:color="auto" w:fill="auto"/>
            <w:vAlign w:val="center"/>
          </w:tcPr>
          <w:p w:rsidRPr="00831E42" w:rsidR="002755C5" w:rsidRDefault="002755C5" w14:paraId="1B137E7E" w14:textId="6617DB27">
            <w:pPr>
              <w:keepNext/>
              <w:keepLines/>
              <w:jc w:val="right"/>
              <w:rPr>
                <w:rFonts w:cs="Arial"/>
                <w:color w:val="000000"/>
                <w:sz w:val="18"/>
                <w:szCs w:val="18"/>
              </w:rPr>
            </w:pPr>
            <w:r>
              <w:rPr>
                <w:rFonts w:cs="Arial"/>
                <w:color w:val="000000"/>
                <w:sz w:val="18"/>
                <w:szCs w:val="18"/>
              </w:rPr>
              <w:t>-</w:t>
            </w:r>
          </w:p>
        </w:tc>
        <w:tc>
          <w:tcPr>
            <w:tcW w:w="1170" w:type="dxa"/>
            <w:shd w:val="clear" w:color="auto" w:fill="auto"/>
            <w:vAlign w:val="center"/>
          </w:tcPr>
          <w:p w:rsidRPr="00831E42" w:rsidR="002755C5" w:rsidRDefault="002755C5" w14:paraId="55E87074" w14:textId="3C3F5577">
            <w:pPr>
              <w:keepNext/>
              <w:keepLines/>
              <w:jc w:val="right"/>
              <w:rPr>
                <w:rFonts w:cs="Arial"/>
                <w:color w:val="000000"/>
                <w:sz w:val="18"/>
                <w:szCs w:val="18"/>
              </w:rPr>
            </w:pPr>
            <w:r w:rsidRPr="00831E42">
              <w:rPr>
                <w:rFonts w:cs="Arial"/>
                <w:color w:val="000000"/>
                <w:sz w:val="18"/>
                <w:szCs w:val="18"/>
              </w:rPr>
              <w:t>$3,750.00</w:t>
            </w:r>
          </w:p>
        </w:tc>
        <w:tc>
          <w:tcPr>
            <w:tcW w:w="1440" w:type="dxa"/>
            <w:shd w:val="clear" w:color="auto" w:fill="auto"/>
            <w:vAlign w:val="center"/>
          </w:tcPr>
          <w:p w:rsidRPr="00831E42" w:rsidR="002755C5" w:rsidRDefault="002755C5" w14:paraId="512EF352" w14:textId="64BE7817">
            <w:pPr>
              <w:keepNext/>
              <w:keepLines/>
              <w:jc w:val="right"/>
              <w:rPr>
                <w:rFonts w:cs="Arial"/>
                <w:color w:val="000000"/>
                <w:sz w:val="18"/>
                <w:szCs w:val="18"/>
              </w:rPr>
            </w:pPr>
            <w:r w:rsidRPr="00831E42">
              <w:rPr>
                <w:rFonts w:cs="Arial"/>
                <w:color w:val="000000"/>
                <w:sz w:val="18"/>
                <w:szCs w:val="18"/>
              </w:rPr>
              <w:t>$3,750.00</w:t>
            </w:r>
          </w:p>
        </w:tc>
      </w:tr>
      <w:tr w:rsidRPr="0057276A" w:rsidR="002755C5" w:rsidTr="006F49C8" w14:paraId="32685417" w14:textId="77777777">
        <w:tc>
          <w:tcPr>
            <w:tcW w:w="1684" w:type="dxa"/>
            <w:shd w:val="clear" w:color="auto" w:fill="auto"/>
            <w:vAlign w:val="center"/>
            <w:hideMark/>
          </w:tcPr>
          <w:p w:rsidRPr="004244C5" w:rsidR="002755C5" w:rsidP="002755C5" w:rsidRDefault="002755C5" w14:paraId="71F72133" w14:textId="47B59427">
            <w:pPr>
              <w:keepNext/>
              <w:keepLines/>
              <w:jc w:val="right"/>
              <w:rPr>
                <w:rFonts w:eastAsia="Times New Roman" w:cs="Arial"/>
                <w:b/>
                <w:bCs/>
                <w:color w:val="000000"/>
                <w:sz w:val="18"/>
                <w:szCs w:val="18"/>
              </w:rPr>
            </w:pPr>
            <w:r w:rsidRPr="004244C5">
              <w:rPr>
                <w:rFonts w:eastAsia="Times New Roman" w:cs="Arial"/>
                <w:b/>
                <w:bCs/>
                <w:color w:val="000000"/>
                <w:sz w:val="18"/>
                <w:szCs w:val="18"/>
              </w:rPr>
              <w:t xml:space="preserve">Total </w:t>
            </w:r>
          </w:p>
        </w:tc>
        <w:tc>
          <w:tcPr>
            <w:tcW w:w="1357" w:type="dxa"/>
            <w:shd w:val="clear" w:color="auto" w:fill="auto"/>
            <w:vAlign w:val="center"/>
            <w:hideMark/>
          </w:tcPr>
          <w:p w:rsidRPr="00831E42" w:rsidR="002755C5" w:rsidRDefault="002755C5" w14:paraId="30C18ABA" w14:textId="5D761A93">
            <w:pPr>
              <w:keepNext/>
              <w:keepLines/>
              <w:jc w:val="right"/>
              <w:rPr>
                <w:rFonts w:cs="Arial"/>
                <w:b/>
                <w:color w:val="000000"/>
                <w:sz w:val="18"/>
                <w:szCs w:val="18"/>
              </w:rPr>
            </w:pPr>
            <w:r w:rsidRPr="00831E42">
              <w:rPr>
                <w:rFonts w:cs="Arial"/>
                <w:b/>
                <w:color w:val="000000"/>
                <w:sz w:val="18"/>
                <w:szCs w:val="18"/>
              </w:rPr>
              <w:t>36</w:t>
            </w:r>
          </w:p>
        </w:tc>
        <w:tc>
          <w:tcPr>
            <w:tcW w:w="1348" w:type="dxa"/>
            <w:shd w:val="clear" w:color="auto" w:fill="auto"/>
            <w:vAlign w:val="center"/>
            <w:hideMark/>
          </w:tcPr>
          <w:p w:rsidRPr="00831E42" w:rsidR="002755C5" w:rsidRDefault="00482826" w14:paraId="0BF3DC50" w14:textId="7A11FD98">
            <w:pPr>
              <w:keepNext/>
              <w:keepLines/>
              <w:jc w:val="right"/>
              <w:rPr>
                <w:rFonts w:cs="Arial"/>
                <w:b/>
                <w:color w:val="000000"/>
                <w:sz w:val="18"/>
                <w:szCs w:val="18"/>
              </w:rPr>
            </w:pPr>
            <w:r w:rsidRPr="00831E42">
              <w:rPr>
                <w:rFonts w:cs="Arial"/>
                <w:b/>
                <w:color w:val="000000"/>
                <w:sz w:val="18"/>
                <w:szCs w:val="18"/>
              </w:rPr>
              <w:t>234</w:t>
            </w:r>
          </w:p>
        </w:tc>
        <w:tc>
          <w:tcPr>
            <w:tcW w:w="1318" w:type="dxa"/>
            <w:shd w:val="clear" w:color="auto" w:fill="auto"/>
            <w:vAlign w:val="center"/>
            <w:hideMark/>
          </w:tcPr>
          <w:p w:rsidRPr="00831E42" w:rsidR="002755C5" w:rsidRDefault="002755C5" w14:paraId="25579B44" w14:textId="1F3A97FF">
            <w:pPr>
              <w:keepNext/>
              <w:keepLines/>
              <w:jc w:val="right"/>
              <w:rPr>
                <w:rFonts w:cs="Arial"/>
                <w:b/>
                <w:color w:val="000000"/>
                <w:sz w:val="18"/>
                <w:szCs w:val="18"/>
              </w:rPr>
            </w:pPr>
            <w:r w:rsidRPr="00831E42">
              <w:rPr>
                <w:rFonts w:cs="Arial"/>
                <w:b/>
                <w:color w:val="000000"/>
                <w:sz w:val="18"/>
                <w:szCs w:val="18"/>
              </w:rPr>
              <w:t>445.6</w:t>
            </w:r>
          </w:p>
        </w:tc>
        <w:tc>
          <w:tcPr>
            <w:tcW w:w="1408" w:type="dxa"/>
            <w:shd w:val="clear" w:color="auto" w:fill="auto"/>
            <w:vAlign w:val="center"/>
            <w:hideMark/>
          </w:tcPr>
          <w:p w:rsidRPr="00831E42" w:rsidR="002755C5" w:rsidRDefault="002755C5" w14:paraId="2CEC4E01" w14:textId="25E5DB25">
            <w:pPr>
              <w:keepNext/>
              <w:keepLines/>
              <w:jc w:val="right"/>
              <w:rPr>
                <w:rFonts w:cs="Arial"/>
                <w:b/>
                <w:color w:val="000000"/>
                <w:sz w:val="18"/>
                <w:szCs w:val="18"/>
              </w:rPr>
            </w:pPr>
            <w:r w:rsidRPr="00831E42">
              <w:rPr>
                <w:rFonts w:cs="Arial"/>
                <w:b/>
                <w:color w:val="000000"/>
                <w:sz w:val="18"/>
                <w:szCs w:val="18"/>
              </w:rPr>
              <w:t>$31,261.60</w:t>
            </w:r>
          </w:p>
        </w:tc>
        <w:tc>
          <w:tcPr>
            <w:tcW w:w="1170" w:type="dxa"/>
            <w:shd w:val="clear" w:color="auto" w:fill="auto"/>
            <w:vAlign w:val="center"/>
            <w:hideMark/>
          </w:tcPr>
          <w:p w:rsidRPr="00831E42" w:rsidR="002755C5" w:rsidRDefault="002755C5" w14:paraId="00794F17" w14:textId="7E14D52F">
            <w:pPr>
              <w:keepNext/>
              <w:keepLines/>
              <w:jc w:val="right"/>
              <w:rPr>
                <w:rFonts w:cs="Arial"/>
                <w:b/>
                <w:color w:val="000000"/>
                <w:sz w:val="18"/>
                <w:szCs w:val="18"/>
              </w:rPr>
            </w:pPr>
            <w:r w:rsidRPr="00831E42">
              <w:rPr>
                <w:rFonts w:cs="Arial"/>
                <w:b/>
                <w:color w:val="000000"/>
                <w:sz w:val="18"/>
                <w:szCs w:val="18"/>
              </w:rPr>
              <w:t>$3,750.00</w:t>
            </w:r>
          </w:p>
        </w:tc>
        <w:tc>
          <w:tcPr>
            <w:tcW w:w="1440" w:type="dxa"/>
            <w:shd w:val="clear" w:color="auto" w:fill="auto"/>
            <w:vAlign w:val="center"/>
            <w:hideMark/>
          </w:tcPr>
          <w:p w:rsidRPr="00831E42" w:rsidR="002755C5" w:rsidRDefault="002755C5" w14:paraId="48DBC6D9" w14:textId="00435581">
            <w:pPr>
              <w:keepNext/>
              <w:keepLines/>
              <w:jc w:val="right"/>
              <w:rPr>
                <w:rFonts w:cs="Arial"/>
                <w:b/>
                <w:color w:val="000000"/>
                <w:sz w:val="18"/>
                <w:szCs w:val="18"/>
              </w:rPr>
            </w:pPr>
            <w:r w:rsidRPr="00831E42">
              <w:rPr>
                <w:rFonts w:cs="Arial"/>
                <w:b/>
                <w:color w:val="000000"/>
                <w:sz w:val="18"/>
                <w:szCs w:val="18"/>
              </w:rPr>
              <w:t>$35,011.60</w:t>
            </w:r>
          </w:p>
        </w:tc>
      </w:tr>
    </w:tbl>
    <w:p w:rsidR="00FA1B57" w:rsidP="00DB7F57" w:rsidRDefault="00FA1B57" w14:paraId="5E4BC099" w14:textId="3673FAC6">
      <w:pPr>
        <w:pStyle w:val="ListParagraph"/>
        <w:ind w:left="0"/>
      </w:pPr>
    </w:p>
    <w:p w:rsidRPr="0049555B" w:rsidR="00F44411" w:rsidP="004A2E3D" w:rsidRDefault="00F94DD2" w14:paraId="02D9D0CB" w14:textId="433C8EE5">
      <w:pPr>
        <w:pStyle w:val="Heading1"/>
      </w:pPr>
      <w:bookmarkStart w:name="_Toc501020194" w:id="44"/>
      <w:r>
        <w:t>6.</w:t>
      </w:r>
      <w:r w:rsidRPr="0049555B" w:rsidR="004A2E3D">
        <w:t xml:space="preserve"> </w:t>
      </w:r>
      <w:bookmarkEnd w:id="44"/>
      <w:r w:rsidRPr="00FA59CF" w:rsidR="00FA59CF">
        <w:t>ESTIMATING BURDEN AND COST OF TH</w:t>
      </w:r>
      <w:r w:rsidR="00FA59CF">
        <w:t>IS</w:t>
      </w:r>
      <w:r w:rsidRPr="00FA59CF" w:rsidR="00FA59CF">
        <w:t xml:space="preserve"> COLLECTION</w:t>
      </w:r>
    </w:p>
    <w:p w:rsidR="00FA59CF" w:rsidP="00FA59CF" w:rsidRDefault="00FA59CF" w14:paraId="5A806C2E" w14:textId="7B9F4450">
      <w:r>
        <w:t>This section of the ICR provides the total burden estimates, changes in the burden estimates from what is currently approved by OMB, and the paperwork burden statement. A detailed description of the</w:t>
      </w:r>
      <w:r w:rsidR="002776A3">
        <w:t xml:space="preserve"> </w:t>
      </w:r>
      <w:r w:rsidRPr="007919E5">
        <w:t>information collection activities and related estimates for burden and costs associated with those activities</w:t>
      </w:r>
      <w:r w:rsidR="002776A3">
        <w:t xml:space="preserve"> for each respondent category is provided in section 5 of this ICR</w:t>
      </w:r>
      <w:r w:rsidRPr="007919E5">
        <w:t>.</w:t>
      </w:r>
    </w:p>
    <w:p w:rsidRPr="002776A3" w:rsidR="002776A3" w:rsidP="002776A3" w:rsidRDefault="002776A3" w14:paraId="280CA1D5" w14:textId="77777777">
      <w:pPr>
        <w:pStyle w:val="NoSpacing"/>
      </w:pPr>
    </w:p>
    <w:p w:rsidR="00460424" w:rsidP="00460424" w:rsidRDefault="00460424" w14:paraId="01129DE1" w14:textId="3A153433">
      <w:pPr>
        <w:pStyle w:val="Heading2"/>
        <w:tabs>
          <w:tab w:val="left" w:pos="1080"/>
        </w:tabs>
      </w:pPr>
      <w:r>
        <w:t xml:space="preserve">6(a) </w:t>
      </w:r>
      <w:r w:rsidRPr="007919E5">
        <w:t>Total Estimated Respondent Burden and Costs</w:t>
      </w:r>
    </w:p>
    <w:p w:rsidR="00460424" w:rsidP="00460424" w:rsidRDefault="00460424" w14:paraId="423F7A5C" w14:textId="77777777">
      <w:r w:rsidRPr="006A0E12">
        <w:t>The estimated total number of respondents and responses, burden, and cost are shown in Exhibit 2 for each category of respondent.</w:t>
      </w:r>
      <w:r>
        <w:t xml:space="preserve"> Some respondents </w:t>
      </w:r>
      <w:r w:rsidRPr="00F24C84">
        <w:t xml:space="preserve">would not incur an incremental </w:t>
      </w:r>
      <w:r>
        <w:t xml:space="preserve">burden or cost </w:t>
      </w:r>
      <w:r w:rsidRPr="00F24C84">
        <w:t xml:space="preserve">to comply with the TSCA </w:t>
      </w:r>
      <w:r>
        <w:t xml:space="preserve">rule </w:t>
      </w:r>
      <w:r w:rsidRPr="00F24C84">
        <w:t>because they were already complying with similar requirements in the CARB ATCM</w:t>
      </w:r>
      <w:r>
        <w:t>;</w:t>
      </w:r>
      <w:r w:rsidRPr="00F24C84">
        <w:t xml:space="preserve"> their existing systems were sufficient to meet the rule’s requirements without any significant modification</w:t>
      </w:r>
      <w:r>
        <w:t>; they incurred one-time costs after the rule was promulgated in 2016; or they keep the necessary records as part of ordinary business practices</w:t>
      </w:r>
      <w:r w:rsidRPr="00F24C84">
        <w:t>.</w:t>
      </w:r>
    </w:p>
    <w:p w:rsidRPr="00D4207E" w:rsidR="00460424" w:rsidP="00460424" w:rsidRDefault="00460424" w14:paraId="1845E90D" w14:textId="77777777">
      <w:pPr>
        <w:pStyle w:val="NoSpacing"/>
      </w:pPr>
    </w:p>
    <w:tbl>
      <w:tblPr>
        <w:tblW w:w="1008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3"/>
        <w:gridCol w:w="1752"/>
        <w:gridCol w:w="1988"/>
        <w:gridCol w:w="1318"/>
        <w:gridCol w:w="1654"/>
      </w:tblGrid>
      <w:tr w:rsidRPr="00884428" w:rsidR="00460424" w:rsidTr="00A4629F" w14:paraId="21B3F584" w14:textId="77777777">
        <w:tc>
          <w:tcPr>
            <w:tcW w:w="10085" w:type="dxa"/>
            <w:gridSpan w:val="5"/>
            <w:shd w:val="clear" w:color="auto" w:fill="BFBFBF" w:themeFill="background1" w:themeFillShade="BF"/>
            <w:vAlign w:val="center"/>
            <w:hideMark/>
          </w:tcPr>
          <w:p w:rsidRPr="00C11C35" w:rsidR="00460424" w:rsidP="002776A3" w:rsidRDefault="00460424" w14:paraId="4D0A5D8E" w14:textId="77777777">
            <w:pPr>
              <w:keepNext/>
              <w:keepLines/>
              <w:rPr>
                <w:rFonts w:eastAsia="Times New Roman" w:cs="Arial"/>
                <w:b/>
                <w:bCs/>
                <w:sz w:val="22"/>
              </w:rPr>
            </w:pPr>
            <w:r>
              <w:rPr>
                <w:rFonts w:eastAsia="Times New Roman" w:cs="Arial"/>
                <w:b/>
                <w:bCs/>
                <w:sz w:val="22"/>
              </w:rPr>
              <w:lastRenderedPageBreak/>
              <w:t xml:space="preserve">Exhibit 2: </w:t>
            </w:r>
            <w:r w:rsidRPr="00C11C35">
              <w:rPr>
                <w:rFonts w:eastAsia="Times New Roman" w:cs="Arial"/>
                <w:b/>
                <w:bCs/>
                <w:sz w:val="22"/>
              </w:rPr>
              <w:t>IC Summary Table</w:t>
            </w:r>
          </w:p>
        </w:tc>
      </w:tr>
      <w:tr w:rsidRPr="00884428" w:rsidR="00460424" w:rsidTr="00A4629F" w14:paraId="737D93BF" w14:textId="77777777">
        <w:tc>
          <w:tcPr>
            <w:tcW w:w="3373" w:type="dxa"/>
            <w:shd w:val="clear" w:color="auto" w:fill="BFBFBF" w:themeFill="background1" w:themeFillShade="BF"/>
            <w:vAlign w:val="center"/>
            <w:hideMark/>
          </w:tcPr>
          <w:p w:rsidRPr="00C11C35" w:rsidR="00460424" w:rsidP="002776A3" w:rsidRDefault="00460424" w14:paraId="0FDE9622" w14:textId="77777777">
            <w:pPr>
              <w:keepNext/>
              <w:keepLines/>
              <w:rPr>
                <w:rFonts w:eastAsia="Times New Roman" w:cs="Arial"/>
                <w:b/>
                <w:bCs/>
                <w:sz w:val="18"/>
                <w:szCs w:val="18"/>
              </w:rPr>
            </w:pPr>
            <w:r w:rsidRPr="00C11C35">
              <w:rPr>
                <w:rFonts w:eastAsia="Times New Roman" w:cs="Arial"/>
                <w:b/>
                <w:bCs/>
                <w:sz w:val="18"/>
                <w:szCs w:val="18"/>
              </w:rPr>
              <w:t>IC Category</w:t>
            </w:r>
          </w:p>
        </w:tc>
        <w:tc>
          <w:tcPr>
            <w:tcW w:w="1752" w:type="dxa"/>
            <w:shd w:val="clear" w:color="auto" w:fill="BFBFBF" w:themeFill="background1" w:themeFillShade="BF"/>
            <w:vAlign w:val="center"/>
            <w:hideMark/>
          </w:tcPr>
          <w:p w:rsidRPr="00C11C35" w:rsidR="00460424" w:rsidP="002776A3" w:rsidRDefault="00460424" w14:paraId="69324D46" w14:textId="77777777">
            <w:pPr>
              <w:keepNext/>
              <w:keepLines/>
              <w:rPr>
                <w:rFonts w:eastAsia="Times New Roman" w:cs="Arial"/>
                <w:b/>
                <w:bCs/>
                <w:sz w:val="18"/>
                <w:szCs w:val="18"/>
              </w:rPr>
            </w:pPr>
            <w:r w:rsidRPr="00C11C35">
              <w:rPr>
                <w:rFonts w:eastAsia="Times New Roman" w:cs="Arial"/>
                <w:b/>
                <w:bCs/>
                <w:sz w:val="18"/>
                <w:szCs w:val="18"/>
              </w:rPr>
              <w:t>Respondents</w:t>
            </w:r>
          </w:p>
        </w:tc>
        <w:tc>
          <w:tcPr>
            <w:tcW w:w="1988" w:type="dxa"/>
            <w:shd w:val="clear" w:color="auto" w:fill="BFBFBF" w:themeFill="background1" w:themeFillShade="BF"/>
            <w:vAlign w:val="center"/>
            <w:hideMark/>
          </w:tcPr>
          <w:p w:rsidRPr="00C11C35" w:rsidR="00460424" w:rsidP="002776A3" w:rsidRDefault="00460424" w14:paraId="49CB55BD" w14:textId="77777777">
            <w:pPr>
              <w:keepNext/>
              <w:keepLines/>
              <w:rPr>
                <w:rFonts w:eastAsia="Times New Roman" w:cs="Arial"/>
                <w:b/>
                <w:bCs/>
                <w:sz w:val="18"/>
                <w:szCs w:val="18"/>
              </w:rPr>
            </w:pPr>
            <w:r w:rsidRPr="00C11C35">
              <w:rPr>
                <w:rFonts w:eastAsia="Times New Roman" w:cs="Arial"/>
                <w:b/>
                <w:bCs/>
                <w:sz w:val="18"/>
                <w:szCs w:val="18"/>
              </w:rPr>
              <w:t>Responses</w:t>
            </w:r>
          </w:p>
        </w:tc>
        <w:tc>
          <w:tcPr>
            <w:tcW w:w="1318" w:type="dxa"/>
            <w:shd w:val="clear" w:color="auto" w:fill="BFBFBF" w:themeFill="background1" w:themeFillShade="BF"/>
            <w:vAlign w:val="center"/>
            <w:hideMark/>
          </w:tcPr>
          <w:p w:rsidRPr="00C11C35" w:rsidR="00460424" w:rsidP="002776A3" w:rsidRDefault="00460424" w14:paraId="18A50F4D" w14:textId="77777777">
            <w:pPr>
              <w:keepNext/>
              <w:keepLines/>
              <w:rPr>
                <w:rFonts w:eastAsia="Times New Roman" w:cs="Arial"/>
                <w:b/>
                <w:bCs/>
                <w:sz w:val="18"/>
                <w:szCs w:val="18"/>
              </w:rPr>
            </w:pPr>
            <w:r w:rsidRPr="00C11C35">
              <w:rPr>
                <w:rFonts w:eastAsia="Times New Roman" w:cs="Arial"/>
                <w:b/>
                <w:bCs/>
                <w:sz w:val="18"/>
                <w:szCs w:val="18"/>
              </w:rPr>
              <w:t>Burden</w:t>
            </w:r>
            <w:r>
              <w:rPr>
                <w:rFonts w:eastAsia="Times New Roman" w:cs="Arial"/>
                <w:b/>
                <w:bCs/>
                <w:sz w:val="18"/>
                <w:szCs w:val="18"/>
              </w:rPr>
              <w:t xml:space="preserve"> (Hours)</w:t>
            </w:r>
          </w:p>
        </w:tc>
        <w:tc>
          <w:tcPr>
            <w:tcW w:w="1654" w:type="dxa"/>
            <w:shd w:val="clear" w:color="auto" w:fill="BFBFBF" w:themeFill="background1" w:themeFillShade="BF"/>
            <w:vAlign w:val="center"/>
            <w:hideMark/>
          </w:tcPr>
          <w:p w:rsidRPr="00C11C35" w:rsidR="00460424" w:rsidP="002776A3" w:rsidRDefault="00460424" w14:paraId="0F48B612" w14:textId="77777777">
            <w:pPr>
              <w:keepNext/>
              <w:keepLines/>
              <w:jc w:val="center"/>
              <w:rPr>
                <w:rFonts w:eastAsia="Times New Roman" w:cs="Arial"/>
                <w:b/>
                <w:bCs/>
                <w:sz w:val="18"/>
                <w:szCs w:val="18"/>
              </w:rPr>
            </w:pPr>
            <w:r w:rsidRPr="00C11C35">
              <w:rPr>
                <w:rFonts w:eastAsia="Times New Roman" w:cs="Arial"/>
                <w:b/>
                <w:bCs/>
                <w:sz w:val="18"/>
                <w:szCs w:val="18"/>
              </w:rPr>
              <w:t>Cost</w:t>
            </w:r>
          </w:p>
        </w:tc>
      </w:tr>
      <w:tr w:rsidRPr="00884428" w:rsidR="00460424" w:rsidTr="00A4629F" w14:paraId="2B71CD13" w14:textId="77777777">
        <w:tc>
          <w:tcPr>
            <w:tcW w:w="3373" w:type="dxa"/>
            <w:shd w:val="clear" w:color="auto" w:fill="auto"/>
            <w:vAlign w:val="center"/>
            <w:hideMark/>
          </w:tcPr>
          <w:p w:rsidRPr="004E4E65" w:rsidR="00460424" w:rsidP="002776A3" w:rsidRDefault="00460424" w14:paraId="339A03F8" w14:textId="77777777">
            <w:pPr>
              <w:keepNext/>
              <w:keepLines/>
              <w:rPr>
                <w:rFonts w:ascii="Calibri" w:hAnsi="Calibri" w:eastAsia="Times New Roman" w:cs="Calibri"/>
                <w:sz w:val="22"/>
              </w:rPr>
            </w:pPr>
            <w:bookmarkStart w:name="_Hlk40448384" w:id="45"/>
            <w:r w:rsidRPr="7352B032">
              <w:rPr>
                <w:rFonts w:ascii="Calibri" w:hAnsi="Calibri" w:eastAsia="Times New Roman" w:cs="Calibri"/>
                <w:sz w:val="22"/>
              </w:rPr>
              <w:t xml:space="preserve">IC 1: </w:t>
            </w:r>
            <w:r>
              <w:rPr>
                <w:rFonts w:ascii="Calibri" w:hAnsi="Calibri" w:eastAsia="Times New Roman" w:cs="Calibri"/>
                <w:sz w:val="22"/>
              </w:rPr>
              <w:t>Producers</w:t>
            </w:r>
          </w:p>
        </w:tc>
        <w:tc>
          <w:tcPr>
            <w:tcW w:w="1752" w:type="dxa"/>
            <w:tcBorders>
              <w:bottom w:val="single" w:color="auto" w:sz="4" w:space="0"/>
            </w:tcBorders>
            <w:shd w:val="clear" w:color="auto" w:fill="auto"/>
            <w:vAlign w:val="center"/>
          </w:tcPr>
          <w:p w:rsidRPr="00884428" w:rsidR="00460424" w:rsidP="002776A3" w:rsidRDefault="00460424" w14:paraId="3697050E" w14:textId="77777777">
            <w:pPr>
              <w:keepNext/>
              <w:keepLines/>
              <w:jc w:val="right"/>
              <w:rPr>
                <w:rFonts w:eastAsia="Times New Roman" w:cs="Arial"/>
                <w:color w:val="000000"/>
                <w:sz w:val="18"/>
                <w:szCs w:val="18"/>
              </w:rPr>
            </w:pPr>
            <w:r>
              <w:rPr>
                <w:rFonts w:cs="Arial"/>
                <w:color w:val="000000"/>
                <w:sz w:val="18"/>
                <w:szCs w:val="18"/>
              </w:rPr>
              <w:t>1,204</w:t>
            </w:r>
          </w:p>
        </w:tc>
        <w:tc>
          <w:tcPr>
            <w:tcW w:w="1988" w:type="dxa"/>
            <w:tcBorders>
              <w:bottom w:val="single" w:color="auto" w:sz="4" w:space="0"/>
            </w:tcBorders>
            <w:shd w:val="clear" w:color="auto" w:fill="auto"/>
            <w:vAlign w:val="center"/>
          </w:tcPr>
          <w:p w:rsidRPr="00884428" w:rsidR="00460424" w:rsidP="002776A3" w:rsidRDefault="00460424" w14:paraId="5AA9BA42" w14:textId="77777777">
            <w:pPr>
              <w:keepNext/>
              <w:keepLines/>
              <w:jc w:val="right"/>
              <w:rPr>
                <w:rFonts w:eastAsia="Times New Roman" w:cs="Arial"/>
                <w:color w:val="000000"/>
                <w:sz w:val="18"/>
                <w:szCs w:val="18"/>
              </w:rPr>
            </w:pPr>
            <w:r>
              <w:rPr>
                <w:rFonts w:cs="Arial"/>
                <w:color w:val="000000"/>
                <w:sz w:val="18"/>
                <w:szCs w:val="18"/>
              </w:rPr>
              <w:t>38,728</w:t>
            </w:r>
          </w:p>
        </w:tc>
        <w:tc>
          <w:tcPr>
            <w:tcW w:w="1318" w:type="dxa"/>
            <w:shd w:val="clear" w:color="auto" w:fill="auto"/>
            <w:vAlign w:val="center"/>
          </w:tcPr>
          <w:p w:rsidRPr="00884428" w:rsidR="00460424" w:rsidP="002776A3" w:rsidRDefault="00460424" w14:paraId="3C5B5D74" w14:textId="77777777">
            <w:pPr>
              <w:keepNext/>
              <w:keepLines/>
              <w:jc w:val="right"/>
              <w:rPr>
                <w:rFonts w:eastAsia="Times New Roman" w:cs="Arial"/>
                <w:color w:val="000000"/>
                <w:sz w:val="18"/>
                <w:szCs w:val="18"/>
              </w:rPr>
            </w:pPr>
            <w:r>
              <w:rPr>
                <w:rFonts w:cs="Arial"/>
                <w:color w:val="000000"/>
                <w:sz w:val="18"/>
                <w:szCs w:val="18"/>
              </w:rPr>
              <w:t>84,232</w:t>
            </w:r>
          </w:p>
        </w:tc>
        <w:tc>
          <w:tcPr>
            <w:tcW w:w="1654" w:type="dxa"/>
            <w:shd w:val="clear" w:color="auto" w:fill="auto"/>
            <w:vAlign w:val="center"/>
          </w:tcPr>
          <w:p w:rsidRPr="00884428" w:rsidR="00460424" w:rsidP="002776A3" w:rsidRDefault="00460424" w14:paraId="181CFF10" w14:textId="77777777">
            <w:pPr>
              <w:keepNext/>
              <w:keepLines/>
              <w:jc w:val="right"/>
              <w:rPr>
                <w:rFonts w:eastAsia="Times New Roman" w:cs="Arial"/>
                <w:color w:val="000000"/>
                <w:sz w:val="18"/>
                <w:szCs w:val="18"/>
              </w:rPr>
            </w:pPr>
            <w:r>
              <w:rPr>
                <w:rFonts w:cs="Arial"/>
                <w:color w:val="000000"/>
                <w:sz w:val="18"/>
                <w:szCs w:val="18"/>
              </w:rPr>
              <w:t xml:space="preserve">$19,593,378 </w:t>
            </w:r>
          </w:p>
        </w:tc>
      </w:tr>
      <w:tr w:rsidRPr="00884428" w:rsidR="00460424" w:rsidTr="00A4629F" w14:paraId="4F84AE12" w14:textId="77777777">
        <w:tc>
          <w:tcPr>
            <w:tcW w:w="3373" w:type="dxa"/>
            <w:shd w:val="clear" w:color="auto" w:fill="auto"/>
            <w:vAlign w:val="center"/>
          </w:tcPr>
          <w:p w:rsidRPr="7352B032" w:rsidR="00460424" w:rsidP="002776A3" w:rsidRDefault="00460424" w14:paraId="47D51796" w14:textId="77777777">
            <w:pPr>
              <w:keepNext/>
              <w:keepLines/>
              <w:rPr>
                <w:rFonts w:ascii="Calibri" w:hAnsi="Calibri" w:eastAsia="Times New Roman" w:cs="Calibri"/>
                <w:sz w:val="22"/>
              </w:rPr>
            </w:pPr>
            <w:r>
              <w:rPr>
                <w:rFonts w:ascii="Calibri" w:hAnsi="Calibri" w:eastAsia="Times New Roman" w:cs="Calibri"/>
                <w:sz w:val="22"/>
              </w:rPr>
              <w:t>IC 2: Fabricators and Laminators</w:t>
            </w:r>
          </w:p>
        </w:tc>
        <w:tc>
          <w:tcPr>
            <w:tcW w:w="1752" w:type="dxa"/>
            <w:shd w:val="clear" w:color="auto" w:fill="auto"/>
            <w:vAlign w:val="center"/>
          </w:tcPr>
          <w:p w:rsidR="00460424" w:rsidP="002776A3" w:rsidRDefault="00460424" w14:paraId="54F6AC7C" w14:textId="77777777">
            <w:pPr>
              <w:keepNext/>
              <w:keepLines/>
              <w:jc w:val="right"/>
              <w:rPr>
                <w:rFonts w:cs="Arial"/>
                <w:color w:val="000000"/>
                <w:sz w:val="18"/>
                <w:szCs w:val="18"/>
              </w:rPr>
            </w:pPr>
            <w:r>
              <w:rPr>
                <w:rFonts w:cs="Arial"/>
                <w:color w:val="000000"/>
                <w:sz w:val="18"/>
                <w:szCs w:val="18"/>
              </w:rPr>
              <w:t>111,161</w:t>
            </w:r>
          </w:p>
        </w:tc>
        <w:tc>
          <w:tcPr>
            <w:tcW w:w="1988" w:type="dxa"/>
            <w:shd w:val="clear" w:color="auto" w:fill="auto"/>
            <w:vAlign w:val="center"/>
          </w:tcPr>
          <w:p w:rsidR="00460424" w:rsidP="002776A3" w:rsidRDefault="00460424" w14:paraId="1643E678" w14:textId="77777777">
            <w:pPr>
              <w:keepNext/>
              <w:keepLines/>
              <w:jc w:val="right"/>
              <w:rPr>
                <w:rFonts w:cs="Arial"/>
                <w:color w:val="000000"/>
                <w:sz w:val="18"/>
                <w:szCs w:val="18"/>
              </w:rPr>
            </w:pPr>
            <w:r>
              <w:rPr>
                <w:rFonts w:cs="Arial"/>
                <w:color w:val="000000"/>
                <w:sz w:val="18"/>
                <w:szCs w:val="18"/>
              </w:rPr>
              <w:t>111,161</w:t>
            </w:r>
          </w:p>
        </w:tc>
        <w:tc>
          <w:tcPr>
            <w:tcW w:w="1318" w:type="dxa"/>
            <w:shd w:val="clear" w:color="auto" w:fill="auto"/>
            <w:vAlign w:val="center"/>
          </w:tcPr>
          <w:p w:rsidR="00460424" w:rsidP="002776A3" w:rsidRDefault="00460424" w14:paraId="45ED3FC4" w14:textId="77777777">
            <w:pPr>
              <w:keepNext/>
              <w:keepLines/>
              <w:jc w:val="right"/>
              <w:rPr>
                <w:rFonts w:cs="Arial"/>
                <w:color w:val="000000"/>
                <w:sz w:val="18"/>
                <w:szCs w:val="18"/>
              </w:rPr>
            </w:pPr>
            <w:r>
              <w:rPr>
                <w:rFonts w:cs="Arial"/>
                <w:color w:val="000000"/>
                <w:sz w:val="18"/>
                <w:szCs w:val="18"/>
              </w:rPr>
              <w:t>0</w:t>
            </w:r>
          </w:p>
        </w:tc>
        <w:tc>
          <w:tcPr>
            <w:tcW w:w="1654" w:type="dxa"/>
            <w:shd w:val="clear" w:color="auto" w:fill="auto"/>
            <w:vAlign w:val="center"/>
          </w:tcPr>
          <w:p w:rsidR="00460424" w:rsidP="002776A3" w:rsidRDefault="00460424" w14:paraId="39B4288E" w14:textId="77777777">
            <w:pPr>
              <w:keepNext/>
              <w:keepLines/>
              <w:jc w:val="right"/>
              <w:rPr>
                <w:rFonts w:cs="Arial"/>
                <w:color w:val="000000"/>
                <w:sz w:val="18"/>
                <w:szCs w:val="18"/>
              </w:rPr>
            </w:pPr>
            <w:r>
              <w:rPr>
                <w:rFonts w:cs="Arial"/>
                <w:color w:val="000000"/>
                <w:sz w:val="18"/>
                <w:szCs w:val="18"/>
              </w:rPr>
              <w:t>0</w:t>
            </w:r>
          </w:p>
        </w:tc>
      </w:tr>
      <w:tr w:rsidRPr="00884428" w:rsidR="00460424" w:rsidTr="00A4629F" w14:paraId="46A4813F" w14:textId="77777777">
        <w:tc>
          <w:tcPr>
            <w:tcW w:w="3373" w:type="dxa"/>
            <w:shd w:val="clear" w:color="auto" w:fill="auto"/>
            <w:vAlign w:val="center"/>
          </w:tcPr>
          <w:p w:rsidRPr="7352B032" w:rsidR="00460424" w:rsidP="002776A3" w:rsidRDefault="00460424" w14:paraId="3016C441" w14:textId="77777777">
            <w:pPr>
              <w:keepNext/>
              <w:keepLines/>
              <w:rPr>
                <w:rFonts w:ascii="Calibri" w:hAnsi="Calibri" w:eastAsia="Times New Roman" w:cs="Calibri"/>
                <w:sz w:val="22"/>
              </w:rPr>
            </w:pPr>
            <w:r>
              <w:rPr>
                <w:rFonts w:ascii="Calibri" w:hAnsi="Calibri" w:eastAsia="Times New Roman" w:cs="Calibri"/>
                <w:sz w:val="22"/>
              </w:rPr>
              <w:t>IC 3: Distributors and Importers</w:t>
            </w:r>
          </w:p>
        </w:tc>
        <w:tc>
          <w:tcPr>
            <w:tcW w:w="1752" w:type="dxa"/>
            <w:shd w:val="clear" w:color="auto" w:fill="auto"/>
            <w:vAlign w:val="center"/>
          </w:tcPr>
          <w:p w:rsidR="00460424" w:rsidP="002776A3" w:rsidRDefault="00460424" w14:paraId="7473B1AD" w14:textId="77777777">
            <w:pPr>
              <w:keepNext/>
              <w:keepLines/>
              <w:jc w:val="right"/>
              <w:rPr>
                <w:rFonts w:cs="Arial"/>
                <w:color w:val="000000"/>
                <w:sz w:val="18"/>
                <w:szCs w:val="18"/>
              </w:rPr>
            </w:pPr>
            <w:r>
              <w:rPr>
                <w:rFonts w:cs="Arial"/>
                <w:color w:val="000000"/>
                <w:sz w:val="18"/>
                <w:szCs w:val="18"/>
              </w:rPr>
              <w:t>118,808</w:t>
            </w:r>
          </w:p>
        </w:tc>
        <w:tc>
          <w:tcPr>
            <w:tcW w:w="1988" w:type="dxa"/>
            <w:shd w:val="clear" w:color="auto" w:fill="auto"/>
            <w:vAlign w:val="center"/>
          </w:tcPr>
          <w:p w:rsidR="00460424" w:rsidP="002776A3" w:rsidRDefault="00460424" w14:paraId="15741F4E" w14:textId="77777777">
            <w:pPr>
              <w:keepNext/>
              <w:keepLines/>
              <w:jc w:val="right"/>
              <w:rPr>
                <w:rFonts w:cs="Arial"/>
                <w:color w:val="000000"/>
                <w:sz w:val="18"/>
                <w:szCs w:val="18"/>
              </w:rPr>
            </w:pPr>
            <w:r>
              <w:rPr>
                <w:rFonts w:cs="Arial"/>
                <w:color w:val="000000"/>
                <w:sz w:val="18"/>
                <w:szCs w:val="18"/>
              </w:rPr>
              <w:t>118,808</w:t>
            </w:r>
          </w:p>
        </w:tc>
        <w:tc>
          <w:tcPr>
            <w:tcW w:w="1318" w:type="dxa"/>
            <w:shd w:val="clear" w:color="auto" w:fill="auto"/>
            <w:vAlign w:val="center"/>
          </w:tcPr>
          <w:p w:rsidR="00460424" w:rsidP="002776A3" w:rsidRDefault="00460424" w14:paraId="22E1A4B7" w14:textId="77777777">
            <w:pPr>
              <w:keepNext/>
              <w:keepLines/>
              <w:jc w:val="right"/>
              <w:rPr>
                <w:rFonts w:cs="Arial"/>
                <w:color w:val="000000"/>
                <w:sz w:val="18"/>
                <w:szCs w:val="18"/>
              </w:rPr>
            </w:pPr>
            <w:r>
              <w:rPr>
                <w:rFonts w:cs="Arial"/>
                <w:color w:val="000000"/>
                <w:sz w:val="18"/>
                <w:szCs w:val="18"/>
              </w:rPr>
              <w:t>0</w:t>
            </w:r>
          </w:p>
        </w:tc>
        <w:tc>
          <w:tcPr>
            <w:tcW w:w="1654" w:type="dxa"/>
            <w:shd w:val="clear" w:color="auto" w:fill="auto"/>
            <w:vAlign w:val="center"/>
          </w:tcPr>
          <w:p w:rsidR="00460424" w:rsidP="002776A3" w:rsidRDefault="00460424" w14:paraId="4578CEDB" w14:textId="77777777">
            <w:pPr>
              <w:keepNext/>
              <w:keepLines/>
              <w:jc w:val="right"/>
              <w:rPr>
                <w:rFonts w:cs="Arial"/>
                <w:color w:val="000000"/>
                <w:sz w:val="18"/>
                <w:szCs w:val="18"/>
              </w:rPr>
            </w:pPr>
            <w:r>
              <w:rPr>
                <w:rFonts w:cs="Arial"/>
                <w:color w:val="000000"/>
                <w:sz w:val="18"/>
                <w:szCs w:val="18"/>
              </w:rPr>
              <w:t>0</w:t>
            </w:r>
          </w:p>
        </w:tc>
      </w:tr>
      <w:tr w:rsidRPr="00884428" w:rsidR="00460424" w:rsidTr="00A4629F" w14:paraId="2367DEAE" w14:textId="77777777">
        <w:tc>
          <w:tcPr>
            <w:tcW w:w="3373" w:type="dxa"/>
            <w:shd w:val="clear" w:color="auto" w:fill="auto"/>
            <w:vAlign w:val="center"/>
          </w:tcPr>
          <w:p w:rsidRPr="7352B032" w:rsidR="00460424" w:rsidP="002776A3" w:rsidRDefault="00460424" w14:paraId="2FFF37FD" w14:textId="77777777">
            <w:pPr>
              <w:keepNext/>
              <w:keepLines/>
              <w:rPr>
                <w:rFonts w:ascii="Calibri" w:hAnsi="Calibri" w:eastAsia="Times New Roman" w:cs="Calibri"/>
                <w:sz w:val="22"/>
              </w:rPr>
            </w:pPr>
            <w:r>
              <w:rPr>
                <w:rFonts w:ascii="Calibri" w:hAnsi="Calibri" w:eastAsia="Times New Roman" w:cs="Calibri"/>
                <w:sz w:val="22"/>
              </w:rPr>
              <w:t>IC 4: Retailers</w:t>
            </w:r>
          </w:p>
        </w:tc>
        <w:tc>
          <w:tcPr>
            <w:tcW w:w="1752" w:type="dxa"/>
            <w:shd w:val="clear" w:color="auto" w:fill="auto"/>
            <w:vAlign w:val="center"/>
          </w:tcPr>
          <w:p w:rsidR="00460424" w:rsidP="002776A3" w:rsidRDefault="00460424" w14:paraId="6D13A02D" w14:textId="77777777">
            <w:pPr>
              <w:keepNext/>
              <w:keepLines/>
              <w:jc w:val="right"/>
              <w:rPr>
                <w:rFonts w:cs="Arial"/>
                <w:color w:val="000000"/>
                <w:sz w:val="18"/>
                <w:szCs w:val="18"/>
              </w:rPr>
            </w:pPr>
            <w:r>
              <w:rPr>
                <w:rFonts w:cs="Arial"/>
                <w:color w:val="000000"/>
                <w:sz w:val="18"/>
                <w:szCs w:val="18"/>
              </w:rPr>
              <w:t>759,046</w:t>
            </w:r>
          </w:p>
        </w:tc>
        <w:tc>
          <w:tcPr>
            <w:tcW w:w="1988" w:type="dxa"/>
            <w:shd w:val="clear" w:color="auto" w:fill="auto"/>
            <w:vAlign w:val="center"/>
          </w:tcPr>
          <w:p w:rsidR="00460424" w:rsidP="002776A3" w:rsidRDefault="00460424" w14:paraId="24F4D230" w14:textId="77777777">
            <w:pPr>
              <w:keepNext/>
              <w:keepLines/>
              <w:jc w:val="right"/>
              <w:rPr>
                <w:rFonts w:cs="Arial"/>
                <w:color w:val="000000"/>
                <w:sz w:val="18"/>
                <w:szCs w:val="18"/>
              </w:rPr>
            </w:pPr>
            <w:r>
              <w:rPr>
                <w:rFonts w:cs="Arial"/>
                <w:color w:val="000000"/>
                <w:sz w:val="18"/>
                <w:szCs w:val="18"/>
              </w:rPr>
              <w:t>759,046</w:t>
            </w:r>
          </w:p>
        </w:tc>
        <w:tc>
          <w:tcPr>
            <w:tcW w:w="1318" w:type="dxa"/>
            <w:shd w:val="clear" w:color="auto" w:fill="auto"/>
            <w:vAlign w:val="center"/>
          </w:tcPr>
          <w:p w:rsidR="00460424" w:rsidP="002776A3" w:rsidRDefault="00460424" w14:paraId="5F304E62" w14:textId="77777777">
            <w:pPr>
              <w:keepNext/>
              <w:keepLines/>
              <w:jc w:val="right"/>
              <w:rPr>
                <w:rFonts w:cs="Arial"/>
                <w:color w:val="000000"/>
                <w:sz w:val="18"/>
                <w:szCs w:val="18"/>
              </w:rPr>
            </w:pPr>
            <w:r>
              <w:rPr>
                <w:rFonts w:cs="Arial"/>
                <w:color w:val="000000"/>
                <w:sz w:val="18"/>
                <w:szCs w:val="18"/>
              </w:rPr>
              <w:t>0</w:t>
            </w:r>
          </w:p>
        </w:tc>
        <w:tc>
          <w:tcPr>
            <w:tcW w:w="1654" w:type="dxa"/>
            <w:shd w:val="clear" w:color="auto" w:fill="auto"/>
            <w:vAlign w:val="center"/>
          </w:tcPr>
          <w:p w:rsidR="00460424" w:rsidP="002776A3" w:rsidRDefault="00460424" w14:paraId="5B3BE25D" w14:textId="77777777">
            <w:pPr>
              <w:keepNext/>
              <w:keepLines/>
              <w:jc w:val="right"/>
              <w:rPr>
                <w:rFonts w:cs="Arial"/>
                <w:color w:val="000000"/>
                <w:sz w:val="18"/>
                <w:szCs w:val="18"/>
              </w:rPr>
            </w:pPr>
            <w:r>
              <w:rPr>
                <w:rFonts w:cs="Arial"/>
                <w:color w:val="000000"/>
                <w:sz w:val="18"/>
                <w:szCs w:val="18"/>
              </w:rPr>
              <w:t>0</w:t>
            </w:r>
          </w:p>
        </w:tc>
      </w:tr>
      <w:tr w:rsidRPr="00884428" w:rsidR="00460424" w:rsidTr="00A4629F" w14:paraId="10B3988D" w14:textId="77777777">
        <w:tc>
          <w:tcPr>
            <w:tcW w:w="3373" w:type="dxa"/>
            <w:shd w:val="clear" w:color="auto" w:fill="auto"/>
            <w:vAlign w:val="center"/>
            <w:hideMark/>
          </w:tcPr>
          <w:p w:rsidRPr="004E4E65" w:rsidR="00460424" w:rsidP="002776A3" w:rsidRDefault="00460424" w14:paraId="62D68B55" w14:textId="77777777">
            <w:pPr>
              <w:keepNext/>
              <w:keepLines/>
              <w:rPr>
                <w:rFonts w:ascii="Calibri" w:hAnsi="Calibri" w:eastAsia="Times New Roman" w:cs="Calibri"/>
                <w:sz w:val="22"/>
              </w:rPr>
            </w:pPr>
            <w:r w:rsidRPr="7352B032">
              <w:rPr>
                <w:rFonts w:ascii="Calibri" w:hAnsi="Calibri" w:eastAsia="Times New Roman" w:cs="Calibri"/>
                <w:sz w:val="22"/>
              </w:rPr>
              <w:t xml:space="preserve">IC </w:t>
            </w:r>
            <w:r>
              <w:rPr>
                <w:rFonts w:ascii="Calibri" w:hAnsi="Calibri" w:eastAsia="Times New Roman" w:cs="Calibri"/>
                <w:sz w:val="22"/>
              </w:rPr>
              <w:t>5</w:t>
            </w:r>
            <w:r w:rsidRPr="7352B032">
              <w:rPr>
                <w:rFonts w:ascii="Calibri" w:hAnsi="Calibri" w:eastAsia="Times New Roman" w:cs="Calibri"/>
                <w:sz w:val="22"/>
              </w:rPr>
              <w:t xml:space="preserve">: </w:t>
            </w:r>
            <w:r>
              <w:rPr>
                <w:rFonts w:ascii="Calibri" w:hAnsi="Calibri" w:eastAsia="Times New Roman" w:cs="Calibri"/>
                <w:sz w:val="22"/>
              </w:rPr>
              <w:t>Accrediting Bodies</w:t>
            </w:r>
          </w:p>
        </w:tc>
        <w:tc>
          <w:tcPr>
            <w:tcW w:w="1752" w:type="dxa"/>
            <w:shd w:val="clear" w:color="auto" w:fill="auto"/>
            <w:vAlign w:val="center"/>
          </w:tcPr>
          <w:p w:rsidRPr="00884428" w:rsidR="00460424" w:rsidP="002776A3" w:rsidRDefault="00460424" w14:paraId="5BAC18B7" w14:textId="77777777">
            <w:pPr>
              <w:keepNext/>
              <w:keepLines/>
              <w:jc w:val="right"/>
              <w:rPr>
                <w:rFonts w:eastAsia="Times New Roman" w:cs="Arial"/>
                <w:color w:val="000000"/>
                <w:sz w:val="18"/>
                <w:szCs w:val="18"/>
              </w:rPr>
            </w:pPr>
            <w:r>
              <w:rPr>
                <w:rFonts w:cs="Arial"/>
                <w:color w:val="000000"/>
                <w:sz w:val="18"/>
                <w:szCs w:val="18"/>
              </w:rPr>
              <w:t>14</w:t>
            </w:r>
          </w:p>
        </w:tc>
        <w:tc>
          <w:tcPr>
            <w:tcW w:w="1988" w:type="dxa"/>
            <w:shd w:val="clear" w:color="auto" w:fill="auto"/>
            <w:vAlign w:val="center"/>
          </w:tcPr>
          <w:p w:rsidRPr="00884428" w:rsidR="00460424" w:rsidP="002776A3" w:rsidRDefault="00460424" w14:paraId="743D0057" w14:textId="77777777">
            <w:pPr>
              <w:keepNext/>
              <w:keepLines/>
              <w:jc w:val="right"/>
              <w:rPr>
                <w:rFonts w:eastAsia="Times New Roman" w:cs="Arial"/>
                <w:color w:val="000000"/>
                <w:sz w:val="18"/>
                <w:szCs w:val="18"/>
              </w:rPr>
            </w:pPr>
            <w:r>
              <w:rPr>
                <w:rFonts w:cs="Arial"/>
                <w:color w:val="000000"/>
                <w:sz w:val="18"/>
                <w:szCs w:val="18"/>
              </w:rPr>
              <w:t>167</w:t>
            </w:r>
          </w:p>
        </w:tc>
        <w:tc>
          <w:tcPr>
            <w:tcW w:w="1318" w:type="dxa"/>
            <w:shd w:val="clear" w:color="auto" w:fill="auto"/>
            <w:vAlign w:val="center"/>
          </w:tcPr>
          <w:p w:rsidRPr="00884428" w:rsidR="00460424" w:rsidP="002776A3" w:rsidRDefault="00460424" w14:paraId="6342FDF8" w14:textId="77777777">
            <w:pPr>
              <w:keepNext/>
              <w:keepLines/>
              <w:jc w:val="right"/>
              <w:rPr>
                <w:rFonts w:eastAsia="Times New Roman" w:cs="Arial"/>
                <w:color w:val="000000"/>
                <w:sz w:val="18"/>
                <w:szCs w:val="18"/>
              </w:rPr>
            </w:pPr>
            <w:r>
              <w:rPr>
                <w:rFonts w:cs="Arial"/>
                <w:color w:val="000000"/>
                <w:sz w:val="18"/>
                <w:szCs w:val="18"/>
              </w:rPr>
              <w:t>116</w:t>
            </w:r>
          </w:p>
        </w:tc>
        <w:tc>
          <w:tcPr>
            <w:tcW w:w="1654" w:type="dxa"/>
            <w:shd w:val="clear" w:color="auto" w:fill="auto"/>
            <w:vAlign w:val="center"/>
          </w:tcPr>
          <w:p w:rsidRPr="00884428" w:rsidR="00460424" w:rsidP="002776A3" w:rsidRDefault="00460424" w14:paraId="1C15F062" w14:textId="77777777">
            <w:pPr>
              <w:keepNext/>
              <w:keepLines/>
              <w:jc w:val="right"/>
              <w:rPr>
                <w:rFonts w:eastAsia="Times New Roman" w:cs="Arial"/>
                <w:color w:val="000000"/>
                <w:sz w:val="18"/>
                <w:szCs w:val="18"/>
              </w:rPr>
            </w:pPr>
            <w:r>
              <w:rPr>
                <w:rFonts w:cs="Arial"/>
                <w:color w:val="000000"/>
                <w:sz w:val="18"/>
                <w:szCs w:val="18"/>
              </w:rPr>
              <w:t xml:space="preserve">$9,628 </w:t>
            </w:r>
          </w:p>
        </w:tc>
      </w:tr>
      <w:tr w:rsidRPr="00884428" w:rsidR="00460424" w:rsidTr="00A4629F" w14:paraId="272B707A" w14:textId="77777777">
        <w:tc>
          <w:tcPr>
            <w:tcW w:w="3373" w:type="dxa"/>
            <w:shd w:val="clear" w:color="auto" w:fill="auto"/>
            <w:vAlign w:val="center"/>
            <w:hideMark/>
          </w:tcPr>
          <w:p w:rsidRPr="004E4E65" w:rsidR="00460424" w:rsidP="002776A3" w:rsidRDefault="00460424" w14:paraId="54F00E7F" w14:textId="77777777">
            <w:pPr>
              <w:keepNext/>
              <w:keepLines/>
              <w:rPr>
                <w:rFonts w:ascii="Calibri" w:hAnsi="Calibri" w:eastAsia="Times New Roman" w:cs="Calibri"/>
                <w:sz w:val="22"/>
              </w:rPr>
            </w:pPr>
            <w:r w:rsidRPr="7352B032">
              <w:rPr>
                <w:rFonts w:ascii="Calibri" w:hAnsi="Calibri" w:eastAsia="Times New Roman" w:cs="Calibri"/>
                <w:sz w:val="22"/>
              </w:rPr>
              <w:t xml:space="preserve">IC </w:t>
            </w:r>
            <w:r>
              <w:rPr>
                <w:rFonts w:ascii="Calibri" w:hAnsi="Calibri" w:eastAsia="Times New Roman" w:cs="Calibri"/>
                <w:sz w:val="22"/>
              </w:rPr>
              <w:t>6</w:t>
            </w:r>
            <w:r w:rsidRPr="7352B032">
              <w:rPr>
                <w:rFonts w:ascii="Calibri" w:hAnsi="Calibri" w:eastAsia="Times New Roman" w:cs="Calibri"/>
                <w:sz w:val="22"/>
              </w:rPr>
              <w:t xml:space="preserve">: </w:t>
            </w:r>
            <w:r>
              <w:rPr>
                <w:rFonts w:ascii="Calibri" w:hAnsi="Calibri" w:eastAsia="Times New Roman" w:cs="Calibri"/>
                <w:sz w:val="22"/>
              </w:rPr>
              <w:t>Third Party Certifiers</w:t>
            </w:r>
          </w:p>
        </w:tc>
        <w:tc>
          <w:tcPr>
            <w:tcW w:w="1752" w:type="dxa"/>
            <w:shd w:val="clear" w:color="auto" w:fill="auto"/>
            <w:vAlign w:val="center"/>
          </w:tcPr>
          <w:p w:rsidRPr="00884428" w:rsidR="00460424" w:rsidP="002776A3" w:rsidRDefault="00460424" w14:paraId="1868FD99" w14:textId="77777777">
            <w:pPr>
              <w:keepNext/>
              <w:keepLines/>
              <w:jc w:val="right"/>
              <w:rPr>
                <w:rFonts w:eastAsia="Times New Roman" w:cs="Arial"/>
                <w:color w:val="000000"/>
                <w:sz w:val="18"/>
                <w:szCs w:val="18"/>
              </w:rPr>
            </w:pPr>
            <w:r>
              <w:rPr>
                <w:rFonts w:cs="Arial"/>
                <w:color w:val="000000"/>
                <w:sz w:val="18"/>
                <w:szCs w:val="18"/>
              </w:rPr>
              <w:t>36</w:t>
            </w:r>
          </w:p>
        </w:tc>
        <w:tc>
          <w:tcPr>
            <w:tcW w:w="1988" w:type="dxa"/>
            <w:shd w:val="clear" w:color="auto" w:fill="auto"/>
            <w:vAlign w:val="center"/>
          </w:tcPr>
          <w:p w:rsidRPr="00884428" w:rsidR="00460424" w:rsidP="002776A3" w:rsidRDefault="00460424" w14:paraId="0ED599CC" w14:textId="77777777">
            <w:pPr>
              <w:keepNext/>
              <w:keepLines/>
              <w:jc w:val="right"/>
              <w:rPr>
                <w:rFonts w:eastAsia="Times New Roman" w:cs="Arial"/>
                <w:color w:val="000000"/>
                <w:sz w:val="18"/>
                <w:szCs w:val="18"/>
              </w:rPr>
            </w:pPr>
            <w:r>
              <w:rPr>
                <w:rFonts w:cs="Arial"/>
                <w:color w:val="000000"/>
                <w:sz w:val="18"/>
                <w:szCs w:val="18"/>
              </w:rPr>
              <w:t>234</w:t>
            </w:r>
          </w:p>
        </w:tc>
        <w:tc>
          <w:tcPr>
            <w:tcW w:w="1318" w:type="dxa"/>
            <w:shd w:val="clear" w:color="auto" w:fill="auto"/>
            <w:vAlign w:val="center"/>
          </w:tcPr>
          <w:p w:rsidRPr="00884428" w:rsidR="00460424" w:rsidP="002776A3" w:rsidRDefault="00460424" w14:paraId="3379D7F7" w14:textId="77777777">
            <w:pPr>
              <w:keepNext/>
              <w:keepLines/>
              <w:jc w:val="right"/>
              <w:rPr>
                <w:rFonts w:eastAsia="Times New Roman" w:cs="Arial"/>
                <w:color w:val="000000"/>
                <w:sz w:val="18"/>
                <w:szCs w:val="18"/>
              </w:rPr>
            </w:pPr>
            <w:r>
              <w:rPr>
                <w:rFonts w:cs="Arial"/>
                <w:color w:val="000000"/>
                <w:sz w:val="18"/>
                <w:szCs w:val="18"/>
              </w:rPr>
              <w:t>446</w:t>
            </w:r>
          </w:p>
        </w:tc>
        <w:tc>
          <w:tcPr>
            <w:tcW w:w="1654" w:type="dxa"/>
            <w:shd w:val="clear" w:color="auto" w:fill="auto"/>
            <w:vAlign w:val="center"/>
          </w:tcPr>
          <w:p w:rsidRPr="00884428" w:rsidR="00460424" w:rsidP="002776A3" w:rsidRDefault="00460424" w14:paraId="645EE2B0" w14:textId="77777777">
            <w:pPr>
              <w:keepNext/>
              <w:keepLines/>
              <w:jc w:val="right"/>
              <w:rPr>
                <w:rFonts w:eastAsia="Times New Roman" w:cs="Arial"/>
                <w:color w:val="000000"/>
                <w:sz w:val="18"/>
                <w:szCs w:val="18"/>
              </w:rPr>
            </w:pPr>
            <w:r>
              <w:rPr>
                <w:rFonts w:cs="Arial"/>
                <w:color w:val="000000"/>
                <w:sz w:val="18"/>
                <w:szCs w:val="18"/>
              </w:rPr>
              <w:t xml:space="preserve">$35,012 </w:t>
            </w:r>
          </w:p>
        </w:tc>
      </w:tr>
      <w:bookmarkEnd w:id="45"/>
      <w:tr w:rsidRPr="00884428" w:rsidR="00460424" w:rsidTr="00A4629F" w14:paraId="5FD4CBE0" w14:textId="77777777">
        <w:tc>
          <w:tcPr>
            <w:tcW w:w="3373" w:type="dxa"/>
            <w:shd w:val="clear" w:color="auto" w:fill="auto"/>
            <w:vAlign w:val="center"/>
            <w:hideMark/>
          </w:tcPr>
          <w:p w:rsidRPr="00884428" w:rsidR="00460424" w:rsidP="002776A3" w:rsidRDefault="00460424" w14:paraId="4886B96F" w14:textId="77777777">
            <w:pPr>
              <w:keepNext/>
              <w:keepLines/>
              <w:rPr>
                <w:rFonts w:eastAsia="Times New Roman" w:cs="Arial"/>
                <w:b/>
                <w:bCs/>
                <w:color w:val="000000"/>
                <w:sz w:val="18"/>
                <w:szCs w:val="18"/>
              </w:rPr>
            </w:pPr>
            <w:r w:rsidRPr="00884428">
              <w:rPr>
                <w:rFonts w:eastAsia="Times New Roman" w:cs="Arial"/>
                <w:b/>
                <w:bCs/>
                <w:color w:val="000000"/>
                <w:sz w:val="18"/>
                <w:szCs w:val="18"/>
              </w:rPr>
              <w:t>Total</w:t>
            </w:r>
          </w:p>
        </w:tc>
        <w:tc>
          <w:tcPr>
            <w:tcW w:w="1752" w:type="dxa"/>
            <w:shd w:val="clear" w:color="auto" w:fill="auto"/>
            <w:vAlign w:val="center"/>
          </w:tcPr>
          <w:p w:rsidRPr="00491BA3" w:rsidR="00460424" w:rsidP="002776A3" w:rsidRDefault="00460424" w14:paraId="7384AB3E" w14:textId="77777777">
            <w:pPr>
              <w:keepNext/>
              <w:keepLines/>
              <w:jc w:val="right"/>
              <w:rPr>
                <w:rFonts w:ascii="Arial Bold" w:hAnsi="Arial Bold" w:eastAsia="Times New Roman" w:cs="Arial"/>
                <w:b/>
                <w:bCs/>
                <w:color w:val="000000"/>
                <w:sz w:val="18"/>
                <w:szCs w:val="18"/>
              </w:rPr>
            </w:pPr>
            <w:r>
              <w:rPr>
                <w:rFonts w:cs="Arial"/>
                <w:b/>
                <w:bCs/>
                <w:color w:val="000000"/>
                <w:sz w:val="18"/>
                <w:szCs w:val="18"/>
              </w:rPr>
              <w:t>990,269</w:t>
            </w:r>
          </w:p>
        </w:tc>
        <w:tc>
          <w:tcPr>
            <w:tcW w:w="1988" w:type="dxa"/>
            <w:shd w:val="clear" w:color="auto" w:fill="auto"/>
            <w:vAlign w:val="center"/>
          </w:tcPr>
          <w:p w:rsidRPr="00491BA3" w:rsidR="00460424" w:rsidP="002776A3" w:rsidRDefault="00460424" w14:paraId="43AA5426" w14:textId="77777777">
            <w:pPr>
              <w:keepNext/>
              <w:keepLines/>
              <w:jc w:val="right"/>
              <w:rPr>
                <w:rFonts w:eastAsia="Times New Roman" w:cs="Arial"/>
                <w:b/>
                <w:bCs/>
                <w:color w:val="000000"/>
                <w:sz w:val="18"/>
                <w:szCs w:val="18"/>
              </w:rPr>
            </w:pPr>
            <w:r>
              <w:rPr>
                <w:rFonts w:cs="Arial"/>
                <w:b/>
                <w:bCs/>
                <w:color w:val="000000"/>
                <w:sz w:val="18"/>
                <w:szCs w:val="18"/>
              </w:rPr>
              <w:t>1,028,144</w:t>
            </w:r>
          </w:p>
        </w:tc>
        <w:tc>
          <w:tcPr>
            <w:tcW w:w="1318" w:type="dxa"/>
            <w:shd w:val="clear" w:color="auto" w:fill="auto"/>
            <w:vAlign w:val="center"/>
          </w:tcPr>
          <w:p w:rsidRPr="00491BA3" w:rsidR="00460424" w:rsidP="002776A3" w:rsidRDefault="00460424" w14:paraId="786AFB8F" w14:textId="77777777">
            <w:pPr>
              <w:keepNext/>
              <w:keepLines/>
              <w:jc w:val="right"/>
              <w:rPr>
                <w:rFonts w:eastAsia="Times New Roman" w:cs="Arial"/>
                <w:b/>
                <w:bCs/>
                <w:color w:val="000000"/>
                <w:sz w:val="18"/>
                <w:szCs w:val="18"/>
              </w:rPr>
            </w:pPr>
            <w:r>
              <w:rPr>
                <w:rFonts w:cs="Arial"/>
                <w:b/>
                <w:bCs/>
                <w:color w:val="000000"/>
                <w:sz w:val="18"/>
                <w:szCs w:val="18"/>
              </w:rPr>
              <w:t>84,793</w:t>
            </w:r>
          </w:p>
        </w:tc>
        <w:tc>
          <w:tcPr>
            <w:tcW w:w="1654" w:type="dxa"/>
            <w:shd w:val="clear" w:color="auto" w:fill="auto"/>
            <w:vAlign w:val="center"/>
          </w:tcPr>
          <w:p w:rsidRPr="00491BA3" w:rsidR="00460424" w:rsidP="002776A3" w:rsidRDefault="00460424" w14:paraId="3B41A146" w14:textId="77777777">
            <w:pPr>
              <w:keepNext/>
              <w:keepLines/>
              <w:jc w:val="right"/>
              <w:rPr>
                <w:rFonts w:eastAsia="Times New Roman" w:cs="Arial"/>
                <w:b/>
                <w:bCs/>
                <w:color w:val="000000"/>
                <w:sz w:val="18"/>
                <w:szCs w:val="18"/>
              </w:rPr>
            </w:pPr>
            <w:r>
              <w:rPr>
                <w:rFonts w:cs="Arial"/>
                <w:b/>
                <w:bCs/>
                <w:color w:val="000000"/>
                <w:sz w:val="18"/>
                <w:szCs w:val="18"/>
              </w:rPr>
              <w:t xml:space="preserve">$19,638,018 </w:t>
            </w:r>
          </w:p>
        </w:tc>
      </w:tr>
    </w:tbl>
    <w:p w:rsidR="00460424" w:rsidP="00B6558B" w:rsidRDefault="00460424" w14:paraId="6AD20E28" w14:textId="77777777">
      <w:pPr>
        <w:rPr>
          <w:rFonts w:eastAsia="Times New Roman" w:cs="Arial"/>
          <w:i/>
          <w:szCs w:val="24"/>
        </w:rPr>
      </w:pPr>
    </w:p>
    <w:p w:rsidR="00460424" w:rsidP="00460424" w:rsidRDefault="00460424" w14:paraId="02291B8D" w14:textId="4A044A15">
      <w:pPr>
        <w:pStyle w:val="Heading2"/>
        <w:tabs>
          <w:tab w:val="left" w:pos="1080"/>
        </w:tabs>
      </w:pPr>
      <w:r>
        <w:t>6(b) Changes in the Estimates</w:t>
      </w:r>
    </w:p>
    <w:p w:rsidRPr="007D03DF" w:rsidR="00B6558B" w:rsidP="00B6558B" w:rsidRDefault="00B6558B" w14:paraId="7B454644" w14:textId="318C8056">
      <w:pPr>
        <w:rPr>
          <w:color w:val="000000" w:themeColor="text1"/>
        </w:rPr>
      </w:pPr>
      <w:r w:rsidRPr="006D3F49">
        <w:t xml:space="preserve">There is an overall decrease of </w:t>
      </w:r>
      <w:r w:rsidRPr="006D3F49">
        <w:rPr>
          <w:bCs/>
        </w:rPr>
        <w:t>1,39</w:t>
      </w:r>
      <w:r>
        <w:rPr>
          <w:bCs/>
        </w:rPr>
        <w:t>6</w:t>
      </w:r>
      <w:r w:rsidRPr="006D3F49">
        <w:rPr>
          <w:bCs/>
        </w:rPr>
        <w:t>,</w:t>
      </w:r>
      <w:r>
        <w:rPr>
          <w:bCs/>
        </w:rPr>
        <w:t>732</w:t>
      </w:r>
      <w:r w:rsidRPr="006D3F49">
        <w:rPr>
          <w:bCs/>
        </w:rPr>
        <w:t xml:space="preserve"> </w:t>
      </w:r>
      <w:r w:rsidRPr="006D3F49">
        <w:t>hours in the total estimated combined respondent burden that is currently approved by OM</w:t>
      </w:r>
      <w:r w:rsidRPr="007D03DF">
        <w:t xml:space="preserve">B in </w:t>
      </w:r>
      <w:r>
        <w:t xml:space="preserve">the </w:t>
      </w:r>
      <w:r w:rsidRPr="007D03DF">
        <w:t>ICR</w:t>
      </w:r>
      <w:r>
        <w:t xml:space="preserve"> for this program (EPA ICR #2446.02)</w:t>
      </w:r>
      <w:r w:rsidRPr="007D03DF">
        <w:t xml:space="preserve">. </w:t>
      </w:r>
      <w:r w:rsidRPr="007D03DF">
        <w:rPr>
          <w:color w:val="000000" w:themeColor="text1"/>
        </w:rPr>
        <w:t>The difference between the current burden request and the previously approved request are due to adjustments in EPA’s estimates of the burden. Several adjustments to the estimates were made, including:</w:t>
      </w:r>
    </w:p>
    <w:p w:rsidRPr="007D03DF" w:rsidR="00B6558B" w:rsidP="00B6558B" w:rsidRDefault="00B6558B" w14:paraId="2BA586EE" w14:textId="77777777">
      <w:pPr>
        <w:rPr>
          <w:color w:val="000000" w:themeColor="text1"/>
        </w:rPr>
      </w:pPr>
    </w:p>
    <w:p w:rsidRPr="007D03DF" w:rsidR="00B6558B" w:rsidP="00B6558B" w:rsidRDefault="00B6558B" w14:paraId="0836256B" w14:textId="77777777">
      <w:pPr>
        <w:numPr>
          <w:ilvl w:val="0"/>
          <w:numId w:val="6"/>
        </w:numPr>
        <w:rPr>
          <w:color w:val="000000" w:themeColor="text1"/>
        </w:rPr>
      </w:pPr>
      <w:r>
        <w:rPr>
          <w:color w:val="000000" w:themeColor="text1"/>
        </w:rPr>
        <w:t>Revisions to the estimated burden reflecting activities that only had one-time burdens associated with the initial implementation of the rule; and</w:t>
      </w:r>
    </w:p>
    <w:p w:rsidRPr="00855BD9" w:rsidR="00B6558B" w:rsidP="00B6558B" w:rsidRDefault="00B6558B" w14:paraId="20461BE4" w14:textId="77777777">
      <w:pPr>
        <w:numPr>
          <w:ilvl w:val="0"/>
          <w:numId w:val="6"/>
        </w:numPr>
      </w:pPr>
      <w:r w:rsidRPr="007D03DF">
        <w:rPr>
          <w:color w:val="000000" w:themeColor="text1"/>
        </w:rPr>
        <w:t xml:space="preserve">Revisions to the estimated number of respondents based on the </w:t>
      </w:r>
      <w:r>
        <w:rPr>
          <w:color w:val="000000" w:themeColor="text1"/>
        </w:rPr>
        <w:t xml:space="preserve">actual </w:t>
      </w:r>
      <w:r w:rsidRPr="007D03DF">
        <w:rPr>
          <w:color w:val="000000" w:themeColor="text1"/>
        </w:rPr>
        <w:t xml:space="preserve">number of </w:t>
      </w:r>
      <w:r>
        <w:rPr>
          <w:color w:val="000000" w:themeColor="text1"/>
        </w:rPr>
        <w:t>participants in the TSCA Title VI program.</w:t>
      </w:r>
      <w:r w:rsidRPr="00855BD9">
        <w:t xml:space="preserve"> </w:t>
      </w:r>
    </w:p>
    <w:p w:rsidR="00B6558B" w:rsidP="002C66D1" w:rsidRDefault="00B6558B" w14:paraId="570D8232" w14:textId="77777777">
      <w:pPr>
        <w:pStyle w:val="NoSpacing"/>
      </w:pPr>
    </w:p>
    <w:p w:rsidR="00460424" w:rsidP="00460424" w:rsidRDefault="00460424" w14:paraId="640965AD" w14:textId="1DB27D72">
      <w:pPr>
        <w:pStyle w:val="Heading2"/>
        <w:tabs>
          <w:tab w:val="left" w:pos="1080"/>
        </w:tabs>
      </w:pPr>
      <w:r>
        <w:t>6(c) PRA Burden Statement</w:t>
      </w:r>
    </w:p>
    <w:p w:rsidR="00AF5063" w:rsidP="00AF5063" w:rsidRDefault="00CC4079" w14:paraId="3EC62F68" w14:textId="77777777">
      <w:r w:rsidRPr="00CC4079">
        <w:t xml:space="preserve">The total annual respondent burden for this collection of information </w:t>
      </w:r>
      <w:r w:rsidR="000E747B">
        <w:t xml:space="preserve">(identified under </w:t>
      </w:r>
      <w:r w:rsidRPr="00CD1AF1" w:rsidR="000E747B">
        <w:rPr>
          <w:color w:val="000000" w:themeColor="text1"/>
        </w:rPr>
        <w:t xml:space="preserve">EPA </w:t>
      </w:r>
      <w:r w:rsidRPr="00491BA3" w:rsidR="000E747B">
        <w:rPr>
          <w:color w:val="000000" w:themeColor="text1"/>
        </w:rPr>
        <w:t>ICR No. 2446.0</w:t>
      </w:r>
      <w:r w:rsidR="000E747B">
        <w:rPr>
          <w:color w:val="000000" w:themeColor="text1"/>
        </w:rPr>
        <w:t>3, and O</w:t>
      </w:r>
      <w:r w:rsidRPr="00491BA3" w:rsidR="000E747B">
        <w:rPr>
          <w:color w:val="000000" w:themeColor="text1"/>
        </w:rPr>
        <w:t>MB Control No. 2070-018</w:t>
      </w:r>
      <w:r w:rsidRPr="0026628B" w:rsidR="000E747B">
        <w:rPr>
          <w:color w:val="000000" w:themeColor="text1"/>
        </w:rPr>
        <w:t>5)</w:t>
      </w:r>
      <w:r w:rsidR="000E747B">
        <w:rPr>
          <w:color w:val="000000" w:themeColor="text1"/>
        </w:rPr>
        <w:t xml:space="preserve"> </w:t>
      </w:r>
      <w:r w:rsidRPr="00CC4079">
        <w:t xml:space="preserve">is estimated to be </w:t>
      </w:r>
      <w:r>
        <w:t xml:space="preserve">84,793 hours, which includes an annual burden of </w:t>
      </w:r>
      <w:r w:rsidR="000E747B">
        <w:t>84,232 hours</w:t>
      </w:r>
      <w:r>
        <w:t xml:space="preserve"> for producers (IC 1), </w:t>
      </w:r>
      <w:r w:rsidR="000E747B">
        <w:t xml:space="preserve">116 hours </w:t>
      </w:r>
      <w:r>
        <w:t xml:space="preserve">for </w:t>
      </w:r>
      <w:r w:rsidR="000E747B">
        <w:t>a</w:t>
      </w:r>
      <w:r>
        <w:t xml:space="preserve">ccrediting bodies </w:t>
      </w:r>
      <w:r w:rsidR="000E747B">
        <w:t xml:space="preserve">(IC 5), </w:t>
      </w:r>
      <w:r>
        <w:t xml:space="preserve">and </w:t>
      </w:r>
      <w:r w:rsidR="000E747B">
        <w:t>446 hours</w:t>
      </w:r>
      <w:r>
        <w:t xml:space="preserve"> for third party certifiers</w:t>
      </w:r>
      <w:r w:rsidR="000E747B">
        <w:t xml:space="preserve"> (IC 6)</w:t>
      </w:r>
      <w:r>
        <w:t xml:space="preserve">. </w:t>
      </w:r>
    </w:p>
    <w:p w:rsidR="00AF5063" w:rsidP="00AF5063" w:rsidRDefault="00AF5063" w14:paraId="55DF7ADA" w14:textId="77777777"/>
    <w:p w:rsidR="00AF5063" w:rsidP="00AF5063" w:rsidRDefault="000E747B" w14:paraId="218B55E1" w14:textId="541572BC">
      <w:r>
        <w:t>B</w:t>
      </w:r>
      <w:r w:rsidRPr="0049555B" w:rsidR="00EC3C02">
        <w:rPr>
          <w:lang w:bidi="en-US"/>
        </w:rPr>
        <w:t xml:space="preserve">urden is defined at </w:t>
      </w:r>
      <w:hyperlink w:history="1" w:anchor="5:3.0.2.3.9.0.48.3" r:id="rId17">
        <w:r w:rsidRPr="0049555B" w:rsidR="00EC3C02">
          <w:rPr>
            <w:rStyle w:val="Hyperlink"/>
            <w:lang w:bidi="en-US"/>
          </w:rPr>
          <w:t>5 CFR 1320.3(b)</w:t>
        </w:r>
      </w:hyperlink>
      <w:r>
        <w:rPr>
          <w:lang w:bidi="en-US"/>
        </w:rPr>
        <w:t>, and the activities associated with this collection of information are described in more detail in the information collection request (ICR). Under the PRA, t</w:t>
      </w:r>
      <w:r w:rsidRPr="000E747B">
        <w:rPr>
          <w:lang w:bidi="en-US"/>
        </w:rPr>
        <w:t>he Agency may not conduct or sponsor, and a person is not required to respond to, a collection of information unless it displays a currently valid OMB control number.</w:t>
      </w:r>
      <w:r>
        <w:rPr>
          <w:lang w:bidi="en-US"/>
        </w:rPr>
        <w:t xml:space="preserve"> </w:t>
      </w:r>
      <w:r w:rsidR="00AF5063">
        <w:t xml:space="preserve">The OMB control numbers for EPA regulations in title 40 of the CFR, after appearing in the </w:t>
      </w:r>
      <w:r w:rsidRPr="00C26BA4" w:rsidR="00AF5063">
        <w:rPr>
          <w:u w:val="single"/>
        </w:rPr>
        <w:t>Federal Register</w:t>
      </w:r>
      <w:r w:rsidR="00AF5063">
        <w:t>, are listed in 40 CFR part 9 and included on the related collection instrument or form, if applicable.</w:t>
      </w:r>
    </w:p>
    <w:p w:rsidRPr="0049555B" w:rsidR="00EC3C02" w:rsidP="002C66D1" w:rsidRDefault="00EC3C02" w14:paraId="792BAA93" w14:textId="54BB1364">
      <w:pPr>
        <w:pStyle w:val="NoSpacing"/>
        <w:rPr>
          <w:lang w:bidi="en-US"/>
        </w:rPr>
      </w:pPr>
    </w:p>
    <w:p w:rsidR="00CC4079" w:rsidP="00CC4079" w:rsidRDefault="000E747B" w14:paraId="354C0BA1" w14:textId="193A584F">
      <w:pPr>
        <w:pStyle w:val="NoSpacing"/>
      </w:pPr>
      <w:bookmarkStart w:name="_Toc501020195" w:id="46"/>
      <w:r>
        <w:t>EPA</w:t>
      </w:r>
      <w:r w:rsidR="00CC4079">
        <w:t xml:space="preserve"> has established a docket for this ICR </w:t>
      </w:r>
      <w:r w:rsidR="00AF5063">
        <w:t>that</w:t>
      </w:r>
      <w:r w:rsidR="00CC4079">
        <w:t xml:space="preserve"> is available for online viewing at </w:t>
      </w:r>
      <w:hyperlink w:history="1" r:id="rId18">
        <w:r w:rsidRPr="007634FB">
          <w:rPr>
            <w:rStyle w:val="Hyperlink"/>
          </w:rPr>
          <w:t>http://www.regulations.gov</w:t>
        </w:r>
      </w:hyperlink>
      <w:r w:rsidR="00CC4079">
        <w:t>.</w:t>
      </w:r>
      <w:r>
        <w:t xml:space="preserve"> </w:t>
      </w:r>
      <w:r w:rsidR="00CC4079">
        <w:t xml:space="preserve"> </w:t>
      </w:r>
      <w:r>
        <w:t>See section 1(b) in this ICR for information about the docket.</w:t>
      </w:r>
      <w:r w:rsidR="00CC4079">
        <w:t xml:space="preserve">  </w:t>
      </w:r>
    </w:p>
    <w:p w:rsidR="00CC4079" w:rsidP="00CC4079" w:rsidRDefault="00CC4079" w14:paraId="4166F98D" w14:textId="77777777">
      <w:pPr>
        <w:pStyle w:val="NoSpacing"/>
      </w:pPr>
    </w:p>
    <w:p w:rsidR="000E747B" w:rsidP="00CC4079" w:rsidRDefault="00CC4079" w14:paraId="7680A828" w14:textId="5197B351">
      <w:pPr>
        <w:pStyle w:val="NoSpacing"/>
      </w:pPr>
      <w:r>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w:t>
      </w:r>
      <w:r w:rsidR="000E747B">
        <w:t xml:space="preserve">the </w:t>
      </w:r>
      <w:r w:rsidR="00AF5063">
        <w:t xml:space="preserve">EPA Docket ID No. </w:t>
      </w:r>
      <w:r w:rsidRPr="000A1B41" w:rsidR="00AF5063">
        <w:rPr>
          <w:lang w:bidi="en-US"/>
        </w:rPr>
        <w:t>EPA-HQ-OPPT-201</w:t>
      </w:r>
      <w:r w:rsidR="00AF5063">
        <w:rPr>
          <w:lang w:bidi="en-US"/>
        </w:rPr>
        <w:t>9</w:t>
      </w:r>
      <w:r w:rsidRPr="000A1B41" w:rsidR="00AF5063">
        <w:rPr>
          <w:lang w:bidi="en-US"/>
        </w:rPr>
        <w:t>-0456</w:t>
      </w:r>
      <w:r w:rsidR="00AF5063">
        <w:rPr>
          <w:lang w:bidi="en-US"/>
        </w:rPr>
        <w:t xml:space="preserve"> </w:t>
      </w:r>
      <w:r>
        <w:t>and OMB Control No. 2070-0</w:t>
      </w:r>
      <w:r w:rsidR="000E747B">
        <w:t>195</w:t>
      </w:r>
      <w:r>
        <w:t xml:space="preserve">, </w:t>
      </w:r>
      <w:r w:rsidR="00AF5063">
        <w:t xml:space="preserve">to both EPA and OMB </w:t>
      </w:r>
      <w:r w:rsidR="000E747B">
        <w:t>as follows:</w:t>
      </w:r>
    </w:p>
    <w:p w:rsidR="000E747B" w:rsidP="000E747B" w:rsidRDefault="00CC4079" w14:paraId="359366B3" w14:textId="076F2613">
      <w:pPr>
        <w:pStyle w:val="NoSpacing"/>
        <w:ind w:left="720"/>
      </w:pPr>
      <w:r>
        <w:t xml:space="preserve">(1) </w:t>
      </w:r>
      <w:r w:rsidR="00AF5063">
        <w:t>For</w:t>
      </w:r>
      <w:r w:rsidR="000E747B">
        <w:t xml:space="preserve"> </w:t>
      </w:r>
      <w:r>
        <w:t>EPA</w:t>
      </w:r>
      <w:r w:rsidR="00AF5063">
        <w:t>, submit</w:t>
      </w:r>
      <w:r>
        <w:t xml:space="preserve"> online using </w:t>
      </w:r>
      <w:hyperlink w:history="1" r:id="rId19">
        <w:r w:rsidRPr="007634FB" w:rsidR="000E747B">
          <w:rPr>
            <w:rStyle w:val="Hyperlink"/>
          </w:rPr>
          <w:t>http://www.regulations.gov</w:t>
        </w:r>
      </w:hyperlink>
      <w:r>
        <w:t>,</w:t>
      </w:r>
      <w:r w:rsidR="000E747B">
        <w:t xml:space="preserve"> </w:t>
      </w:r>
      <w:r>
        <w:t xml:space="preserve">and </w:t>
      </w:r>
    </w:p>
    <w:p w:rsidR="00855BD9" w:rsidP="002776A3" w:rsidRDefault="00CC4079" w14:paraId="471DAFEC" w14:textId="2B729E2F">
      <w:pPr>
        <w:widowControl w:val="0"/>
        <w:tabs>
          <w:tab w:val="left" w:pos="-1080"/>
          <w:tab w:val="left" w:pos="-720"/>
        </w:tabs>
        <w:adjustRightInd w:val="0"/>
        <w:ind w:left="720"/>
        <w:rPr>
          <w:rFonts w:eastAsiaTheme="majorEastAsia" w:cstheme="majorBidi"/>
          <w:b/>
          <w:bCs/>
          <w:sz w:val="28"/>
          <w:szCs w:val="28"/>
          <w:lang w:bidi="en-US"/>
        </w:rPr>
      </w:pPr>
      <w:r>
        <w:t xml:space="preserve">(2) </w:t>
      </w:r>
      <w:r w:rsidR="00AF5063">
        <w:t xml:space="preserve">For </w:t>
      </w:r>
      <w:r>
        <w:t>OMB</w:t>
      </w:r>
      <w:r w:rsidR="00AF5063">
        <w:t>, submit</w:t>
      </w:r>
      <w:r>
        <w:t xml:space="preserve"> </w:t>
      </w:r>
      <w:r w:rsidR="00AF5063">
        <w:t xml:space="preserve">via email to </w:t>
      </w:r>
      <w:hyperlink w:history="1" r:id="rId20">
        <w:r w:rsidRPr="007634FB" w:rsidR="00AF5063">
          <w:rPr>
            <w:rStyle w:val="Hyperlink"/>
          </w:rPr>
          <w:t>oira_submission@omb.eop.gov</w:t>
        </w:r>
      </w:hyperlink>
      <w:r w:rsidR="00AF5063">
        <w:t>, addressed to “</w:t>
      </w:r>
      <w:r w:rsidRPr="00AF5063" w:rsidR="00AF5063">
        <w:rPr>
          <w:i/>
        </w:rPr>
        <w:t>OMB Desk Officer for EPA</w:t>
      </w:r>
      <w:r w:rsidR="00AF5063">
        <w:t>.”</w:t>
      </w:r>
    </w:p>
    <w:p w:rsidRPr="007919E5" w:rsidR="002B34A0" w:rsidP="004A2E3D" w:rsidRDefault="00A44A48" w14:paraId="268CEC1C" w14:textId="0C493BB3">
      <w:pPr>
        <w:pStyle w:val="Heading1"/>
        <w:rPr>
          <w:lang w:bidi="en-US"/>
        </w:rPr>
      </w:pPr>
      <w:r w:rsidRPr="00A44A48">
        <w:rPr>
          <w:lang w:bidi="en-US"/>
        </w:rPr>
        <w:lastRenderedPageBreak/>
        <w:t>7</w:t>
      </w:r>
      <w:r w:rsidRPr="00A44A48" w:rsidR="004A2E3D">
        <w:rPr>
          <w:lang w:bidi="en-US"/>
        </w:rPr>
        <w:t xml:space="preserve">. </w:t>
      </w:r>
      <w:r w:rsidRPr="00A44A48" w:rsidR="002B34A0">
        <w:rPr>
          <w:lang w:bidi="en-US"/>
        </w:rPr>
        <w:t>AT</w:t>
      </w:r>
      <w:r w:rsidRPr="007919E5" w:rsidR="002B34A0">
        <w:rPr>
          <w:lang w:bidi="en-US"/>
        </w:rPr>
        <w:t>TACHMENTS TO THE SUPPORTING STATEMENT</w:t>
      </w:r>
      <w:bookmarkEnd w:id="46"/>
    </w:p>
    <w:p w:rsidRPr="00A44A48" w:rsidR="002B34A0" w:rsidP="002B34A0" w:rsidRDefault="002B34A0" w14:paraId="074AA7A5" w14:textId="380011A9">
      <w:pPr>
        <w:rPr>
          <w:lang w:bidi="en-US"/>
        </w:rPr>
      </w:pPr>
      <w:r w:rsidRPr="00A44A48">
        <w:rPr>
          <w:lang w:bidi="en-US"/>
        </w:rPr>
        <w:t xml:space="preserve">Attachments to the supporting </w:t>
      </w:r>
      <w:r w:rsidRPr="00A6658E">
        <w:rPr>
          <w:lang w:bidi="en-US"/>
        </w:rPr>
        <w:t>statement are available in the docket established for this ICR under docket identification number</w:t>
      </w:r>
      <w:r w:rsidRPr="000A1B41">
        <w:rPr>
          <w:lang w:bidi="en-US"/>
        </w:rPr>
        <w:t xml:space="preserve"> </w:t>
      </w:r>
      <w:r w:rsidRPr="000A1B41" w:rsidR="00C57BDF">
        <w:rPr>
          <w:lang w:bidi="en-US"/>
        </w:rPr>
        <w:t>EPA-HQ-OPPT-201</w:t>
      </w:r>
      <w:r w:rsidR="00525D83">
        <w:rPr>
          <w:lang w:bidi="en-US"/>
        </w:rPr>
        <w:t>9</w:t>
      </w:r>
      <w:r w:rsidRPr="000A1B41" w:rsidR="00C57BDF">
        <w:rPr>
          <w:lang w:bidi="en-US"/>
        </w:rPr>
        <w:t>-0456</w:t>
      </w:r>
      <w:r w:rsidRPr="000A1B41">
        <w:rPr>
          <w:b/>
          <w:lang w:bidi="en-US"/>
        </w:rPr>
        <w:t>.</w:t>
      </w:r>
      <w:r w:rsidRPr="00A6658E" w:rsidR="00FE7F37">
        <w:rPr>
          <w:b/>
          <w:lang w:bidi="en-US"/>
        </w:rPr>
        <w:t xml:space="preserve"> </w:t>
      </w:r>
      <w:r w:rsidRPr="00A6658E">
        <w:rPr>
          <w:lang w:bidi="en-US"/>
        </w:rPr>
        <w:t>These</w:t>
      </w:r>
      <w:r w:rsidRPr="00A44A48">
        <w:rPr>
          <w:lang w:bidi="en-US"/>
        </w:rPr>
        <w:t xml:space="preserve"> attachments are available for online viewing at </w:t>
      </w:r>
      <w:hyperlink w:history="1" r:id="rId21">
        <w:r w:rsidRPr="007634FB" w:rsidR="002776A3">
          <w:rPr>
            <w:rStyle w:val="Hyperlink"/>
            <w:lang w:bidi="en-US"/>
          </w:rPr>
          <w:t>http://www.regulations.gov</w:t>
        </w:r>
      </w:hyperlink>
      <w:r w:rsidR="002776A3">
        <w:rPr>
          <w:lang w:bidi="en-US"/>
        </w:rPr>
        <w:t xml:space="preserve">, </w:t>
      </w:r>
      <w:r w:rsidRPr="00A44A48">
        <w:rPr>
          <w:lang w:bidi="en-US"/>
        </w:rPr>
        <w:t xml:space="preserve">or </w:t>
      </w:r>
      <w:r w:rsidR="002776A3">
        <w:rPr>
          <w:lang w:bidi="en-US"/>
        </w:rPr>
        <w:t xml:space="preserve">are </w:t>
      </w:r>
      <w:r w:rsidRPr="00A44A48">
        <w:rPr>
          <w:lang w:bidi="en-US"/>
        </w:rPr>
        <w:t>otherwise accessed as described in th</w:t>
      </w:r>
      <w:r w:rsidRPr="00A44A48" w:rsidR="00A468E2">
        <w:rPr>
          <w:lang w:bidi="en-US"/>
        </w:rPr>
        <w:t xml:space="preserve">e following listing. </w:t>
      </w:r>
    </w:p>
    <w:p w:rsidRPr="00A44A48" w:rsidR="002B34A0" w:rsidP="002B34A0" w:rsidRDefault="002B34A0" w14:paraId="560E24A1" w14:textId="77777777">
      <w:pPr>
        <w:rPr>
          <w:b/>
          <w:lang w:bidi="en-US"/>
        </w:rPr>
      </w:pPr>
    </w:p>
    <w:tbl>
      <w:tblPr>
        <w:tblW w:w="9752" w:type="dxa"/>
        <w:tblLayout w:type="fixed"/>
        <w:tblLook w:val="01E0" w:firstRow="1" w:lastRow="1" w:firstColumn="1" w:lastColumn="1" w:noHBand="0" w:noVBand="0"/>
      </w:tblPr>
      <w:tblGrid>
        <w:gridCol w:w="2084"/>
        <w:gridCol w:w="7668"/>
      </w:tblGrid>
      <w:tr w:rsidRPr="0057276A" w:rsidR="00A33392" w:rsidTr="7352B032" w14:paraId="1120E2D3" w14:textId="77777777">
        <w:tc>
          <w:tcPr>
            <w:tcW w:w="2084" w:type="dxa"/>
          </w:tcPr>
          <w:p w:rsidRPr="000A1B41" w:rsidR="00A33392" w:rsidP="00A468E2" w:rsidRDefault="00A33392" w14:paraId="754445EA" w14:textId="25B86136">
            <w:pPr>
              <w:rPr>
                <w:b/>
                <w:lang w:bidi="en-US"/>
              </w:rPr>
            </w:pPr>
            <w:r w:rsidRPr="000A1B41">
              <w:rPr>
                <w:b/>
                <w:lang w:bidi="en-US"/>
              </w:rPr>
              <w:t>Attachment 1:</w:t>
            </w:r>
          </w:p>
        </w:tc>
        <w:tc>
          <w:tcPr>
            <w:tcW w:w="7668" w:type="dxa"/>
          </w:tcPr>
          <w:p w:rsidRPr="000A1B41" w:rsidR="00A33392" w:rsidP="00A83C98" w:rsidRDefault="00A33392" w14:paraId="573B1852" w14:textId="611452AD">
            <w:pPr>
              <w:spacing w:after="120"/>
              <w:rPr>
                <w:lang w:bidi="en-US"/>
              </w:rPr>
            </w:pPr>
            <w:r w:rsidRPr="000A1B41">
              <w:rPr>
                <w:lang w:bidi="en-US"/>
              </w:rPr>
              <w:t>Toxic Substances Control Act (TSCA) Title VI, 15 U.S.C. 260</w:t>
            </w:r>
            <w:r w:rsidRPr="000A1B41" w:rsidR="00DF146D">
              <w:rPr>
                <w:lang w:bidi="en-US"/>
              </w:rPr>
              <w:t>97</w:t>
            </w:r>
          </w:p>
        </w:tc>
      </w:tr>
      <w:tr w:rsidRPr="0057276A" w:rsidR="00A33392" w:rsidTr="7352B032" w14:paraId="69D3E944" w14:textId="77777777">
        <w:tc>
          <w:tcPr>
            <w:tcW w:w="2084" w:type="dxa"/>
          </w:tcPr>
          <w:p w:rsidRPr="000A1B41" w:rsidR="00A33392" w:rsidP="00A468E2" w:rsidRDefault="00A33392" w14:paraId="18E859CC" w14:textId="0AD5F315">
            <w:pPr>
              <w:rPr>
                <w:b/>
                <w:lang w:bidi="en-US"/>
              </w:rPr>
            </w:pPr>
            <w:r w:rsidRPr="000A1B41">
              <w:rPr>
                <w:b/>
                <w:lang w:bidi="en-US"/>
              </w:rPr>
              <w:t>Attachment 2:</w:t>
            </w:r>
          </w:p>
        </w:tc>
        <w:tc>
          <w:tcPr>
            <w:tcW w:w="7668" w:type="dxa"/>
          </w:tcPr>
          <w:p w:rsidRPr="000A1B41" w:rsidR="00A33392" w:rsidP="00A83C98" w:rsidRDefault="00DF146D" w14:paraId="24C9B93C" w14:textId="3EF057B6">
            <w:pPr>
              <w:spacing w:after="120"/>
              <w:rPr>
                <w:lang w:bidi="en-US"/>
              </w:rPr>
            </w:pPr>
            <w:r w:rsidRPr="000A1B41">
              <w:rPr>
                <w:lang w:bidi="en-US"/>
              </w:rPr>
              <w:t>40 CFR 770</w:t>
            </w:r>
          </w:p>
        </w:tc>
      </w:tr>
      <w:tr w:rsidRPr="0057276A" w:rsidR="00A33392" w:rsidTr="7352B032" w14:paraId="139445D2" w14:textId="77777777">
        <w:tc>
          <w:tcPr>
            <w:tcW w:w="2084" w:type="dxa"/>
          </w:tcPr>
          <w:p w:rsidRPr="000A1B41" w:rsidR="00A33392" w:rsidP="00A468E2" w:rsidRDefault="00A33392" w14:paraId="3A4EB488" w14:textId="2676FB65">
            <w:pPr>
              <w:rPr>
                <w:b/>
                <w:lang w:bidi="en-US"/>
              </w:rPr>
            </w:pPr>
            <w:r w:rsidRPr="000A1B41">
              <w:rPr>
                <w:b/>
                <w:lang w:bidi="en-US"/>
              </w:rPr>
              <w:t>Attachment 3:</w:t>
            </w:r>
          </w:p>
        </w:tc>
        <w:tc>
          <w:tcPr>
            <w:tcW w:w="7668" w:type="dxa"/>
          </w:tcPr>
          <w:p w:rsidRPr="000A1B41" w:rsidR="00A33392" w:rsidP="00A83C98" w:rsidRDefault="007B5A10" w14:paraId="78709F18" w14:textId="016E9647">
            <w:pPr>
              <w:spacing w:after="120"/>
              <w:rPr>
                <w:lang w:bidi="en-US"/>
              </w:rPr>
            </w:pPr>
            <w:r w:rsidRPr="000A1B41">
              <w:rPr>
                <w:lang w:bidi="en-US"/>
              </w:rPr>
              <w:t>Documentation of Labor Burden and Cost Assumptions and Estimates</w:t>
            </w:r>
            <w:r w:rsidRPr="000A1B41" w:rsidDel="00A44A48">
              <w:rPr>
                <w:lang w:bidi="en-US"/>
              </w:rPr>
              <w:t xml:space="preserve"> </w:t>
            </w:r>
          </w:p>
        </w:tc>
      </w:tr>
    </w:tbl>
    <w:p w:rsidRPr="00FA3C69" w:rsidR="00FA3C69" w:rsidP="00FA3C69" w:rsidRDefault="00FA3C69" w14:paraId="06EF060C" w14:textId="77777777">
      <w:pPr>
        <w:pStyle w:val="NoSpacing"/>
        <w:rPr>
          <w:lang w:bidi="en-US"/>
        </w:rPr>
      </w:pPr>
    </w:p>
    <w:sectPr w:rsidRPr="00FA3C69" w:rsidR="00FA3C69" w:rsidSect="00CC7F1C">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E87F" w14:textId="77777777" w:rsidR="00987666" w:rsidRDefault="00987666" w:rsidP="002B34A0">
      <w:r>
        <w:separator/>
      </w:r>
    </w:p>
  </w:endnote>
  <w:endnote w:type="continuationSeparator" w:id="0">
    <w:p w14:paraId="129238FD" w14:textId="77777777" w:rsidR="00987666" w:rsidRDefault="00987666" w:rsidP="002B34A0">
      <w:r>
        <w:continuationSeparator/>
      </w:r>
    </w:p>
  </w:endnote>
  <w:endnote w:type="continuationNotice" w:id="1">
    <w:p w14:paraId="521A8FCE" w14:textId="77777777" w:rsidR="00987666" w:rsidRDefault="0098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B115" w14:textId="77777777" w:rsidR="00052C56" w:rsidRDefault="00052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42879"/>
      <w:docPartObj>
        <w:docPartGallery w:val="Page Numbers (Bottom of Page)"/>
        <w:docPartUnique/>
      </w:docPartObj>
    </w:sdtPr>
    <w:sdtEndPr/>
    <w:sdtContent>
      <w:sdt>
        <w:sdtPr>
          <w:id w:val="565050477"/>
          <w:docPartObj>
            <w:docPartGallery w:val="Page Numbers (Top of Page)"/>
            <w:docPartUnique/>
          </w:docPartObj>
        </w:sdtPr>
        <w:sdtEndPr/>
        <w:sdtContent>
          <w:p w14:paraId="3AF14C32" w14:textId="11423C7D" w:rsidR="00241544" w:rsidRDefault="00241544" w:rsidP="001177DE">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Pr>
                <w:noProof/>
                <w:sz w:val="20"/>
                <w:szCs w:val="20"/>
              </w:rPr>
              <w:t>27</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Pr>
                <w:noProof/>
                <w:sz w:val="20"/>
                <w:szCs w:val="20"/>
              </w:rPr>
              <w:t>28</w:t>
            </w:r>
            <w:r w:rsidRPr="002B34A0">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7EC5" w14:textId="77777777" w:rsidR="00052C56" w:rsidRDefault="0005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316D5" w14:textId="77777777" w:rsidR="00987666" w:rsidRDefault="00987666" w:rsidP="002B34A0">
      <w:r>
        <w:separator/>
      </w:r>
    </w:p>
  </w:footnote>
  <w:footnote w:type="continuationSeparator" w:id="0">
    <w:p w14:paraId="1D5A5044" w14:textId="77777777" w:rsidR="00987666" w:rsidRDefault="00987666" w:rsidP="002B34A0">
      <w:r>
        <w:continuationSeparator/>
      </w:r>
    </w:p>
  </w:footnote>
  <w:footnote w:type="continuationNotice" w:id="1">
    <w:p w14:paraId="4614E241" w14:textId="77777777" w:rsidR="00987666" w:rsidRDefault="0098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155A" w14:textId="77777777" w:rsidR="00052C56" w:rsidRDefault="00052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7081" w14:textId="2A5E4B24" w:rsidR="002776A3" w:rsidRPr="00052C56" w:rsidRDefault="002776A3" w:rsidP="00052C56">
    <w:pPr>
      <w:pStyle w:val="Header"/>
    </w:pPr>
    <w:bookmarkStart w:id="47" w:name="_GoBack"/>
    <w:bookmarkEnd w:id="4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3A98" w14:textId="77777777" w:rsidR="00052C56" w:rsidRDefault="00052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3824545"/>
    <w:multiLevelType w:val="hybridMultilevel"/>
    <w:tmpl w:val="9484F43C"/>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C1C2B"/>
    <w:multiLevelType w:val="hybridMultilevel"/>
    <w:tmpl w:val="AA562B82"/>
    <w:lvl w:ilvl="0" w:tplc="64FEF17A">
      <w:start w:val="1"/>
      <w:numFmt w:val="bullet"/>
      <w:lvlText w:val=""/>
      <w:lvlJc w:val="left"/>
      <w:pPr>
        <w:ind w:left="1440" w:hanging="360"/>
      </w:pPr>
      <w:rPr>
        <w:rFonts w:ascii="Symbol" w:hAnsi="Symbol" w:hint="default"/>
      </w:rPr>
    </w:lvl>
    <w:lvl w:ilvl="1" w:tplc="9AA2A9FA">
      <w:start w:val="1"/>
      <w:numFmt w:val="bullet"/>
      <w:lvlText w:val="o"/>
      <w:lvlJc w:val="left"/>
      <w:pPr>
        <w:ind w:left="2160" w:hanging="360"/>
      </w:pPr>
      <w:rPr>
        <w:rFonts w:ascii="Courier New" w:hAnsi="Courier New" w:cs="Courier New" w:hint="default"/>
      </w:rPr>
    </w:lvl>
    <w:lvl w:ilvl="2" w:tplc="6D409944">
      <w:start w:val="1"/>
      <w:numFmt w:val="bullet"/>
      <w:lvlText w:val=""/>
      <w:lvlJc w:val="left"/>
      <w:pPr>
        <w:ind w:left="2880" w:hanging="360"/>
      </w:pPr>
      <w:rPr>
        <w:rFonts w:ascii="Wingdings" w:hAnsi="Wingdings" w:hint="default"/>
      </w:rPr>
    </w:lvl>
    <w:lvl w:ilvl="3" w:tplc="586A5AE0" w:tentative="1">
      <w:start w:val="1"/>
      <w:numFmt w:val="bullet"/>
      <w:lvlText w:val=""/>
      <w:lvlJc w:val="left"/>
      <w:pPr>
        <w:ind w:left="3600" w:hanging="360"/>
      </w:pPr>
      <w:rPr>
        <w:rFonts w:ascii="Symbol" w:hAnsi="Symbol" w:hint="default"/>
      </w:rPr>
    </w:lvl>
    <w:lvl w:ilvl="4" w:tplc="95C2C2F4" w:tentative="1">
      <w:start w:val="1"/>
      <w:numFmt w:val="bullet"/>
      <w:lvlText w:val="o"/>
      <w:lvlJc w:val="left"/>
      <w:pPr>
        <w:ind w:left="4320" w:hanging="360"/>
      </w:pPr>
      <w:rPr>
        <w:rFonts w:ascii="Courier New" w:hAnsi="Courier New" w:cs="Courier New" w:hint="default"/>
      </w:rPr>
    </w:lvl>
    <w:lvl w:ilvl="5" w:tplc="BD5642BC" w:tentative="1">
      <w:start w:val="1"/>
      <w:numFmt w:val="bullet"/>
      <w:lvlText w:val=""/>
      <w:lvlJc w:val="left"/>
      <w:pPr>
        <w:ind w:left="5040" w:hanging="360"/>
      </w:pPr>
      <w:rPr>
        <w:rFonts w:ascii="Wingdings" w:hAnsi="Wingdings" w:hint="default"/>
      </w:rPr>
    </w:lvl>
    <w:lvl w:ilvl="6" w:tplc="7D1AC74A" w:tentative="1">
      <w:start w:val="1"/>
      <w:numFmt w:val="bullet"/>
      <w:lvlText w:val=""/>
      <w:lvlJc w:val="left"/>
      <w:pPr>
        <w:ind w:left="5760" w:hanging="360"/>
      </w:pPr>
      <w:rPr>
        <w:rFonts w:ascii="Symbol" w:hAnsi="Symbol" w:hint="default"/>
      </w:rPr>
    </w:lvl>
    <w:lvl w:ilvl="7" w:tplc="1BF00CE6" w:tentative="1">
      <w:start w:val="1"/>
      <w:numFmt w:val="bullet"/>
      <w:lvlText w:val="o"/>
      <w:lvlJc w:val="left"/>
      <w:pPr>
        <w:ind w:left="6480" w:hanging="360"/>
      </w:pPr>
      <w:rPr>
        <w:rFonts w:ascii="Courier New" w:hAnsi="Courier New" w:cs="Courier New" w:hint="default"/>
      </w:rPr>
    </w:lvl>
    <w:lvl w:ilvl="8" w:tplc="341A34A2" w:tentative="1">
      <w:start w:val="1"/>
      <w:numFmt w:val="bullet"/>
      <w:lvlText w:val=""/>
      <w:lvlJc w:val="left"/>
      <w:pPr>
        <w:ind w:left="7200" w:hanging="360"/>
      </w:pPr>
      <w:rPr>
        <w:rFonts w:ascii="Wingdings" w:hAnsi="Wingdings" w:hint="default"/>
      </w:rPr>
    </w:lvl>
  </w:abstractNum>
  <w:abstractNum w:abstractNumId="8" w15:restartNumberingAfterBreak="0">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DE5688"/>
    <w:multiLevelType w:val="hybridMultilevel"/>
    <w:tmpl w:val="EC96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F5035"/>
    <w:multiLevelType w:val="hybridMultilevel"/>
    <w:tmpl w:val="8A8EC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D7895"/>
    <w:multiLevelType w:val="hybridMultilevel"/>
    <w:tmpl w:val="FE7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C06D6"/>
    <w:multiLevelType w:val="hybridMultilevel"/>
    <w:tmpl w:val="E99A6EF4"/>
    <w:lvl w:ilvl="0" w:tplc="9EFA66B6">
      <w:start w:val="7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A79AF"/>
    <w:multiLevelType w:val="hybridMultilevel"/>
    <w:tmpl w:val="6EBA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141C4"/>
    <w:multiLevelType w:val="multilevel"/>
    <w:tmpl w:val="36F012DC"/>
    <w:lvl w:ilvl="0">
      <w:start w:val="1"/>
      <w:numFmt w:val="upperLetter"/>
      <w:lvlText w:val="%1."/>
      <w:lvlJc w:val="left"/>
      <w:pPr>
        <w:ind w:left="360" w:hanging="360"/>
      </w:pPr>
      <w:rPr>
        <w:rFonts w:hint="default"/>
        <w:b w:val="0"/>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6B5229"/>
    <w:multiLevelType w:val="hybridMultilevel"/>
    <w:tmpl w:val="0E485EE2"/>
    <w:lvl w:ilvl="0" w:tplc="18D03E44">
      <w:start w:val="1"/>
      <w:numFmt w:val="upperLetter"/>
      <w:lvlText w:val="%1."/>
      <w:lvlJc w:val="left"/>
      <w:pPr>
        <w:ind w:left="720" w:hanging="360"/>
      </w:pPr>
      <w:rPr>
        <w:rFonts w:ascii="Calibri" w:eastAsiaTheme="minorHAns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072DFC"/>
    <w:multiLevelType w:val="hybridMultilevel"/>
    <w:tmpl w:val="8D267938"/>
    <w:lvl w:ilvl="0" w:tplc="04090015">
      <w:start w:val="1"/>
      <w:numFmt w:val="upperLetter"/>
      <w:lvlText w:val="%1."/>
      <w:lvlJc w:val="left"/>
      <w:pPr>
        <w:ind w:left="977" w:hanging="360"/>
      </w:p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22" w15:restartNumberingAfterBreak="0">
    <w:nsid w:val="34AE2CA2"/>
    <w:multiLevelType w:val="hybridMultilevel"/>
    <w:tmpl w:val="0B0638EC"/>
    <w:lvl w:ilvl="0" w:tplc="1C765354">
      <w:start w:val="1"/>
      <w:numFmt w:val="bullet"/>
      <w:lvlText w:val=""/>
      <w:lvlJc w:val="left"/>
      <w:pPr>
        <w:ind w:left="360" w:hanging="360"/>
      </w:pPr>
      <w:rPr>
        <w:rFonts w:ascii="Symbol" w:hAnsi="Symbol" w:hint="default"/>
      </w:rPr>
    </w:lvl>
    <w:lvl w:ilvl="1" w:tplc="35207EF2" w:tentative="1">
      <w:start w:val="1"/>
      <w:numFmt w:val="bullet"/>
      <w:lvlText w:val="o"/>
      <w:lvlJc w:val="left"/>
      <w:pPr>
        <w:ind w:left="1080" w:hanging="360"/>
      </w:pPr>
      <w:rPr>
        <w:rFonts w:ascii="Courier New" w:hAnsi="Courier New" w:hint="default"/>
      </w:rPr>
    </w:lvl>
    <w:lvl w:ilvl="2" w:tplc="72D6D804" w:tentative="1">
      <w:start w:val="1"/>
      <w:numFmt w:val="bullet"/>
      <w:lvlText w:val=""/>
      <w:lvlJc w:val="left"/>
      <w:pPr>
        <w:ind w:left="1800" w:hanging="360"/>
      </w:pPr>
      <w:rPr>
        <w:rFonts w:ascii="Wingdings" w:hAnsi="Wingdings" w:hint="default"/>
      </w:rPr>
    </w:lvl>
    <w:lvl w:ilvl="3" w:tplc="D012CB64" w:tentative="1">
      <w:start w:val="1"/>
      <w:numFmt w:val="bullet"/>
      <w:lvlText w:val=""/>
      <w:lvlJc w:val="left"/>
      <w:pPr>
        <w:ind w:left="2520" w:hanging="360"/>
      </w:pPr>
      <w:rPr>
        <w:rFonts w:ascii="Symbol" w:hAnsi="Symbol" w:hint="default"/>
      </w:rPr>
    </w:lvl>
    <w:lvl w:ilvl="4" w:tplc="449A245C" w:tentative="1">
      <w:start w:val="1"/>
      <w:numFmt w:val="bullet"/>
      <w:lvlText w:val="o"/>
      <w:lvlJc w:val="left"/>
      <w:pPr>
        <w:ind w:left="3240" w:hanging="360"/>
      </w:pPr>
      <w:rPr>
        <w:rFonts w:ascii="Courier New" w:hAnsi="Courier New" w:hint="default"/>
      </w:rPr>
    </w:lvl>
    <w:lvl w:ilvl="5" w:tplc="5ADADE42" w:tentative="1">
      <w:start w:val="1"/>
      <w:numFmt w:val="bullet"/>
      <w:lvlText w:val=""/>
      <w:lvlJc w:val="left"/>
      <w:pPr>
        <w:ind w:left="3960" w:hanging="360"/>
      </w:pPr>
      <w:rPr>
        <w:rFonts w:ascii="Wingdings" w:hAnsi="Wingdings" w:hint="default"/>
      </w:rPr>
    </w:lvl>
    <w:lvl w:ilvl="6" w:tplc="306894F0" w:tentative="1">
      <w:start w:val="1"/>
      <w:numFmt w:val="bullet"/>
      <w:lvlText w:val=""/>
      <w:lvlJc w:val="left"/>
      <w:pPr>
        <w:ind w:left="4680" w:hanging="360"/>
      </w:pPr>
      <w:rPr>
        <w:rFonts w:ascii="Symbol" w:hAnsi="Symbol" w:hint="default"/>
      </w:rPr>
    </w:lvl>
    <w:lvl w:ilvl="7" w:tplc="345E7BAE" w:tentative="1">
      <w:start w:val="1"/>
      <w:numFmt w:val="bullet"/>
      <w:lvlText w:val="o"/>
      <w:lvlJc w:val="left"/>
      <w:pPr>
        <w:ind w:left="5400" w:hanging="360"/>
      </w:pPr>
      <w:rPr>
        <w:rFonts w:ascii="Courier New" w:hAnsi="Courier New" w:hint="default"/>
      </w:rPr>
    </w:lvl>
    <w:lvl w:ilvl="8" w:tplc="29D05AF4" w:tentative="1">
      <w:start w:val="1"/>
      <w:numFmt w:val="bullet"/>
      <w:lvlText w:val=""/>
      <w:lvlJc w:val="left"/>
      <w:pPr>
        <w:ind w:left="6120" w:hanging="360"/>
      </w:pPr>
      <w:rPr>
        <w:rFonts w:ascii="Wingdings" w:hAnsi="Wingdings" w:hint="default"/>
      </w:rPr>
    </w:lvl>
  </w:abstractNum>
  <w:abstractNum w:abstractNumId="23" w15:restartNumberingAfterBreak="0">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CAF3C84"/>
    <w:multiLevelType w:val="hybridMultilevel"/>
    <w:tmpl w:val="B3D2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43ED0"/>
    <w:multiLevelType w:val="hybridMultilevel"/>
    <w:tmpl w:val="CFE63E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134B7E"/>
    <w:multiLevelType w:val="hybridMultilevel"/>
    <w:tmpl w:val="BA58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90B39"/>
    <w:multiLevelType w:val="hybridMultilevel"/>
    <w:tmpl w:val="017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F4567"/>
    <w:multiLevelType w:val="hybridMultilevel"/>
    <w:tmpl w:val="8F542B4C"/>
    <w:lvl w:ilvl="0" w:tplc="DB0C1F02">
      <w:start w:val="1"/>
      <w:numFmt w:val="bullet"/>
      <w:lvlText w:val=""/>
      <w:lvlJc w:val="left"/>
      <w:pPr>
        <w:ind w:left="720" w:hanging="360"/>
      </w:pPr>
      <w:rPr>
        <w:rFonts w:ascii="Symbol" w:hAnsi="Symbol" w:hint="default"/>
      </w:rPr>
    </w:lvl>
    <w:lvl w:ilvl="1" w:tplc="15B87BCE">
      <w:start w:val="1"/>
      <w:numFmt w:val="bullet"/>
      <w:lvlText w:val="o"/>
      <w:lvlJc w:val="left"/>
      <w:pPr>
        <w:ind w:left="1440" w:hanging="360"/>
      </w:pPr>
      <w:rPr>
        <w:rFonts w:ascii="Courier New" w:hAnsi="Courier New" w:cs="Courier New" w:hint="default"/>
      </w:rPr>
    </w:lvl>
    <w:lvl w:ilvl="2" w:tplc="F8522C44" w:tentative="1">
      <w:start w:val="1"/>
      <w:numFmt w:val="bullet"/>
      <w:lvlText w:val=""/>
      <w:lvlJc w:val="left"/>
      <w:pPr>
        <w:ind w:left="2160" w:hanging="360"/>
      </w:pPr>
      <w:rPr>
        <w:rFonts w:ascii="Wingdings" w:hAnsi="Wingdings" w:hint="default"/>
      </w:rPr>
    </w:lvl>
    <w:lvl w:ilvl="3" w:tplc="9A88E048" w:tentative="1">
      <w:start w:val="1"/>
      <w:numFmt w:val="bullet"/>
      <w:lvlText w:val=""/>
      <w:lvlJc w:val="left"/>
      <w:pPr>
        <w:ind w:left="2880" w:hanging="360"/>
      </w:pPr>
      <w:rPr>
        <w:rFonts w:ascii="Symbol" w:hAnsi="Symbol" w:hint="default"/>
      </w:rPr>
    </w:lvl>
    <w:lvl w:ilvl="4" w:tplc="B76A11FA" w:tentative="1">
      <w:start w:val="1"/>
      <w:numFmt w:val="bullet"/>
      <w:lvlText w:val="o"/>
      <w:lvlJc w:val="left"/>
      <w:pPr>
        <w:ind w:left="3600" w:hanging="360"/>
      </w:pPr>
      <w:rPr>
        <w:rFonts w:ascii="Courier New" w:hAnsi="Courier New" w:cs="Courier New" w:hint="default"/>
      </w:rPr>
    </w:lvl>
    <w:lvl w:ilvl="5" w:tplc="F2369EAE" w:tentative="1">
      <w:start w:val="1"/>
      <w:numFmt w:val="bullet"/>
      <w:lvlText w:val=""/>
      <w:lvlJc w:val="left"/>
      <w:pPr>
        <w:ind w:left="4320" w:hanging="360"/>
      </w:pPr>
      <w:rPr>
        <w:rFonts w:ascii="Wingdings" w:hAnsi="Wingdings" w:hint="default"/>
      </w:rPr>
    </w:lvl>
    <w:lvl w:ilvl="6" w:tplc="0008AE6E" w:tentative="1">
      <w:start w:val="1"/>
      <w:numFmt w:val="bullet"/>
      <w:lvlText w:val=""/>
      <w:lvlJc w:val="left"/>
      <w:pPr>
        <w:ind w:left="5040" w:hanging="360"/>
      </w:pPr>
      <w:rPr>
        <w:rFonts w:ascii="Symbol" w:hAnsi="Symbol" w:hint="default"/>
      </w:rPr>
    </w:lvl>
    <w:lvl w:ilvl="7" w:tplc="6050537A" w:tentative="1">
      <w:start w:val="1"/>
      <w:numFmt w:val="bullet"/>
      <w:lvlText w:val="o"/>
      <w:lvlJc w:val="left"/>
      <w:pPr>
        <w:ind w:left="5760" w:hanging="360"/>
      </w:pPr>
      <w:rPr>
        <w:rFonts w:ascii="Courier New" w:hAnsi="Courier New" w:cs="Courier New" w:hint="default"/>
      </w:rPr>
    </w:lvl>
    <w:lvl w:ilvl="8" w:tplc="EE525BE2" w:tentative="1">
      <w:start w:val="1"/>
      <w:numFmt w:val="bullet"/>
      <w:lvlText w:val=""/>
      <w:lvlJc w:val="left"/>
      <w:pPr>
        <w:ind w:left="6480" w:hanging="360"/>
      </w:pPr>
      <w:rPr>
        <w:rFonts w:ascii="Wingdings" w:hAnsi="Wingdings" w:hint="default"/>
      </w:rPr>
    </w:lvl>
  </w:abstractNum>
  <w:abstractNum w:abstractNumId="31" w15:restartNumberingAfterBreak="0">
    <w:nsid w:val="5CDA603A"/>
    <w:multiLevelType w:val="hybridMultilevel"/>
    <w:tmpl w:val="75107102"/>
    <w:lvl w:ilvl="0" w:tplc="CDA014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3435391"/>
    <w:multiLevelType w:val="hybridMultilevel"/>
    <w:tmpl w:val="6BCE2DD4"/>
    <w:lvl w:ilvl="0" w:tplc="46F6B82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9235F"/>
    <w:multiLevelType w:val="hybridMultilevel"/>
    <w:tmpl w:val="79900A44"/>
    <w:lvl w:ilvl="0" w:tplc="17CC4B50">
      <w:start w:val="1"/>
      <w:numFmt w:val="bullet"/>
      <w:lvlText w:val=""/>
      <w:lvlJc w:val="left"/>
      <w:pPr>
        <w:ind w:left="720" w:hanging="360"/>
      </w:pPr>
      <w:rPr>
        <w:rFonts w:ascii="Symbol" w:hAnsi="Symbol" w:hint="default"/>
      </w:rPr>
    </w:lvl>
    <w:lvl w:ilvl="1" w:tplc="D0340AD8" w:tentative="1">
      <w:start w:val="1"/>
      <w:numFmt w:val="bullet"/>
      <w:lvlText w:val="o"/>
      <w:lvlJc w:val="left"/>
      <w:pPr>
        <w:ind w:left="1440" w:hanging="360"/>
      </w:pPr>
      <w:rPr>
        <w:rFonts w:ascii="Courier New" w:hAnsi="Courier New" w:cs="Courier New" w:hint="default"/>
      </w:rPr>
    </w:lvl>
    <w:lvl w:ilvl="2" w:tplc="752CAD7C" w:tentative="1">
      <w:start w:val="1"/>
      <w:numFmt w:val="bullet"/>
      <w:lvlText w:val=""/>
      <w:lvlJc w:val="left"/>
      <w:pPr>
        <w:ind w:left="2160" w:hanging="360"/>
      </w:pPr>
      <w:rPr>
        <w:rFonts w:ascii="Wingdings" w:hAnsi="Wingdings" w:hint="default"/>
      </w:rPr>
    </w:lvl>
    <w:lvl w:ilvl="3" w:tplc="1E088BF6" w:tentative="1">
      <w:start w:val="1"/>
      <w:numFmt w:val="bullet"/>
      <w:lvlText w:val=""/>
      <w:lvlJc w:val="left"/>
      <w:pPr>
        <w:ind w:left="2880" w:hanging="360"/>
      </w:pPr>
      <w:rPr>
        <w:rFonts w:ascii="Symbol" w:hAnsi="Symbol" w:hint="default"/>
      </w:rPr>
    </w:lvl>
    <w:lvl w:ilvl="4" w:tplc="F17EFBEC" w:tentative="1">
      <w:start w:val="1"/>
      <w:numFmt w:val="bullet"/>
      <w:lvlText w:val="o"/>
      <w:lvlJc w:val="left"/>
      <w:pPr>
        <w:ind w:left="3600" w:hanging="360"/>
      </w:pPr>
      <w:rPr>
        <w:rFonts w:ascii="Courier New" w:hAnsi="Courier New" w:cs="Courier New" w:hint="default"/>
      </w:rPr>
    </w:lvl>
    <w:lvl w:ilvl="5" w:tplc="2C36893E" w:tentative="1">
      <w:start w:val="1"/>
      <w:numFmt w:val="bullet"/>
      <w:lvlText w:val=""/>
      <w:lvlJc w:val="left"/>
      <w:pPr>
        <w:ind w:left="4320" w:hanging="360"/>
      </w:pPr>
      <w:rPr>
        <w:rFonts w:ascii="Wingdings" w:hAnsi="Wingdings" w:hint="default"/>
      </w:rPr>
    </w:lvl>
    <w:lvl w:ilvl="6" w:tplc="B59226E6" w:tentative="1">
      <w:start w:val="1"/>
      <w:numFmt w:val="bullet"/>
      <w:lvlText w:val=""/>
      <w:lvlJc w:val="left"/>
      <w:pPr>
        <w:ind w:left="5040" w:hanging="360"/>
      </w:pPr>
      <w:rPr>
        <w:rFonts w:ascii="Symbol" w:hAnsi="Symbol" w:hint="default"/>
      </w:rPr>
    </w:lvl>
    <w:lvl w:ilvl="7" w:tplc="AFC2496E" w:tentative="1">
      <w:start w:val="1"/>
      <w:numFmt w:val="bullet"/>
      <w:lvlText w:val="o"/>
      <w:lvlJc w:val="left"/>
      <w:pPr>
        <w:ind w:left="5760" w:hanging="360"/>
      </w:pPr>
      <w:rPr>
        <w:rFonts w:ascii="Courier New" w:hAnsi="Courier New" w:cs="Courier New" w:hint="default"/>
      </w:rPr>
    </w:lvl>
    <w:lvl w:ilvl="8" w:tplc="7890CF48" w:tentative="1">
      <w:start w:val="1"/>
      <w:numFmt w:val="bullet"/>
      <w:lvlText w:val=""/>
      <w:lvlJc w:val="left"/>
      <w:pPr>
        <w:ind w:left="6480" w:hanging="360"/>
      </w:pPr>
      <w:rPr>
        <w:rFonts w:ascii="Wingdings" w:hAnsi="Wingdings" w:hint="default"/>
      </w:rPr>
    </w:lvl>
  </w:abstractNum>
  <w:abstractNum w:abstractNumId="36" w15:restartNumberingAfterBreak="0">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726D8"/>
    <w:multiLevelType w:val="hybridMultilevel"/>
    <w:tmpl w:val="E1E4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449FE"/>
    <w:multiLevelType w:val="hybridMultilevel"/>
    <w:tmpl w:val="97E268E0"/>
    <w:lvl w:ilvl="0" w:tplc="3D0C8A0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CCE3E14"/>
    <w:multiLevelType w:val="hybridMultilevel"/>
    <w:tmpl w:val="91FAC0C2"/>
    <w:lvl w:ilvl="0" w:tplc="CAD4AE30">
      <w:start w:val="1"/>
      <w:numFmt w:val="bullet"/>
      <w:lvlText w:val=""/>
      <w:lvlJc w:val="left"/>
      <w:pPr>
        <w:ind w:left="1440" w:hanging="360"/>
      </w:pPr>
      <w:rPr>
        <w:rFonts w:ascii="Symbol" w:hAnsi="Symbol" w:hint="default"/>
      </w:rPr>
    </w:lvl>
    <w:lvl w:ilvl="1" w:tplc="C366943C" w:tentative="1">
      <w:start w:val="1"/>
      <w:numFmt w:val="bullet"/>
      <w:lvlText w:val="o"/>
      <w:lvlJc w:val="left"/>
      <w:pPr>
        <w:ind w:left="2160" w:hanging="360"/>
      </w:pPr>
      <w:rPr>
        <w:rFonts w:ascii="Courier New" w:hAnsi="Courier New" w:cs="Courier New" w:hint="default"/>
      </w:rPr>
    </w:lvl>
    <w:lvl w:ilvl="2" w:tplc="38904674"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32"/>
  </w:num>
  <w:num w:numId="5">
    <w:abstractNumId w:val="36"/>
  </w:num>
  <w:num w:numId="6">
    <w:abstractNumId w:val="25"/>
  </w:num>
  <w:num w:numId="7">
    <w:abstractNumId w:val="39"/>
  </w:num>
  <w:num w:numId="8">
    <w:abstractNumId w:val="24"/>
  </w:num>
  <w:num w:numId="9">
    <w:abstractNumId w:val="41"/>
  </w:num>
  <w:num w:numId="10">
    <w:abstractNumId w:val="16"/>
  </w:num>
  <w:num w:numId="11">
    <w:abstractNumId w:val="14"/>
  </w:num>
  <w:num w:numId="12">
    <w:abstractNumId w:val="8"/>
  </w:num>
  <w:num w:numId="13">
    <w:abstractNumId w:val="17"/>
  </w:num>
  <w:num w:numId="14">
    <w:abstractNumId w:val="37"/>
  </w:num>
  <w:num w:numId="15">
    <w:abstractNumId w:val="23"/>
  </w:num>
  <w:num w:numId="16">
    <w:abstractNumId w:val="28"/>
  </w:num>
  <w:num w:numId="17">
    <w:abstractNumId w:val="20"/>
  </w:num>
  <w:num w:numId="18">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7"/>
  </w:num>
  <w:num w:numId="20">
    <w:abstractNumId w:val="42"/>
  </w:num>
  <w:num w:numId="21">
    <w:abstractNumId w:val="22"/>
  </w:num>
  <w:num w:numId="22">
    <w:abstractNumId w:val="35"/>
  </w:num>
  <w:num w:numId="23">
    <w:abstractNumId w:val="31"/>
  </w:num>
  <w:num w:numId="24">
    <w:abstractNumId w:val="40"/>
  </w:num>
  <w:num w:numId="25">
    <w:abstractNumId w:val="15"/>
  </w:num>
  <w:num w:numId="26">
    <w:abstractNumId w:val="12"/>
  </w:num>
  <w:num w:numId="27">
    <w:abstractNumId w:val="30"/>
  </w:num>
  <w:num w:numId="28">
    <w:abstractNumId w:val="10"/>
  </w:num>
  <w:num w:numId="29">
    <w:abstractNumId w:val="7"/>
  </w:num>
  <w:num w:numId="30">
    <w:abstractNumId w:val="11"/>
  </w:num>
  <w:num w:numId="31">
    <w:abstractNumId w:val="18"/>
  </w:num>
  <w:num w:numId="32">
    <w:abstractNumId w:val="6"/>
  </w:num>
  <w:num w:numId="33">
    <w:abstractNumId w:val="34"/>
  </w:num>
  <w:num w:numId="34">
    <w:abstractNumId w:val="19"/>
  </w:num>
  <w:num w:numId="35">
    <w:abstractNumId w:val="38"/>
  </w:num>
  <w:num w:numId="36">
    <w:abstractNumId w:val="13"/>
  </w:num>
  <w:num w:numId="37">
    <w:abstractNumId w:val="26"/>
  </w:num>
  <w:num w:numId="38">
    <w:abstractNumId w:val="21"/>
  </w:num>
  <w:num w:numId="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3C59"/>
    <w:rsid w:val="00003EFE"/>
    <w:rsid w:val="00005662"/>
    <w:rsid w:val="000069E3"/>
    <w:rsid w:val="00007092"/>
    <w:rsid w:val="00007CA4"/>
    <w:rsid w:val="00012C7C"/>
    <w:rsid w:val="0001469B"/>
    <w:rsid w:val="0001558A"/>
    <w:rsid w:val="000155C4"/>
    <w:rsid w:val="0001709B"/>
    <w:rsid w:val="0001733F"/>
    <w:rsid w:val="0002070E"/>
    <w:rsid w:val="00021D3D"/>
    <w:rsid w:val="0002255B"/>
    <w:rsid w:val="000244E2"/>
    <w:rsid w:val="00024BB6"/>
    <w:rsid w:val="00025468"/>
    <w:rsid w:val="0002702D"/>
    <w:rsid w:val="00032FBE"/>
    <w:rsid w:val="00035451"/>
    <w:rsid w:val="00035C5E"/>
    <w:rsid w:val="00036130"/>
    <w:rsid w:val="000441D5"/>
    <w:rsid w:val="00044476"/>
    <w:rsid w:val="000449F9"/>
    <w:rsid w:val="0005095D"/>
    <w:rsid w:val="00050D01"/>
    <w:rsid w:val="000525A8"/>
    <w:rsid w:val="000529FD"/>
    <w:rsid w:val="00052C56"/>
    <w:rsid w:val="000530F2"/>
    <w:rsid w:val="00053361"/>
    <w:rsid w:val="00053D9D"/>
    <w:rsid w:val="00055451"/>
    <w:rsid w:val="00065B59"/>
    <w:rsid w:val="00070ACE"/>
    <w:rsid w:val="00070BCF"/>
    <w:rsid w:val="00071069"/>
    <w:rsid w:val="00071571"/>
    <w:rsid w:val="00072227"/>
    <w:rsid w:val="00074203"/>
    <w:rsid w:val="0007580F"/>
    <w:rsid w:val="0007718E"/>
    <w:rsid w:val="00077910"/>
    <w:rsid w:val="0008007A"/>
    <w:rsid w:val="00080514"/>
    <w:rsid w:val="000812A8"/>
    <w:rsid w:val="00082E1C"/>
    <w:rsid w:val="00082F67"/>
    <w:rsid w:val="000836DB"/>
    <w:rsid w:val="00086F52"/>
    <w:rsid w:val="0009259F"/>
    <w:rsid w:val="00096E80"/>
    <w:rsid w:val="00097B26"/>
    <w:rsid w:val="000A02BA"/>
    <w:rsid w:val="000A185F"/>
    <w:rsid w:val="000A1B41"/>
    <w:rsid w:val="000A22C8"/>
    <w:rsid w:val="000A2F92"/>
    <w:rsid w:val="000A409C"/>
    <w:rsid w:val="000A522E"/>
    <w:rsid w:val="000A64BB"/>
    <w:rsid w:val="000B24B3"/>
    <w:rsid w:val="000B424E"/>
    <w:rsid w:val="000B5A0A"/>
    <w:rsid w:val="000C000B"/>
    <w:rsid w:val="000C0990"/>
    <w:rsid w:val="000C1E95"/>
    <w:rsid w:val="000C2089"/>
    <w:rsid w:val="000C3F81"/>
    <w:rsid w:val="000C42F1"/>
    <w:rsid w:val="000D0374"/>
    <w:rsid w:val="000D1990"/>
    <w:rsid w:val="000D1D90"/>
    <w:rsid w:val="000D3066"/>
    <w:rsid w:val="000D5722"/>
    <w:rsid w:val="000E0D58"/>
    <w:rsid w:val="000E19FB"/>
    <w:rsid w:val="000E1C35"/>
    <w:rsid w:val="000E244E"/>
    <w:rsid w:val="000E4E91"/>
    <w:rsid w:val="000E67A8"/>
    <w:rsid w:val="000E747B"/>
    <w:rsid w:val="000E7B38"/>
    <w:rsid w:val="000F0C52"/>
    <w:rsid w:val="000F17F0"/>
    <w:rsid w:val="000F1CB0"/>
    <w:rsid w:val="00102480"/>
    <w:rsid w:val="00102BD7"/>
    <w:rsid w:val="00103F89"/>
    <w:rsid w:val="00105F59"/>
    <w:rsid w:val="00106623"/>
    <w:rsid w:val="00110649"/>
    <w:rsid w:val="00110EB7"/>
    <w:rsid w:val="00115B16"/>
    <w:rsid w:val="00115F44"/>
    <w:rsid w:val="001177DE"/>
    <w:rsid w:val="001178D5"/>
    <w:rsid w:val="0011790C"/>
    <w:rsid w:val="001203BA"/>
    <w:rsid w:val="00121CD3"/>
    <w:rsid w:val="001220B5"/>
    <w:rsid w:val="00122858"/>
    <w:rsid w:val="001233AD"/>
    <w:rsid w:val="00125B5B"/>
    <w:rsid w:val="00125D3F"/>
    <w:rsid w:val="00126EAC"/>
    <w:rsid w:val="00133FE4"/>
    <w:rsid w:val="00136D8F"/>
    <w:rsid w:val="00140471"/>
    <w:rsid w:val="001417FF"/>
    <w:rsid w:val="001462BA"/>
    <w:rsid w:val="0015601E"/>
    <w:rsid w:val="001565AE"/>
    <w:rsid w:val="00156AB7"/>
    <w:rsid w:val="001606AF"/>
    <w:rsid w:val="00161500"/>
    <w:rsid w:val="001635AE"/>
    <w:rsid w:val="001652AC"/>
    <w:rsid w:val="00165581"/>
    <w:rsid w:val="00166142"/>
    <w:rsid w:val="0016777D"/>
    <w:rsid w:val="00171D01"/>
    <w:rsid w:val="0017447C"/>
    <w:rsid w:val="00176015"/>
    <w:rsid w:val="00176685"/>
    <w:rsid w:val="001774AE"/>
    <w:rsid w:val="00177E97"/>
    <w:rsid w:val="001812EA"/>
    <w:rsid w:val="0018203B"/>
    <w:rsid w:val="0018440A"/>
    <w:rsid w:val="00185866"/>
    <w:rsid w:val="00186309"/>
    <w:rsid w:val="00191899"/>
    <w:rsid w:val="0019305C"/>
    <w:rsid w:val="0019470B"/>
    <w:rsid w:val="001974D0"/>
    <w:rsid w:val="001A11AE"/>
    <w:rsid w:val="001A2515"/>
    <w:rsid w:val="001A42FB"/>
    <w:rsid w:val="001A65B2"/>
    <w:rsid w:val="001B0698"/>
    <w:rsid w:val="001B2167"/>
    <w:rsid w:val="001B2877"/>
    <w:rsid w:val="001B4037"/>
    <w:rsid w:val="001B430F"/>
    <w:rsid w:val="001C145F"/>
    <w:rsid w:val="001C3BC2"/>
    <w:rsid w:val="001C4A80"/>
    <w:rsid w:val="001C514B"/>
    <w:rsid w:val="001D1D05"/>
    <w:rsid w:val="001D3125"/>
    <w:rsid w:val="001D3543"/>
    <w:rsid w:val="001D36F2"/>
    <w:rsid w:val="001D41E1"/>
    <w:rsid w:val="001D42A8"/>
    <w:rsid w:val="001E01CF"/>
    <w:rsid w:val="001E06E3"/>
    <w:rsid w:val="001E28DD"/>
    <w:rsid w:val="001E6980"/>
    <w:rsid w:val="001E7129"/>
    <w:rsid w:val="001E71A2"/>
    <w:rsid w:val="001F271E"/>
    <w:rsid w:val="001F7511"/>
    <w:rsid w:val="00200219"/>
    <w:rsid w:val="002011E3"/>
    <w:rsid w:val="00204C29"/>
    <w:rsid w:val="00205530"/>
    <w:rsid w:val="00207473"/>
    <w:rsid w:val="00211C99"/>
    <w:rsid w:val="002132E5"/>
    <w:rsid w:val="00215F6B"/>
    <w:rsid w:val="00217BFC"/>
    <w:rsid w:val="0022191B"/>
    <w:rsid w:val="00222E27"/>
    <w:rsid w:val="0022489B"/>
    <w:rsid w:val="00225462"/>
    <w:rsid w:val="002255AE"/>
    <w:rsid w:val="002315C0"/>
    <w:rsid w:val="002321AA"/>
    <w:rsid w:val="0023355D"/>
    <w:rsid w:val="00234047"/>
    <w:rsid w:val="002406C5"/>
    <w:rsid w:val="00241544"/>
    <w:rsid w:val="00241BB5"/>
    <w:rsid w:val="00242CE9"/>
    <w:rsid w:val="00243ED3"/>
    <w:rsid w:val="002457BB"/>
    <w:rsid w:val="002460BB"/>
    <w:rsid w:val="00247358"/>
    <w:rsid w:val="00247F31"/>
    <w:rsid w:val="00250322"/>
    <w:rsid w:val="002529E5"/>
    <w:rsid w:val="00260275"/>
    <w:rsid w:val="00264AB2"/>
    <w:rsid w:val="0026628B"/>
    <w:rsid w:val="00270944"/>
    <w:rsid w:val="002750AF"/>
    <w:rsid w:val="002755C5"/>
    <w:rsid w:val="002776A3"/>
    <w:rsid w:val="00280301"/>
    <w:rsid w:val="00280685"/>
    <w:rsid w:val="00282443"/>
    <w:rsid w:val="002840C6"/>
    <w:rsid w:val="00284484"/>
    <w:rsid w:val="00284B0F"/>
    <w:rsid w:val="00286682"/>
    <w:rsid w:val="00290C31"/>
    <w:rsid w:val="00291FFC"/>
    <w:rsid w:val="00294C0D"/>
    <w:rsid w:val="002951E5"/>
    <w:rsid w:val="00295A23"/>
    <w:rsid w:val="002964A1"/>
    <w:rsid w:val="002964F6"/>
    <w:rsid w:val="00296D25"/>
    <w:rsid w:val="002A0BEE"/>
    <w:rsid w:val="002A13C4"/>
    <w:rsid w:val="002A22F0"/>
    <w:rsid w:val="002A3E6D"/>
    <w:rsid w:val="002A6476"/>
    <w:rsid w:val="002B1FDC"/>
    <w:rsid w:val="002B34A0"/>
    <w:rsid w:val="002B4720"/>
    <w:rsid w:val="002C0EE5"/>
    <w:rsid w:val="002C2275"/>
    <w:rsid w:val="002C395B"/>
    <w:rsid w:val="002C5DC6"/>
    <w:rsid w:val="002C66D1"/>
    <w:rsid w:val="002D00BA"/>
    <w:rsid w:val="002D04A7"/>
    <w:rsid w:val="002D0FCC"/>
    <w:rsid w:val="002D1C42"/>
    <w:rsid w:val="002D212D"/>
    <w:rsid w:val="002D2665"/>
    <w:rsid w:val="002D3008"/>
    <w:rsid w:val="002D371B"/>
    <w:rsid w:val="002D4CF2"/>
    <w:rsid w:val="002D7E5B"/>
    <w:rsid w:val="002E0400"/>
    <w:rsid w:val="002E1819"/>
    <w:rsid w:val="002E389B"/>
    <w:rsid w:val="002E3969"/>
    <w:rsid w:val="002E51C6"/>
    <w:rsid w:val="002E58DE"/>
    <w:rsid w:val="002E798A"/>
    <w:rsid w:val="002F01B9"/>
    <w:rsid w:val="002F409D"/>
    <w:rsid w:val="002F5C6B"/>
    <w:rsid w:val="00300831"/>
    <w:rsid w:val="00301205"/>
    <w:rsid w:val="00304F9B"/>
    <w:rsid w:val="00307BE6"/>
    <w:rsid w:val="00310CD3"/>
    <w:rsid w:val="00311000"/>
    <w:rsid w:val="00313EB8"/>
    <w:rsid w:val="00320755"/>
    <w:rsid w:val="0032236E"/>
    <w:rsid w:val="0032425B"/>
    <w:rsid w:val="003269AC"/>
    <w:rsid w:val="00326BA2"/>
    <w:rsid w:val="00327C9E"/>
    <w:rsid w:val="00327CF3"/>
    <w:rsid w:val="00330422"/>
    <w:rsid w:val="003337F9"/>
    <w:rsid w:val="00334223"/>
    <w:rsid w:val="00334380"/>
    <w:rsid w:val="0033540C"/>
    <w:rsid w:val="0033644F"/>
    <w:rsid w:val="0033668C"/>
    <w:rsid w:val="003371F3"/>
    <w:rsid w:val="0034411C"/>
    <w:rsid w:val="003446C0"/>
    <w:rsid w:val="0034717C"/>
    <w:rsid w:val="00352760"/>
    <w:rsid w:val="0035280E"/>
    <w:rsid w:val="00352BCB"/>
    <w:rsid w:val="003552E0"/>
    <w:rsid w:val="00355DA6"/>
    <w:rsid w:val="0035643D"/>
    <w:rsid w:val="00356731"/>
    <w:rsid w:val="00360250"/>
    <w:rsid w:val="0036061B"/>
    <w:rsid w:val="00360761"/>
    <w:rsid w:val="00363116"/>
    <w:rsid w:val="0036340C"/>
    <w:rsid w:val="0036430D"/>
    <w:rsid w:val="00364D69"/>
    <w:rsid w:val="00366E39"/>
    <w:rsid w:val="00371C40"/>
    <w:rsid w:val="00372A7F"/>
    <w:rsid w:val="003750C6"/>
    <w:rsid w:val="00375E7A"/>
    <w:rsid w:val="003768B1"/>
    <w:rsid w:val="003772BA"/>
    <w:rsid w:val="0038196A"/>
    <w:rsid w:val="0038462B"/>
    <w:rsid w:val="00384B3A"/>
    <w:rsid w:val="00384C18"/>
    <w:rsid w:val="003857D8"/>
    <w:rsid w:val="00387F20"/>
    <w:rsid w:val="00396F7B"/>
    <w:rsid w:val="003A0BE5"/>
    <w:rsid w:val="003A1D0F"/>
    <w:rsid w:val="003A1E25"/>
    <w:rsid w:val="003A21DC"/>
    <w:rsid w:val="003A268B"/>
    <w:rsid w:val="003A2D1D"/>
    <w:rsid w:val="003A5E99"/>
    <w:rsid w:val="003A7B1A"/>
    <w:rsid w:val="003A7FD9"/>
    <w:rsid w:val="003B1154"/>
    <w:rsid w:val="003B5154"/>
    <w:rsid w:val="003C148D"/>
    <w:rsid w:val="003C26C1"/>
    <w:rsid w:val="003C30C1"/>
    <w:rsid w:val="003C5205"/>
    <w:rsid w:val="003C59BB"/>
    <w:rsid w:val="003C68EB"/>
    <w:rsid w:val="003C6FC6"/>
    <w:rsid w:val="003C76C7"/>
    <w:rsid w:val="003D08A0"/>
    <w:rsid w:val="003D11D9"/>
    <w:rsid w:val="003D180B"/>
    <w:rsid w:val="003D2F08"/>
    <w:rsid w:val="003D4992"/>
    <w:rsid w:val="003D4AC2"/>
    <w:rsid w:val="003D6181"/>
    <w:rsid w:val="003E0F28"/>
    <w:rsid w:val="003E14CD"/>
    <w:rsid w:val="003E2734"/>
    <w:rsid w:val="003E39A7"/>
    <w:rsid w:val="003E50C1"/>
    <w:rsid w:val="003E530C"/>
    <w:rsid w:val="003E6143"/>
    <w:rsid w:val="003E75A8"/>
    <w:rsid w:val="003F1086"/>
    <w:rsid w:val="003F7286"/>
    <w:rsid w:val="004028A4"/>
    <w:rsid w:val="00403490"/>
    <w:rsid w:val="00403604"/>
    <w:rsid w:val="00403955"/>
    <w:rsid w:val="00403F39"/>
    <w:rsid w:val="004043CF"/>
    <w:rsid w:val="00406130"/>
    <w:rsid w:val="004124F7"/>
    <w:rsid w:val="00412D81"/>
    <w:rsid w:val="00413204"/>
    <w:rsid w:val="00415AF0"/>
    <w:rsid w:val="00416D2C"/>
    <w:rsid w:val="00417349"/>
    <w:rsid w:val="00423275"/>
    <w:rsid w:val="004236AE"/>
    <w:rsid w:val="00423A88"/>
    <w:rsid w:val="00423E65"/>
    <w:rsid w:val="004244C5"/>
    <w:rsid w:val="00426B87"/>
    <w:rsid w:val="00430D9C"/>
    <w:rsid w:val="0043426C"/>
    <w:rsid w:val="00437482"/>
    <w:rsid w:val="00441E72"/>
    <w:rsid w:val="00441F7E"/>
    <w:rsid w:val="00442D19"/>
    <w:rsid w:val="00446301"/>
    <w:rsid w:val="00453FB9"/>
    <w:rsid w:val="00456B2D"/>
    <w:rsid w:val="00460424"/>
    <w:rsid w:val="0046193A"/>
    <w:rsid w:val="0046257F"/>
    <w:rsid w:val="00470772"/>
    <w:rsid w:val="00476F7F"/>
    <w:rsid w:val="0047703D"/>
    <w:rsid w:val="00480B1F"/>
    <w:rsid w:val="0048229D"/>
    <w:rsid w:val="00482826"/>
    <w:rsid w:val="004842E9"/>
    <w:rsid w:val="00484B2B"/>
    <w:rsid w:val="00485960"/>
    <w:rsid w:val="00490245"/>
    <w:rsid w:val="00491BA3"/>
    <w:rsid w:val="0049555B"/>
    <w:rsid w:val="004965C5"/>
    <w:rsid w:val="00496B5E"/>
    <w:rsid w:val="00497233"/>
    <w:rsid w:val="004A239F"/>
    <w:rsid w:val="004A2E3D"/>
    <w:rsid w:val="004A492D"/>
    <w:rsid w:val="004B3889"/>
    <w:rsid w:val="004B391E"/>
    <w:rsid w:val="004B4B6D"/>
    <w:rsid w:val="004B7815"/>
    <w:rsid w:val="004C096D"/>
    <w:rsid w:val="004C60E8"/>
    <w:rsid w:val="004C7770"/>
    <w:rsid w:val="004D0875"/>
    <w:rsid w:val="004D17E5"/>
    <w:rsid w:val="004D2C4A"/>
    <w:rsid w:val="004D3AFC"/>
    <w:rsid w:val="004D6879"/>
    <w:rsid w:val="004E1DF2"/>
    <w:rsid w:val="004E2E71"/>
    <w:rsid w:val="004E33E1"/>
    <w:rsid w:val="004E341A"/>
    <w:rsid w:val="004E3826"/>
    <w:rsid w:val="004E4981"/>
    <w:rsid w:val="004E4ADD"/>
    <w:rsid w:val="004E4E65"/>
    <w:rsid w:val="004E61F0"/>
    <w:rsid w:val="004E62E0"/>
    <w:rsid w:val="004E7767"/>
    <w:rsid w:val="004F20EB"/>
    <w:rsid w:val="004F3DFD"/>
    <w:rsid w:val="004F4446"/>
    <w:rsid w:val="004F4EE5"/>
    <w:rsid w:val="004F7598"/>
    <w:rsid w:val="005017EF"/>
    <w:rsid w:val="00501DF2"/>
    <w:rsid w:val="005034E6"/>
    <w:rsid w:val="00503C49"/>
    <w:rsid w:val="0050524A"/>
    <w:rsid w:val="00506337"/>
    <w:rsid w:val="0051135E"/>
    <w:rsid w:val="0051161C"/>
    <w:rsid w:val="00512823"/>
    <w:rsid w:val="00520D53"/>
    <w:rsid w:val="00525D83"/>
    <w:rsid w:val="0053065B"/>
    <w:rsid w:val="00532AEF"/>
    <w:rsid w:val="00532B03"/>
    <w:rsid w:val="005337F7"/>
    <w:rsid w:val="00534C3E"/>
    <w:rsid w:val="005357E6"/>
    <w:rsid w:val="00536EBE"/>
    <w:rsid w:val="00537DD1"/>
    <w:rsid w:val="00541D82"/>
    <w:rsid w:val="00544CF7"/>
    <w:rsid w:val="005508AE"/>
    <w:rsid w:val="005516FC"/>
    <w:rsid w:val="00551F16"/>
    <w:rsid w:val="00552EAD"/>
    <w:rsid w:val="00555CB5"/>
    <w:rsid w:val="00556801"/>
    <w:rsid w:val="00556CC3"/>
    <w:rsid w:val="00562036"/>
    <w:rsid w:val="005641DE"/>
    <w:rsid w:val="0056584C"/>
    <w:rsid w:val="005666FA"/>
    <w:rsid w:val="00570FC3"/>
    <w:rsid w:val="0057276A"/>
    <w:rsid w:val="00574388"/>
    <w:rsid w:val="00574A56"/>
    <w:rsid w:val="00575F41"/>
    <w:rsid w:val="005777B9"/>
    <w:rsid w:val="0058198B"/>
    <w:rsid w:val="005824C2"/>
    <w:rsid w:val="005827DE"/>
    <w:rsid w:val="0058325F"/>
    <w:rsid w:val="0058456A"/>
    <w:rsid w:val="00590CE1"/>
    <w:rsid w:val="005914B3"/>
    <w:rsid w:val="00591996"/>
    <w:rsid w:val="00592B0B"/>
    <w:rsid w:val="005A1E50"/>
    <w:rsid w:val="005A2C1A"/>
    <w:rsid w:val="005A30AA"/>
    <w:rsid w:val="005A31BA"/>
    <w:rsid w:val="005A411B"/>
    <w:rsid w:val="005A566C"/>
    <w:rsid w:val="005A571C"/>
    <w:rsid w:val="005A7AEA"/>
    <w:rsid w:val="005B0214"/>
    <w:rsid w:val="005B0C89"/>
    <w:rsid w:val="005B1BE2"/>
    <w:rsid w:val="005B3133"/>
    <w:rsid w:val="005B43A9"/>
    <w:rsid w:val="005B4F77"/>
    <w:rsid w:val="005B50D2"/>
    <w:rsid w:val="005B641F"/>
    <w:rsid w:val="005C13FE"/>
    <w:rsid w:val="005C72EA"/>
    <w:rsid w:val="005D1CE4"/>
    <w:rsid w:val="005D283C"/>
    <w:rsid w:val="005D3611"/>
    <w:rsid w:val="005D7BD1"/>
    <w:rsid w:val="005E7B92"/>
    <w:rsid w:val="005E7D3F"/>
    <w:rsid w:val="005F0447"/>
    <w:rsid w:val="005F0AA8"/>
    <w:rsid w:val="005F22F7"/>
    <w:rsid w:val="005F2811"/>
    <w:rsid w:val="005F4ED1"/>
    <w:rsid w:val="005F7651"/>
    <w:rsid w:val="00605066"/>
    <w:rsid w:val="006055E1"/>
    <w:rsid w:val="00605607"/>
    <w:rsid w:val="0060561F"/>
    <w:rsid w:val="0061130E"/>
    <w:rsid w:val="0061240D"/>
    <w:rsid w:val="00614854"/>
    <w:rsid w:val="00614B8F"/>
    <w:rsid w:val="00617A42"/>
    <w:rsid w:val="00620DBB"/>
    <w:rsid w:val="00624051"/>
    <w:rsid w:val="006253F1"/>
    <w:rsid w:val="0063117D"/>
    <w:rsid w:val="00637AAC"/>
    <w:rsid w:val="006407F8"/>
    <w:rsid w:val="00640E29"/>
    <w:rsid w:val="00641732"/>
    <w:rsid w:val="006417CB"/>
    <w:rsid w:val="00641E2C"/>
    <w:rsid w:val="006424A7"/>
    <w:rsid w:val="00644659"/>
    <w:rsid w:val="0064488E"/>
    <w:rsid w:val="00645E0E"/>
    <w:rsid w:val="006460A4"/>
    <w:rsid w:val="00646FFB"/>
    <w:rsid w:val="0064799A"/>
    <w:rsid w:val="00654176"/>
    <w:rsid w:val="00654445"/>
    <w:rsid w:val="00654E8E"/>
    <w:rsid w:val="0066065C"/>
    <w:rsid w:val="00660CEA"/>
    <w:rsid w:val="00662811"/>
    <w:rsid w:val="00666BD8"/>
    <w:rsid w:val="00667805"/>
    <w:rsid w:val="00672040"/>
    <w:rsid w:val="00673434"/>
    <w:rsid w:val="00675BAE"/>
    <w:rsid w:val="00680F94"/>
    <w:rsid w:val="0068224E"/>
    <w:rsid w:val="006830F0"/>
    <w:rsid w:val="0068414E"/>
    <w:rsid w:val="0068444F"/>
    <w:rsid w:val="00687CF7"/>
    <w:rsid w:val="00690CBF"/>
    <w:rsid w:val="0069338C"/>
    <w:rsid w:val="00694FCA"/>
    <w:rsid w:val="00695644"/>
    <w:rsid w:val="00696C3C"/>
    <w:rsid w:val="00696F15"/>
    <w:rsid w:val="006A0E12"/>
    <w:rsid w:val="006A29BC"/>
    <w:rsid w:val="006A3133"/>
    <w:rsid w:val="006A4CF9"/>
    <w:rsid w:val="006A6E98"/>
    <w:rsid w:val="006A7738"/>
    <w:rsid w:val="006B0CC4"/>
    <w:rsid w:val="006B4509"/>
    <w:rsid w:val="006B51CE"/>
    <w:rsid w:val="006B6ABE"/>
    <w:rsid w:val="006C018F"/>
    <w:rsid w:val="006C3741"/>
    <w:rsid w:val="006C3E6F"/>
    <w:rsid w:val="006C41FB"/>
    <w:rsid w:val="006C4D98"/>
    <w:rsid w:val="006C5EE9"/>
    <w:rsid w:val="006C734A"/>
    <w:rsid w:val="006C7C07"/>
    <w:rsid w:val="006D1107"/>
    <w:rsid w:val="006D33FB"/>
    <w:rsid w:val="006D3F49"/>
    <w:rsid w:val="006D7B41"/>
    <w:rsid w:val="006E10DE"/>
    <w:rsid w:val="006E1930"/>
    <w:rsid w:val="006F0D6F"/>
    <w:rsid w:val="006F29E4"/>
    <w:rsid w:val="006F49C8"/>
    <w:rsid w:val="006F549F"/>
    <w:rsid w:val="006F62C0"/>
    <w:rsid w:val="0070215D"/>
    <w:rsid w:val="00702929"/>
    <w:rsid w:val="00707599"/>
    <w:rsid w:val="00707747"/>
    <w:rsid w:val="00710086"/>
    <w:rsid w:val="00711E64"/>
    <w:rsid w:val="007171BB"/>
    <w:rsid w:val="00717FB8"/>
    <w:rsid w:val="00721F73"/>
    <w:rsid w:val="00722434"/>
    <w:rsid w:val="0072402C"/>
    <w:rsid w:val="00724348"/>
    <w:rsid w:val="007255D0"/>
    <w:rsid w:val="00727AD1"/>
    <w:rsid w:val="00731F56"/>
    <w:rsid w:val="00733163"/>
    <w:rsid w:val="007341F1"/>
    <w:rsid w:val="00735492"/>
    <w:rsid w:val="00735A14"/>
    <w:rsid w:val="007363B2"/>
    <w:rsid w:val="00736998"/>
    <w:rsid w:val="007454D1"/>
    <w:rsid w:val="0075081D"/>
    <w:rsid w:val="00761599"/>
    <w:rsid w:val="0076331C"/>
    <w:rsid w:val="00763D58"/>
    <w:rsid w:val="007642E9"/>
    <w:rsid w:val="00767352"/>
    <w:rsid w:val="00770170"/>
    <w:rsid w:val="00770C36"/>
    <w:rsid w:val="00774041"/>
    <w:rsid w:val="007756F8"/>
    <w:rsid w:val="00776AFC"/>
    <w:rsid w:val="0077708F"/>
    <w:rsid w:val="00777F53"/>
    <w:rsid w:val="00786713"/>
    <w:rsid w:val="007919E5"/>
    <w:rsid w:val="00792DDB"/>
    <w:rsid w:val="00793390"/>
    <w:rsid w:val="00795329"/>
    <w:rsid w:val="00796AA3"/>
    <w:rsid w:val="007A0CBE"/>
    <w:rsid w:val="007A1F72"/>
    <w:rsid w:val="007A5FD4"/>
    <w:rsid w:val="007A7EB2"/>
    <w:rsid w:val="007B075C"/>
    <w:rsid w:val="007B08F5"/>
    <w:rsid w:val="007B1F69"/>
    <w:rsid w:val="007B5A10"/>
    <w:rsid w:val="007B5D06"/>
    <w:rsid w:val="007B621D"/>
    <w:rsid w:val="007C12EF"/>
    <w:rsid w:val="007C1397"/>
    <w:rsid w:val="007D03DF"/>
    <w:rsid w:val="007D36AF"/>
    <w:rsid w:val="007D787C"/>
    <w:rsid w:val="007E160C"/>
    <w:rsid w:val="007E3DA7"/>
    <w:rsid w:val="007E5075"/>
    <w:rsid w:val="007E52A3"/>
    <w:rsid w:val="007E6CD9"/>
    <w:rsid w:val="007F0A36"/>
    <w:rsid w:val="007F3A74"/>
    <w:rsid w:val="007F4564"/>
    <w:rsid w:val="007F50C4"/>
    <w:rsid w:val="007F5223"/>
    <w:rsid w:val="007F773B"/>
    <w:rsid w:val="00801B61"/>
    <w:rsid w:val="0080337B"/>
    <w:rsid w:val="00804E7C"/>
    <w:rsid w:val="008102C9"/>
    <w:rsid w:val="008103AF"/>
    <w:rsid w:val="00812F00"/>
    <w:rsid w:val="0081620F"/>
    <w:rsid w:val="00817AFD"/>
    <w:rsid w:val="00817FF3"/>
    <w:rsid w:val="00822594"/>
    <w:rsid w:val="008226B6"/>
    <w:rsid w:val="00822D03"/>
    <w:rsid w:val="00827B42"/>
    <w:rsid w:val="00827FB8"/>
    <w:rsid w:val="00830A50"/>
    <w:rsid w:val="00831E42"/>
    <w:rsid w:val="00832CEF"/>
    <w:rsid w:val="00833102"/>
    <w:rsid w:val="00835A3D"/>
    <w:rsid w:val="0084021C"/>
    <w:rsid w:val="008410E7"/>
    <w:rsid w:val="0084224B"/>
    <w:rsid w:val="008427A3"/>
    <w:rsid w:val="00842AA6"/>
    <w:rsid w:val="00842C8C"/>
    <w:rsid w:val="00843F2F"/>
    <w:rsid w:val="008444CB"/>
    <w:rsid w:val="00844D1C"/>
    <w:rsid w:val="00847766"/>
    <w:rsid w:val="00855BD9"/>
    <w:rsid w:val="008569D9"/>
    <w:rsid w:val="00856B14"/>
    <w:rsid w:val="00857C49"/>
    <w:rsid w:val="008648B5"/>
    <w:rsid w:val="00865AE8"/>
    <w:rsid w:val="008660C5"/>
    <w:rsid w:val="00866C09"/>
    <w:rsid w:val="008671CE"/>
    <w:rsid w:val="008675BB"/>
    <w:rsid w:val="00871E19"/>
    <w:rsid w:val="00874232"/>
    <w:rsid w:val="00875459"/>
    <w:rsid w:val="0087637A"/>
    <w:rsid w:val="008763E7"/>
    <w:rsid w:val="008766FD"/>
    <w:rsid w:val="00877899"/>
    <w:rsid w:val="00880280"/>
    <w:rsid w:val="0088413E"/>
    <w:rsid w:val="00884428"/>
    <w:rsid w:val="00884766"/>
    <w:rsid w:val="00884EBB"/>
    <w:rsid w:val="0088633C"/>
    <w:rsid w:val="0089356F"/>
    <w:rsid w:val="008A5D69"/>
    <w:rsid w:val="008A7DC4"/>
    <w:rsid w:val="008B08BE"/>
    <w:rsid w:val="008B2652"/>
    <w:rsid w:val="008B4785"/>
    <w:rsid w:val="008B7176"/>
    <w:rsid w:val="008C0919"/>
    <w:rsid w:val="008D1213"/>
    <w:rsid w:val="008D1C9F"/>
    <w:rsid w:val="008D26A9"/>
    <w:rsid w:val="008D2A4F"/>
    <w:rsid w:val="008D7033"/>
    <w:rsid w:val="008E138B"/>
    <w:rsid w:val="008E2771"/>
    <w:rsid w:val="008E3649"/>
    <w:rsid w:val="008E3797"/>
    <w:rsid w:val="008E4D1D"/>
    <w:rsid w:val="008E63B5"/>
    <w:rsid w:val="008E6C60"/>
    <w:rsid w:val="008F167E"/>
    <w:rsid w:val="008F24D5"/>
    <w:rsid w:val="008F2519"/>
    <w:rsid w:val="008F3996"/>
    <w:rsid w:val="008F3DD7"/>
    <w:rsid w:val="008F4003"/>
    <w:rsid w:val="008F791D"/>
    <w:rsid w:val="00901041"/>
    <w:rsid w:val="00902078"/>
    <w:rsid w:val="00902B29"/>
    <w:rsid w:val="00904514"/>
    <w:rsid w:val="009072BE"/>
    <w:rsid w:val="009103F9"/>
    <w:rsid w:val="00910431"/>
    <w:rsid w:val="0091244B"/>
    <w:rsid w:val="00914485"/>
    <w:rsid w:val="009156D8"/>
    <w:rsid w:val="00915CA6"/>
    <w:rsid w:val="00916BA4"/>
    <w:rsid w:val="00917119"/>
    <w:rsid w:val="009176B4"/>
    <w:rsid w:val="0091773D"/>
    <w:rsid w:val="00924C72"/>
    <w:rsid w:val="00930BD3"/>
    <w:rsid w:val="00930FCC"/>
    <w:rsid w:val="0093149D"/>
    <w:rsid w:val="009377D8"/>
    <w:rsid w:val="00941034"/>
    <w:rsid w:val="00942BAB"/>
    <w:rsid w:val="00943009"/>
    <w:rsid w:val="00943756"/>
    <w:rsid w:val="00944D8B"/>
    <w:rsid w:val="00952831"/>
    <w:rsid w:val="00953144"/>
    <w:rsid w:val="00953355"/>
    <w:rsid w:val="00956FF7"/>
    <w:rsid w:val="0095717E"/>
    <w:rsid w:val="00957E5C"/>
    <w:rsid w:val="00961018"/>
    <w:rsid w:val="00963C71"/>
    <w:rsid w:val="00965E53"/>
    <w:rsid w:val="00966DC9"/>
    <w:rsid w:val="00967836"/>
    <w:rsid w:val="0096786C"/>
    <w:rsid w:val="00970007"/>
    <w:rsid w:val="00972548"/>
    <w:rsid w:val="009744CA"/>
    <w:rsid w:val="009746B0"/>
    <w:rsid w:val="00975B75"/>
    <w:rsid w:val="009779DE"/>
    <w:rsid w:val="009837C4"/>
    <w:rsid w:val="00984C87"/>
    <w:rsid w:val="0098584B"/>
    <w:rsid w:val="00987666"/>
    <w:rsid w:val="00990D16"/>
    <w:rsid w:val="009920C4"/>
    <w:rsid w:val="009926AA"/>
    <w:rsid w:val="009A39E2"/>
    <w:rsid w:val="009A44A9"/>
    <w:rsid w:val="009A7344"/>
    <w:rsid w:val="009B060F"/>
    <w:rsid w:val="009B24C2"/>
    <w:rsid w:val="009B6B48"/>
    <w:rsid w:val="009C196B"/>
    <w:rsid w:val="009C4AC6"/>
    <w:rsid w:val="009C4C7C"/>
    <w:rsid w:val="009C4CAC"/>
    <w:rsid w:val="009C6F48"/>
    <w:rsid w:val="009D090D"/>
    <w:rsid w:val="009D1478"/>
    <w:rsid w:val="009D16EA"/>
    <w:rsid w:val="009D2992"/>
    <w:rsid w:val="009D3FC5"/>
    <w:rsid w:val="009D497D"/>
    <w:rsid w:val="009D529B"/>
    <w:rsid w:val="009D77E6"/>
    <w:rsid w:val="009E1D0C"/>
    <w:rsid w:val="009E73C4"/>
    <w:rsid w:val="009F01E6"/>
    <w:rsid w:val="009F5C14"/>
    <w:rsid w:val="00A01933"/>
    <w:rsid w:val="00A05BD4"/>
    <w:rsid w:val="00A06B35"/>
    <w:rsid w:val="00A07236"/>
    <w:rsid w:val="00A12976"/>
    <w:rsid w:val="00A131BF"/>
    <w:rsid w:val="00A1513C"/>
    <w:rsid w:val="00A20CE9"/>
    <w:rsid w:val="00A21DAA"/>
    <w:rsid w:val="00A26C0E"/>
    <w:rsid w:val="00A27F5C"/>
    <w:rsid w:val="00A322C3"/>
    <w:rsid w:val="00A328FD"/>
    <w:rsid w:val="00A33392"/>
    <w:rsid w:val="00A37E70"/>
    <w:rsid w:val="00A412C0"/>
    <w:rsid w:val="00A4169D"/>
    <w:rsid w:val="00A446D1"/>
    <w:rsid w:val="00A44A48"/>
    <w:rsid w:val="00A46202"/>
    <w:rsid w:val="00A468E2"/>
    <w:rsid w:val="00A47F95"/>
    <w:rsid w:val="00A5122C"/>
    <w:rsid w:val="00A5188E"/>
    <w:rsid w:val="00A53759"/>
    <w:rsid w:val="00A5495D"/>
    <w:rsid w:val="00A5701C"/>
    <w:rsid w:val="00A57D08"/>
    <w:rsid w:val="00A60878"/>
    <w:rsid w:val="00A6162C"/>
    <w:rsid w:val="00A62474"/>
    <w:rsid w:val="00A63AA3"/>
    <w:rsid w:val="00A6658E"/>
    <w:rsid w:val="00A66927"/>
    <w:rsid w:val="00A70995"/>
    <w:rsid w:val="00A72439"/>
    <w:rsid w:val="00A77513"/>
    <w:rsid w:val="00A802A1"/>
    <w:rsid w:val="00A81F42"/>
    <w:rsid w:val="00A82C34"/>
    <w:rsid w:val="00A83C98"/>
    <w:rsid w:val="00A84026"/>
    <w:rsid w:val="00A87112"/>
    <w:rsid w:val="00A93298"/>
    <w:rsid w:val="00A93F77"/>
    <w:rsid w:val="00A96AB7"/>
    <w:rsid w:val="00AA2090"/>
    <w:rsid w:val="00AA36A9"/>
    <w:rsid w:val="00AA6F17"/>
    <w:rsid w:val="00AA73A3"/>
    <w:rsid w:val="00AA777E"/>
    <w:rsid w:val="00AA7E6D"/>
    <w:rsid w:val="00AB0AA4"/>
    <w:rsid w:val="00AB1434"/>
    <w:rsid w:val="00AB1B95"/>
    <w:rsid w:val="00AB1CC4"/>
    <w:rsid w:val="00AB22ED"/>
    <w:rsid w:val="00AB5C53"/>
    <w:rsid w:val="00AB6D01"/>
    <w:rsid w:val="00AB7179"/>
    <w:rsid w:val="00AC0031"/>
    <w:rsid w:val="00AC1FC3"/>
    <w:rsid w:val="00AC225C"/>
    <w:rsid w:val="00AC2D0F"/>
    <w:rsid w:val="00AC4B2F"/>
    <w:rsid w:val="00AC71EB"/>
    <w:rsid w:val="00AD21DF"/>
    <w:rsid w:val="00AD6505"/>
    <w:rsid w:val="00AD70A9"/>
    <w:rsid w:val="00AE3BE9"/>
    <w:rsid w:val="00AE4E19"/>
    <w:rsid w:val="00AE5001"/>
    <w:rsid w:val="00AE5D54"/>
    <w:rsid w:val="00AF4CFB"/>
    <w:rsid w:val="00AF5063"/>
    <w:rsid w:val="00AF62A4"/>
    <w:rsid w:val="00AF7321"/>
    <w:rsid w:val="00B0057B"/>
    <w:rsid w:val="00B025D6"/>
    <w:rsid w:val="00B12414"/>
    <w:rsid w:val="00B1466B"/>
    <w:rsid w:val="00B16CB4"/>
    <w:rsid w:val="00B2037A"/>
    <w:rsid w:val="00B22CDC"/>
    <w:rsid w:val="00B2475E"/>
    <w:rsid w:val="00B26B2F"/>
    <w:rsid w:val="00B302C6"/>
    <w:rsid w:val="00B35FC9"/>
    <w:rsid w:val="00B40059"/>
    <w:rsid w:val="00B42B60"/>
    <w:rsid w:val="00B43027"/>
    <w:rsid w:val="00B46D77"/>
    <w:rsid w:val="00B4755C"/>
    <w:rsid w:val="00B54463"/>
    <w:rsid w:val="00B55D88"/>
    <w:rsid w:val="00B6038B"/>
    <w:rsid w:val="00B6074A"/>
    <w:rsid w:val="00B60E1D"/>
    <w:rsid w:val="00B61028"/>
    <w:rsid w:val="00B61994"/>
    <w:rsid w:val="00B628D9"/>
    <w:rsid w:val="00B63384"/>
    <w:rsid w:val="00B642BB"/>
    <w:rsid w:val="00B6558B"/>
    <w:rsid w:val="00B65EED"/>
    <w:rsid w:val="00B6613E"/>
    <w:rsid w:val="00B666CE"/>
    <w:rsid w:val="00B71800"/>
    <w:rsid w:val="00B7315B"/>
    <w:rsid w:val="00B737CA"/>
    <w:rsid w:val="00B7437D"/>
    <w:rsid w:val="00B75F79"/>
    <w:rsid w:val="00B80F41"/>
    <w:rsid w:val="00B82C26"/>
    <w:rsid w:val="00B83C98"/>
    <w:rsid w:val="00B83D72"/>
    <w:rsid w:val="00B95B29"/>
    <w:rsid w:val="00BA0426"/>
    <w:rsid w:val="00BA099B"/>
    <w:rsid w:val="00BA0AD4"/>
    <w:rsid w:val="00BA1CD4"/>
    <w:rsid w:val="00BA318E"/>
    <w:rsid w:val="00BA5B7C"/>
    <w:rsid w:val="00BB37BD"/>
    <w:rsid w:val="00BB41F6"/>
    <w:rsid w:val="00BC2963"/>
    <w:rsid w:val="00BC3373"/>
    <w:rsid w:val="00BC4AD4"/>
    <w:rsid w:val="00BC4C5F"/>
    <w:rsid w:val="00BC7078"/>
    <w:rsid w:val="00BD0085"/>
    <w:rsid w:val="00BD0819"/>
    <w:rsid w:val="00BD1D8D"/>
    <w:rsid w:val="00BD2C0A"/>
    <w:rsid w:val="00BD46DF"/>
    <w:rsid w:val="00BD4823"/>
    <w:rsid w:val="00BD5CAA"/>
    <w:rsid w:val="00BD6CBA"/>
    <w:rsid w:val="00BD757F"/>
    <w:rsid w:val="00BE066E"/>
    <w:rsid w:val="00BE3201"/>
    <w:rsid w:val="00BE5369"/>
    <w:rsid w:val="00BE5F80"/>
    <w:rsid w:val="00BE64E0"/>
    <w:rsid w:val="00BF03AD"/>
    <w:rsid w:val="00BF1057"/>
    <w:rsid w:val="00BF1A35"/>
    <w:rsid w:val="00C001AC"/>
    <w:rsid w:val="00C02207"/>
    <w:rsid w:val="00C0354B"/>
    <w:rsid w:val="00C03D33"/>
    <w:rsid w:val="00C03F4C"/>
    <w:rsid w:val="00C04A72"/>
    <w:rsid w:val="00C05D21"/>
    <w:rsid w:val="00C06E7A"/>
    <w:rsid w:val="00C10FBB"/>
    <w:rsid w:val="00C110A7"/>
    <w:rsid w:val="00C11C35"/>
    <w:rsid w:val="00C11E60"/>
    <w:rsid w:val="00C15D3D"/>
    <w:rsid w:val="00C2660B"/>
    <w:rsid w:val="00C267CB"/>
    <w:rsid w:val="00C31803"/>
    <w:rsid w:val="00C32E01"/>
    <w:rsid w:val="00C35E29"/>
    <w:rsid w:val="00C406B7"/>
    <w:rsid w:val="00C43253"/>
    <w:rsid w:val="00C54579"/>
    <w:rsid w:val="00C57BDF"/>
    <w:rsid w:val="00C57C9E"/>
    <w:rsid w:val="00C60E7A"/>
    <w:rsid w:val="00C610C4"/>
    <w:rsid w:val="00C622B8"/>
    <w:rsid w:val="00C62422"/>
    <w:rsid w:val="00C62F93"/>
    <w:rsid w:val="00C63425"/>
    <w:rsid w:val="00C656B4"/>
    <w:rsid w:val="00C65750"/>
    <w:rsid w:val="00C6615B"/>
    <w:rsid w:val="00C662CD"/>
    <w:rsid w:val="00C679EB"/>
    <w:rsid w:val="00C70FE6"/>
    <w:rsid w:val="00C74440"/>
    <w:rsid w:val="00C74E75"/>
    <w:rsid w:val="00C76F17"/>
    <w:rsid w:val="00C8045F"/>
    <w:rsid w:val="00C85C0B"/>
    <w:rsid w:val="00C85ED0"/>
    <w:rsid w:val="00C85F64"/>
    <w:rsid w:val="00C87678"/>
    <w:rsid w:val="00C8772F"/>
    <w:rsid w:val="00C87773"/>
    <w:rsid w:val="00C87DD5"/>
    <w:rsid w:val="00C93E9D"/>
    <w:rsid w:val="00C944E8"/>
    <w:rsid w:val="00CA11E6"/>
    <w:rsid w:val="00CA3D19"/>
    <w:rsid w:val="00CA4D5A"/>
    <w:rsid w:val="00CA7969"/>
    <w:rsid w:val="00CB228A"/>
    <w:rsid w:val="00CB4A57"/>
    <w:rsid w:val="00CB5456"/>
    <w:rsid w:val="00CB57C9"/>
    <w:rsid w:val="00CB754D"/>
    <w:rsid w:val="00CC11EF"/>
    <w:rsid w:val="00CC2874"/>
    <w:rsid w:val="00CC3D5C"/>
    <w:rsid w:val="00CC4079"/>
    <w:rsid w:val="00CC7F1C"/>
    <w:rsid w:val="00CD01F0"/>
    <w:rsid w:val="00CD1AF1"/>
    <w:rsid w:val="00CD1CF1"/>
    <w:rsid w:val="00CD1DA9"/>
    <w:rsid w:val="00CD5437"/>
    <w:rsid w:val="00CD5980"/>
    <w:rsid w:val="00CD5A48"/>
    <w:rsid w:val="00CE12C8"/>
    <w:rsid w:val="00CE265E"/>
    <w:rsid w:val="00CE293D"/>
    <w:rsid w:val="00CE4300"/>
    <w:rsid w:val="00CF1A53"/>
    <w:rsid w:val="00CF1F3F"/>
    <w:rsid w:val="00CF4847"/>
    <w:rsid w:val="00D049C2"/>
    <w:rsid w:val="00D06489"/>
    <w:rsid w:val="00D21819"/>
    <w:rsid w:val="00D24E7A"/>
    <w:rsid w:val="00D2572E"/>
    <w:rsid w:val="00D26AFB"/>
    <w:rsid w:val="00D33DD6"/>
    <w:rsid w:val="00D346EF"/>
    <w:rsid w:val="00D358D9"/>
    <w:rsid w:val="00D3733D"/>
    <w:rsid w:val="00D4207E"/>
    <w:rsid w:val="00D421B9"/>
    <w:rsid w:val="00D4440A"/>
    <w:rsid w:val="00D4574B"/>
    <w:rsid w:val="00D4779C"/>
    <w:rsid w:val="00D5015E"/>
    <w:rsid w:val="00D57B44"/>
    <w:rsid w:val="00D6235C"/>
    <w:rsid w:val="00D63126"/>
    <w:rsid w:val="00D64260"/>
    <w:rsid w:val="00D651D2"/>
    <w:rsid w:val="00D672FE"/>
    <w:rsid w:val="00D677F9"/>
    <w:rsid w:val="00D70814"/>
    <w:rsid w:val="00D71846"/>
    <w:rsid w:val="00D71E5E"/>
    <w:rsid w:val="00D74614"/>
    <w:rsid w:val="00D764A0"/>
    <w:rsid w:val="00D83F2E"/>
    <w:rsid w:val="00D8631D"/>
    <w:rsid w:val="00D867BE"/>
    <w:rsid w:val="00D86DF5"/>
    <w:rsid w:val="00D8782F"/>
    <w:rsid w:val="00D91E58"/>
    <w:rsid w:val="00D92D50"/>
    <w:rsid w:val="00D94CD6"/>
    <w:rsid w:val="00D95B40"/>
    <w:rsid w:val="00DA1962"/>
    <w:rsid w:val="00DA28A5"/>
    <w:rsid w:val="00DA47BE"/>
    <w:rsid w:val="00DA4D51"/>
    <w:rsid w:val="00DA5385"/>
    <w:rsid w:val="00DA598B"/>
    <w:rsid w:val="00DA5BF1"/>
    <w:rsid w:val="00DA7608"/>
    <w:rsid w:val="00DA7E07"/>
    <w:rsid w:val="00DB17AB"/>
    <w:rsid w:val="00DB2598"/>
    <w:rsid w:val="00DB6048"/>
    <w:rsid w:val="00DB65B3"/>
    <w:rsid w:val="00DB7F57"/>
    <w:rsid w:val="00DC08B3"/>
    <w:rsid w:val="00DC1A31"/>
    <w:rsid w:val="00DC2121"/>
    <w:rsid w:val="00DC2E81"/>
    <w:rsid w:val="00DC685D"/>
    <w:rsid w:val="00DC68F6"/>
    <w:rsid w:val="00DC6920"/>
    <w:rsid w:val="00DC722E"/>
    <w:rsid w:val="00DD5D7D"/>
    <w:rsid w:val="00DD66CB"/>
    <w:rsid w:val="00DE3EB7"/>
    <w:rsid w:val="00DE4552"/>
    <w:rsid w:val="00DE60A0"/>
    <w:rsid w:val="00DF1214"/>
    <w:rsid w:val="00DF1387"/>
    <w:rsid w:val="00DF146D"/>
    <w:rsid w:val="00DF4D4B"/>
    <w:rsid w:val="00DF5836"/>
    <w:rsid w:val="00DF7AD9"/>
    <w:rsid w:val="00DF7BF6"/>
    <w:rsid w:val="00E01C78"/>
    <w:rsid w:val="00E043DF"/>
    <w:rsid w:val="00E07EAA"/>
    <w:rsid w:val="00E1095D"/>
    <w:rsid w:val="00E13A8B"/>
    <w:rsid w:val="00E14FD4"/>
    <w:rsid w:val="00E162F1"/>
    <w:rsid w:val="00E24AB5"/>
    <w:rsid w:val="00E25D46"/>
    <w:rsid w:val="00E2679A"/>
    <w:rsid w:val="00E33A13"/>
    <w:rsid w:val="00E4051F"/>
    <w:rsid w:val="00E40B93"/>
    <w:rsid w:val="00E42262"/>
    <w:rsid w:val="00E422FE"/>
    <w:rsid w:val="00E4382D"/>
    <w:rsid w:val="00E43D8B"/>
    <w:rsid w:val="00E4481A"/>
    <w:rsid w:val="00E50CF3"/>
    <w:rsid w:val="00E51904"/>
    <w:rsid w:val="00E5200F"/>
    <w:rsid w:val="00E62ECE"/>
    <w:rsid w:val="00E62F2E"/>
    <w:rsid w:val="00E643DA"/>
    <w:rsid w:val="00E650C2"/>
    <w:rsid w:val="00E65DB2"/>
    <w:rsid w:val="00E66C66"/>
    <w:rsid w:val="00E66E27"/>
    <w:rsid w:val="00E67053"/>
    <w:rsid w:val="00E6784A"/>
    <w:rsid w:val="00E67A0A"/>
    <w:rsid w:val="00E67B3B"/>
    <w:rsid w:val="00E706C3"/>
    <w:rsid w:val="00E708FD"/>
    <w:rsid w:val="00E73CDA"/>
    <w:rsid w:val="00E7591A"/>
    <w:rsid w:val="00E8306D"/>
    <w:rsid w:val="00E8384A"/>
    <w:rsid w:val="00E8468E"/>
    <w:rsid w:val="00E90A67"/>
    <w:rsid w:val="00E94251"/>
    <w:rsid w:val="00E946AD"/>
    <w:rsid w:val="00E94DDB"/>
    <w:rsid w:val="00E96D6A"/>
    <w:rsid w:val="00E971AF"/>
    <w:rsid w:val="00E97E4F"/>
    <w:rsid w:val="00EA0E84"/>
    <w:rsid w:val="00EA2035"/>
    <w:rsid w:val="00EA260A"/>
    <w:rsid w:val="00EA2C44"/>
    <w:rsid w:val="00EA374B"/>
    <w:rsid w:val="00EA7743"/>
    <w:rsid w:val="00EB0CBA"/>
    <w:rsid w:val="00EB2F29"/>
    <w:rsid w:val="00EB3B66"/>
    <w:rsid w:val="00EB62F7"/>
    <w:rsid w:val="00EB6901"/>
    <w:rsid w:val="00EB6E74"/>
    <w:rsid w:val="00EC0D20"/>
    <w:rsid w:val="00EC2628"/>
    <w:rsid w:val="00EC3C02"/>
    <w:rsid w:val="00EC4337"/>
    <w:rsid w:val="00EC5C0D"/>
    <w:rsid w:val="00ED1A92"/>
    <w:rsid w:val="00ED23D1"/>
    <w:rsid w:val="00ED38D8"/>
    <w:rsid w:val="00ED48B9"/>
    <w:rsid w:val="00ED4B4E"/>
    <w:rsid w:val="00EE0378"/>
    <w:rsid w:val="00EE0B3D"/>
    <w:rsid w:val="00EE19CE"/>
    <w:rsid w:val="00EE2AE9"/>
    <w:rsid w:val="00EE6696"/>
    <w:rsid w:val="00EF0B41"/>
    <w:rsid w:val="00EF45B5"/>
    <w:rsid w:val="00EF4858"/>
    <w:rsid w:val="00EF50BD"/>
    <w:rsid w:val="00F0035E"/>
    <w:rsid w:val="00F03904"/>
    <w:rsid w:val="00F051D4"/>
    <w:rsid w:val="00F05914"/>
    <w:rsid w:val="00F068D2"/>
    <w:rsid w:val="00F06AFA"/>
    <w:rsid w:val="00F06B4C"/>
    <w:rsid w:val="00F07228"/>
    <w:rsid w:val="00F078CB"/>
    <w:rsid w:val="00F10B08"/>
    <w:rsid w:val="00F11847"/>
    <w:rsid w:val="00F13A83"/>
    <w:rsid w:val="00F1407C"/>
    <w:rsid w:val="00F1637F"/>
    <w:rsid w:val="00F20628"/>
    <w:rsid w:val="00F22AFD"/>
    <w:rsid w:val="00F24C84"/>
    <w:rsid w:val="00F24D66"/>
    <w:rsid w:val="00F31976"/>
    <w:rsid w:val="00F31A4C"/>
    <w:rsid w:val="00F31B27"/>
    <w:rsid w:val="00F32607"/>
    <w:rsid w:val="00F3647A"/>
    <w:rsid w:val="00F40219"/>
    <w:rsid w:val="00F40EA3"/>
    <w:rsid w:val="00F41FE8"/>
    <w:rsid w:val="00F44411"/>
    <w:rsid w:val="00F4454E"/>
    <w:rsid w:val="00F44868"/>
    <w:rsid w:val="00F50242"/>
    <w:rsid w:val="00F533A3"/>
    <w:rsid w:val="00F53D76"/>
    <w:rsid w:val="00F55D6A"/>
    <w:rsid w:val="00F5691D"/>
    <w:rsid w:val="00F623BE"/>
    <w:rsid w:val="00F631E8"/>
    <w:rsid w:val="00F63250"/>
    <w:rsid w:val="00F65A89"/>
    <w:rsid w:val="00F65E1C"/>
    <w:rsid w:val="00F748A8"/>
    <w:rsid w:val="00F75CCA"/>
    <w:rsid w:val="00F82757"/>
    <w:rsid w:val="00F84F0C"/>
    <w:rsid w:val="00F854A7"/>
    <w:rsid w:val="00F90D38"/>
    <w:rsid w:val="00F9195B"/>
    <w:rsid w:val="00F93707"/>
    <w:rsid w:val="00F94DD2"/>
    <w:rsid w:val="00FA1B57"/>
    <w:rsid w:val="00FA36AC"/>
    <w:rsid w:val="00FA3C69"/>
    <w:rsid w:val="00FA59CF"/>
    <w:rsid w:val="00FA6BBA"/>
    <w:rsid w:val="00FB077A"/>
    <w:rsid w:val="00FB0FC4"/>
    <w:rsid w:val="00FB1C04"/>
    <w:rsid w:val="00FB3251"/>
    <w:rsid w:val="00FB332F"/>
    <w:rsid w:val="00FB5A65"/>
    <w:rsid w:val="00FB617E"/>
    <w:rsid w:val="00FC1A70"/>
    <w:rsid w:val="00FC6D19"/>
    <w:rsid w:val="00FD1AE6"/>
    <w:rsid w:val="00FD5AA7"/>
    <w:rsid w:val="00FE1363"/>
    <w:rsid w:val="00FE2D27"/>
    <w:rsid w:val="00FE4221"/>
    <w:rsid w:val="00FE6240"/>
    <w:rsid w:val="00FE7149"/>
    <w:rsid w:val="00FE7432"/>
    <w:rsid w:val="00FE7F37"/>
    <w:rsid w:val="00FF2E60"/>
    <w:rsid w:val="00FF362D"/>
    <w:rsid w:val="00FF41E0"/>
    <w:rsid w:val="00FF4DFD"/>
    <w:rsid w:val="00FF5E04"/>
    <w:rsid w:val="00FF611F"/>
    <w:rsid w:val="00FF6315"/>
    <w:rsid w:val="00FF67CA"/>
    <w:rsid w:val="00FF6973"/>
    <w:rsid w:val="0BC5C18A"/>
    <w:rsid w:val="21C19E9C"/>
    <w:rsid w:val="7352B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6F45"/>
  <w15:docId w15:val="{3A33B844-5EAE-448E-ABD2-BC1C439D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qFormat/>
    <w:rsid w:val="006460A4"/>
    <w:pPr>
      <w:spacing w:after="240"/>
    </w:pPr>
    <w:rPr>
      <w:rFonts w:eastAsiaTheme="minorEastAsia"/>
      <w:lang w:bidi="en-US"/>
    </w:rPr>
  </w:style>
  <w:style w:type="character" w:customStyle="1" w:styleId="BodyTextChar">
    <w:name w:val="Body Text Char"/>
    <w:basedOn w:val="DefaultParagraphFont"/>
    <w:link w:val="BodyText"/>
    <w:rsid w:val="006460A4"/>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basedOn w:val="Normal"/>
    <w:link w:val="FootnoteTextChar"/>
    <w:semiHidden/>
    <w:rsid w:val="002B34A0"/>
    <w:rPr>
      <w:rFonts w:ascii="Times New Roman" w:eastAsiaTheme="minorEastAsia" w:hAnsi="Times New Roman"/>
      <w:sz w:val="20"/>
      <w:szCs w:val="20"/>
      <w:lang w:bidi="en-US"/>
    </w:rPr>
  </w:style>
  <w:style w:type="character" w:customStyle="1" w:styleId="FootnoteTextChar">
    <w:name w:val="Footnote Text Char"/>
    <w:basedOn w:val="DefaultParagraphFont"/>
    <w:link w:val="FootnoteText"/>
    <w:semiHidden/>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0447"/>
    <w:rPr>
      <w:color w:val="808080"/>
      <w:shd w:val="clear" w:color="auto" w:fill="E6E6E6"/>
    </w:rPr>
  </w:style>
  <w:style w:type="paragraph" w:styleId="BodyTextIndent">
    <w:name w:val="Body Text Indent"/>
    <w:basedOn w:val="Normal"/>
    <w:link w:val="BodyTextIndentChar"/>
    <w:uiPriority w:val="99"/>
    <w:semiHidden/>
    <w:unhideWhenUsed/>
    <w:rsid w:val="0057276A"/>
    <w:pPr>
      <w:spacing w:after="120"/>
      <w:ind w:left="360"/>
    </w:pPr>
  </w:style>
  <w:style w:type="character" w:customStyle="1" w:styleId="BodyTextIndentChar">
    <w:name w:val="Body Text Indent Char"/>
    <w:basedOn w:val="DefaultParagraphFont"/>
    <w:link w:val="BodyTextIndent"/>
    <w:uiPriority w:val="99"/>
    <w:semiHidden/>
    <w:rsid w:val="0057276A"/>
    <w:rPr>
      <w:rFonts w:ascii="Arial" w:hAnsi="Arial"/>
      <w:sz w:val="24"/>
    </w:rPr>
  </w:style>
  <w:style w:type="paragraph" w:customStyle="1" w:styleId="RRBodyText">
    <w:name w:val="R&amp;R Body Text"/>
    <w:basedOn w:val="Normal"/>
    <w:rsid w:val="002D4CF2"/>
    <w:pPr>
      <w:tabs>
        <w:tab w:val="left" w:pos="0"/>
        <w:tab w:val="left" w:pos="720"/>
        <w:tab w:val="left" w:pos="1080"/>
        <w:tab w:val="left" w:pos="1440"/>
        <w:tab w:val="left" w:pos="1800"/>
        <w:tab w:val="left" w:pos="8985"/>
      </w:tabs>
      <w:autoSpaceDE w:val="0"/>
      <w:autoSpaceDN w:val="0"/>
      <w:adjustRightInd w:val="0"/>
      <w:spacing w:line="264" w:lineRule="auto"/>
    </w:pPr>
    <w:rPr>
      <w:rFonts w:ascii="Times New Roman" w:eastAsia="Times New Roman" w:hAnsi="Times New Roman" w:cs="Times New Roman"/>
      <w:sz w:val="22"/>
      <w:szCs w:val="24"/>
    </w:rPr>
  </w:style>
  <w:style w:type="character" w:styleId="UnresolvedMention">
    <w:name w:val="Unresolved Mention"/>
    <w:basedOn w:val="DefaultParagraphFont"/>
    <w:uiPriority w:val="99"/>
    <w:semiHidden/>
    <w:unhideWhenUsed/>
    <w:rsid w:val="000E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527">
      <w:bodyDiv w:val="1"/>
      <w:marLeft w:val="0"/>
      <w:marRight w:val="0"/>
      <w:marTop w:val="0"/>
      <w:marBottom w:val="0"/>
      <w:divBdr>
        <w:top w:val="none" w:sz="0" w:space="0" w:color="auto"/>
        <w:left w:val="none" w:sz="0" w:space="0" w:color="auto"/>
        <w:bottom w:val="none" w:sz="0" w:space="0" w:color="auto"/>
        <w:right w:val="none" w:sz="0" w:space="0" w:color="auto"/>
      </w:divBdr>
    </w:div>
    <w:div w:id="68620008">
      <w:bodyDiv w:val="1"/>
      <w:marLeft w:val="0"/>
      <w:marRight w:val="0"/>
      <w:marTop w:val="0"/>
      <w:marBottom w:val="0"/>
      <w:divBdr>
        <w:top w:val="none" w:sz="0" w:space="0" w:color="auto"/>
        <w:left w:val="none" w:sz="0" w:space="0" w:color="auto"/>
        <w:bottom w:val="none" w:sz="0" w:space="0" w:color="auto"/>
        <w:right w:val="none" w:sz="0" w:space="0" w:color="auto"/>
      </w:divBdr>
    </w:div>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24219585">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136930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332614004">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35056432">
      <w:bodyDiv w:val="1"/>
      <w:marLeft w:val="0"/>
      <w:marRight w:val="0"/>
      <w:marTop w:val="0"/>
      <w:marBottom w:val="0"/>
      <w:divBdr>
        <w:top w:val="none" w:sz="0" w:space="0" w:color="auto"/>
        <w:left w:val="none" w:sz="0" w:space="0" w:color="auto"/>
        <w:bottom w:val="none" w:sz="0" w:space="0" w:color="auto"/>
        <w:right w:val="none" w:sz="0" w:space="0" w:color="auto"/>
      </w:divBdr>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477385023">
      <w:bodyDiv w:val="1"/>
      <w:marLeft w:val="0"/>
      <w:marRight w:val="0"/>
      <w:marTop w:val="0"/>
      <w:marBottom w:val="0"/>
      <w:divBdr>
        <w:top w:val="none" w:sz="0" w:space="0" w:color="auto"/>
        <w:left w:val="none" w:sz="0" w:space="0" w:color="auto"/>
        <w:bottom w:val="none" w:sz="0" w:space="0" w:color="auto"/>
        <w:right w:val="none" w:sz="0" w:space="0" w:color="auto"/>
      </w:divBdr>
    </w:div>
    <w:div w:id="567501816">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672535028">
      <w:bodyDiv w:val="1"/>
      <w:marLeft w:val="0"/>
      <w:marRight w:val="0"/>
      <w:marTop w:val="0"/>
      <w:marBottom w:val="0"/>
      <w:divBdr>
        <w:top w:val="none" w:sz="0" w:space="0" w:color="auto"/>
        <w:left w:val="none" w:sz="0" w:space="0" w:color="auto"/>
        <w:bottom w:val="none" w:sz="0" w:space="0" w:color="auto"/>
        <w:right w:val="none" w:sz="0" w:space="0" w:color="auto"/>
      </w:divBdr>
    </w:div>
    <w:div w:id="729690886">
      <w:bodyDiv w:val="1"/>
      <w:marLeft w:val="0"/>
      <w:marRight w:val="0"/>
      <w:marTop w:val="0"/>
      <w:marBottom w:val="0"/>
      <w:divBdr>
        <w:top w:val="none" w:sz="0" w:space="0" w:color="auto"/>
        <w:left w:val="none" w:sz="0" w:space="0" w:color="auto"/>
        <w:bottom w:val="none" w:sz="0" w:space="0" w:color="auto"/>
        <w:right w:val="none" w:sz="0" w:space="0" w:color="auto"/>
      </w:divBdr>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57742096">
      <w:bodyDiv w:val="1"/>
      <w:marLeft w:val="0"/>
      <w:marRight w:val="0"/>
      <w:marTop w:val="0"/>
      <w:marBottom w:val="0"/>
      <w:divBdr>
        <w:top w:val="none" w:sz="0" w:space="0" w:color="auto"/>
        <w:left w:val="none" w:sz="0" w:space="0" w:color="auto"/>
        <w:bottom w:val="none" w:sz="0" w:space="0" w:color="auto"/>
        <w:right w:val="none" w:sz="0" w:space="0" w:color="auto"/>
      </w:divBdr>
    </w:div>
    <w:div w:id="876359101">
      <w:bodyDiv w:val="1"/>
      <w:marLeft w:val="0"/>
      <w:marRight w:val="0"/>
      <w:marTop w:val="0"/>
      <w:marBottom w:val="0"/>
      <w:divBdr>
        <w:top w:val="none" w:sz="0" w:space="0" w:color="auto"/>
        <w:left w:val="none" w:sz="0" w:space="0" w:color="auto"/>
        <w:bottom w:val="none" w:sz="0" w:space="0" w:color="auto"/>
        <w:right w:val="none" w:sz="0" w:space="0" w:color="auto"/>
      </w:divBdr>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027147040">
      <w:bodyDiv w:val="1"/>
      <w:marLeft w:val="0"/>
      <w:marRight w:val="0"/>
      <w:marTop w:val="0"/>
      <w:marBottom w:val="0"/>
      <w:divBdr>
        <w:top w:val="none" w:sz="0" w:space="0" w:color="auto"/>
        <w:left w:val="none" w:sz="0" w:space="0" w:color="auto"/>
        <w:bottom w:val="none" w:sz="0" w:space="0" w:color="auto"/>
        <w:right w:val="none" w:sz="0" w:space="0" w:color="auto"/>
      </w:divBdr>
    </w:div>
    <w:div w:id="1210342581">
      <w:bodyDiv w:val="1"/>
      <w:marLeft w:val="0"/>
      <w:marRight w:val="0"/>
      <w:marTop w:val="0"/>
      <w:marBottom w:val="0"/>
      <w:divBdr>
        <w:top w:val="none" w:sz="0" w:space="0" w:color="auto"/>
        <w:left w:val="none" w:sz="0" w:space="0" w:color="auto"/>
        <w:bottom w:val="none" w:sz="0" w:space="0" w:color="auto"/>
        <w:right w:val="none" w:sz="0" w:space="0" w:color="auto"/>
      </w:divBdr>
    </w:div>
    <w:div w:id="1308165016">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339112408">
      <w:bodyDiv w:val="1"/>
      <w:marLeft w:val="0"/>
      <w:marRight w:val="0"/>
      <w:marTop w:val="0"/>
      <w:marBottom w:val="0"/>
      <w:divBdr>
        <w:top w:val="none" w:sz="0" w:space="0" w:color="auto"/>
        <w:left w:val="none" w:sz="0" w:space="0" w:color="auto"/>
        <w:bottom w:val="none" w:sz="0" w:space="0" w:color="auto"/>
        <w:right w:val="none" w:sz="0" w:space="0" w:color="auto"/>
      </w:divBdr>
    </w:div>
    <w:div w:id="1389065466">
      <w:bodyDiv w:val="1"/>
      <w:marLeft w:val="0"/>
      <w:marRight w:val="0"/>
      <w:marTop w:val="0"/>
      <w:marBottom w:val="0"/>
      <w:divBdr>
        <w:top w:val="none" w:sz="0" w:space="0" w:color="auto"/>
        <w:left w:val="none" w:sz="0" w:space="0" w:color="auto"/>
        <w:bottom w:val="none" w:sz="0" w:space="0" w:color="auto"/>
        <w:right w:val="none" w:sz="0" w:space="0" w:color="auto"/>
      </w:divBdr>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61731472">
      <w:bodyDiv w:val="1"/>
      <w:marLeft w:val="0"/>
      <w:marRight w:val="0"/>
      <w:marTop w:val="0"/>
      <w:marBottom w:val="0"/>
      <w:divBdr>
        <w:top w:val="none" w:sz="0" w:space="0" w:color="auto"/>
        <w:left w:val="none" w:sz="0" w:space="0" w:color="auto"/>
        <w:bottom w:val="none" w:sz="0" w:space="0" w:color="auto"/>
        <w:right w:val="none" w:sz="0" w:space="0" w:color="auto"/>
      </w:divBdr>
    </w:div>
    <w:div w:id="1479153483">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27008740">
      <w:bodyDiv w:val="1"/>
      <w:marLeft w:val="0"/>
      <w:marRight w:val="0"/>
      <w:marTop w:val="0"/>
      <w:marBottom w:val="0"/>
      <w:divBdr>
        <w:top w:val="none" w:sz="0" w:space="0" w:color="auto"/>
        <w:left w:val="none" w:sz="0" w:space="0" w:color="auto"/>
        <w:bottom w:val="none" w:sz="0" w:space="0" w:color="auto"/>
        <w:right w:val="none" w:sz="0" w:space="0" w:color="auto"/>
      </w:divBdr>
    </w:div>
    <w:div w:id="1639535231">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728869682">
      <w:bodyDiv w:val="1"/>
      <w:marLeft w:val="0"/>
      <w:marRight w:val="0"/>
      <w:marTop w:val="0"/>
      <w:marBottom w:val="0"/>
      <w:divBdr>
        <w:top w:val="none" w:sz="0" w:space="0" w:color="auto"/>
        <w:left w:val="none" w:sz="0" w:space="0" w:color="auto"/>
        <w:bottom w:val="none" w:sz="0" w:space="0" w:color="auto"/>
        <w:right w:val="none" w:sz="0" w:space="0" w:color="auto"/>
      </w:divBdr>
    </w:div>
    <w:div w:id="1797867913">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606850">
      <w:bodyDiv w:val="1"/>
      <w:marLeft w:val="0"/>
      <w:marRight w:val="0"/>
      <w:marTop w:val="0"/>
      <w:marBottom w:val="0"/>
      <w:divBdr>
        <w:top w:val="none" w:sz="0" w:space="0" w:color="auto"/>
        <w:left w:val="none" w:sz="0" w:space="0" w:color="auto"/>
        <w:bottom w:val="none" w:sz="0" w:space="0" w:color="auto"/>
        <w:right w:val="none" w:sz="0" w:space="0" w:color="auto"/>
      </w:divBdr>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89145425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1978605907">
      <w:bodyDiv w:val="1"/>
      <w:marLeft w:val="0"/>
      <w:marRight w:val="0"/>
      <w:marTop w:val="0"/>
      <w:marBottom w:val="0"/>
      <w:divBdr>
        <w:top w:val="none" w:sz="0" w:space="0" w:color="auto"/>
        <w:left w:val="none" w:sz="0" w:space="0" w:color="auto"/>
        <w:bottom w:val="none" w:sz="0" w:space="0" w:color="auto"/>
        <w:right w:val="none" w:sz="0" w:space="0" w:color="auto"/>
      </w:divBdr>
    </w:div>
    <w:div w:id="2046127432">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gov/dockets" TargetMode="External"/><Relationship Id="rId18" Type="http://schemas.openxmlformats.org/officeDocument/2006/relationships/hyperlink" Target="http://www.regulations.go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regulations.gov" TargetMode="External"/><Relationship Id="rId7" Type="http://schemas.openxmlformats.org/officeDocument/2006/relationships/styles" Target="styles.xml"/><Relationship Id="rId12" Type="http://schemas.openxmlformats.org/officeDocument/2006/relationships/hyperlink" Target="http://www.regulations.gov" TargetMode="External"/><Relationship Id="rId17" Type="http://schemas.openxmlformats.org/officeDocument/2006/relationships/hyperlink" Target="http://www.ecfr.gov/cgi-bin/retrieveECFR?gp=1&amp;SID=67b7f8b06cce47cf338b3b52057016a4&amp;ty=HTML&amp;h=L&amp;n=5y3.0.2.3.9&amp;r=PAR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rb.ca.gov/toxics/compwood/outreach/11_01_advisory.pdf" TargetMode="External"/><Relationship Id="rId20" Type="http://schemas.openxmlformats.org/officeDocument/2006/relationships/hyperlink" Target="mailto:oira_submission@omb.eop.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cfr.gov/cgi-bin/retrieveECFR?gp=1&amp;SID=67b7f8b06cce47cf338b3b52057016a4&amp;ty=HTML&amp;h=L&amp;n=5y3.0.2.3.9&amp;r=PAR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retrieveECFR?gp=1&amp;SID=67b7f8b06cce47cf338b3b52057016a4&amp;ty=HTML&amp;h=L&amp;n=5y3.0.2.3.9&amp;r=PAR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2019-12-09T16:01:10+00:00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15e4d92-675c-4df7-a5c5-11f59c7da362" xsi:nil="true"/>
    <Records_x0020_Status xmlns="f15e4d92-675c-4df7-a5c5-11f59c7da362">Pending</Records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2821-7AF1-40F4-95BC-D83851C7A497}">
  <ds:schemaRefs>
    <ds:schemaRef ds:uri="Microsoft.SharePoint.Taxonomy.ContentTypeSync"/>
  </ds:schemaRefs>
</ds:datastoreItem>
</file>

<file path=customXml/itemProps2.xml><?xml version="1.0" encoding="utf-8"?>
<ds:datastoreItem xmlns:ds="http://schemas.openxmlformats.org/officeDocument/2006/customXml" ds:itemID="{0DE65A3D-4FEA-41DC-BAF0-CC55B6611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20D80-5EE2-4538-91C0-52700880589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15e4d92-675c-4df7-a5c5-11f59c7da362"/>
  </ds:schemaRefs>
</ds:datastoreItem>
</file>

<file path=customXml/itemProps4.xml><?xml version="1.0" encoding="utf-8"?>
<ds:datastoreItem xmlns:ds="http://schemas.openxmlformats.org/officeDocument/2006/customXml" ds:itemID="{5EC62836-0C20-4B2F-B0E5-8BED7FDB96D7}">
  <ds:schemaRefs>
    <ds:schemaRef ds:uri="http://schemas.microsoft.com/sharepoint/v3/contenttype/forms"/>
  </ds:schemaRefs>
</ds:datastoreItem>
</file>

<file path=customXml/itemProps5.xml><?xml version="1.0" encoding="utf-8"?>
<ds:datastoreItem xmlns:ds="http://schemas.openxmlformats.org/officeDocument/2006/customXml" ds:itemID="{01508323-F174-4546-A77D-5B124026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11660</Words>
  <Characters>66465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 Todd</dc:creator>
  <cp:lastModifiedBy>Schultz, Eric</cp:lastModifiedBy>
  <cp:revision>2</cp:revision>
  <dcterms:created xsi:type="dcterms:W3CDTF">2020-06-02T17:48:00Z</dcterms:created>
  <dcterms:modified xsi:type="dcterms:W3CDTF">2020-06-02T17:48:00Z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