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642B6A" w:rsidR="00642B6A" w:rsidP="00642B6A" w:rsidRDefault="00642B6A" w14:paraId="50F42292" w14:textId="77777777">
      <w:pPr>
        <w:suppressAutoHyphens/>
        <w:jc w:val="center"/>
        <w:rPr>
          <w:rFonts w:eastAsia="Times New Roman" w:cs="Times New Roman"/>
          <w:b/>
          <w:szCs w:val="24"/>
        </w:rPr>
      </w:pPr>
      <w:bookmarkStart w:name="_GoBack" w:id="0"/>
      <w:bookmarkEnd w:id="0"/>
      <w:r w:rsidRPr="00642B6A">
        <w:rPr>
          <w:rFonts w:eastAsia="Times New Roman" w:cs="Times New Roman"/>
          <w:b/>
          <w:szCs w:val="24"/>
        </w:rPr>
        <w:t>SUPPORTING STATEMENT FOR NEW AND</w:t>
      </w:r>
    </w:p>
    <w:p w:rsidRPr="00642B6A" w:rsidR="00642B6A" w:rsidP="00642B6A" w:rsidRDefault="00642B6A" w14:paraId="50F42293" w14:textId="77777777">
      <w:pPr>
        <w:suppressAutoHyphens/>
        <w:spacing w:after="240"/>
        <w:jc w:val="center"/>
        <w:rPr>
          <w:rFonts w:eastAsia="Times New Roman" w:cs="Times New Roman"/>
          <w:b/>
          <w:szCs w:val="24"/>
        </w:rPr>
      </w:pPr>
      <w:r w:rsidRPr="00642B6A">
        <w:rPr>
          <w:rFonts w:eastAsia="Times New Roman" w:cs="Times New Roman"/>
          <w:b/>
          <w:szCs w:val="24"/>
        </w:rPr>
        <w:t>REVISED INFORMATION COLLECTIONS</w:t>
      </w:r>
    </w:p>
    <w:p w:rsidR="00642B6A" w:rsidP="00642B6A" w:rsidRDefault="00642B6A" w14:paraId="50F42294" w14:textId="437CC3C9">
      <w:pPr>
        <w:tabs>
          <w:tab w:val="center" w:pos="4680"/>
        </w:tabs>
        <w:suppressAutoHyphens/>
        <w:spacing w:after="240"/>
        <w:jc w:val="center"/>
        <w:rPr>
          <w:rFonts w:eastAsia="Times New Roman" w:cs="Times New Roman"/>
          <w:b/>
          <w:szCs w:val="24"/>
        </w:rPr>
      </w:pPr>
      <w:r w:rsidRPr="00642B6A">
        <w:rPr>
          <w:rFonts w:eastAsia="Times New Roman" w:cs="Times New Roman"/>
          <w:b/>
          <w:szCs w:val="24"/>
        </w:rPr>
        <w:t xml:space="preserve">OMB CONTROL NUMBER </w:t>
      </w:r>
      <w:r w:rsidRPr="00180982">
        <w:rPr>
          <w:rFonts w:eastAsia="Times New Roman" w:cs="Times New Roman"/>
          <w:b/>
          <w:szCs w:val="24"/>
        </w:rPr>
        <w:t>3038-</w:t>
      </w:r>
      <w:r w:rsidR="00E54279">
        <w:rPr>
          <w:rFonts w:eastAsia="Times New Roman" w:cs="Times New Roman"/>
          <w:b/>
          <w:szCs w:val="24"/>
        </w:rPr>
        <w:t>00</w:t>
      </w:r>
      <w:r w:rsidR="00607B6C">
        <w:rPr>
          <w:rFonts w:eastAsia="Times New Roman" w:cs="Times New Roman"/>
          <w:b/>
          <w:szCs w:val="24"/>
        </w:rPr>
        <w:t>96</w:t>
      </w:r>
    </w:p>
    <w:p w:rsidR="00607B6C" w:rsidP="00DD3B04" w:rsidRDefault="00607B6C" w14:paraId="0C8EB42D" w14:textId="11E1396F">
      <w:pPr>
        <w:spacing w:after="240"/>
        <w:jc w:val="center"/>
        <w:outlineLvl w:val="0"/>
        <w:rPr>
          <w:rFonts w:eastAsia="Times New Roman" w:cs="Times New Roman"/>
          <w:szCs w:val="24"/>
        </w:rPr>
      </w:pPr>
      <w:r w:rsidRPr="00607B6C">
        <w:rPr>
          <w:rFonts w:eastAsia="Times New Roman" w:cs="Times New Roman"/>
          <w:szCs w:val="24"/>
        </w:rPr>
        <w:t>Swap Data Recordkeeping and Reporting Requirements</w:t>
      </w:r>
    </w:p>
    <w:p w:rsidRPr="00642B6A" w:rsidR="00642B6A" w:rsidP="00642B6A" w:rsidRDefault="00642B6A" w14:paraId="50F42296" w14:textId="77777777">
      <w:pPr>
        <w:spacing w:after="240"/>
        <w:outlineLvl w:val="0"/>
        <w:rPr>
          <w:rFonts w:eastAsia="Times New Roman" w:cs="Times New Roman"/>
          <w:b/>
          <w:szCs w:val="24"/>
        </w:rPr>
      </w:pPr>
      <w:r w:rsidRPr="00642B6A">
        <w:rPr>
          <w:rFonts w:eastAsia="Times New Roman" w:cs="Times New Roman"/>
          <w:b/>
          <w:szCs w:val="24"/>
        </w:rPr>
        <w:t>Justification</w:t>
      </w:r>
    </w:p>
    <w:p w:rsidRPr="00642B6A" w:rsidR="00642B6A" w:rsidP="00D945B5" w:rsidRDefault="00642B6A" w14:paraId="50F42297" w14:textId="5EAFA160">
      <w:pPr>
        <w:tabs>
          <w:tab w:val="left" w:pos="-720"/>
          <w:tab w:val="left" w:pos="0"/>
        </w:tabs>
        <w:spacing w:after="240"/>
        <w:ind w:left="720" w:hanging="720"/>
        <w:jc w:val="both"/>
        <w:rPr>
          <w:rFonts w:eastAsia="Times New Roman" w:cs="Times New Roman"/>
          <w:szCs w:val="24"/>
        </w:rPr>
      </w:pPr>
      <w:r w:rsidRPr="00642B6A">
        <w:rPr>
          <w:rFonts w:eastAsia="Times New Roman" w:cs="Times New Roman"/>
          <w:b/>
          <w:szCs w:val="24"/>
        </w:rPr>
        <w:t>1.</w:t>
      </w:r>
      <w:r w:rsidRPr="00642B6A">
        <w:rPr>
          <w:rFonts w:eastAsia="Times New Roman" w:cs="Times New Roman"/>
          <w:b/>
          <w:szCs w:val="24"/>
        </w:rPr>
        <w:tab/>
        <w:t>Explain the circumstances that make the colle</w:t>
      </w:r>
      <w:r w:rsidR="00C83EDF">
        <w:rPr>
          <w:rFonts w:eastAsia="Times New Roman" w:cs="Times New Roman"/>
          <w:b/>
          <w:szCs w:val="24"/>
        </w:rPr>
        <w:t>ction of information necessary.</w:t>
      </w:r>
      <w:r w:rsidRPr="00642B6A">
        <w:rPr>
          <w:rFonts w:eastAsia="Times New Roman" w:cs="Times New Roman"/>
          <w:b/>
          <w:szCs w:val="24"/>
        </w:rPr>
        <w:t xml:space="preserve"> Identify any legal or administrative requirements th</w:t>
      </w:r>
      <w:r w:rsidR="00C83EDF">
        <w:rPr>
          <w:rFonts w:eastAsia="Times New Roman" w:cs="Times New Roman"/>
          <w:b/>
          <w:szCs w:val="24"/>
        </w:rPr>
        <w:t xml:space="preserve">at necessitate the collection. </w:t>
      </w:r>
      <w:r w:rsidRPr="00642B6A">
        <w:rPr>
          <w:rFonts w:eastAsia="Times New Roman" w:cs="Times New Roman"/>
          <w:b/>
          <w:szCs w:val="24"/>
        </w:rPr>
        <w:t>Attach a copy of the appropriate section of each statute and regulation mandating or authorizing the collection of information.</w:t>
      </w:r>
    </w:p>
    <w:p w:rsidRPr="00E54279" w:rsidR="00642B6A" w:rsidP="00E54279" w:rsidRDefault="00607B6C" w14:paraId="50F42298" w14:textId="4889685B">
      <w:pPr>
        <w:tabs>
          <w:tab w:val="left" w:pos="-720"/>
          <w:tab w:val="left" w:pos="0"/>
        </w:tabs>
        <w:spacing w:after="240"/>
        <w:ind w:firstLine="720"/>
        <w:rPr>
          <w:rFonts w:eastAsia="Times New Roman" w:cs="Times New Roman"/>
          <w:szCs w:val="20"/>
        </w:rPr>
      </w:pPr>
      <w:r>
        <w:t>S</w:t>
      </w:r>
      <w:r w:rsidRPr="0073151D">
        <w:t>ection 2(a)(13)(G) of the Commodity Exchange Act (“CEA”</w:t>
      </w:r>
      <w:r>
        <w:t xml:space="preserve">) requires that </w:t>
      </w:r>
      <w:r w:rsidRPr="0073151D">
        <w:t xml:space="preserve">all swaps, whether cleared or </w:t>
      </w:r>
      <w:proofErr w:type="spellStart"/>
      <w:r w:rsidRPr="0073151D">
        <w:t>uncleared</w:t>
      </w:r>
      <w:proofErr w:type="spellEnd"/>
      <w:r w:rsidRPr="0073151D">
        <w:t>, must be reported to SDRs. CEA section 21(b) directs the Commission to prescribe standards for swap data recordkeeping and reporting, which are to apply to both registered entities and cou</w:t>
      </w:r>
      <w:r>
        <w:t>nterparties involved with swaps</w:t>
      </w:r>
      <w:r w:rsidR="00E54279">
        <w:rPr>
          <w:rFonts w:eastAsia="Times New Roman" w:cs="Times New Roman"/>
          <w:szCs w:val="20"/>
        </w:rPr>
        <w:t xml:space="preserve">. </w:t>
      </w:r>
      <w:r w:rsidR="00ED251F">
        <w:rPr>
          <w:rFonts w:eastAsia="Times New Roman" w:cs="Times New Roman"/>
          <w:szCs w:val="20"/>
        </w:rPr>
        <w:t xml:space="preserve">The Commission established these regulations in </w:t>
      </w:r>
      <w:r w:rsidR="00E54279">
        <w:rPr>
          <w:rFonts w:eastAsia="Times New Roman" w:cs="Times New Roman"/>
          <w:szCs w:val="20"/>
        </w:rPr>
        <w:t>Part 4</w:t>
      </w:r>
      <w:r w:rsidR="007C72FB">
        <w:rPr>
          <w:rFonts w:eastAsia="Times New Roman" w:cs="Times New Roman"/>
          <w:szCs w:val="20"/>
        </w:rPr>
        <w:t>5</w:t>
      </w:r>
      <w:r w:rsidR="00E54279">
        <w:rPr>
          <w:rFonts w:eastAsia="Times New Roman" w:cs="Times New Roman"/>
          <w:szCs w:val="20"/>
        </w:rPr>
        <w:t xml:space="preserve"> of the Commission’s regulations</w:t>
      </w:r>
      <w:r w:rsidR="00ED251F">
        <w:rPr>
          <w:rFonts w:eastAsia="Times New Roman" w:cs="Times New Roman"/>
          <w:szCs w:val="20"/>
        </w:rPr>
        <w:t xml:space="preserve">. The regulations </w:t>
      </w:r>
      <w:r w:rsidR="007C72FB">
        <w:rPr>
          <w:rFonts w:eastAsia="Times New Roman" w:cs="Times New Roman"/>
          <w:szCs w:val="20"/>
        </w:rPr>
        <w:t xml:space="preserve">establish swap </w:t>
      </w:r>
      <w:r w:rsidR="00E54279">
        <w:rPr>
          <w:rFonts w:eastAsia="Times New Roman" w:cs="Times New Roman"/>
          <w:szCs w:val="20"/>
        </w:rPr>
        <w:t>reporting</w:t>
      </w:r>
      <w:r w:rsidR="007C72FB">
        <w:rPr>
          <w:rFonts w:eastAsia="Times New Roman" w:cs="Times New Roman"/>
          <w:szCs w:val="20"/>
        </w:rPr>
        <w:t xml:space="preserve"> and recordkeeping requirements for </w:t>
      </w:r>
      <w:r w:rsidR="00E54279">
        <w:rPr>
          <w:rFonts w:eastAsia="Times New Roman" w:cs="Times New Roman"/>
          <w:szCs w:val="20"/>
        </w:rPr>
        <w:t xml:space="preserve">swap execution facilities (“SEFs”), designated contract markets (“DCMs”), swap data repositories (“SDRs”), </w:t>
      </w:r>
      <w:r w:rsidR="004E0A52">
        <w:rPr>
          <w:rFonts w:eastAsia="Times New Roman" w:cs="Times New Roman"/>
          <w:szCs w:val="20"/>
        </w:rPr>
        <w:t>derivatives clearing organizations</w:t>
      </w:r>
      <w:r w:rsidR="006F00A1">
        <w:rPr>
          <w:rFonts w:eastAsia="Times New Roman" w:cs="Times New Roman"/>
          <w:szCs w:val="20"/>
        </w:rPr>
        <w:t xml:space="preserve"> (“DCOs”), </w:t>
      </w:r>
      <w:r w:rsidR="00E54279">
        <w:rPr>
          <w:rFonts w:eastAsia="Times New Roman" w:cs="Times New Roman"/>
          <w:szCs w:val="20"/>
        </w:rPr>
        <w:t>swap dealers (“SDs”), major swap participants (“MSPs”), and non-SD/MSP</w:t>
      </w:r>
      <w:r w:rsidR="006F00A1">
        <w:rPr>
          <w:rFonts w:eastAsia="Times New Roman" w:cs="Times New Roman"/>
          <w:szCs w:val="20"/>
        </w:rPr>
        <w:t>/DCO</w:t>
      </w:r>
      <w:r w:rsidR="00E54279">
        <w:rPr>
          <w:rFonts w:eastAsia="Times New Roman" w:cs="Times New Roman"/>
          <w:szCs w:val="20"/>
        </w:rPr>
        <w:t xml:space="preserve"> counterparties. </w:t>
      </w:r>
    </w:p>
    <w:p w:rsidR="00A02F67" w:rsidP="00A02F67" w:rsidRDefault="00E54279" w14:paraId="7CC1F1F7" w14:textId="706FDC68">
      <w:pPr>
        <w:autoSpaceDE w:val="0"/>
        <w:autoSpaceDN w:val="0"/>
        <w:adjustRightInd w:val="0"/>
        <w:rPr>
          <w:rFonts w:eastAsia="Times New Roman" w:cs="Times New Roman"/>
          <w:color w:val="000000"/>
          <w:szCs w:val="24"/>
        </w:rPr>
      </w:pPr>
      <w:r>
        <w:rPr>
          <w:rFonts w:eastAsia="Times New Roman" w:cs="Times New Roman"/>
          <w:color w:val="000000"/>
          <w:szCs w:val="24"/>
        </w:rPr>
        <w:tab/>
      </w:r>
      <w:r w:rsidR="00ED251F">
        <w:rPr>
          <w:rFonts w:eastAsia="Times New Roman" w:cs="Times New Roman"/>
          <w:color w:val="000000"/>
          <w:szCs w:val="24"/>
        </w:rPr>
        <w:t>The Commission is proposing amendments to Part 4</w:t>
      </w:r>
      <w:r w:rsidR="007C72FB">
        <w:rPr>
          <w:rFonts w:eastAsia="Times New Roman" w:cs="Times New Roman"/>
          <w:color w:val="000000"/>
          <w:szCs w:val="24"/>
        </w:rPr>
        <w:t>5</w:t>
      </w:r>
      <w:r w:rsidR="00ED251F">
        <w:rPr>
          <w:rFonts w:eastAsia="Times New Roman" w:cs="Times New Roman"/>
          <w:color w:val="000000"/>
          <w:szCs w:val="24"/>
        </w:rPr>
        <w:t xml:space="preserve"> to</w:t>
      </w:r>
      <w:r w:rsidRPr="00E54279">
        <w:rPr>
          <w:rFonts w:eastAsia="Times New Roman" w:cs="Times New Roman"/>
          <w:color w:val="000000"/>
          <w:szCs w:val="24"/>
        </w:rPr>
        <w:t xml:space="preserve"> streamline</w:t>
      </w:r>
      <w:r w:rsidR="00A02F67">
        <w:rPr>
          <w:rFonts w:eastAsia="Times New Roman" w:cs="Times New Roman"/>
          <w:color w:val="000000"/>
          <w:szCs w:val="24"/>
        </w:rPr>
        <w:t xml:space="preserve"> reporting requirements</w:t>
      </w:r>
      <w:r w:rsidR="00ED251F">
        <w:rPr>
          <w:rFonts w:eastAsia="Times New Roman" w:cs="Times New Roman"/>
          <w:color w:val="000000"/>
          <w:szCs w:val="24"/>
        </w:rPr>
        <w:t xml:space="preserve"> and clarify and update certain provisions</w:t>
      </w:r>
      <w:r w:rsidRPr="00E54279">
        <w:rPr>
          <w:rFonts w:eastAsia="Times New Roman" w:cs="Times New Roman"/>
          <w:color w:val="000000"/>
          <w:szCs w:val="24"/>
        </w:rPr>
        <w:t>.</w:t>
      </w:r>
      <w:r w:rsidR="00A02F67">
        <w:rPr>
          <w:rFonts w:eastAsia="Calibri" w:cs="Times New Roman"/>
          <w:szCs w:val="24"/>
        </w:rPr>
        <w:t xml:space="preserve"> </w:t>
      </w:r>
      <w:r w:rsidR="00ED251F">
        <w:rPr>
          <w:rFonts w:eastAsia="Times New Roman" w:cs="Times New Roman"/>
          <w:color w:val="000000"/>
          <w:szCs w:val="24"/>
        </w:rPr>
        <w:t>T</w:t>
      </w:r>
      <w:r w:rsidRPr="00A02F67" w:rsidR="00A02F67">
        <w:rPr>
          <w:rFonts w:eastAsia="Times New Roman" w:cs="Times New Roman"/>
          <w:color w:val="000000"/>
          <w:szCs w:val="24"/>
        </w:rPr>
        <w:t xml:space="preserve">he Commission is proposing to revise </w:t>
      </w:r>
      <w:r w:rsidR="00A02F67">
        <w:rPr>
          <w:rFonts w:eastAsia="Times New Roman" w:cs="Times New Roman"/>
          <w:color w:val="000000"/>
          <w:szCs w:val="24"/>
        </w:rPr>
        <w:t>Information Collection 3038-00</w:t>
      </w:r>
      <w:r w:rsidR="007C72FB">
        <w:rPr>
          <w:rFonts w:eastAsia="Times New Roman" w:cs="Times New Roman"/>
          <w:color w:val="000000"/>
          <w:szCs w:val="24"/>
        </w:rPr>
        <w:t>96</w:t>
      </w:r>
      <w:r w:rsidRPr="00A02F67" w:rsidR="00A02F67">
        <w:rPr>
          <w:rFonts w:eastAsia="Times New Roman" w:cs="Times New Roman"/>
          <w:color w:val="000000"/>
          <w:szCs w:val="24"/>
        </w:rPr>
        <w:t xml:space="preserve"> to account for </w:t>
      </w:r>
      <w:r w:rsidR="00ED251F">
        <w:rPr>
          <w:rFonts w:eastAsia="Times New Roman" w:cs="Times New Roman"/>
          <w:color w:val="000000"/>
          <w:szCs w:val="24"/>
        </w:rPr>
        <w:t>any</w:t>
      </w:r>
      <w:r w:rsidRPr="00A02F67" w:rsidR="00ED251F">
        <w:rPr>
          <w:rFonts w:eastAsia="Times New Roman" w:cs="Times New Roman"/>
          <w:color w:val="000000"/>
          <w:szCs w:val="24"/>
        </w:rPr>
        <w:t xml:space="preserve"> </w:t>
      </w:r>
      <w:r w:rsidRPr="00A02F67" w:rsidR="00A02F67">
        <w:rPr>
          <w:rFonts w:eastAsia="Times New Roman" w:cs="Times New Roman"/>
          <w:color w:val="000000"/>
          <w:szCs w:val="24"/>
        </w:rPr>
        <w:t>a</w:t>
      </w:r>
      <w:r w:rsidR="00A02F67">
        <w:rPr>
          <w:rFonts w:eastAsia="Times New Roman" w:cs="Times New Roman"/>
          <w:color w:val="000000"/>
          <w:szCs w:val="24"/>
        </w:rPr>
        <w:t xml:space="preserve">dditions and </w:t>
      </w:r>
      <w:r w:rsidR="00ED251F">
        <w:rPr>
          <w:rFonts w:eastAsia="Times New Roman" w:cs="Times New Roman"/>
          <w:color w:val="000000"/>
          <w:szCs w:val="24"/>
        </w:rPr>
        <w:t>revisions</w:t>
      </w:r>
      <w:r w:rsidR="00A02F67">
        <w:rPr>
          <w:rFonts w:eastAsia="Times New Roman" w:cs="Times New Roman"/>
          <w:color w:val="000000"/>
          <w:szCs w:val="24"/>
        </w:rPr>
        <w:t xml:space="preserve">. </w:t>
      </w:r>
      <w:r w:rsidR="00405AC8">
        <w:rPr>
          <w:rFonts w:eastAsia="Times New Roman" w:cs="Times New Roman"/>
          <w:color w:val="000000"/>
          <w:szCs w:val="24"/>
        </w:rPr>
        <w:t>Some</w:t>
      </w:r>
      <w:r w:rsidRPr="00A02F67" w:rsidR="00A02F67">
        <w:rPr>
          <w:rFonts w:eastAsia="Times New Roman" w:cs="Times New Roman"/>
          <w:color w:val="000000"/>
          <w:szCs w:val="24"/>
        </w:rPr>
        <w:t xml:space="preserve"> information collections discussed in existing </w:t>
      </w:r>
      <w:r w:rsidR="00A02F67">
        <w:rPr>
          <w:rFonts w:eastAsia="Times New Roman" w:cs="Times New Roman"/>
          <w:color w:val="000000"/>
          <w:szCs w:val="24"/>
        </w:rPr>
        <w:t>Information Collection 3038-00</w:t>
      </w:r>
      <w:r w:rsidR="007C72FB">
        <w:rPr>
          <w:rFonts w:eastAsia="Times New Roman" w:cs="Times New Roman"/>
          <w:color w:val="000000"/>
          <w:szCs w:val="24"/>
        </w:rPr>
        <w:t>96</w:t>
      </w:r>
      <w:r w:rsidRPr="00A02F67" w:rsidR="00A02F67">
        <w:rPr>
          <w:rFonts w:eastAsia="Times New Roman" w:cs="Times New Roman"/>
          <w:color w:val="000000"/>
          <w:szCs w:val="24"/>
        </w:rPr>
        <w:t xml:space="preserve"> would not be impacted by the proposed revisions, and the Commission is not proposing to revise the estimated burdens ass</w:t>
      </w:r>
      <w:r w:rsidR="009E356F">
        <w:rPr>
          <w:rFonts w:eastAsia="Times New Roman" w:cs="Times New Roman"/>
          <w:color w:val="000000"/>
          <w:szCs w:val="24"/>
        </w:rPr>
        <w:t>ociated with those collections.</w:t>
      </w:r>
      <w:r w:rsidR="00A261BC">
        <w:rPr>
          <w:rFonts w:eastAsia="Times New Roman" w:cs="Times New Roman"/>
          <w:color w:val="000000"/>
          <w:szCs w:val="24"/>
        </w:rPr>
        <w:t xml:space="preserve"> In other areas, the Commission is proposing updates to correct errors in the current estimated burdens.</w:t>
      </w:r>
      <w:r w:rsidR="00080649">
        <w:rPr>
          <w:rFonts w:eastAsia="Times New Roman" w:cs="Times New Roman"/>
          <w:color w:val="000000"/>
          <w:szCs w:val="24"/>
        </w:rPr>
        <w:t xml:space="preserve">  </w:t>
      </w:r>
    </w:p>
    <w:p w:rsidR="001D4BB9" w:rsidP="009E356F" w:rsidRDefault="001D4BB9" w14:paraId="69453790" w14:textId="77777777">
      <w:pPr>
        <w:autoSpaceDE w:val="0"/>
        <w:autoSpaceDN w:val="0"/>
        <w:adjustRightInd w:val="0"/>
        <w:ind w:firstLine="720"/>
        <w:rPr>
          <w:rFonts w:eastAsia="Times New Roman" w:cs="Times New Roman"/>
          <w:color w:val="000000"/>
          <w:szCs w:val="24"/>
        </w:rPr>
      </w:pPr>
    </w:p>
    <w:p w:rsidR="00624B4F" w:rsidP="00624B4F" w:rsidRDefault="00624B4F" w14:paraId="1FCAAB60" w14:textId="77777777">
      <w:pPr>
        <w:widowControl w:val="0"/>
        <w:autoSpaceDE w:val="0"/>
        <w:autoSpaceDN w:val="0"/>
        <w:adjustRightInd w:val="0"/>
        <w:ind w:firstLine="720"/>
      </w:pPr>
      <w:r>
        <w:t xml:space="preserve">The proposed new or revised </w:t>
      </w:r>
      <w:r w:rsidRPr="008A4ECD">
        <w:t>information collections would affect SDRs</w:t>
      </w:r>
      <w:r>
        <w:t>, SEFs, DCMs, and reporting counterparties</w:t>
      </w:r>
      <w:r w:rsidRPr="008A4ECD">
        <w:t xml:space="preserve"> </w:t>
      </w:r>
      <w:r>
        <w:t>that report swap data for the Commission to perform its regulatory duties of risk monitoring and ensuring compliance with its rules, among other things</w:t>
      </w:r>
      <w:r w:rsidRPr="008A4ECD">
        <w:t>. The Commission is proposing to add or modify information collections for the following regulations:</w:t>
      </w:r>
    </w:p>
    <w:p w:rsidR="00624B4F" w:rsidP="00624B4F" w:rsidRDefault="00624B4F" w14:paraId="3D1D5173" w14:textId="77777777">
      <w:pPr>
        <w:widowControl w:val="0"/>
        <w:autoSpaceDE w:val="0"/>
        <w:autoSpaceDN w:val="0"/>
        <w:adjustRightInd w:val="0"/>
        <w:ind w:firstLine="720"/>
      </w:pPr>
    </w:p>
    <w:p w:rsidRPr="008A4ECD" w:rsidR="00624B4F" w:rsidP="00624B4F" w:rsidRDefault="00624B4F" w14:paraId="28CA7EDF" w14:textId="77777777">
      <w:pPr>
        <w:pStyle w:val="ListParagraph"/>
        <w:numPr>
          <w:ilvl w:val="0"/>
          <w:numId w:val="13"/>
        </w:numPr>
        <w:autoSpaceDE w:val="0"/>
        <w:autoSpaceDN w:val="0"/>
        <w:adjustRightInd w:val="0"/>
        <w:rPr>
          <w:rFonts w:eastAsia="Times New Roman" w:cs="Times New Roman"/>
          <w:color w:val="000000"/>
          <w:szCs w:val="24"/>
        </w:rPr>
      </w:pPr>
      <w:r>
        <w:t>Regulation 45.3 contains the requirements related to required swap creation data reporting when counterparties execute new swaps. The amendments proposed to § 45.3 would eliminate the requirement to send separate confirmation data reports, and would eliminate the requirement for reporting counterparties to report two pieces of information about international swaps.</w:t>
      </w:r>
    </w:p>
    <w:p w:rsidRPr="008A4ECD" w:rsidR="00624B4F" w:rsidP="00624B4F" w:rsidRDefault="00624B4F" w14:paraId="7B71FF89" w14:textId="77777777">
      <w:pPr>
        <w:pStyle w:val="ListParagraph"/>
        <w:autoSpaceDE w:val="0"/>
        <w:autoSpaceDN w:val="0"/>
        <w:adjustRightInd w:val="0"/>
        <w:rPr>
          <w:rFonts w:eastAsia="Times New Roman" w:cs="Times New Roman"/>
          <w:color w:val="000000"/>
          <w:szCs w:val="24"/>
        </w:rPr>
      </w:pPr>
    </w:p>
    <w:p w:rsidR="00624B4F" w:rsidP="00624B4F" w:rsidRDefault="00624B4F" w14:paraId="5F651265" w14:textId="77777777">
      <w:pPr>
        <w:pStyle w:val="ListParagraph"/>
        <w:numPr>
          <w:ilvl w:val="0"/>
          <w:numId w:val="13"/>
        </w:numPr>
        <w:autoSpaceDE w:val="0"/>
        <w:autoSpaceDN w:val="0"/>
        <w:adjustRightInd w:val="0"/>
        <w:rPr>
          <w:rFonts w:eastAsia="Times New Roman" w:cs="Times New Roman"/>
          <w:color w:val="000000"/>
          <w:szCs w:val="24"/>
        </w:rPr>
      </w:pPr>
      <w:r>
        <w:rPr>
          <w:rFonts w:eastAsia="Times New Roman" w:cs="Times New Roman"/>
          <w:color w:val="000000"/>
          <w:szCs w:val="24"/>
        </w:rPr>
        <w:t xml:space="preserve">Regulation 45.4 contains the requirements for reporting changes to swaps after execution, as well as to report daily or quarterly valuation data for swaps. The amendments proposed to § 45.4 would eliminate the option for reporting changes to swaps through </w:t>
      </w:r>
      <w:r>
        <w:rPr>
          <w:rFonts w:eastAsia="Times New Roman" w:cs="Times New Roman"/>
          <w:color w:val="000000"/>
          <w:szCs w:val="24"/>
        </w:rPr>
        <w:lastRenderedPageBreak/>
        <w:t>daily state data reports, and would also eliminate the requirement for non-SD/MSP/DCO reporting counterparties to report valuation data quarterly.</w:t>
      </w:r>
    </w:p>
    <w:p w:rsidRPr="008A4ECD" w:rsidR="00624B4F" w:rsidP="00624B4F" w:rsidRDefault="00624B4F" w14:paraId="437F8E9F" w14:textId="77777777">
      <w:pPr>
        <w:pStyle w:val="ListParagraph"/>
        <w:rPr>
          <w:rFonts w:eastAsia="Times New Roman" w:cs="Times New Roman"/>
          <w:color w:val="000000"/>
          <w:szCs w:val="24"/>
        </w:rPr>
      </w:pPr>
    </w:p>
    <w:p w:rsidR="00624B4F" w:rsidP="00624B4F" w:rsidRDefault="00624B4F" w14:paraId="0F8F531D" w14:textId="77777777">
      <w:pPr>
        <w:pStyle w:val="ListParagraph"/>
        <w:numPr>
          <w:ilvl w:val="0"/>
          <w:numId w:val="13"/>
        </w:numPr>
        <w:autoSpaceDE w:val="0"/>
        <w:autoSpaceDN w:val="0"/>
        <w:adjustRightInd w:val="0"/>
        <w:rPr>
          <w:rFonts w:eastAsia="Times New Roman" w:cs="Times New Roman"/>
          <w:color w:val="000000"/>
          <w:szCs w:val="24"/>
        </w:rPr>
      </w:pPr>
      <w:r>
        <w:rPr>
          <w:rFonts w:eastAsia="Times New Roman" w:cs="Times New Roman"/>
          <w:color w:val="000000"/>
          <w:szCs w:val="24"/>
        </w:rPr>
        <w:t>Regulation 45.5 contains the requirements for reporting identifiers for each swap report. The amendments proposed to § 45.5 would require entities to use unique transaction identifiers (“UTIs”) instead of unique swap identifiers (“USIs”), and would also require non-SD/MSP/DCO reporting counterparties that are financial to generate UTIs instead of SDRs.</w:t>
      </w:r>
    </w:p>
    <w:p w:rsidRPr="008A4ECD" w:rsidR="00624B4F" w:rsidP="00624B4F" w:rsidRDefault="00624B4F" w14:paraId="087441DA" w14:textId="77777777">
      <w:pPr>
        <w:pStyle w:val="ListParagraph"/>
        <w:rPr>
          <w:rFonts w:eastAsia="Times New Roman" w:cs="Times New Roman"/>
          <w:color w:val="000000"/>
          <w:szCs w:val="24"/>
        </w:rPr>
      </w:pPr>
    </w:p>
    <w:p w:rsidR="00624B4F" w:rsidP="00624B4F" w:rsidRDefault="00624B4F" w14:paraId="6F0EF227" w14:textId="77777777">
      <w:pPr>
        <w:pStyle w:val="ListParagraph"/>
        <w:numPr>
          <w:ilvl w:val="0"/>
          <w:numId w:val="13"/>
        </w:numPr>
        <w:autoSpaceDE w:val="0"/>
        <w:autoSpaceDN w:val="0"/>
        <w:adjustRightInd w:val="0"/>
        <w:rPr>
          <w:rFonts w:eastAsia="Times New Roman" w:cs="Times New Roman"/>
          <w:color w:val="000000"/>
          <w:szCs w:val="24"/>
        </w:rPr>
      </w:pPr>
      <w:r>
        <w:rPr>
          <w:rFonts w:eastAsia="Times New Roman" w:cs="Times New Roman"/>
          <w:color w:val="000000"/>
          <w:szCs w:val="24"/>
        </w:rPr>
        <w:t>Regulation 45.6 contains the requirements for each entity to be identified in all swap reports by a legal entity identifier (“LEI”). The amendments proposed to § 45.6 would require certain entities to renew their LEIs, in addition to obtaining and having an LEI.</w:t>
      </w:r>
    </w:p>
    <w:p w:rsidRPr="008A4ECD" w:rsidR="00624B4F" w:rsidP="00624B4F" w:rsidRDefault="00624B4F" w14:paraId="2B6CB795" w14:textId="77777777">
      <w:pPr>
        <w:pStyle w:val="ListParagraph"/>
        <w:rPr>
          <w:rFonts w:eastAsia="Times New Roman" w:cs="Times New Roman"/>
          <w:color w:val="000000"/>
          <w:szCs w:val="24"/>
        </w:rPr>
      </w:pPr>
    </w:p>
    <w:p w:rsidRPr="00624B4F" w:rsidR="003B1162" w:rsidP="00624B4F" w:rsidRDefault="00624B4F" w14:paraId="375C8D77" w14:textId="2DEB939D">
      <w:pPr>
        <w:pStyle w:val="ListParagraph"/>
        <w:numPr>
          <w:ilvl w:val="0"/>
          <w:numId w:val="13"/>
        </w:numPr>
        <w:autoSpaceDE w:val="0"/>
        <w:autoSpaceDN w:val="0"/>
        <w:adjustRightInd w:val="0"/>
        <w:rPr>
          <w:bCs/>
        </w:rPr>
      </w:pPr>
      <w:r w:rsidRPr="00624B4F">
        <w:rPr>
          <w:rFonts w:eastAsia="Times New Roman" w:cs="Times New Roman"/>
          <w:color w:val="000000"/>
          <w:szCs w:val="24"/>
        </w:rPr>
        <w:t>Regulation 45.10 contains the requirements for reporting swaps to a single SDR. The amendments proposed to § 45.10 would permit reporting counterparties to change SDRs, subject to certain notification requirements.</w:t>
      </w:r>
    </w:p>
    <w:p w:rsidRPr="0066471D" w:rsidR="006961A9" w:rsidP="006961A9" w:rsidRDefault="006961A9" w14:paraId="31AF8453" w14:textId="0ECA764F">
      <w:pPr>
        <w:autoSpaceDE w:val="0"/>
        <w:autoSpaceDN w:val="0"/>
        <w:adjustRightInd w:val="0"/>
        <w:rPr>
          <w:rFonts w:eastAsia="Times New Roman" w:cs="Times New Roman"/>
          <w:color w:val="000000"/>
          <w:szCs w:val="24"/>
        </w:rPr>
      </w:pPr>
    </w:p>
    <w:p w:rsidRPr="00B86819" w:rsidR="00642B6A" w:rsidP="00FE503D" w:rsidRDefault="00642B6A" w14:paraId="50F4229A" w14:textId="313EBC04">
      <w:pPr>
        <w:tabs>
          <w:tab w:val="left" w:pos="-720"/>
        </w:tabs>
        <w:spacing w:after="240"/>
        <w:ind w:left="720" w:hanging="720"/>
        <w:jc w:val="both"/>
        <w:rPr>
          <w:rFonts w:eastAsia="Times New Roman" w:cs="Times New Roman"/>
          <w:b/>
          <w:szCs w:val="24"/>
        </w:rPr>
      </w:pPr>
      <w:r w:rsidRPr="00B86819">
        <w:rPr>
          <w:rFonts w:eastAsia="Times New Roman" w:cs="Times New Roman"/>
          <w:b/>
          <w:szCs w:val="24"/>
        </w:rPr>
        <w:t>2.</w:t>
      </w:r>
      <w:r w:rsidRPr="00B86819">
        <w:rPr>
          <w:rFonts w:eastAsia="Times New Roman" w:cs="Times New Roman"/>
          <w:b/>
          <w:szCs w:val="24"/>
        </w:rPr>
        <w:tab/>
        <w:t>Indicate how, by whom, and for what p</w:t>
      </w:r>
      <w:r w:rsidR="00C83EDF">
        <w:rPr>
          <w:rFonts w:eastAsia="Times New Roman" w:cs="Times New Roman"/>
          <w:b/>
          <w:szCs w:val="24"/>
        </w:rPr>
        <w:t xml:space="preserve">urpose the data would be used. </w:t>
      </w:r>
      <w:r w:rsidRPr="00B86819">
        <w:rPr>
          <w:rFonts w:eastAsia="Times New Roman" w:cs="Times New Roman"/>
          <w:b/>
          <w:szCs w:val="24"/>
        </w:rPr>
        <w:t>Except for a new collection, indicate the actual use the agency has made of the information received from the current collection.</w:t>
      </w:r>
    </w:p>
    <w:p w:rsidR="00642B6A" w:rsidP="001577B2" w:rsidRDefault="009E356F" w14:paraId="50F4229B" w14:textId="7910432C">
      <w:pPr>
        <w:rPr>
          <w:rFonts w:eastAsia="Times New Roman" w:cs="Times New Roman"/>
          <w:color w:val="000000"/>
          <w:szCs w:val="24"/>
        </w:rPr>
      </w:pPr>
      <w:r>
        <w:rPr>
          <w:rFonts w:eastAsia="Times New Roman" w:cs="Times New Roman"/>
          <w:color w:val="000000"/>
          <w:szCs w:val="24"/>
        </w:rPr>
        <w:tab/>
        <w:t xml:space="preserve">The Commission’s regulations in </w:t>
      </w:r>
      <w:r w:rsidR="00DD3B04">
        <w:rPr>
          <w:rFonts w:eastAsia="Times New Roman" w:cs="Times New Roman"/>
          <w:color w:val="000000"/>
          <w:szCs w:val="24"/>
        </w:rPr>
        <w:t>P</w:t>
      </w:r>
      <w:r>
        <w:rPr>
          <w:rFonts w:eastAsia="Times New Roman" w:cs="Times New Roman"/>
          <w:color w:val="000000"/>
          <w:szCs w:val="24"/>
        </w:rPr>
        <w:t>art 4</w:t>
      </w:r>
      <w:r w:rsidR="0035705B">
        <w:rPr>
          <w:rFonts w:eastAsia="Times New Roman" w:cs="Times New Roman"/>
          <w:color w:val="000000"/>
          <w:szCs w:val="24"/>
        </w:rPr>
        <w:t>5</w:t>
      </w:r>
      <w:r>
        <w:rPr>
          <w:rFonts w:eastAsia="Times New Roman" w:cs="Times New Roman"/>
          <w:color w:val="000000"/>
          <w:szCs w:val="24"/>
        </w:rPr>
        <w:t xml:space="preserve"> require SEFs, DCMs, and reporting counterparties to report swap </w:t>
      </w:r>
      <w:r w:rsidR="0035705B">
        <w:rPr>
          <w:rFonts w:eastAsia="Times New Roman" w:cs="Times New Roman"/>
          <w:color w:val="000000"/>
          <w:szCs w:val="24"/>
        </w:rPr>
        <w:t xml:space="preserve">data </w:t>
      </w:r>
      <w:r>
        <w:rPr>
          <w:rFonts w:eastAsia="Times New Roman" w:cs="Times New Roman"/>
          <w:color w:val="000000"/>
          <w:szCs w:val="24"/>
        </w:rPr>
        <w:t xml:space="preserve">to SDRs. The SDRs provide this data to the Commission directly. The Commission </w:t>
      </w:r>
      <w:r w:rsidR="0035705B">
        <w:rPr>
          <w:rFonts w:eastAsia="Times New Roman" w:cs="Times New Roman"/>
          <w:color w:val="000000"/>
          <w:szCs w:val="24"/>
        </w:rPr>
        <w:t xml:space="preserve">uses </w:t>
      </w:r>
      <w:r>
        <w:rPr>
          <w:rFonts w:eastAsia="Times New Roman" w:cs="Times New Roman"/>
          <w:color w:val="000000"/>
          <w:szCs w:val="24"/>
        </w:rPr>
        <w:t>swap data in connection with fulfilling its regulatory duties.</w:t>
      </w:r>
    </w:p>
    <w:p w:rsidRPr="00B86819" w:rsidR="00B46731" w:rsidP="001577B2" w:rsidRDefault="00B46731" w14:paraId="0E543588" w14:textId="77777777">
      <w:pPr>
        <w:rPr>
          <w:rFonts w:eastAsia="Times New Roman" w:cs="Times New Roman"/>
          <w:color w:val="000000"/>
          <w:szCs w:val="24"/>
        </w:rPr>
      </w:pPr>
    </w:p>
    <w:p w:rsidRPr="00642B6A" w:rsidR="00642B6A" w:rsidP="00FE503D" w:rsidRDefault="00642B6A" w14:paraId="50F4229C" w14:textId="01173A35">
      <w:pPr>
        <w:keepNext/>
        <w:tabs>
          <w:tab w:val="left" w:pos="-720"/>
          <w:tab w:val="left" w:pos="0"/>
        </w:tabs>
        <w:spacing w:after="240"/>
        <w:ind w:left="720" w:hanging="720"/>
        <w:jc w:val="both"/>
        <w:rPr>
          <w:rFonts w:eastAsia="Times New Roman" w:cs="Times New Roman"/>
          <w:b/>
          <w:szCs w:val="24"/>
        </w:rPr>
      </w:pPr>
      <w:r w:rsidRPr="00B86819">
        <w:rPr>
          <w:rFonts w:eastAsia="Times New Roman" w:cs="Times New Roman"/>
          <w:b/>
          <w:szCs w:val="24"/>
        </w:rPr>
        <w:t>3.</w:t>
      </w:r>
      <w:r w:rsidRPr="00B86819">
        <w:rPr>
          <w:rFonts w:eastAsia="Times New Roman" w:cs="Times New Roman"/>
          <w:b/>
          <w:szCs w:val="24"/>
        </w:rPr>
        <w:tab/>
        <w:t>Describe whether, and to what extent, the collection of information involves the use of automated, electronic, mechanical, or other technological collection techniques or other</w:t>
      </w:r>
      <w:r w:rsidRPr="00642B6A">
        <w:rPr>
          <w:rFonts w:eastAsia="Times New Roman" w:cs="Times New Roman"/>
          <w:b/>
          <w:szCs w:val="24"/>
        </w:rPr>
        <w:t xml:space="preserve"> forms of information technology, e.g. permitting electronic submission of responses, and the basis for the decision for adop</w:t>
      </w:r>
      <w:r w:rsidR="00C83EDF">
        <w:rPr>
          <w:rFonts w:eastAsia="Times New Roman" w:cs="Times New Roman"/>
          <w:b/>
          <w:szCs w:val="24"/>
        </w:rPr>
        <w:t xml:space="preserve">ting this means of collection. </w:t>
      </w:r>
      <w:r w:rsidRPr="00642B6A">
        <w:rPr>
          <w:rFonts w:eastAsia="Times New Roman" w:cs="Times New Roman"/>
          <w:b/>
          <w:szCs w:val="24"/>
        </w:rPr>
        <w:t>Also describe any consideration of using information technology to reduce burden.</w:t>
      </w:r>
    </w:p>
    <w:p w:rsidRPr="00642B6A" w:rsidR="00642B6A" w:rsidP="00AD0896" w:rsidRDefault="00836741" w14:paraId="50F4229D" w14:textId="2BD4A72D">
      <w:pPr>
        <w:tabs>
          <w:tab w:val="left" w:pos="-720"/>
          <w:tab w:val="left" w:pos="0"/>
        </w:tabs>
        <w:spacing w:after="240"/>
        <w:rPr>
          <w:rFonts w:eastAsia="Times New Roman" w:cs="Times New Roman"/>
          <w:szCs w:val="24"/>
        </w:rPr>
      </w:pPr>
      <w:r>
        <w:rPr>
          <w:rFonts w:eastAsia="Times New Roman" w:cs="Times New Roman"/>
          <w:szCs w:val="24"/>
        </w:rPr>
        <w:tab/>
      </w:r>
      <w:r w:rsidRPr="00B46731" w:rsidR="00B46731">
        <w:rPr>
          <w:rFonts w:eastAsia="Times New Roman" w:cs="Times New Roman"/>
          <w:szCs w:val="24"/>
        </w:rPr>
        <w:t xml:space="preserve">All of the current and proposed information collections within Information Collection </w:t>
      </w:r>
      <w:r w:rsidR="00B46731">
        <w:rPr>
          <w:rFonts w:eastAsia="Times New Roman" w:cs="Times New Roman"/>
          <w:szCs w:val="24"/>
        </w:rPr>
        <w:t>3038-00</w:t>
      </w:r>
      <w:r w:rsidR="00330578">
        <w:rPr>
          <w:rFonts w:eastAsia="Times New Roman" w:cs="Times New Roman"/>
          <w:szCs w:val="24"/>
        </w:rPr>
        <w:t>96</w:t>
      </w:r>
      <w:r w:rsidRPr="00B46731" w:rsidR="00B46731">
        <w:rPr>
          <w:rFonts w:eastAsia="Times New Roman" w:cs="Times New Roman"/>
          <w:szCs w:val="24"/>
        </w:rPr>
        <w:t xml:space="preserve"> involve the use of electronic collection protocols. All required data submissions to the Commission must be electronic.</w:t>
      </w:r>
    </w:p>
    <w:p w:rsidRPr="00642B6A" w:rsidR="00642B6A" w:rsidP="00FE503D" w:rsidRDefault="00642B6A" w14:paraId="50F4229E" w14:textId="55961634">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4.</w:t>
      </w:r>
      <w:r w:rsidRPr="00642B6A">
        <w:rPr>
          <w:rFonts w:eastAsia="Times New Roman" w:cs="Times New Roman"/>
          <w:b/>
          <w:szCs w:val="24"/>
        </w:rPr>
        <w:tab/>
        <w:t>Describe ef</w:t>
      </w:r>
      <w:r w:rsidR="00C83EDF">
        <w:rPr>
          <w:rFonts w:eastAsia="Times New Roman" w:cs="Times New Roman"/>
          <w:b/>
          <w:szCs w:val="24"/>
        </w:rPr>
        <w:t xml:space="preserve">forts to identify duplication. </w:t>
      </w:r>
      <w:r w:rsidRPr="00642B6A">
        <w:rPr>
          <w:rFonts w:eastAsia="Times New Roman" w:cs="Times New Roman"/>
          <w:b/>
          <w:szCs w:val="24"/>
        </w:rPr>
        <w:t>Show specifically why any similar information already available cannot be used or modified for use for the purposes described in Item 2 above.</w:t>
      </w:r>
    </w:p>
    <w:p w:rsidRPr="00AD0896" w:rsidR="00642B6A" w:rsidP="00AD0896" w:rsidRDefault="00642B6A" w14:paraId="50F4229F" w14:textId="4CA317E5">
      <w:pPr>
        <w:tabs>
          <w:tab w:val="left" w:pos="-720"/>
        </w:tabs>
        <w:spacing w:after="240"/>
        <w:rPr>
          <w:rFonts w:eastAsia="Times New Roman" w:cs="Times New Roman"/>
          <w:b/>
          <w:szCs w:val="24"/>
        </w:rPr>
      </w:pPr>
      <w:r w:rsidRPr="00642B6A">
        <w:rPr>
          <w:rFonts w:eastAsia="Times New Roman" w:cs="Times New Roman"/>
          <w:szCs w:val="24"/>
        </w:rPr>
        <w:tab/>
      </w:r>
      <w:r w:rsidRPr="00AD0896" w:rsidR="00AD0896">
        <w:rPr>
          <w:rFonts w:eastAsia="Times New Roman" w:cs="Times New Roman"/>
          <w:szCs w:val="24"/>
        </w:rPr>
        <w:t xml:space="preserve">The information </w:t>
      </w:r>
      <w:r w:rsidR="00AD0896">
        <w:rPr>
          <w:rFonts w:eastAsia="Times New Roman" w:cs="Times New Roman"/>
          <w:szCs w:val="24"/>
        </w:rPr>
        <w:t>collected pursuant to part 4</w:t>
      </w:r>
      <w:r w:rsidR="00330578">
        <w:rPr>
          <w:rFonts w:eastAsia="Times New Roman" w:cs="Times New Roman"/>
          <w:szCs w:val="24"/>
        </w:rPr>
        <w:t>5</w:t>
      </w:r>
      <w:r w:rsidRPr="00AD0896" w:rsidR="00AD0896">
        <w:rPr>
          <w:rFonts w:eastAsia="Times New Roman" w:cs="Times New Roman"/>
          <w:szCs w:val="24"/>
        </w:rPr>
        <w:t xml:space="preserve"> of the Commission’s regulations is not already collected by the Commission or other regulator</w:t>
      </w:r>
      <w:r w:rsidR="00755D76">
        <w:rPr>
          <w:rFonts w:eastAsia="Times New Roman" w:cs="Times New Roman"/>
          <w:szCs w:val="24"/>
        </w:rPr>
        <w:t>s</w:t>
      </w:r>
      <w:r w:rsidRPr="00AD0896" w:rsidR="00AD0896">
        <w:rPr>
          <w:rFonts w:eastAsia="Times New Roman" w:cs="Times New Roman"/>
          <w:szCs w:val="24"/>
        </w:rPr>
        <w:t xml:space="preserve"> for any other purpose and is not publicly available through </w:t>
      </w:r>
      <w:r w:rsidR="00AD0896">
        <w:rPr>
          <w:rFonts w:eastAsia="Times New Roman" w:cs="Times New Roman"/>
          <w:szCs w:val="24"/>
        </w:rPr>
        <w:t xml:space="preserve">another source. The </w:t>
      </w:r>
      <w:r w:rsidR="00330578">
        <w:rPr>
          <w:rFonts w:eastAsia="Times New Roman" w:cs="Times New Roman"/>
          <w:szCs w:val="24"/>
        </w:rPr>
        <w:t xml:space="preserve">swap </w:t>
      </w:r>
      <w:r w:rsidR="00AD0896">
        <w:rPr>
          <w:rFonts w:eastAsia="Times New Roman" w:cs="Times New Roman"/>
          <w:szCs w:val="24"/>
        </w:rPr>
        <w:t xml:space="preserve">data </w:t>
      </w:r>
      <w:r w:rsidRPr="00AD0896" w:rsidR="00AD0896">
        <w:rPr>
          <w:rFonts w:eastAsia="Times New Roman" w:cs="Times New Roman"/>
          <w:szCs w:val="24"/>
        </w:rPr>
        <w:t>is unique and no other similar</w:t>
      </w:r>
      <w:r w:rsidR="00330578">
        <w:rPr>
          <w:rFonts w:eastAsia="Times New Roman" w:cs="Times New Roman"/>
          <w:szCs w:val="24"/>
        </w:rPr>
        <w:t xml:space="preserve"> transaction-level</w:t>
      </w:r>
      <w:r w:rsidRPr="00AD0896" w:rsidR="00AD0896">
        <w:rPr>
          <w:rFonts w:eastAsia="Times New Roman" w:cs="Times New Roman"/>
          <w:szCs w:val="24"/>
        </w:rPr>
        <w:t xml:space="preserve"> information is available. There are no other existing regulations that could be modified to serve a similar purpose in any practical way.</w:t>
      </w:r>
    </w:p>
    <w:p w:rsidRPr="00642B6A" w:rsidR="00642B6A" w:rsidP="00FE503D" w:rsidRDefault="00642B6A" w14:paraId="50F422A0" w14:textId="77777777">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5.</w:t>
      </w:r>
      <w:r w:rsidRPr="00642B6A">
        <w:rPr>
          <w:rFonts w:eastAsia="Times New Roman" w:cs="Times New Roman"/>
          <w:b/>
          <w:szCs w:val="24"/>
        </w:rPr>
        <w:tab/>
        <w:t>If the collection of information involves small business or other small entities (Item 5 of OMB From 83-I), describe the methods used to minimize burden.</w:t>
      </w:r>
    </w:p>
    <w:p w:rsidRPr="00642B6A" w:rsidR="00642B6A" w:rsidP="00AD0896" w:rsidRDefault="00642B6A" w14:paraId="50F422A1" w14:textId="46DE0F9F">
      <w:pPr>
        <w:tabs>
          <w:tab w:val="left" w:pos="-720"/>
        </w:tabs>
        <w:spacing w:after="240"/>
        <w:rPr>
          <w:rFonts w:eastAsia="Times New Roman" w:cs="Times New Roman"/>
          <w:szCs w:val="24"/>
        </w:rPr>
      </w:pPr>
      <w:r w:rsidRPr="00642B6A">
        <w:rPr>
          <w:rFonts w:eastAsia="Times New Roman" w:cs="Times New Roman"/>
          <w:szCs w:val="24"/>
        </w:rPr>
        <w:lastRenderedPageBreak/>
        <w:tab/>
      </w:r>
      <w:r w:rsidRPr="00AD0896" w:rsidR="00AD0896">
        <w:rPr>
          <w:rFonts w:eastAsia="Times New Roman" w:cs="Times New Roman"/>
          <w:szCs w:val="24"/>
        </w:rPr>
        <w:t>This collection of information would not involve any small busines</w:t>
      </w:r>
      <w:r w:rsidR="00AD0896">
        <w:rPr>
          <w:rFonts w:eastAsia="Times New Roman" w:cs="Times New Roman"/>
          <w:szCs w:val="24"/>
        </w:rPr>
        <w:t xml:space="preserve">s or other small entities. The Commission has previously established that </w:t>
      </w:r>
      <w:r w:rsidRPr="00E010A4" w:rsidR="00E010A4">
        <w:rPr>
          <w:rFonts w:eastAsia="Times New Roman" w:cs="Times New Roman"/>
          <w:szCs w:val="24"/>
        </w:rPr>
        <w:t>DCMs, DCOs, MSPs, SDs, SDRs, and SEFs are not small entities. In addition, based on its review of publicly available data, the Commission believes that the overwhelming majority of non-SD/MSP/DCO reporting counterparties affected by this proposed rulemaking are eligible contract participants (“ECPs”) that the Commission has previously determined are not small entities or do not otherwise meet the definition of “small entity.” Accordingly, the Commission does not believe that this collection of information would affect a substantial number of small entities</w:t>
      </w:r>
      <w:r w:rsidR="00AD0896">
        <w:rPr>
          <w:rFonts w:eastAsia="Times New Roman" w:cs="Times New Roman"/>
          <w:szCs w:val="24"/>
        </w:rPr>
        <w:t>.</w:t>
      </w:r>
    </w:p>
    <w:p w:rsidRPr="00642B6A" w:rsidR="00642B6A" w:rsidP="00FE503D" w:rsidRDefault="00642B6A" w14:paraId="50F422A2" w14:textId="77777777">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6.</w:t>
      </w:r>
      <w:r w:rsidRPr="00642B6A">
        <w:rPr>
          <w:rFonts w:eastAsia="Times New Roman" w:cs="Times New Roman"/>
          <w:b/>
          <w:szCs w:val="24"/>
        </w:rPr>
        <w:tab/>
        <w:t>Describe the consequence to the Federal Program or policy activities if the collection were conducted less frequently as well as any technical or legal obstacles to reducing burden.</w:t>
      </w:r>
    </w:p>
    <w:p w:rsidRPr="00AD0896" w:rsidR="00AD0896" w:rsidP="00AD0896" w:rsidRDefault="00AD0896" w14:paraId="46B6C82E" w14:textId="61A36AFB">
      <w:pPr>
        <w:ind w:firstLine="720"/>
        <w:rPr>
          <w:rFonts w:eastAsia="Times New Roman" w:cs="Times New Roman"/>
          <w:color w:val="000000"/>
          <w:szCs w:val="24"/>
        </w:rPr>
      </w:pPr>
      <w:r>
        <w:rPr>
          <w:rFonts w:eastAsia="Times New Roman" w:cs="Times New Roman"/>
          <w:color w:val="000000"/>
          <w:szCs w:val="24"/>
        </w:rPr>
        <w:t xml:space="preserve">Without the required frequency of reporting set forth in the Commission’s regulations, </w:t>
      </w:r>
      <w:r w:rsidR="00330578">
        <w:rPr>
          <w:rFonts w:eastAsia="Times New Roman" w:cs="Times New Roman"/>
          <w:color w:val="000000"/>
          <w:szCs w:val="24"/>
        </w:rPr>
        <w:t>the Commission would be unable to fulfill its regulatory mandate of monitoring systemic risk.</w:t>
      </w:r>
    </w:p>
    <w:p w:rsidRPr="00642B6A" w:rsidR="00642B6A" w:rsidP="00642B6A" w:rsidRDefault="00642B6A" w14:paraId="50F422A3" w14:textId="77777777">
      <w:pPr>
        <w:ind w:firstLine="720"/>
        <w:rPr>
          <w:rFonts w:eastAsia="Times New Roman" w:cs="Times New Roman"/>
          <w:color w:val="000000"/>
          <w:szCs w:val="24"/>
        </w:rPr>
      </w:pPr>
    </w:p>
    <w:p w:rsidRPr="00642B6A" w:rsidR="00642B6A" w:rsidP="00FE503D" w:rsidRDefault="00642B6A" w14:paraId="50F422A4" w14:textId="77777777">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7.</w:t>
      </w:r>
      <w:r w:rsidRPr="00642B6A">
        <w:rPr>
          <w:rFonts w:eastAsia="Times New Roman" w:cs="Times New Roman"/>
          <w:b/>
          <w:szCs w:val="24"/>
        </w:rPr>
        <w:tab/>
        <w:t>Explain any special circumstances that require the collection to be conducted in a manner:</w:t>
      </w:r>
    </w:p>
    <w:p w:rsidRPr="00642B6A" w:rsidR="00642B6A" w:rsidP="00FE503D" w:rsidRDefault="00642B6A" w14:paraId="50F422A5" w14:textId="7777777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requiring respondents to report information to the agency more often than quarterly;</w:t>
      </w:r>
    </w:p>
    <w:p w:rsidRPr="00642B6A" w:rsidR="00642B6A" w:rsidP="00642B6A" w:rsidRDefault="00642B6A" w14:paraId="50F422A6" w14:textId="554C028A">
      <w:pPr>
        <w:tabs>
          <w:tab w:val="left" w:pos="-720"/>
        </w:tabs>
        <w:spacing w:after="240"/>
        <w:rPr>
          <w:rFonts w:eastAsia="Times New Roman" w:cs="Times New Roman"/>
          <w:szCs w:val="24"/>
        </w:rPr>
      </w:pPr>
      <w:r w:rsidRPr="00642B6A">
        <w:rPr>
          <w:rFonts w:eastAsia="Times New Roman" w:cs="Times New Roman"/>
          <w:szCs w:val="24"/>
        </w:rPr>
        <w:tab/>
      </w:r>
      <w:r w:rsidR="00330578">
        <w:rPr>
          <w:rFonts w:eastAsia="Times New Roman" w:cs="Times New Roman"/>
          <w:szCs w:val="24"/>
        </w:rPr>
        <w:t>Swap data</w:t>
      </w:r>
      <w:r w:rsidR="009402E6">
        <w:rPr>
          <w:rFonts w:eastAsia="Times New Roman" w:cs="Times New Roman"/>
          <w:szCs w:val="24"/>
        </w:rPr>
        <w:t xml:space="preserve"> is not required to be reported to the Commission.</w:t>
      </w:r>
    </w:p>
    <w:p w:rsidRPr="00642B6A" w:rsidR="00642B6A" w:rsidP="00FE503D" w:rsidRDefault="00642B6A" w14:paraId="50F422A7" w14:textId="77777777">
      <w:pPr>
        <w:numPr>
          <w:ilvl w:val="0"/>
          <w:numId w:val="1"/>
        </w:numPr>
        <w:tabs>
          <w:tab w:val="clear" w:pos="936"/>
          <w:tab w:val="left" w:pos="-720"/>
          <w:tab w:val="left" w:pos="0"/>
          <w:tab w:val="left" w:pos="720"/>
        </w:tabs>
        <w:spacing w:after="240"/>
        <w:ind w:left="1080" w:hanging="360"/>
        <w:jc w:val="both"/>
        <w:rPr>
          <w:rFonts w:eastAsia="Times New Roman" w:cs="Times New Roman"/>
          <w:szCs w:val="24"/>
        </w:rPr>
      </w:pPr>
      <w:r w:rsidRPr="00642B6A">
        <w:rPr>
          <w:rFonts w:eastAsia="Times New Roman" w:cs="Times New Roman"/>
          <w:b/>
          <w:szCs w:val="24"/>
        </w:rPr>
        <w:t xml:space="preserve">requiring respondents to prepare a written response to a collection of </w:t>
      </w:r>
      <w:r w:rsidRPr="003607A6">
        <w:rPr>
          <w:rFonts w:eastAsia="Times New Roman" w:cs="Times New Roman"/>
          <w:b/>
          <w:szCs w:val="24"/>
        </w:rPr>
        <w:t>information in fewer than 30 days after receipt of it:</w:t>
      </w:r>
    </w:p>
    <w:p w:rsidRPr="00642B6A" w:rsidR="00642B6A" w:rsidP="00642B6A" w:rsidRDefault="00ED251F" w14:paraId="50F422A8" w14:textId="0B2F9EE9">
      <w:pPr>
        <w:tabs>
          <w:tab w:val="left" w:pos="-720"/>
          <w:tab w:val="left" w:pos="0"/>
          <w:tab w:val="left" w:pos="720"/>
        </w:tabs>
        <w:spacing w:after="240"/>
        <w:rPr>
          <w:rFonts w:eastAsia="Times New Roman" w:cs="Times New Roman"/>
          <w:szCs w:val="24"/>
        </w:rPr>
      </w:pPr>
      <w:r>
        <w:rPr>
          <w:rFonts w:eastAsia="Times New Roman" w:cs="Times New Roman"/>
          <w:szCs w:val="24"/>
        </w:rPr>
        <w:tab/>
      </w:r>
      <w:r w:rsidR="009402E6">
        <w:rPr>
          <w:rFonts w:eastAsia="Times New Roman" w:cs="Times New Roman"/>
          <w:szCs w:val="24"/>
        </w:rPr>
        <w:t>This does not apply.</w:t>
      </w:r>
    </w:p>
    <w:p w:rsidRPr="00642B6A" w:rsidR="00642B6A" w:rsidP="00FE503D" w:rsidRDefault="00642B6A" w14:paraId="50F422A9" w14:textId="7777777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requiring respondents to submit more tha</w:t>
      </w:r>
      <w:r w:rsidR="007F27F5">
        <w:rPr>
          <w:rFonts w:eastAsia="Times New Roman" w:cs="Times New Roman"/>
          <w:b/>
          <w:szCs w:val="24"/>
        </w:rPr>
        <w:t>n</w:t>
      </w:r>
      <w:r w:rsidRPr="00642B6A">
        <w:rPr>
          <w:rFonts w:eastAsia="Times New Roman" w:cs="Times New Roman"/>
          <w:b/>
          <w:szCs w:val="24"/>
        </w:rPr>
        <w:t xml:space="preserve"> an original and two copies of any document;</w:t>
      </w:r>
    </w:p>
    <w:p w:rsidRPr="00642B6A" w:rsidR="00642B6A" w:rsidP="00AD0896" w:rsidRDefault="00747BF5" w14:paraId="50F422AA" w14:textId="6EA1E273">
      <w:pPr>
        <w:tabs>
          <w:tab w:val="left" w:pos="-720"/>
          <w:tab w:val="left" w:pos="0"/>
          <w:tab w:val="left" w:pos="720"/>
        </w:tabs>
        <w:spacing w:after="240"/>
        <w:rPr>
          <w:rFonts w:eastAsia="Times New Roman" w:cs="Times New Roman"/>
          <w:b/>
          <w:szCs w:val="24"/>
        </w:rPr>
      </w:pPr>
      <w:r>
        <w:rPr>
          <w:rFonts w:eastAsia="Times New Roman" w:cs="Times New Roman"/>
          <w:szCs w:val="24"/>
        </w:rPr>
        <w:tab/>
      </w:r>
      <w:r w:rsidRPr="00AD0896" w:rsidR="00AD0896">
        <w:rPr>
          <w:rFonts w:eastAsia="Times New Roman" w:cs="Times New Roman"/>
          <w:szCs w:val="24"/>
        </w:rPr>
        <w:t>Not applicable, respondents are not required to submit more than an original and two copies of any document.</w:t>
      </w:r>
    </w:p>
    <w:p w:rsidRPr="00642B6A" w:rsidR="00642B6A" w:rsidP="00FE503D" w:rsidRDefault="00642B6A" w14:paraId="50F422AB" w14:textId="77777777">
      <w:pPr>
        <w:numPr>
          <w:ilvl w:val="0"/>
          <w:numId w:val="1"/>
        </w:numPr>
        <w:tabs>
          <w:tab w:val="clear" w:pos="936"/>
          <w:tab w:val="left" w:pos="-720"/>
          <w:tab w:val="left" w:pos="0"/>
          <w:tab w:val="left" w:pos="720"/>
        </w:tabs>
        <w:spacing w:after="240"/>
        <w:ind w:left="1080" w:hanging="360"/>
        <w:rPr>
          <w:rFonts w:eastAsia="Times New Roman" w:cs="Times New Roman"/>
          <w:b/>
          <w:szCs w:val="24"/>
        </w:rPr>
      </w:pPr>
      <w:r w:rsidRPr="00642B6A">
        <w:rPr>
          <w:rFonts w:eastAsia="Times New Roman" w:cs="Times New Roman"/>
          <w:b/>
          <w:szCs w:val="24"/>
        </w:rPr>
        <w:t>requiring respondents to retain records other than health, medical, government contract, grant-in-aid, or tax records, for more than three years;</w:t>
      </w:r>
    </w:p>
    <w:p w:rsidRPr="00642B6A" w:rsidR="00642B6A" w:rsidP="00642B6A" w:rsidRDefault="00642B6A" w14:paraId="50F422AC" w14:textId="06039279">
      <w:pPr>
        <w:tabs>
          <w:tab w:val="left" w:pos="-720"/>
          <w:tab w:val="left" w:pos="0"/>
          <w:tab w:val="left" w:pos="720"/>
        </w:tabs>
        <w:spacing w:after="240"/>
        <w:rPr>
          <w:rFonts w:eastAsia="Times New Roman" w:cs="Times New Roman"/>
          <w:szCs w:val="24"/>
        </w:rPr>
      </w:pPr>
      <w:r w:rsidRPr="00642B6A">
        <w:rPr>
          <w:rFonts w:eastAsia="Times New Roman" w:cs="Times New Roman"/>
          <w:szCs w:val="24"/>
        </w:rPr>
        <w:tab/>
      </w:r>
      <w:r w:rsidRPr="00CE561C" w:rsidR="00BA10C3">
        <w:rPr>
          <w:rFonts w:eastAsia="Times New Roman" w:cs="Times New Roman"/>
          <w:szCs w:val="24"/>
        </w:rPr>
        <w:t>The proposed amendments to part 4</w:t>
      </w:r>
      <w:r w:rsidR="00330578">
        <w:rPr>
          <w:rFonts w:eastAsia="Times New Roman" w:cs="Times New Roman"/>
          <w:szCs w:val="24"/>
        </w:rPr>
        <w:t>5</w:t>
      </w:r>
      <w:r w:rsidRPr="00CE561C" w:rsidR="00BA10C3">
        <w:rPr>
          <w:rFonts w:eastAsia="Times New Roman" w:cs="Times New Roman"/>
          <w:szCs w:val="24"/>
        </w:rPr>
        <w:t xml:space="preserve"> would not modify Information Collection 3038-00</w:t>
      </w:r>
      <w:r w:rsidR="00330578">
        <w:rPr>
          <w:rFonts w:eastAsia="Times New Roman" w:cs="Times New Roman"/>
          <w:szCs w:val="24"/>
        </w:rPr>
        <w:t>96</w:t>
      </w:r>
      <w:r w:rsidRPr="00CE561C" w:rsidR="00BA10C3">
        <w:rPr>
          <w:rFonts w:eastAsia="Times New Roman" w:cs="Times New Roman"/>
          <w:szCs w:val="24"/>
        </w:rPr>
        <w:t xml:space="preserve"> in regards to recordkeeping requirements</w:t>
      </w:r>
      <w:r w:rsidR="00666FBF">
        <w:rPr>
          <w:rFonts w:eastAsia="Times New Roman" w:cs="Times New Roman"/>
          <w:szCs w:val="24"/>
        </w:rPr>
        <w:t xml:space="preserve">. </w:t>
      </w:r>
      <w:r w:rsidR="00CE561C">
        <w:rPr>
          <w:rFonts w:eastAsia="Times New Roman" w:cs="Times New Roman"/>
          <w:szCs w:val="24"/>
        </w:rPr>
        <w:t xml:space="preserve">Other Commission regulations, including §§ 1.31, 45.2, and 49.12, would require records, including </w:t>
      </w:r>
      <w:r w:rsidR="00666FBF">
        <w:rPr>
          <w:rFonts w:eastAsia="Times New Roman" w:cs="Times New Roman"/>
          <w:szCs w:val="24"/>
        </w:rPr>
        <w:t xml:space="preserve">much of </w:t>
      </w:r>
      <w:r w:rsidR="00CE561C">
        <w:rPr>
          <w:rFonts w:eastAsia="Times New Roman" w:cs="Times New Roman"/>
          <w:szCs w:val="24"/>
        </w:rPr>
        <w:t>the information provided under Information Collection 3038-00</w:t>
      </w:r>
      <w:r w:rsidR="00330578">
        <w:rPr>
          <w:rFonts w:eastAsia="Times New Roman" w:cs="Times New Roman"/>
          <w:szCs w:val="24"/>
        </w:rPr>
        <w:t>96</w:t>
      </w:r>
      <w:r w:rsidR="00CE561C">
        <w:rPr>
          <w:rFonts w:eastAsia="Times New Roman" w:cs="Times New Roman"/>
          <w:szCs w:val="24"/>
        </w:rPr>
        <w:t>, to be kept for at least five years. Those recordkeeping requirements are discussed in the information collections for those other regulations.</w:t>
      </w:r>
    </w:p>
    <w:p w:rsidRPr="00642B6A" w:rsidR="00642B6A" w:rsidP="00FE503D" w:rsidRDefault="00642B6A" w14:paraId="50F422AD" w14:textId="7777777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 xml:space="preserve">in connection with a statistical survey, that is not designed to produce valid and reliable results that can be generalized to the universe of study; </w:t>
      </w:r>
    </w:p>
    <w:p w:rsidR="00697065" w:rsidP="00AD0896" w:rsidRDefault="00AD0896" w14:paraId="50F422AE" w14:textId="23D50D6F">
      <w:pPr>
        <w:tabs>
          <w:tab w:val="left" w:pos="-720"/>
          <w:tab w:val="left" w:pos="0"/>
          <w:tab w:val="left" w:pos="720"/>
        </w:tabs>
        <w:spacing w:after="240"/>
        <w:ind w:firstLine="720"/>
        <w:contextualSpacing/>
        <w:rPr>
          <w:rFonts w:eastAsia="Times New Roman" w:cs="Times New Roman"/>
        </w:rPr>
      </w:pPr>
      <w:r w:rsidRPr="00AD0896">
        <w:rPr>
          <w:rFonts w:eastAsia="Times New Roman" w:cs="Times New Roman"/>
        </w:rPr>
        <w:lastRenderedPageBreak/>
        <w:t>Not applicable, the proposed collection is not connected or related to any statistical survey.</w:t>
      </w:r>
    </w:p>
    <w:p w:rsidRPr="00642B6A" w:rsidR="00AD0896" w:rsidP="00AD0896" w:rsidRDefault="00AD0896" w14:paraId="6C30B678" w14:textId="77777777">
      <w:pPr>
        <w:tabs>
          <w:tab w:val="left" w:pos="-720"/>
          <w:tab w:val="left" w:pos="0"/>
          <w:tab w:val="left" w:pos="720"/>
        </w:tabs>
        <w:spacing w:after="240"/>
        <w:contextualSpacing/>
        <w:rPr>
          <w:rFonts w:eastAsia="Times New Roman" w:cs="Times New Roman"/>
        </w:rPr>
      </w:pPr>
    </w:p>
    <w:p w:rsidR="00642B6A" w:rsidP="004618A5" w:rsidRDefault="00642B6A" w14:paraId="50F422AF" w14:textId="77777777">
      <w:pPr>
        <w:numPr>
          <w:ilvl w:val="0"/>
          <w:numId w:val="1"/>
        </w:numPr>
        <w:tabs>
          <w:tab w:val="clear" w:pos="936"/>
          <w:tab w:val="left" w:pos="-720"/>
          <w:tab w:val="left" w:pos="0"/>
          <w:tab w:val="left" w:pos="720"/>
          <w:tab w:val="num" w:pos="1080"/>
        </w:tabs>
        <w:spacing w:after="240"/>
        <w:ind w:left="1080" w:hanging="360"/>
        <w:jc w:val="both"/>
        <w:rPr>
          <w:rFonts w:eastAsia="Times New Roman" w:cs="Times New Roman"/>
          <w:szCs w:val="24"/>
        </w:rPr>
      </w:pPr>
      <w:r w:rsidRPr="004618A5">
        <w:rPr>
          <w:rFonts w:eastAsia="Times New Roman" w:cs="Times New Roman"/>
          <w:b/>
          <w:szCs w:val="24"/>
        </w:rPr>
        <w:t>requiring the use of a statistical data classification that has not been reviewed and approved by OMB;</w:t>
      </w:r>
      <w:r w:rsidRPr="004618A5">
        <w:rPr>
          <w:rFonts w:eastAsia="Times New Roman" w:cs="Times New Roman"/>
          <w:szCs w:val="24"/>
        </w:rPr>
        <w:tab/>
      </w:r>
    </w:p>
    <w:p w:rsidRPr="004618A5" w:rsidR="00AD0896" w:rsidP="00AD0896" w:rsidRDefault="00AD0896" w14:paraId="71BC1115" w14:textId="25FAE5A8">
      <w:pPr>
        <w:tabs>
          <w:tab w:val="left" w:pos="-720"/>
          <w:tab w:val="left" w:pos="0"/>
          <w:tab w:val="left" w:pos="720"/>
        </w:tabs>
        <w:spacing w:after="240"/>
        <w:ind w:firstLine="720"/>
        <w:rPr>
          <w:rFonts w:eastAsia="Times New Roman" w:cs="Times New Roman"/>
          <w:szCs w:val="24"/>
        </w:rPr>
      </w:pPr>
      <w:r w:rsidRPr="00AD0896">
        <w:rPr>
          <w:rFonts w:eastAsia="Times New Roman" w:cs="Times New Roman"/>
          <w:szCs w:val="24"/>
        </w:rPr>
        <w:t>Not applicable, the proposed collection does not involve the use of any statistical data classification.</w:t>
      </w:r>
    </w:p>
    <w:p w:rsidR="00642B6A" w:rsidP="00FE503D" w:rsidRDefault="00642B6A" w14:paraId="50F422B0" w14:textId="7777777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 xml:space="preserve">that includes a pledge of confidentiality that is not supported by authority established in statue or regulation, that is not supported by disclosure and data security policies that are consistent with the pledge, or which unnecessarily impedes sharing of data with </w:t>
      </w:r>
      <w:r w:rsidRPr="003607A6">
        <w:rPr>
          <w:rFonts w:eastAsia="Times New Roman" w:cs="Times New Roman"/>
          <w:b/>
          <w:szCs w:val="24"/>
        </w:rPr>
        <w:t>other agencies for compatible confidential use; or</w:t>
      </w:r>
    </w:p>
    <w:p w:rsidR="00AD0896" w:rsidP="00AD0896" w:rsidRDefault="00AD0896" w14:paraId="28473775" w14:textId="2C849FD6">
      <w:pPr>
        <w:tabs>
          <w:tab w:val="left" w:pos="-720"/>
          <w:tab w:val="left" w:pos="0"/>
          <w:tab w:val="left" w:pos="720"/>
        </w:tabs>
        <w:spacing w:after="240"/>
        <w:ind w:firstLine="720"/>
        <w:rPr>
          <w:rFonts w:eastAsia="Times New Roman" w:cs="Times New Roman"/>
          <w:b/>
          <w:szCs w:val="24"/>
        </w:rPr>
      </w:pPr>
      <w:r>
        <w:rPr>
          <w:rFonts w:eastAsia="Times New Roman" w:cs="Times New Roman"/>
          <w:szCs w:val="24"/>
        </w:rPr>
        <w:t>Not applicable, the proposed collection does not include any pledges of confidentiality that are not supported by authority established in statute or regulation.</w:t>
      </w:r>
    </w:p>
    <w:p w:rsidRPr="00B86819" w:rsidR="00642B6A" w:rsidP="00FE503D" w:rsidRDefault="00642B6A" w14:paraId="50F422B1" w14:textId="77777777">
      <w:pPr>
        <w:numPr>
          <w:ilvl w:val="0"/>
          <w:numId w:val="1"/>
        </w:numPr>
        <w:tabs>
          <w:tab w:val="left" w:pos="-720"/>
          <w:tab w:val="left" w:pos="0"/>
          <w:tab w:val="left" w:pos="720"/>
          <w:tab w:val="num" w:pos="1080"/>
        </w:tabs>
        <w:spacing w:after="240"/>
        <w:ind w:left="1080" w:hanging="360"/>
        <w:jc w:val="both"/>
        <w:rPr>
          <w:rFonts w:eastAsia="Times New Roman" w:cs="Times New Roman"/>
          <w:b/>
          <w:szCs w:val="24"/>
        </w:rPr>
      </w:pPr>
      <w:r w:rsidRPr="00B86819">
        <w:rPr>
          <w:rFonts w:eastAsia="Times New Roman" w:cs="Times New Roman"/>
          <w:szCs w:val="24"/>
        </w:rPr>
        <w:tab/>
      </w:r>
      <w:r w:rsidRPr="00B86819">
        <w:rPr>
          <w:rFonts w:eastAsia="Times New Roman" w:cs="Times New Roman"/>
          <w:b/>
          <w:szCs w:val="24"/>
        </w:rPr>
        <w:t>The collection does not involv</w:t>
      </w:r>
      <w:r w:rsidRPr="00B86819" w:rsidR="00B86819">
        <w:rPr>
          <w:rFonts w:eastAsia="Times New Roman" w:cs="Times New Roman"/>
          <w:b/>
          <w:szCs w:val="24"/>
        </w:rPr>
        <w:t xml:space="preserve">e any pledge of confidentiality, </w:t>
      </w:r>
      <w:r w:rsidRPr="00B86819">
        <w:rPr>
          <w:rFonts w:eastAsia="Times New Roman" w:cs="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C9497A" w:rsidR="00642B6A" w:rsidP="00E42A80" w:rsidRDefault="00AD0896" w14:paraId="50F422B2" w14:textId="526118AD">
      <w:pPr>
        <w:tabs>
          <w:tab w:val="left" w:pos="-720"/>
          <w:tab w:val="left" w:pos="0"/>
          <w:tab w:val="left" w:pos="720"/>
        </w:tabs>
        <w:spacing w:after="240"/>
        <w:ind w:firstLine="720"/>
        <w:rPr>
          <w:rFonts w:eastAsia="Times New Roman" w:cs="Times New Roman"/>
          <w:b/>
          <w:szCs w:val="24"/>
        </w:rPr>
      </w:pPr>
      <w:r w:rsidRPr="00AD0896">
        <w:rPr>
          <w:rFonts w:eastAsia="Times New Roman" w:cs="Times New Roman"/>
          <w:szCs w:val="24"/>
        </w:rPr>
        <w:t>All current and proposed requirements to submit proprietary or other confidential information are subject to the Commission’s existing statutory, regulatory, and procedural requirements to protect the confidentiality of such information. This includes the requirements of sections 8(a) and 21(c</w:t>
      </w:r>
      <w:proofErr w:type="gramStart"/>
      <w:r w:rsidRPr="00AD0896">
        <w:rPr>
          <w:rFonts w:eastAsia="Times New Roman" w:cs="Times New Roman"/>
          <w:szCs w:val="24"/>
        </w:rPr>
        <w:t>)(</w:t>
      </w:r>
      <w:proofErr w:type="gramEnd"/>
      <w:r w:rsidRPr="00AD0896">
        <w:rPr>
          <w:rFonts w:eastAsia="Times New Roman" w:cs="Times New Roman"/>
          <w:szCs w:val="24"/>
        </w:rPr>
        <w:t xml:space="preserve">6) of the Act as well as in §§ </w:t>
      </w:r>
      <w:r w:rsidR="007A1013">
        <w:rPr>
          <w:rFonts w:eastAsia="Times New Roman" w:cs="Times New Roman"/>
          <w:szCs w:val="24"/>
        </w:rPr>
        <w:t xml:space="preserve">43.4, </w:t>
      </w:r>
      <w:r w:rsidRPr="00AD0896">
        <w:rPr>
          <w:rFonts w:eastAsia="Times New Roman" w:cs="Times New Roman"/>
          <w:szCs w:val="24"/>
        </w:rPr>
        <w:t>49.16, 49.17, and 49.18, and parts 145 and 147 of the Commission’s regulations.</w:t>
      </w:r>
    </w:p>
    <w:p w:rsidRPr="00642B6A" w:rsidR="00642B6A" w:rsidP="00FE503D" w:rsidRDefault="00642B6A" w14:paraId="50F422B3" w14:textId="704971F2">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8.</w:t>
      </w:r>
      <w:r w:rsidRPr="00642B6A">
        <w:rPr>
          <w:rFonts w:eastAsia="Times New Roman" w:cs="Times New Roman"/>
          <w:b/>
          <w:szCs w:val="24"/>
        </w:rPr>
        <w:tab/>
        <w:t xml:space="preserve">If applicable, provide a copy and identify the date and page number of publication in the </w:t>
      </w:r>
      <w:r w:rsidRPr="00642B6A">
        <w:rPr>
          <w:rFonts w:eastAsia="Times New Roman" w:cs="Times New Roman"/>
          <w:b/>
          <w:i/>
          <w:szCs w:val="24"/>
        </w:rPr>
        <w:t>Federal Register</w:t>
      </w:r>
      <w:r w:rsidRPr="00642B6A">
        <w:rPr>
          <w:rFonts w:eastAsia="Times New Roman" w:cs="Times New Roman"/>
          <w:b/>
          <w:szCs w:val="24"/>
        </w:rPr>
        <w:t xml:space="preserve"> of the agency's notice required by 5 CFR 1320.8(d), soliciting comments on the information collecti</w:t>
      </w:r>
      <w:r w:rsidR="00C83EDF">
        <w:rPr>
          <w:rFonts w:eastAsia="Times New Roman" w:cs="Times New Roman"/>
          <w:b/>
          <w:szCs w:val="24"/>
        </w:rPr>
        <w:t xml:space="preserve">on prior to submission to OMB. </w:t>
      </w:r>
      <w:r w:rsidRPr="00642B6A">
        <w:rPr>
          <w:rFonts w:eastAsia="Times New Roman" w:cs="Times New Roman"/>
          <w:b/>
          <w:szCs w:val="24"/>
        </w:rPr>
        <w:t xml:space="preserve">Summarize public comments received in response to that notice and describe actions taken by the agency </w:t>
      </w:r>
      <w:r w:rsidR="00C83EDF">
        <w:rPr>
          <w:rFonts w:eastAsia="Times New Roman" w:cs="Times New Roman"/>
          <w:b/>
          <w:szCs w:val="24"/>
        </w:rPr>
        <w:t xml:space="preserve">in response to these comments. </w:t>
      </w:r>
      <w:r w:rsidRPr="00642B6A">
        <w:rPr>
          <w:rFonts w:eastAsia="Times New Roman" w:cs="Times New Roman"/>
          <w:b/>
          <w:szCs w:val="24"/>
        </w:rPr>
        <w:t>Specifically address comments received on cost and hour burden.</w:t>
      </w:r>
    </w:p>
    <w:p w:rsidRPr="00642B6A" w:rsidR="00653547" w:rsidP="007A1013" w:rsidRDefault="00B86819" w14:paraId="50F422B4" w14:textId="5222EEFE">
      <w:pPr>
        <w:tabs>
          <w:tab w:val="left" w:pos="-720"/>
          <w:tab w:val="left" w:pos="0"/>
        </w:tabs>
        <w:overflowPunct w:val="0"/>
        <w:autoSpaceDE w:val="0"/>
        <w:autoSpaceDN w:val="0"/>
        <w:adjustRightInd w:val="0"/>
        <w:spacing w:after="240"/>
        <w:textAlignment w:val="baseline"/>
        <w:rPr>
          <w:rFonts w:eastAsia="Times New Roman" w:cs="Times New Roman"/>
          <w:szCs w:val="24"/>
        </w:rPr>
      </w:pPr>
      <w:r>
        <w:rPr>
          <w:rFonts w:eastAsia="Times New Roman" w:cs="Times New Roman"/>
          <w:szCs w:val="24"/>
        </w:rPr>
        <w:tab/>
      </w:r>
      <w:r w:rsidRPr="00AD0896" w:rsidR="00AD0896">
        <w:rPr>
          <w:rFonts w:eastAsia="Times New Roman" w:cs="Times New Roman"/>
          <w:szCs w:val="24"/>
        </w:rPr>
        <w:t>The Commission seeks public comment on any aspect of the proposed amendments to this collection of information in the proposing release for this proposed rulemaking.</w:t>
      </w:r>
    </w:p>
    <w:p w:rsidRPr="00642B6A" w:rsidR="00642B6A" w:rsidP="00FE503D" w:rsidRDefault="00642B6A" w14:paraId="50F422B5" w14:textId="77777777">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9.</w:t>
      </w:r>
      <w:r w:rsidRPr="00642B6A">
        <w:rPr>
          <w:rFonts w:eastAsia="Times New Roman" w:cs="Times New Roman"/>
          <w:b/>
          <w:szCs w:val="24"/>
        </w:rPr>
        <w:tab/>
        <w:t>Explain any decision to provide any payment or gift to respondents, other than remuneration of contractors or grantees.</w:t>
      </w:r>
    </w:p>
    <w:p w:rsidR="0027708A" w:rsidP="007A1013" w:rsidRDefault="007A1013" w14:paraId="50F422B6" w14:textId="002D470A">
      <w:pPr>
        <w:tabs>
          <w:tab w:val="left" w:pos="-720"/>
          <w:tab w:val="left" w:pos="1305"/>
        </w:tabs>
        <w:spacing w:after="240"/>
        <w:ind w:firstLine="720"/>
        <w:rPr>
          <w:rFonts w:eastAsia="Times New Roman" w:cs="Times New Roman"/>
          <w:szCs w:val="24"/>
        </w:rPr>
      </w:pPr>
      <w:r w:rsidRPr="007A1013">
        <w:rPr>
          <w:rFonts w:eastAsia="Times New Roman" w:cs="Times New Roman"/>
          <w:szCs w:val="24"/>
        </w:rPr>
        <w:t>Not applicable, no payment or gift will be provided to respondents.</w:t>
      </w:r>
      <w:r>
        <w:rPr>
          <w:rFonts w:eastAsia="Times New Roman" w:cs="Times New Roman"/>
          <w:szCs w:val="24"/>
        </w:rPr>
        <w:tab/>
      </w:r>
    </w:p>
    <w:p w:rsidRPr="00642B6A" w:rsidR="00642B6A" w:rsidP="00FE503D" w:rsidRDefault="00642B6A" w14:paraId="50F422B7" w14:textId="77777777">
      <w:pPr>
        <w:tabs>
          <w:tab w:val="left" w:pos="-720"/>
        </w:tabs>
        <w:spacing w:after="240"/>
        <w:ind w:left="720" w:hanging="720"/>
        <w:jc w:val="both"/>
        <w:rPr>
          <w:rFonts w:eastAsia="Times New Roman" w:cs="Times New Roman"/>
          <w:b/>
          <w:szCs w:val="24"/>
        </w:rPr>
      </w:pPr>
      <w:r w:rsidRPr="00642B6A">
        <w:rPr>
          <w:rFonts w:eastAsia="Times New Roman" w:cs="Times New Roman"/>
          <w:b/>
          <w:szCs w:val="24"/>
        </w:rPr>
        <w:t>10.</w:t>
      </w:r>
      <w:r w:rsidRPr="00642B6A">
        <w:rPr>
          <w:rFonts w:eastAsia="Times New Roman" w:cs="Times New Roman"/>
          <w:b/>
          <w:szCs w:val="24"/>
        </w:rPr>
        <w:tab/>
        <w:t>Describe any assurance of confidentiality provided to respondents and the basis for the assurance in statute, regulations, or agency policy.</w:t>
      </w:r>
    </w:p>
    <w:p w:rsidRPr="007A1013" w:rsidR="00D945B5" w:rsidP="007A1013" w:rsidRDefault="00536C1A" w14:paraId="50F422B8" w14:textId="71FC8D72">
      <w:pPr>
        <w:tabs>
          <w:tab w:val="left" w:pos="-720"/>
        </w:tabs>
        <w:spacing w:after="240"/>
        <w:ind w:firstLine="720"/>
        <w:rPr>
          <w:rFonts w:eastAsia="Times New Roman" w:cs="Times New Roman"/>
          <w:szCs w:val="24"/>
        </w:rPr>
      </w:pPr>
      <w:r w:rsidRPr="00536C1A">
        <w:rPr>
          <w:rFonts w:eastAsia="Times New Roman" w:cs="Times New Roman"/>
          <w:szCs w:val="24"/>
        </w:rPr>
        <w:t xml:space="preserve">The Commission does not provide respondents with an assurance of </w:t>
      </w:r>
      <w:proofErr w:type="gramStart"/>
      <w:r w:rsidRPr="00536C1A">
        <w:rPr>
          <w:rFonts w:eastAsia="Times New Roman" w:cs="Times New Roman"/>
          <w:szCs w:val="24"/>
        </w:rPr>
        <w:t>confidentiality  beyond</w:t>
      </w:r>
      <w:proofErr w:type="gramEnd"/>
      <w:r w:rsidRPr="00536C1A">
        <w:rPr>
          <w:rFonts w:eastAsia="Times New Roman" w:cs="Times New Roman"/>
          <w:szCs w:val="24"/>
        </w:rPr>
        <w:t xml:space="preserve"> that provided by applicable law. </w:t>
      </w:r>
      <w:r w:rsidRPr="007A1013" w:rsidR="007A1013">
        <w:rPr>
          <w:rFonts w:eastAsia="Times New Roman" w:cs="Times New Roman"/>
          <w:szCs w:val="24"/>
        </w:rPr>
        <w:t xml:space="preserve">All current and proposed requirements to submit </w:t>
      </w:r>
      <w:r w:rsidRPr="007A1013" w:rsidR="007A1013">
        <w:rPr>
          <w:rFonts w:eastAsia="Times New Roman" w:cs="Times New Roman"/>
          <w:szCs w:val="24"/>
        </w:rPr>
        <w:lastRenderedPageBreak/>
        <w:t>proprietary or other confidential information are subject to the Commission’s existing statutory, regulatory, and procedural requirements to protect the confidentiality of such information. This includes the requirements of sections 8(a) and 21(c</w:t>
      </w:r>
      <w:proofErr w:type="gramStart"/>
      <w:r w:rsidRPr="007A1013" w:rsidR="007A1013">
        <w:rPr>
          <w:rFonts w:eastAsia="Times New Roman" w:cs="Times New Roman"/>
          <w:szCs w:val="24"/>
        </w:rPr>
        <w:t>)(</w:t>
      </w:r>
      <w:proofErr w:type="gramEnd"/>
      <w:r w:rsidRPr="007A1013" w:rsidR="007A1013">
        <w:rPr>
          <w:rFonts w:eastAsia="Times New Roman" w:cs="Times New Roman"/>
          <w:szCs w:val="24"/>
        </w:rPr>
        <w:t xml:space="preserve">6) of the Act as well as in §§ </w:t>
      </w:r>
      <w:r w:rsidR="007A1013">
        <w:rPr>
          <w:rFonts w:eastAsia="Times New Roman" w:cs="Times New Roman"/>
          <w:szCs w:val="24"/>
        </w:rPr>
        <w:t xml:space="preserve">43.4, </w:t>
      </w:r>
      <w:r w:rsidRPr="007A1013" w:rsidR="007A1013">
        <w:rPr>
          <w:rFonts w:eastAsia="Times New Roman" w:cs="Times New Roman"/>
          <w:szCs w:val="24"/>
        </w:rPr>
        <w:t>49.16, 49.17, and 49.18, and parts 145 and 147 of the Commission’s regulations.</w:t>
      </w:r>
    </w:p>
    <w:p w:rsidRPr="00642B6A" w:rsidR="00642B6A" w:rsidP="00FE503D" w:rsidRDefault="00642B6A" w14:paraId="50F422B9" w14:textId="78B0910F">
      <w:pPr>
        <w:tabs>
          <w:tab w:val="left" w:pos="-720"/>
        </w:tabs>
        <w:spacing w:after="240"/>
        <w:ind w:left="720" w:hanging="720"/>
        <w:jc w:val="both"/>
        <w:rPr>
          <w:rFonts w:eastAsia="Times New Roman" w:cs="Times New Roman"/>
          <w:b/>
          <w:szCs w:val="24"/>
        </w:rPr>
      </w:pPr>
      <w:r w:rsidRPr="00642B6A">
        <w:rPr>
          <w:rFonts w:eastAsia="Times New Roman" w:cs="Times New Roman"/>
          <w:b/>
          <w:szCs w:val="24"/>
        </w:rPr>
        <w:t>11.</w:t>
      </w:r>
      <w:r w:rsidRPr="00642B6A">
        <w:rPr>
          <w:rFonts w:eastAsia="Times New Roman" w:cs="Times New Roman"/>
          <w:b/>
          <w:szCs w:val="24"/>
        </w:rPr>
        <w:tab/>
        <w:t>Provide additional justification for any questions of a sensitive nature, such as sexual behavior and attitudes, religious beliefs, and other matters that ar</w:t>
      </w:r>
      <w:r w:rsidR="00C83EDF">
        <w:rPr>
          <w:rFonts w:eastAsia="Times New Roman" w:cs="Times New Roman"/>
          <w:b/>
          <w:szCs w:val="24"/>
        </w:rPr>
        <w:t xml:space="preserve">e commonly considered private. </w:t>
      </w:r>
      <w:r w:rsidRPr="00642B6A">
        <w:rPr>
          <w:rFonts w:eastAsia="Times New Roman" w:cs="Times New Roman"/>
          <w:b/>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8F41C5" w:rsidR="008F41C5" w:rsidP="008F41C5" w:rsidRDefault="008F41C5" w14:paraId="6D0DBF20" w14:textId="77777777">
      <w:pPr>
        <w:tabs>
          <w:tab w:val="left" w:pos="-720"/>
        </w:tabs>
        <w:suppressAutoHyphens/>
        <w:ind w:firstLine="720"/>
        <w:rPr>
          <w:rFonts w:eastAsia="Times New Roman" w:cs="Times New Roman"/>
          <w:szCs w:val="24"/>
        </w:rPr>
      </w:pPr>
      <w:r w:rsidRPr="008F41C5">
        <w:rPr>
          <w:rFonts w:eastAsia="Times New Roman" w:cs="Times New Roman"/>
          <w:szCs w:val="24"/>
        </w:rPr>
        <w:t>Not applicable, the collection does not involve any questions of a sensitive nature, as the term is used in this question.</w:t>
      </w:r>
    </w:p>
    <w:p w:rsidRPr="00642B6A" w:rsidR="008F41C5" w:rsidP="008F41C5" w:rsidRDefault="008F41C5" w14:paraId="04A5B53A" w14:textId="77777777">
      <w:pPr>
        <w:tabs>
          <w:tab w:val="left" w:pos="-720"/>
        </w:tabs>
        <w:suppressAutoHyphens/>
        <w:rPr>
          <w:rFonts w:eastAsia="Times New Roman" w:cs="Times New Roman"/>
          <w:szCs w:val="24"/>
        </w:rPr>
      </w:pPr>
    </w:p>
    <w:p w:rsidRPr="00642B6A" w:rsidR="00642B6A" w:rsidP="00505251" w:rsidRDefault="00642B6A" w14:paraId="50F422BB" w14:textId="1D96D698">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12.</w:t>
      </w:r>
      <w:r w:rsidRPr="00642B6A">
        <w:rPr>
          <w:rFonts w:eastAsia="Times New Roman" w:cs="Times New Roman"/>
          <w:b/>
          <w:szCs w:val="24"/>
        </w:rPr>
        <w:tab/>
        <w:t xml:space="preserve">Provide estimates of the hour burden of </w:t>
      </w:r>
      <w:r w:rsidR="00C83EDF">
        <w:rPr>
          <w:rFonts w:eastAsia="Times New Roman" w:cs="Times New Roman"/>
          <w:b/>
          <w:szCs w:val="24"/>
        </w:rPr>
        <w:t xml:space="preserve">the collection of information. </w:t>
      </w:r>
      <w:r w:rsidRPr="00642B6A">
        <w:rPr>
          <w:rFonts w:eastAsia="Times New Roman" w:cs="Times New Roman"/>
          <w:b/>
          <w:szCs w:val="24"/>
        </w:rPr>
        <w:t>The Statement should:</w:t>
      </w:r>
    </w:p>
    <w:p w:rsidR="00642B6A" w:rsidP="00FE503D" w:rsidRDefault="00642B6A" w14:paraId="50F422BC" w14:textId="320B0D8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Indicate the number of respondents, frequency of response, annual hour burden and an explanation of</w:t>
      </w:r>
      <w:r w:rsidR="00C83EDF">
        <w:rPr>
          <w:rFonts w:eastAsia="Times New Roman" w:cs="Times New Roman"/>
          <w:b/>
          <w:szCs w:val="24"/>
        </w:rPr>
        <w:t xml:space="preserve"> how the burden was estimated. </w:t>
      </w:r>
      <w:r w:rsidRPr="00642B6A">
        <w:rPr>
          <w:rFonts w:eastAsia="Times New Roman" w:cs="Times New Roman"/>
          <w:b/>
          <w:szCs w:val="24"/>
        </w:rPr>
        <w:t>Unless directed to do so, agencies should not conduct special surveys to obtain information on which to base hour burden esti</w:t>
      </w:r>
      <w:r w:rsidR="00C83EDF">
        <w:rPr>
          <w:rFonts w:eastAsia="Times New Roman" w:cs="Times New Roman"/>
          <w:b/>
          <w:szCs w:val="24"/>
        </w:rPr>
        <w:t xml:space="preserve">mates. </w:t>
      </w:r>
      <w:r w:rsidRPr="00642B6A">
        <w:rPr>
          <w:rFonts w:eastAsia="Times New Roman" w:cs="Times New Roman"/>
          <w:b/>
          <w:szCs w:val="24"/>
        </w:rPr>
        <w:t>Consultation with a sample (fewer than ten) of poten</w:t>
      </w:r>
      <w:r w:rsidR="00C83EDF">
        <w:rPr>
          <w:rFonts w:eastAsia="Times New Roman" w:cs="Times New Roman"/>
          <w:b/>
          <w:szCs w:val="24"/>
        </w:rPr>
        <w:t xml:space="preserve">tial respondents is desirable. </w:t>
      </w:r>
      <w:r w:rsidRPr="00642B6A">
        <w:rPr>
          <w:rFonts w:eastAsia="Times New Roman" w:cs="Times New Roman"/>
          <w:b/>
          <w:szCs w:val="24"/>
        </w:rPr>
        <w:t>If the hour burden on respondents is expected to vary widely because of differences in activity, size or complexity, show the range of estimated hour burden, and explain</w:t>
      </w:r>
      <w:r w:rsidR="00C83EDF">
        <w:rPr>
          <w:rFonts w:eastAsia="Times New Roman" w:cs="Times New Roman"/>
          <w:b/>
          <w:szCs w:val="24"/>
        </w:rPr>
        <w:t xml:space="preserve"> the reasons for the variance. </w:t>
      </w:r>
      <w:r w:rsidRPr="00642B6A">
        <w:rPr>
          <w:rFonts w:eastAsia="Times New Roman" w:cs="Times New Roman"/>
          <w:b/>
          <w:szCs w:val="24"/>
        </w:rPr>
        <w:t>Generally, estimates should not include burden hours for customary and usual business practices.</w:t>
      </w:r>
    </w:p>
    <w:p w:rsidRPr="00642B6A" w:rsidR="00642B6A" w:rsidP="00FE503D" w:rsidRDefault="00642B6A" w14:paraId="50F422BD" w14:textId="7777777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If the request for approval covers more than one form, provide separate hour burden estimates for each form and aggregate the hour burdens in Item 13 of OMB Form 83-I.</w:t>
      </w:r>
    </w:p>
    <w:p w:rsidRPr="00642B6A" w:rsidR="00642B6A" w:rsidP="00FE503D" w:rsidRDefault="00642B6A" w14:paraId="50F422BE" w14:textId="1E9AD2E4">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Provide estimates of annualized cost to respondents for the hours burdens for collections of information, identifying and using app</w:t>
      </w:r>
      <w:r w:rsidR="00C83EDF">
        <w:rPr>
          <w:rFonts w:eastAsia="Times New Roman" w:cs="Times New Roman"/>
          <w:b/>
          <w:szCs w:val="24"/>
        </w:rPr>
        <w:t xml:space="preserve">ropriate wage rate categories. </w:t>
      </w:r>
      <w:r w:rsidRPr="00642B6A">
        <w:rPr>
          <w:rFonts w:eastAsia="Times New Roman" w:cs="Times New Roman"/>
          <w:b/>
          <w:szCs w:val="24"/>
        </w:rPr>
        <w:t>The cost of contracting out or paying outside parties for information collection activitie</w:t>
      </w:r>
      <w:r w:rsidR="00C83EDF">
        <w:rPr>
          <w:rFonts w:eastAsia="Times New Roman" w:cs="Times New Roman"/>
          <w:b/>
          <w:szCs w:val="24"/>
        </w:rPr>
        <w:t xml:space="preserve">s should not be included here. </w:t>
      </w:r>
      <w:r w:rsidRPr="00642B6A">
        <w:rPr>
          <w:rFonts w:eastAsia="Times New Roman" w:cs="Times New Roman"/>
          <w:b/>
          <w:szCs w:val="24"/>
        </w:rPr>
        <w:t>Instead, this cost should be included in Item 13.</w:t>
      </w:r>
    </w:p>
    <w:p w:rsidRPr="008F41C5" w:rsidR="00374C10" w:rsidP="00374C10" w:rsidRDefault="00D52F91" w14:paraId="6868D25A" w14:textId="0C5C35EF">
      <w:pPr>
        <w:ind w:firstLine="720"/>
        <w:rPr>
          <w:rFonts w:eastAsia="Times New Roman" w:cs="Times New Roman"/>
          <w:color w:val="000000"/>
          <w:szCs w:val="24"/>
        </w:rPr>
      </w:pPr>
      <w:r w:rsidRPr="008F41C5">
        <w:rPr>
          <w:rFonts w:eastAsia="Times New Roman" w:cs="Times New Roman"/>
          <w:color w:val="000000"/>
          <w:szCs w:val="24"/>
        </w:rPr>
        <w:t xml:space="preserve">Please see attachment A for </w:t>
      </w:r>
      <w:r>
        <w:rPr>
          <w:rFonts w:eastAsia="Times New Roman" w:cs="Times New Roman"/>
          <w:color w:val="000000"/>
          <w:szCs w:val="24"/>
        </w:rPr>
        <w:t>estimates of the hour burden</w:t>
      </w:r>
      <w:r w:rsidRPr="008F41C5">
        <w:rPr>
          <w:rFonts w:eastAsia="Times New Roman" w:cs="Times New Roman"/>
          <w:color w:val="000000"/>
          <w:szCs w:val="24"/>
        </w:rPr>
        <w:t xml:space="preserve"> for the collection of information</w:t>
      </w:r>
      <w:r>
        <w:rPr>
          <w:rFonts w:eastAsia="Times New Roman" w:cs="Times New Roman"/>
          <w:color w:val="000000"/>
          <w:szCs w:val="24"/>
        </w:rPr>
        <w:t xml:space="preserve"> under OMB 3038-0096</w:t>
      </w:r>
      <w:r w:rsidR="00700481">
        <w:rPr>
          <w:rFonts w:eastAsia="Times New Roman" w:cs="Times New Roman"/>
          <w:color w:val="000000"/>
          <w:szCs w:val="24"/>
        </w:rPr>
        <w:t xml:space="preserve"> to accommodate newly proposed and revised information collection requirements for swap market participants and SDRs</w:t>
      </w:r>
      <w:r w:rsidRPr="00374C10" w:rsidR="00700481">
        <w:rPr>
          <w:rFonts w:eastAsia="Times New Roman" w:cs="Times New Roman"/>
          <w:color w:val="000000"/>
          <w:szCs w:val="24"/>
        </w:rPr>
        <w:t>.</w:t>
      </w:r>
      <w:r w:rsidRPr="00374C10">
        <w:rPr>
          <w:rFonts w:eastAsia="Times New Roman" w:cs="Times New Roman"/>
          <w:color w:val="000000"/>
          <w:szCs w:val="24"/>
        </w:rPr>
        <w:t xml:space="preserve"> </w:t>
      </w:r>
      <w:r w:rsidRPr="00BA6BDD" w:rsidR="00374C10">
        <w:rPr>
          <w:rFonts w:eastAsia="Times New Roman" w:cs="Times New Roman"/>
          <w:color w:val="000000"/>
          <w:szCs w:val="24"/>
        </w:rPr>
        <w:t>As shown on Attachment A, the aggregate burden for all of the collections of information under OMB 3038-0096 (whether or not affected by the proposal) is estimated to apply to 1,732 respondents, with</w:t>
      </w:r>
      <w:r w:rsidR="00070230">
        <w:rPr>
          <w:rFonts w:eastAsia="Times New Roman" w:cs="Times New Roman"/>
          <w:color w:val="000000"/>
          <w:szCs w:val="24"/>
        </w:rPr>
        <w:t xml:space="preserve"> total annual burden hours of 1,309,081 across all respondents.</w:t>
      </w:r>
      <w:r w:rsidRPr="00BA6BDD" w:rsidR="00374C10">
        <w:rPr>
          <w:rFonts w:eastAsia="Times New Roman" w:cs="Times New Roman"/>
          <w:color w:val="000000"/>
          <w:szCs w:val="24"/>
        </w:rPr>
        <w:t xml:space="preserve">  </w:t>
      </w:r>
    </w:p>
    <w:p w:rsidRPr="008F41C5" w:rsidR="00D52F91" w:rsidP="00D52F91" w:rsidRDefault="00D52F91" w14:paraId="272DAEAE" w14:textId="77777777">
      <w:pPr>
        <w:ind w:firstLine="720"/>
        <w:jc w:val="both"/>
        <w:rPr>
          <w:rFonts w:eastAsia="Times New Roman" w:cs="Times New Roman"/>
          <w:color w:val="000000"/>
          <w:szCs w:val="24"/>
        </w:rPr>
      </w:pPr>
    </w:p>
    <w:p w:rsidR="00D52F91" w:rsidP="00D52F91" w:rsidRDefault="00362C24" w14:paraId="7D110B2D" w14:textId="03AB7792">
      <w:pPr>
        <w:ind w:firstLine="720"/>
        <w:rPr>
          <w:rFonts w:eastAsia="Times New Roman" w:cs="Times New Roman"/>
          <w:color w:val="000000"/>
          <w:szCs w:val="24"/>
        </w:rPr>
      </w:pPr>
      <w:r w:rsidRPr="00362C24">
        <w:rPr>
          <w:rFonts w:eastAsia="Times New Roman" w:cs="Times New Roman"/>
          <w:color w:val="000000"/>
          <w:szCs w:val="24"/>
        </w:rPr>
        <w:t xml:space="preserve">The </w:t>
      </w:r>
      <w:r w:rsidR="00070230">
        <w:rPr>
          <w:rFonts w:eastAsia="Times New Roman" w:cs="Times New Roman"/>
          <w:color w:val="000000"/>
          <w:szCs w:val="24"/>
        </w:rPr>
        <w:t xml:space="preserve">total </w:t>
      </w:r>
      <w:r w:rsidRPr="00362C24">
        <w:rPr>
          <w:rFonts w:eastAsia="Times New Roman" w:cs="Times New Roman"/>
          <w:color w:val="000000"/>
          <w:szCs w:val="24"/>
        </w:rPr>
        <w:t>annual</w:t>
      </w:r>
      <w:r w:rsidR="00070230">
        <w:rPr>
          <w:rFonts w:eastAsia="Times New Roman" w:cs="Times New Roman"/>
          <w:color w:val="000000"/>
          <w:szCs w:val="24"/>
        </w:rPr>
        <w:t xml:space="preserve"> burden hour cost of all responses across</w:t>
      </w:r>
      <w:r w:rsidRPr="00362C24">
        <w:rPr>
          <w:rFonts w:eastAsia="Times New Roman" w:cs="Times New Roman"/>
          <w:color w:val="000000"/>
          <w:szCs w:val="24"/>
        </w:rPr>
        <w:t xml:space="preserve"> respondents is estimated to be $94,554,936.  </w:t>
      </w:r>
      <w:r w:rsidRPr="008F41C5" w:rsidR="00D52F91">
        <w:rPr>
          <w:rFonts w:eastAsia="Times New Roman" w:cs="Times New Roman"/>
          <w:color w:val="000000"/>
          <w:szCs w:val="24"/>
        </w:rPr>
        <w:t xml:space="preserve">In calculating </w:t>
      </w:r>
      <w:r w:rsidRPr="008F41C5" w:rsidR="002F4E6B">
        <w:rPr>
          <w:rFonts w:eastAsia="Times New Roman" w:cs="Times New Roman"/>
          <w:color w:val="000000"/>
          <w:szCs w:val="24"/>
        </w:rPr>
        <w:t>th</w:t>
      </w:r>
      <w:r w:rsidR="002F4E6B">
        <w:rPr>
          <w:rFonts w:eastAsia="Times New Roman" w:cs="Times New Roman"/>
          <w:color w:val="000000"/>
          <w:szCs w:val="24"/>
        </w:rPr>
        <w:t xml:space="preserve">e annualized cost to respondents for the hour burdens for the </w:t>
      </w:r>
      <w:r w:rsidR="002F4E6B">
        <w:rPr>
          <w:rFonts w:eastAsia="Times New Roman" w:cs="Times New Roman"/>
          <w:color w:val="000000"/>
          <w:szCs w:val="24"/>
        </w:rPr>
        <w:lastRenderedPageBreak/>
        <w:t>collections of information</w:t>
      </w:r>
      <w:r w:rsidRPr="008F41C5" w:rsidR="00D52F91">
        <w:rPr>
          <w:rFonts w:eastAsia="Times New Roman" w:cs="Times New Roman"/>
          <w:color w:val="000000"/>
          <w:szCs w:val="24"/>
        </w:rPr>
        <w:t>, the Commission estimates the appropriate wage rate based on salary information for the securities industry compiled by the Department of Labor’s Bureau of Labor Statistics (“BLS”). Commission staff arrived at an hourly rate of $72.</w:t>
      </w:r>
      <w:r w:rsidR="00D52F91">
        <w:rPr>
          <w:rFonts w:eastAsia="Times New Roman" w:cs="Times New Roman"/>
          <w:color w:val="000000"/>
          <w:szCs w:val="24"/>
        </w:rPr>
        <w:t>23</w:t>
      </w:r>
      <w:r w:rsidRPr="008F41C5" w:rsidR="00D52F91">
        <w:rPr>
          <w:rFonts w:eastAsia="Times New Roman" w:cs="Times New Roman"/>
          <w:color w:val="000000"/>
          <w:szCs w:val="24"/>
        </w:rPr>
        <w:t xml:space="preserve"> using figures from a weighted average of salaries and bonuses across different professions contained in the most recent BLS Occupational Employme</w:t>
      </w:r>
      <w:r w:rsidR="00D52F91">
        <w:rPr>
          <w:rFonts w:eastAsia="Times New Roman" w:cs="Times New Roman"/>
          <w:color w:val="000000"/>
          <w:szCs w:val="24"/>
        </w:rPr>
        <w:t xml:space="preserve">nt and Wages Report (May 2018) </w:t>
      </w:r>
      <w:r w:rsidRPr="008F41C5" w:rsidR="00D52F91">
        <w:rPr>
          <w:rFonts w:eastAsia="Times New Roman" w:cs="Times New Roman"/>
          <w:color w:val="000000"/>
          <w:szCs w:val="24"/>
        </w:rPr>
        <w:t>multiplied by 1.3 to account for overhead and other benefits. The Commission estimated appropriate wage rate is a weighted national average of mean hourly wages for the following occupations (and their relative weight): “computer programmer – industry: securities, commodity contracts, and other financial investment and related activities” (50% weight); “compliance officer – industry: securities, commodity contracts, and other financial investment and related activities” (25%); and “lawyer – legal services” (25%). Commission staff chose this methodology to account for the variance in skill sets that may be used to accomplish the collection of information.</w:t>
      </w:r>
    </w:p>
    <w:p w:rsidR="00700481" w:rsidP="00D52F91" w:rsidRDefault="00700481" w14:paraId="672A0589" w14:textId="4E20EA45">
      <w:pPr>
        <w:ind w:firstLine="720"/>
        <w:rPr>
          <w:rFonts w:eastAsia="Times New Roman" w:cs="Times New Roman"/>
          <w:color w:val="000000"/>
          <w:szCs w:val="24"/>
        </w:rPr>
      </w:pPr>
    </w:p>
    <w:p w:rsidR="00700481" w:rsidP="00D52F91" w:rsidRDefault="00700481" w14:paraId="503CF8C8" w14:textId="7A4D1EC0">
      <w:pPr>
        <w:ind w:firstLine="720"/>
        <w:rPr>
          <w:rFonts w:eastAsia="Times New Roman" w:cs="Times New Roman"/>
          <w:color w:val="000000"/>
          <w:szCs w:val="24"/>
        </w:rPr>
      </w:pPr>
      <w:r>
        <w:rPr>
          <w:rFonts w:eastAsia="Times New Roman" w:cs="Times New Roman"/>
          <w:color w:val="000000"/>
          <w:szCs w:val="24"/>
        </w:rPr>
        <w:t>More detail regarding the burden estimates for each regulatory requirement affected by the proposal is provided below.</w:t>
      </w:r>
    </w:p>
    <w:p w:rsidR="00D52F91" w:rsidP="007C3668" w:rsidRDefault="00D52F91" w14:paraId="3CDCD170" w14:textId="77777777">
      <w:pPr>
        <w:rPr>
          <w:rFonts w:eastAsia="Times New Roman" w:cs="Times New Roman"/>
          <w:color w:val="000000"/>
          <w:szCs w:val="24"/>
        </w:rPr>
      </w:pPr>
    </w:p>
    <w:p w:rsidRPr="007C3668" w:rsidR="00DE274D" w:rsidP="007C3668" w:rsidRDefault="00DE274D" w14:paraId="6D885790" w14:textId="11E6B5B0">
      <w:pPr>
        <w:rPr>
          <w:i/>
        </w:rPr>
      </w:pPr>
      <w:r w:rsidRPr="007C3668">
        <w:rPr>
          <w:i/>
        </w:rPr>
        <w:t>S</w:t>
      </w:r>
      <w:r w:rsidRPr="007C3668">
        <w:rPr>
          <w:rFonts w:hint="eastAsia"/>
          <w:i/>
        </w:rPr>
        <w:t>wap Creation Data Reporting Amendments</w:t>
      </w:r>
      <w:r w:rsidR="005A6276">
        <w:rPr>
          <w:i/>
        </w:rPr>
        <w:t xml:space="preserve"> </w:t>
      </w:r>
    </w:p>
    <w:p w:rsidRPr="003853E8" w:rsidR="003853E8" w:rsidP="003853E8" w:rsidRDefault="003853E8" w14:paraId="30A38592" w14:textId="77777777">
      <w:pPr>
        <w:pStyle w:val="ListParagraph"/>
        <w:ind w:left="1080"/>
        <w:rPr>
          <w:rFonts w:eastAsia="Times New Roman" w:cs="Times New Roman"/>
          <w:color w:val="000000"/>
          <w:szCs w:val="24"/>
        </w:rPr>
      </w:pPr>
    </w:p>
    <w:p w:rsidR="004F7FE0" w:rsidP="00F65431" w:rsidRDefault="00DE274D" w14:paraId="3A34E893" w14:textId="77777777">
      <w:pPr>
        <w:ind w:firstLine="720"/>
        <w:rPr>
          <w:rFonts w:eastAsia="Times New Roman" w:cs="Times New Roman"/>
          <w:color w:val="000000"/>
          <w:szCs w:val="24"/>
        </w:rPr>
      </w:pPr>
      <w:r w:rsidRPr="00DE274D">
        <w:rPr>
          <w:rFonts w:eastAsia="Times New Roman" w:cs="Times New Roman"/>
          <w:color w:val="000000"/>
          <w:szCs w:val="24"/>
        </w:rPr>
        <w:t>The Commission is proposing to amend § 45.3, which requires SEFs, DCMs, and reporting counterparties to report swap data to SDRs when entering into new swaps. As an initial matter, the Commission is proposing to correct the “total annual burden hour cost of all responses” in the supporting statement from $7,248 (which was the total average hour burden cost per respondent) to $12,553,536.</w:t>
      </w:r>
    </w:p>
    <w:p w:rsidRPr="00DE274D" w:rsidR="00DE274D" w:rsidP="009D5972" w:rsidRDefault="00DE274D" w14:paraId="0C572AF6" w14:textId="213758B2">
      <w:pPr>
        <w:rPr>
          <w:rFonts w:eastAsia="Times New Roman" w:cs="Times New Roman"/>
          <w:color w:val="000000"/>
          <w:szCs w:val="24"/>
        </w:rPr>
      </w:pPr>
      <w:r w:rsidRPr="00DE274D">
        <w:rPr>
          <w:rFonts w:eastAsia="Times New Roman" w:cs="Times New Roman"/>
          <w:color w:val="000000"/>
          <w:szCs w:val="24"/>
        </w:rPr>
        <w:t>Currently, § 45.3 requires SEFs, DCMs, and reporting counterparties to report confirmation data reports and PET data reports when entering into new swaps. The Commission is proposing to remove the requirement for SEFs, DCMs, and reporting counterparties to report confirmation data reports. These entities would report a single swap creation data report instead of separate PET data reports and confirmation data reports. Commission staff estimates that across the range of entities, the change could result in a 30% reduction in the number of swap creation data reports being sent to SDRs.</w:t>
      </w:r>
      <w:r w:rsidR="00F65431">
        <w:rPr>
          <w:rFonts w:eastAsia="Times New Roman" w:cs="Times New Roman"/>
          <w:color w:val="000000"/>
          <w:szCs w:val="24"/>
        </w:rPr>
        <w:t xml:space="preserve"> </w:t>
      </w:r>
      <w:r w:rsidRPr="00DE274D">
        <w:rPr>
          <w:rFonts w:eastAsia="Times New Roman" w:cs="Times New Roman"/>
          <w:color w:val="000000"/>
          <w:szCs w:val="24"/>
        </w:rPr>
        <w:t xml:space="preserve">This change would not decrease the hourly burden, but would decrease the number of reports from 10,000 reports per 1,732 respondents to 7,000 reports per respondent, or </w:t>
      </w:r>
      <w:r w:rsidR="00694CEE">
        <w:rPr>
          <w:rFonts w:eastAsia="Times New Roman" w:cs="Times New Roman"/>
          <w:color w:val="000000"/>
          <w:szCs w:val="24"/>
        </w:rPr>
        <w:t>12,124,000</w:t>
      </w:r>
      <w:r w:rsidRPr="00DE274D">
        <w:rPr>
          <w:rFonts w:eastAsia="Times New Roman" w:cs="Times New Roman"/>
          <w:color w:val="000000"/>
          <w:szCs w:val="24"/>
        </w:rPr>
        <w:t xml:space="preserve"> reports in the aggregate.</w:t>
      </w:r>
      <w:r w:rsidR="00F65431">
        <w:rPr>
          <w:rFonts w:eastAsia="Times New Roman" w:cs="Times New Roman"/>
          <w:color w:val="000000"/>
          <w:szCs w:val="24"/>
        </w:rPr>
        <w:t xml:space="preserve">  </w:t>
      </w:r>
      <w:r w:rsidRPr="00DE274D" w:rsidR="00F65431">
        <w:rPr>
          <w:rFonts w:eastAsia="Times New Roman" w:cs="Times New Roman"/>
          <w:color w:val="000000"/>
          <w:szCs w:val="24"/>
        </w:rPr>
        <w:t xml:space="preserve">The </w:t>
      </w:r>
      <w:r w:rsidR="00694CEE">
        <w:rPr>
          <w:rFonts w:eastAsia="Times New Roman" w:cs="Times New Roman"/>
          <w:color w:val="000000"/>
          <w:szCs w:val="24"/>
        </w:rPr>
        <w:t xml:space="preserve">annual hourly burden is estimated at </w:t>
      </w:r>
      <w:r w:rsidR="00F65431">
        <w:rPr>
          <w:rFonts w:eastAsia="Times New Roman" w:cs="Times New Roman"/>
          <w:color w:val="000000"/>
          <w:szCs w:val="24"/>
        </w:rPr>
        <w:t xml:space="preserve">.01 average hours per report, and </w:t>
      </w:r>
      <w:r w:rsidR="00093A0E">
        <w:rPr>
          <w:rFonts w:eastAsia="Times New Roman" w:cs="Times New Roman"/>
          <w:color w:val="000000"/>
          <w:szCs w:val="24"/>
        </w:rPr>
        <w:t>the</w:t>
      </w:r>
      <w:r w:rsidR="00F65431">
        <w:rPr>
          <w:rFonts w:eastAsia="Times New Roman" w:cs="Times New Roman"/>
          <w:color w:val="000000"/>
          <w:szCs w:val="24"/>
        </w:rPr>
        <w:t xml:space="preserve"> gross annual reporting burden </w:t>
      </w:r>
      <w:r w:rsidR="00093A0E">
        <w:rPr>
          <w:rFonts w:eastAsia="Times New Roman" w:cs="Times New Roman"/>
          <w:color w:val="000000"/>
          <w:szCs w:val="24"/>
        </w:rPr>
        <w:t>is estimated at</w:t>
      </w:r>
      <w:r w:rsidR="00F65431">
        <w:rPr>
          <w:rFonts w:eastAsia="Times New Roman" w:cs="Times New Roman"/>
          <w:color w:val="000000"/>
          <w:szCs w:val="24"/>
        </w:rPr>
        <w:t xml:space="preserve"> 121,240</w:t>
      </w:r>
      <w:r w:rsidRPr="00560B0C" w:rsidR="00F65431">
        <w:rPr>
          <w:rFonts w:eastAsia="Times New Roman" w:cs="Times New Roman"/>
          <w:color w:val="000000"/>
          <w:szCs w:val="24"/>
        </w:rPr>
        <w:t xml:space="preserve"> </w:t>
      </w:r>
      <w:r w:rsidR="00F65431">
        <w:rPr>
          <w:rFonts w:eastAsia="Times New Roman" w:cs="Times New Roman"/>
          <w:color w:val="000000"/>
          <w:szCs w:val="24"/>
        </w:rPr>
        <w:t>hours</w:t>
      </w:r>
      <w:r w:rsidR="00694CEE">
        <w:rPr>
          <w:rFonts w:eastAsia="Times New Roman" w:cs="Times New Roman"/>
          <w:color w:val="000000"/>
          <w:szCs w:val="24"/>
        </w:rPr>
        <w:t>.</w:t>
      </w:r>
      <w:r w:rsidR="003853E8">
        <w:rPr>
          <w:rFonts w:eastAsia="Times New Roman" w:cs="Times New Roman"/>
          <w:color w:val="000000"/>
          <w:szCs w:val="24"/>
        </w:rPr>
        <w:br/>
      </w:r>
    </w:p>
    <w:p w:rsidRPr="00DE274D" w:rsidR="00DE274D" w:rsidP="003853E8" w:rsidRDefault="00DE274D" w14:paraId="39CF4552" w14:textId="4E6EDFC3">
      <w:pPr>
        <w:ind w:firstLine="720"/>
        <w:rPr>
          <w:rFonts w:eastAsia="Times New Roman" w:cs="Times New Roman"/>
          <w:color w:val="000000"/>
          <w:szCs w:val="24"/>
        </w:rPr>
      </w:pPr>
      <w:r w:rsidRPr="00DE274D">
        <w:rPr>
          <w:rFonts w:eastAsia="Times New Roman" w:cs="Times New Roman"/>
          <w:color w:val="000000"/>
          <w:szCs w:val="24"/>
        </w:rPr>
        <w:t xml:space="preserve">The Commission is also proposing to remove the requirement for SEFs, DCMs, and reporting counterparties to report </w:t>
      </w:r>
      <w:r w:rsidR="00A24CC8">
        <w:rPr>
          <w:rFonts w:eastAsia="Times New Roman" w:cs="Times New Roman"/>
          <w:color w:val="000000"/>
          <w:szCs w:val="24"/>
        </w:rPr>
        <w:t>trade repository (“</w:t>
      </w:r>
      <w:r w:rsidRPr="00DE274D">
        <w:rPr>
          <w:rFonts w:eastAsia="Times New Roman" w:cs="Times New Roman"/>
          <w:color w:val="000000"/>
          <w:szCs w:val="24"/>
        </w:rPr>
        <w:t>TR</w:t>
      </w:r>
      <w:r w:rsidR="00A24CC8">
        <w:rPr>
          <w:rFonts w:eastAsia="Times New Roman" w:cs="Times New Roman"/>
          <w:color w:val="000000"/>
          <w:szCs w:val="24"/>
        </w:rPr>
        <w:t>”)</w:t>
      </w:r>
      <w:r w:rsidRPr="00DE274D">
        <w:rPr>
          <w:rFonts w:eastAsia="Times New Roman" w:cs="Times New Roman"/>
          <w:color w:val="000000"/>
          <w:szCs w:val="24"/>
        </w:rPr>
        <w:t xml:space="preserve"> identifiers and swap identifiers for international swaps. This proposed amendment would remove the requirement to report two pieces of information within a required swap creation data report, without impacting the number of reports themselves. The requirement to report swap identifiers is duplicative, and would not change the burden estimate, as SEFs, DCMs, and reporting counterparties are required to report swap identifiers for all swap</w:t>
      </w:r>
      <w:r w:rsidR="006E787F">
        <w:rPr>
          <w:rFonts w:eastAsia="Times New Roman" w:cs="Times New Roman"/>
          <w:color w:val="000000"/>
          <w:szCs w:val="24"/>
        </w:rPr>
        <w:t>s</w:t>
      </w:r>
      <w:r w:rsidRPr="00DE274D">
        <w:rPr>
          <w:rFonts w:eastAsia="Times New Roman" w:cs="Times New Roman"/>
          <w:color w:val="000000"/>
          <w:szCs w:val="24"/>
        </w:rPr>
        <w:t xml:space="preserve"> pursuant to § 45.5. However, the removal of the requirement to report TR identifiers would slightly reduce the amount of time required to make each report, as SEFs, DCMs, and reporting counterparties would not need to report this information anymore. Therefore, the Commission estimates the removal of this requirement would lower the burden hours by .01 hour per report.</w:t>
      </w:r>
      <w:r w:rsidR="00027515">
        <w:rPr>
          <w:rFonts w:eastAsia="Times New Roman" w:cs="Times New Roman"/>
          <w:color w:val="000000"/>
          <w:szCs w:val="24"/>
        </w:rPr>
        <w:t xml:space="preserve">  </w:t>
      </w:r>
      <w:r w:rsidRPr="00DE274D">
        <w:rPr>
          <w:rFonts w:eastAsia="Times New Roman" w:cs="Times New Roman"/>
          <w:color w:val="000000"/>
          <w:szCs w:val="24"/>
        </w:rPr>
        <w:t xml:space="preserve">However, at the same time, the Commission is proposing to require the reporting of UTIs instead of USIs, which are currently being reported in every required swap </w:t>
      </w:r>
      <w:r w:rsidRPr="00DE274D">
        <w:rPr>
          <w:rFonts w:eastAsia="Times New Roman" w:cs="Times New Roman"/>
          <w:color w:val="000000"/>
          <w:szCs w:val="24"/>
        </w:rPr>
        <w:lastRenderedPageBreak/>
        <w:t xml:space="preserve">creation data report. </w:t>
      </w:r>
      <w:r w:rsidR="006E787F">
        <w:rPr>
          <w:rFonts w:eastAsia="Times New Roman" w:cs="Times New Roman"/>
          <w:color w:val="000000"/>
          <w:szCs w:val="24"/>
        </w:rPr>
        <w:t>The</w:t>
      </w:r>
      <w:r w:rsidRPr="00DE274D">
        <w:rPr>
          <w:rFonts w:eastAsia="Times New Roman" w:cs="Times New Roman"/>
          <w:color w:val="000000"/>
          <w:szCs w:val="24"/>
        </w:rPr>
        <w:t xml:space="preserve"> Commission estimates the new rules requiring SEFs, DCMs, SDRs, and reporting counterparties to change from reporting USIs to UTIs would impact the burden calculations for § 45.3 by increasing the burden hours by .01 hour per report. As a result, the Commission estimates there will be no </w:t>
      </w:r>
      <w:r w:rsidR="006E787F">
        <w:rPr>
          <w:rFonts w:eastAsia="Times New Roman" w:cs="Times New Roman"/>
          <w:color w:val="000000"/>
          <w:szCs w:val="24"/>
        </w:rPr>
        <w:t xml:space="preserve">net </w:t>
      </w:r>
      <w:r w:rsidRPr="00DE274D">
        <w:rPr>
          <w:rFonts w:eastAsia="Times New Roman" w:cs="Times New Roman"/>
          <w:color w:val="000000"/>
          <w:szCs w:val="24"/>
        </w:rPr>
        <w:t xml:space="preserve">change to the burden hours </w:t>
      </w:r>
      <w:r w:rsidR="006E787F">
        <w:rPr>
          <w:rFonts w:eastAsia="Times New Roman" w:cs="Times New Roman"/>
          <w:color w:val="000000"/>
          <w:szCs w:val="24"/>
        </w:rPr>
        <w:t xml:space="preserve">per report </w:t>
      </w:r>
      <w:r w:rsidRPr="00DE274D">
        <w:rPr>
          <w:rFonts w:eastAsia="Times New Roman" w:cs="Times New Roman"/>
          <w:color w:val="000000"/>
          <w:szCs w:val="24"/>
        </w:rPr>
        <w:t>for § 45.3 required swap creation data reporting</w:t>
      </w:r>
      <w:r w:rsidR="006E787F">
        <w:rPr>
          <w:rFonts w:eastAsia="Times New Roman" w:cs="Times New Roman"/>
          <w:color w:val="000000"/>
          <w:szCs w:val="24"/>
        </w:rPr>
        <w:t>, which would remain at .01 average burden hours per report</w:t>
      </w:r>
      <w:r w:rsidRPr="00DE274D">
        <w:rPr>
          <w:rFonts w:eastAsia="Times New Roman" w:cs="Times New Roman"/>
          <w:color w:val="000000"/>
          <w:szCs w:val="24"/>
        </w:rPr>
        <w:t>.</w:t>
      </w:r>
      <w:r w:rsidR="003853E8">
        <w:rPr>
          <w:rFonts w:eastAsia="Times New Roman" w:cs="Times New Roman"/>
          <w:color w:val="000000"/>
          <w:szCs w:val="24"/>
        </w:rPr>
        <w:br/>
      </w:r>
    </w:p>
    <w:p w:rsidR="00027515" w:rsidP="003853E8" w:rsidRDefault="00DE274D" w14:paraId="58F62BAD" w14:textId="0078B001">
      <w:pPr>
        <w:ind w:firstLine="720"/>
        <w:rPr>
          <w:rFonts w:eastAsia="Times New Roman" w:cs="Times New Roman"/>
          <w:color w:val="000000"/>
          <w:szCs w:val="24"/>
        </w:rPr>
      </w:pPr>
      <w:r w:rsidRPr="00DE274D">
        <w:rPr>
          <w:rFonts w:eastAsia="Times New Roman" w:cs="Times New Roman"/>
          <w:color w:val="000000"/>
          <w:szCs w:val="24"/>
        </w:rPr>
        <w:t xml:space="preserve">The aggregate </w:t>
      </w:r>
      <w:r w:rsidR="00027515">
        <w:rPr>
          <w:rFonts w:eastAsia="Times New Roman" w:cs="Times New Roman"/>
          <w:color w:val="000000"/>
          <w:szCs w:val="24"/>
        </w:rPr>
        <w:t>burden under proposed</w:t>
      </w:r>
      <w:r w:rsidRPr="00DE274D">
        <w:rPr>
          <w:rFonts w:eastAsia="Times New Roman" w:cs="Times New Roman"/>
          <w:color w:val="000000"/>
          <w:szCs w:val="24"/>
        </w:rPr>
        <w:t xml:space="preserve"> § 4</w:t>
      </w:r>
      <w:r w:rsidR="00027515">
        <w:rPr>
          <w:rFonts w:eastAsia="Times New Roman" w:cs="Times New Roman"/>
          <w:color w:val="000000"/>
          <w:szCs w:val="24"/>
        </w:rPr>
        <w:t>5</w:t>
      </w:r>
      <w:r w:rsidR="00560B0C">
        <w:rPr>
          <w:rFonts w:eastAsia="Times New Roman" w:cs="Times New Roman"/>
          <w:color w:val="000000"/>
          <w:szCs w:val="24"/>
        </w:rPr>
        <w:t xml:space="preserve">.3 </w:t>
      </w:r>
      <w:r w:rsidRPr="00DE274D">
        <w:rPr>
          <w:rFonts w:eastAsia="Times New Roman" w:cs="Times New Roman"/>
          <w:color w:val="000000"/>
          <w:szCs w:val="24"/>
        </w:rPr>
        <w:t xml:space="preserve">is </w:t>
      </w:r>
      <w:r w:rsidR="00027515">
        <w:rPr>
          <w:rFonts w:eastAsia="Times New Roman" w:cs="Times New Roman"/>
          <w:color w:val="000000"/>
          <w:szCs w:val="24"/>
        </w:rPr>
        <w:t xml:space="preserve">estimated to apply to 1,732 respondents, </w:t>
      </w:r>
      <w:r w:rsidR="006E787F">
        <w:rPr>
          <w:rFonts w:eastAsia="Times New Roman" w:cs="Times New Roman"/>
          <w:color w:val="000000"/>
          <w:szCs w:val="24"/>
        </w:rPr>
        <w:t xml:space="preserve">which would file on average </w:t>
      </w:r>
      <w:r w:rsidR="00027515">
        <w:rPr>
          <w:rFonts w:eastAsia="Times New Roman" w:cs="Times New Roman"/>
          <w:color w:val="000000"/>
          <w:szCs w:val="24"/>
        </w:rPr>
        <w:t xml:space="preserve">7000 reports </w:t>
      </w:r>
      <w:r w:rsidR="006E787F">
        <w:rPr>
          <w:rFonts w:eastAsia="Times New Roman" w:cs="Times New Roman"/>
          <w:color w:val="000000"/>
          <w:szCs w:val="24"/>
        </w:rPr>
        <w:t xml:space="preserve">annually </w:t>
      </w:r>
      <w:r w:rsidR="00027515">
        <w:rPr>
          <w:rFonts w:eastAsia="Times New Roman" w:cs="Times New Roman"/>
          <w:color w:val="000000"/>
          <w:szCs w:val="24"/>
        </w:rPr>
        <w:t>per respondent</w:t>
      </w:r>
      <w:r w:rsidR="006E787F">
        <w:rPr>
          <w:rFonts w:eastAsia="Times New Roman" w:cs="Times New Roman"/>
          <w:color w:val="000000"/>
          <w:szCs w:val="24"/>
        </w:rPr>
        <w:t xml:space="preserve"> at</w:t>
      </w:r>
      <w:r w:rsidR="00027515">
        <w:rPr>
          <w:rFonts w:eastAsia="Times New Roman" w:cs="Times New Roman"/>
          <w:color w:val="000000"/>
          <w:szCs w:val="24"/>
        </w:rPr>
        <w:t xml:space="preserve"> .01 average hours per report, and a gross annual reporting burden of 121,240 hours. </w:t>
      </w:r>
    </w:p>
    <w:p w:rsidRPr="00DE274D" w:rsidR="00DE274D" w:rsidP="00027515" w:rsidRDefault="00DE274D" w14:paraId="4ABAF835" w14:textId="78623525">
      <w:pPr>
        <w:ind w:firstLine="720"/>
        <w:rPr>
          <w:rFonts w:eastAsia="Times New Roman" w:cs="Times New Roman"/>
          <w:color w:val="000000"/>
          <w:szCs w:val="24"/>
        </w:rPr>
      </w:pPr>
    </w:p>
    <w:p w:rsidRPr="00027515" w:rsidR="00DE274D" w:rsidP="003853E8" w:rsidRDefault="00DE274D" w14:paraId="01D0E1C0" w14:textId="446548A3">
      <w:pPr>
        <w:ind w:firstLine="720"/>
        <w:rPr>
          <w:rFonts w:eastAsia="Times New Roman" w:cs="Times New Roman"/>
          <w:i/>
          <w:color w:val="000000"/>
          <w:szCs w:val="24"/>
        </w:rPr>
      </w:pPr>
      <w:r w:rsidRPr="00027515">
        <w:rPr>
          <w:rFonts w:eastAsia="Times New Roman" w:cs="Times New Roman"/>
          <w:i/>
          <w:color w:val="000000"/>
          <w:szCs w:val="24"/>
        </w:rPr>
        <w:t>Swap Continuation Data Reporting Amendments</w:t>
      </w:r>
      <w:r w:rsidRPr="00027515" w:rsidR="003853E8">
        <w:rPr>
          <w:rFonts w:eastAsia="Times New Roman" w:cs="Times New Roman"/>
          <w:i/>
          <w:color w:val="000000"/>
          <w:szCs w:val="24"/>
        </w:rPr>
        <w:br/>
      </w:r>
    </w:p>
    <w:p w:rsidRPr="00DE274D" w:rsidR="00DE274D" w:rsidP="003853E8" w:rsidRDefault="00DE274D" w14:paraId="457123B8" w14:textId="11A8D7C2">
      <w:pPr>
        <w:ind w:firstLine="720"/>
        <w:rPr>
          <w:rFonts w:eastAsia="Times New Roman" w:cs="Times New Roman"/>
          <w:color w:val="000000"/>
          <w:szCs w:val="24"/>
        </w:rPr>
      </w:pPr>
      <w:r w:rsidRPr="00DE274D">
        <w:rPr>
          <w:rFonts w:eastAsia="Times New Roman" w:cs="Times New Roman"/>
          <w:color w:val="000000"/>
          <w:szCs w:val="24"/>
        </w:rPr>
        <w:t>The Commission is proposing to amend § 45.4, which requires reporting counterparties to report data to SDRs when swap terms change and daily swap valuation data. As an initial matter, the Commission is proposing to correct the estimated number of respondents in the supporting statement from 1,732 to 1,705, to reflect the fact that SEFs and DCMs do not report required swap continuation data under § 45.4.</w:t>
      </w:r>
      <w:r w:rsidR="004F7FE0">
        <w:rPr>
          <w:rFonts w:eastAsia="Times New Roman" w:cs="Times New Roman"/>
          <w:color w:val="000000"/>
          <w:szCs w:val="24"/>
        </w:rPr>
        <w:t xml:space="preserve">  </w:t>
      </w:r>
      <w:r w:rsidR="003853E8">
        <w:rPr>
          <w:rFonts w:eastAsia="Times New Roman" w:cs="Times New Roman"/>
          <w:color w:val="000000"/>
          <w:szCs w:val="24"/>
        </w:rPr>
        <w:br/>
      </w:r>
    </w:p>
    <w:p w:rsidRPr="00DE274D" w:rsidR="00DE274D" w:rsidP="003853E8" w:rsidRDefault="00DE274D" w14:paraId="2216DE6D" w14:textId="6F699BBD">
      <w:pPr>
        <w:ind w:firstLine="720"/>
        <w:rPr>
          <w:rFonts w:eastAsia="Times New Roman" w:cs="Times New Roman"/>
          <w:color w:val="000000"/>
          <w:szCs w:val="24"/>
        </w:rPr>
      </w:pPr>
      <w:r w:rsidRPr="00DE274D">
        <w:rPr>
          <w:rFonts w:eastAsia="Times New Roman" w:cs="Times New Roman"/>
          <w:color w:val="000000"/>
          <w:szCs w:val="24"/>
        </w:rPr>
        <w:t xml:space="preserve">Currently, § 45.4 permits reporting counterparties to report changes to swap terms when they occur (life cycle reporting), or to provide a daily report of </w:t>
      </w:r>
      <w:proofErr w:type="gramStart"/>
      <w:r w:rsidRPr="00DE274D">
        <w:rPr>
          <w:rFonts w:eastAsia="Times New Roman" w:cs="Times New Roman"/>
          <w:color w:val="000000"/>
          <w:szCs w:val="24"/>
        </w:rPr>
        <w:t>all of the</w:t>
      </w:r>
      <w:proofErr w:type="gramEnd"/>
      <w:r w:rsidRPr="00DE274D">
        <w:rPr>
          <w:rFonts w:eastAsia="Times New Roman" w:cs="Times New Roman"/>
          <w:color w:val="000000"/>
          <w:szCs w:val="24"/>
        </w:rPr>
        <w:t xml:space="preserve"> swap terms (state data reporting). The Commission is proposing to remove the option for state data reporting. Reporting counterparties would report data to SDRs only when swap terms change. Commission staff estimates that across asset class</w:t>
      </w:r>
      <w:r w:rsidR="00B10E93">
        <w:rPr>
          <w:rFonts w:eastAsia="Times New Roman" w:cs="Times New Roman"/>
          <w:color w:val="000000"/>
          <w:szCs w:val="24"/>
        </w:rPr>
        <w:t>es</w:t>
      </w:r>
      <w:r w:rsidRPr="00DE274D">
        <w:rPr>
          <w:rFonts w:eastAsia="Times New Roman" w:cs="Times New Roman"/>
          <w:color w:val="000000"/>
          <w:szCs w:val="24"/>
        </w:rPr>
        <w:t xml:space="preserve"> for each respondent, the number of reports would </w:t>
      </w:r>
      <w:r w:rsidR="00C00862">
        <w:rPr>
          <w:rFonts w:eastAsia="Times New Roman" w:cs="Times New Roman"/>
          <w:color w:val="000000"/>
          <w:szCs w:val="24"/>
        </w:rPr>
        <w:t>be reduced</w:t>
      </w:r>
      <w:r w:rsidRPr="00DE274D">
        <w:rPr>
          <w:rFonts w:eastAsia="Times New Roman" w:cs="Times New Roman"/>
          <w:color w:val="000000"/>
          <w:szCs w:val="24"/>
        </w:rPr>
        <w:t xml:space="preserve"> from 207,543 reports per respondent to 103,772 reports per respondent.</w:t>
      </w:r>
      <w:r w:rsidR="003853E8">
        <w:rPr>
          <w:rFonts w:eastAsia="Times New Roman" w:cs="Times New Roman"/>
          <w:color w:val="000000"/>
          <w:szCs w:val="24"/>
        </w:rPr>
        <w:br/>
      </w:r>
    </w:p>
    <w:p w:rsidRPr="00DE274D" w:rsidR="00DE274D" w:rsidP="003853E8" w:rsidRDefault="00DE274D" w14:paraId="625FB0F2" w14:textId="2C303B0D">
      <w:pPr>
        <w:ind w:firstLine="720"/>
        <w:rPr>
          <w:rFonts w:eastAsia="Times New Roman" w:cs="Times New Roman"/>
          <w:color w:val="000000"/>
          <w:szCs w:val="24"/>
        </w:rPr>
      </w:pPr>
      <w:r w:rsidRPr="00DE274D">
        <w:rPr>
          <w:rFonts w:eastAsia="Times New Roman" w:cs="Times New Roman"/>
          <w:color w:val="000000"/>
          <w:szCs w:val="24"/>
        </w:rPr>
        <w:t xml:space="preserve">The Commission is </w:t>
      </w:r>
      <w:r w:rsidR="00C00862">
        <w:rPr>
          <w:rFonts w:eastAsia="Times New Roman" w:cs="Times New Roman"/>
          <w:color w:val="000000"/>
          <w:szCs w:val="24"/>
        </w:rPr>
        <w:t xml:space="preserve">also </w:t>
      </w:r>
      <w:r w:rsidRPr="00DE274D">
        <w:rPr>
          <w:rFonts w:eastAsia="Times New Roman" w:cs="Times New Roman"/>
          <w:color w:val="000000"/>
          <w:szCs w:val="24"/>
        </w:rPr>
        <w:t xml:space="preserve">proposing to remove the requirement for non-SD/MSP/DCO reporting counterparties to report quarterly valuation data. For the 1,585 non-SD/MSP/DCO reporting counterparties, the Commission believes this change would further reduce the number of required swap continuation data reports being sent by 4 quarterly reports per 1,585 non-SD/MSP/DCO reporting counterparties, from </w:t>
      </w:r>
      <w:r w:rsidRPr="00DE274D" w:rsidR="007A6B73">
        <w:rPr>
          <w:rFonts w:eastAsia="Times New Roman" w:cs="Times New Roman"/>
          <w:color w:val="000000"/>
          <w:szCs w:val="24"/>
        </w:rPr>
        <w:t>10</w:t>
      </w:r>
      <w:r w:rsidR="007A6B73">
        <w:rPr>
          <w:rFonts w:eastAsia="Times New Roman" w:cs="Times New Roman"/>
          <w:color w:val="000000"/>
          <w:szCs w:val="24"/>
        </w:rPr>
        <w:t>3</w:t>
      </w:r>
      <w:r w:rsidRPr="00DE274D">
        <w:rPr>
          <w:rFonts w:eastAsia="Times New Roman" w:cs="Times New Roman"/>
          <w:color w:val="000000"/>
          <w:szCs w:val="24"/>
        </w:rPr>
        <w:t>,772 reports per respondent to 97,431 reports per respondent.</w:t>
      </w:r>
      <w:r w:rsidR="003853E8">
        <w:rPr>
          <w:rFonts w:eastAsia="Times New Roman" w:cs="Times New Roman"/>
          <w:color w:val="000000"/>
          <w:szCs w:val="24"/>
        </w:rPr>
        <w:br/>
      </w:r>
    </w:p>
    <w:p w:rsidRPr="00DE274D" w:rsidR="00DE274D" w:rsidP="003853E8" w:rsidRDefault="00DE274D" w14:paraId="0C141A58" w14:textId="51562F93">
      <w:pPr>
        <w:ind w:firstLine="720"/>
        <w:rPr>
          <w:rFonts w:eastAsia="Times New Roman" w:cs="Times New Roman"/>
          <w:color w:val="000000"/>
          <w:szCs w:val="24"/>
        </w:rPr>
      </w:pPr>
      <w:r w:rsidRPr="00DE274D">
        <w:rPr>
          <w:rFonts w:eastAsia="Times New Roman" w:cs="Times New Roman"/>
          <w:color w:val="000000"/>
          <w:szCs w:val="24"/>
        </w:rPr>
        <w:t>Separately, the Commission is proposing to expand the daily valuation data reporting requirement for SD/MSP/DCO reporting counterparties to report margin and collateral data in addition to valuation data. The frequency of the report would not change, but the Commission expects SD/MSP/DCO reporting counterparties would require more time to prepare each report. However, since all of this information is reported electronically, the Commission expects the increase per report to be small. The burden associated with these changes is anticipated to result in an increase from .003 to .004 hours per report.</w:t>
      </w:r>
      <w:r w:rsidR="003853E8">
        <w:rPr>
          <w:rFonts w:eastAsia="Times New Roman" w:cs="Times New Roman"/>
          <w:color w:val="000000"/>
          <w:szCs w:val="24"/>
        </w:rPr>
        <w:br/>
      </w:r>
    </w:p>
    <w:p w:rsidRPr="00DE274D" w:rsidR="00DE274D" w:rsidP="00560B0C" w:rsidRDefault="00560B0C" w14:paraId="1196BEDB" w14:textId="6D401825">
      <w:pPr>
        <w:ind w:firstLine="720"/>
        <w:rPr>
          <w:rFonts w:eastAsia="Times New Roman" w:cs="Times New Roman"/>
          <w:color w:val="000000"/>
          <w:szCs w:val="24"/>
        </w:rPr>
      </w:pPr>
      <w:r w:rsidRPr="00DE274D">
        <w:rPr>
          <w:rFonts w:eastAsia="Times New Roman" w:cs="Times New Roman"/>
          <w:color w:val="000000"/>
          <w:szCs w:val="24"/>
        </w:rPr>
        <w:t xml:space="preserve">The new aggregate </w:t>
      </w:r>
      <w:r>
        <w:rPr>
          <w:rFonts w:eastAsia="Times New Roman" w:cs="Times New Roman"/>
          <w:color w:val="000000"/>
          <w:szCs w:val="24"/>
        </w:rPr>
        <w:t>burden under proposed</w:t>
      </w:r>
      <w:r w:rsidRPr="00DE274D">
        <w:rPr>
          <w:rFonts w:eastAsia="Times New Roman" w:cs="Times New Roman"/>
          <w:color w:val="000000"/>
          <w:szCs w:val="24"/>
        </w:rPr>
        <w:t xml:space="preserve"> § 4</w:t>
      </w:r>
      <w:r>
        <w:rPr>
          <w:rFonts w:eastAsia="Times New Roman" w:cs="Times New Roman"/>
          <w:color w:val="000000"/>
          <w:szCs w:val="24"/>
        </w:rPr>
        <w:t xml:space="preserve">5.4 </w:t>
      </w:r>
      <w:r w:rsidRPr="00DE274D">
        <w:rPr>
          <w:rFonts w:eastAsia="Times New Roman" w:cs="Times New Roman"/>
          <w:color w:val="000000"/>
          <w:szCs w:val="24"/>
        </w:rPr>
        <w:t xml:space="preserve">is </w:t>
      </w:r>
      <w:r>
        <w:rPr>
          <w:rFonts w:eastAsia="Times New Roman" w:cs="Times New Roman"/>
          <w:color w:val="000000"/>
          <w:szCs w:val="24"/>
        </w:rPr>
        <w:t>estimated to apply to 1,705 respondents, with 97,341 reports per respondent, .004 average hours pe</w:t>
      </w:r>
      <w:r w:rsidR="00951AAD">
        <w:rPr>
          <w:rFonts w:eastAsia="Times New Roman" w:cs="Times New Roman"/>
          <w:color w:val="000000"/>
          <w:szCs w:val="24"/>
        </w:rPr>
        <w:t>r report, and a gross annual re</w:t>
      </w:r>
      <w:r>
        <w:rPr>
          <w:rFonts w:eastAsia="Times New Roman" w:cs="Times New Roman"/>
          <w:color w:val="000000"/>
          <w:szCs w:val="24"/>
        </w:rPr>
        <w:t xml:space="preserve">porting burden of </w:t>
      </w:r>
      <w:r w:rsidRPr="00560B0C">
        <w:rPr>
          <w:rFonts w:eastAsia="Times New Roman" w:cs="Times New Roman"/>
          <w:color w:val="000000"/>
          <w:szCs w:val="24"/>
        </w:rPr>
        <w:t>664,479</w:t>
      </w:r>
      <w:r>
        <w:rPr>
          <w:rFonts w:eastAsia="Times New Roman" w:cs="Times New Roman"/>
          <w:color w:val="000000"/>
          <w:szCs w:val="24"/>
        </w:rPr>
        <w:t xml:space="preserve"> hours. </w:t>
      </w:r>
      <w:r w:rsidR="003853E8">
        <w:rPr>
          <w:rFonts w:eastAsia="Times New Roman" w:cs="Times New Roman"/>
          <w:color w:val="000000"/>
          <w:szCs w:val="24"/>
        </w:rPr>
        <w:br/>
      </w:r>
    </w:p>
    <w:p w:rsidRPr="00027515" w:rsidR="00DE274D" w:rsidP="003853E8" w:rsidRDefault="00DE274D" w14:paraId="5F249A3E" w14:textId="1B11B359">
      <w:pPr>
        <w:ind w:firstLine="720"/>
        <w:rPr>
          <w:rFonts w:eastAsia="Times New Roman" w:cs="Times New Roman"/>
          <w:i/>
          <w:color w:val="000000"/>
          <w:szCs w:val="24"/>
        </w:rPr>
      </w:pPr>
      <w:r w:rsidRPr="00027515">
        <w:rPr>
          <w:rFonts w:eastAsia="Times New Roman" w:cs="Times New Roman"/>
          <w:i/>
          <w:color w:val="000000"/>
          <w:szCs w:val="24"/>
        </w:rPr>
        <w:lastRenderedPageBreak/>
        <w:t>Unique Swap Identifiers</w:t>
      </w:r>
      <w:r w:rsidRPr="00027515" w:rsidR="003853E8">
        <w:rPr>
          <w:rFonts w:eastAsia="Times New Roman" w:cs="Times New Roman"/>
          <w:i/>
          <w:color w:val="000000"/>
          <w:szCs w:val="24"/>
        </w:rPr>
        <w:br/>
      </w:r>
    </w:p>
    <w:p w:rsidRPr="00DE274D" w:rsidR="00DE274D" w:rsidP="003853E8" w:rsidRDefault="00DE274D" w14:paraId="1A3E2FB1" w14:textId="116DCBC3">
      <w:pPr>
        <w:ind w:firstLine="720"/>
        <w:rPr>
          <w:rFonts w:eastAsia="Times New Roman" w:cs="Times New Roman"/>
          <w:color w:val="000000"/>
          <w:szCs w:val="24"/>
        </w:rPr>
      </w:pPr>
      <w:r w:rsidRPr="00DE274D">
        <w:rPr>
          <w:rFonts w:eastAsia="Times New Roman" w:cs="Times New Roman"/>
          <w:color w:val="000000"/>
          <w:szCs w:val="24"/>
        </w:rPr>
        <w:t>The Commission is proposing to amend § 45.5, which requires SEFs, DCMs, reporting counterparties, and SDRs to generate and transmit USIs. As an initial matter, the Commission is proposing to correct the estimated number of respondents and the estimated number of reports per each respondent. Currently, SDRs, SDs, MSPs, SEFs, and DCMs are required to generate USIs, but the Commission inadvertently had included the 1,585 non-SD/MSP/DCO reporting counterparties. The Commission is proposing to therefore update the number or respondents to 147 SDs, MSPs, SEFs, DCMs, DCOs, and SDRs. However, these entities generate USIs on behalf of non-SD/MSP/DCO reporting counterparties for all swaps, so the estimated number of reports per each respondents would increase to 115,646 reports per 147 respondents to account for the 17,000,000 new swaps reported each year with USIs.</w:t>
      </w:r>
      <w:r w:rsidR="003853E8">
        <w:rPr>
          <w:rFonts w:eastAsia="Times New Roman" w:cs="Times New Roman"/>
          <w:color w:val="000000"/>
          <w:szCs w:val="24"/>
        </w:rPr>
        <w:br/>
      </w:r>
    </w:p>
    <w:p w:rsidRPr="00DE274D" w:rsidR="00DE274D" w:rsidP="003853E8" w:rsidRDefault="00DE274D" w14:paraId="004537F5" w14:textId="75C810CB">
      <w:pPr>
        <w:ind w:firstLine="720"/>
        <w:rPr>
          <w:rFonts w:eastAsia="Times New Roman" w:cs="Times New Roman"/>
          <w:color w:val="000000"/>
          <w:szCs w:val="24"/>
        </w:rPr>
      </w:pPr>
      <w:r w:rsidRPr="00DE274D">
        <w:rPr>
          <w:rFonts w:eastAsia="Times New Roman" w:cs="Times New Roman"/>
          <w:color w:val="000000"/>
          <w:szCs w:val="24"/>
        </w:rPr>
        <w:t>Currently, § 45.5 requires SDRs to generate and transmit USIs for off-facility swaps with a non-SD/MSP reporting counterparty. The Commission is proposing to amend § 45.5 to require non-SD/MSP/DCO reporting counterparties that are financial entities to generate and transmit UTIs for off-facility swaps. The Commission estimates that approximately half of non-SD/MSP/DCO reporting counterparties are financial entities. Therefore, the Commission estimates that the number of respondents would increase from 147 SDs, MSPs, SEFs, DCMs, DCOs, and SDRs to 940 with the addition of financial entities.</w:t>
      </w:r>
      <w:r w:rsidR="00DF6F26">
        <w:rPr>
          <w:rFonts w:eastAsia="Times New Roman" w:cs="Times New Roman"/>
          <w:color w:val="000000"/>
          <w:szCs w:val="24"/>
        </w:rPr>
        <w:t xml:space="preserve">  </w:t>
      </w:r>
      <w:r w:rsidRPr="00DE274D">
        <w:rPr>
          <w:rFonts w:eastAsia="Times New Roman" w:cs="Times New Roman"/>
          <w:color w:val="000000"/>
          <w:szCs w:val="24"/>
        </w:rPr>
        <w:t>At the same time, however, this would lower the number of UTIs generated per respondent to account for the increase in the number of respondents generating UTIs. The Commission estimates the estimated number of reports per respondent would decrease from 115,646 reports from 147 respondents to 18,085 reports from 940 respondents.</w:t>
      </w:r>
      <w:r w:rsidR="003853E8">
        <w:rPr>
          <w:rFonts w:eastAsia="Times New Roman" w:cs="Times New Roman"/>
          <w:color w:val="000000"/>
          <w:szCs w:val="24"/>
        </w:rPr>
        <w:br/>
      </w:r>
    </w:p>
    <w:p w:rsidRPr="009837C6" w:rsidR="00DE274D" w:rsidP="00560B0C" w:rsidRDefault="00560B0C" w14:paraId="3AC11F96" w14:textId="062EA8A2">
      <w:pPr>
        <w:ind w:firstLine="720"/>
        <w:rPr>
          <w:rFonts w:eastAsia="Times New Roman" w:cs="Times New Roman"/>
          <w:color w:val="000000"/>
          <w:szCs w:val="24"/>
        </w:rPr>
      </w:pPr>
      <w:r w:rsidRPr="00DE274D">
        <w:rPr>
          <w:rFonts w:eastAsia="Times New Roman" w:cs="Times New Roman"/>
          <w:color w:val="000000"/>
          <w:szCs w:val="24"/>
        </w:rPr>
        <w:t xml:space="preserve">The new aggregate </w:t>
      </w:r>
      <w:r>
        <w:rPr>
          <w:rFonts w:eastAsia="Times New Roman" w:cs="Times New Roman"/>
          <w:color w:val="000000"/>
          <w:szCs w:val="24"/>
        </w:rPr>
        <w:t>burden under proposed</w:t>
      </w:r>
      <w:r w:rsidRPr="00DE274D">
        <w:rPr>
          <w:rFonts w:eastAsia="Times New Roman" w:cs="Times New Roman"/>
          <w:color w:val="000000"/>
          <w:szCs w:val="24"/>
        </w:rPr>
        <w:t xml:space="preserve"> § 4</w:t>
      </w:r>
      <w:r>
        <w:rPr>
          <w:rFonts w:eastAsia="Times New Roman" w:cs="Times New Roman"/>
          <w:color w:val="000000"/>
          <w:szCs w:val="24"/>
        </w:rPr>
        <w:t xml:space="preserve">5.5 </w:t>
      </w:r>
      <w:r w:rsidRPr="00DE274D">
        <w:rPr>
          <w:rFonts w:eastAsia="Times New Roman" w:cs="Times New Roman"/>
          <w:color w:val="000000"/>
          <w:szCs w:val="24"/>
        </w:rPr>
        <w:t xml:space="preserve">is </w:t>
      </w:r>
      <w:r>
        <w:rPr>
          <w:rFonts w:eastAsia="Times New Roman" w:cs="Times New Roman"/>
          <w:color w:val="000000"/>
          <w:szCs w:val="24"/>
        </w:rPr>
        <w:t xml:space="preserve">estimated to apply to 940 respondents, with </w:t>
      </w:r>
      <w:r w:rsidRPr="00DE274D">
        <w:rPr>
          <w:rFonts w:eastAsia="Times New Roman" w:cs="Times New Roman"/>
          <w:color w:val="000000"/>
          <w:szCs w:val="24"/>
        </w:rPr>
        <w:t>18,085</w:t>
      </w:r>
      <w:r>
        <w:rPr>
          <w:rFonts w:eastAsia="Times New Roman" w:cs="Times New Roman"/>
          <w:color w:val="000000"/>
          <w:szCs w:val="24"/>
        </w:rPr>
        <w:t xml:space="preserve"> reports per respondent, .01 average hours per report, and a gross annual reporting burden of </w:t>
      </w:r>
      <w:r w:rsidRPr="00560B0C">
        <w:rPr>
          <w:rFonts w:eastAsia="Times New Roman" w:cs="Times New Roman"/>
          <w:color w:val="000000"/>
          <w:szCs w:val="24"/>
        </w:rPr>
        <w:t xml:space="preserve">169,999 </w:t>
      </w:r>
      <w:r>
        <w:rPr>
          <w:rFonts w:eastAsia="Times New Roman" w:cs="Times New Roman"/>
          <w:color w:val="000000"/>
          <w:szCs w:val="24"/>
        </w:rPr>
        <w:t xml:space="preserve">hours. </w:t>
      </w:r>
      <w:r w:rsidR="003853E8">
        <w:rPr>
          <w:rFonts w:eastAsia="Times New Roman" w:cs="Times New Roman"/>
          <w:color w:val="000000"/>
          <w:szCs w:val="24"/>
        </w:rPr>
        <w:br/>
      </w:r>
    </w:p>
    <w:p w:rsidRPr="00027515" w:rsidR="00DE274D" w:rsidP="009837C6" w:rsidRDefault="00DE274D" w14:paraId="1DE597B5" w14:textId="6190864D">
      <w:pPr>
        <w:ind w:firstLine="720"/>
        <w:rPr>
          <w:rFonts w:eastAsia="Times New Roman" w:cs="Times New Roman"/>
          <w:i/>
          <w:color w:val="000000"/>
          <w:szCs w:val="24"/>
        </w:rPr>
      </w:pPr>
      <w:r w:rsidRPr="00027515">
        <w:rPr>
          <w:rFonts w:eastAsia="Times New Roman" w:cs="Times New Roman"/>
          <w:i/>
          <w:color w:val="000000"/>
          <w:szCs w:val="24"/>
        </w:rPr>
        <w:t>Legal Entity Identifier Amendments</w:t>
      </w:r>
      <w:r w:rsidRPr="00027515" w:rsidR="003853E8">
        <w:rPr>
          <w:rFonts w:eastAsia="Times New Roman" w:cs="Times New Roman"/>
          <w:i/>
          <w:color w:val="000000"/>
          <w:szCs w:val="24"/>
        </w:rPr>
        <w:br/>
      </w:r>
    </w:p>
    <w:p w:rsidRPr="00DE274D" w:rsidR="00013AB1" w:rsidP="009837C6" w:rsidRDefault="00DE274D" w14:paraId="0BF9C8E8" w14:textId="173943E5">
      <w:pPr>
        <w:ind w:firstLine="720"/>
        <w:rPr>
          <w:rFonts w:eastAsia="Times New Roman" w:cs="Times New Roman"/>
          <w:color w:val="000000"/>
          <w:szCs w:val="24"/>
        </w:rPr>
      </w:pPr>
      <w:r w:rsidRPr="00DE274D">
        <w:rPr>
          <w:rFonts w:eastAsia="Times New Roman" w:cs="Times New Roman"/>
          <w:color w:val="000000"/>
          <w:szCs w:val="24"/>
        </w:rPr>
        <w:t xml:space="preserve">The Commission is proposing to amend § 45.6, which requires reporting entities to have LEIs. As an initial matter, the Commission is proposing to revise the burden estimate for § 45.6. LEIs are reported in required swap creation data and required swap continuation data reports, which are separately accounted for in the estimates for §§ 45.3 and 45.4. </w:t>
      </w:r>
      <w:proofErr w:type="gramStart"/>
      <w:r w:rsidRPr="00DE274D">
        <w:rPr>
          <w:rFonts w:eastAsia="Times New Roman" w:cs="Times New Roman"/>
          <w:color w:val="000000"/>
          <w:szCs w:val="24"/>
        </w:rPr>
        <w:t>The current estimate for § 45.6 double-counts the estimates for §§ 45.3 and 45.4 by calculating the burden per data report.</w:t>
      </w:r>
      <w:proofErr w:type="gramEnd"/>
      <w:r w:rsidRPr="00DE274D">
        <w:rPr>
          <w:rFonts w:eastAsia="Times New Roman" w:cs="Times New Roman"/>
          <w:color w:val="000000"/>
          <w:szCs w:val="24"/>
        </w:rPr>
        <w:t xml:space="preserve"> Instead, the burden for § 45.6 should be based on the requirement for each counterparty to obtain an LEI. The Commission is proposing to revise the estimate to </w:t>
      </w:r>
      <w:r w:rsidR="00E52124">
        <w:rPr>
          <w:rFonts w:eastAsia="Times New Roman" w:cs="Times New Roman"/>
          <w:color w:val="000000"/>
          <w:szCs w:val="24"/>
        </w:rPr>
        <w:t>reflect</w:t>
      </w:r>
      <w:r w:rsidRPr="00DE274D" w:rsidR="00E52124">
        <w:rPr>
          <w:rFonts w:eastAsia="Times New Roman" w:cs="Times New Roman"/>
          <w:color w:val="000000"/>
          <w:szCs w:val="24"/>
        </w:rPr>
        <w:t xml:space="preserve"> </w:t>
      </w:r>
      <w:r w:rsidRPr="00DE274D">
        <w:rPr>
          <w:rFonts w:eastAsia="Times New Roman" w:cs="Times New Roman"/>
          <w:color w:val="000000"/>
          <w:szCs w:val="24"/>
        </w:rPr>
        <w:t xml:space="preserve">that there are 1,732 entities required to have one </w:t>
      </w:r>
      <w:proofErr w:type="gramStart"/>
      <w:r w:rsidRPr="00DE274D">
        <w:rPr>
          <w:rFonts w:eastAsia="Times New Roman" w:cs="Times New Roman"/>
          <w:color w:val="000000"/>
          <w:szCs w:val="24"/>
        </w:rPr>
        <w:t>LEI</w:t>
      </w:r>
      <w:proofErr w:type="gramEnd"/>
      <w:r w:rsidRPr="00DE274D">
        <w:rPr>
          <w:rFonts w:eastAsia="Times New Roman" w:cs="Times New Roman"/>
          <w:color w:val="000000"/>
          <w:szCs w:val="24"/>
        </w:rPr>
        <w:t xml:space="preserve"> per respondent, and revise the burden hours based on this change.</w:t>
      </w:r>
      <w:r w:rsidR="008625E2">
        <w:rPr>
          <w:rStyle w:val="FootnoteReference"/>
          <w:rFonts w:eastAsia="Times New Roman" w:cs="Times New Roman"/>
          <w:color w:val="000000"/>
          <w:szCs w:val="24"/>
        </w:rPr>
        <w:footnoteReference w:id="2"/>
      </w:r>
      <w:r w:rsidR="00013AB1">
        <w:rPr>
          <w:rFonts w:eastAsia="Times New Roman" w:cs="Times New Roman"/>
          <w:color w:val="000000"/>
          <w:szCs w:val="24"/>
        </w:rPr>
        <w:br/>
      </w:r>
    </w:p>
    <w:p w:rsidRPr="00DE274D" w:rsidR="00013AB1" w:rsidP="009837C6" w:rsidRDefault="00013AB1" w14:paraId="089D3112" w14:textId="0AEE5D52">
      <w:pPr>
        <w:ind w:firstLine="720"/>
        <w:rPr>
          <w:rFonts w:eastAsia="Times New Roman" w:cs="Times New Roman"/>
          <w:color w:val="000000"/>
          <w:szCs w:val="24"/>
        </w:rPr>
      </w:pPr>
      <w:r w:rsidRPr="00DE274D">
        <w:rPr>
          <w:rFonts w:eastAsia="Times New Roman" w:cs="Times New Roman"/>
          <w:color w:val="000000"/>
          <w:szCs w:val="24"/>
        </w:rPr>
        <w:lastRenderedPageBreak/>
        <w:t>Currently, § 45.6 requires all entities to have LEIs. The Commission is proposing to amend § 45.6 to require SDs, MSPs, SEFs, DCMs, DCOs, and SDRs to renew their LEIs annually. The proposed change would increase the hour burden for these entities, but would not affect the burden for the majority of entities required to have LEIs. Nonetheless, the Commission expects the burden associated with these changes to result in an increase from .01 to .02 hours per report, and 17 hours in the aggregate.</w:t>
      </w:r>
      <w:r>
        <w:rPr>
          <w:rFonts w:eastAsia="Times New Roman" w:cs="Times New Roman"/>
          <w:color w:val="000000"/>
          <w:szCs w:val="24"/>
        </w:rPr>
        <w:br/>
      </w:r>
    </w:p>
    <w:p w:rsidRPr="00DE274D" w:rsidR="00013AB1" w:rsidP="00665272" w:rsidRDefault="00013AB1" w14:paraId="664732FE" w14:textId="33B096D3">
      <w:pPr>
        <w:ind w:firstLine="720"/>
        <w:rPr>
          <w:rFonts w:eastAsia="Times New Roman" w:cs="Times New Roman"/>
          <w:color w:val="000000"/>
          <w:szCs w:val="24"/>
        </w:rPr>
      </w:pPr>
      <w:r w:rsidRPr="00665272">
        <w:rPr>
          <w:rFonts w:eastAsia="Times New Roman" w:cs="Times New Roman"/>
          <w:color w:val="000000"/>
          <w:szCs w:val="24"/>
        </w:rPr>
        <w:t>The new aggregate burden under proposed § 45.</w:t>
      </w:r>
      <w:r>
        <w:rPr>
          <w:rFonts w:eastAsia="Times New Roman" w:cs="Times New Roman"/>
          <w:color w:val="000000"/>
          <w:szCs w:val="24"/>
        </w:rPr>
        <w:t>6</w:t>
      </w:r>
      <w:r w:rsidRPr="00665272">
        <w:rPr>
          <w:rFonts w:eastAsia="Times New Roman" w:cs="Times New Roman"/>
          <w:color w:val="000000"/>
          <w:szCs w:val="24"/>
        </w:rPr>
        <w:t xml:space="preserve"> is estimated to apply to </w:t>
      </w:r>
      <w:r>
        <w:rPr>
          <w:rFonts w:eastAsia="Times New Roman" w:cs="Times New Roman"/>
          <w:color w:val="000000"/>
          <w:szCs w:val="24"/>
        </w:rPr>
        <w:t>1,732</w:t>
      </w:r>
      <w:r w:rsidRPr="00665272">
        <w:rPr>
          <w:rFonts w:eastAsia="Times New Roman" w:cs="Times New Roman"/>
          <w:color w:val="000000"/>
          <w:szCs w:val="24"/>
        </w:rPr>
        <w:t xml:space="preserve"> respondents, with </w:t>
      </w:r>
      <w:r>
        <w:rPr>
          <w:rFonts w:eastAsia="Times New Roman" w:cs="Times New Roman"/>
          <w:color w:val="000000"/>
          <w:szCs w:val="24"/>
        </w:rPr>
        <w:t>1</w:t>
      </w:r>
      <w:r w:rsidRPr="00665272">
        <w:rPr>
          <w:rFonts w:eastAsia="Times New Roman" w:cs="Times New Roman"/>
          <w:color w:val="000000"/>
          <w:szCs w:val="24"/>
        </w:rPr>
        <w:t xml:space="preserve"> report per respondent, .0</w:t>
      </w:r>
      <w:r>
        <w:rPr>
          <w:rFonts w:eastAsia="Times New Roman" w:cs="Times New Roman"/>
          <w:color w:val="000000"/>
          <w:szCs w:val="24"/>
        </w:rPr>
        <w:t>2</w:t>
      </w:r>
      <w:r w:rsidRPr="00665272">
        <w:rPr>
          <w:rFonts w:eastAsia="Times New Roman" w:cs="Times New Roman"/>
          <w:color w:val="000000"/>
          <w:szCs w:val="24"/>
        </w:rPr>
        <w:t xml:space="preserve"> average hours per report, and a gross annual reporting burden of </w:t>
      </w:r>
      <w:r>
        <w:rPr>
          <w:rFonts w:eastAsia="Times New Roman" w:cs="Times New Roman"/>
          <w:color w:val="000000"/>
          <w:szCs w:val="24"/>
        </w:rPr>
        <w:t>35</w:t>
      </w:r>
      <w:r w:rsidRPr="00665272">
        <w:rPr>
          <w:rFonts w:eastAsia="Times New Roman" w:cs="Times New Roman"/>
          <w:color w:val="000000"/>
          <w:szCs w:val="24"/>
        </w:rPr>
        <w:t xml:space="preserve"> hours.</w:t>
      </w:r>
      <w:r>
        <w:rPr>
          <w:rFonts w:eastAsia="Times New Roman" w:cs="Times New Roman"/>
          <w:color w:val="000000"/>
          <w:szCs w:val="24"/>
        </w:rPr>
        <w:br/>
      </w:r>
    </w:p>
    <w:p w:rsidRPr="00027515" w:rsidR="00013AB1" w:rsidP="009837C6" w:rsidRDefault="00013AB1" w14:paraId="547C3155" w14:textId="64D85D7B">
      <w:pPr>
        <w:ind w:firstLine="720"/>
        <w:rPr>
          <w:rFonts w:eastAsia="Times New Roman" w:cs="Times New Roman"/>
          <w:i/>
          <w:color w:val="000000"/>
          <w:szCs w:val="24"/>
        </w:rPr>
      </w:pPr>
      <w:r w:rsidRPr="00027515">
        <w:rPr>
          <w:rFonts w:eastAsia="Times New Roman" w:cs="Times New Roman"/>
          <w:i/>
          <w:color w:val="000000"/>
          <w:szCs w:val="24"/>
        </w:rPr>
        <w:t>New Notifications for Changing SDRs</w:t>
      </w:r>
      <w:r w:rsidRPr="00027515">
        <w:rPr>
          <w:rFonts w:eastAsia="Times New Roman" w:cs="Times New Roman"/>
          <w:i/>
          <w:color w:val="000000"/>
          <w:szCs w:val="24"/>
        </w:rPr>
        <w:br/>
      </w:r>
    </w:p>
    <w:p w:rsidRPr="00DE274D" w:rsidR="00013AB1" w:rsidP="009837C6" w:rsidRDefault="00013AB1" w14:paraId="58021200" w14:textId="5884544A">
      <w:pPr>
        <w:ind w:firstLine="720"/>
        <w:rPr>
          <w:rFonts w:eastAsia="Times New Roman" w:cs="Times New Roman"/>
          <w:color w:val="000000"/>
          <w:szCs w:val="24"/>
        </w:rPr>
      </w:pPr>
      <w:r w:rsidRPr="00DE274D">
        <w:rPr>
          <w:rFonts w:eastAsia="Times New Roman" w:cs="Times New Roman"/>
          <w:color w:val="000000"/>
          <w:szCs w:val="24"/>
        </w:rPr>
        <w:t>The Commission</w:t>
      </w:r>
      <w:r>
        <w:rPr>
          <w:rFonts w:eastAsia="Times New Roman" w:cs="Times New Roman"/>
          <w:color w:val="000000"/>
          <w:szCs w:val="24"/>
        </w:rPr>
        <w:t xml:space="preserve"> is proposing amendments to § 45</w:t>
      </w:r>
      <w:r w:rsidRPr="00DE274D">
        <w:rPr>
          <w:rFonts w:eastAsia="Times New Roman" w:cs="Times New Roman"/>
          <w:color w:val="000000"/>
          <w:szCs w:val="24"/>
        </w:rPr>
        <w:t>.10(d) to require reporting counterparties to notify SDRs and non-reporting counterparties if they change the SDR to which they report swap data and swap transaction and pricing data. This is a new burden that is not covered in the collection. Reporting counterparties would be required to send notifications to non-reporting counterparties and SDRs if they elect to change the SDR to which they report data pursuant to parts 43 and 45.</w:t>
      </w:r>
      <w:r w:rsidR="002932D1">
        <w:rPr>
          <w:rFonts w:eastAsia="Times New Roman" w:cs="Times New Roman"/>
          <w:color w:val="000000"/>
          <w:szCs w:val="24"/>
        </w:rPr>
        <w:t xml:space="preserve"> </w:t>
      </w:r>
      <w:r w:rsidRPr="00DE274D">
        <w:rPr>
          <w:rFonts w:eastAsia="Times New Roman" w:cs="Times New Roman"/>
          <w:color w:val="000000"/>
          <w:szCs w:val="24"/>
        </w:rPr>
        <w:t>The Commission estimates that no more than 15 reporting counterparties would choose to change the SDR to which they report data.</w:t>
      </w:r>
      <w:r>
        <w:rPr>
          <w:rFonts w:eastAsia="Times New Roman" w:cs="Times New Roman"/>
          <w:color w:val="000000"/>
          <w:szCs w:val="24"/>
        </w:rPr>
        <w:br/>
      </w:r>
    </w:p>
    <w:p w:rsidRPr="00DE274D" w:rsidR="00013AB1" w:rsidP="00665272" w:rsidRDefault="00013AB1" w14:paraId="5C7F9245" w14:textId="2727E757">
      <w:pPr>
        <w:ind w:firstLine="720"/>
        <w:rPr>
          <w:rFonts w:eastAsia="Times New Roman" w:cs="Times New Roman"/>
          <w:color w:val="000000"/>
          <w:szCs w:val="24"/>
        </w:rPr>
      </w:pPr>
      <w:r w:rsidRPr="00DE274D">
        <w:rPr>
          <w:rFonts w:eastAsia="Times New Roman" w:cs="Times New Roman"/>
          <w:color w:val="000000"/>
          <w:szCs w:val="24"/>
        </w:rPr>
        <w:t xml:space="preserve">The new aggregate </w:t>
      </w:r>
      <w:r>
        <w:rPr>
          <w:rFonts w:eastAsia="Times New Roman" w:cs="Times New Roman"/>
          <w:color w:val="000000"/>
          <w:szCs w:val="24"/>
        </w:rPr>
        <w:t>burden under proposed</w:t>
      </w:r>
      <w:r w:rsidRPr="00DE274D">
        <w:rPr>
          <w:rFonts w:eastAsia="Times New Roman" w:cs="Times New Roman"/>
          <w:color w:val="000000"/>
          <w:szCs w:val="24"/>
        </w:rPr>
        <w:t xml:space="preserve"> § 4</w:t>
      </w:r>
      <w:r>
        <w:rPr>
          <w:rFonts w:eastAsia="Times New Roman" w:cs="Times New Roman"/>
          <w:color w:val="000000"/>
          <w:szCs w:val="24"/>
        </w:rPr>
        <w:t xml:space="preserve">5.10(d) </w:t>
      </w:r>
      <w:r w:rsidRPr="00DE274D">
        <w:rPr>
          <w:rFonts w:eastAsia="Times New Roman" w:cs="Times New Roman"/>
          <w:color w:val="000000"/>
          <w:szCs w:val="24"/>
        </w:rPr>
        <w:t xml:space="preserve">is </w:t>
      </w:r>
      <w:r>
        <w:rPr>
          <w:rFonts w:eastAsia="Times New Roman" w:cs="Times New Roman"/>
          <w:color w:val="000000"/>
          <w:szCs w:val="24"/>
        </w:rPr>
        <w:t>estimated to apply to 15 respondents, with 1 report per respondent, .01 average hours per report, and a gross annual reporting burden of .15</w:t>
      </w:r>
      <w:r w:rsidRPr="00560B0C">
        <w:rPr>
          <w:rFonts w:eastAsia="Times New Roman" w:cs="Times New Roman"/>
          <w:color w:val="000000"/>
          <w:szCs w:val="24"/>
        </w:rPr>
        <w:t xml:space="preserve"> </w:t>
      </w:r>
      <w:r>
        <w:rPr>
          <w:rFonts w:eastAsia="Times New Roman" w:cs="Times New Roman"/>
          <w:color w:val="000000"/>
          <w:szCs w:val="24"/>
        </w:rPr>
        <w:t>hours.</w:t>
      </w:r>
      <w:r w:rsidR="00F64348">
        <w:rPr>
          <w:rStyle w:val="FootnoteReference"/>
          <w:rFonts w:eastAsia="Times New Roman" w:cs="Times New Roman"/>
          <w:color w:val="000000"/>
          <w:szCs w:val="24"/>
        </w:rPr>
        <w:footnoteReference w:id="3"/>
      </w:r>
    </w:p>
    <w:p w:rsidRPr="00642B6A" w:rsidR="00013AB1" w:rsidP="00D52F91" w:rsidRDefault="00013AB1" w14:paraId="50F422C0" w14:textId="77777777">
      <w:pPr>
        <w:rPr>
          <w:rFonts w:eastAsia="Times New Roman" w:cs="Times New Roman"/>
          <w:color w:val="000000"/>
          <w:szCs w:val="24"/>
        </w:rPr>
      </w:pPr>
    </w:p>
    <w:p w:rsidRPr="00642B6A" w:rsidR="00013AB1" w:rsidP="00FE503D" w:rsidRDefault="00013AB1" w14:paraId="50F422C1" w14:textId="5F035295">
      <w:pPr>
        <w:keepNext/>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13.</w:t>
      </w:r>
      <w:r w:rsidRPr="00642B6A">
        <w:rPr>
          <w:rFonts w:eastAsia="Times New Roman" w:cs="Times New Roman"/>
          <w:b/>
          <w:szCs w:val="24"/>
        </w:rPr>
        <w:tab/>
        <w:t xml:space="preserve">Provide an estimate of the total annual cost burden to respondents or </w:t>
      </w:r>
      <w:proofErr w:type="spellStart"/>
      <w:r w:rsidRPr="00642B6A">
        <w:rPr>
          <w:rFonts w:eastAsia="Times New Roman" w:cs="Times New Roman"/>
          <w:b/>
          <w:szCs w:val="24"/>
        </w:rPr>
        <w:t>recordkeepers</w:t>
      </w:r>
      <w:proofErr w:type="spellEnd"/>
      <w:r w:rsidRPr="00642B6A">
        <w:rPr>
          <w:rFonts w:eastAsia="Times New Roman" w:cs="Times New Roman"/>
          <w:b/>
          <w:szCs w:val="24"/>
        </w:rPr>
        <w:t xml:space="preserve"> resulting from </w:t>
      </w:r>
      <w:r>
        <w:rPr>
          <w:rFonts w:eastAsia="Times New Roman" w:cs="Times New Roman"/>
          <w:b/>
          <w:szCs w:val="24"/>
        </w:rPr>
        <w:t xml:space="preserve">the collection of information. </w:t>
      </w:r>
      <w:r w:rsidRPr="00642B6A">
        <w:rPr>
          <w:rFonts w:eastAsia="Times New Roman" w:cs="Times New Roman"/>
          <w:b/>
          <w:szCs w:val="24"/>
        </w:rPr>
        <w:t>(Do not include the cost of any hour burden shown in Items 12 and 14).</w:t>
      </w:r>
    </w:p>
    <w:p w:rsidRPr="00642B6A" w:rsidR="00013AB1" w:rsidP="00FE503D" w:rsidRDefault="00013AB1" w14:paraId="50F422C2" w14:textId="1F35A16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 xml:space="preserve">The cost estimate should be split into two components; (a) a total capital and start-up cost component (annualized over its expected useful life) and (b) a total operation and maintenance and purchase of </w:t>
      </w:r>
      <w:r>
        <w:rPr>
          <w:rFonts w:eastAsia="Times New Roman" w:cs="Times New Roman"/>
          <w:b/>
          <w:szCs w:val="24"/>
        </w:rPr>
        <w:t xml:space="preserve">services component. </w:t>
      </w:r>
      <w:r w:rsidRPr="00642B6A">
        <w:rPr>
          <w:rFonts w:eastAsia="Times New Roman" w:cs="Times New Roman"/>
          <w:b/>
          <w:szCs w:val="24"/>
        </w:rPr>
        <w:t>The estimates should take into account costs associated with generating, maintaining, and disclosing</w:t>
      </w:r>
      <w:r>
        <w:rPr>
          <w:rFonts w:eastAsia="Times New Roman" w:cs="Times New Roman"/>
          <w:b/>
          <w:szCs w:val="24"/>
        </w:rPr>
        <w:t xml:space="preserve"> or providing the information. </w:t>
      </w:r>
      <w:r w:rsidRPr="00642B6A">
        <w:rPr>
          <w:rFonts w:eastAsia="Times New Roman" w:cs="Times New Roman"/>
          <w:b/>
          <w:szCs w:val="24"/>
        </w:rPr>
        <w:t>Include descriptions of methods used to estimate major costs factors including system and technology acquisition, expected useful life of capital equipment, the discount rate(s), and the time period over</w:t>
      </w:r>
      <w:r>
        <w:rPr>
          <w:rFonts w:eastAsia="Times New Roman" w:cs="Times New Roman"/>
          <w:b/>
          <w:szCs w:val="24"/>
        </w:rPr>
        <w:t xml:space="preserve"> which costs will be incurred. </w:t>
      </w:r>
      <w:r w:rsidRPr="00642B6A">
        <w:rPr>
          <w:rFonts w:eastAsia="Times New Roman" w:cs="Times New Roman"/>
          <w:b/>
          <w:szCs w:val="24"/>
        </w:rPr>
        <w:t xml:space="preserve">Capital and start-up costs include, among other items, preparations for collecting information such as purchasing </w:t>
      </w:r>
      <w:r w:rsidRPr="00642B6A">
        <w:rPr>
          <w:rFonts w:eastAsia="Times New Roman" w:cs="Times New Roman"/>
          <w:b/>
          <w:szCs w:val="24"/>
        </w:rPr>
        <w:lastRenderedPageBreak/>
        <w:t>computers and software, monitoring, sampling, drilling and testing equipment, and record storage facilities.</w:t>
      </w:r>
    </w:p>
    <w:p w:rsidRPr="00642B6A" w:rsidR="00013AB1" w:rsidP="00FE503D" w:rsidRDefault="00013AB1" w14:paraId="50F422C3" w14:textId="5AA257E5">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If cost estimates are expected to vary widely, agencies should present ranges of cost burdens and explain</w:t>
      </w:r>
      <w:r>
        <w:rPr>
          <w:rFonts w:eastAsia="Times New Roman" w:cs="Times New Roman"/>
          <w:b/>
          <w:szCs w:val="24"/>
        </w:rPr>
        <w:t xml:space="preserve"> the reasons for the variance. </w:t>
      </w:r>
      <w:r w:rsidRPr="00642B6A">
        <w:rPr>
          <w:rFonts w:eastAsia="Times New Roman" w:cs="Times New Roman"/>
          <w:b/>
          <w:szCs w:val="24"/>
        </w:rPr>
        <w:t>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Pr="00642B6A" w:rsidR="00013AB1" w:rsidP="00FE503D" w:rsidRDefault="00013AB1" w14:paraId="50F422C4" w14:textId="7777777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642B6A">
        <w:rPr>
          <w:rFonts w:eastAsia="Times New Roman" w:cs="Times New Roman"/>
          <w:b/>
          <w:szCs w:val="24"/>
        </w:rPr>
        <w:t>government,</w:t>
      </w:r>
      <w:proofErr w:type="gramEnd"/>
      <w:r w:rsidRPr="00642B6A">
        <w:rPr>
          <w:rFonts w:eastAsia="Times New Roman" w:cs="Times New Roman"/>
          <w:b/>
          <w:szCs w:val="24"/>
        </w:rPr>
        <w:t xml:space="preserve"> or (4) as part of customary and usual business or private practices.</w:t>
      </w:r>
    </w:p>
    <w:p w:rsidR="00013AB1" w:rsidP="00624B4F" w:rsidRDefault="00013AB1" w14:paraId="157A3524" w14:textId="00412B1D">
      <w:pPr>
        <w:pStyle w:val="ListParagraph"/>
        <w:numPr>
          <w:ilvl w:val="0"/>
          <w:numId w:val="1"/>
        </w:numPr>
        <w:rPr>
          <w:rFonts w:eastAsia="Times New Roman" w:cs="Times New Roman"/>
          <w:color w:val="000000"/>
          <w:szCs w:val="24"/>
        </w:rPr>
      </w:pPr>
      <w:r>
        <w:rPr>
          <w:rFonts w:eastAsia="Times New Roman" w:cs="Times New Roman"/>
          <w:color w:val="000000"/>
          <w:szCs w:val="24"/>
        </w:rPr>
        <w:t xml:space="preserve">Proposed § 45.3 would create costs for SDRs, SEFs, DCMs, and reporting counterparties to update systems for reporting required swap creation data reports. </w:t>
      </w:r>
      <w:r w:rsidRPr="00624B4F">
        <w:rPr>
          <w:rFonts w:eastAsia="Times New Roman" w:cs="Times New Roman"/>
          <w:color w:val="000000"/>
          <w:szCs w:val="24"/>
        </w:rPr>
        <w:t xml:space="preserve">The Commission estimates that SDRs, SEFs, DCMs, and reporting counterparties would incur a one-time initial burden of 10 hours per entity to modify their systems to adopt the changes described below, for a total estimated </w:t>
      </w:r>
      <w:proofErr w:type="gramStart"/>
      <w:r w:rsidRPr="00624B4F">
        <w:rPr>
          <w:rFonts w:eastAsia="Times New Roman" w:cs="Times New Roman"/>
          <w:color w:val="000000"/>
          <w:szCs w:val="24"/>
        </w:rPr>
        <w:t>hours</w:t>
      </w:r>
      <w:proofErr w:type="gramEnd"/>
      <w:r w:rsidRPr="00624B4F">
        <w:rPr>
          <w:rFonts w:eastAsia="Times New Roman" w:cs="Times New Roman"/>
          <w:color w:val="000000"/>
          <w:szCs w:val="24"/>
        </w:rPr>
        <w:t xml:space="preserve"> burden of 17,320 hours.</w:t>
      </w:r>
      <w:r>
        <w:rPr>
          <w:rFonts w:eastAsia="Times New Roman" w:cs="Times New Roman"/>
          <w:color w:val="000000"/>
          <w:szCs w:val="24"/>
        </w:rPr>
        <w:t xml:space="preserve"> The cost per entity would be $722</w:t>
      </w:r>
      <w:r w:rsidR="009352E0">
        <w:rPr>
          <w:rFonts w:eastAsia="Times New Roman" w:cs="Times New Roman"/>
          <w:color w:val="000000"/>
          <w:szCs w:val="24"/>
        </w:rPr>
        <w:t>.30</w:t>
      </w:r>
      <w:r>
        <w:rPr>
          <w:rFonts w:eastAsia="Times New Roman" w:cs="Times New Roman"/>
          <w:color w:val="000000"/>
          <w:szCs w:val="24"/>
        </w:rPr>
        <w:t xml:space="preserve"> for a total cost across entities of $1,251,</w:t>
      </w:r>
      <w:r w:rsidR="006C5058">
        <w:rPr>
          <w:rFonts w:eastAsia="Times New Roman" w:cs="Times New Roman"/>
          <w:color w:val="000000"/>
          <w:szCs w:val="24"/>
        </w:rPr>
        <w:t>024</w:t>
      </w:r>
      <w:r>
        <w:rPr>
          <w:rFonts w:eastAsia="Times New Roman" w:cs="Times New Roman"/>
          <w:color w:val="000000"/>
          <w:szCs w:val="24"/>
        </w:rPr>
        <w:t xml:space="preserve">. </w:t>
      </w:r>
      <w:r w:rsidRPr="00624B4F">
        <w:rPr>
          <w:rFonts w:eastAsia="Times New Roman" w:cs="Times New Roman"/>
          <w:color w:val="000000"/>
          <w:szCs w:val="24"/>
        </w:rPr>
        <w:t>The Commission additionally estimates 5 hours per entity annually to perform any needed maintenance or adjustments to</w:t>
      </w:r>
      <w:r>
        <w:rPr>
          <w:rFonts w:eastAsia="Times New Roman" w:cs="Times New Roman"/>
          <w:color w:val="000000"/>
          <w:szCs w:val="24"/>
        </w:rPr>
        <w:t xml:space="preserve"> reporting systems, at a cost of $361</w:t>
      </w:r>
      <w:r w:rsidR="008E672D">
        <w:rPr>
          <w:rFonts w:eastAsia="Times New Roman" w:cs="Times New Roman"/>
          <w:color w:val="000000"/>
          <w:szCs w:val="24"/>
        </w:rPr>
        <w:t>.15</w:t>
      </w:r>
      <w:r>
        <w:rPr>
          <w:rFonts w:eastAsia="Times New Roman" w:cs="Times New Roman"/>
          <w:color w:val="000000"/>
          <w:szCs w:val="24"/>
        </w:rPr>
        <w:t xml:space="preserve"> per entity and $625,512 across entities.</w:t>
      </w:r>
    </w:p>
    <w:p w:rsidRPr="0004053D" w:rsidR="00013AB1" w:rsidP="0004053D" w:rsidRDefault="00013AB1" w14:paraId="35F0EB31" w14:textId="77777777">
      <w:pPr>
        <w:rPr>
          <w:rFonts w:eastAsia="Times New Roman" w:cs="Times New Roman"/>
          <w:color w:val="000000"/>
          <w:szCs w:val="24"/>
        </w:rPr>
      </w:pPr>
    </w:p>
    <w:p w:rsidR="00013AB1" w:rsidP="00624B4F" w:rsidRDefault="00013AB1" w14:paraId="441AAAB4" w14:textId="56787DFD">
      <w:pPr>
        <w:pStyle w:val="ListParagraph"/>
        <w:numPr>
          <w:ilvl w:val="0"/>
          <w:numId w:val="1"/>
        </w:numPr>
        <w:rPr>
          <w:rFonts w:eastAsia="Times New Roman" w:cs="Times New Roman"/>
          <w:color w:val="000000"/>
          <w:szCs w:val="24"/>
        </w:rPr>
      </w:pPr>
      <w:r>
        <w:rPr>
          <w:rFonts w:eastAsia="Times New Roman" w:cs="Times New Roman"/>
          <w:color w:val="000000"/>
          <w:szCs w:val="24"/>
        </w:rPr>
        <w:t xml:space="preserve">Proposed § 45.4 would create costs for SDRs and reporting counterparties to update systems for reporting required swap continuation data. </w:t>
      </w:r>
      <w:r w:rsidRPr="0004053D">
        <w:rPr>
          <w:rFonts w:eastAsia="Times New Roman" w:cs="Times New Roman"/>
          <w:color w:val="000000"/>
          <w:szCs w:val="24"/>
        </w:rPr>
        <w:t xml:space="preserve">The Commission estimates that SDRs and reporting counterparties would incur a one-time initial burden of 10 hours per entity to modify their systems to adopt the changes described below, for a total estimated </w:t>
      </w:r>
      <w:proofErr w:type="gramStart"/>
      <w:r w:rsidRPr="0004053D">
        <w:rPr>
          <w:rFonts w:eastAsia="Times New Roman" w:cs="Times New Roman"/>
          <w:color w:val="000000"/>
          <w:szCs w:val="24"/>
        </w:rPr>
        <w:t>hours</w:t>
      </w:r>
      <w:proofErr w:type="gramEnd"/>
      <w:r w:rsidRPr="0004053D">
        <w:rPr>
          <w:rFonts w:eastAsia="Times New Roman" w:cs="Times New Roman"/>
          <w:color w:val="000000"/>
          <w:szCs w:val="24"/>
        </w:rPr>
        <w:t xml:space="preserve"> burden of 17,050 hours. </w:t>
      </w:r>
      <w:r>
        <w:rPr>
          <w:rFonts w:eastAsia="Times New Roman" w:cs="Times New Roman"/>
          <w:color w:val="000000"/>
          <w:szCs w:val="24"/>
        </w:rPr>
        <w:t>The cost per entity would be $722</w:t>
      </w:r>
      <w:r w:rsidR="005A7466">
        <w:rPr>
          <w:rFonts w:eastAsia="Times New Roman" w:cs="Times New Roman"/>
          <w:color w:val="000000"/>
          <w:szCs w:val="24"/>
        </w:rPr>
        <w:t>.30</w:t>
      </w:r>
      <w:r>
        <w:rPr>
          <w:rFonts w:eastAsia="Times New Roman" w:cs="Times New Roman"/>
          <w:color w:val="000000"/>
          <w:szCs w:val="24"/>
        </w:rPr>
        <w:t xml:space="preserve"> for a total cost across entities of $1,231,522.</w:t>
      </w:r>
      <w:r w:rsidRPr="0004053D">
        <w:rPr>
          <w:rFonts w:eastAsia="Times New Roman" w:cs="Times New Roman"/>
          <w:color w:val="000000"/>
          <w:szCs w:val="24"/>
        </w:rPr>
        <w:t xml:space="preserve"> The Commission additionally estimates 5 hours per entity annually to perform any needed maintenance or a</w:t>
      </w:r>
      <w:r>
        <w:rPr>
          <w:rFonts w:eastAsia="Times New Roman" w:cs="Times New Roman"/>
          <w:color w:val="000000"/>
          <w:szCs w:val="24"/>
        </w:rPr>
        <w:t>djustments to reporting systems, at a cost of $361</w:t>
      </w:r>
      <w:r w:rsidR="008E672D">
        <w:rPr>
          <w:rFonts w:eastAsia="Times New Roman" w:cs="Times New Roman"/>
          <w:color w:val="000000"/>
          <w:szCs w:val="24"/>
        </w:rPr>
        <w:t>.15</w:t>
      </w:r>
      <w:r>
        <w:rPr>
          <w:rFonts w:eastAsia="Times New Roman" w:cs="Times New Roman"/>
          <w:color w:val="000000"/>
          <w:szCs w:val="24"/>
        </w:rPr>
        <w:t xml:space="preserve"> per entity and $615,</w:t>
      </w:r>
      <w:r w:rsidR="008E672D">
        <w:rPr>
          <w:rFonts w:eastAsia="Times New Roman" w:cs="Times New Roman"/>
          <w:color w:val="000000"/>
          <w:szCs w:val="24"/>
        </w:rPr>
        <w:t xml:space="preserve">761 </w:t>
      </w:r>
      <w:r>
        <w:rPr>
          <w:rFonts w:eastAsia="Times New Roman" w:cs="Times New Roman"/>
          <w:color w:val="000000"/>
          <w:szCs w:val="24"/>
        </w:rPr>
        <w:t>across entities.</w:t>
      </w:r>
    </w:p>
    <w:p w:rsidRPr="0004053D" w:rsidR="00013AB1" w:rsidP="0004053D" w:rsidRDefault="00013AB1" w14:paraId="73BB05A6" w14:textId="77777777">
      <w:pPr>
        <w:pStyle w:val="ListParagraph"/>
        <w:rPr>
          <w:rFonts w:eastAsia="Times New Roman" w:cs="Times New Roman"/>
          <w:color w:val="000000"/>
          <w:szCs w:val="24"/>
        </w:rPr>
      </w:pPr>
    </w:p>
    <w:p w:rsidR="00013AB1" w:rsidP="00624B4F" w:rsidRDefault="00013AB1" w14:paraId="24D0EB5A" w14:textId="678631EB">
      <w:pPr>
        <w:pStyle w:val="ListParagraph"/>
        <w:numPr>
          <w:ilvl w:val="0"/>
          <w:numId w:val="1"/>
        </w:numPr>
        <w:rPr>
          <w:rFonts w:eastAsia="Times New Roman" w:cs="Times New Roman"/>
          <w:color w:val="000000"/>
          <w:szCs w:val="24"/>
        </w:rPr>
      </w:pPr>
      <w:r>
        <w:rPr>
          <w:rFonts w:eastAsia="Times New Roman" w:cs="Times New Roman"/>
          <w:color w:val="000000"/>
          <w:szCs w:val="24"/>
        </w:rPr>
        <w:t xml:space="preserve">Proposed § 45.5 would create costs for entities required to generate USIs to update their systems to generate UTIs. </w:t>
      </w:r>
      <w:r w:rsidRPr="0004053D">
        <w:rPr>
          <w:rFonts w:eastAsia="Times New Roman" w:cs="Times New Roman"/>
          <w:color w:val="000000"/>
          <w:szCs w:val="24"/>
        </w:rPr>
        <w:t xml:space="preserve">The Commission estimates that SDRs and reporting counterparties required to generate UTIs would incur a one-time initial burden of 1 hour per entity to modify their systems to adopt the changes described below, for a total estimated </w:t>
      </w:r>
      <w:proofErr w:type="gramStart"/>
      <w:r w:rsidRPr="0004053D">
        <w:rPr>
          <w:rFonts w:eastAsia="Times New Roman" w:cs="Times New Roman"/>
          <w:color w:val="000000"/>
          <w:szCs w:val="24"/>
        </w:rPr>
        <w:t>hours</w:t>
      </w:r>
      <w:proofErr w:type="gramEnd"/>
      <w:r w:rsidRPr="0004053D">
        <w:rPr>
          <w:rFonts w:eastAsia="Times New Roman" w:cs="Times New Roman"/>
          <w:color w:val="000000"/>
          <w:szCs w:val="24"/>
        </w:rPr>
        <w:t xml:space="preserve"> burden of 940 hours. </w:t>
      </w:r>
      <w:r>
        <w:rPr>
          <w:rFonts w:eastAsia="Times New Roman" w:cs="Times New Roman"/>
          <w:color w:val="000000"/>
          <w:szCs w:val="24"/>
        </w:rPr>
        <w:t>The cost per entity would be $72</w:t>
      </w:r>
      <w:r w:rsidR="005A7466">
        <w:rPr>
          <w:rFonts w:eastAsia="Times New Roman" w:cs="Times New Roman"/>
          <w:color w:val="000000"/>
          <w:szCs w:val="24"/>
        </w:rPr>
        <w:t>.</w:t>
      </w:r>
      <w:r w:rsidR="006C5058">
        <w:rPr>
          <w:rFonts w:eastAsia="Times New Roman" w:cs="Times New Roman"/>
          <w:color w:val="000000"/>
          <w:szCs w:val="24"/>
        </w:rPr>
        <w:t>23</w:t>
      </w:r>
      <w:r>
        <w:rPr>
          <w:rFonts w:eastAsia="Times New Roman" w:cs="Times New Roman"/>
          <w:color w:val="000000"/>
          <w:szCs w:val="24"/>
        </w:rPr>
        <w:t xml:space="preserve"> for a total cost across entities of $67,896.</w:t>
      </w:r>
      <w:r w:rsidRPr="0004053D">
        <w:rPr>
          <w:rFonts w:eastAsia="Times New Roman" w:cs="Times New Roman"/>
          <w:color w:val="000000"/>
          <w:szCs w:val="24"/>
        </w:rPr>
        <w:t xml:space="preserve"> The Commission additionally estimates 1 hour per entity annually to perform any needed maintenance or a</w:t>
      </w:r>
      <w:r>
        <w:rPr>
          <w:rFonts w:eastAsia="Times New Roman" w:cs="Times New Roman"/>
          <w:color w:val="000000"/>
          <w:szCs w:val="24"/>
        </w:rPr>
        <w:t>djustments to reporting systems, at a cost of $72 per entity and $67,680 across entities.</w:t>
      </w:r>
    </w:p>
    <w:p w:rsidRPr="00B013A2" w:rsidR="00B013A2" w:rsidP="00B013A2" w:rsidRDefault="00B013A2" w14:paraId="53CC685C" w14:textId="77777777">
      <w:pPr>
        <w:pStyle w:val="ListParagraph"/>
        <w:rPr>
          <w:rFonts w:eastAsia="Times New Roman" w:cs="Times New Roman"/>
          <w:color w:val="000000"/>
          <w:szCs w:val="24"/>
        </w:rPr>
      </w:pPr>
    </w:p>
    <w:p w:rsidRPr="00642B6A" w:rsidR="00013AB1" w:rsidP="008A33C6" w:rsidRDefault="00B013A2" w14:paraId="765597F1" w14:textId="3028CA87">
      <w:pPr>
        <w:tabs>
          <w:tab w:val="left" w:pos="-720"/>
        </w:tabs>
        <w:spacing w:after="240"/>
        <w:ind w:firstLine="810"/>
        <w:rPr>
          <w:rFonts w:eastAsia="Times New Roman" w:cs="Times New Roman"/>
          <w:color w:val="000000"/>
          <w:szCs w:val="24"/>
        </w:rPr>
      </w:pPr>
      <w:r>
        <w:rPr>
          <w:rFonts w:eastAsia="Times New Roman" w:cs="Times New Roman"/>
          <w:color w:val="000000"/>
          <w:szCs w:val="24"/>
        </w:rPr>
        <w:t xml:space="preserve">The </w:t>
      </w:r>
      <w:r w:rsidR="00434EC3">
        <w:rPr>
          <w:rFonts w:eastAsia="Times New Roman" w:cs="Times New Roman"/>
          <w:color w:val="000000"/>
          <w:szCs w:val="24"/>
        </w:rPr>
        <w:t>total capital/start-up costs</w:t>
      </w:r>
      <w:r>
        <w:rPr>
          <w:rFonts w:eastAsia="Times New Roman" w:cs="Times New Roman"/>
          <w:color w:val="000000"/>
          <w:szCs w:val="24"/>
        </w:rPr>
        <w:t xml:space="preserve"> for proposed </w:t>
      </w:r>
      <w:r w:rsidRPr="00B013A2">
        <w:rPr>
          <w:rFonts w:eastAsia="Times New Roman" w:cs="Times New Roman"/>
          <w:color w:val="000000"/>
          <w:szCs w:val="24"/>
        </w:rPr>
        <w:t>§§ 45.3</w:t>
      </w:r>
      <w:r>
        <w:rPr>
          <w:rFonts w:eastAsia="Times New Roman" w:cs="Times New Roman"/>
          <w:color w:val="000000"/>
          <w:szCs w:val="24"/>
        </w:rPr>
        <w:t xml:space="preserve">, 45.4, and 45.5 </w:t>
      </w:r>
      <w:r w:rsidR="00244BFB">
        <w:rPr>
          <w:rFonts w:eastAsia="Times New Roman" w:cs="Times New Roman"/>
          <w:color w:val="000000"/>
          <w:szCs w:val="24"/>
        </w:rPr>
        <w:t>of $</w:t>
      </w:r>
      <w:r w:rsidR="00B0340E">
        <w:rPr>
          <w:rFonts w:eastAsia="Times New Roman" w:cs="Times New Roman"/>
          <w:color w:val="000000"/>
          <w:szCs w:val="24"/>
        </w:rPr>
        <w:t>2,550,44</w:t>
      </w:r>
      <w:r w:rsidR="006C5058">
        <w:rPr>
          <w:rFonts w:eastAsia="Times New Roman" w:cs="Times New Roman"/>
          <w:color w:val="000000"/>
          <w:szCs w:val="24"/>
        </w:rPr>
        <w:t>2</w:t>
      </w:r>
      <w:r w:rsidR="00244BFB">
        <w:rPr>
          <w:rFonts w:eastAsia="Times New Roman" w:cs="Times New Roman"/>
          <w:color w:val="000000"/>
          <w:szCs w:val="24"/>
        </w:rPr>
        <w:t xml:space="preserve"> </w:t>
      </w:r>
      <w:r>
        <w:rPr>
          <w:rFonts w:eastAsia="Times New Roman" w:cs="Times New Roman"/>
          <w:color w:val="000000"/>
          <w:szCs w:val="24"/>
        </w:rPr>
        <w:t xml:space="preserve">are </w:t>
      </w:r>
      <w:r w:rsidR="00244BFB">
        <w:rPr>
          <w:rFonts w:eastAsia="Times New Roman" w:cs="Times New Roman"/>
          <w:color w:val="000000"/>
          <w:szCs w:val="24"/>
        </w:rPr>
        <w:t>shown</w:t>
      </w:r>
      <w:r>
        <w:rPr>
          <w:rFonts w:eastAsia="Times New Roman" w:cs="Times New Roman"/>
          <w:color w:val="000000"/>
          <w:szCs w:val="24"/>
        </w:rPr>
        <w:t xml:space="preserve"> in Attachment </w:t>
      </w:r>
      <w:r w:rsidR="00E321FA">
        <w:rPr>
          <w:rFonts w:eastAsia="Times New Roman" w:cs="Times New Roman"/>
          <w:color w:val="000000"/>
          <w:szCs w:val="24"/>
        </w:rPr>
        <w:t>B</w:t>
      </w:r>
      <w:r>
        <w:rPr>
          <w:rFonts w:eastAsia="Times New Roman" w:cs="Times New Roman"/>
          <w:color w:val="000000"/>
          <w:szCs w:val="24"/>
        </w:rPr>
        <w:t>.</w:t>
      </w:r>
      <w:r w:rsidR="00434EC3">
        <w:rPr>
          <w:rFonts w:eastAsia="Times New Roman" w:cs="Times New Roman"/>
          <w:color w:val="000000"/>
          <w:szCs w:val="24"/>
        </w:rPr>
        <w:t xml:space="preserve">  The total annualized operating and mainten</w:t>
      </w:r>
      <w:r w:rsidR="006C5058">
        <w:rPr>
          <w:rFonts w:eastAsia="Times New Roman" w:cs="Times New Roman"/>
          <w:color w:val="000000"/>
          <w:szCs w:val="24"/>
        </w:rPr>
        <w:t>an</w:t>
      </w:r>
      <w:r w:rsidR="00434EC3">
        <w:rPr>
          <w:rFonts w:eastAsia="Times New Roman" w:cs="Times New Roman"/>
          <w:color w:val="000000"/>
          <w:szCs w:val="24"/>
        </w:rPr>
        <w:t xml:space="preserve">ce costs for </w:t>
      </w:r>
      <w:r w:rsidRPr="00434EC3" w:rsidR="00434EC3">
        <w:rPr>
          <w:rFonts w:eastAsia="Times New Roman" w:cs="Times New Roman"/>
          <w:color w:val="000000"/>
          <w:szCs w:val="24"/>
        </w:rPr>
        <w:t xml:space="preserve">proposed §§ </w:t>
      </w:r>
      <w:r w:rsidRPr="00434EC3" w:rsidR="00434EC3">
        <w:rPr>
          <w:rFonts w:eastAsia="Times New Roman" w:cs="Times New Roman"/>
          <w:color w:val="000000"/>
          <w:szCs w:val="24"/>
        </w:rPr>
        <w:lastRenderedPageBreak/>
        <w:t xml:space="preserve">45.3, 45.4, and 45.5 </w:t>
      </w:r>
      <w:r w:rsidR="00244BFB">
        <w:rPr>
          <w:rFonts w:eastAsia="Times New Roman" w:cs="Times New Roman"/>
          <w:color w:val="000000"/>
          <w:szCs w:val="24"/>
        </w:rPr>
        <w:t>of $1,308,</w:t>
      </w:r>
      <w:r w:rsidR="008E672D">
        <w:rPr>
          <w:rFonts w:eastAsia="Times New Roman" w:cs="Times New Roman"/>
          <w:color w:val="000000"/>
          <w:szCs w:val="24"/>
        </w:rPr>
        <w:t>953</w:t>
      </w:r>
      <w:r w:rsidR="00244BFB">
        <w:rPr>
          <w:rFonts w:eastAsia="Times New Roman" w:cs="Times New Roman"/>
          <w:color w:val="000000"/>
          <w:szCs w:val="24"/>
        </w:rPr>
        <w:t xml:space="preserve"> </w:t>
      </w:r>
      <w:r w:rsidRPr="00434EC3" w:rsidR="00434EC3">
        <w:rPr>
          <w:rFonts w:eastAsia="Times New Roman" w:cs="Times New Roman"/>
          <w:color w:val="000000"/>
          <w:szCs w:val="24"/>
        </w:rPr>
        <w:t>are s</w:t>
      </w:r>
      <w:r w:rsidR="00244BFB">
        <w:rPr>
          <w:rFonts w:eastAsia="Times New Roman" w:cs="Times New Roman"/>
          <w:color w:val="000000"/>
          <w:szCs w:val="24"/>
        </w:rPr>
        <w:t>hown</w:t>
      </w:r>
      <w:r w:rsidRPr="00434EC3" w:rsidR="00434EC3">
        <w:rPr>
          <w:rFonts w:eastAsia="Times New Roman" w:cs="Times New Roman"/>
          <w:color w:val="000000"/>
          <w:szCs w:val="24"/>
        </w:rPr>
        <w:t xml:space="preserve"> in the </w:t>
      </w:r>
      <w:r w:rsidR="00434EC3">
        <w:rPr>
          <w:rFonts w:eastAsia="Times New Roman" w:cs="Times New Roman"/>
          <w:color w:val="000000"/>
          <w:szCs w:val="24"/>
        </w:rPr>
        <w:t>last</w:t>
      </w:r>
      <w:r w:rsidRPr="00434EC3" w:rsidR="00434EC3">
        <w:rPr>
          <w:rFonts w:eastAsia="Times New Roman" w:cs="Times New Roman"/>
          <w:color w:val="000000"/>
          <w:szCs w:val="24"/>
        </w:rPr>
        <w:t xml:space="preserve"> table in Attachment </w:t>
      </w:r>
      <w:r w:rsidR="00E321FA">
        <w:rPr>
          <w:rFonts w:eastAsia="Times New Roman" w:cs="Times New Roman"/>
          <w:color w:val="000000"/>
          <w:szCs w:val="24"/>
        </w:rPr>
        <w:t>B</w:t>
      </w:r>
      <w:r w:rsidRPr="00434EC3" w:rsidR="00434EC3">
        <w:rPr>
          <w:rFonts w:eastAsia="Times New Roman" w:cs="Times New Roman"/>
          <w:color w:val="000000"/>
          <w:szCs w:val="24"/>
        </w:rPr>
        <w:t xml:space="preserve">.  </w:t>
      </w:r>
      <w:r w:rsidR="00B0340E">
        <w:rPr>
          <w:rFonts w:eastAsia="Times New Roman" w:cs="Times New Roman"/>
          <w:color w:val="000000"/>
          <w:szCs w:val="24"/>
        </w:rPr>
        <w:t>The total capital/start-up and operating/maintenance costs are $3,859,</w:t>
      </w:r>
      <w:r w:rsidR="008646FB">
        <w:rPr>
          <w:rFonts w:eastAsia="Times New Roman" w:cs="Times New Roman"/>
          <w:color w:val="000000"/>
          <w:szCs w:val="24"/>
        </w:rPr>
        <w:t>395</w:t>
      </w:r>
      <w:r w:rsidR="00B0340E">
        <w:rPr>
          <w:rFonts w:eastAsia="Times New Roman" w:cs="Times New Roman"/>
          <w:color w:val="000000"/>
          <w:szCs w:val="24"/>
        </w:rPr>
        <w:t>.</w:t>
      </w:r>
      <w:r w:rsidRPr="000565C0" w:rsidR="000565C0">
        <w:rPr>
          <w:rFonts w:eastAsia="Times New Roman" w:cs="Times New Roman"/>
          <w:color w:val="000000"/>
          <w:szCs w:val="24"/>
          <w:vertAlign w:val="superscript"/>
        </w:rPr>
        <w:footnoteReference w:id="4"/>
      </w:r>
    </w:p>
    <w:p w:rsidRPr="00642B6A" w:rsidR="00013AB1" w:rsidP="00FE503D" w:rsidRDefault="00013AB1" w14:paraId="50F422C7" w14:textId="3471EF54">
      <w:pPr>
        <w:tabs>
          <w:tab w:val="left" w:pos="-720"/>
        </w:tabs>
        <w:spacing w:after="240"/>
        <w:ind w:left="720" w:hanging="720"/>
        <w:jc w:val="both"/>
        <w:rPr>
          <w:rFonts w:eastAsia="Times New Roman" w:cs="Times New Roman"/>
          <w:b/>
          <w:szCs w:val="24"/>
        </w:rPr>
      </w:pPr>
      <w:r w:rsidRPr="00642B6A">
        <w:rPr>
          <w:rFonts w:eastAsia="Times New Roman" w:cs="Times New Roman"/>
          <w:b/>
          <w:szCs w:val="24"/>
        </w:rPr>
        <w:t>14.</w:t>
      </w:r>
      <w:r w:rsidRPr="00642B6A">
        <w:rPr>
          <w:rFonts w:eastAsia="Times New Roman" w:cs="Times New Roman"/>
          <w:b/>
          <w:szCs w:val="24"/>
        </w:rPr>
        <w:tab/>
        <w:t>Provide estimates of the annualized co</w:t>
      </w:r>
      <w:r>
        <w:rPr>
          <w:rFonts w:eastAsia="Times New Roman" w:cs="Times New Roman"/>
          <w:b/>
          <w:szCs w:val="24"/>
        </w:rPr>
        <w:t xml:space="preserve">sts to the Federal Government. </w:t>
      </w:r>
      <w:r w:rsidRPr="00642B6A">
        <w:rPr>
          <w:rFonts w:eastAsia="Times New Roman" w:cs="Times New Roman"/>
          <w:b/>
          <w:szCs w:val="24"/>
        </w:rPr>
        <w:t>Also provide a description of the method used to estimate cost, which should include quantification of hours, operational expenses (such as equipment, overhead, printing and support staff), and any other expense that would not have been incurred without t</w:t>
      </w:r>
      <w:r>
        <w:rPr>
          <w:rFonts w:eastAsia="Times New Roman" w:cs="Times New Roman"/>
          <w:b/>
          <w:szCs w:val="24"/>
        </w:rPr>
        <w:t xml:space="preserve">his collection of information. </w:t>
      </w:r>
      <w:r w:rsidRPr="00642B6A">
        <w:rPr>
          <w:rFonts w:eastAsia="Times New Roman" w:cs="Times New Roman"/>
          <w:b/>
          <w:szCs w:val="24"/>
        </w:rPr>
        <w:t>Agencies may also aggregate cost estimates from Items 12,</w:t>
      </w:r>
      <w:r>
        <w:rPr>
          <w:rFonts w:eastAsia="Times New Roman" w:cs="Times New Roman"/>
          <w:b/>
          <w:szCs w:val="24"/>
        </w:rPr>
        <w:t xml:space="preserve"> 13, and 14 in a single table.</w:t>
      </w:r>
    </w:p>
    <w:p w:rsidRPr="00642B6A" w:rsidR="00013AB1" w:rsidP="007553BE" w:rsidRDefault="00013AB1" w14:paraId="50F422C8" w14:textId="101B719A">
      <w:pPr>
        <w:tabs>
          <w:tab w:val="left" w:pos="-720"/>
        </w:tabs>
        <w:spacing w:after="240"/>
        <w:rPr>
          <w:rFonts w:eastAsia="Times New Roman" w:cs="Times New Roman"/>
          <w:szCs w:val="24"/>
        </w:rPr>
      </w:pPr>
      <w:r w:rsidRPr="00642B6A">
        <w:rPr>
          <w:rFonts w:eastAsia="Times New Roman" w:cs="Times New Roman"/>
          <w:szCs w:val="24"/>
        </w:rPr>
        <w:tab/>
      </w:r>
      <w:r>
        <w:rPr>
          <w:rFonts w:eastAsia="Times New Roman" w:cs="Times New Roman"/>
          <w:szCs w:val="24"/>
        </w:rPr>
        <w:t>The Commission does not</w:t>
      </w:r>
      <w:r w:rsidRPr="007553BE">
        <w:rPr>
          <w:rFonts w:eastAsia="Times New Roman" w:cs="Times New Roman"/>
          <w:szCs w:val="24"/>
        </w:rPr>
        <w:t xml:space="preserve"> anticipate that </w:t>
      </w:r>
      <w:r>
        <w:rPr>
          <w:rFonts w:eastAsia="Times New Roman" w:cs="Times New Roman"/>
          <w:szCs w:val="24"/>
        </w:rPr>
        <w:t xml:space="preserve">the </w:t>
      </w:r>
      <w:r w:rsidRPr="007553BE">
        <w:rPr>
          <w:rFonts w:eastAsia="Times New Roman" w:cs="Times New Roman"/>
          <w:szCs w:val="24"/>
        </w:rPr>
        <w:t>proposed changes will require additional staff time or technology resources beyond what is already dedicated to this collection, as discussed in previous filings related to Information C</w:t>
      </w:r>
      <w:r>
        <w:rPr>
          <w:rFonts w:eastAsia="Times New Roman" w:cs="Times New Roman"/>
          <w:szCs w:val="24"/>
        </w:rPr>
        <w:t>ollection 3038-0096</w:t>
      </w:r>
      <w:r w:rsidRPr="007553BE">
        <w:rPr>
          <w:rFonts w:eastAsia="Times New Roman" w:cs="Times New Roman"/>
          <w:szCs w:val="24"/>
        </w:rPr>
        <w:t>.</w:t>
      </w:r>
    </w:p>
    <w:p w:rsidRPr="00642B6A" w:rsidR="00013AB1" w:rsidP="00FE503D" w:rsidRDefault="00013AB1" w14:paraId="50F422C9" w14:textId="77777777">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15.</w:t>
      </w:r>
      <w:r w:rsidRPr="00642B6A">
        <w:rPr>
          <w:rFonts w:eastAsia="Times New Roman" w:cs="Times New Roman"/>
          <w:b/>
          <w:szCs w:val="24"/>
        </w:rPr>
        <w:tab/>
        <w:t>Explain the reasons for any program changes or adjustments reported in Items 13 or 14 of the OMB Form 83-I.</w:t>
      </w:r>
    </w:p>
    <w:p w:rsidRPr="00642B6A" w:rsidR="00013AB1" w:rsidP="00BE76BF" w:rsidRDefault="00013AB1" w14:paraId="50F422CA" w14:textId="26A5ABB4">
      <w:pPr>
        <w:tabs>
          <w:tab w:val="left" w:pos="-720"/>
        </w:tabs>
        <w:spacing w:after="240"/>
        <w:rPr>
          <w:rFonts w:eastAsia="Times New Roman" w:cs="Times New Roman"/>
          <w:szCs w:val="24"/>
        </w:rPr>
      </w:pPr>
      <w:r w:rsidRPr="00642B6A">
        <w:rPr>
          <w:rFonts w:eastAsia="Times New Roman" w:cs="Times New Roman"/>
          <w:szCs w:val="24"/>
        </w:rPr>
        <w:tab/>
      </w:r>
      <w:r w:rsidRPr="00752AE8">
        <w:rPr>
          <w:rFonts w:eastAsia="Times New Roman" w:cs="Times New Roman"/>
          <w:szCs w:val="24"/>
        </w:rPr>
        <w:t>As discussed above, the Commission is</w:t>
      </w:r>
      <w:r>
        <w:rPr>
          <w:rFonts w:eastAsia="Times New Roman" w:cs="Times New Roman"/>
          <w:szCs w:val="24"/>
        </w:rPr>
        <w:t xml:space="preserve"> proposing amendments to part 45</w:t>
      </w:r>
      <w:r w:rsidRPr="00752AE8">
        <w:rPr>
          <w:rFonts w:eastAsia="Times New Roman" w:cs="Times New Roman"/>
          <w:szCs w:val="24"/>
        </w:rPr>
        <w:t xml:space="preserve"> of the Commission</w:t>
      </w:r>
      <w:r>
        <w:rPr>
          <w:rFonts w:eastAsia="Times New Roman" w:cs="Times New Roman"/>
          <w:szCs w:val="24"/>
        </w:rPr>
        <w:t>’s</w:t>
      </w:r>
      <w:r w:rsidRPr="00752AE8">
        <w:rPr>
          <w:rFonts w:eastAsia="Times New Roman" w:cs="Times New Roman"/>
          <w:szCs w:val="24"/>
        </w:rPr>
        <w:t xml:space="preserve"> regulations in order to improve the quality of </w:t>
      </w:r>
      <w:r>
        <w:rPr>
          <w:rFonts w:eastAsia="Times New Roman" w:cs="Times New Roman"/>
          <w:szCs w:val="24"/>
        </w:rPr>
        <w:t xml:space="preserve">swap data and </w:t>
      </w:r>
      <w:r w:rsidRPr="00752AE8">
        <w:rPr>
          <w:rFonts w:eastAsia="Times New Roman" w:cs="Times New Roman"/>
          <w:szCs w:val="24"/>
        </w:rPr>
        <w:t>to streamline regulatory requirements govern</w:t>
      </w:r>
      <w:r>
        <w:rPr>
          <w:rFonts w:eastAsia="Times New Roman" w:cs="Times New Roman"/>
          <w:szCs w:val="24"/>
        </w:rPr>
        <w:t>ing data reporting</w:t>
      </w:r>
      <w:r w:rsidRPr="00752AE8">
        <w:rPr>
          <w:rFonts w:eastAsia="Times New Roman" w:cs="Times New Roman"/>
          <w:szCs w:val="24"/>
        </w:rPr>
        <w:t xml:space="preserve">. This supporting statement discusses adjustments to burden </w:t>
      </w:r>
      <w:proofErr w:type="gramStart"/>
      <w:r w:rsidRPr="00752AE8">
        <w:rPr>
          <w:rFonts w:eastAsia="Times New Roman" w:cs="Times New Roman"/>
          <w:szCs w:val="24"/>
        </w:rPr>
        <w:t>hours</w:t>
      </w:r>
      <w:proofErr w:type="gramEnd"/>
      <w:r w:rsidRPr="00752AE8">
        <w:rPr>
          <w:rFonts w:eastAsia="Times New Roman" w:cs="Times New Roman"/>
          <w:szCs w:val="24"/>
        </w:rPr>
        <w:t xml:space="preserve"> calculations for </w:t>
      </w:r>
      <w:r>
        <w:rPr>
          <w:rFonts w:eastAsia="Times New Roman" w:cs="Times New Roman"/>
          <w:szCs w:val="24"/>
        </w:rPr>
        <w:t>Information Collection 3038-0096</w:t>
      </w:r>
      <w:r w:rsidRPr="00752AE8">
        <w:rPr>
          <w:rFonts w:eastAsia="Times New Roman" w:cs="Times New Roman"/>
          <w:szCs w:val="24"/>
        </w:rPr>
        <w:t xml:space="preserve"> to account for modified and new burdens associated with the proposed changes to t</w:t>
      </w:r>
      <w:r>
        <w:rPr>
          <w:rFonts w:eastAsia="Times New Roman" w:cs="Times New Roman"/>
          <w:szCs w:val="24"/>
        </w:rPr>
        <w:t xml:space="preserve">he regulation. The Commission </w:t>
      </w:r>
      <w:r w:rsidRPr="00752AE8">
        <w:rPr>
          <w:rFonts w:eastAsia="Times New Roman" w:cs="Times New Roman"/>
          <w:szCs w:val="24"/>
        </w:rPr>
        <w:t xml:space="preserve">is also updating the overall burden hours, collection volumes, and costs related to </w:t>
      </w:r>
      <w:r>
        <w:rPr>
          <w:rFonts w:eastAsia="Times New Roman" w:cs="Times New Roman"/>
          <w:szCs w:val="24"/>
        </w:rPr>
        <w:t>Information Collection 3038-0096</w:t>
      </w:r>
      <w:r w:rsidRPr="00752AE8">
        <w:rPr>
          <w:rFonts w:eastAsia="Times New Roman" w:cs="Times New Roman"/>
          <w:szCs w:val="24"/>
        </w:rPr>
        <w:t xml:space="preserve">, based on updated information related to other collections within </w:t>
      </w:r>
      <w:r>
        <w:rPr>
          <w:rFonts w:eastAsia="Times New Roman" w:cs="Times New Roman"/>
          <w:szCs w:val="24"/>
        </w:rPr>
        <w:t>Information Collection 3038-0096</w:t>
      </w:r>
      <w:r w:rsidRPr="00752AE8">
        <w:rPr>
          <w:rFonts w:eastAsia="Times New Roman" w:cs="Times New Roman"/>
          <w:szCs w:val="24"/>
        </w:rPr>
        <w:t xml:space="preserve"> that are not being modified by this proposal</w:t>
      </w:r>
      <w:r>
        <w:rPr>
          <w:rFonts w:eastAsia="Times New Roman" w:cs="Times New Roman"/>
          <w:szCs w:val="24"/>
        </w:rPr>
        <w:t xml:space="preserve"> and to correct errors in past estimates.</w:t>
      </w:r>
    </w:p>
    <w:p w:rsidRPr="00642B6A" w:rsidR="00013AB1" w:rsidP="00FE503D" w:rsidRDefault="00013AB1" w14:paraId="50F422CB" w14:textId="0616E26F">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16.</w:t>
      </w:r>
      <w:r w:rsidRPr="00642B6A">
        <w:rPr>
          <w:rFonts w:eastAsia="Times New Roman" w:cs="Times New Roman"/>
          <w:b/>
          <w:szCs w:val="24"/>
        </w:rPr>
        <w:tab/>
        <w:t>For collection of information whose results are planned to be published for statistical use, outline plans for tabulation, statisti</w:t>
      </w:r>
      <w:r>
        <w:rPr>
          <w:rFonts w:eastAsia="Times New Roman" w:cs="Times New Roman"/>
          <w:b/>
          <w:szCs w:val="24"/>
        </w:rPr>
        <w:t xml:space="preserve">cal analysis, and publication. </w:t>
      </w:r>
      <w:r w:rsidRPr="00642B6A">
        <w:rPr>
          <w:rFonts w:eastAsia="Times New Roman" w:cs="Times New Roman"/>
          <w:b/>
          <w:szCs w:val="24"/>
        </w:rPr>
        <w:t>Provide the time schedule for the entire project, including beginning and ending dates of the collection of information, completion of report, publication dates, and other actions.</w:t>
      </w:r>
    </w:p>
    <w:p w:rsidRPr="00642B6A" w:rsidR="00013AB1" w:rsidP="00642B6A" w:rsidRDefault="00013AB1" w14:paraId="50F422CC" w14:textId="0731BBEC">
      <w:pPr>
        <w:tabs>
          <w:tab w:val="left" w:pos="-720"/>
        </w:tabs>
        <w:spacing w:after="240"/>
        <w:rPr>
          <w:rFonts w:eastAsia="Times New Roman" w:cs="Times New Roman"/>
          <w:szCs w:val="24"/>
        </w:rPr>
      </w:pPr>
      <w:r w:rsidRPr="00642B6A">
        <w:rPr>
          <w:rFonts w:eastAsia="Times New Roman" w:cs="Times New Roman"/>
          <w:szCs w:val="24"/>
        </w:rPr>
        <w:tab/>
      </w:r>
      <w:r w:rsidRPr="00BE76BF">
        <w:rPr>
          <w:rFonts w:eastAsia="Times New Roman" w:cs="Times New Roman"/>
          <w:szCs w:val="24"/>
        </w:rPr>
        <w:t>Not applicable, the results of this collection of information are not planned to be published for statistical use.</w:t>
      </w:r>
    </w:p>
    <w:p w:rsidRPr="00642B6A" w:rsidR="00013AB1" w:rsidP="00FE503D" w:rsidRDefault="00013AB1" w14:paraId="50F422CD" w14:textId="77777777">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17.</w:t>
      </w:r>
      <w:r w:rsidRPr="00642B6A">
        <w:rPr>
          <w:rFonts w:eastAsia="Times New Roman" w:cs="Times New Roman"/>
          <w:b/>
          <w:szCs w:val="24"/>
        </w:rPr>
        <w:tab/>
        <w:t>If seeking approval to not display the expiration date for OMB approval of the information collection, explain the reasons that display would be inappropriate.</w:t>
      </w:r>
    </w:p>
    <w:p w:rsidRPr="00642B6A" w:rsidR="00013AB1" w:rsidP="00642B6A" w:rsidRDefault="00013AB1" w14:paraId="50F422CE" w14:textId="7D71A652">
      <w:pPr>
        <w:tabs>
          <w:tab w:val="left" w:pos="-720"/>
        </w:tabs>
        <w:spacing w:after="240"/>
        <w:rPr>
          <w:rFonts w:eastAsia="Times New Roman" w:cs="Times New Roman"/>
          <w:szCs w:val="24"/>
        </w:rPr>
      </w:pPr>
      <w:r w:rsidRPr="00642B6A">
        <w:rPr>
          <w:rFonts w:eastAsia="Times New Roman" w:cs="Times New Roman"/>
          <w:szCs w:val="24"/>
        </w:rPr>
        <w:tab/>
      </w:r>
      <w:r w:rsidRPr="00BE76BF">
        <w:rPr>
          <w:rFonts w:eastAsia="Times New Roman" w:cs="Times New Roman"/>
          <w:szCs w:val="24"/>
        </w:rPr>
        <w:t>Not applicable, the Commission is not seeking such approval for this publication.</w:t>
      </w:r>
    </w:p>
    <w:p w:rsidRPr="00642B6A" w:rsidR="00013AB1" w:rsidP="00FE503D" w:rsidRDefault="00013AB1" w14:paraId="50F422CF" w14:textId="77777777">
      <w:pPr>
        <w:keepNext/>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lastRenderedPageBreak/>
        <w:t>18.</w:t>
      </w:r>
      <w:r w:rsidRPr="00642B6A">
        <w:rPr>
          <w:rFonts w:eastAsia="Times New Roman" w:cs="Times New Roman"/>
          <w:b/>
          <w:szCs w:val="24"/>
        </w:rPr>
        <w:tab/>
        <w:t>Explain each exception to the certification statement identified in Item 19, "Certification for Paperwork Reduction Act Submissions," of OMB Form 83-I.</w:t>
      </w:r>
    </w:p>
    <w:p w:rsidR="00013AB1" w:rsidP="009D00FB" w:rsidRDefault="00013AB1" w14:paraId="50F422D0" w14:textId="40F729D4">
      <w:pPr>
        <w:tabs>
          <w:tab w:val="left" w:pos="-720"/>
        </w:tabs>
        <w:spacing w:after="240"/>
        <w:rPr>
          <w:rFonts w:eastAsia="Times New Roman" w:cs="Times New Roman"/>
          <w:szCs w:val="24"/>
        </w:rPr>
      </w:pPr>
      <w:r w:rsidRPr="00642B6A">
        <w:rPr>
          <w:rFonts w:eastAsia="Times New Roman" w:cs="Times New Roman"/>
          <w:szCs w:val="24"/>
        </w:rPr>
        <w:tab/>
      </w:r>
      <w:r w:rsidRPr="00BE76BF">
        <w:rPr>
          <w:rFonts w:eastAsia="Times New Roman" w:cs="Times New Roman"/>
          <w:szCs w:val="24"/>
        </w:rPr>
        <w:t>Not applicable, there are no</w:t>
      </w:r>
      <w:r>
        <w:rPr>
          <w:rFonts w:eastAsia="Times New Roman" w:cs="Times New Roman"/>
          <w:szCs w:val="24"/>
        </w:rPr>
        <w:t xml:space="preserve"> exceptions.</w:t>
      </w:r>
    </w:p>
    <w:p w:rsidR="00013AB1" w:rsidRDefault="00013AB1" w14:paraId="50F422D1" w14:textId="77777777">
      <w:pPr>
        <w:spacing w:after="200" w:line="276" w:lineRule="auto"/>
        <w:rPr>
          <w:rFonts w:eastAsia="Times New Roman" w:cs="Times New Roman"/>
          <w:szCs w:val="24"/>
        </w:rPr>
      </w:pPr>
      <w:r>
        <w:rPr>
          <w:rFonts w:eastAsia="Times New Roman" w:cs="Times New Roman"/>
          <w:szCs w:val="24"/>
        </w:rPr>
        <w:br w:type="page"/>
      </w:r>
    </w:p>
    <w:p w:rsidRPr="00642B6A" w:rsidR="00013AB1" w:rsidP="00870D2C" w:rsidRDefault="00013AB1" w14:paraId="50F422D4" w14:textId="289871BF">
      <w:pPr>
        <w:tabs>
          <w:tab w:val="left" w:pos="-720"/>
        </w:tabs>
        <w:spacing w:after="240"/>
        <w:jc w:val="center"/>
        <w:rPr>
          <w:rFonts w:eastAsia="Times New Roman" w:cs="Times New Roman"/>
          <w:b/>
          <w:szCs w:val="24"/>
        </w:rPr>
      </w:pPr>
      <w:r w:rsidRPr="00642B6A">
        <w:rPr>
          <w:rFonts w:eastAsia="Times New Roman" w:cs="Times New Roman"/>
          <w:b/>
          <w:szCs w:val="24"/>
        </w:rPr>
        <w:lastRenderedPageBreak/>
        <w:t>Attachment A</w:t>
      </w:r>
    </w:p>
    <w:p w:rsidR="00013AB1" w:rsidP="00642B6A" w:rsidRDefault="00013AB1" w14:paraId="50F422D5" w14:textId="6519385E">
      <w:pPr>
        <w:jc w:val="center"/>
        <w:rPr>
          <w:rFonts w:eastAsia="Times New Roman" w:cs="Times New Roman"/>
          <w:b/>
          <w:szCs w:val="24"/>
        </w:rPr>
      </w:pPr>
      <w:r>
        <w:rPr>
          <w:rFonts w:eastAsia="Times New Roman" w:cs="Times New Roman"/>
          <w:b/>
          <w:szCs w:val="24"/>
        </w:rPr>
        <w:t>OMB Control Number 3038-0096</w:t>
      </w:r>
    </w:p>
    <w:p w:rsidR="00013AB1" w:rsidP="00357E35" w:rsidRDefault="00013AB1" w14:paraId="50F422D6" w14:textId="40434567">
      <w:pPr>
        <w:jc w:val="center"/>
        <w:rPr>
          <w:rFonts w:eastAsia="Times New Roman" w:cs="Times New Roman"/>
          <w:szCs w:val="24"/>
        </w:rPr>
      </w:pPr>
      <w:r>
        <w:rPr>
          <w:rFonts w:eastAsia="Times New Roman" w:cs="Times New Roman"/>
          <w:szCs w:val="24"/>
        </w:rPr>
        <w:t>Swap Data Reporting and Recordkeeping</w:t>
      </w:r>
    </w:p>
    <w:p w:rsidRPr="00642B6A" w:rsidR="00013AB1" w:rsidP="00357E35" w:rsidRDefault="00013AB1" w14:paraId="15AE25DE" w14:textId="77777777">
      <w:pPr>
        <w:jc w:val="center"/>
        <w:rPr>
          <w:rFonts w:eastAsia="Times New Roman" w:cs="Times New Roman"/>
          <w:b/>
          <w:szCs w:val="24"/>
        </w:rPr>
      </w:pPr>
    </w:p>
    <w:p w:rsidRPr="008F6D4A" w:rsidR="00013AB1" w:rsidP="008F6D4A" w:rsidRDefault="00013AB1" w14:paraId="50F422D7" w14:textId="6BBAD2D3">
      <w:pPr>
        <w:jc w:val="center"/>
        <w:rPr>
          <w:rFonts w:eastAsia="Times New Roman" w:cs="Times New Roman"/>
          <w:szCs w:val="24"/>
        </w:rPr>
      </w:pPr>
      <w:r w:rsidRPr="008F6D4A">
        <w:rPr>
          <w:rFonts w:eastAsia="Times New Roman" w:cs="Times New Roman"/>
          <w:szCs w:val="24"/>
        </w:rPr>
        <w:t>Reporting Burden</w:t>
      </w:r>
    </w:p>
    <w:tbl>
      <w:tblPr>
        <w:tblpPr w:leftFromText="180" w:rightFromText="180" w:vertAnchor="text" w:horzAnchor="margin" w:tblpXSpec="center" w:tblpY="202"/>
        <w:tblW w:w="11430" w:type="dxa"/>
        <w:tblLayout w:type="fixed"/>
        <w:tblLook w:val="04A0" w:firstRow="1" w:lastRow="0" w:firstColumn="1" w:lastColumn="0" w:noHBand="0" w:noVBand="1"/>
      </w:tblPr>
      <w:tblGrid>
        <w:gridCol w:w="918"/>
        <w:gridCol w:w="1350"/>
        <w:gridCol w:w="1170"/>
        <w:gridCol w:w="1170"/>
        <w:gridCol w:w="1332"/>
        <w:gridCol w:w="1008"/>
        <w:gridCol w:w="1170"/>
        <w:gridCol w:w="1170"/>
        <w:gridCol w:w="990"/>
        <w:gridCol w:w="1152"/>
      </w:tblGrid>
      <w:tr w:rsidRPr="00624B4F" w:rsidR="00CB1CDA" w:rsidTr="00D77266" w14:paraId="59CB2FAB" w14:textId="77777777">
        <w:trPr>
          <w:trHeight w:val="288"/>
        </w:trPr>
        <w:tc>
          <w:tcPr>
            <w:tcW w:w="918" w:type="dxa"/>
            <w:tcBorders>
              <w:top w:val="single" w:color="000000" w:sz="8" w:space="0"/>
              <w:left w:val="single" w:color="000000" w:sz="8" w:space="0"/>
              <w:bottom w:val="nil"/>
              <w:right w:val="single" w:color="000000" w:sz="8" w:space="0"/>
            </w:tcBorders>
            <w:shd w:val="clear" w:color="auto" w:fill="auto"/>
            <w:vAlign w:val="center"/>
            <w:hideMark/>
          </w:tcPr>
          <w:p w:rsidRPr="00624B4F" w:rsidR="00013AB1" w:rsidP="00624B4F" w:rsidRDefault="00013AB1" w14:paraId="335D42C6" w14:textId="77777777">
            <w:pPr>
              <w:jc w:val="center"/>
              <w:rPr>
                <w:rFonts w:ascii="Arial" w:hAnsi="Arial" w:eastAsia="Times New Roman" w:cs="Arial"/>
                <w:b/>
                <w:bCs/>
                <w:color w:val="000000"/>
                <w:sz w:val="16"/>
                <w:szCs w:val="16"/>
              </w:rPr>
            </w:pPr>
            <w:r w:rsidRPr="00624B4F">
              <w:rPr>
                <w:rFonts w:ascii="Arial" w:hAnsi="Arial" w:eastAsia="Times New Roman" w:cs="Arial"/>
                <w:b/>
                <w:bCs/>
                <w:color w:val="000000"/>
                <w:sz w:val="16"/>
                <w:szCs w:val="16"/>
              </w:rPr>
              <w:t>1</w:t>
            </w:r>
          </w:p>
        </w:tc>
        <w:tc>
          <w:tcPr>
            <w:tcW w:w="1350" w:type="dxa"/>
            <w:tcBorders>
              <w:top w:val="single" w:color="000000" w:sz="8" w:space="0"/>
              <w:left w:val="nil"/>
              <w:bottom w:val="nil"/>
              <w:right w:val="single" w:color="000000" w:sz="8" w:space="0"/>
            </w:tcBorders>
            <w:shd w:val="clear" w:color="auto" w:fill="auto"/>
            <w:vAlign w:val="center"/>
            <w:hideMark/>
          </w:tcPr>
          <w:p w:rsidRPr="00624B4F" w:rsidR="00013AB1" w:rsidP="00624B4F" w:rsidRDefault="00013AB1" w14:paraId="1BD76E17" w14:textId="77777777">
            <w:pPr>
              <w:jc w:val="center"/>
              <w:rPr>
                <w:rFonts w:ascii="Arial" w:hAnsi="Arial" w:eastAsia="Times New Roman" w:cs="Arial"/>
                <w:b/>
                <w:bCs/>
                <w:color w:val="000000"/>
                <w:sz w:val="16"/>
                <w:szCs w:val="16"/>
              </w:rPr>
            </w:pPr>
            <w:r w:rsidRPr="00624B4F">
              <w:rPr>
                <w:rFonts w:ascii="Arial" w:hAnsi="Arial" w:eastAsia="Times New Roman" w:cs="Arial"/>
                <w:b/>
                <w:bCs/>
                <w:color w:val="000000"/>
                <w:sz w:val="16"/>
                <w:szCs w:val="16"/>
              </w:rPr>
              <w:t>2</w:t>
            </w:r>
          </w:p>
        </w:tc>
        <w:tc>
          <w:tcPr>
            <w:tcW w:w="1170" w:type="dxa"/>
            <w:tcBorders>
              <w:top w:val="single" w:color="000000" w:sz="8" w:space="0"/>
              <w:left w:val="nil"/>
              <w:bottom w:val="nil"/>
              <w:right w:val="single" w:color="000000" w:sz="8" w:space="0"/>
            </w:tcBorders>
            <w:shd w:val="clear" w:color="auto" w:fill="auto"/>
            <w:vAlign w:val="center"/>
            <w:hideMark/>
          </w:tcPr>
          <w:p w:rsidRPr="00624B4F" w:rsidR="00013AB1" w:rsidP="00624B4F" w:rsidRDefault="00013AB1" w14:paraId="32A718C3" w14:textId="77777777">
            <w:pPr>
              <w:jc w:val="center"/>
              <w:rPr>
                <w:rFonts w:ascii="Arial" w:hAnsi="Arial" w:eastAsia="Times New Roman" w:cs="Arial"/>
                <w:b/>
                <w:bCs/>
                <w:color w:val="000000"/>
                <w:sz w:val="16"/>
                <w:szCs w:val="16"/>
              </w:rPr>
            </w:pPr>
            <w:r w:rsidRPr="00624B4F">
              <w:rPr>
                <w:rFonts w:ascii="Arial" w:hAnsi="Arial" w:eastAsia="Times New Roman" w:cs="Arial"/>
                <w:b/>
                <w:bCs/>
                <w:color w:val="000000"/>
                <w:sz w:val="16"/>
                <w:szCs w:val="16"/>
              </w:rPr>
              <w:t>3</w:t>
            </w:r>
          </w:p>
        </w:tc>
        <w:tc>
          <w:tcPr>
            <w:tcW w:w="1170" w:type="dxa"/>
            <w:tcBorders>
              <w:top w:val="single" w:color="000000" w:sz="8" w:space="0"/>
              <w:left w:val="nil"/>
              <w:bottom w:val="nil"/>
              <w:right w:val="single" w:color="000000" w:sz="8" w:space="0"/>
            </w:tcBorders>
            <w:shd w:val="clear" w:color="auto" w:fill="auto"/>
            <w:vAlign w:val="center"/>
            <w:hideMark/>
          </w:tcPr>
          <w:p w:rsidRPr="00624B4F" w:rsidR="00013AB1" w:rsidP="00624B4F" w:rsidRDefault="00013AB1" w14:paraId="4F6DB15A" w14:textId="77777777">
            <w:pPr>
              <w:jc w:val="center"/>
              <w:rPr>
                <w:rFonts w:ascii="Arial" w:hAnsi="Arial" w:eastAsia="Times New Roman" w:cs="Arial"/>
                <w:b/>
                <w:bCs/>
                <w:color w:val="000000"/>
                <w:sz w:val="16"/>
                <w:szCs w:val="16"/>
              </w:rPr>
            </w:pPr>
            <w:r w:rsidRPr="00624B4F">
              <w:rPr>
                <w:rFonts w:ascii="Arial" w:hAnsi="Arial" w:eastAsia="Times New Roman" w:cs="Arial"/>
                <w:b/>
                <w:bCs/>
                <w:color w:val="000000"/>
                <w:sz w:val="16"/>
                <w:szCs w:val="16"/>
              </w:rPr>
              <w:t>4</w:t>
            </w:r>
          </w:p>
        </w:tc>
        <w:tc>
          <w:tcPr>
            <w:tcW w:w="1332" w:type="dxa"/>
            <w:tcBorders>
              <w:top w:val="single" w:color="000000" w:sz="8" w:space="0"/>
              <w:left w:val="nil"/>
              <w:bottom w:val="nil"/>
              <w:right w:val="single" w:color="000000" w:sz="8" w:space="0"/>
            </w:tcBorders>
            <w:shd w:val="clear" w:color="auto" w:fill="auto"/>
            <w:vAlign w:val="center"/>
            <w:hideMark/>
          </w:tcPr>
          <w:p w:rsidRPr="00624B4F" w:rsidR="00013AB1" w:rsidP="00624B4F" w:rsidRDefault="00013AB1" w14:paraId="3E39B298" w14:textId="77777777">
            <w:pPr>
              <w:jc w:val="center"/>
              <w:rPr>
                <w:rFonts w:ascii="Arial" w:hAnsi="Arial" w:eastAsia="Times New Roman" w:cs="Arial"/>
                <w:b/>
                <w:bCs/>
                <w:color w:val="000000"/>
                <w:sz w:val="16"/>
                <w:szCs w:val="16"/>
              </w:rPr>
            </w:pPr>
            <w:r w:rsidRPr="00624B4F">
              <w:rPr>
                <w:rFonts w:ascii="Arial" w:hAnsi="Arial" w:eastAsia="Times New Roman" w:cs="Arial"/>
                <w:b/>
                <w:bCs/>
                <w:color w:val="000000"/>
                <w:sz w:val="16"/>
                <w:szCs w:val="16"/>
              </w:rPr>
              <w:t>5</w:t>
            </w:r>
          </w:p>
        </w:tc>
        <w:tc>
          <w:tcPr>
            <w:tcW w:w="1008" w:type="dxa"/>
            <w:tcBorders>
              <w:top w:val="single" w:color="000000" w:sz="8" w:space="0"/>
              <w:left w:val="nil"/>
              <w:bottom w:val="nil"/>
              <w:right w:val="single" w:color="000000" w:sz="8" w:space="0"/>
            </w:tcBorders>
            <w:shd w:val="clear" w:color="auto" w:fill="auto"/>
            <w:vAlign w:val="center"/>
            <w:hideMark/>
          </w:tcPr>
          <w:p w:rsidRPr="00624B4F" w:rsidR="00013AB1" w:rsidP="00624B4F" w:rsidRDefault="00013AB1" w14:paraId="46855672" w14:textId="77777777">
            <w:pPr>
              <w:jc w:val="center"/>
              <w:rPr>
                <w:rFonts w:ascii="Arial" w:hAnsi="Arial" w:eastAsia="Times New Roman" w:cs="Arial"/>
                <w:b/>
                <w:bCs/>
                <w:color w:val="000000"/>
                <w:sz w:val="16"/>
                <w:szCs w:val="16"/>
              </w:rPr>
            </w:pPr>
            <w:r w:rsidRPr="00624B4F">
              <w:rPr>
                <w:rFonts w:ascii="Arial" w:hAnsi="Arial" w:eastAsia="Times New Roman" w:cs="Arial"/>
                <w:b/>
                <w:bCs/>
                <w:color w:val="000000"/>
                <w:sz w:val="16"/>
                <w:szCs w:val="16"/>
              </w:rPr>
              <w:t>6</w:t>
            </w:r>
          </w:p>
        </w:tc>
        <w:tc>
          <w:tcPr>
            <w:tcW w:w="1170" w:type="dxa"/>
            <w:tcBorders>
              <w:top w:val="single" w:color="000000" w:sz="8" w:space="0"/>
              <w:left w:val="nil"/>
              <w:bottom w:val="nil"/>
              <w:right w:val="single" w:color="000000" w:sz="8" w:space="0"/>
            </w:tcBorders>
            <w:shd w:val="clear" w:color="auto" w:fill="auto"/>
            <w:vAlign w:val="center"/>
            <w:hideMark/>
          </w:tcPr>
          <w:p w:rsidRPr="00624B4F" w:rsidR="00013AB1" w:rsidP="00536419" w:rsidRDefault="00013AB1" w14:paraId="04523C78" w14:textId="77777777">
            <w:pPr>
              <w:jc w:val="center"/>
              <w:rPr>
                <w:rFonts w:ascii="Arial" w:hAnsi="Arial" w:eastAsia="Times New Roman" w:cs="Arial"/>
                <w:b/>
                <w:bCs/>
                <w:color w:val="000000"/>
                <w:sz w:val="16"/>
                <w:szCs w:val="16"/>
              </w:rPr>
            </w:pPr>
            <w:r w:rsidRPr="00624B4F">
              <w:rPr>
                <w:rFonts w:ascii="Arial" w:hAnsi="Arial" w:eastAsia="Times New Roman" w:cs="Arial"/>
                <w:b/>
                <w:bCs/>
                <w:color w:val="000000"/>
                <w:sz w:val="16"/>
                <w:szCs w:val="16"/>
              </w:rPr>
              <w:t>7</w:t>
            </w:r>
          </w:p>
        </w:tc>
        <w:tc>
          <w:tcPr>
            <w:tcW w:w="1170" w:type="dxa"/>
            <w:tcBorders>
              <w:top w:val="single" w:color="000000" w:sz="8" w:space="0"/>
              <w:left w:val="nil"/>
              <w:bottom w:val="nil"/>
              <w:right w:val="single" w:color="000000" w:sz="8" w:space="0"/>
            </w:tcBorders>
            <w:shd w:val="clear" w:color="auto" w:fill="auto"/>
            <w:vAlign w:val="center"/>
            <w:hideMark/>
          </w:tcPr>
          <w:p w:rsidRPr="00624B4F" w:rsidR="00013AB1" w:rsidP="00624B4F" w:rsidRDefault="00013AB1" w14:paraId="61E66E08" w14:textId="77777777">
            <w:pPr>
              <w:jc w:val="center"/>
              <w:rPr>
                <w:rFonts w:ascii="Arial" w:hAnsi="Arial" w:eastAsia="Times New Roman" w:cs="Arial"/>
                <w:b/>
                <w:bCs/>
                <w:color w:val="000000"/>
                <w:sz w:val="16"/>
                <w:szCs w:val="16"/>
              </w:rPr>
            </w:pPr>
            <w:r w:rsidRPr="00624B4F">
              <w:rPr>
                <w:rFonts w:ascii="Arial" w:hAnsi="Arial" w:eastAsia="Times New Roman" w:cs="Arial"/>
                <w:b/>
                <w:bCs/>
                <w:color w:val="000000"/>
                <w:sz w:val="16"/>
                <w:szCs w:val="16"/>
              </w:rPr>
              <w:t>8</w:t>
            </w:r>
          </w:p>
        </w:tc>
        <w:tc>
          <w:tcPr>
            <w:tcW w:w="990" w:type="dxa"/>
            <w:tcBorders>
              <w:top w:val="single" w:color="000000" w:sz="8" w:space="0"/>
              <w:left w:val="nil"/>
              <w:bottom w:val="nil"/>
              <w:right w:val="single" w:color="000000" w:sz="8" w:space="0"/>
            </w:tcBorders>
            <w:shd w:val="clear" w:color="auto" w:fill="auto"/>
            <w:vAlign w:val="center"/>
            <w:hideMark/>
          </w:tcPr>
          <w:p w:rsidRPr="00624B4F" w:rsidR="00013AB1" w:rsidP="00624B4F" w:rsidRDefault="00013AB1" w14:paraId="601809B6" w14:textId="77777777">
            <w:pPr>
              <w:jc w:val="center"/>
              <w:rPr>
                <w:rFonts w:ascii="Arial" w:hAnsi="Arial" w:eastAsia="Times New Roman" w:cs="Arial"/>
                <w:b/>
                <w:bCs/>
                <w:color w:val="000000"/>
                <w:sz w:val="16"/>
                <w:szCs w:val="16"/>
              </w:rPr>
            </w:pPr>
            <w:r w:rsidRPr="00624B4F">
              <w:rPr>
                <w:rFonts w:ascii="Arial" w:hAnsi="Arial" w:eastAsia="Times New Roman" w:cs="Arial"/>
                <w:b/>
                <w:bCs/>
                <w:color w:val="000000"/>
                <w:sz w:val="16"/>
                <w:szCs w:val="16"/>
              </w:rPr>
              <w:t>9</w:t>
            </w:r>
          </w:p>
        </w:tc>
        <w:tc>
          <w:tcPr>
            <w:tcW w:w="1152" w:type="dxa"/>
            <w:tcBorders>
              <w:top w:val="single" w:color="000000" w:sz="8" w:space="0"/>
              <w:left w:val="nil"/>
              <w:bottom w:val="nil"/>
              <w:right w:val="single" w:color="000000" w:sz="8" w:space="0"/>
            </w:tcBorders>
            <w:shd w:val="clear" w:color="auto" w:fill="auto"/>
            <w:vAlign w:val="center"/>
            <w:hideMark/>
          </w:tcPr>
          <w:p w:rsidRPr="00624B4F" w:rsidR="00013AB1" w:rsidP="00624B4F" w:rsidRDefault="00013AB1" w14:paraId="15397F09" w14:textId="77777777">
            <w:pPr>
              <w:jc w:val="center"/>
              <w:rPr>
                <w:rFonts w:ascii="Arial" w:hAnsi="Arial" w:eastAsia="Times New Roman" w:cs="Arial"/>
                <w:b/>
                <w:bCs/>
                <w:color w:val="000000"/>
                <w:sz w:val="16"/>
                <w:szCs w:val="16"/>
              </w:rPr>
            </w:pPr>
            <w:r w:rsidRPr="00624B4F">
              <w:rPr>
                <w:rFonts w:ascii="Arial" w:hAnsi="Arial" w:eastAsia="Times New Roman" w:cs="Arial"/>
                <w:b/>
                <w:bCs/>
                <w:color w:val="000000"/>
                <w:sz w:val="16"/>
                <w:szCs w:val="16"/>
              </w:rPr>
              <w:t>10</w:t>
            </w:r>
          </w:p>
        </w:tc>
      </w:tr>
      <w:tr w:rsidRPr="00624B4F" w:rsidR="00CB1CDA" w:rsidTr="00D77266" w14:paraId="4B5B4582" w14:textId="77777777">
        <w:trPr>
          <w:trHeight w:val="1728"/>
        </w:trPr>
        <w:tc>
          <w:tcPr>
            <w:tcW w:w="918" w:type="dxa"/>
            <w:tcBorders>
              <w:top w:val="nil"/>
              <w:left w:val="single" w:color="000000" w:sz="8" w:space="0"/>
              <w:bottom w:val="nil"/>
              <w:right w:val="single" w:color="000000" w:sz="8" w:space="0"/>
            </w:tcBorders>
            <w:shd w:val="clear" w:color="auto" w:fill="auto"/>
            <w:vAlign w:val="center"/>
            <w:hideMark/>
          </w:tcPr>
          <w:p w:rsidR="00CB1CDA" w:rsidP="00624B4F" w:rsidRDefault="00013AB1" w14:paraId="193FA1C6" w14:textId="77777777">
            <w:pPr>
              <w:jc w:val="center"/>
              <w:rPr>
                <w:rFonts w:ascii="Arial" w:hAnsi="Arial" w:eastAsia="Times New Roman" w:cs="Arial"/>
                <w:b/>
                <w:bCs/>
                <w:sz w:val="16"/>
                <w:szCs w:val="16"/>
              </w:rPr>
            </w:pPr>
            <w:r w:rsidRPr="00624B4F">
              <w:rPr>
                <w:rFonts w:ascii="Arial" w:hAnsi="Arial" w:eastAsia="Times New Roman" w:cs="Arial"/>
                <w:b/>
                <w:bCs/>
                <w:sz w:val="16"/>
                <w:szCs w:val="16"/>
              </w:rPr>
              <w:t>Regula</w:t>
            </w:r>
            <w:r w:rsidR="00CB1CDA">
              <w:rPr>
                <w:rFonts w:ascii="Arial" w:hAnsi="Arial" w:eastAsia="Times New Roman" w:cs="Arial"/>
                <w:b/>
                <w:bCs/>
                <w:sz w:val="16"/>
                <w:szCs w:val="16"/>
              </w:rPr>
              <w:t>-</w:t>
            </w:r>
          </w:p>
          <w:p w:rsidRPr="00624B4F" w:rsidR="00013AB1" w:rsidP="00CB1CDA" w:rsidRDefault="00013AB1" w14:paraId="62F0A430" w14:textId="7B508446">
            <w:pPr>
              <w:jc w:val="center"/>
              <w:rPr>
                <w:rFonts w:ascii="Arial" w:hAnsi="Arial" w:eastAsia="Times New Roman" w:cs="Arial"/>
                <w:b/>
                <w:bCs/>
                <w:sz w:val="16"/>
                <w:szCs w:val="16"/>
              </w:rPr>
            </w:pPr>
            <w:proofErr w:type="spellStart"/>
            <w:r w:rsidRPr="00624B4F">
              <w:rPr>
                <w:rFonts w:ascii="Arial" w:hAnsi="Arial" w:eastAsia="Times New Roman" w:cs="Arial"/>
                <w:b/>
                <w:bCs/>
                <w:sz w:val="16"/>
                <w:szCs w:val="16"/>
              </w:rPr>
              <w:t>tion</w:t>
            </w:r>
            <w:proofErr w:type="spellEnd"/>
          </w:p>
        </w:tc>
        <w:tc>
          <w:tcPr>
            <w:tcW w:w="1350" w:type="dxa"/>
            <w:tcBorders>
              <w:top w:val="nil"/>
              <w:left w:val="nil"/>
              <w:bottom w:val="nil"/>
              <w:right w:val="single" w:color="000000" w:sz="8" w:space="0"/>
            </w:tcBorders>
            <w:shd w:val="clear" w:color="auto" w:fill="auto"/>
            <w:vAlign w:val="center"/>
            <w:hideMark/>
          </w:tcPr>
          <w:p w:rsidRPr="00624B4F" w:rsidR="00013AB1" w:rsidP="00624B4F" w:rsidRDefault="00013AB1" w14:paraId="44D7A2F3" w14:textId="77777777">
            <w:pPr>
              <w:jc w:val="center"/>
              <w:rPr>
                <w:rFonts w:ascii="Arial" w:hAnsi="Arial" w:eastAsia="Times New Roman" w:cs="Arial"/>
                <w:b/>
                <w:bCs/>
                <w:sz w:val="16"/>
                <w:szCs w:val="16"/>
              </w:rPr>
            </w:pPr>
            <w:r w:rsidRPr="00624B4F">
              <w:rPr>
                <w:rFonts w:ascii="Arial" w:hAnsi="Arial" w:eastAsia="Times New Roman" w:cs="Arial"/>
                <w:b/>
                <w:bCs/>
                <w:sz w:val="16"/>
                <w:szCs w:val="16"/>
              </w:rPr>
              <w:t xml:space="preserve">Estimated Number of Respondents </w:t>
            </w:r>
          </w:p>
        </w:tc>
        <w:tc>
          <w:tcPr>
            <w:tcW w:w="1170" w:type="dxa"/>
            <w:tcBorders>
              <w:top w:val="nil"/>
              <w:left w:val="nil"/>
              <w:bottom w:val="nil"/>
              <w:right w:val="single" w:color="000000" w:sz="8" w:space="0"/>
            </w:tcBorders>
            <w:shd w:val="clear" w:color="auto" w:fill="auto"/>
            <w:vAlign w:val="center"/>
            <w:hideMark/>
          </w:tcPr>
          <w:p w:rsidRPr="00624B4F" w:rsidR="00013AB1" w:rsidP="00624B4F" w:rsidRDefault="00013AB1" w14:paraId="1F931221" w14:textId="77777777">
            <w:pPr>
              <w:jc w:val="center"/>
              <w:rPr>
                <w:rFonts w:ascii="Arial" w:hAnsi="Arial" w:eastAsia="Times New Roman" w:cs="Arial"/>
                <w:b/>
                <w:bCs/>
                <w:sz w:val="16"/>
                <w:szCs w:val="16"/>
              </w:rPr>
            </w:pPr>
            <w:r w:rsidRPr="00624B4F">
              <w:rPr>
                <w:rFonts w:ascii="Arial" w:hAnsi="Arial" w:eastAsia="Times New Roman" w:cs="Arial"/>
                <w:b/>
                <w:bCs/>
                <w:sz w:val="16"/>
                <w:szCs w:val="16"/>
              </w:rPr>
              <w:t>Estimated Number of Reports</w:t>
            </w:r>
            <w:r>
              <w:rPr>
                <w:rFonts w:ascii="Arial" w:hAnsi="Arial" w:eastAsia="Times New Roman" w:cs="Arial"/>
                <w:b/>
                <w:bCs/>
                <w:sz w:val="16"/>
                <w:szCs w:val="16"/>
              </w:rPr>
              <w:t xml:space="preserve"> by Each Respondent</w:t>
            </w:r>
          </w:p>
        </w:tc>
        <w:tc>
          <w:tcPr>
            <w:tcW w:w="1170" w:type="dxa"/>
            <w:tcBorders>
              <w:top w:val="nil"/>
              <w:left w:val="nil"/>
              <w:bottom w:val="nil"/>
              <w:right w:val="single" w:color="000000" w:sz="8" w:space="0"/>
            </w:tcBorders>
            <w:shd w:val="clear" w:color="auto" w:fill="auto"/>
            <w:vAlign w:val="center"/>
            <w:hideMark/>
          </w:tcPr>
          <w:p w:rsidRPr="00624B4F" w:rsidR="00013AB1" w:rsidP="00624B4F" w:rsidRDefault="00013AB1" w14:paraId="682B4B43" w14:textId="77777777">
            <w:pPr>
              <w:jc w:val="center"/>
              <w:rPr>
                <w:rFonts w:ascii="Arial" w:hAnsi="Arial" w:eastAsia="Times New Roman" w:cs="Arial"/>
                <w:b/>
                <w:bCs/>
                <w:sz w:val="16"/>
                <w:szCs w:val="16"/>
              </w:rPr>
            </w:pPr>
            <w:r w:rsidRPr="00624B4F">
              <w:rPr>
                <w:rFonts w:ascii="Arial" w:hAnsi="Arial" w:eastAsia="Times New Roman" w:cs="Arial"/>
                <w:b/>
                <w:bCs/>
                <w:sz w:val="16"/>
                <w:szCs w:val="16"/>
              </w:rPr>
              <w:t>Estimated Average Number of Burden Hours per Response</w:t>
            </w:r>
          </w:p>
        </w:tc>
        <w:tc>
          <w:tcPr>
            <w:tcW w:w="1332" w:type="dxa"/>
            <w:tcBorders>
              <w:top w:val="nil"/>
              <w:left w:val="nil"/>
              <w:bottom w:val="nil"/>
              <w:right w:val="single" w:color="000000" w:sz="8" w:space="0"/>
            </w:tcBorders>
            <w:shd w:val="clear" w:color="auto" w:fill="auto"/>
            <w:vAlign w:val="center"/>
            <w:hideMark/>
          </w:tcPr>
          <w:p w:rsidR="005E085C" w:rsidP="00870D2C" w:rsidRDefault="00013AB1" w14:paraId="168C827F" w14:textId="77777777">
            <w:pPr>
              <w:tabs>
                <w:tab w:val="left" w:pos="-720"/>
                <w:tab w:val="left" w:pos="0"/>
              </w:tabs>
              <w:suppressAutoHyphens/>
              <w:jc w:val="center"/>
              <w:rPr>
                <w:rFonts w:ascii="Arial" w:hAnsi="Arial" w:eastAsia="Times New Roman" w:cs="Arial"/>
                <w:b/>
                <w:bCs/>
                <w:sz w:val="16"/>
                <w:szCs w:val="16"/>
              </w:rPr>
            </w:pPr>
            <w:r w:rsidRPr="00624B4F">
              <w:rPr>
                <w:rFonts w:ascii="Arial" w:hAnsi="Arial" w:eastAsia="Times New Roman" w:cs="Arial"/>
                <w:b/>
                <w:bCs/>
                <w:sz w:val="16"/>
                <w:szCs w:val="16"/>
              </w:rPr>
              <w:t>Annual Number of Burden Hours per Respondent</w:t>
            </w:r>
            <w:r>
              <w:rPr>
                <w:rFonts w:ascii="Arial" w:hAnsi="Arial" w:eastAsia="Times New Roman" w:cs="Arial"/>
                <w:b/>
                <w:bCs/>
                <w:sz w:val="16"/>
                <w:szCs w:val="16"/>
              </w:rPr>
              <w:t xml:space="preserve"> </w:t>
            </w:r>
          </w:p>
          <w:p w:rsidRPr="00624B4F" w:rsidR="00013AB1" w:rsidP="00870D2C" w:rsidRDefault="00013AB1" w14:paraId="5FF329EC" w14:textId="2776FB02">
            <w:pPr>
              <w:tabs>
                <w:tab w:val="left" w:pos="-720"/>
                <w:tab w:val="left" w:pos="0"/>
              </w:tabs>
              <w:suppressAutoHyphens/>
              <w:jc w:val="center"/>
              <w:rPr>
                <w:rFonts w:ascii="Arial" w:hAnsi="Arial" w:eastAsia="Times New Roman" w:cs="Arial"/>
                <w:b/>
                <w:bCs/>
                <w:sz w:val="16"/>
                <w:szCs w:val="16"/>
              </w:rPr>
            </w:pPr>
            <w:r>
              <w:rPr>
                <w:rFonts w:ascii="Arial" w:hAnsi="Arial" w:eastAsia="Times New Roman" w:cs="Arial"/>
                <w:b/>
                <w:bCs/>
                <w:sz w:val="16"/>
                <w:szCs w:val="16"/>
              </w:rPr>
              <w:t>(3 x 4)</w:t>
            </w:r>
          </w:p>
        </w:tc>
        <w:tc>
          <w:tcPr>
            <w:tcW w:w="1008" w:type="dxa"/>
            <w:tcBorders>
              <w:top w:val="nil"/>
              <w:left w:val="nil"/>
              <w:bottom w:val="nil"/>
              <w:right w:val="single" w:color="000000" w:sz="8" w:space="0"/>
            </w:tcBorders>
            <w:shd w:val="clear" w:color="auto" w:fill="auto"/>
            <w:vAlign w:val="center"/>
            <w:hideMark/>
          </w:tcPr>
          <w:p w:rsidRPr="00624B4F" w:rsidR="00013AB1" w:rsidP="00624B4F" w:rsidRDefault="00384EE9" w14:paraId="0E9C21BF" w14:textId="54485B26">
            <w:pPr>
              <w:jc w:val="center"/>
              <w:rPr>
                <w:rFonts w:ascii="Arial" w:hAnsi="Arial" w:eastAsia="Times New Roman" w:cs="Arial"/>
                <w:b/>
                <w:sz w:val="16"/>
                <w:szCs w:val="16"/>
              </w:rPr>
            </w:pPr>
            <w:hyperlink w:history="1" w:anchor="RANGE!_ftn1" r:id="rId12">
              <w:r w:rsidRPr="00624B4F" w:rsidR="00013AB1">
                <w:rPr>
                  <w:rFonts w:ascii="Arial" w:hAnsi="Arial" w:eastAsia="Times New Roman" w:cs="Arial"/>
                  <w:b/>
                  <w:sz w:val="16"/>
                  <w:szCs w:val="16"/>
                </w:rPr>
                <w:t>Estimated Average Burden Hour Cost</w:t>
              </w:r>
            </w:hyperlink>
          </w:p>
        </w:tc>
        <w:tc>
          <w:tcPr>
            <w:tcW w:w="1170" w:type="dxa"/>
            <w:tcBorders>
              <w:top w:val="nil"/>
              <w:left w:val="nil"/>
              <w:bottom w:val="nil"/>
              <w:right w:val="single" w:color="000000" w:sz="8" w:space="0"/>
            </w:tcBorders>
            <w:shd w:val="clear" w:color="auto" w:fill="auto"/>
            <w:vAlign w:val="center"/>
            <w:hideMark/>
          </w:tcPr>
          <w:p w:rsidRPr="00624B4F" w:rsidR="00013AB1" w:rsidP="00536419" w:rsidRDefault="00013AB1" w14:paraId="16C75C27" w14:textId="2DCEFF49">
            <w:pPr>
              <w:jc w:val="center"/>
              <w:rPr>
                <w:rFonts w:ascii="Arial" w:hAnsi="Arial" w:eastAsia="Times New Roman" w:cs="Arial"/>
                <w:b/>
                <w:bCs/>
                <w:sz w:val="16"/>
                <w:szCs w:val="16"/>
              </w:rPr>
            </w:pPr>
            <w:r w:rsidRPr="00624B4F">
              <w:rPr>
                <w:rFonts w:ascii="Arial" w:hAnsi="Arial" w:eastAsia="Times New Roman" w:cs="Arial"/>
                <w:b/>
                <w:bCs/>
                <w:sz w:val="16"/>
                <w:szCs w:val="16"/>
              </w:rPr>
              <w:t>Total Average Hour Burden Cost Per Respondent</w:t>
            </w:r>
            <w:r>
              <w:rPr>
                <w:rFonts w:ascii="Arial" w:hAnsi="Arial" w:eastAsia="Times New Roman" w:cs="Arial"/>
                <w:b/>
                <w:bCs/>
                <w:sz w:val="16"/>
                <w:szCs w:val="16"/>
              </w:rPr>
              <w:t xml:space="preserve"> (5 x 6)</w:t>
            </w:r>
          </w:p>
        </w:tc>
        <w:tc>
          <w:tcPr>
            <w:tcW w:w="1170" w:type="dxa"/>
            <w:tcBorders>
              <w:top w:val="nil"/>
              <w:left w:val="nil"/>
              <w:bottom w:val="nil"/>
              <w:right w:val="single" w:color="000000" w:sz="8" w:space="0"/>
            </w:tcBorders>
            <w:shd w:val="clear" w:color="auto" w:fill="auto"/>
            <w:vAlign w:val="center"/>
            <w:hideMark/>
          </w:tcPr>
          <w:p w:rsidR="00013AB1" w:rsidP="00624B4F" w:rsidRDefault="00013AB1" w14:paraId="687CDA4A" w14:textId="77777777">
            <w:pPr>
              <w:jc w:val="center"/>
              <w:rPr>
                <w:rFonts w:ascii="Arial" w:hAnsi="Arial" w:eastAsia="Times New Roman" w:cs="Arial"/>
                <w:b/>
                <w:bCs/>
                <w:sz w:val="16"/>
                <w:szCs w:val="16"/>
              </w:rPr>
            </w:pPr>
            <w:r w:rsidRPr="00624B4F">
              <w:rPr>
                <w:rFonts w:ascii="Arial" w:hAnsi="Arial" w:eastAsia="Times New Roman" w:cs="Arial"/>
                <w:b/>
                <w:bCs/>
                <w:sz w:val="16"/>
                <w:szCs w:val="16"/>
              </w:rPr>
              <w:t>Total Annual</w:t>
            </w:r>
          </w:p>
          <w:p w:rsidR="00013AB1" w:rsidP="00624B4F" w:rsidRDefault="00013AB1" w14:paraId="7E813BDD" w14:textId="77777777">
            <w:pPr>
              <w:jc w:val="center"/>
              <w:rPr>
                <w:rFonts w:ascii="Arial" w:hAnsi="Arial" w:eastAsia="Times New Roman" w:cs="Arial"/>
                <w:b/>
                <w:bCs/>
                <w:sz w:val="16"/>
                <w:szCs w:val="16"/>
              </w:rPr>
            </w:pPr>
            <w:r>
              <w:rPr>
                <w:rFonts w:ascii="Arial" w:hAnsi="Arial" w:eastAsia="Times New Roman" w:cs="Arial"/>
                <w:b/>
                <w:bCs/>
                <w:sz w:val="16"/>
                <w:szCs w:val="16"/>
              </w:rPr>
              <w:t>Responses</w:t>
            </w:r>
          </w:p>
          <w:p w:rsidR="00013AB1" w:rsidP="00870D2C" w:rsidRDefault="00013AB1" w14:paraId="160CD28F" w14:textId="77777777">
            <w:pPr>
              <w:rPr>
                <w:rFonts w:ascii="Arial" w:hAnsi="Arial" w:eastAsia="Times New Roman" w:cs="Arial"/>
                <w:b/>
                <w:bCs/>
                <w:sz w:val="16"/>
                <w:szCs w:val="16"/>
              </w:rPr>
            </w:pPr>
          </w:p>
          <w:p w:rsidRPr="00624B4F" w:rsidR="00013AB1" w:rsidP="00624B4F" w:rsidRDefault="00013AB1" w14:paraId="79270DBF" w14:textId="04F66283">
            <w:pPr>
              <w:jc w:val="center"/>
              <w:rPr>
                <w:rFonts w:ascii="Arial" w:hAnsi="Arial" w:eastAsia="Times New Roman" w:cs="Arial"/>
                <w:b/>
                <w:bCs/>
                <w:sz w:val="16"/>
                <w:szCs w:val="16"/>
              </w:rPr>
            </w:pPr>
            <w:r>
              <w:rPr>
                <w:rFonts w:ascii="Arial" w:hAnsi="Arial" w:eastAsia="Times New Roman" w:cs="Arial"/>
                <w:b/>
                <w:bCs/>
                <w:sz w:val="16"/>
                <w:szCs w:val="16"/>
              </w:rPr>
              <w:t>(2 x 3)</w:t>
            </w:r>
          </w:p>
        </w:tc>
        <w:tc>
          <w:tcPr>
            <w:tcW w:w="990" w:type="dxa"/>
            <w:tcBorders>
              <w:top w:val="nil"/>
              <w:left w:val="nil"/>
              <w:bottom w:val="nil"/>
              <w:right w:val="single" w:color="000000" w:sz="8" w:space="0"/>
            </w:tcBorders>
            <w:shd w:val="clear" w:color="auto" w:fill="auto"/>
            <w:vAlign w:val="center"/>
            <w:hideMark/>
          </w:tcPr>
          <w:p w:rsidR="005E085C" w:rsidP="00624B4F" w:rsidRDefault="00013AB1" w14:paraId="49E9D024" w14:textId="77777777">
            <w:pPr>
              <w:jc w:val="center"/>
              <w:rPr>
                <w:rFonts w:ascii="Arial" w:hAnsi="Arial" w:eastAsia="Times New Roman" w:cs="Arial"/>
                <w:b/>
                <w:bCs/>
                <w:sz w:val="16"/>
                <w:szCs w:val="16"/>
              </w:rPr>
            </w:pPr>
            <w:r w:rsidRPr="00624B4F">
              <w:rPr>
                <w:rFonts w:ascii="Arial" w:hAnsi="Arial" w:eastAsia="Times New Roman" w:cs="Arial"/>
                <w:b/>
                <w:bCs/>
                <w:sz w:val="16"/>
                <w:szCs w:val="16"/>
              </w:rPr>
              <w:t>Total Annual Number of Burden Hours</w:t>
            </w:r>
            <w:r>
              <w:rPr>
                <w:rFonts w:ascii="Arial" w:hAnsi="Arial" w:eastAsia="Times New Roman" w:cs="Arial"/>
                <w:b/>
                <w:bCs/>
                <w:sz w:val="16"/>
                <w:szCs w:val="16"/>
              </w:rPr>
              <w:t xml:space="preserve"> </w:t>
            </w:r>
          </w:p>
          <w:p w:rsidRPr="00624B4F" w:rsidR="00013AB1" w:rsidP="00624B4F" w:rsidRDefault="00013AB1" w14:paraId="6A474076" w14:textId="29E2E1CD">
            <w:pPr>
              <w:jc w:val="center"/>
              <w:rPr>
                <w:rFonts w:ascii="Arial" w:hAnsi="Arial" w:eastAsia="Times New Roman" w:cs="Arial"/>
                <w:b/>
                <w:bCs/>
                <w:sz w:val="16"/>
                <w:szCs w:val="16"/>
              </w:rPr>
            </w:pPr>
            <w:r>
              <w:rPr>
                <w:rFonts w:ascii="Arial" w:hAnsi="Arial" w:eastAsia="Times New Roman" w:cs="Arial"/>
                <w:b/>
                <w:bCs/>
                <w:sz w:val="16"/>
                <w:szCs w:val="16"/>
              </w:rPr>
              <w:t>(2 x 5)</w:t>
            </w:r>
          </w:p>
        </w:tc>
        <w:tc>
          <w:tcPr>
            <w:tcW w:w="1152" w:type="dxa"/>
            <w:tcBorders>
              <w:top w:val="nil"/>
              <w:left w:val="nil"/>
              <w:bottom w:val="nil"/>
              <w:right w:val="single" w:color="000000" w:sz="8" w:space="0"/>
            </w:tcBorders>
            <w:shd w:val="clear" w:color="auto" w:fill="auto"/>
            <w:vAlign w:val="center"/>
            <w:hideMark/>
          </w:tcPr>
          <w:p w:rsidRPr="00624B4F" w:rsidR="00013AB1" w:rsidP="00624B4F" w:rsidRDefault="00013AB1" w14:paraId="4A80D43F" w14:textId="42F3AE8E">
            <w:pPr>
              <w:jc w:val="center"/>
              <w:rPr>
                <w:rFonts w:ascii="Arial" w:hAnsi="Arial" w:eastAsia="Times New Roman" w:cs="Arial"/>
                <w:b/>
                <w:bCs/>
                <w:sz w:val="16"/>
                <w:szCs w:val="16"/>
              </w:rPr>
            </w:pPr>
            <w:r w:rsidRPr="00624B4F">
              <w:rPr>
                <w:rFonts w:ascii="Arial" w:hAnsi="Arial" w:eastAsia="Times New Roman" w:cs="Arial"/>
                <w:b/>
                <w:bCs/>
                <w:sz w:val="16"/>
                <w:szCs w:val="16"/>
              </w:rPr>
              <w:t>Total Annual Burden Hour Cost of All Responses</w:t>
            </w:r>
            <w:r>
              <w:rPr>
                <w:rFonts w:ascii="Arial" w:hAnsi="Arial" w:eastAsia="Times New Roman" w:cs="Arial"/>
                <w:b/>
                <w:bCs/>
                <w:sz w:val="16"/>
                <w:szCs w:val="16"/>
              </w:rPr>
              <w:t xml:space="preserve"> (2 x 7)</w:t>
            </w:r>
          </w:p>
        </w:tc>
      </w:tr>
      <w:tr w:rsidRPr="00624B4F" w:rsidR="00CB1CDA" w:rsidTr="00D77266" w14:paraId="178F8DC3" w14:textId="77777777">
        <w:trPr>
          <w:trHeight w:val="300"/>
        </w:trPr>
        <w:tc>
          <w:tcPr>
            <w:tcW w:w="918" w:type="dxa"/>
            <w:tcBorders>
              <w:top w:val="nil"/>
              <w:left w:val="single" w:color="000000" w:sz="8" w:space="0"/>
              <w:bottom w:val="single" w:color="000000" w:sz="8" w:space="0"/>
              <w:right w:val="single" w:color="000000" w:sz="8" w:space="0"/>
            </w:tcBorders>
            <w:shd w:val="clear" w:color="auto" w:fill="auto"/>
            <w:vAlign w:val="center"/>
            <w:hideMark/>
          </w:tcPr>
          <w:p w:rsidRPr="00624B4F" w:rsidR="00013AB1" w:rsidP="00536419" w:rsidRDefault="00013AB1" w14:paraId="30B85398" w14:textId="77777777">
            <w:pPr>
              <w:jc w:val="center"/>
              <w:rPr>
                <w:rFonts w:ascii="Arial" w:hAnsi="Arial" w:eastAsia="Times New Roman" w:cs="Arial"/>
                <w:sz w:val="16"/>
                <w:szCs w:val="16"/>
              </w:rPr>
            </w:pPr>
            <w:r w:rsidRPr="00624B4F">
              <w:rPr>
                <w:rFonts w:ascii="Arial" w:hAnsi="Arial" w:eastAsia="Times New Roman" w:cs="Arial"/>
                <w:sz w:val="16"/>
                <w:szCs w:val="16"/>
              </w:rPr>
              <w:t>45.3</w:t>
            </w:r>
          </w:p>
        </w:tc>
        <w:tc>
          <w:tcPr>
            <w:tcW w:w="1350" w:type="dxa"/>
            <w:tcBorders>
              <w:top w:val="nil"/>
              <w:left w:val="nil"/>
              <w:bottom w:val="single" w:color="000000" w:sz="8" w:space="0"/>
              <w:right w:val="single" w:color="000000" w:sz="8" w:space="0"/>
            </w:tcBorders>
            <w:shd w:val="clear" w:color="auto" w:fill="auto"/>
            <w:vAlign w:val="center"/>
            <w:hideMark/>
          </w:tcPr>
          <w:p w:rsidRPr="00624B4F" w:rsidR="00013AB1" w:rsidP="00870D2C" w:rsidRDefault="00013AB1" w14:paraId="2A6BA96A" w14:textId="203F924E">
            <w:pPr>
              <w:rPr>
                <w:rFonts w:ascii="Arial" w:hAnsi="Arial" w:eastAsia="Times New Roman" w:cs="Arial"/>
                <w:sz w:val="16"/>
                <w:szCs w:val="16"/>
              </w:rPr>
            </w:pPr>
            <w:r w:rsidRPr="00624B4F">
              <w:rPr>
                <w:rFonts w:ascii="Arial" w:hAnsi="Arial" w:eastAsia="Times New Roman" w:cs="Arial"/>
                <w:sz w:val="16"/>
                <w:szCs w:val="16"/>
              </w:rPr>
              <w:t xml:space="preserve">1,732 </w:t>
            </w:r>
            <w:r>
              <w:rPr>
                <w:rFonts w:ascii="Arial" w:hAnsi="Arial" w:eastAsia="Times New Roman" w:cs="Arial"/>
                <w:sz w:val="16"/>
                <w:szCs w:val="16"/>
              </w:rPr>
              <w:t>SDRs, SEFs, DCMs, Reporting Counterparties</w:t>
            </w:r>
          </w:p>
        </w:tc>
        <w:tc>
          <w:tcPr>
            <w:tcW w:w="1170" w:type="dxa"/>
            <w:tcBorders>
              <w:top w:val="nil"/>
              <w:left w:val="nil"/>
              <w:bottom w:val="single" w:color="000000" w:sz="8" w:space="0"/>
              <w:right w:val="single" w:color="000000" w:sz="8" w:space="0"/>
            </w:tcBorders>
            <w:shd w:val="clear" w:color="auto" w:fill="auto"/>
            <w:vAlign w:val="center"/>
            <w:hideMark/>
          </w:tcPr>
          <w:p w:rsidRPr="00624B4F" w:rsidR="00013AB1" w:rsidP="00A40B87" w:rsidRDefault="00013AB1" w14:paraId="7F4F0E03" w14:textId="41A588AC">
            <w:pPr>
              <w:jc w:val="center"/>
              <w:rPr>
                <w:rFonts w:ascii="Arial" w:hAnsi="Arial" w:eastAsia="Times New Roman" w:cs="Arial"/>
                <w:sz w:val="16"/>
                <w:szCs w:val="16"/>
              </w:rPr>
            </w:pPr>
            <w:r w:rsidRPr="00624B4F">
              <w:rPr>
                <w:rFonts w:ascii="Arial" w:hAnsi="Arial" w:eastAsia="Times New Roman" w:cs="Arial"/>
                <w:sz w:val="16"/>
                <w:szCs w:val="16"/>
              </w:rPr>
              <w:t>7,000</w:t>
            </w:r>
            <w:r>
              <w:rPr>
                <w:rStyle w:val="EndnoteReference"/>
                <w:rFonts w:ascii="Arial" w:hAnsi="Arial" w:eastAsia="Times New Roman" w:cs="Arial"/>
                <w:sz w:val="16"/>
                <w:szCs w:val="16"/>
              </w:rPr>
              <w:endnoteReference w:id="2"/>
            </w:r>
          </w:p>
        </w:tc>
        <w:tc>
          <w:tcPr>
            <w:tcW w:w="1170" w:type="dxa"/>
            <w:tcBorders>
              <w:top w:val="nil"/>
              <w:left w:val="nil"/>
              <w:bottom w:val="single" w:color="000000" w:sz="8" w:space="0"/>
              <w:right w:val="single" w:color="000000" w:sz="8" w:space="0"/>
            </w:tcBorders>
            <w:shd w:val="clear" w:color="auto" w:fill="auto"/>
            <w:vAlign w:val="center"/>
            <w:hideMark/>
          </w:tcPr>
          <w:p w:rsidRPr="00624B4F" w:rsidR="00013AB1" w:rsidP="0036025F" w:rsidRDefault="00013AB1" w14:paraId="16D9865F" w14:textId="7D34F9BE">
            <w:pPr>
              <w:jc w:val="center"/>
              <w:rPr>
                <w:rFonts w:ascii="Arial" w:hAnsi="Arial" w:eastAsia="Times New Roman" w:cs="Arial"/>
                <w:sz w:val="16"/>
                <w:szCs w:val="16"/>
              </w:rPr>
            </w:pPr>
            <w:r w:rsidRPr="00624B4F">
              <w:rPr>
                <w:rFonts w:ascii="Arial" w:hAnsi="Arial" w:eastAsia="Times New Roman" w:cs="Arial"/>
                <w:sz w:val="16"/>
                <w:szCs w:val="16"/>
              </w:rPr>
              <w:t>0.010</w:t>
            </w:r>
          </w:p>
        </w:tc>
        <w:tc>
          <w:tcPr>
            <w:tcW w:w="1332" w:type="dxa"/>
            <w:tcBorders>
              <w:top w:val="nil"/>
              <w:left w:val="nil"/>
              <w:bottom w:val="single" w:color="000000" w:sz="8" w:space="0"/>
              <w:right w:val="single" w:color="000000" w:sz="8" w:space="0"/>
            </w:tcBorders>
            <w:shd w:val="clear" w:color="auto" w:fill="auto"/>
            <w:vAlign w:val="center"/>
            <w:hideMark/>
          </w:tcPr>
          <w:p w:rsidRPr="00624B4F" w:rsidR="00013AB1" w:rsidP="00904822" w:rsidRDefault="00013AB1" w14:paraId="3204B8F6" w14:textId="04F752D3">
            <w:pPr>
              <w:jc w:val="center"/>
              <w:rPr>
                <w:rFonts w:ascii="Arial" w:hAnsi="Arial" w:eastAsia="Times New Roman" w:cs="Arial"/>
                <w:sz w:val="16"/>
                <w:szCs w:val="16"/>
              </w:rPr>
            </w:pPr>
            <w:r w:rsidRPr="00624B4F">
              <w:rPr>
                <w:rFonts w:ascii="Arial" w:hAnsi="Arial" w:eastAsia="Times New Roman" w:cs="Arial"/>
                <w:sz w:val="16"/>
                <w:szCs w:val="16"/>
              </w:rPr>
              <w:t>70</w:t>
            </w:r>
          </w:p>
        </w:tc>
        <w:tc>
          <w:tcPr>
            <w:tcW w:w="1008" w:type="dxa"/>
            <w:tcBorders>
              <w:top w:val="nil"/>
              <w:left w:val="nil"/>
              <w:bottom w:val="single" w:color="000000" w:sz="8" w:space="0"/>
              <w:right w:val="single" w:color="000000" w:sz="8" w:space="0"/>
            </w:tcBorders>
            <w:shd w:val="clear" w:color="auto" w:fill="auto"/>
            <w:vAlign w:val="center"/>
            <w:hideMark/>
          </w:tcPr>
          <w:p w:rsidRPr="00624B4F" w:rsidR="00013AB1" w:rsidP="0067629B" w:rsidRDefault="00013AB1" w14:paraId="7A389605" w14:textId="1F312054">
            <w:pPr>
              <w:jc w:val="center"/>
              <w:rPr>
                <w:rFonts w:ascii="Arial" w:hAnsi="Arial" w:eastAsia="Times New Roman" w:cs="Arial"/>
                <w:sz w:val="16"/>
                <w:szCs w:val="16"/>
              </w:rPr>
            </w:pPr>
            <w:r w:rsidRPr="00624B4F">
              <w:rPr>
                <w:rFonts w:ascii="Arial" w:hAnsi="Arial" w:eastAsia="Times New Roman" w:cs="Arial"/>
                <w:sz w:val="16"/>
                <w:szCs w:val="16"/>
              </w:rPr>
              <w:t>$72.23</w:t>
            </w:r>
          </w:p>
        </w:tc>
        <w:tc>
          <w:tcPr>
            <w:tcW w:w="1170" w:type="dxa"/>
            <w:tcBorders>
              <w:top w:val="nil"/>
              <w:left w:val="nil"/>
              <w:bottom w:val="single" w:color="000000" w:sz="8" w:space="0"/>
              <w:right w:val="single" w:color="000000" w:sz="8" w:space="0"/>
            </w:tcBorders>
            <w:shd w:val="clear" w:color="auto" w:fill="auto"/>
            <w:vAlign w:val="center"/>
            <w:hideMark/>
          </w:tcPr>
          <w:p w:rsidRPr="00624B4F" w:rsidR="00013AB1" w:rsidP="00536419" w:rsidRDefault="00013AB1" w14:paraId="67E04A28" w14:textId="3D9C6211">
            <w:pPr>
              <w:jc w:val="center"/>
              <w:rPr>
                <w:rFonts w:ascii="Arial" w:hAnsi="Arial" w:eastAsia="Times New Roman" w:cs="Arial"/>
                <w:sz w:val="16"/>
                <w:szCs w:val="16"/>
              </w:rPr>
            </w:pPr>
            <w:r w:rsidRPr="00624B4F">
              <w:rPr>
                <w:rFonts w:ascii="Arial" w:hAnsi="Arial" w:eastAsia="Times New Roman" w:cs="Arial"/>
                <w:sz w:val="16"/>
                <w:szCs w:val="16"/>
              </w:rPr>
              <w:t>$ 5,056</w:t>
            </w:r>
          </w:p>
        </w:tc>
        <w:tc>
          <w:tcPr>
            <w:tcW w:w="1170" w:type="dxa"/>
            <w:tcBorders>
              <w:top w:val="nil"/>
              <w:left w:val="nil"/>
              <w:bottom w:val="single" w:color="000000" w:sz="8" w:space="0"/>
              <w:right w:val="single" w:color="000000" w:sz="8" w:space="0"/>
            </w:tcBorders>
            <w:shd w:val="clear" w:color="auto" w:fill="auto"/>
            <w:vAlign w:val="center"/>
            <w:hideMark/>
          </w:tcPr>
          <w:p w:rsidRPr="00624B4F" w:rsidR="00013AB1" w:rsidP="00080649" w:rsidRDefault="00013AB1" w14:paraId="2289C29D" w14:textId="798CA94D">
            <w:pPr>
              <w:jc w:val="center"/>
              <w:rPr>
                <w:rFonts w:ascii="Arial" w:hAnsi="Arial" w:eastAsia="Times New Roman" w:cs="Arial"/>
                <w:sz w:val="16"/>
                <w:szCs w:val="16"/>
              </w:rPr>
            </w:pPr>
            <w:r w:rsidRPr="00624B4F">
              <w:rPr>
                <w:rFonts w:ascii="Arial" w:hAnsi="Arial" w:eastAsia="Times New Roman" w:cs="Arial"/>
                <w:sz w:val="16"/>
                <w:szCs w:val="16"/>
              </w:rPr>
              <w:t>12,124,000</w:t>
            </w:r>
          </w:p>
        </w:tc>
        <w:tc>
          <w:tcPr>
            <w:tcW w:w="990" w:type="dxa"/>
            <w:tcBorders>
              <w:top w:val="nil"/>
              <w:left w:val="nil"/>
              <w:bottom w:val="single" w:color="000000" w:sz="8" w:space="0"/>
              <w:right w:val="single" w:color="000000" w:sz="8" w:space="0"/>
            </w:tcBorders>
            <w:shd w:val="clear" w:color="auto" w:fill="auto"/>
            <w:vAlign w:val="center"/>
            <w:hideMark/>
          </w:tcPr>
          <w:p w:rsidRPr="00624B4F" w:rsidR="00013AB1" w:rsidP="00080649" w:rsidRDefault="00013AB1" w14:paraId="19FBD1F6" w14:textId="7428A01D">
            <w:pPr>
              <w:jc w:val="center"/>
              <w:rPr>
                <w:rFonts w:ascii="Arial" w:hAnsi="Arial" w:eastAsia="Times New Roman" w:cs="Arial"/>
                <w:sz w:val="16"/>
                <w:szCs w:val="16"/>
              </w:rPr>
            </w:pPr>
            <w:r w:rsidRPr="00624B4F">
              <w:rPr>
                <w:rFonts w:ascii="Arial" w:hAnsi="Arial" w:eastAsia="Times New Roman" w:cs="Arial"/>
                <w:sz w:val="16"/>
                <w:szCs w:val="16"/>
              </w:rPr>
              <w:t>121,240</w:t>
            </w:r>
          </w:p>
        </w:tc>
        <w:tc>
          <w:tcPr>
            <w:tcW w:w="1152" w:type="dxa"/>
            <w:tcBorders>
              <w:top w:val="nil"/>
              <w:left w:val="nil"/>
              <w:bottom w:val="single" w:color="000000" w:sz="8" w:space="0"/>
              <w:right w:val="single" w:color="000000" w:sz="8" w:space="0"/>
            </w:tcBorders>
            <w:shd w:val="clear" w:color="auto" w:fill="auto"/>
            <w:vAlign w:val="center"/>
            <w:hideMark/>
          </w:tcPr>
          <w:p w:rsidRPr="00624B4F" w:rsidR="00013AB1" w:rsidP="00080649" w:rsidRDefault="00013AB1" w14:paraId="6CB2846F" w14:textId="3D94AA7F">
            <w:pPr>
              <w:jc w:val="center"/>
              <w:rPr>
                <w:rFonts w:ascii="Arial" w:hAnsi="Arial" w:eastAsia="Times New Roman" w:cs="Arial"/>
                <w:sz w:val="16"/>
                <w:szCs w:val="16"/>
              </w:rPr>
            </w:pPr>
            <w:r>
              <w:rPr>
                <w:rFonts w:ascii="Arial" w:hAnsi="Arial" w:eastAsia="Times New Roman" w:cs="Arial"/>
                <w:sz w:val="16"/>
                <w:szCs w:val="16"/>
              </w:rPr>
              <w:t>$</w:t>
            </w:r>
            <w:r w:rsidRPr="00624B4F">
              <w:rPr>
                <w:rFonts w:ascii="Arial" w:hAnsi="Arial" w:eastAsia="Times New Roman" w:cs="Arial"/>
                <w:sz w:val="16"/>
                <w:szCs w:val="16"/>
              </w:rPr>
              <w:t>8,757,165</w:t>
            </w:r>
            <w:r>
              <w:rPr>
                <w:rStyle w:val="EndnoteReference"/>
                <w:rFonts w:ascii="Arial" w:hAnsi="Arial" w:eastAsia="Times New Roman" w:cs="Arial"/>
                <w:sz w:val="16"/>
                <w:szCs w:val="16"/>
              </w:rPr>
              <w:endnoteReference w:id="3"/>
            </w:r>
          </w:p>
        </w:tc>
      </w:tr>
      <w:tr w:rsidRPr="00624B4F" w:rsidR="00CB1CDA" w:rsidTr="00D77266" w14:paraId="189C9FB1" w14:textId="77777777">
        <w:trPr>
          <w:trHeight w:val="300"/>
        </w:trPr>
        <w:tc>
          <w:tcPr>
            <w:tcW w:w="918" w:type="dxa"/>
            <w:tcBorders>
              <w:top w:val="nil"/>
              <w:left w:val="single" w:color="000000" w:sz="8" w:space="0"/>
              <w:bottom w:val="single" w:color="000000" w:sz="8" w:space="0"/>
              <w:right w:val="single" w:color="000000" w:sz="8" w:space="0"/>
            </w:tcBorders>
            <w:shd w:val="clear" w:color="auto" w:fill="auto"/>
            <w:vAlign w:val="center"/>
            <w:hideMark/>
          </w:tcPr>
          <w:p w:rsidRPr="00624B4F" w:rsidR="00013AB1" w:rsidP="00624B4F" w:rsidRDefault="00013AB1" w14:paraId="793E39D8" w14:textId="6A64CA59">
            <w:pPr>
              <w:jc w:val="center"/>
              <w:rPr>
                <w:rFonts w:ascii="Arial" w:hAnsi="Arial" w:eastAsia="Times New Roman" w:cs="Arial"/>
                <w:sz w:val="16"/>
                <w:szCs w:val="16"/>
              </w:rPr>
            </w:pPr>
            <w:r w:rsidRPr="00624B4F">
              <w:rPr>
                <w:rFonts w:ascii="Arial" w:hAnsi="Arial" w:eastAsia="Times New Roman" w:cs="Arial"/>
                <w:sz w:val="16"/>
                <w:szCs w:val="16"/>
              </w:rPr>
              <w:t>45.4</w:t>
            </w:r>
            <w:r w:rsidR="00F95470">
              <w:rPr>
                <w:rFonts w:ascii="Arial" w:hAnsi="Arial" w:eastAsia="Times New Roman" w:cs="Arial"/>
                <w:sz w:val="16"/>
                <w:szCs w:val="16"/>
              </w:rPr>
              <w:t xml:space="preserve"> </w:t>
            </w:r>
          </w:p>
        </w:tc>
        <w:tc>
          <w:tcPr>
            <w:tcW w:w="1350" w:type="dxa"/>
            <w:tcBorders>
              <w:top w:val="nil"/>
              <w:left w:val="nil"/>
              <w:bottom w:val="single" w:color="000000" w:sz="8" w:space="0"/>
              <w:right w:val="single" w:color="000000" w:sz="8" w:space="0"/>
            </w:tcBorders>
            <w:shd w:val="clear" w:color="auto" w:fill="auto"/>
            <w:vAlign w:val="center"/>
            <w:hideMark/>
          </w:tcPr>
          <w:p w:rsidRPr="00624B4F" w:rsidR="00013AB1" w:rsidP="00870D2C" w:rsidRDefault="00013AB1" w14:paraId="633E02A9" w14:textId="34719444">
            <w:pPr>
              <w:rPr>
                <w:rFonts w:ascii="Arial" w:hAnsi="Arial" w:eastAsia="Times New Roman" w:cs="Arial"/>
                <w:sz w:val="16"/>
                <w:szCs w:val="16"/>
              </w:rPr>
            </w:pPr>
            <w:r w:rsidRPr="00624B4F">
              <w:rPr>
                <w:rFonts w:ascii="Arial" w:hAnsi="Arial" w:eastAsia="Times New Roman" w:cs="Arial"/>
                <w:sz w:val="16"/>
                <w:szCs w:val="16"/>
              </w:rPr>
              <w:t>1,705</w:t>
            </w:r>
            <w:r>
              <w:rPr>
                <w:rFonts w:ascii="Arial" w:hAnsi="Arial" w:eastAsia="Times New Roman" w:cs="Arial"/>
                <w:sz w:val="16"/>
                <w:szCs w:val="16"/>
              </w:rPr>
              <w:t xml:space="preserve"> SDRs and Reporting Counterparties</w:t>
            </w:r>
            <w:r>
              <w:rPr>
                <w:rStyle w:val="EndnoteReference"/>
                <w:rFonts w:ascii="Arial" w:hAnsi="Arial" w:eastAsia="Times New Roman" w:cs="Arial"/>
                <w:sz w:val="16"/>
                <w:szCs w:val="16"/>
              </w:rPr>
              <w:endnoteReference w:id="4"/>
            </w:r>
          </w:p>
        </w:tc>
        <w:tc>
          <w:tcPr>
            <w:tcW w:w="1170" w:type="dxa"/>
            <w:tcBorders>
              <w:top w:val="nil"/>
              <w:left w:val="nil"/>
              <w:bottom w:val="single" w:color="000000" w:sz="8" w:space="0"/>
              <w:right w:val="single" w:color="000000" w:sz="8" w:space="0"/>
            </w:tcBorders>
            <w:shd w:val="clear" w:color="auto" w:fill="auto"/>
            <w:vAlign w:val="center"/>
            <w:hideMark/>
          </w:tcPr>
          <w:p w:rsidRPr="00624B4F" w:rsidR="00013AB1" w:rsidP="00A40B87" w:rsidRDefault="00013AB1" w14:paraId="5CF8FC83" w14:textId="6D9A05B9">
            <w:pPr>
              <w:jc w:val="center"/>
              <w:rPr>
                <w:rFonts w:ascii="Arial" w:hAnsi="Arial" w:eastAsia="Times New Roman" w:cs="Arial"/>
                <w:sz w:val="16"/>
                <w:szCs w:val="16"/>
              </w:rPr>
            </w:pPr>
            <w:r w:rsidRPr="00624B4F">
              <w:rPr>
                <w:rFonts w:ascii="Arial" w:hAnsi="Arial" w:eastAsia="Times New Roman" w:cs="Arial"/>
                <w:sz w:val="16"/>
                <w:szCs w:val="16"/>
              </w:rPr>
              <w:t>97,431</w:t>
            </w:r>
            <w:r>
              <w:rPr>
                <w:rStyle w:val="EndnoteReference"/>
                <w:rFonts w:ascii="Arial" w:hAnsi="Arial" w:eastAsia="Times New Roman" w:cs="Arial"/>
                <w:sz w:val="16"/>
                <w:szCs w:val="16"/>
              </w:rPr>
              <w:endnoteReference w:id="5"/>
            </w:r>
          </w:p>
        </w:tc>
        <w:tc>
          <w:tcPr>
            <w:tcW w:w="1170" w:type="dxa"/>
            <w:tcBorders>
              <w:top w:val="nil"/>
              <w:left w:val="nil"/>
              <w:bottom w:val="single" w:color="000000" w:sz="8" w:space="0"/>
              <w:right w:val="single" w:color="000000" w:sz="8" w:space="0"/>
            </w:tcBorders>
            <w:shd w:val="clear" w:color="auto" w:fill="auto"/>
            <w:vAlign w:val="center"/>
            <w:hideMark/>
          </w:tcPr>
          <w:p w:rsidRPr="00624B4F" w:rsidR="00013AB1" w:rsidP="00A40B87" w:rsidRDefault="00013AB1" w14:paraId="56FC15BD" w14:textId="55C66E1B">
            <w:pPr>
              <w:jc w:val="center"/>
              <w:rPr>
                <w:rFonts w:ascii="Arial" w:hAnsi="Arial" w:eastAsia="Times New Roman" w:cs="Arial"/>
                <w:sz w:val="16"/>
                <w:szCs w:val="16"/>
              </w:rPr>
            </w:pPr>
            <w:r w:rsidRPr="00624B4F">
              <w:rPr>
                <w:rFonts w:ascii="Arial" w:hAnsi="Arial" w:eastAsia="Times New Roman" w:cs="Arial"/>
                <w:sz w:val="16"/>
                <w:szCs w:val="16"/>
              </w:rPr>
              <w:t>0.004</w:t>
            </w:r>
            <w:r>
              <w:rPr>
                <w:rStyle w:val="EndnoteReference"/>
                <w:rFonts w:ascii="Arial" w:hAnsi="Arial" w:eastAsia="Times New Roman" w:cs="Arial"/>
                <w:sz w:val="16"/>
                <w:szCs w:val="16"/>
              </w:rPr>
              <w:endnoteReference w:id="6"/>
            </w:r>
          </w:p>
        </w:tc>
        <w:tc>
          <w:tcPr>
            <w:tcW w:w="1332" w:type="dxa"/>
            <w:tcBorders>
              <w:top w:val="nil"/>
              <w:left w:val="nil"/>
              <w:bottom w:val="single" w:color="000000" w:sz="8" w:space="0"/>
              <w:right w:val="single" w:color="000000" w:sz="8" w:space="0"/>
            </w:tcBorders>
            <w:shd w:val="clear" w:color="auto" w:fill="auto"/>
            <w:vAlign w:val="center"/>
            <w:hideMark/>
          </w:tcPr>
          <w:p w:rsidRPr="00624B4F" w:rsidR="00013AB1" w:rsidP="00A40B87" w:rsidRDefault="00013AB1" w14:paraId="1FDADFEF" w14:textId="21152F37">
            <w:pPr>
              <w:jc w:val="center"/>
              <w:rPr>
                <w:rFonts w:ascii="Arial" w:hAnsi="Arial" w:eastAsia="Times New Roman" w:cs="Arial"/>
                <w:sz w:val="16"/>
                <w:szCs w:val="16"/>
              </w:rPr>
            </w:pPr>
            <w:r w:rsidRPr="00624B4F">
              <w:rPr>
                <w:rFonts w:ascii="Arial" w:hAnsi="Arial" w:eastAsia="Times New Roman" w:cs="Arial"/>
                <w:sz w:val="16"/>
                <w:szCs w:val="16"/>
              </w:rPr>
              <w:t>390</w:t>
            </w:r>
          </w:p>
        </w:tc>
        <w:tc>
          <w:tcPr>
            <w:tcW w:w="1008" w:type="dxa"/>
            <w:tcBorders>
              <w:top w:val="nil"/>
              <w:left w:val="nil"/>
              <w:bottom w:val="single" w:color="000000" w:sz="8" w:space="0"/>
              <w:right w:val="single" w:color="000000" w:sz="8" w:space="0"/>
            </w:tcBorders>
            <w:shd w:val="clear" w:color="auto" w:fill="auto"/>
            <w:vAlign w:val="center"/>
            <w:hideMark/>
          </w:tcPr>
          <w:p w:rsidRPr="00624B4F" w:rsidR="00013AB1" w:rsidP="0036025F" w:rsidRDefault="00013AB1" w14:paraId="2ACD995C" w14:textId="44C11EAE">
            <w:pPr>
              <w:jc w:val="center"/>
              <w:rPr>
                <w:rFonts w:ascii="Arial" w:hAnsi="Arial" w:eastAsia="Times New Roman" w:cs="Arial"/>
                <w:sz w:val="16"/>
                <w:szCs w:val="16"/>
              </w:rPr>
            </w:pPr>
            <w:r w:rsidRPr="00624B4F">
              <w:rPr>
                <w:rFonts w:ascii="Arial" w:hAnsi="Arial" w:eastAsia="Times New Roman" w:cs="Arial"/>
                <w:sz w:val="16"/>
                <w:szCs w:val="16"/>
              </w:rPr>
              <w:t>$72.23</w:t>
            </w:r>
          </w:p>
        </w:tc>
        <w:tc>
          <w:tcPr>
            <w:tcW w:w="1170" w:type="dxa"/>
            <w:tcBorders>
              <w:top w:val="nil"/>
              <w:left w:val="nil"/>
              <w:bottom w:val="single" w:color="000000" w:sz="8" w:space="0"/>
              <w:right w:val="single" w:color="000000" w:sz="8" w:space="0"/>
            </w:tcBorders>
            <w:shd w:val="clear" w:color="auto" w:fill="auto"/>
            <w:vAlign w:val="center"/>
            <w:hideMark/>
          </w:tcPr>
          <w:p w:rsidRPr="00624B4F" w:rsidR="00013AB1" w:rsidP="00536419" w:rsidRDefault="00013AB1" w14:paraId="2C81277A" w14:textId="1E6077F0">
            <w:pPr>
              <w:jc w:val="center"/>
              <w:rPr>
                <w:rFonts w:ascii="Arial" w:hAnsi="Arial" w:eastAsia="Times New Roman" w:cs="Arial"/>
                <w:sz w:val="16"/>
                <w:szCs w:val="16"/>
              </w:rPr>
            </w:pPr>
            <w:r w:rsidRPr="00624B4F">
              <w:rPr>
                <w:rFonts w:ascii="Arial" w:hAnsi="Arial" w:eastAsia="Times New Roman" w:cs="Arial"/>
                <w:sz w:val="16"/>
                <w:szCs w:val="16"/>
              </w:rPr>
              <w:t>$28,150</w:t>
            </w:r>
          </w:p>
        </w:tc>
        <w:tc>
          <w:tcPr>
            <w:tcW w:w="1170" w:type="dxa"/>
            <w:tcBorders>
              <w:top w:val="nil"/>
              <w:left w:val="nil"/>
              <w:bottom w:val="single" w:color="000000" w:sz="8" w:space="0"/>
              <w:right w:val="single" w:color="000000" w:sz="8" w:space="0"/>
            </w:tcBorders>
            <w:shd w:val="clear" w:color="auto" w:fill="auto"/>
            <w:vAlign w:val="center"/>
            <w:hideMark/>
          </w:tcPr>
          <w:p w:rsidRPr="00624B4F" w:rsidR="00013AB1" w:rsidP="0067629B" w:rsidRDefault="00013AB1" w14:paraId="71D450FA" w14:textId="6A003BBA">
            <w:pPr>
              <w:jc w:val="center"/>
              <w:rPr>
                <w:rFonts w:ascii="Arial" w:hAnsi="Arial" w:eastAsia="Times New Roman" w:cs="Arial"/>
                <w:sz w:val="16"/>
                <w:szCs w:val="16"/>
              </w:rPr>
            </w:pPr>
            <w:r w:rsidRPr="00624B4F">
              <w:rPr>
                <w:rFonts w:ascii="Arial" w:hAnsi="Arial" w:eastAsia="Times New Roman" w:cs="Arial"/>
                <w:sz w:val="16"/>
                <w:szCs w:val="16"/>
              </w:rPr>
              <w:t>166,119,855</w:t>
            </w:r>
          </w:p>
        </w:tc>
        <w:tc>
          <w:tcPr>
            <w:tcW w:w="990" w:type="dxa"/>
            <w:tcBorders>
              <w:top w:val="nil"/>
              <w:left w:val="nil"/>
              <w:bottom w:val="single" w:color="000000" w:sz="8" w:space="0"/>
              <w:right w:val="single" w:color="000000" w:sz="8" w:space="0"/>
            </w:tcBorders>
            <w:shd w:val="clear" w:color="auto" w:fill="auto"/>
            <w:vAlign w:val="center"/>
            <w:hideMark/>
          </w:tcPr>
          <w:p w:rsidRPr="00624B4F" w:rsidR="00013AB1" w:rsidP="00080649" w:rsidRDefault="00013AB1" w14:paraId="793388F8" w14:textId="09733DBC">
            <w:pPr>
              <w:jc w:val="center"/>
              <w:rPr>
                <w:rFonts w:ascii="Arial" w:hAnsi="Arial" w:eastAsia="Times New Roman" w:cs="Arial"/>
                <w:sz w:val="16"/>
                <w:szCs w:val="16"/>
              </w:rPr>
            </w:pPr>
            <w:r w:rsidRPr="00624B4F">
              <w:rPr>
                <w:rFonts w:ascii="Arial" w:hAnsi="Arial" w:eastAsia="Times New Roman" w:cs="Arial"/>
                <w:sz w:val="16"/>
                <w:szCs w:val="16"/>
              </w:rPr>
              <w:t>664,479</w:t>
            </w:r>
          </w:p>
        </w:tc>
        <w:tc>
          <w:tcPr>
            <w:tcW w:w="1152" w:type="dxa"/>
            <w:tcBorders>
              <w:top w:val="nil"/>
              <w:left w:val="nil"/>
              <w:bottom w:val="single" w:color="000000" w:sz="8" w:space="0"/>
              <w:right w:val="single" w:color="000000" w:sz="8" w:space="0"/>
            </w:tcBorders>
            <w:shd w:val="clear" w:color="auto" w:fill="auto"/>
            <w:vAlign w:val="center"/>
            <w:hideMark/>
          </w:tcPr>
          <w:p w:rsidRPr="00624B4F" w:rsidR="00013AB1" w:rsidP="00080649" w:rsidRDefault="00013AB1" w14:paraId="491A7F90" w14:textId="0DE3571F">
            <w:pPr>
              <w:jc w:val="center"/>
              <w:rPr>
                <w:rFonts w:ascii="Arial" w:hAnsi="Arial" w:eastAsia="Times New Roman" w:cs="Arial"/>
                <w:sz w:val="16"/>
                <w:szCs w:val="16"/>
              </w:rPr>
            </w:pPr>
            <w:r>
              <w:rPr>
                <w:rFonts w:ascii="Arial" w:hAnsi="Arial" w:eastAsia="Times New Roman" w:cs="Arial"/>
                <w:sz w:val="16"/>
                <w:szCs w:val="16"/>
              </w:rPr>
              <w:t>$</w:t>
            </w:r>
            <w:r w:rsidRPr="00624B4F">
              <w:rPr>
                <w:rFonts w:ascii="Arial" w:hAnsi="Arial" w:eastAsia="Times New Roman" w:cs="Arial"/>
                <w:sz w:val="16"/>
                <w:szCs w:val="16"/>
              </w:rPr>
              <w:t>47,995,349</w:t>
            </w:r>
          </w:p>
        </w:tc>
      </w:tr>
      <w:tr w:rsidRPr="00624B4F" w:rsidR="00CB1CDA" w:rsidTr="00D77266" w14:paraId="3AD5628A" w14:textId="77777777">
        <w:trPr>
          <w:trHeight w:val="300"/>
        </w:trPr>
        <w:tc>
          <w:tcPr>
            <w:tcW w:w="918" w:type="dxa"/>
            <w:tcBorders>
              <w:top w:val="nil"/>
              <w:left w:val="single" w:color="000000" w:sz="8" w:space="0"/>
              <w:bottom w:val="single" w:color="000000" w:sz="8" w:space="0"/>
              <w:right w:val="single" w:color="000000" w:sz="8" w:space="0"/>
            </w:tcBorders>
            <w:shd w:val="clear" w:color="auto" w:fill="auto"/>
            <w:vAlign w:val="center"/>
            <w:hideMark/>
          </w:tcPr>
          <w:p w:rsidRPr="00624B4F" w:rsidR="00013AB1" w:rsidP="00624B4F" w:rsidRDefault="00013AB1" w14:paraId="4BA6FDC0" w14:textId="77777777">
            <w:pPr>
              <w:jc w:val="center"/>
              <w:rPr>
                <w:rFonts w:ascii="Arial" w:hAnsi="Arial" w:eastAsia="Times New Roman" w:cs="Arial"/>
                <w:sz w:val="16"/>
                <w:szCs w:val="16"/>
              </w:rPr>
            </w:pPr>
            <w:r w:rsidRPr="00624B4F">
              <w:rPr>
                <w:rFonts w:ascii="Arial" w:hAnsi="Arial" w:eastAsia="Times New Roman" w:cs="Arial"/>
                <w:sz w:val="16"/>
                <w:szCs w:val="16"/>
              </w:rPr>
              <w:t>45.5</w:t>
            </w:r>
          </w:p>
        </w:tc>
        <w:tc>
          <w:tcPr>
            <w:tcW w:w="1350" w:type="dxa"/>
            <w:tcBorders>
              <w:top w:val="nil"/>
              <w:left w:val="nil"/>
              <w:bottom w:val="single" w:color="000000" w:sz="8" w:space="0"/>
              <w:right w:val="single" w:color="000000" w:sz="8" w:space="0"/>
            </w:tcBorders>
            <w:shd w:val="clear" w:color="auto" w:fill="auto"/>
            <w:vAlign w:val="center"/>
            <w:hideMark/>
          </w:tcPr>
          <w:p w:rsidRPr="00624B4F" w:rsidR="00013AB1" w:rsidP="00870D2C" w:rsidRDefault="00013AB1" w14:paraId="60618E48" w14:textId="4EE65D8E">
            <w:pPr>
              <w:rPr>
                <w:rFonts w:ascii="Arial" w:hAnsi="Arial" w:eastAsia="Times New Roman" w:cs="Arial"/>
                <w:sz w:val="16"/>
                <w:szCs w:val="16"/>
              </w:rPr>
            </w:pPr>
            <w:r w:rsidRPr="00624B4F">
              <w:rPr>
                <w:rFonts w:ascii="Arial" w:hAnsi="Arial" w:eastAsia="Times New Roman" w:cs="Arial"/>
                <w:sz w:val="16"/>
                <w:szCs w:val="16"/>
              </w:rPr>
              <w:t>940</w:t>
            </w:r>
            <w:r>
              <w:rPr>
                <w:rFonts w:ascii="Arial" w:hAnsi="Arial" w:eastAsia="Times New Roman" w:cs="Arial"/>
                <w:sz w:val="16"/>
                <w:szCs w:val="16"/>
              </w:rPr>
              <w:t xml:space="preserve"> SDRs, SEFs, DCMs, and Financial Entity Reporting Counterparties</w:t>
            </w:r>
            <w:r>
              <w:rPr>
                <w:rStyle w:val="EndnoteReference"/>
                <w:rFonts w:ascii="Arial" w:hAnsi="Arial" w:eastAsia="Times New Roman" w:cs="Arial"/>
                <w:sz w:val="16"/>
                <w:szCs w:val="16"/>
              </w:rPr>
              <w:endnoteReference w:id="7"/>
            </w:r>
          </w:p>
        </w:tc>
        <w:tc>
          <w:tcPr>
            <w:tcW w:w="1170" w:type="dxa"/>
            <w:tcBorders>
              <w:top w:val="nil"/>
              <w:left w:val="nil"/>
              <w:bottom w:val="single" w:color="000000" w:sz="8" w:space="0"/>
              <w:right w:val="single" w:color="000000" w:sz="8" w:space="0"/>
            </w:tcBorders>
            <w:shd w:val="clear" w:color="auto" w:fill="auto"/>
            <w:vAlign w:val="center"/>
            <w:hideMark/>
          </w:tcPr>
          <w:p w:rsidRPr="00624B4F" w:rsidR="00013AB1" w:rsidP="00A40B87" w:rsidRDefault="00013AB1" w14:paraId="199C50B4" w14:textId="5F2EE7EC">
            <w:pPr>
              <w:jc w:val="center"/>
              <w:rPr>
                <w:rFonts w:ascii="Arial" w:hAnsi="Arial" w:eastAsia="Times New Roman" w:cs="Arial"/>
                <w:sz w:val="16"/>
                <w:szCs w:val="16"/>
              </w:rPr>
            </w:pPr>
            <w:r w:rsidRPr="00624B4F">
              <w:rPr>
                <w:rFonts w:ascii="Arial" w:hAnsi="Arial" w:eastAsia="Times New Roman" w:cs="Arial"/>
                <w:sz w:val="16"/>
                <w:szCs w:val="16"/>
              </w:rPr>
              <w:t>18,085</w:t>
            </w:r>
            <w:r>
              <w:rPr>
                <w:rStyle w:val="EndnoteReference"/>
                <w:rFonts w:ascii="Arial" w:hAnsi="Arial" w:eastAsia="Times New Roman" w:cs="Arial"/>
                <w:sz w:val="16"/>
                <w:szCs w:val="16"/>
              </w:rPr>
              <w:endnoteReference w:id="8"/>
            </w:r>
          </w:p>
        </w:tc>
        <w:tc>
          <w:tcPr>
            <w:tcW w:w="1170" w:type="dxa"/>
            <w:tcBorders>
              <w:top w:val="nil"/>
              <w:left w:val="nil"/>
              <w:bottom w:val="single" w:color="000000" w:sz="8" w:space="0"/>
              <w:right w:val="single" w:color="000000" w:sz="8" w:space="0"/>
            </w:tcBorders>
            <w:shd w:val="clear" w:color="auto" w:fill="auto"/>
            <w:vAlign w:val="center"/>
            <w:hideMark/>
          </w:tcPr>
          <w:p w:rsidRPr="00624B4F" w:rsidR="00013AB1" w:rsidP="0036025F" w:rsidRDefault="00013AB1" w14:paraId="1CD0B620" w14:textId="67555BAC">
            <w:pPr>
              <w:jc w:val="center"/>
              <w:rPr>
                <w:rFonts w:ascii="Arial" w:hAnsi="Arial" w:eastAsia="Times New Roman" w:cs="Arial"/>
                <w:sz w:val="16"/>
                <w:szCs w:val="16"/>
              </w:rPr>
            </w:pPr>
            <w:r w:rsidRPr="00624B4F">
              <w:rPr>
                <w:rFonts w:ascii="Arial" w:hAnsi="Arial" w:eastAsia="Times New Roman" w:cs="Arial"/>
                <w:sz w:val="16"/>
                <w:szCs w:val="16"/>
              </w:rPr>
              <w:t>0.010</w:t>
            </w:r>
          </w:p>
        </w:tc>
        <w:tc>
          <w:tcPr>
            <w:tcW w:w="1332" w:type="dxa"/>
            <w:tcBorders>
              <w:top w:val="nil"/>
              <w:left w:val="nil"/>
              <w:bottom w:val="single" w:color="000000" w:sz="8" w:space="0"/>
              <w:right w:val="single" w:color="000000" w:sz="8" w:space="0"/>
            </w:tcBorders>
            <w:shd w:val="clear" w:color="auto" w:fill="auto"/>
            <w:vAlign w:val="center"/>
            <w:hideMark/>
          </w:tcPr>
          <w:p w:rsidRPr="00624B4F" w:rsidR="00013AB1" w:rsidP="00904822" w:rsidRDefault="00013AB1" w14:paraId="0DE7ADF7" w14:textId="0971FA15">
            <w:pPr>
              <w:jc w:val="center"/>
              <w:rPr>
                <w:rFonts w:ascii="Arial" w:hAnsi="Arial" w:eastAsia="Times New Roman" w:cs="Arial"/>
                <w:sz w:val="16"/>
                <w:szCs w:val="16"/>
              </w:rPr>
            </w:pPr>
            <w:r w:rsidRPr="00624B4F">
              <w:rPr>
                <w:rFonts w:ascii="Arial" w:hAnsi="Arial" w:eastAsia="Times New Roman" w:cs="Arial"/>
                <w:sz w:val="16"/>
                <w:szCs w:val="16"/>
              </w:rPr>
              <w:t>18</w:t>
            </w:r>
            <w:r w:rsidR="00D77266">
              <w:rPr>
                <w:rFonts w:ascii="Arial" w:hAnsi="Arial" w:eastAsia="Times New Roman" w:cs="Arial"/>
                <w:sz w:val="16"/>
                <w:szCs w:val="16"/>
              </w:rPr>
              <w:t>0.85</w:t>
            </w:r>
          </w:p>
        </w:tc>
        <w:tc>
          <w:tcPr>
            <w:tcW w:w="1008" w:type="dxa"/>
            <w:tcBorders>
              <w:top w:val="nil"/>
              <w:left w:val="nil"/>
              <w:bottom w:val="single" w:color="000000" w:sz="8" w:space="0"/>
              <w:right w:val="single" w:color="000000" w:sz="8" w:space="0"/>
            </w:tcBorders>
            <w:shd w:val="clear" w:color="auto" w:fill="auto"/>
            <w:vAlign w:val="center"/>
            <w:hideMark/>
          </w:tcPr>
          <w:p w:rsidRPr="00624B4F" w:rsidR="00013AB1" w:rsidP="0067629B" w:rsidRDefault="00013AB1" w14:paraId="0C098306" w14:textId="0325A70A">
            <w:pPr>
              <w:jc w:val="center"/>
              <w:rPr>
                <w:rFonts w:ascii="Arial" w:hAnsi="Arial" w:eastAsia="Times New Roman" w:cs="Arial"/>
                <w:sz w:val="16"/>
                <w:szCs w:val="16"/>
              </w:rPr>
            </w:pPr>
            <w:r w:rsidRPr="00624B4F">
              <w:rPr>
                <w:rFonts w:ascii="Arial" w:hAnsi="Arial" w:eastAsia="Times New Roman" w:cs="Arial"/>
                <w:sz w:val="16"/>
                <w:szCs w:val="16"/>
              </w:rPr>
              <w:t>$72.23</w:t>
            </w:r>
          </w:p>
        </w:tc>
        <w:tc>
          <w:tcPr>
            <w:tcW w:w="1170" w:type="dxa"/>
            <w:tcBorders>
              <w:top w:val="nil"/>
              <w:left w:val="nil"/>
              <w:bottom w:val="single" w:color="000000" w:sz="8" w:space="0"/>
              <w:right w:val="single" w:color="000000" w:sz="8" w:space="0"/>
            </w:tcBorders>
            <w:shd w:val="clear" w:color="auto" w:fill="auto"/>
            <w:vAlign w:val="center"/>
            <w:hideMark/>
          </w:tcPr>
          <w:p w:rsidRPr="00624B4F" w:rsidR="00013AB1" w:rsidP="00536419" w:rsidRDefault="00013AB1" w14:paraId="63F429AF" w14:textId="7493B957">
            <w:pPr>
              <w:jc w:val="center"/>
              <w:rPr>
                <w:rFonts w:ascii="Arial" w:hAnsi="Arial" w:eastAsia="Times New Roman" w:cs="Arial"/>
                <w:sz w:val="16"/>
                <w:szCs w:val="16"/>
              </w:rPr>
            </w:pPr>
            <w:r w:rsidRPr="00624B4F">
              <w:rPr>
                <w:rFonts w:ascii="Arial" w:hAnsi="Arial" w:eastAsia="Times New Roman" w:cs="Arial"/>
                <w:sz w:val="16"/>
                <w:szCs w:val="16"/>
              </w:rPr>
              <w:t>$13,06</w:t>
            </w:r>
            <w:r w:rsidR="00181DCC">
              <w:rPr>
                <w:rFonts w:ascii="Arial" w:hAnsi="Arial" w:eastAsia="Times New Roman" w:cs="Arial"/>
                <w:sz w:val="16"/>
                <w:szCs w:val="16"/>
              </w:rPr>
              <w:t>2.79</w:t>
            </w:r>
            <w:r w:rsidRPr="00624B4F">
              <w:rPr>
                <w:rFonts w:ascii="Arial" w:hAnsi="Arial" w:eastAsia="Times New Roman" w:cs="Arial"/>
                <w:sz w:val="16"/>
                <w:szCs w:val="16"/>
              </w:rPr>
              <w:t xml:space="preserve"> </w:t>
            </w:r>
          </w:p>
        </w:tc>
        <w:tc>
          <w:tcPr>
            <w:tcW w:w="1170" w:type="dxa"/>
            <w:tcBorders>
              <w:top w:val="nil"/>
              <w:left w:val="nil"/>
              <w:bottom w:val="single" w:color="000000" w:sz="8" w:space="0"/>
              <w:right w:val="single" w:color="000000" w:sz="8" w:space="0"/>
            </w:tcBorders>
            <w:shd w:val="clear" w:color="auto" w:fill="auto"/>
            <w:vAlign w:val="center"/>
            <w:hideMark/>
          </w:tcPr>
          <w:p w:rsidRPr="00624B4F" w:rsidR="00013AB1" w:rsidP="00080649" w:rsidRDefault="00013AB1" w14:paraId="28F01ABB" w14:textId="398875CD">
            <w:pPr>
              <w:jc w:val="center"/>
              <w:rPr>
                <w:rFonts w:ascii="Arial" w:hAnsi="Arial" w:eastAsia="Times New Roman" w:cs="Arial"/>
                <w:sz w:val="16"/>
                <w:szCs w:val="16"/>
              </w:rPr>
            </w:pPr>
            <w:r w:rsidRPr="00624B4F">
              <w:rPr>
                <w:rFonts w:ascii="Arial" w:hAnsi="Arial" w:eastAsia="Times New Roman" w:cs="Arial"/>
                <w:sz w:val="16"/>
                <w:szCs w:val="16"/>
              </w:rPr>
              <w:t>16,999,900</w:t>
            </w:r>
          </w:p>
        </w:tc>
        <w:tc>
          <w:tcPr>
            <w:tcW w:w="990" w:type="dxa"/>
            <w:tcBorders>
              <w:top w:val="nil"/>
              <w:left w:val="nil"/>
              <w:bottom w:val="single" w:color="000000" w:sz="8" w:space="0"/>
              <w:right w:val="single" w:color="000000" w:sz="8" w:space="0"/>
            </w:tcBorders>
            <w:shd w:val="clear" w:color="auto" w:fill="auto"/>
            <w:vAlign w:val="center"/>
            <w:hideMark/>
          </w:tcPr>
          <w:p w:rsidRPr="00624B4F" w:rsidR="00013AB1" w:rsidP="00080649" w:rsidRDefault="00013AB1" w14:paraId="1E3E50F3" w14:textId="2454D5CF">
            <w:pPr>
              <w:jc w:val="center"/>
              <w:rPr>
                <w:rFonts w:ascii="Arial" w:hAnsi="Arial" w:eastAsia="Times New Roman" w:cs="Arial"/>
                <w:sz w:val="16"/>
                <w:szCs w:val="16"/>
              </w:rPr>
            </w:pPr>
            <w:r w:rsidRPr="00624B4F">
              <w:rPr>
                <w:rFonts w:ascii="Arial" w:hAnsi="Arial" w:eastAsia="Times New Roman" w:cs="Arial"/>
                <w:sz w:val="16"/>
                <w:szCs w:val="16"/>
              </w:rPr>
              <w:t>169,999</w:t>
            </w:r>
          </w:p>
        </w:tc>
        <w:tc>
          <w:tcPr>
            <w:tcW w:w="1152" w:type="dxa"/>
            <w:tcBorders>
              <w:top w:val="nil"/>
              <w:left w:val="nil"/>
              <w:bottom w:val="single" w:color="000000" w:sz="8" w:space="0"/>
              <w:right w:val="single" w:color="000000" w:sz="8" w:space="0"/>
            </w:tcBorders>
            <w:shd w:val="clear" w:color="auto" w:fill="auto"/>
            <w:vAlign w:val="center"/>
            <w:hideMark/>
          </w:tcPr>
          <w:p w:rsidRPr="00624B4F" w:rsidR="00013AB1" w:rsidP="00080649" w:rsidRDefault="00013AB1" w14:paraId="57B44C06" w14:textId="659B31CD">
            <w:pPr>
              <w:jc w:val="center"/>
              <w:rPr>
                <w:rFonts w:ascii="Arial" w:hAnsi="Arial" w:eastAsia="Times New Roman" w:cs="Arial"/>
                <w:sz w:val="16"/>
                <w:szCs w:val="16"/>
              </w:rPr>
            </w:pPr>
            <w:r>
              <w:rPr>
                <w:rFonts w:ascii="Arial" w:hAnsi="Arial" w:eastAsia="Times New Roman" w:cs="Arial"/>
                <w:sz w:val="16"/>
                <w:szCs w:val="16"/>
              </w:rPr>
              <w:t>$</w:t>
            </w:r>
            <w:r w:rsidRPr="00624B4F">
              <w:rPr>
                <w:rFonts w:ascii="Arial" w:hAnsi="Arial" w:eastAsia="Times New Roman" w:cs="Arial"/>
                <w:sz w:val="16"/>
                <w:szCs w:val="16"/>
              </w:rPr>
              <w:t>12,279,028</w:t>
            </w:r>
          </w:p>
        </w:tc>
      </w:tr>
      <w:tr w:rsidRPr="00624B4F" w:rsidR="00CB1CDA" w:rsidTr="00D77266" w14:paraId="092B91AE" w14:textId="77777777">
        <w:trPr>
          <w:trHeight w:val="300"/>
        </w:trPr>
        <w:tc>
          <w:tcPr>
            <w:tcW w:w="918" w:type="dxa"/>
            <w:tcBorders>
              <w:top w:val="nil"/>
              <w:left w:val="single" w:color="000000" w:sz="8" w:space="0"/>
              <w:bottom w:val="single" w:color="000000" w:sz="8" w:space="0"/>
              <w:right w:val="single" w:color="000000" w:sz="8" w:space="0"/>
            </w:tcBorders>
            <w:shd w:val="clear" w:color="auto" w:fill="auto"/>
            <w:vAlign w:val="center"/>
            <w:hideMark/>
          </w:tcPr>
          <w:p w:rsidRPr="00624B4F" w:rsidR="00013AB1" w:rsidP="00624B4F" w:rsidRDefault="00013AB1" w14:paraId="2732123D" w14:textId="77777777">
            <w:pPr>
              <w:jc w:val="center"/>
              <w:rPr>
                <w:rFonts w:ascii="Arial" w:hAnsi="Arial" w:eastAsia="Times New Roman" w:cs="Arial"/>
                <w:sz w:val="16"/>
                <w:szCs w:val="16"/>
              </w:rPr>
            </w:pPr>
            <w:r w:rsidRPr="00624B4F">
              <w:rPr>
                <w:rFonts w:ascii="Arial" w:hAnsi="Arial" w:eastAsia="Times New Roman" w:cs="Arial"/>
                <w:sz w:val="16"/>
                <w:szCs w:val="16"/>
              </w:rPr>
              <w:t>45.6</w:t>
            </w:r>
          </w:p>
        </w:tc>
        <w:tc>
          <w:tcPr>
            <w:tcW w:w="1350" w:type="dxa"/>
            <w:tcBorders>
              <w:top w:val="nil"/>
              <w:left w:val="nil"/>
              <w:bottom w:val="single" w:color="000000" w:sz="8" w:space="0"/>
              <w:right w:val="single" w:color="000000" w:sz="8" w:space="0"/>
            </w:tcBorders>
            <w:shd w:val="clear" w:color="auto" w:fill="auto"/>
            <w:vAlign w:val="center"/>
            <w:hideMark/>
          </w:tcPr>
          <w:p w:rsidRPr="00624B4F" w:rsidR="00013AB1" w:rsidP="00870D2C" w:rsidRDefault="00013AB1" w14:paraId="46F27A4A" w14:textId="4335B36B">
            <w:pPr>
              <w:rPr>
                <w:rFonts w:ascii="Arial" w:hAnsi="Arial" w:eastAsia="Times New Roman" w:cs="Arial"/>
                <w:sz w:val="16"/>
                <w:szCs w:val="16"/>
              </w:rPr>
            </w:pPr>
            <w:r w:rsidRPr="00624B4F">
              <w:rPr>
                <w:rFonts w:ascii="Arial" w:hAnsi="Arial" w:eastAsia="Times New Roman" w:cs="Arial"/>
                <w:sz w:val="16"/>
                <w:szCs w:val="16"/>
              </w:rPr>
              <w:t xml:space="preserve">1,732 </w:t>
            </w:r>
            <w:r>
              <w:rPr>
                <w:rFonts w:ascii="Arial" w:hAnsi="Arial" w:eastAsia="Times New Roman" w:cs="Arial"/>
                <w:sz w:val="16"/>
                <w:szCs w:val="16"/>
              </w:rPr>
              <w:t xml:space="preserve"> SDRs, SEFs, DCMs, Reporting Counterparties</w:t>
            </w:r>
          </w:p>
        </w:tc>
        <w:tc>
          <w:tcPr>
            <w:tcW w:w="1170" w:type="dxa"/>
            <w:tcBorders>
              <w:top w:val="nil"/>
              <w:left w:val="nil"/>
              <w:bottom w:val="single" w:color="000000" w:sz="8" w:space="0"/>
              <w:right w:val="single" w:color="000000" w:sz="8" w:space="0"/>
            </w:tcBorders>
            <w:shd w:val="clear" w:color="auto" w:fill="auto"/>
            <w:vAlign w:val="center"/>
            <w:hideMark/>
          </w:tcPr>
          <w:p w:rsidRPr="00624B4F" w:rsidR="00013AB1" w:rsidP="00D053CE" w:rsidRDefault="00013AB1" w14:paraId="5F4A3156" w14:textId="2F460142">
            <w:pPr>
              <w:jc w:val="center"/>
              <w:rPr>
                <w:rFonts w:ascii="Arial" w:hAnsi="Arial" w:eastAsia="Times New Roman" w:cs="Arial"/>
                <w:sz w:val="16"/>
                <w:szCs w:val="16"/>
              </w:rPr>
            </w:pPr>
            <w:r w:rsidRPr="00624B4F">
              <w:rPr>
                <w:rFonts w:ascii="Arial" w:hAnsi="Arial" w:eastAsia="Times New Roman" w:cs="Arial"/>
                <w:sz w:val="16"/>
                <w:szCs w:val="16"/>
              </w:rPr>
              <w:t>1</w:t>
            </w:r>
            <w:r>
              <w:rPr>
                <w:rStyle w:val="EndnoteReference"/>
                <w:rFonts w:ascii="Arial" w:hAnsi="Arial" w:eastAsia="Times New Roman" w:cs="Arial"/>
                <w:sz w:val="16"/>
                <w:szCs w:val="16"/>
              </w:rPr>
              <w:endnoteReference w:id="9"/>
            </w:r>
          </w:p>
        </w:tc>
        <w:tc>
          <w:tcPr>
            <w:tcW w:w="1170" w:type="dxa"/>
            <w:tcBorders>
              <w:top w:val="nil"/>
              <w:left w:val="nil"/>
              <w:bottom w:val="single" w:color="000000" w:sz="8" w:space="0"/>
              <w:right w:val="single" w:color="000000" w:sz="8" w:space="0"/>
            </w:tcBorders>
            <w:shd w:val="clear" w:color="auto" w:fill="auto"/>
            <w:vAlign w:val="center"/>
            <w:hideMark/>
          </w:tcPr>
          <w:p w:rsidRPr="00624B4F" w:rsidR="00013AB1" w:rsidP="0036025F" w:rsidRDefault="00013AB1" w14:paraId="3C53A2E2" w14:textId="0D6EDEDB">
            <w:pPr>
              <w:jc w:val="center"/>
              <w:rPr>
                <w:rFonts w:ascii="Arial" w:hAnsi="Arial" w:eastAsia="Times New Roman" w:cs="Arial"/>
                <w:sz w:val="16"/>
                <w:szCs w:val="16"/>
              </w:rPr>
            </w:pPr>
            <w:r w:rsidRPr="00624B4F">
              <w:rPr>
                <w:rFonts w:ascii="Arial" w:hAnsi="Arial" w:eastAsia="Times New Roman" w:cs="Arial"/>
                <w:sz w:val="16"/>
                <w:szCs w:val="16"/>
              </w:rPr>
              <w:t>0.020</w:t>
            </w:r>
            <w:r>
              <w:rPr>
                <w:rStyle w:val="EndnoteReference"/>
                <w:rFonts w:ascii="Arial" w:hAnsi="Arial" w:eastAsia="Times New Roman" w:cs="Arial"/>
                <w:sz w:val="16"/>
                <w:szCs w:val="16"/>
              </w:rPr>
              <w:endnoteReference w:id="10"/>
            </w:r>
          </w:p>
        </w:tc>
        <w:tc>
          <w:tcPr>
            <w:tcW w:w="1332" w:type="dxa"/>
            <w:tcBorders>
              <w:top w:val="nil"/>
              <w:left w:val="nil"/>
              <w:bottom w:val="single" w:color="000000" w:sz="8" w:space="0"/>
              <w:right w:val="single" w:color="000000" w:sz="8" w:space="0"/>
            </w:tcBorders>
            <w:shd w:val="clear" w:color="auto" w:fill="auto"/>
            <w:vAlign w:val="center"/>
            <w:hideMark/>
          </w:tcPr>
          <w:p w:rsidRPr="00624B4F" w:rsidR="00013AB1" w:rsidP="00904822" w:rsidRDefault="00013AB1" w14:paraId="6F9C8E7E" w14:textId="4603EE0A">
            <w:pPr>
              <w:jc w:val="center"/>
              <w:rPr>
                <w:rFonts w:ascii="Arial" w:hAnsi="Arial" w:eastAsia="Times New Roman" w:cs="Arial"/>
                <w:sz w:val="16"/>
                <w:szCs w:val="16"/>
              </w:rPr>
            </w:pPr>
            <w:r w:rsidRPr="00624B4F">
              <w:rPr>
                <w:rFonts w:ascii="Arial" w:hAnsi="Arial" w:eastAsia="Times New Roman" w:cs="Arial"/>
                <w:sz w:val="16"/>
                <w:szCs w:val="16"/>
              </w:rPr>
              <w:t>0.02</w:t>
            </w:r>
          </w:p>
        </w:tc>
        <w:tc>
          <w:tcPr>
            <w:tcW w:w="1008" w:type="dxa"/>
            <w:tcBorders>
              <w:top w:val="nil"/>
              <w:left w:val="nil"/>
              <w:bottom w:val="single" w:color="000000" w:sz="8" w:space="0"/>
              <w:right w:val="single" w:color="000000" w:sz="8" w:space="0"/>
            </w:tcBorders>
            <w:shd w:val="clear" w:color="auto" w:fill="auto"/>
            <w:vAlign w:val="center"/>
            <w:hideMark/>
          </w:tcPr>
          <w:p w:rsidRPr="00624B4F" w:rsidR="00013AB1" w:rsidP="0067629B" w:rsidRDefault="00013AB1" w14:paraId="6413622B" w14:textId="1FCFCBE1">
            <w:pPr>
              <w:jc w:val="center"/>
              <w:rPr>
                <w:rFonts w:ascii="Arial" w:hAnsi="Arial" w:eastAsia="Times New Roman" w:cs="Arial"/>
                <w:sz w:val="16"/>
                <w:szCs w:val="16"/>
              </w:rPr>
            </w:pPr>
            <w:r w:rsidRPr="00624B4F">
              <w:rPr>
                <w:rFonts w:ascii="Arial" w:hAnsi="Arial" w:eastAsia="Times New Roman" w:cs="Arial"/>
                <w:sz w:val="16"/>
                <w:szCs w:val="16"/>
              </w:rPr>
              <w:t>$72.23</w:t>
            </w:r>
          </w:p>
        </w:tc>
        <w:tc>
          <w:tcPr>
            <w:tcW w:w="1170" w:type="dxa"/>
            <w:tcBorders>
              <w:top w:val="nil"/>
              <w:left w:val="nil"/>
              <w:bottom w:val="single" w:color="000000" w:sz="8" w:space="0"/>
              <w:right w:val="single" w:color="000000" w:sz="8" w:space="0"/>
            </w:tcBorders>
            <w:shd w:val="clear" w:color="auto" w:fill="auto"/>
            <w:vAlign w:val="center"/>
            <w:hideMark/>
          </w:tcPr>
          <w:p w:rsidRPr="00624B4F" w:rsidR="00013AB1" w:rsidP="00536419" w:rsidRDefault="004E48F8" w14:paraId="56AA0920" w14:textId="0C7AA71C">
            <w:pPr>
              <w:jc w:val="center"/>
              <w:rPr>
                <w:rFonts w:ascii="Arial" w:hAnsi="Arial" w:eastAsia="Times New Roman" w:cs="Arial"/>
                <w:sz w:val="16"/>
                <w:szCs w:val="16"/>
              </w:rPr>
            </w:pPr>
            <w:r>
              <w:rPr>
                <w:rFonts w:ascii="Arial" w:hAnsi="Arial" w:eastAsia="Times New Roman" w:cs="Arial"/>
                <w:sz w:val="16"/>
                <w:szCs w:val="16"/>
              </w:rPr>
              <w:t>$</w:t>
            </w:r>
            <w:r w:rsidRPr="00624B4F" w:rsidR="00013AB1">
              <w:rPr>
                <w:rFonts w:ascii="Arial" w:hAnsi="Arial" w:eastAsia="Times New Roman" w:cs="Arial"/>
                <w:sz w:val="16"/>
                <w:szCs w:val="16"/>
              </w:rPr>
              <w:t>1</w:t>
            </w:r>
          </w:p>
        </w:tc>
        <w:tc>
          <w:tcPr>
            <w:tcW w:w="1170" w:type="dxa"/>
            <w:tcBorders>
              <w:top w:val="nil"/>
              <w:left w:val="nil"/>
              <w:bottom w:val="single" w:color="000000" w:sz="8" w:space="0"/>
              <w:right w:val="single" w:color="000000" w:sz="8" w:space="0"/>
            </w:tcBorders>
            <w:shd w:val="clear" w:color="auto" w:fill="auto"/>
            <w:vAlign w:val="center"/>
            <w:hideMark/>
          </w:tcPr>
          <w:p w:rsidRPr="00624B4F" w:rsidR="00013AB1" w:rsidP="00080649" w:rsidRDefault="00013AB1" w14:paraId="542CF3FB" w14:textId="7AEE14C5">
            <w:pPr>
              <w:jc w:val="center"/>
              <w:rPr>
                <w:rFonts w:ascii="Arial" w:hAnsi="Arial" w:eastAsia="Times New Roman" w:cs="Arial"/>
                <w:sz w:val="16"/>
                <w:szCs w:val="16"/>
              </w:rPr>
            </w:pPr>
            <w:r w:rsidRPr="00624B4F">
              <w:rPr>
                <w:rFonts w:ascii="Arial" w:hAnsi="Arial" w:eastAsia="Times New Roman" w:cs="Arial"/>
                <w:sz w:val="16"/>
                <w:szCs w:val="16"/>
              </w:rPr>
              <w:t>1,732</w:t>
            </w:r>
          </w:p>
        </w:tc>
        <w:tc>
          <w:tcPr>
            <w:tcW w:w="990" w:type="dxa"/>
            <w:tcBorders>
              <w:top w:val="nil"/>
              <w:left w:val="nil"/>
              <w:bottom w:val="single" w:color="000000" w:sz="8" w:space="0"/>
              <w:right w:val="single" w:color="000000" w:sz="8" w:space="0"/>
            </w:tcBorders>
            <w:shd w:val="clear" w:color="auto" w:fill="auto"/>
            <w:vAlign w:val="center"/>
            <w:hideMark/>
          </w:tcPr>
          <w:p w:rsidRPr="00624B4F" w:rsidR="00013AB1" w:rsidP="00080649" w:rsidRDefault="00013AB1" w14:paraId="5B98B87A" w14:textId="001A9029">
            <w:pPr>
              <w:jc w:val="center"/>
              <w:rPr>
                <w:rFonts w:ascii="Arial" w:hAnsi="Arial" w:eastAsia="Times New Roman" w:cs="Arial"/>
                <w:sz w:val="16"/>
                <w:szCs w:val="16"/>
              </w:rPr>
            </w:pPr>
            <w:r w:rsidRPr="00624B4F">
              <w:rPr>
                <w:rFonts w:ascii="Arial" w:hAnsi="Arial" w:eastAsia="Times New Roman" w:cs="Arial"/>
                <w:sz w:val="16"/>
                <w:szCs w:val="16"/>
              </w:rPr>
              <w:t>35</w:t>
            </w:r>
          </w:p>
        </w:tc>
        <w:tc>
          <w:tcPr>
            <w:tcW w:w="1152" w:type="dxa"/>
            <w:tcBorders>
              <w:top w:val="nil"/>
              <w:left w:val="nil"/>
              <w:bottom w:val="single" w:color="000000" w:sz="8" w:space="0"/>
              <w:right w:val="single" w:color="000000" w:sz="8" w:space="0"/>
            </w:tcBorders>
            <w:shd w:val="clear" w:color="auto" w:fill="auto"/>
            <w:vAlign w:val="center"/>
            <w:hideMark/>
          </w:tcPr>
          <w:p w:rsidRPr="00624B4F" w:rsidR="00013AB1" w:rsidP="00080649" w:rsidRDefault="00013AB1" w14:paraId="0CEA076D" w14:textId="5E98F166">
            <w:pPr>
              <w:jc w:val="center"/>
              <w:rPr>
                <w:rFonts w:ascii="Arial" w:hAnsi="Arial" w:eastAsia="Times New Roman" w:cs="Arial"/>
                <w:sz w:val="16"/>
                <w:szCs w:val="16"/>
              </w:rPr>
            </w:pPr>
            <w:r>
              <w:rPr>
                <w:rFonts w:ascii="Arial" w:hAnsi="Arial" w:eastAsia="Times New Roman" w:cs="Arial"/>
                <w:sz w:val="16"/>
                <w:szCs w:val="16"/>
              </w:rPr>
              <w:t>$</w:t>
            </w:r>
            <w:r w:rsidRPr="00624B4F">
              <w:rPr>
                <w:rFonts w:ascii="Arial" w:hAnsi="Arial" w:eastAsia="Times New Roman" w:cs="Arial"/>
                <w:sz w:val="16"/>
                <w:szCs w:val="16"/>
              </w:rPr>
              <w:t>2,502</w:t>
            </w:r>
          </w:p>
        </w:tc>
      </w:tr>
      <w:tr w:rsidRPr="00624B4F" w:rsidR="00CB1CDA" w:rsidTr="00D77266" w14:paraId="410748F2" w14:textId="77777777">
        <w:trPr>
          <w:trHeight w:val="300"/>
        </w:trPr>
        <w:tc>
          <w:tcPr>
            <w:tcW w:w="918" w:type="dxa"/>
            <w:tcBorders>
              <w:top w:val="nil"/>
              <w:left w:val="single" w:color="000000" w:sz="8" w:space="0"/>
              <w:bottom w:val="single" w:color="000000" w:sz="8" w:space="0"/>
              <w:right w:val="single" w:color="000000" w:sz="8" w:space="0"/>
            </w:tcBorders>
            <w:shd w:val="clear" w:color="auto" w:fill="auto"/>
            <w:vAlign w:val="center"/>
            <w:hideMark/>
          </w:tcPr>
          <w:p w:rsidRPr="00624B4F" w:rsidR="00013AB1" w:rsidP="00624B4F" w:rsidRDefault="00013AB1" w14:paraId="678072B6" w14:textId="77777777">
            <w:pPr>
              <w:jc w:val="center"/>
              <w:rPr>
                <w:rFonts w:ascii="Arial" w:hAnsi="Arial" w:eastAsia="Times New Roman" w:cs="Arial"/>
                <w:sz w:val="16"/>
                <w:szCs w:val="16"/>
              </w:rPr>
            </w:pPr>
            <w:r w:rsidRPr="00624B4F">
              <w:rPr>
                <w:rFonts w:ascii="Arial" w:hAnsi="Arial" w:eastAsia="Times New Roman" w:cs="Arial"/>
                <w:sz w:val="16"/>
                <w:szCs w:val="16"/>
              </w:rPr>
              <w:t>45.10</w:t>
            </w:r>
          </w:p>
        </w:tc>
        <w:tc>
          <w:tcPr>
            <w:tcW w:w="1350" w:type="dxa"/>
            <w:tcBorders>
              <w:top w:val="nil"/>
              <w:left w:val="nil"/>
              <w:bottom w:val="single" w:color="000000" w:sz="8" w:space="0"/>
              <w:right w:val="single" w:color="000000" w:sz="8" w:space="0"/>
            </w:tcBorders>
            <w:shd w:val="clear" w:color="auto" w:fill="auto"/>
            <w:vAlign w:val="center"/>
            <w:hideMark/>
          </w:tcPr>
          <w:p w:rsidRPr="00624B4F" w:rsidR="00013AB1" w:rsidP="00870D2C" w:rsidRDefault="00013AB1" w14:paraId="45BD9A4A" w14:textId="3BA2A0C6">
            <w:pPr>
              <w:rPr>
                <w:rFonts w:ascii="Arial" w:hAnsi="Arial" w:eastAsia="Times New Roman" w:cs="Arial"/>
                <w:sz w:val="16"/>
                <w:szCs w:val="16"/>
              </w:rPr>
            </w:pPr>
            <w:r w:rsidRPr="00624B4F">
              <w:rPr>
                <w:rFonts w:ascii="Arial" w:hAnsi="Arial" w:eastAsia="Times New Roman" w:cs="Arial"/>
                <w:sz w:val="16"/>
                <w:szCs w:val="16"/>
              </w:rPr>
              <w:t xml:space="preserve">15 </w:t>
            </w:r>
            <w:r>
              <w:rPr>
                <w:rFonts w:ascii="Arial" w:hAnsi="Arial" w:eastAsia="Times New Roman" w:cs="Arial"/>
                <w:sz w:val="16"/>
                <w:szCs w:val="16"/>
              </w:rPr>
              <w:t>Reporting Counterparties</w:t>
            </w:r>
            <w:r>
              <w:rPr>
                <w:rStyle w:val="EndnoteReference"/>
                <w:rFonts w:ascii="Arial" w:hAnsi="Arial" w:eastAsia="Times New Roman" w:cs="Arial"/>
                <w:sz w:val="16"/>
                <w:szCs w:val="16"/>
              </w:rPr>
              <w:endnoteReference w:id="11"/>
            </w:r>
          </w:p>
        </w:tc>
        <w:tc>
          <w:tcPr>
            <w:tcW w:w="1170" w:type="dxa"/>
            <w:tcBorders>
              <w:top w:val="nil"/>
              <w:left w:val="nil"/>
              <w:bottom w:val="single" w:color="000000" w:sz="8" w:space="0"/>
              <w:right w:val="single" w:color="000000" w:sz="8" w:space="0"/>
            </w:tcBorders>
            <w:shd w:val="clear" w:color="auto" w:fill="auto"/>
            <w:vAlign w:val="center"/>
            <w:hideMark/>
          </w:tcPr>
          <w:p w:rsidRPr="00624B4F" w:rsidR="00013AB1" w:rsidP="00D053CE" w:rsidRDefault="00013AB1" w14:paraId="15D4F17C" w14:textId="22B1042E">
            <w:pPr>
              <w:ind w:firstLine="320" w:firstLineChars="200"/>
              <w:jc w:val="center"/>
              <w:rPr>
                <w:rFonts w:ascii="Arial" w:hAnsi="Arial" w:eastAsia="Times New Roman" w:cs="Arial"/>
                <w:sz w:val="16"/>
                <w:szCs w:val="16"/>
              </w:rPr>
            </w:pPr>
            <w:r w:rsidRPr="00624B4F">
              <w:rPr>
                <w:rFonts w:ascii="Arial" w:hAnsi="Arial" w:eastAsia="Times New Roman" w:cs="Arial"/>
                <w:sz w:val="16"/>
                <w:szCs w:val="16"/>
              </w:rPr>
              <w:t>1</w:t>
            </w:r>
          </w:p>
        </w:tc>
        <w:tc>
          <w:tcPr>
            <w:tcW w:w="1170" w:type="dxa"/>
            <w:tcBorders>
              <w:top w:val="nil"/>
              <w:left w:val="nil"/>
              <w:bottom w:val="single" w:color="000000" w:sz="8" w:space="0"/>
              <w:right w:val="single" w:color="000000" w:sz="8" w:space="0"/>
            </w:tcBorders>
            <w:shd w:val="clear" w:color="auto" w:fill="auto"/>
            <w:vAlign w:val="center"/>
            <w:hideMark/>
          </w:tcPr>
          <w:p w:rsidRPr="00624B4F" w:rsidR="00013AB1" w:rsidP="00A40B87" w:rsidRDefault="00013AB1" w14:paraId="2540EB67" w14:textId="7BFA2669">
            <w:pPr>
              <w:jc w:val="center"/>
              <w:rPr>
                <w:rFonts w:ascii="Arial" w:hAnsi="Arial" w:eastAsia="Times New Roman" w:cs="Arial"/>
                <w:sz w:val="16"/>
                <w:szCs w:val="16"/>
              </w:rPr>
            </w:pPr>
            <w:r w:rsidRPr="00624B4F">
              <w:rPr>
                <w:rFonts w:ascii="Arial" w:hAnsi="Arial" w:eastAsia="Times New Roman" w:cs="Arial"/>
                <w:sz w:val="16"/>
                <w:szCs w:val="16"/>
              </w:rPr>
              <w:t>0.010</w:t>
            </w:r>
          </w:p>
        </w:tc>
        <w:tc>
          <w:tcPr>
            <w:tcW w:w="1332" w:type="dxa"/>
            <w:tcBorders>
              <w:top w:val="nil"/>
              <w:left w:val="nil"/>
              <w:bottom w:val="single" w:color="000000" w:sz="8" w:space="0"/>
              <w:right w:val="single" w:color="000000" w:sz="8" w:space="0"/>
            </w:tcBorders>
            <w:shd w:val="clear" w:color="auto" w:fill="auto"/>
            <w:vAlign w:val="center"/>
            <w:hideMark/>
          </w:tcPr>
          <w:p w:rsidRPr="00624B4F" w:rsidR="00013AB1" w:rsidP="0036025F" w:rsidRDefault="00013AB1" w14:paraId="4693A197" w14:textId="143C544C">
            <w:pPr>
              <w:jc w:val="center"/>
              <w:rPr>
                <w:rFonts w:ascii="Arial" w:hAnsi="Arial" w:eastAsia="Times New Roman" w:cs="Arial"/>
                <w:sz w:val="16"/>
                <w:szCs w:val="16"/>
              </w:rPr>
            </w:pPr>
            <w:r w:rsidRPr="00624B4F">
              <w:rPr>
                <w:rFonts w:ascii="Arial" w:hAnsi="Arial" w:eastAsia="Times New Roman" w:cs="Arial"/>
                <w:sz w:val="16"/>
                <w:szCs w:val="16"/>
              </w:rPr>
              <w:t>0.01</w:t>
            </w:r>
          </w:p>
        </w:tc>
        <w:tc>
          <w:tcPr>
            <w:tcW w:w="1008" w:type="dxa"/>
            <w:tcBorders>
              <w:top w:val="nil"/>
              <w:left w:val="nil"/>
              <w:bottom w:val="single" w:color="000000" w:sz="8" w:space="0"/>
              <w:right w:val="single" w:color="000000" w:sz="8" w:space="0"/>
            </w:tcBorders>
            <w:shd w:val="clear" w:color="auto" w:fill="auto"/>
            <w:vAlign w:val="center"/>
            <w:hideMark/>
          </w:tcPr>
          <w:p w:rsidRPr="00624B4F" w:rsidR="00013AB1" w:rsidP="00904822" w:rsidRDefault="00013AB1" w14:paraId="28AAE929" w14:textId="697A9F81">
            <w:pPr>
              <w:jc w:val="center"/>
              <w:rPr>
                <w:rFonts w:ascii="Arial" w:hAnsi="Arial" w:eastAsia="Times New Roman" w:cs="Arial"/>
                <w:sz w:val="16"/>
                <w:szCs w:val="16"/>
              </w:rPr>
            </w:pPr>
            <w:r w:rsidRPr="00624B4F">
              <w:rPr>
                <w:rFonts w:ascii="Arial" w:hAnsi="Arial" w:eastAsia="Times New Roman" w:cs="Arial"/>
                <w:sz w:val="16"/>
                <w:szCs w:val="16"/>
              </w:rPr>
              <w:t>$72.23</w:t>
            </w:r>
          </w:p>
        </w:tc>
        <w:tc>
          <w:tcPr>
            <w:tcW w:w="1170" w:type="dxa"/>
            <w:tcBorders>
              <w:top w:val="nil"/>
              <w:left w:val="nil"/>
              <w:bottom w:val="single" w:color="000000" w:sz="8" w:space="0"/>
              <w:right w:val="single" w:color="000000" w:sz="8" w:space="0"/>
            </w:tcBorders>
            <w:shd w:val="clear" w:color="auto" w:fill="auto"/>
            <w:vAlign w:val="center"/>
            <w:hideMark/>
          </w:tcPr>
          <w:p w:rsidRPr="00624B4F" w:rsidR="00013AB1" w:rsidP="00536419" w:rsidRDefault="004E48F8" w14:paraId="3FBF926D" w14:textId="1F446770">
            <w:pPr>
              <w:jc w:val="center"/>
              <w:rPr>
                <w:rFonts w:ascii="Arial" w:hAnsi="Arial" w:eastAsia="Times New Roman" w:cs="Arial"/>
                <w:sz w:val="16"/>
                <w:szCs w:val="16"/>
              </w:rPr>
            </w:pPr>
            <w:r>
              <w:rPr>
                <w:rFonts w:ascii="Arial" w:hAnsi="Arial" w:eastAsia="Times New Roman" w:cs="Arial"/>
                <w:sz w:val="16"/>
                <w:szCs w:val="16"/>
              </w:rPr>
              <w:t>$</w:t>
            </w:r>
            <w:r w:rsidRPr="00624B4F" w:rsidR="00013AB1">
              <w:rPr>
                <w:rFonts w:ascii="Arial" w:hAnsi="Arial" w:eastAsia="Times New Roman" w:cs="Arial"/>
                <w:sz w:val="16"/>
                <w:szCs w:val="16"/>
              </w:rPr>
              <w:t>1</w:t>
            </w:r>
          </w:p>
        </w:tc>
        <w:tc>
          <w:tcPr>
            <w:tcW w:w="1170" w:type="dxa"/>
            <w:tcBorders>
              <w:top w:val="nil"/>
              <w:left w:val="nil"/>
              <w:bottom w:val="single" w:color="000000" w:sz="8" w:space="0"/>
              <w:right w:val="single" w:color="000000" w:sz="8" w:space="0"/>
            </w:tcBorders>
            <w:shd w:val="clear" w:color="auto" w:fill="auto"/>
            <w:vAlign w:val="center"/>
            <w:hideMark/>
          </w:tcPr>
          <w:p w:rsidRPr="00624B4F" w:rsidR="00013AB1" w:rsidP="00080649" w:rsidRDefault="00013AB1" w14:paraId="336132D8" w14:textId="16A4686F">
            <w:pPr>
              <w:jc w:val="center"/>
              <w:rPr>
                <w:rFonts w:ascii="Arial" w:hAnsi="Arial" w:eastAsia="Times New Roman" w:cs="Arial"/>
                <w:sz w:val="16"/>
                <w:szCs w:val="16"/>
              </w:rPr>
            </w:pPr>
            <w:r w:rsidRPr="00624B4F">
              <w:rPr>
                <w:rFonts w:ascii="Arial" w:hAnsi="Arial" w:eastAsia="Times New Roman" w:cs="Arial"/>
                <w:sz w:val="16"/>
                <w:szCs w:val="16"/>
              </w:rPr>
              <w:t>15</w:t>
            </w:r>
          </w:p>
        </w:tc>
        <w:tc>
          <w:tcPr>
            <w:tcW w:w="990" w:type="dxa"/>
            <w:tcBorders>
              <w:top w:val="nil"/>
              <w:left w:val="nil"/>
              <w:bottom w:val="single" w:color="000000" w:sz="8" w:space="0"/>
              <w:right w:val="single" w:color="000000" w:sz="8" w:space="0"/>
            </w:tcBorders>
            <w:shd w:val="clear" w:color="auto" w:fill="auto"/>
            <w:vAlign w:val="center"/>
            <w:hideMark/>
          </w:tcPr>
          <w:p w:rsidRPr="00624B4F" w:rsidR="00013AB1" w:rsidP="00080649" w:rsidRDefault="00013AB1" w14:paraId="32E85ABE" w14:textId="0F045683">
            <w:pPr>
              <w:jc w:val="center"/>
              <w:rPr>
                <w:rFonts w:ascii="Arial" w:hAnsi="Arial" w:eastAsia="Times New Roman" w:cs="Arial"/>
                <w:sz w:val="16"/>
                <w:szCs w:val="16"/>
              </w:rPr>
            </w:pPr>
            <w:r w:rsidRPr="00624B4F">
              <w:rPr>
                <w:rFonts w:ascii="Arial" w:hAnsi="Arial" w:eastAsia="Times New Roman" w:cs="Arial"/>
                <w:sz w:val="16"/>
                <w:szCs w:val="16"/>
              </w:rPr>
              <w:t>0.15</w:t>
            </w:r>
          </w:p>
        </w:tc>
        <w:tc>
          <w:tcPr>
            <w:tcW w:w="1152" w:type="dxa"/>
            <w:tcBorders>
              <w:top w:val="nil"/>
              <w:left w:val="nil"/>
              <w:bottom w:val="single" w:color="000000" w:sz="8" w:space="0"/>
              <w:right w:val="single" w:color="000000" w:sz="8" w:space="0"/>
            </w:tcBorders>
            <w:shd w:val="clear" w:color="auto" w:fill="auto"/>
            <w:vAlign w:val="center"/>
            <w:hideMark/>
          </w:tcPr>
          <w:p w:rsidRPr="00624B4F" w:rsidR="00013AB1" w:rsidP="00080649" w:rsidRDefault="00013AB1" w14:paraId="16EDEF70" w14:textId="690FD354">
            <w:pPr>
              <w:jc w:val="center"/>
              <w:rPr>
                <w:rFonts w:ascii="Arial" w:hAnsi="Arial" w:eastAsia="Times New Roman" w:cs="Arial"/>
                <w:sz w:val="16"/>
                <w:szCs w:val="16"/>
              </w:rPr>
            </w:pPr>
            <w:r>
              <w:rPr>
                <w:rFonts w:ascii="Arial" w:hAnsi="Arial" w:eastAsia="Times New Roman" w:cs="Arial"/>
                <w:sz w:val="16"/>
                <w:szCs w:val="16"/>
              </w:rPr>
              <w:t>$</w:t>
            </w:r>
            <w:r w:rsidRPr="00624B4F">
              <w:rPr>
                <w:rFonts w:ascii="Arial" w:hAnsi="Arial" w:eastAsia="Times New Roman" w:cs="Arial"/>
                <w:sz w:val="16"/>
                <w:szCs w:val="16"/>
              </w:rPr>
              <w:t>11</w:t>
            </w:r>
          </w:p>
        </w:tc>
      </w:tr>
      <w:tr w:rsidRPr="00624B4F" w:rsidR="00CB1CDA" w:rsidTr="00D77266" w14:paraId="3C002C71" w14:textId="77777777">
        <w:trPr>
          <w:trHeight w:val="300"/>
        </w:trPr>
        <w:tc>
          <w:tcPr>
            <w:tcW w:w="918" w:type="dxa"/>
            <w:tcBorders>
              <w:top w:val="nil"/>
              <w:left w:val="single" w:color="000000" w:sz="8" w:space="0"/>
              <w:bottom w:val="single" w:color="auto" w:sz="4" w:space="0"/>
              <w:right w:val="single" w:color="000000" w:sz="8" w:space="0"/>
            </w:tcBorders>
            <w:shd w:val="clear" w:color="auto" w:fill="auto"/>
            <w:vAlign w:val="center"/>
            <w:hideMark/>
          </w:tcPr>
          <w:p w:rsidRPr="00624B4F" w:rsidR="00013AB1" w:rsidP="00624B4F" w:rsidRDefault="00013AB1" w14:paraId="4F863AAA" w14:textId="178BE537">
            <w:pPr>
              <w:jc w:val="center"/>
              <w:rPr>
                <w:rFonts w:ascii="Arial" w:hAnsi="Arial" w:eastAsia="Times New Roman" w:cs="Arial"/>
                <w:sz w:val="16"/>
                <w:szCs w:val="16"/>
              </w:rPr>
            </w:pPr>
            <w:r w:rsidRPr="00624B4F">
              <w:rPr>
                <w:rFonts w:ascii="Arial" w:hAnsi="Arial" w:eastAsia="Times New Roman" w:cs="Arial"/>
                <w:sz w:val="16"/>
                <w:szCs w:val="16"/>
              </w:rPr>
              <w:t>45.14</w:t>
            </w:r>
            <w:r>
              <w:rPr>
                <w:rStyle w:val="EndnoteReference"/>
                <w:rFonts w:ascii="Arial" w:hAnsi="Arial" w:eastAsia="Times New Roman" w:cs="Arial"/>
                <w:sz w:val="16"/>
                <w:szCs w:val="16"/>
              </w:rPr>
              <w:endnoteReference w:id="12"/>
            </w:r>
          </w:p>
        </w:tc>
        <w:tc>
          <w:tcPr>
            <w:tcW w:w="1350" w:type="dxa"/>
            <w:tcBorders>
              <w:top w:val="nil"/>
              <w:left w:val="nil"/>
              <w:bottom w:val="single" w:color="auto" w:sz="4" w:space="0"/>
              <w:right w:val="single" w:color="000000" w:sz="8" w:space="0"/>
            </w:tcBorders>
            <w:shd w:val="clear" w:color="auto" w:fill="auto"/>
            <w:vAlign w:val="center"/>
            <w:hideMark/>
          </w:tcPr>
          <w:p w:rsidRPr="00624B4F" w:rsidR="00013AB1" w:rsidP="00870D2C" w:rsidRDefault="00013AB1" w14:paraId="6B8561EC" w14:textId="7C43EC57">
            <w:pPr>
              <w:rPr>
                <w:rFonts w:ascii="Arial" w:hAnsi="Arial" w:eastAsia="Times New Roman" w:cs="Arial"/>
                <w:sz w:val="16"/>
                <w:szCs w:val="16"/>
              </w:rPr>
            </w:pPr>
            <w:r w:rsidRPr="00624B4F">
              <w:rPr>
                <w:rFonts w:ascii="Arial" w:hAnsi="Arial" w:eastAsia="Times New Roman" w:cs="Arial"/>
                <w:sz w:val="16"/>
                <w:szCs w:val="16"/>
              </w:rPr>
              <w:t xml:space="preserve">1,732 </w:t>
            </w:r>
            <w:r>
              <w:rPr>
                <w:rFonts w:ascii="Arial" w:hAnsi="Arial" w:eastAsia="Times New Roman" w:cs="Arial"/>
                <w:sz w:val="16"/>
                <w:szCs w:val="16"/>
              </w:rPr>
              <w:t xml:space="preserve"> SDRs, SEFs, DCMs, Reporting Counterparties</w:t>
            </w:r>
          </w:p>
        </w:tc>
        <w:tc>
          <w:tcPr>
            <w:tcW w:w="1170" w:type="dxa"/>
            <w:tcBorders>
              <w:top w:val="nil"/>
              <w:left w:val="nil"/>
              <w:bottom w:val="single" w:color="auto" w:sz="4" w:space="0"/>
              <w:right w:val="single" w:color="000000" w:sz="8" w:space="0"/>
            </w:tcBorders>
            <w:shd w:val="clear" w:color="auto" w:fill="auto"/>
            <w:vAlign w:val="center"/>
            <w:hideMark/>
          </w:tcPr>
          <w:p w:rsidRPr="00624B4F" w:rsidR="00013AB1" w:rsidP="00870D2C" w:rsidRDefault="00013AB1" w14:paraId="770A9696" w14:textId="59084C39">
            <w:pPr>
              <w:ind w:firstLine="320" w:firstLineChars="200"/>
              <w:jc w:val="center"/>
              <w:rPr>
                <w:rFonts w:ascii="Arial" w:hAnsi="Arial" w:eastAsia="Times New Roman" w:cs="Arial"/>
                <w:sz w:val="16"/>
                <w:szCs w:val="16"/>
              </w:rPr>
            </w:pPr>
            <w:r w:rsidRPr="00624B4F">
              <w:rPr>
                <w:rFonts w:ascii="Arial" w:hAnsi="Arial" w:eastAsia="Times New Roman" w:cs="Arial"/>
                <w:sz w:val="16"/>
                <w:szCs w:val="16"/>
              </w:rPr>
              <w:t>52</w:t>
            </w:r>
          </w:p>
        </w:tc>
        <w:tc>
          <w:tcPr>
            <w:tcW w:w="1170" w:type="dxa"/>
            <w:tcBorders>
              <w:top w:val="nil"/>
              <w:left w:val="nil"/>
              <w:bottom w:val="single" w:color="auto" w:sz="4" w:space="0"/>
              <w:right w:val="single" w:color="000000" w:sz="8" w:space="0"/>
            </w:tcBorders>
            <w:shd w:val="clear" w:color="auto" w:fill="auto"/>
            <w:vAlign w:val="center"/>
            <w:hideMark/>
          </w:tcPr>
          <w:p w:rsidRPr="00624B4F" w:rsidR="00013AB1" w:rsidP="00A40B87" w:rsidRDefault="00013AB1" w14:paraId="6C40026F" w14:textId="2BAB0576">
            <w:pPr>
              <w:jc w:val="center"/>
              <w:rPr>
                <w:rFonts w:ascii="Arial" w:hAnsi="Arial" w:eastAsia="Times New Roman" w:cs="Arial"/>
                <w:sz w:val="16"/>
                <w:szCs w:val="16"/>
              </w:rPr>
            </w:pPr>
            <w:r w:rsidRPr="00624B4F">
              <w:rPr>
                <w:rFonts w:ascii="Arial" w:hAnsi="Arial" w:eastAsia="Times New Roman" w:cs="Arial"/>
                <w:sz w:val="16"/>
                <w:szCs w:val="16"/>
              </w:rPr>
              <w:t>2</w:t>
            </w:r>
          </w:p>
        </w:tc>
        <w:tc>
          <w:tcPr>
            <w:tcW w:w="1332" w:type="dxa"/>
            <w:tcBorders>
              <w:top w:val="nil"/>
              <w:left w:val="nil"/>
              <w:bottom w:val="single" w:color="auto" w:sz="4" w:space="0"/>
              <w:right w:val="single" w:color="000000" w:sz="8" w:space="0"/>
            </w:tcBorders>
            <w:shd w:val="clear" w:color="auto" w:fill="auto"/>
            <w:vAlign w:val="center"/>
            <w:hideMark/>
          </w:tcPr>
          <w:p w:rsidRPr="00624B4F" w:rsidR="00013AB1" w:rsidP="0036025F" w:rsidRDefault="00013AB1" w14:paraId="6EAA4599" w14:textId="78C5D569">
            <w:pPr>
              <w:jc w:val="center"/>
              <w:rPr>
                <w:rFonts w:ascii="Arial" w:hAnsi="Arial" w:eastAsia="Times New Roman" w:cs="Arial"/>
                <w:sz w:val="16"/>
                <w:szCs w:val="16"/>
              </w:rPr>
            </w:pPr>
            <w:r w:rsidRPr="00624B4F">
              <w:rPr>
                <w:rFonts w:ascii="Arial" w:hAnsi="Arial" w:eastAsia="Times New Roman" w:cs="Arial"/>
                <w:sz w:val="16"/>
                <w:szCs w:val="16"/>
              </w:rPr>
              <w:t>104</w:t>
            </w:r>
          </w:p>
        </w:tc>
        <w:tc>
          <w:tcPr>
            <w:tcW w:w="1008" w:type="dxa"/>
            <w:tcBorders>
              <w:top w:val="nil"/>
              <w:left w:val="nil"/>
              <w:bottom w:val="single" w:color="auto" w:sz="4" w:space="0"/>
              <w:right w:val="single" w:color="000000" w:sz="8" w:space="0"/>
            </w:tcBorders>
            <w:shd w:val="clear" w:color="auto" w:fill="auto"/>
            <w:vAlign w:val="center"/>
            <w:hideMark/>
          </w:tcPr>
          <w:p w:rsidRPr="00624B4F" w:rsidR="00013AB1" w:rsidP="00904822" w:rsidRDefault="00013AB1" w14:paraId="153CE05E" w14:textId="589910C2">
            <w:pPr>
              <w:jc w:val="center"/>
              <w:rPr>
                <w:rFonts w:ascii="Arial" w:hAnsi="Arial" w:eastAsia="Times New Roman" w:cs="Arial"/>
                <w:sz w:val="16"/>
                <w:szCs w:val="16"/>
              </w:rPr>
            </w:pPr>
            <w:r w:rsidRPr="00624B4F">
              <w:rPr>
                <w:rFonts w:ascii="Arial" w:hAnsi="Arial" w:eastAsia="Times New Roman" w:cs="Arial"/>
                <w:sz w:val="16"/>
                <w:szCs w:val="16"/>
              </w:rPr>
              <w:t>$72.23</w:t>
            </w:r>
          </w:p>
        </w:tc>
        <w:tc>
          <w:tcPr>
            <w:tcW w:w="1170" w:type="dxa"/>
            <w:tcBorders>
              <w:top w:val="nil"/>
              <w:left w:val="nil"/>
              <w:bottom w:val="single" w:color="auto" w:sz="4" w:space="0"/>
              <w:right w:val="single" w:color="000000" w:sz="8" w:space="0"/>
            </w:tcBorders>
            <w:shd w:val="clear" w:color="auto" w:fill="auto"/>
            <w:vAlign w:val="center"/>
            <w:hideMark/>
          </w:tcPr>
          <w:p w:rsidRPr="00624B4F" w:rsidR="00013AB1" w:rsidP="00536419" w:rsidRDefault="004E48F8" w14:paraId="5B782B45" w14:textId="3747D45A">
            <w:pPr>
              <w:jc w:val="center"/>
              <w:rPr>
                <w:rFonts w:ascii="Arial" w:hAnsi="Arial" w:eastAsia="Times New Roman" w:cs="Arial"/>
                <w:sz w:val="16"/>
                <w:szCs w:val="16"/>
              </w:rPr>
            </w:pPr>
            <w:r>
              <w:rPr>
                <w:rFonts w:ascii="Arial" w:hAnsi="Arial" w:eastAsia="Times New Roman" w:cs="Arial"/>
                <w:sz w:val="16"/>
                <w:szCs w:val="16"/>
              </w:rPr>
              <w:t>$</w:t>
            </w:r>
            <w:r w:rsidRPr="00624B4F" w:rsidR="00013AB1">
              <w:rPr>
                <w:rFonts w:ascii="Arial" w:hAnsi="Arial" w:eastAsia="Times New Roman" w:cs="Arial"/>
                <w:sz w:val="16"/>
                <w:szCs w:val="16"/>
              </w:rPr>
              <w:t>7,512</w:t>
            </w:r>
          </w:p>
        </w:tc>
        <w:tc>
          <w:tcPr>
            <w:tcW w:w="1170" w:type="dxa"/>
            <w:tcBorders>
              <w:top w:val="nil"/>
              <w:left w:val="nil"/>
              <w:bottom w:val="single" w:color="auto" w:sz="4" w:space="0"/>
              <w:right w:val="single" w:color="000000" w:sz="8" w:space="0"/>
            </w:tcBorders>
            <w:shd w:val="clear" w:color="auto" w:fill="auto"/>
            <w:vAlign w:val="center"/>
            <w:hideMark/>
          </w:tcPr>
          <w:p w:rsidRPr="00624B4F" w:rsidR="00013AB1" w:rsidP="00080649" w:rsidRDefault="00013AB1" w14:paraId="2C20EDF4" w14:textId="69832492">
            <w:pPr>
              <w:jc w:val="center"/>
              <w:rPr>
                <w:rFonts w:ascii="Arial" w:hAnsi="Arial" w:eastAsia="Times New Roman" w:cs="Arial"/>
                <w:sz w:val="16"/>
                <w:szCs w:val="16"/>
              </w:rPr>
            </w:pPr>
            <w:r w:rsidRPr="00624B4F">
              <w:rPr>
                <w:rFonts w:ascii="Arial" w:hAnsi="Arial" w:eastAsia="Times New Roman" w:cs="Arial"/>
                <w:sz w:val="16"/>
                <w:szCs w:val="16"/>
              </w:rPr>
              <w:t>90,064</w:t>
            </w:r>
          </w:p>
        </w:tc>
        <w:tc>
          <w:tcPr>
            <w:tcW w:w="990" w:type="dxa"/>
            <w:tcBorders>
              <w:top w:val="nil"/>
              <w:left w:val="nil"/>
              <w:bottom w:val="single" w:color="auto" w:sz="4" w:space="0"/>
              <w:right w:val="single" w:color="000000" w:sz="8" w:space="0"/>
            </w:tcBorders>
            <w:shd w:val="clear" w:color="auto" w:fill="auto"/>
            <w:vAlign w:val="center"/>
            <w:hideMark/>
          </w:tcPr>
          <w:p w:rsidRPr="00624B4F" w:rsidR="00013AB1" w:rsidP="00080649" w:rsidRDefault="00013AB1" w14:paraId="06557519" w14:textId="27155B54">
            <w:pPr>
              <w:jc w:val="center"/>
              <w:rPr>
                <w:rFonts w:ascii="Arial" w:hAnsi="Arial" w:eastAsia="Times New Roman" w:cs="Arial"/>
                <w:sz w:val="16"/>
                <w:szCs w:val="16"/>
              </w:rPr>
            </w:pPr>
            <w:r w:rsidRPr="00624B4F">
              <w:rPr>
                <w:rFonts w:ascii="Arial" w:hAnsi="Arial" w:eastAsia="Times New Roman" w:cs="Arial"/>
                <w:sz w:val="16"/>
                <w:szCs w:val="16"/>
              </w:rPr>
              <w:t>180,128</w:t>
            </w:r>
          </w:p>
        </w:tc>
        <w:tc>
          <w:tcPr>
            <w:tcW w:w="1152" w:type="dxa"/>
            <w:tcBorders>
              <w:top w:val="nil"/>
              <w:left w:val="nil"/>
              <w:bottom w:val="single" w:color="auto" w:sz="4" w:space="0"/>
              <w:right w:val="single" w:color="000000" w:sz="8" w:space="0"/>
            </w:tcBorders>
            <w:shd w:val="clear" w:color="auto" w:fill="auto"/>
            <w:vAlign w:val="center"/>
            <w:hideMark/>
          </w:tcPr>
          <w:p w:rsidRPr="00624B4F" w:rsidR="00013AB1" w:rsidP="00080649" w:rsidRDefault="00013AB1" w14:paraId="1779F030" w14:textId="13057692">
            <w:pPr>
              <w:jc w:val="center"/>
              <w:rPr>
                <w:rFonts w:ascii="Arial" w:hAnsi="Arial" w:eastAsia="Times New Roman" w:cs="Arial"/>
                <w:sz w:val="16"/>
                <w:szCs w:val="16"/>
              </w:rPr>
            </w:pPr>
            <w:r>
              <w:rPr>
                <w:rFonts w:ascii="Arial" w:hAnsi="Arial" w:eastAsia="Times New Roman" w:cs="Arial"/>
                <w:sz w:val="16"/>
                <w:szCs w:val="16"/>
              </w:rPr>
              <w:t>$</w:t>
            </w:r>
            <w:r w:rsidRPr="00624B4F">
              <w:rPr>
                <w:rFonts w:ascii="Arial" w:hAnsi="Arial" w:eastAsia="Times New Roman" w:cs="Arial"/>
                <w:sz w:val="16"/>
                <w:szCs w:val="16"/>
              </w:rPr>
              <w:t>13,010,645</w:t>
            </w:r>
          </w:p>
        </w:tc>
      </w:tr>
      <w:tr w:rsidRPr="00624B4F" w:rsidR="00CB1CDA" w:rsidTr="00D77266" w14:paraId="52F148D9" w14:textId="77777777">
        <w:trPr>
          <w:trHeight w:val="300"/>
        </w:trPr>
        <w:tc>
          <w:tcPr>
            <w:tcW w:w="918" w:type="dxa"/>
            <w:tcBorders>
              <w:top w:val="single" w:color="auto" w:sz="4" w:space="0"/>
              <w:left w:val="single" w:color="000000" w:sz="8" w:space="0"/>
              <w:bottom w:val="single" w:color="auto" w:sz="4" w:space="0"/>
              <w:right w:val="single" w:color="000000" w:sz="8" w:space="0"/>
            </w:tcBorders>
            <w:shd w:val="clear" w:color="auto" w:fill="auto"/>
            <w:vAlign w:val="center"/>
          </w:tcPr>
          <w:p w:rsidRPr="00D77266" w:rsidR="00013AB1" w:rsidP="00624B4F" w:rsidRDefault="00013AB1" w14:paraId="6A091C00" w14:textId="78569223">
            <w:pPr>
              <w:jc w:val="center"/>
              <w:rPr>
                <w:rFonts w:ascii="Arial" w:hAnsi="Arial" w:eastAsia="Times New Roman" w:cs="Arial"/>
                <w:b/>
                <w:sz w:val="16"/>
                <w:szCs w:val="16"/>
              </w:rPr>
            </w:pPr>
            <w:r w:rsidRPr="00D77266">
              <w:rPr>
                <w:rFonts w:ascii="Arial" w:hAnsi="Arial" w:eastAsia="Times New Roman" w:cs="Arial"/>
                <w:b/>
                <w:sz w:val="16"/>
                <w:szCs w:val="16"/>
              </w:rPr>
              <w:t>Totals</w:t>
            </w:r>
          </w:p>
        </w:tc>
        <w:tc>
          <w:tcPr>
            <w:tcW w:w="1350" w:type="dxa"/>
            <w:tcBorders>
              <w:top w:val="single" w:color="auto" w:sz="4" w:space="0"/>
              <w:left w:val="nil"/>
              <w:bottom w:val="single" w:color="auto" w:sz="4" w:space="0"/>
              <w:right w:val="single" w:color="000000" w:sz="8" w:space="0"/>
            </w:tcBorders>
            <w:shd w:val="clear" w:color="auto" w:fill="auto"/>
            <w:vAlign w:val="center"/>
          </w:tcPr>
          <w:p w:rsidRPr="00624B4F" w:rsidR="00013AB1" w:rsidP="00870D2C" w:rsidRDefault="00013AB1" w14:paraId="7A842CE0" w14:textId="1DF13EB2">
            <w:pPr>
              <w:rPr>
                <w:rFonts w:ascii="Arial" w:hAnsi="Arial" w:eastAsia="Times New Roman" w:cs="Arial"/>
                <w:sz w:val="16"/>
                <w:szCs w:val="16"/>
              </w:rPr>
            </w:pPr>
          </w:p>
        </w:tc>
        <w:tc>
          <w:tcPr>
            <w:tcW w:w="1170" w:type="dxa"/>
            <w:tcBorders>
              <w:top w:val="single" w:color="auto" w:sz="4" w:space="0"/>
              <w:left w:val="nil"/>
              <w:bottom w:val="single" w:color="auto" w:sz="4" w:space="0"/>
              <w:right w:val="single" w:color="000000" w:sz="8" w:space="0"/>
            </w:tcBorders>
            <w:shd w:val="clear" w:color="auto" w:fill="auto"/>
            <w:vAlign w:val="center"/>
          </w:tcPr>
          <w:p w:rsidRPr="00624B4F" w:rsidR="00013AB1" w:rsidP="00870D2C" w:rsidRDefault="00013AB1" w14:paraId="3BBA7766" w14:textId="5F8531B0">
            <w:pPr>
              <w:jc w:val="center"/>
              <w:rPr>
                <w:rFonts w:ascii="Arial" w:hAnsi="Arial" w:eastAsia="Times New Roman" w:cs="Arial"/>
                <w:sz w:val="16"/>
                <w:szCs w:val="16"/>
              </w:rPr>
            </w:pPr>
            <w:r>
              <w:rPr>
                <w:rFonts w:ascii="Arial" w:hAnsi="Arial" w:eastAsia="Times New Roman" w:cs="Arial"/>
                <w:sz w:val="16"/>
                <w:szCs w:val="16"/>
              </w:rPr>
              <w:t>122,570</w:t>
            </w:r>
          </w:p>
        </w:tc>
        <w:tc>
          <w:tcPr>
            <w:tcW w:w="1170" w:type="dxa"/>
            <w:tcBorders>
              <w:top w:val="single" w:color="auto" w:sz="4" w:space="0"/>
              <w:left w:val="nil"/>
              <w:bottom w:val="single" w:color="auto" w:sz="4" w:space="0"/>
              <w:right w:val="single" w:color="000000" w:sz="8" w:space="0"/>
            </w:tcBorders>
            <w:shd w:val="clear" w:color="auto" w:fill="auto"/>
            <w:vAlign w:val="center"/>
          </w:tcPr>
          <w:p w:rsidR="00013AB1" w:rsidP="00A40B87" w:rsidRDefault="00013AB1" w14:paraId="7B835ECA" w14:textId="77777777">
            <w:pPr>
              <w:jc w:val="center"/>
              <w:rPr>
                <w:rFonts w:ascii="Arial" w:hAnsi="Arial" w:eastAsia="Times New Roman" w:cs="Arial"/>
                <w:sz w:val="16"/>
                <w:szCs w:val="16"/>
              </w:rPr>
            </w:pPr>
          </w:p>
        </w:tc>
        <w:tc>
          <w:tcPr>
            <w:tcW w:w="1332" w:type="dxa"/>
            <w:tcBorders>
              <w:top w:val="single" w:color="auto" w:sz="4" w:space="0"/>
              <w:left w:val="nil"/>
              <w:bottom w:val="single" w:color="auto" w:sz="4" w:space="0"/>
              <w:right w:val="single" w:color="000000" w:sz="8" w:space="0"/>
            </w:tcBorders>
            <w:shd w:val="clear" w:color="auto" w:fill="auto"/>
            <w:vAlign w:val="center"/>
          </w:tcPr>
          <w:p w:rsidRPr="00624B4F" w:rsidR="00013AB1" w:rsidP="008B2439" w:rsidRDefault="00013AB1" w14:paraId="79D86A4F" w14:textId="369BDDD4">
            <w:pPr>
              <w:jc w:val="center"/>
              <w:rPr>
                <w:rFonts w:ascii="Arial" w:hAnsi="Arial" w:eastAsia="Times New Roman" w:cs="Arial"/>
                <w:sz w:val="16"/>
                <w:szCs w:val="16"/>
              </w:rPr>
            </w:pPr>
            <w:r>
              <w:rPr>
                <w:rFonts w:ascii="Arial" w:hAnsi="Arial" w:eastAsia="Times New Roman" w:cs="Arial"/>
                <w:sz w:val="16"/>
                <w:szCs w:val="16"/>
              </w:rPr>
              <w:t>745</w:t>
            </w:r>
          </w:p>
        </w:tc>
        <w:tc>
          <w:tcPr>
            <w:tcW w:w="1008" w:type="dxa"/>
            <w:tcBorders>
              <w:top w:val="single" w:color="auto" w:sz="4" w:space="0"/>
              <w:left w:val="nil"/>
              <w:bottom w:val="single" w:color="auto" w:sz="4" w:space="0"/>
              <w:right w:val="single" w:color="000000" w:sz="8" w:space="0"/>
            </w:tcBorders>
            <w:shd w:val="clear" w:color="auto" w:fill="auto"/>
            <w:vAlign w:val="center"/>
          </w:tcPr>
          <w:p w:rsidRPr="00624B4F" w:rsidR="00013AB1" w:rsidP="0036025F" w:rsidRDefault="00013AB1" w14:paraId="7E734D5C" w14:textId="77777777">
            <w:pPr>
              <w:jc w:val="center"/>
              <w:rPr>
                <w:rFonts w:ascii="Arial" w:hAnsi="Arial" w:eastAsia="Times New Roman" w:cs="Arial"/>
                <w:sz w:val="16"/>
                <w:szCs w:val="16"/>
              </w:rPr>
            </w:pPr>
          </w:p>
        </w:tc>
        <w:tc>
          <w:tcPr>
            <w:tcW w:w="1170" w:type="dxa"/>
            <w:tcBorders>
              <w:top w:val="single" w:color="auto" w:sz="4" w:space="0"/>
              <w:left w:val="nil"/>
              <w:bottom w:val="single" w:color="auto" w:sz="4" w:space="0"/>
              <w:right w:val="single" w:color="000000" w:sz="8" w:space="0"/>
            </w:tcBorders>
            <w:shd w:val="clear" w:color="auto" w:fill="auto"/>
            <w:vAlign w:val="center"/>
          </w:tcPr>
          <w:p w:rsidRPr="00624B4F" w:rsidR="00013AB1" w:rsidP="004F4090" w:rsidRDefault="00013AB1" w14:paraId="286BBB95" w14:textId="1F8E875D">
            <w:pPr>
              <w:jc w:val="center"/>
              <w:rPr>
                <w:rFonts w:ascii="Arial" w:hAnsi="Arial" w:eastAsia="Times New Roman" w:cs="Arial"/>
                <w:sz w:val="16"/>
                <w:szCs w:val="16"/>
              </w:rPr>
            </w:pPr>
          </w:p>
        </w:tc>
        <w:tc>
          <w:tcPr>
            <w:tcW w:w="1170" w:type="dxa"/>
            <w:tcBorders>
              <w:top w:val="single" w:color="auto" w:sz="4" w:space="0"/>
              <w:left w:val="nil"/>
              <w:bottom w:val="single" w:color="auto" w:sz="4" w:space="0"/>
              <w:right w:val="single" w:color="000000" w:sz="8" w:space="0"/>
            </w:tcBorders>
            <w:shd w:val="clear" w:color="auto" w:fill="auto"/>
            <w:vAlign w:val="center"/>
          </w:tcPr>
          <w:p w:rsidRPr="00624B4F" w:rsidR="00013AB1" w:rsidP="0067629B" w:rsidRDefault="00013AB1" w14:paraId="48081207" w14:textId="781323AC">
            <w:pPr>
              <w:jc w:val="center"/>
              <w:rPr>
                <w:rFonts w:ascii="Arial" w:hAnsi="Arial" w:eastAsia="Times New Roman" w:cs="Arial"/>
                <w:sz w:val="16"/>
                <w:szCs w:val="16"/>
              </w:rPr>
            </w:pPr>
            <w:r>
              <w:rPr>
                <w:rFonts w:ascii="Arial" w:hAnsi="Arial" w:eastAsia="Times New Roman" w:cs="Arial"/>
                <w:sz w:val="16"/>
                <w:szCs w:val="16"/>
              </w:rPr>
              <w:t>195,335,566</w:t>
            </w:r>
          </w:p>
        </w:tc>
        <w:tc>
          <w:tcPr>
            <w:tcW w:w="990" w:type="dxa"/>
            <w:tcBorders>
              <w:top w:val="single" w:color="auto" w:sz="4" w:space="0"/>
              <w:left w:val="nil"/>
              <w:bottom w:val="single" w:color="auto" w:sz="4" w:space="0"/>
              <w:right w:val="single" w:color="000000" w:sz="8" w:space="0"/>
            </w:tcBorders>
            <w:shd w:val="clear" w:color="auto" w:fill="auto"/>
            <w:vAlign w:val="center"/>
          </w:tcPr>
          <w:p w:rsidRPr="00624B4F" w:rsidR="00013AB1" w:rsidP="00080649" w:rsidRDefault="00013AB1" w14:paraId="78A87AA5" w14:textId="114C6B68">
            <w:pPr>
              <w:jc w:val="center"/>
              <w:rPr>
                <w:rFonts w:ascii="Arial" w:hAnsi="Arial" w:eastAsia="Times New Roman" w:cs="Arial"/>
                <w:sz w:val="16"/>
                <w:szCs w:val="16"/>
              </w:rPr>
            </w:pPr>
            <w:r>
              <w:rPr>
                <w:rFonts w:ascii="Arial" w:hAnsi="Arial" w:eastAsia="Times New Roman" w:cs="Arial"/>
                <w:sz w:val="16"/>
                <w:szCs w:val="16"/>
              </w:rPr>
              <w:t>1,135,881</w:t>
            </w:r>
          </w:p>
        </w:tc>
        <w:tc>
          <w:tcPr>
            <w:tcW w:w="1152" w:type="dxa"/>
            <w:tcBorders>
              <w:top w:val="single" w:color="auto" w:sz="4" w:space="0"/>
              <w:left w:val="nil"/>
              <w:bottom w:val="single" w:color="auto" w:sz="4" w:space="0"/>
              <w:right w:val="single" w:color="000000" w:sz="8" w:space="0"/>
            </w:tcBorders>
            <w:shd w:val="clear" w:color="auto" w:fill="auto"/>
            <w:vAlign w:val="center"/>
          </w:tcPr>
          <w:p w:rsidRPr="00624B4F" w:rsidR="00013AB1" w:rsidP="00261D8B" w:rsidRDefault="00013AB1" w14:paraId="7275FF8E" w14:textId="5AFD5A74">
            <w:pPr>
              <w:jc w:val="center"/>
              <w:rPr>
                <w:rFonts w:ascii="Arial" w:hAnsi="Arial" w:eastAsia="Times New Roman" w:cs="Arial"/>
                <w:sz w:val="16"/>
                <w:szCs w:val="16"/>
              </w:rPr>
            </w:pPr>
            <w:r>
              <w:rPr>
                <w:rFonts w:ascii="Arial" w:hAnsi="Arial" w:eastAsia="Times New Roman" w:cs="Arial"/>
                <w:sz w:val="16"/>
                <w:szCs w:val="16"/>
              </w:rPr>
              <w:t>$</w:t>
            </w:r>
            <w:r w:rsidR="00261D8B">
              <w:rPr>
                <w:rFonts w:ascii="Arial" w:hAnsi="Arial" w:eastAsia="Times New Roman" w:cs="Arial"/>
                <w:sz w:val="16"/>
                <w:szCs w:val="16"/>
              </w:rPr>
              <w:t>82,044,700</w:t>
            </w:r>
          </w:p>
        </w:tc>
      </w:tr>
    </w:tbl>
    <w:p w:rsidR="00013AB1" w:rsidP="002B11FD" w:rsidRDefault="00013AB1" w14:paraId="65F7FC69" w14:textId="5FBA0031">
      <w:pPr>
        <w:tabs>
          <w:tab w:val="left" w:pos="-720"/>
          <w:tab w:val="left" w:pos="0"/>
        </w:tabs>
        <w:suppressAutoHyphens/>
        <w:rPr>
          <w:rFonts w:cs="Times New Roman"/>
          <w:sz w:val="18"/>
          <w:szCs w:val="18"/>
        </w:rPr>
      </w:pPr>
    </w:p>
    <w:p w:rsidRPr="008F6D4A" w:rsidR="00013AB1" w:rsidP="002B11FD" w:rsidRDefault="00013AB1" w14:paraId="7F5D7D8C" w14:textId="381D64EC">
      <w:pPr>
        <w:jc w:val="center"/>
        <w:rPr>
          <w:rFonts w:eastAsia="Times New Roman" w:cs="Times New Roman"/>
          <w:szCs w:val="24"/>
        </w:rPr>
      </w:pPr>
      <w:r>
        <w:rPr>
          <w:rFonts w:eastAsia="Times New Roman" w:cs="Times New Roman"/>
          <w:szCs w:val="24"/>
        </w:rPr>
        <w:t>Recordkeeping</w:t>
      </w:r>
      <w:r w:rsidRPr="008F6D4A">
        <w:rPr>
          <w:rFonts w:eastAsia="Times New Roman" w:cs="Times New Roman"/>
          <w:szCs w:val="24"/>
        </w:rPr>
        <w:t xml:space="preserve"> Burden</w:t>
      </w:r>
    </w:p>
    <w:p w:rsidRPr="008F6D4A" w:rsidR="00013AB1" w:rsidP="002B11FD" w:rsidRDefault="00013AB1" w14:paraId="40A66B8E" w14:textId="77777777">
      <w:pPr>
        <w:jc w:val="center"/>
        <w:rPr>
          <w:rFonts w:eastAsia="Times New Roman" w:cs="Times New Roman"/>
          <w:szCs w:val="24"/>
        </w:rPr>
      </w:pPr>
    </w:p>
    <w:tbl>
      <w:tblPr>
        <w:tblW w:w="6015" w:type="pct"/>
        <w:tblInd w:w="-9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94"/>
        <w:gridCol w:w="1350"/>
        <w:gridCol w:w="1168"/>
        <w:gridCol w:w="1170"/>
        <w:gridCol w:w="1350"/>
        <w:gridCol w:w="991"/>
        <w:gridCol w:w="1175"/>
        <w:gridCol w:w="1170"/>
        <w:gridCol w:w="986"/>
        <w:gridCol w:w="1166"/>
      </w:tblGrid>
      <w:tr w:rsidRPr="008F6D4A" w:rsidR="005E085C" w:rsidDel="009C6DB4" w:rsidTr="00D77266" w14:paraId="3813F48F" w14:textId="77777777">
        <w:trPr>
          <w:trHeight w:val="1520"/>
        </w:trPr>
        <w:tc>
          <w:tcPr>
            <w:tcW w:w="431" w:type="pct"/>
          </w:tcPr>
          <w:p w:rsidR="00013AB1" w:rsidP="00933C63" w:rsidRDefault="00013AB1" w14:paraId="4B78FEA0"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1.</w:t>
            </w:r>
          </w:p>
          <w:p w:rsidR="005E085C" w:rsidP="00933C63" w:rsidRDefault="00013AB1" w14:paraId="32EC43B9"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Regula</w:t>
            </w:r>
            <w:r w:rsidR="005E085C">
              <w:rPr>
                <w:rFonts w:ascii="Arial" w:hAnsi="Arial" w:eastAsia="Times New Roman" w:cs="Times New Roman"/>
                <w:b/>
                <w:sz w:val="16"/>
                <w:szCs w:val="16"/>
              </w:rPr>
              <w:t>-</w:t>
            </w:r>
          </w:p>
          <w:p w:rsidRPr="005E41B2" w:rsidR="00013AB1" w:rsidP="00933C63" w:rsidRDefault="00013AB1" w14:paraId="7BCD2A5F" w14:textId="2CEEDD03">
            <w:pPr>
              <w:tabs>
                <w:tab w:val="left" w:pos="-720"/>
                <w:tab w:val="left" w:pos="0"/>
              </w:tabs>
              <w:suppressAutoHyphens/>
              <w:jc w:val="center"/>
              <w:rPr>
                <w:rFonts w:ascii="Arial" w:hAnsi="Arial" w:eastAsia="Times New Roman" w:cs="Times New Roman"/>
                <w:b/>
                <w:sz w:val="16"/>
                <w:szCs w:val="16"/>
              </w:rPr>
            </w:pPr>
            <w:proofErr w:type="spellStart"/>
            <w:r>
              <w:rPr>
                <w:rFonts w:ascii="Arial" w:hAnsi="Arial" w:eastAsia="Times New Roman" w:cs="Times New Roman"/>
                <w:b/>
                <w:sz w:val="16"/>
                <w:szCs w:val="16"/>
              </w:rPr>
              <w:t>tion</w:t>
            </w:r>
            <w:proofErr w:type="spellEnd"/>
          </w:p>
        </w:tc>
        <w:tc>
          <w:tcPr>
            <w:tcW w:w="586" w:type="pct"/>
          </w:tcPr>
          <w:p w:rsidR="00013AB1" w:rsidP="00933C63" w:rsidRDefault="00013AB1" w14:paraId="08DF6E15"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2.</w:t>
            </w:r>
          </w:p>
          <w:p w:rsidR="00013AB1" w:rsidP="00933C63" w:rsidRDefault="00013AB1" w14:paraId="7E8EE0EF" w14:textId="77777777">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 xml:space="preserve">Estimated Number of Respondents </w:t>
            </w:r>
          </w:p>
          <w:p w:rsidRPr="005E41B2" w:rsidR="00013AB1" w:rsidP="00933C63" w:rsidRDefault="00013AB1" w14:paraId="4A5831B3" w14:textId="77777777">
            <w:pPr>
              <w:tabs>
                <w:tab w:val="left" w:pos="-720"/>
                <w:tab w:val="left" w:pos="0"/>
              </w:tabs>
              <w:suppressAutoHyphens/>
              <w:jc w:val="center"/>
              <w:rPr>
                <w:rFonts w:ascii="Arial" w:hAnsi="Arial" w:eastAsia="Times New Roman" w:cs="Times New Roman"/>
                <w:b/>
                <w:sz w:val="16"/>
                <w:szCs w:val="16"/>
              </w:rPr>
            </w:pPr>
          </w:p>
        </w:tc>
        <w:tc>
          <w:tcPr>
            <w:tcW w:w="507" w:type="pct"/>
          </w:tcPr>
          <w:p w:rsidR="00013AB1" w:rsidP="00933C63" w:rsidRDefault="00013AB1" w14:paraId="34778A0D"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3.</w:t>
            </w:r>
          </w:p>
          <w:p w:rsidRPr="005E41B2" w:rsidR="00013AB1" w:rsidP="00933C63" w:rsidRDefault="00013AB1" w14:paraId="68F7EF62"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 xml:space="preserve">Estimated </w:t>
            </w:r>
            <w:r w:rsidRPr="005E41B2">
              <w:rPr>
                <w:rFonts w:ascii="Arial" w:hAnsi="Arial" w:eastAsia="Times New Roman" w:cs="Times New Roman"/>
                <w:b/>
                <w:sz w:val="16"/>
                <w:szCs w:val="16"/>
              </w:rPr>
              <w:t>Number of Reports</w:t>
            </w:r>
          </w:p>
          <w:p w:rsidRPr="005E41B2" w:rsidR="00013AB1" w:rsidP="00933C63" w:rsidRDefault="00013AB1" w14:paraId="0AA77A91" w14:textId="77777777">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by Each Respondent</w:t>
            </w:r>
          </w:p>
        </w:tc>
        <w:tc>
          <w:tcPr>
            <w:tcW w:w="508" w:type="pct"/>
          </w:tcPr>
          <w:p w:rsidR="00013AB1" w:rsidP="00933C63" w:rsidRDefault="00013AB1" w14:paraId="5615B8BC"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4.</w:t>
            </w:r>
          </w:p>
          <w:p w:rsidRPr="005E41B2" w:rsidR="00013AB1" w:rsidP="00933C63" w:rsidRDefault="00013AB1" w14:paraId="1A5CD6A5" w14:textId="77777777">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Estimated Average Number of Burden Hours per Response</w:t>
            </w:r>
          </w:p>
        </w:tc>
        <w:tc>
          <w:tcPr>
            <w:tcW w:w="586" w:type="pct"/>
          </w:tcPr>
          <w:p w:rsidR="00013AB1" w:rsidP="00933C63" w:rsidRDefault="00013AB1" w14:paraId="76A34351"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5.</w:t>
            </w:r>
          </w:p>
          <w:p w:rsidR="00013AB1" w:rsidP="00933C63" w:rsidRDefault="00013AB1" w14:paraId="705A7049"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 xml:space="preserve">Annual </w:t>
            </w:r>
            <w:r w:rsidRPr="005E41B2">
              <w:rPr>
                <w:rFonts w:ascii="Arial" w:hAnsi="Arial" w:eastAsia="Times New Roman" w:cs="Times New Roman"/>
                <w:b/>
                <w:sz w:val="16"/>
                <w:szCs w:val="16"/>
              </w:rPr>
              <w:t>Number of Burden Hours per Respondent</w:t>
            </w:r>
          </w:p>
          <w:p w:rsidRPr="005E41B2" w:rsidR="00013AB1" w:rsidP="00933C63" w:rsidRDefault="00013AB1" w14:paraId="58929615"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(3 x 4)</w:t>
            </w:r>
          </w:p>
        </w:tc>
        <w:tc>
          <w:tcPr>
            <w:tcW w:w="430" w:type="pct"/>
          </w:tcPr>
          <w:p w:rsidR="00013AB1" w:rsidP="00933C63" w:rsidRDefault="00013AB1" w14:paraId="0A947D52"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6.</w:t>
            </w:r>
            <w:r w:rsidRPr="005E41B2">
              <w:rPr>
                <w:rFonts w:ascii="Arial" w:hAnsi="Arial" w:eastAsia="Times New Roman" w:cs="Times New Roman"/>
                <w:b/>
                <w:sz w:val="16"/>
                <w:szCs w:val="16"/>
              </w:rPr>
              <w:t xml:space="preserve"> </w:t>
            </w:r>
          </w:p>
          <w:p w:rsidR="00013AB1" w:rsidP="00933C63" w:rsidRDefault="00013AB1" w14:paraId="7D987685"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 xml:space="preserve">Estimated </w:t>
            </w:r>
            <w:r w:rsidRPr="005E41B2">
              <w:rPr>
                <w:rFonts w:ascii="Arial" w:hAnsi="Arial" w:eastAsia="Times New Roman" w:cs="Times New Roman"/>
                <w:b/>
                <w:sz w:val="16"/>
                <w:szCs w:val="16"/>
              </w:rPr>
              <w:t>Average Burden Hour Cost</w:t>
            </w:r>
            <w:r w:rsidRPr="005E41B2">
              <w:rPr>
                <w:rFonts w:ascii="Arial" w:hAnsi="Arial" w:eastAsia="Times New Roman" w:cs="Times New Roman"/>
                <w:b/>
                <w:sz w:val="16"/>
                <w:szCs w:val="16"/>
                <w:vertAlign w:val="superscript"/>
              </w:rPr>
              <w:endnoteReference w:id="13"/>
            </w:r>
          </w:p>
          <w:p w:rsidRPr="005E41B2" w:rsidR="00013AB1" w:rsidP="00933C63" w:rsidRDefault="00013AB1" w14:paraId="5D07D44F" w14:textId="77777777">
            <w:pPr>
              <w:tabs>
                <w:tab w:val="left" w:pos="-720"/>
                <w:tab w:val="left" w:pos="0"/>
              </w:tabs>
              <w:suppressAutoHyphens/>
              <w:jc w:val="center"/>
              <w:rPr>
                <w:rFonts w:ascii="Arial" w:hAnsi="Arial" w:eastAsia="Times New Roman" w:cs="Times New Roman"/>
                <w:b/>
                <w:sz w:val="16"/>
                <w:szCs w:val="16"/>
              </w:rPr>
            </w:pPr>
          </w:p>
        </w:tc>
        <w:tc>
          <w:tcPr>
            <w:tcW w:w="510" w:type="pct"/>
          </w:tcPr>
          <w:p w:rsidR="00013AB1" w:rsidP="00933C63" w:rsidRDefault="00013AB1" w14:paraId="1068CE9E" w14:textId="77777777">
            <w:pPr>
              <w:jc w:val="center"/>
              <w:rPr>
                <w:rFonts w:ascii="Arial" w:hAnsi="Arial" w:cs="Arial"/>
                <w:b/>
                <w:sz w:val="16"/>
                <w:szCs w:val="16"/>
              </w:rPr>
            </w:pPr>
            <w:r>
              <w:rPr>
                <w:rFonts w:ascii="Arial" w:hAnsi="Arial" w:cs="Arial"/>
                <w:b/>
                <w:sz w:val="16"/>
                <w:szCs w:val="16"/>
              </w:rPr>
              <w:t>7.</w:t>
            </w:r>
          </w:p>
          <w:p w:rsidR="00013AB1" w:rsidP="00933C63" w:rsidRDefault="00013AB1" w14:paraId="1FCB36CD" w14:textId="77777777">
            <w:pPr>
              <w:jc w:val="center"/>
              <w:rPr>
                <w:rFonts w:ascii="Arial" w:hAnsi="Arial" w:cs="Arial"/>
                <w:b/>
                <w:sz w:val="16"/>
                <w:szCs w:val="16"/>
              </w:rPr>
            </w:pPr>
            <w:r w:rsidRPr="005E41B2">
              <w:rPr>
                <w:rFonts w:ascii="Arial" w:hAnsi="Arial" w:cs="Arial"/>
                <w:b/>
                <w:sz w:val="16"/>
                <w:szCs w:val="16"/>
              </w:rPr>
              <w:t xml:space="preserve">Total Average Hour Burden Cost Per </w:t>
            </w:r>
            <w:r>
              <w:rPr>
                <w:rFonts w:ascii="Arial" w:hAnsi="Arial" w:cs="Arial"/>
                <w:b/>
                <w:sz w:val="16"/>
                <w:szCs w:val="16"/>
              </w:rPr>
              <w:t>Respondent</w:t>
            </w:r>
          </w:p>
          <w:p w:rsidRPr="005E41B2" w:rsidR="00013AB1" w:rsidP="00933C63" w:rsidRDefault="00013AB1" w14:paraId="5202212D" w14:textId="77777777">
            <w:pPr>
              <w:jc w:val="center"/>
              <w:rPr>
                <w:rFonts w:ascii="Arial" w:hAnsi="Arial" w:cs="Arial"/>
                <w:b/>
                <w:sz w:val="16"/>
                <w:szCs w:val="16"/>
              </w:rPr>
            </w:pPr>
            <w:r>
              <w:rPr>
                <w:rFonts w:ascii="Arial" w:hAnsi="Arial" w:cs="Arial"/>
                <w:b/>
                <w:sz w:val="16"/>
                <w:szCs w:val="16"/>
              </w:rPr>
              <w:t>(5 x 6)</w:t>
            </w:r>
          </w:p>
        </w:tc>
        <w:tc>
          <w:tcPr>
            <w:tcW w:w="508" w:type="pct"/>
          </w:tcPr>
          <w:p w:rsidR="00013AB1" w:rsidP="00933C63" w:rsidRDefault="00013AB1" w14:paraId="36BF98DC"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8.</w:t>
            </w:r>
          </w:p>
          <w:p w:rsidRPr="005E41B2" w:rsidR="00013AB1" w:rsidP="00933C63" w:rsidRDefault="00013AB1" w14:paraId="6F57FDC5" w14:textId="77777777">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Total Annual</w:t>
            </w:r>
          </w:p>
          <w:p w:rsidRPr="005E41B2" w:rsidR="00013AB1" w:rsidP="00933C63" w:rsidRDefault="00013AB1" w14:paraId="1DAF6435" w14:textId="77777777">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Responses</w:t>
            </w:r>
          </w:p>
          <w:p w:rsidRPr="005E41B2" w:rsidR="00013AB1" w:rsidP="00933C63" w:rsidRDefault="00013AB1" w14:paraId="6CA3FF9F" w14:textId="77777777">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(2 x 3)</w:t>
            </w:r>
          </w:p>
        </w:tc>
        <w:tc>
          <w:tcPr>
            <w:tcW w:w="428" w:type="pct"/>
          </w:tcPr>
          <w:p w:rsidRPr="00C91CB5" w:rsidR="00013AB1" w:rsidP="00933C63" w:rsidRDefault="00013AB1" w14:paraId="6A9263B5"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9</w:t>
            </w:r>
            <w:r w:rsidRPr="00C91CB5">
              <w:rPr>
                <w:rFonts w:ascii="Arial" w:hAnsi="Arial" w:eastAsia="Times New Roman" w:cs="Times New Roman"/>
                <w:b/>
                <w:sz w:val="16"/>
                <w:szCs w:val="16"/>
              </w:rPr>
              <w:t>.</w:t>
            </w:r>
          </w:p>
          <w:p w:rsidR="00013AB1" w:rsidP="00933C63" w:rsidRDefault="00013AB1" w14:paraId="0D07F4CB" w14:textId="77777777">
            <w:pPr>
              <w:tabs>
                <w:tab w:val="left" w:pos="-720"/>
                <w:tab w:val="left" w:pos="0"/>
              </w:tabs>
              <w:suppressAutoHyphens/>
              <w:jc w:val="center"/>
              <w:rPr>
                <w:rFonts w:ascii="Arial" w:hAnsi="Arial" w:eastAsia="Times New Roman" w:cs="Times New Roman"/>
                <w:b/>
                <w:sz w:val="16"/>
                <w:szCs w:val="16"/>
              </w:rPr>
            </w:pPr>
            <w:r w:rsidRPr="00C91CB5">
              <w:rPr>
                <w:rFonts w:ascii="Arial" w:hAnsi="Arial" w:eastAsia="Times New Roman" w:cs="Times New Roman"/>
                <w:b/>
                <w:sz w:val="16"/>
                <w:szCs w:val="16"/>
              </w:rPr>
              <w:t>Total Annual</w:t>
            </w:r>
            <w:r>
              <w:rPr>
                <w:rFonts w:ascii="Arial" w:hAnsi="Arial" w:eastAsia="Times New Roman" w:cs="Times New Roman"/>
                <w:b/>
                <w:sz w:val="16"/>
                <w:szCs w:val="16"/>
              </w:rPr>
              <w:t xml:space="preserve"> </w:t>
            </w:r>
            <w:r w:rsidRPr="00C91CB5">
              <w:rPr>
                <w:rFonts w:ascii="Arial" w:hAnsi="Arial" w:eastAsia="Times New Roman" w:cs="Times New Roman"/>
                <w:b/>
                <w:sz w:val="16"/>
                <w:szCs w:val="16"/>
              </w:rPr>
              <w:t>Number of Burden Hours</w:t>
            </w:r>
          </w:p>
          <w:p w:rsidR="00013AB1" w:rsidP="00933C63" w:rsidRDefault="00013AB1" w14:paraId="0546C1A7"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(2 x 5)</w:t>
            </w:r>
          </w:p>
        </w:tc>
        <w:tc>
          <w:tcPr>
            <w:tcW w:w="507" w:type="pct"/>
          </w:tcPr>
          <w:p w:rsidR="00013AB1" w:rsidP="00933C63" w:rsidRDefault="00013AB1" w14:paraId="067FD619"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10.</w:t>
            </w:r>
          </w:p>
          <w:p w:rsidR="00013AB1" w:rsidP="00933C63" w:rsidRDefault="00013AB1" w14:paraId="714539EC" w14:textId="77777777">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 xml:space="preserve">Total Annual </w:t>
            </w:r>
            <w:r>
              <w:rPr>
                <w:rFonts w:ascii="Arial" w:hAnsi="Arial" w:eastAsia="Times New Roman" w:cs="Times New Roman"/>
                <w:b/>
                <w:sz w:val="16"/>
                <w:szCs w:val="16"/>
              </w:rPr>
              <w:t>Burden Hour Cost of A</w:t>
            </w:r>
            <w:r w:rsidRPr="005E41B2">
              <w:rPr>
                <w:rFonts w:ascii="Arial" w:hAnsi="Arial" w:eastAsia="Times New Roman" w:cs="Times New Roman"/>
                <w:b/>
                <w:sz w:val="16"/>
                <w:szCs w:val="16"/>
              </w:rPr>
              <w:t xml:space="preserve">ll </w:t>
            </w:r>
            <w:r>
              <w:rPr>
                <w:rFonts w:ascii="Arial" w:hAnsi="Arial" w:eastAsia="Times New Roman" w:cs="Times New Roman"/>
                <w:b/>
                <w:sz w:val="16"/>
                <w:szCs w:val="16"/>
              </w:rPr>
              <w:t>R</w:t>
            </w:r>
            <w:r w:rsidRPr="005E41B2">
              <w:rPr>
                <w:rFonts w:ascii="Arial" w:hAnsi="Arial" w:eastAsia="Times New Roman" w:cs="Times New Roman"/>
                <w:b/>
                <w:sz w:val="16"/>
                <w:szCs w:val="16"/>
              </w:rPr>
              <w:t>esponses</w:t>
            </w:r>
          </w:p>
          <w:p w:rsidRPr="005E41B2" w:rsidR="00013AB1" w:rsidDel="009C6DB4" w:rsidP="00933C63" w:rsidRDefault="00013AB1" w14:paraId="07CBFF76"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(2 x 7)</w:t>
            </w:r>
          </w:p>
        </w:tc>
      </w:tr>
      <w:tr w:rsidRPr="00A261BC" w:rsidR="005E085C" w:rsidTr="00D77266" w14:paraId="741D5FCC" w14:textId="77777777">
        <w:trPr>
          <w:trHeight w:val="404"/>
        </w:trPr>
        <w:tc>
          <w:tcPr>
            <w:tcW w:w="431" w:type="pct"/>
            <w:vAlign w:val="center"/>
          </w:tcPr>
          <w:p w:rsidRPr="00A261BC" w:rsidR="00013AB1" w:rsidP="00933C63" w:rsidRDefault="00013AB1" w14:paraId="7099EF9B" w14:textId="57981685">
            <w:pPr>
              <w:tabs>
                <w:tab w:val="left" w:pos="-720"/>
                <w:tab w:val="left" w:pos="0"/>
              </w:tabs>
              <w:suppressAutoHyphens/>
              <w:jc w:val="center"/>
              <w:rPr>
                <w:rFonts w:eastAsia="Times New Roman" w:cs="Times New Roman"/>
                <w:sz w:val="18"/>
                <w:szCs w:val="18"/>
              </w:rPr>
            </w:pPr>
            <w:r>
              <w:rPr>
                <w:rFonts w:ascii="Arial" w:hAnsi="Arial" w:cs="Arial"/>
                <w:color w:val="000000"/>
                <w:sz w:val="16"/>
                <w:szCs w:val="16"/>
              </w:rPr>
              <w:t>45.2</w:t>
            </w:r>
            <w:r>
              <w:rPr>
                <w:rStyle w:val="EndnoteReference"/>
                <w:rFonts w:ascii="Arial" w:hAnsi="Arial" w:cs="Arial"/>
                <w:color w:val="000000"/>
                <w:sz w:val="16"/>
                <w:szCs w:val="16"/>
              </w:rPr>
              <w:endnoteReference w:id="14"/>
            </w:r>
          </w:p>
        </w:tc>
        <w:tc>
          <w:tcPr>
            <w:tcW w:w="586" w:type="pct"/>
            <w:vAlign w:val="center"/>
          </w:tcPr>
          <w:p w:rsidRPr="00A261BC" w:rsidR="00624B4F" w:rsidP="00AC321B" w:rsidRDefault="00624B4F" w14:paraId="5C8A0F75" w14:textId="224B3B41">
            <w:pPr>
              <w:tabs>
                <w:tab w:val="left" w:pos="-720"/>
                <w:tab w:val="left" w:pos="0"/>
              </w:tabs>
              <w:suppressAutoHyphens/>
              <w:rPr>
                <w:rFonts w:eastAsia="Times New Roman" w:cs="Times New Roman"/>
                <w:sz w:val="18"/>
                <w:szCs w:val="18"/>
              </w:rPr>
            </w:pPr>
            <w:r>
              <w:rPr>
                <w:rFonts w:ascii="Arial" w:hAnsi="Arial" w:cs="Arial"/>
                <w:color w:val="000000"/>
                <w:sz w:val="16"/>
                <w:szCs w:val="16"/>
              </w:rPr>
              <w:t xml:space="preserve">1,732 </w:t>
            </w:r>
            <w:r w:rsidR="00A40B87">
              <w:rPr>
                <w:rFonts w:ascii="Arial" w:hAnsi="Arial" w:eastAsia="Times New Roman" w:cs="Arial"/>
                <w:sz w:val="16"/>
                <w:szCs w:val="16"/>
              </w:rPr>
              <w:t>SDRs, SEFs, DCMs, Reporting Counterparties</w:t>
            </w:r>
          </w:p>
        </w:tc>
        <w:tc>
          <w:tcPr>
            <w:tcW w:w="507" w:type="pct"/>
            <w:vAlign w:val="center"/>
          </w:tcPr>
          <w:p w:rsidRPr="00A261BC" w:rsidR="00624B4F" w:rsidP="00933C63" w:rsidRDefault="00624B4F" w14:paraId="377FE8FA" w14:textId="4D4D7AD4">
            <w:pPr>
              <w:tabs>
                <w:tab w:val="left" w:pos="-720"/>
                <w:tab w:val="left" w:pos="0"/>
              </w:tabs>
              <w:suppressAutoHyphens/>
              <w:jc w:val="center"/>
              <w:rPr>
                <w:rFonts w:eastAsia="Times New Roman" w:cs="Times New Roman"/>
                <w:sz w:val="18"/>
                <w:szCs w:val="18"/>
              </w:rPr>
            </w:pPr>
            <w:r>
              <w:rPr>
                <w:rFonts w:ascii="Arial" w:hAnsi="Arial" w:cs="Arial"/>
                <w:color w:val="000000"/>
                <w:sz w:val="16"/>
                <w:szCs w:val="16"/>
              </w:rPr>
              <w:t xml:space="preserve">10,000 </w:t>
            </w:r>
          </w:p>
        </w:tc>
        <w:tc>
          <w:tcPr>
            <w:tcW w:w="508" w:type="pct"/>
            <w:vAlign w:val="center"/>
          </w:tcPr>
          <w:p w:rsidRPr="00A261BC" w:rsidR="00624B4F" w:rsidP="00933C63" w:rsidRDefault="00624B4F" w14:paraId="411980C2" w14:textId="29873688">
            <w:pPr>
              <w:tabs>
                <w:tab w:val="left" w:pos="-720"/>
                <w:tab w:val="left" w:pos="0"/>
              </w:tabs>
              <w:suppressAutoHyphens/>
              <w:jc w:val="center"/>
              <w:rPr>
                <w:rFonts w:eastAsia="Times New Roman" w:cs="Times New Roman"/>
                <w:sz w:val="18"/>
                <w:szCs w:val="18"/>
              </w:rPr>
            </w:pPr>
            <w:r>
              <w:rPr>
                <w:rFonts w:ascii="Arial" w:hAnsi="Arial" w:cs="Arial"/>
                <w:color w:val="000000"/>
                <w:sz w:val="16"/>
                <w:szCs w:val="16"/>
              </w:rPr>
              <w:t xml:space="preserve">0.01 </w:t>
            </w:r>
          </w:p>
        </w:tc>
        <w:tc>
          <w:tcPr>
            <w:tcW w:w="586" w:type="pct"/>
            <w:vAlign w:val="center"/>
          </w:tcPr>
          <w:p w:rsidRPr="00A261BC" w:rsidR="00624B4F" w:rsidP="00933C63" w:rsidRDefault="00A151D0" w14:paraId="0A6D6653" w14:textId="17C5BFE6">
            <w:pPr>
              <w:tabs>
                <w:tab w:val="left" w:pos="-720"/>
                <w:tab w:val="left" w:pos="0"/>
              </w:tabs>
              <w:suppressAutoHyphens/>
              <w:jc w:val="center"/>
              <w:rPr>
                <w:rFonts w:eastAsia="Times New Roman" w:cs="Times New Roman"/>
                <w:sz w:val="18"/>
                <w:szCs w:val="18"/>
              </w:rPr>
            </w:pPr>
            <w:r>
              <w:rPr>
                <w:rFonts w:ascii="Arial" w:hAnsi="Arial" w:cs="Arial"/>
                <w:color w:val="000000"/>
                <w:sz w:val="16"/>
                <w:szCs w:val="16"/>
              </w:rPr>
              <w:t xml:space="preserve">100 </w:t>
            </w:r>
          </w:p>
        </w:tc>
        <w:tc>
          <w:tcPr>
            <w:tcW w:w="430" w:type="pct"/>
            <w:vAlign w:val="center"/>
          </w:tcPr>
          <w:p w:rsidRPr="00A261BC" w:rsidR="00624B4F" w:rsidP="00933C63" w:rsidRDefault="00624B4F" w14:paraId="21FB3B72" w14:textId="63FE7507">
            <w:pPr>
              <w:tabs>
                <w:tab w:val="left" w:pos="-720"/>
                <w:tab w:val="left" w:pos="0"/>
              </w:tabs>
              <w:suppressAutoHyphens/>
              <w:jc w:val="center"/>
              <w:rPr>
                <w:rFonts w:eastAsia="Times New Roman" w:cs="Times New Roman"/>
                <w:sz w:val="18"/>
                <w:szCs w:val="18"/>
              </w:rPr>
            </w:pPr>
            <w:r>
              <w:rPr>
                <w:rFonts w:ascii="Arial" w:hAnsi="Arial" w:cs="Arial"/>
                <w:color w:val="000000"/>
                <w:sz w:val="16"/>
                <w:szCs w:val="16"/>
              </w:rPr>
              <w:t xml:space="preserve"> $72.23 </w:t>
            </w:r>
          </w:p>
        </w:tc>
        <w:tc>
          <w:tcPr>
            <w:tcW w:w="510" w:type="pct"/>
            <w:vAlign w:val="center"/>
          </w:tcPr>
          <w:p w:rsidRPr="00A261BC" w:rsidR="00624B4F" w:rsidP="00B522EF" w:rsidRDefault="00624B4F" w14:paraId="3E244E38" w14:textId="59AA500B">
            <w:pPr>
              <w:jc w:val="center"/>
              <w:rPr>
                <w:rFonts w:cs="Times New Roman"/>
                <w:sz w:val="18"/>
                <w:szCs w:val="18"/>
              </w:rPr>
            </w:pPr>
            <w:r>
              <w:rPr>
                <w:rFonts w:ascii="Arial" w:hAnsi="Arial" w:cs="Arial"/>
                <w:color w:val="000000"/>
                <w:sz w:val="16"/>
                <w:szCs w:val="16"/>
              </w:rPr>
              <w:t>$</w:t>
            </w:r>
            <w:r w:rsidR="00B522EF">
              <w:rPr>
                <w:rFonts w:ascii="Arial" w:hAnsi="Arial" w:cs="Arial"/>
                <w:color w:val="000000"/>
                <w:sz w:val="16"/>
                <w:szCs w:val="16"/>
              </w:rPr>
              <w:t>7,223</w:t>
            </w:r>
            <w:r>
              <w:rPr>
                <w:rFonts w:ascii="Arial" w:hAnsi="Arial" w:cs="Arial"/>
                <w:color w:val="000000"/>
                <w:sz w:val="16"/>
                <w:szCs w:val="16"/>
              </w:rPr>
              <w:t xml:space="preserve"> </w:t>
            </w:r>
          </w:p>
        </w:tc>
        <w:tc>
          <w:tcPr>
            <w:tcW w:w="508" w:type="pct"/>
            <w:vAlign w:val="center"/>
          </w:tcPr>
          <w:p w:rsidRPr="00A261BC" w:rsidR="00624B4F" w:rsidP="00933C63" w:rsidRDefault="00624B4F" w14:paraId="11D990F7" w14:textId="51BB6CD0">
            <w:pPr>
              <w:tabs>
                <w:tab w:val="left" w:pos="-720"/>
                <w:tab w:val="left" w:pos="0"/>
              </w:tabs>
              <w:suppressAutoHyphens/>
              <w:jc w:val="center"/>
              <w:rPr>
                <w:rFonts w:eastAsia="Times New Roman" w:cs="Times New Roman"/>
                <w:sz w:val="18"/>
                <w:szCs w:val="18"/>
              </w:rPr>
            </w:pPr>
            <w:r>
              <w:rPr>
                <w:rFonts w:ascii="Arial" w:hAnsi="Arial" w:cs="Arial"/>
                <w:color w:val="000000"/>
                <w:sz w:val="16"/>
                <w:szCs w:val="16"/>
              </w:rPr>
              <w:t xml:space="preserve">17,320,000 </w:t>
            </w:r>
          </w:p>
        </w:tc>
        <w:tc>
          <w:tcPr>
            <w:tcW w:w="428" w:type="pct"/>
            <w:vAlign w:val="center"/>
          </w:tcPr>
          <w:p w:rsidRPr="00A261BC" w:rsidR="00624B4F" w:rsidP="00F4394D" w:rsidRDefault="00F4394D" w14:paraId="629B064E" w14:textId="4584257C">
            <w:pPr>
              <w:tabs>
                <w:tab w:val="left" w:pos="-720"/>
                <w:tab w:val="left" w:pos="0"/>
              </w:tabs>
              <w:suppressAutoHyphens/>
              <w:jc w:val="center"/>
              <w:rPr>
                <w:rFonts w:eastAsia="Times New Roman" w:cs="Times New Roman"/>
                <w:sz w:val="18"/>
                <w:szCs w:val="18"/>
              </w:rPr>
            </w:pPr>
            <w:r>
              <w:rPr>
                <w:rFonts w:ascii="Arial" w:hAnsi="Arial" w:cs="Arial"/>
                <w:color w:val="000000"/>
                <w:sz w:val="16"/>
                <w:szCs w:val="16"/>
              </w:rPr>
              <w:t>173,200</w:t>
            </w:r>
          </w:p>
        </w:tc>
        <w:tc>
          <w:tcPr>
            <w:tcW w:w="507" w:type="pct"/>
            <w:vAlign w:val="center"/>
          </w:tcPr>
          <w:p w:rsidRPr="00A261BC" w:rsidR="00624B4F" w:rsidP="00B522EF" w:rsidRDefault="00624B4F" w14:paraId="704DCF7A" w14:textId="592D5F23">
            <w:pPr>
              <w:tabs>
                <w:tab w:val="left" w:pos="-720"/>
                <w:tab w:val="left" w:pos="0"/>
              </w:tabs>
              <w:suppressAutoHyphens/>
              <w:jc w:val="center"/>
              <w:rPr>
                <w:rFonts w:eastAsia="Times New Roman" w:cs="Times New Roman"/>
                <w:sz w:val="18"/>
                <w:szCs w:val="18"/>
              </w:rPr>
            </w:pPr>
            <w:r>
              <w:rPr>
                <w:rFonts w:ascii="Arial" w:hAnsi="Arial" w:cs="Arial"/>
                <w:color w:val="000000"/>
                <w:sz w:val="16"/>
                <w:szCs w:val="16"/>
              </w:rPr>
              <w:t xml:space="preserve"> $</w:t>
            </w:r>
            <w:r w:rsidR="00B522EF">
              <w:rPr>
                <w:rFonts w:ascii="Arial" w:hAnsi="Arial" w:cs="Arial"/>
                <w:color w:val="000000"/>
                <w:sz w:val="16"/>
                <w:szCs w:val="16"/>
              </w:rPr>
              <w:t>12,510,236</w:t>
            </w:r>
            <w:r>
              <w:rPr>
                <w:rFonts w:ascii="Arial" w:hAnsi="Arial" w:cs="Arial"/>
                <w:color w:val="000000"/>
                <w:sz w:val="16"/>
                <w:szCs w:val="16"/>
              </w:rPr>
              <w:t xml:space="preserve"> </w:t>
            </w:r>
          </w:p>
        </w:tc>
      </w:tr>
      <w:tr w:rsidRPr="00A261BC" w:rsidR="005E085C" w:rsidTr="00D77266" w14:paraId="50BDE15C" w14:textId="77777777">
        <w:trPr>
          <w:trHeight w:val="404"/>
        </w:trPr>
        <w:tc>
          <w:tcPr>
            <w:tcW w:w="431" w:type="pct"/>
            <w:vAlign w:val="center"/>
          </w:tcPr>
          <w:p w:rsidR="006D30E7" w:rsidP="00933C63" w:rsidRDefault="00DA11F2" w14:paraId="38A8CD0B" w14:textId="77777777">
            <w:pPr>
              <w:tabs>
                <w:tab w:val="left" w:pos="-720"/>
                <w:tab w:val="left" w:pos="0"/>
              </w:tabs>
              <w:suppressAutoHyphens/>
              <w:jc w:val="center"/>
              <w:rPr>
                <w:rFonts w:ascii="Arial" w:hAnsi="Arial" w:cs="Arial"/>
                <w:b/>
                <w:color w:val="000000"/>
                <w:sz w:val="16"/>
                <w:szCs w:val="16"/>
              </w:rPr>
            </w:pPr>
            <w:r w:rsidRPr="00D77266">
              <w:rPr>
                <w:rFonts w:ascii="Arial" w:hAnsi="Arial" w:cs="Arial"/>
                <w:b/>
                <w:color w:val="000000"/>
                <w:sz w:val="16"/>
                <w:szCs w:val="16"/>
              </w:rPr>
              <w:t>Total Record</w:t>
            </w:r>
            <w:r w:rsidR="006D30E7">
              <w:rPr>
                <w:rFonts w:ascii="Arial" w:hAnsi="Arial" w:cs="Arial"/>
                <w:b/>
                <w:color w:val="000000"/>
                <w:sz w:val="16"/>
                <w:szCs w:val="16"/>
              </w:rPr>
              <w:t>-</w:t>
            </w:r>
          </w:p>
          <w:p w:rsidRPr="00D77266" w:rsidR="008B2439" w:rsidP="00933C63" w:rsidRDefault="00DA11F2" w14:paraId="30D579CE" w14:textId="3ECEE68E">
            <w:pPr>
              <w:tabs>
                <w:tab w:val="left" w:pos="-720"/>
                <w:tab w:val="left" w:pos="0"/>
              </w:tabs>
              <w:suppressAutoHyphens/>
              <w:jc w:val="center"/>
              <w:rPr>
                <w:rFonts w:ascii="Arial" w:hAnsi="Arial" w:cs="Arial"/>
                <w:b/>
                <w:color w:val="000000"/>
                <w:sz w:val="16"/>
                <w:szCs w:val="16"/>
              </w:rPr>
            </w:pPr>
            <w:r w:rsidRPr="00D77266">
              <w:rPr>
                <w:rFonts w:ascii="Arial" w:hAnsi="Arial" w:cs="Arial"/>
                <w:b/>
                <w:color w:val="000000"/>
                <w:sz w:val="16"/>
                <w:szCs w:val="16"/>
              </w:rPr>
              <w:t>keeping and Reporti</w:t>
            </w:r>
            <w:r w:rsidRPr="00D77266" w:rsidR="003B139E">
              <w:rPr>
                <w:rFonts w:ascii="Arial" w:hAnsi="Arial" w:cs="Arial"/>
                <w:b/>
                <w:color w:val="000000"/>
                <w:sz w:val="16"/>
                <w:szCs w:val="16"/>
              </w:rPr>
              <w:t xml:space="preserve">ng </w:t>
            </w:r>
          </w:p>
        </w:tc>
        <w:tc>
          <w:tcPr>
            <w:tcW w:w="586" w:type="pct"/>
            <w:vAlign w:val="center"/>
          </w:tcPr>
          <w:p w:rsidR="008B2439" w:rsidP="00A40B87" w:rsidRDefault="003B139E" w14:paraId="08AEA643" w14:textId="7801AD65">
            <w:pPr>
              <w:tabs>
                <w:tab w:val="left" w:pos="-720"/>
                <w:tab w:val="left" w:pos="0"/>
              </w:tabs>
              <w:suppressAutoHyphens/>
              <w:rPr>
                <w:rFonts w:ascii="Arial" w:hAnsi="Arial" w:cs="Arial"/>
                <w:color w:val="000000"/>
                <w:sz w:val="16"/>
                <w:szCs w:val="16"/>
              </w:rPr>
            </w:pPr>
            <w:r w:rsidRPr="003B139E">
              <w:rPr>
                <w:rFonts w:ascii="Arial" w:hAnsi="Arial" w:cs="Arial"/>
                <w:color w:val="000000"/>
                <w:sz w:val="16"/>
                <w:szCs w:val="16"/>
              </w:rPr>
              <w:t>1,732 SDRs, SEFs, DCMs, Reporting Counterparties</w:t>
            </w:r>
          </w:p>
        </w:tc>
        <w:tc>
          <w:tcPr>
            <w:tcW w:w="507" w:type="pct"/>
            <w:vAlign w:val="center"/>
          </w:tcPr>
          <w:p w:rsidR="008B2439" w:rsidP="00933C63" w:rsidRDefault="00E159C5" w14:paraId="2F2D0453" w14:textId="1059D7AB">
            <w:pPr>
              <w:tabs>
                <w:tab w:val="left" w:pos="-720"/>
                <w:tab w:val="left" w:pos="0"/>
              </w:tabs>
              <w:suppressAutoHyphens/>
              <w:jc w:val="center"/>
              <w:rPr>
                <w:rFonts w:ascii="Arial" w:hAnsi="Arial" w:cs="Arial"/>
                <w:color w:val="000000"/>
                <w:sz w:val="16"/>
                <w:szCs w:val="16"/>
              </w:rPr>
            </w:pPr>
            <w:r>
              <w:rPr>
                <w:rFonts w:ascii="Arial" w:hAnsi="Arial" w:cs="Arial"/>
                <w:color w:val="000000"/>
                <w:sz w:val="16"/>
                <w:szCs w:val="16"/>
              </w:rPr>
              <w:t>132,570</w:t>
            </w:r>
          </w:p>
        </w:tc>
        <w:tc>
          <w:tcPr>
            <w:tcW w:w="508" w:type="pct"/>
            <w:vAlign w:val="center"/>
          </w:tcPr>
          <w:p w:rsidR="008B2439" w:rsidP="00933C63" w:rsidRDefault="008B2439" w14:paraId="6D0BAF87" w14:textId="77777777">
            <w:pPr>
              <w:tabs>
                <w:tab w:val="left" w:pos="-720"/>
                <w:tab w:val="left" w:pos="0"/>
              </w:tabs>
              <w:suppressAutoHyphens/>
              <w:jc w:val="center"/>
              <w:rPr>
                <w:rFonts w:ascii="Arial" w:hAnsi="Arial" w:cs="Arial"/>
                <w:color w:val="000000"/>
                <w:sz w:val="16"/>
                <w:szCs w:val="16"/>
              </w:rPr>
            </w:pPr>
          </w:p>
        </w:tc>
        <w:tc>
          <w:tcPr>
            <w:tcW w:w="586" w:type="pct"/>
            <w:vAlign w:val="center"/>
          </w:tcPr>
          <w:p w:rsidR="008B2439" w:rsidP="009D33F6" w:rsidRDefault="008B2439" w14:paraId="7459C3E7" w14:textId="3CA796AF">
            <w:pPr>
              <w:tabs>
                <w:tab w:val="left" w:pos="-720"/>
                <w:tab w:val="left" w:pos="0"/>
              </w:tabs>
              <w:suppressAutoHyphens/>
              <w:jc w:val="center"/>
              <w:rPr>
                <w:rFonts w:ascii="Arial" w:hAnsi="Arial" w:cs="Arial"/>
                <w:color w:val="000000"/>
                <w:sz w:val="16"/>
                <w:szCs w:val="16"/>
              </w:rPr>
            </w:pPr>
          </w:p>
        </w:tc>
        <w:tc>
          <w:tcPr>
            <w:tcW w:w="430" w:type="pct"/>
            <w:vAlign w:val="center"/>
          </w:tcPr>
          <w:p w:rsidR="008B2439" w:rsidP="00933C63" w:rsidRDefault="008B2439" w14:paraId="32BD6A7B" w14:textId="5904B6A1">
            <w:pPr>
              <w:tabs>
                <w:tab w:val="left" w:pos="-720"/>
                <w:tab w:val="left" w:pos="0"/>
              </w:tabs>
              <w:suppressAutoHyphens/>
              <w:jc w:val="center"/>
              <w:rPr>
                <w:rFonts w:ascii="Arial" w:hAnsi="Arial" w:cs="Arial"/>
                <w:color w:val="000000"/>
                <w:sz w:val="16"/>
                <w:szCs w:val="16"/>
              </w:rPr>
            </w:pPr>
          </w:p>
        </w:tc>
        <w:tc>
          <w:tcPr>
            <w:tcW w:w="510" w:type="pct"/>
            <w:vAlign w:val="center"/>
          </w:tcPr>
          <w:p w:rsidR="008B2439" w:rsidP="004F4090" w:rsidRDefault="008B2439" w14:paraId="27AACA60" w14:textId="7CA99FDA">
            <w:pPr>
              <w:jc w:val="center"/>
              <w:rPr>
                <w:rFonts w:ascii="Arial" w:hAnsi="Arial" w:cs="Arial"/>
                <w:color w:val="000000"/>
                <w:sz w:val="16"/>
                <w:szCs w:val="16"/>
              </w:rPr>
            </w:pPr>
          </w:p>
        </w:tc>
        <w:tc>
          <w:tcPr>
            <w:tcW w:w="508" w:type="pct"/>
            <w:vAlign w:val="center"/>
          </w:tcPr>
          <w:p w:rsidR="008B2439" w:rsidP="009D33F6" w:rsidRDefault="00123DD6" w14:paraId="5E22889C" w14:textId="044C90AB">
            <w:pPr>
              <w:tabs>
                <w:tab w:val="left" w:pos="-720"/>
                <w:tab w:val="left" w:pos="0"/>
              </w:tabs>
              <w:suppressAutoHyphens/>
              <w:jc w:val="center"/>
              <w:rPr>
                <w:rFonts w:ascii="Arial" w:hAnsi="Arial" w:cs="Arial"/>
                <w:color w:val="000000"/>
                <w:sz w:val="16"/>
                <w:szCs w:val="16"/>
              </w:rPr>
            </w:pPr>
            <w:r>
              <w:rPr>
                <w:rFonts w:ascii="Arial" w:hAnsi="Arial" w:cs="Arial"/>
                <w:color w:val="000000"/>
                <w:sz w:val="16"/>
                <w:szCs w:val="16"/>
              </w:rPr>
              <w:t xml:space="preserve"> 212,655,566</w:t>
            </w:r>
          </w:p>
        </w:tc>
        <w:tc>
          <w:tcPr>
            <w:tcW w:w="428" w:type="pct"/>
            <w:vAlign w:val="center"/>
          </w:tcPr>
          <w:p w:rsidR="008B2439" w:rsidP="009D33F6" w:rsidRDefault="00795F86" w14:paraId="6DDFAA4D" w14:textId="6EA9C0A4">
            <w:pPr>
              <w:tabs>
                <w:tab w:val="left" w:pos="-720"/>
                <w:tab w:val="left" w:pos="0"/>
              </w:tabs>
              <w:suppressAutoHyphens/>
              <w:jc w:val="center"/>
              <w:rPr>
                <w:rFonts w:ascii="Arial" w:hAnsi="Arial" w:cs="Arial"/>
                <w:color w:val="000000"/>
                <w:sz w:val="16"/>
                <w:szCs w:val="16"/>
              </w:rPr>
            </w:pPr>
            <w:r>
              <w:rPr>
                <w:rFonts w:ascii="Arial" w:hAnsi="Arial" w:cs="Arial"/>
                <w:color w:val="000000"/>
                <w:sz w:val="16"/>
                <w:szCs w:val="16"/>
              </w:rPr>
              <w:t>1,309,081</w:t>
            </w:r>
            <w:r w:rsidR="008B2439">
              <w:rPr>
                <w:rFonts w:ascii="Arial" w:hAnsi="Arial" w:cs="Arial"/>
                <w:color w:val="000000"/>
                <w:sz w:val="16"/>
                <w:szCs w:val="16"/>
              </w:rPr>
              <w:t xml:space="preserve"> </w:t>
            </w:r>
          </w:p>
        </w:tc>
        <w:tc>
          <w:tcPr>
            <w:tcW w:w="507" w:type="pct"/>
            <w:vAlign w:val="center"/>
          </w:tcPr>
          <w:p w:rsidR="009D33F6" w:rsidP="009D33F6" w:rsidRDefault="009D33F6" w14:paraId="73059B1A" w14:textId="77777777">
            <w:pPr>
              <w:tabs>
                <w:tab w:val="left" w:pos="-720"/>
                <w:tab w:val="left" w:pos="0"/>
              </w:tabs>
              <w:suppressAutoHyphens/>
              <w:jc w:val="center"/>
              <w:rPr>
                <w:rFonts w:ascii="Arial" w:hAnsi="Arial" w:cs="Arial"/>
                <w:color w:val="000000"/>
                <w:sz w:val="16"/>
                <w:szCs w:val="16"/>
              </w:rPr>
            </w:pPr>
          </w:p>
          <w:p w:rsidR="008B2439" w:rsidP="009D33F6" w:rsidRDefault="0096587A" w14:paraId="7931D668" w14:textId="77777777">
            <w:pPr>
              <w:tabs>
                <w:tab w:val="left" w:pos="-720"/>
                <w:tab w:val="left" w:pos="0"/>
              </w:tabs>
              <w:suppressAutoHyphens/>
              <w:jc w:val="center"/>
              <w:rPr>
                <w:rFonts w:ascii="Arial" w:hAnsi="Arial" w:cs="Arial"/>
                <w:color w:val="000000"/>
                <w:sz w:val="16"/>
                <w:szCs w:val="16"/>
              </w:rPr>
            </w:pPr>
            <w:r>
              <w:rPr>
                <w:rFonts w:ascii="Arial" w:hAnsi="Arial" w:cs="Arial"/>
                <w:color w:val="000000"/>
                <w:sz w:val="16"/>
                <w:szCs w:val="16"/>
              </w:rPr>
              <w:t>$</w:t>
            </w:r>
            <w:r w:rsidR="005B6FA7">
              <w:rPr>
                <w:rFonts w:ascii="Arial" w:hAnsi="Arial" w:cs="Arial"/>
                <w:color w:val="000000"/>
                <w:sz w:val="16"/>
                <w:szCs w:val="16"/>
              </w:rPr>
              <w:t>94,554,936</w:t>
            </w:r>
          </w:p>
          <w:p w:rsidR="00123DD6" w:rsidP="009D33F6" w:rsidRDefault="00123DD6" w14:paraId="38953FD0" w14:textId="2CC5D591">
            <w:pPr>
              <w:tabs>
                <w:tab w:val="left" w:pos="-720"/>
                <w:tab w:val="left" w:pos="0"/>
              </w:tabs>
              <w:suppressAutoHyphens/>
              <w:jc w:val="center"/>
              <w:rPr>
                <w:rFonts w:ascii="Arial" w:hAnsi="Arial" w:cs="Arial"/>
                <w:color w:val="000000"/>
                <w:sz w:val="16"/>
                <w:szCs w:val="16"/>
              </w:rPr>
            </w:pPr>
          </w:p>
        </w:tc>
      </w:tr>
    </w:tbl>
    <w:p w:rsidR="00AC321B" w:rsidP="006D30E7" w:rsidRDefault="00AC321B" w14:paraId="06F990F5" w14:textId="1FD6959F">
      <w:pPr>
        <w:tabs>
          <w:tab w:val="left" w:pos="-720"/>
          <w:tab w:val="left" w:pos="0"/>
        </w:tabs>
        <w:suppressAutoHyphens/>
        <w:rPr>
          <w:rFonts w:cs="Times New Roman"/>
          <w:sz w:val="18"/>
          <w:szCs w:val="18"/>
        </w:rPr>
      </w:pPr>
    </w:p>
    <w:p w:rsidRPr="004E48F8" w:rsidR="006734D8" w:rsidP="00AC321B" w:rsidRDefault="006734D8" w14:paraId="129DF5D4" w14:textId="6409B041">
      <w:pPr>
        <w:tabs>
          <w:tab w:val="left" w:pos="-720"/>
          <w:tab w:val="left" w:pos="0"/>
        </w:tabs>
        <w:suppressAutoHyphens/>
        <w:jc w:val="center"/>
        <w:rPr>
          <w:rFonts w:ascii="Arial" w:hAnsi="Arial" w:cs="Arial"/>
          <w:b/>
          <w:sz w:val="16"/>
          <w:szCs w:val="16"/>
        </w:rPr>
      </w:pPr>
      <w:r w:rsidRPr="004E48F8">
        <w:rPr>
          <w:rFonts w:ascii="Arial" w:hAnsi="Arial" w:cs="Arial"/>
          <w:b/>
          <w:sz w:val="16"/>
          <w:szCs w:val="16"/>
        </w:rPr>
        <w:lastRenderedPageBreak/>
        <w:t>Attachment B</w:t>
      </w:r>
    </w:p>
    <w:p w:rsidRPr="004E48F8" w:rsidR="006734D8" w:rsidP="00AC321B" w:rsidRDefault="006734D8" w14:paraId="70ADAFD1" w14:textId="77777777">
      <w:pPr>
        <w:tabs>
          <w:tab w:val="left" w:pos="-720"/>
          <w:tab w:val="left" w:pos="0"/>
        </w:tabs>
        <w:suppressAutoHyphens/>
        <w:jc w:val="center"/>
        <w:rPr>
          <w:rFonts w:ascii="Arial" w:hAnsi="Arial" w:cs="Arial"/>
          <w:sz w:val="16"/>
          <w:szCs w:val="16"/>
        </w:rPr>
      </w:pPr>
    </w:p>
    <w:p w:rsidRPr="004E48F8" w:rsidR="00AC321B" w:rsidP="00AC321B" w:rsidRDefault="00AC321B" w14:paraId="667D22B4" w14:textId="77E111A6">
      <w:pPr>
        <w:tabs>
          <w:tab w:val="left" w:pos="-720"/>
          <w:tab w:val="left" w:pos="0"/>
        </w:tabs>
        <w:suppressAutoHyphens/>
        <w:jc w:val="center"/>
        <w:rPr>
          <w:rFonts w:ascii="Arial" w:hAnsi="Arial" w:cs="Arial"/>
          <w:sz w:val="16"/>
          <w:szCs w:val="16"/>
        </w:rPr>
      </w:pPr>
      <w:r w:rsidRPr="004E48F8">
        <w:rPr>
          <w:rFonts w:ascii="Arial" w:hAnsi="Arial" w:cs="Arial"/>
          <w:sz w:val="16"/>
          <w:szCs w:val="16"/>
        </w:rPr>
        <w:t>Capital/Start-Up Costs</w:t>
      </w:r>
    </w:p>
    <w:tbl>
      <w:tblPr>
        <w:tblStyle w:val="TableGrid"/>
        <w:tblW w:w="0" w:type="auto"/>
        <w:tblInd w:w="1188" w:type="dxa"/>
        <w:tblLook w:val="04A0" w:firstRow="1" w:lastRow="0" w:firstColumn="1" w:lastColumn="0" w:noHBand="0" w:noVBand="1"/>
      </w:tblPr>
      <w:tblGrid>
        <w:gridCol w:w="3600"/>
        <w:gridCol w:w="3690"/>
      </w:tblGrid>
      <w:tr w:rsidRPr="004E48F8" w:rsidR="00AC321B" w:rsidTr="00AC321B" w14:paraId="5C0B69DA" w14:textId="77777777">
        <w:tc>
          <w:tcPr>
            <w:tcW w:w="3600" w:type="dxa"/>
          </w:tcPr>
          <w:p w:rsidRPr="004E48F8" w:rsidR="00AC321B" w:rsidP="00AC321B" w:rsidRDefault="00AC321B" w14:paraId="3A5DA462" w14:textId="0AD62445">
            <w:pPr>
              <w:tabs>
                <w:tab w:val="left" w:pos="-720"/>
                <w:tab w:val="left" w:pos="0"/>
              </w:tabs>
              <w:suppressAutoHyphens/>
              <w:jc w:val="center"/>
              <w:rPr>
                <w:rFonts w:ascii="Arial" w:hAnsi="Arial" w:cs="Arial"/>
                <w:b/>
                <w:sz w:val="16"/>
                <w:szCs w:val="16"/>
              </w:rPr>
            </w:pPr>
            <w:r w:rsidRPr="004E48F8">
              <w:rPr>
                <w:rFonts w:ascii="Arial" w:hAnsi="Arial" w:cs="Arial"/>
                <w:b/>
                <w:sz w:val="16"/>
                <w:szCs w:val="16"/>
              </w:rPr>
              <w:t>Regulation</w:t>
            </w:r>
          </w:p>
        </w:tc>
        <w:tc>
          <w:tcPr>
            <w:tcW w:w="3690" w:type="dxa"/>
          </w:tcPr>
          <w:p w:rsidRPr="004E48F8" w:rsidR="00AC321B" w:rsidP="00AC321B" w:rsidRDefault="00AC321B" w14:paraId="35781D5E" w14:textId="46E0FDFB">
            <w:pPr>
              <w:tabs>
                <w:tab w:val="left" w:pos="-720"/>
                <w:tab w:val="left" w:pos="0"/>
              </w:tabs>
              <w:suppressAutoHyphens/>
              <w:jc w:val="center"/>
              <w:rPr>
                <w:rFonts w:ascii="Arial" w:hAnsi="Arial" w:cs="Arial"/>
                <w:b/>
                <w:sz w:val="16"/>
                <w:szCs w:val="16"/>
              </w:rPr>
            </w:pPr>
            <w:r w:rsidRPr="004E48F8">
              <w:rPr>
                <w:rFonts w:ascii="Arial" w:hAnsi="Arial" w:cs="Arial"/>
                <w:b/>
                <w:sz w:val="16"/>
                <w:szCs w:val="16"/>
              </w:rPr>
              <w:t>Capital/Start-Up Costs</w:t>
            </w:r>
          </w:p>
        </w:tc>
      </w:tr>
      <w:tr w:rsidRPr="004E48F8" w:rsidR="00AC321B" w:rsidTr="00AC321B" w14:paraId="133BF796" w14:textId="77777777">
        <w:tc>
          <w:tcPr>
            <w:tcW w:w="3600" w:type="dxa"/>
          </w:tcPr>
          <w:p w:rsidRPr="004E48F8" w:rsidR="00AC321B" w:rsidP="00AC321B" w:rsidRDefault="00AC321B" w14:paraId="3CE8ADB5" w14:textId="19D7E7AC">
            <w:pPr>
              <w:tabs>
                <w:tab w:val="left" w:pos="-720"/>
                <w:tab w:val="left" w:pos="0"/>
              </w:tabs>
              <w:suppressAutoHyphens/>
              <w:jc w:val="center"/>
              <w:rPr>
                <w:rFonts w:ascii="Arial" w:hAnsi="Arial" w:cs="Arial"/>
                <w:sz w:val="16"/>
                <w:szCs w:val="16"/>
              </w:rPr>
            </w:pPr>
            <w:r w:rsidRPr="004E48F8">
              <w:rPr>
                <w:rFonts w:ascii="Arial" w:hAnsi="Arial" w:cs="Arial"/>
                <w:sz w:val="16"/>
                <w:szCs w:val="16"/>
              </w:rPr>
              <w:t>45.3</w:t>
            </w:r>
          </w:p>
        </w:tc>
        <w:tc>
          <w:tcPr>
            <w:tcW w:w="3690" w:type="dxa"/>
          </w:tcPr>
          <w:p w:rsidRPr="004E48F8" w:rsidR="00AC321B" w:rsidP="006C5058" w:rsidRDefault="00262D0D" w14:paraId="455CC69B" w14:textId="35BB3B16">
            <w:pPr>
              <w:tabs>
                <w:tab w:val="left" w:pos="-720"/>
                <w:tab w:val="left" w:pos="0"/>
              </w:tabs>
              <w:suppressAutoHyphens/>
              <w:jc w:val="center"/>
              <w:rPr>
                <w:rFonts w:ascii="Arial" w:hAnsi="Arial" w:cs="Arial"/>
                <w:sz w:val="16"/>
                <w:szCs w:val="16"/>
              </w:rPr>
            </w:pPr>
            <w:r w:rsidRPr="004E48F8">
              <w:rPr>
                <w:rFonts w:ascii="Arial" w:hAnsi="Arial" w:cs="Arial"/>
                <w:sz w:val="16"/>
                <w:szCs w:val="16"/>
              </w:rPr>
              <w:t>$</w:t>
            </w:r>
            <w:r w:rsidRPr="004E48F8" w:rsidR="006D5C30">
              <w:rPr>
                <w:rFonts w:ascii="Arial" w:hAnsi="Arial" w:cs="Arial"/>
                <w:sz w:val="16"/>
                <w:szCs w:val="16"/>
              </w:rPr>
              <w:t xml:space="preserve">  </w:t>
            </w:r>
            <w:r w:rsidRPr="004E48F8" w:rsidR="00434EC3">
              <w:rPr>
                <w:rFonts w:ascii="Arial" w:hAnsi="Arial" w:cs="Arial"/>
                <w:sz w:val="16"/>
                <w:szCs w:val="16"/>
              </w:rPr>
              <w:t>1,251,02</w:t>
            </w:r>
            <w:r w:rsidRPr="004E48F8" w:rsidR="006C5058">
              <w:rPr>
                <w:rFonts w:ascii="Arial" w:hAnsi="Arial" w:cs="Arial"/>
                <w:sz w:val="16"/>
                <w:szCs w:val="16"/>
              </w:rPr>
              <w:t>4</w:t>
            </w:r>
          </w:p>
        </w:tc>
      </w:tr>
      <w:tr w:rsidRPr="004E48F8" w:rsidR="00AC321B" w:rsidTr="00AC321B" w14:paraId="5450C9C0" w14:textId="77777777">
        <w:tc>
          <w:tcPr>
            <w:tcW w:w="3600" w:type="dxa"/>
          </w:tcPr>
          <w:p w:rsidRPr="004E48F8" w:rsidR="00AC321B" w:rsidP="00AC321B" w:rsidRDefault="00AC321B" w14:paraId="7E95EFB5" w14:textId="22C54EC6">
            <w:pPr>
              <w:tabs>
                <w:tab w:val="left" w:pos="-720"/>
                <w:tab w:val="left" w:pos="0"/>
              </w:tabs>
              <w:suppressAutoHyphens/>
              <w:jc w:val="center"/>
              <w:rPr>
                <w:rFonts w:ascii="Arial" w:hAnsi="Arial" w:cs="Arial"/>
                <w:sz w:val="16"/>
                <w:szCs w:val="16"/>
              </w:rPr>
            </w:pPr>
            <w:r w:rsidRPr="004E48F8">
              <w:rPr>
                <w:rFonts w:ascii="Arial" w:hAnsi="Arial" w:cs="Arial"/>
                <w:sz w:val="16"/>
                <w:szCs w:val="16"/>
              </w:rPr>
              <w:t>45.4</w:t>
            </w:r>
          </w:p>
        </w:tc>
        <w:tc>
          <w:tcPr>
            <w:tcW w:w="3690" w:type="dxa"/>
          </w:tcPr>
          <w:p w:rsidRPr="004E48F8" w:rsidR="00AC321B" w:rsidP="00434EC3" w:rsidRDefault="00262D0D" w14:paraId="5919F820" w14:textId="2200F590">
            <w:pPr>
              <w:tabs>
                <w:tab w:val="left" w:pos="-720"/>
                <w:tab w:val="left" w:pos="0"/>
              </w:tabs>
              <w:suppressAutoHyphens/>
              <w:jc w:val="center"/>
              <w:rPr>
                <w:rFonts w:ascii="Arial" w:hAnsi="Arial" w:cs="Arial"/>
                <w:sz w:val="16"/>
                <w:szCs w:val="16"/>
              </w:rPr>
            </w:pPr>
            <w:r w:rsidRPr="004E48F8">
              <w:rPr>
                <w:rFonts w:ascii="Arial" w:hAnsi="Arial" w:cs="Arial"/>
                <w:sz w:val="16"/>
                <w:szCs w:val="16"/>
              </w:rPr>
              <w:t>$</w:t>
            </w:r>
            <w:r w:rsidRPr="004E48F8" w:rsidR="006D5C30">
              <w:rPr>
                <w:rFonts w:ascii="Arial" w:hAnsi="Arial" w:cs="Arial"/>
                <w:sz w:val="16"/>
                <w:szCs w:val="16"/>
              </w:rPr>
              <w:t xml:space="preserve">  </w:t>
            </w:r>
            <w:r w:rsidRPr="004E48F8" w:rsidR="00434EC3">
              <w:rPr>
                <w:rFonts w:ascii="Arial" w:hAnsi="Arial" w:cs="Arial"/>
                <w:sz w:val="16"/>
                <w:szCs w:val="16"/>
              </w:rPr>
              <w:t>1,231,522</w:t>
            </w:r>
          </w:p>
        </w:tc>
      </w:tr>
      <w:tr w:rsidRPr="004E48F8" w:rsidR="00AC321B" w:rsidTr="00AC321B" w14:paraId="69BE482D" w14:textId="77777777">
        <w:tc>
          <w:tcPr>
            <w:tcW w:w="3600" w:type="dxa"/>
          </w:tcPr>
          <w:p w:rsidRPr="004E48F8" w:rsidR="00AC321B" w:rsidP="00AC321B" w:rsidRDefault="00AC321B" w14:paraId="3A58BAB2" w14:textId="61B51880">
            <w:pPr>
              <w:tabs>
                <w:tab w:val="left" w:pos="-720"/>
                <w:tab w:val="left" w:pos="0"/>
              </w:tabs>
              <w:suppressAutoHyphens/>
              <w:jc w:val="center"/>
              <w:rPr>
                <w:rFonts w:ascii="Arial" w:hAnsi="Arial" w:cs="Arial"/>
                <w:sz w:val="16"/>
                <w:szCs w:val="16"/>
              </w:rPr>
            </w:pPr>
            <w:r w:rsidRPr="004E48F8">
              <w:rPr>
                <w:rFonts w:ascii="Arial" w:hAnsi="Arial" w:cs="Arial"/>
                <w:sz w:val="16"/>
                <w:szCs w:val="16"/>
              </w:rPr>
              <w:t>45.5</w:t>
            </w:r>
          </w:p>
        </w:tc>
        <w:tc>
          <w:tcPr>
            <w:tcW w:w="3690" w:type="dxa"/>
          </w:tcPr>
          <w:p w:rsidRPr="004E48F8" w:rsidR="00AC321B" w:rsidP="00434EC3" w:rsidRDefault="00262D0D" w14:paraId="78FF005F" w14:textId="4FC3F1B7">
            <w:pPr>
              <w:tabs>
                <w:tab w:val="left" w:pos="-720"/>
                <w:tab w:val="left" w:pos="0"/>
              </w:tabs>
              <w:suppressAutoHyphens/>
              <w:jc w:val="center"/>
              <w:rPr>
                <w:rFonts w:ascii="Arial" w:hAnsi="Arial" w:cs="Arial"/>
                <w:sz w:val="16"/>
                <w:szCs w:val="16"/>
              </w:rPr>
            </w:pPr>
            <w:r w:rsidRPr="004E48F8">
              <w:rPr>
                <w:rFonts w:ascii="Arial" w:hAnsi="Arial" w:cs="Arial"/>
                <w:sz w:val="16"/>
                <w:szCs w:val="16"/>
              </w:rPr>
              <w:t>$</w:t>
            </w:r>
            <w:r w:rsidRPr="004E48F8" w:rsidR="006D5C30">
              <w:rPr>
                <w:rFonts w:ascii="Arial" w:hAnsi="Arial" w:cs="Arial"/>
                <w:sz w:val="16"/>
                <w:szCs w:val="16"/>
              </w:rPr>
              <w:t xml:space="preserve">  </w:t>
            </w:r>
            <w:r w:rsidRPr="004E48F8">
              <w:rPr>
                <w:rFonts w:ascii="Arial" w:hAnsi="Arial" w:cs="Arial"/>
                <w:sz w:val="16"/>
                <w:szCs w:val="16"/>
              </w:rPr>
              <w:t xml:space="preserve"> 67,</w:t>
            </w:r>
            <w:r w:rsidRPr="004E48F8" w:rsidR="00434EC3">
              <w:rPr>
                <w:rFonts w:ascii="Arial" w:hAnsi="Arial" w:cs="Arial"/>
                <w:sz w:val="16"/>
                <w:szCs w:val="16"/>
              </w:rPr>
              <w:t>896</w:t>
            </w:r>
          </w:p>
        </w:tc>
      </w:tr>
      <w:tr w:rsidRPr="004E48F8" w:rsidR="00D6493F" w:rsidTr="00AC321B" w14:paraId="0E0127EB" w14:textId="77777777">
        <w:tc>
          <w:tcPr>
            <w:tcW w:w="3600" w:type="dxa"/>
          </w:tcPr>
          <w:p w:rsidRPr="004E48F8" w:rsidR="00D6493F" w:rsidP="00AC321B" w:rsidRDefault="00D6493F" w14:paraId="41620218" w14:textId="1BA49D50">
            <w:pPr>
              <w:tabs>
                <w:tab w:val="left" w:pos="-720"/>
                <w:tab w:val="left" w:pos="0"/>
              </w:tabs>
              <w:suppressAutoHyphens/>
              <w:jc w:val="center"/>
              <w:rPr>
                <w:rFonts w:ascii="Arial" w:hAnsi="Arial" w:cs="Arial"/>
                <w:b/>
                <w:sz w:val="16"/>
                <w:szCs w:val="16"/>
              </w:rPr>
            </w:pPr>
            <w:r w:rsidRPr="004E48F8">
              <w:rPr>
                <w:rFonts w:ascii="Arial" w:hAnsi="Arial" w:cs="Arial"/>
                <w:b/>
                <w:sz w:val="16"/>
                <w:szCs w:val="16"/>
              </w:rPr>
              <w:t>Total</w:t>
            </w:r>
          </w:p>
        </w:tc>
        <w:tc>
          <w:tcPr>
            <w:tcW w:w="3690" w:type="dxa"/>
          </w:tcPr>
          <w:p w:rsidRPr="004E48F8" w:rsidR="00D6493F" w:rsidP="00B0340E" w:rsidRDefault="00D6493F" w14:paraId="67F71C2F" w14:textId="3A4BBC22">
            <w:pPr>
              <w:tabs>
                <w:tab w:val="left" w:pos="-720"/>
                <w:tab w:val="left" w:pos="0"/>
              </w:tabs>
              <w:suppressAutoHyphens/>
              <w:jc w:val="center"/>
              <w:rPr>
                <w:rFonts w:ascii="Arial" w:hAnsi="Arial" w:cs="Arial"/>
                <w:sz w:val="16"/>
                <w:szCs w:val="16"/>
              </w:rPr>
            </w:pPr>
            <w:r w:rsidRPr="004E48F8">
              <w:rPr>
                <w:rFonts w:ascii="Arial" w:hAnsi="Arial" w:cs="Arial"/>
                <w:sz w:val="16"/>
                <w:szCs w:val="16"/>
              </w:rPr>
              <w:t>$</w:t>
            </w:r>
            <w:r w:rsidRPr="004E48F8" w:rsidR="00B0340E">
              <w:rPr>
                <w:rFonts w:ascii="Arial" w:hAnsi="Arial" w:cs="Arial"/>
                <w:sz w:val="16"/>
                <w:szCs w:val="16"/>
              </w:rPr>
              <w:t>2</w:t>
            </w:r>
            <w:r w:rsidRPr="004E48F8" w:rsidR="006C5058">
              <w:rPr>
                <w:rFonts w:ascii="Arial" w:hAnsi="Arial" w:cs="Arial"/>
                <w:sz w:val="16"/>
                <w:szCs w:val="16"/>
              </w:rPr>
              <w:t>,550,442</w:t>
            </w:r>
          </w:p>
        </w:tc>
      </w:tr>
    </w:tbl>
    <w:p w:rsidRPr="004E48F8" w:rsidR="00AC321B" w:rsidP="00AC321B" w:rsidRDefault="00AC321B" w14:paraId="550B6CA7" w14:textId="77777777">
      <w:pPr>
        <w:tabs>
          <w:tab w:val="left" w:pos="-720"/>
          <w:tab w:val="left" w:pos="0"/>
        </w:tabs>
        <w:suppressAutoHyphens/>
        <w:jc w:val="center"/>
        <w:rPr>
          <w:rFonts w:ascii="Arial" w:hAnsi="Arial" w:cs="Arial"/>
          <w:sz w:val="16"/>
          <w:szCs w:val="16"/>
        </w:rPr>
      </w:pPr>
    </w:p>
    <w:p w:rsidRPr="004E48F8" w:rsidR="00434EC3" w:rsidP="00434EC3" w:rsidRDefault="00434EC3" w14:paraId="533AC4A5" w14:textId="004AA6CF">
      <w:pPr>
        <w:tabs>
          <w:tab w:val="left" w:pos="-720"/>
          <w:tab w:val="left" w:pos="0"/>
        </w:tabs>
        <w:suppressAutoHyphens/>
        <w:jc w:val="center"/>
        <w:rPr>
          <w:rFonts w:ascii="Arial" w:hAnsi="Arial" w:cs="Arial"/>
          <w:sz w:val="16"/>
          <w:szCs w:val="16"/>
        </w:rPr>
      </w:pPr>
      <w:r w:rsidRPr="004E48F8">
        <w:rPr>
          <w:rFonts w:ascii="Arial" w:hAnsi="Arial" w:cs="Arial"/>
          <w:sz w:val="16"/>
          <w:szCs w:val="16"/>
        </w:rPr>
        <w:t>Operational/Maintenance Costs</w:t>
      </w:r>
    </w:p>
    <w:tbl>
      <w:tblPr>
        <w:tblStyle w:val="TableGrid"/>
        <w:tblW w:w="0" w:type="auto"/>
        <w:tblInd w:w="1188" w:type="dxa"/>
        <w:tblLook w:val="04A0" w:firstRow="1" w:lastRow="0" w:firstColumn="1" w:lastColumn="0" w:noHBand="0" w:noVBand="1"/>
      </w:tblPr>
      <w:tblGrid>
        <w:gridCol w:w="3600"/>
        <w:gridCol w:w="3690"/>
      </w:tblGrid>
      <w:tr w:rsidRPr="004E48F8" w:rsidR="00434EC3" w:rsidTr="00A151D0" w14:paraId="43361DAD" w14:textId="77777777">
        <w:tc>
          <w:tcPr>
            <w:tcW w:w="3600" w:type="dxa"/>
          </w:tcPr>
          <w:p w:rsidRPr="004E48F8" w:rsidR="00434EC3" w:rsidP="00A151D0" w:rsidRDefault="00434EC3" w14:paraId="1096D0DA" w14:textId="77777777">
            <w:pPr>
              <w:tabs>
                <w:tab w:val="left" w:pos="-720"/>
                <w:tab w:val="left" w:pos="0"/>
              </w:tabs>
              <w:suppressAutoHyphens/>
              <w:jc w:val="center"/>
              <w:rPr>
                <w:rFonts w:ascii="Arial" w:hAnsi="Arial" w:cs="Arial"/>
                <w:b/>
                <w:sz w:val="16"/>
                <w:szCs w:val="16"/>
              </w:rPr>
            </w:pPr>
            <w:r w:rsidRPr="004E48F8">
              <w:rPr>
                <w:rFonts w:ascii="Arial" w:hAnsi="Arial" w:cs="Arial"/>
                <w:b/>
                <w:sz w:val="16"/>
                <w:szCs w:val="16"/>
              </w:rPr>
              <w:t>Regulation</w:t>
            </w:r>
          </w:p>
        </w:tc>
        <w:tc>
          <w:tcPr>
            <w:tcW w:w="3690" w:type="dxa"/>
          </w:tcPr>
          <w:p w:rsidRPr="004E48F8" w:rsidR="00434EC3" w:rsidP="00A151D0" w:rsidRDefault="00434EC3" w14:paraId="04D6E5AF" w14:textId="48F85B75">
            <w:pPr>
              <w:tabs>
                <w:tab w:val="left" w:pos="-720"/>
                <w:tab w:val="left" w:pos="0"/>
              </w:tabs>
              <w:suppressAutoHyphens/>
              <w:jc w:val="center"/>
              <w:rPr>
                <w:rFonts w:ascii="Arial" w:hAnsi="Arial" w:cs="Arial"/>
                <w:b/>
                <w:sz w:val="16"/>
                <w:szCs w:val="16"/>
              </w:rPr>
            </w:pPr>
            <w:r w:rsidRPr="004E48F8">
              <w:rPr>
                <w:rFonts w:ascii="Arial" w:hAnsi="Arial" w:cs="Arial"/>
                <w:b/>
                <w:sz w:val="16"/>
                <w:szCs w:val="16"/>
              </w:rPr>
              <w:t>Operational/Maintenance Costs</w:t>
            </w:r>
          </w:p>
        </w:tc>
      </w:tr>
      <w:tr w:rsidRPr="004E48F8" w:rsidR="00434EC3" w:rsidTr="00A151D0" w14:paraId="3DEF68D7" w14:textId="77777777">
        <w:tc>
          <w:tcPr>
            <w:tcW w:w="3600" w:type="dxa"/>
          </w:tcPr>
          <w:p w:rsidRPr="004E48F8" w:rsidR="00434EC3" w:rsidP="00A151D0" w:rsidRDefault="00434EC3" w14:paraId="0E1D4B0B" w14:textId="77777777">
            <w:pPr>
              <w:tabs>
                <w:tab w:val="left" w:pos="-720"/>
                <w:tab w:val="left" w:pos="0"/>
              </w:tabs>
              <w:suppressAutoHyphens/>
              <w:jc w:val="center"/>
              <w:rPr>
                <w:rFonts w:ascii="Arial" w:hAnsi="Arial" w:cs="Arial"/>
                <w:sz w:val="16"/>
                <w:szCs w:val="16"/>
              </w:rPr>
            </w:pPr>
            <w:r w:rsidRPr="004E48F8">
              <w:rPr>
                <w:rFonts w:ascii="Arial" w:hAnsi="Arial" w:cs="Arial"/>
                <w:sz w:val="16"/>
                <w:szCs w:val="16"/>
              </w:rPr>
              <w:t>45.3</w:t>
            </w:r>
          </w:p>
        </w:tc>
        <w:tc>
          <w:tcPr>
            <w:tcW w:w="3690" w:type="dxa"/>
          </w:tcPr>
          <w:p w:rsidRPr="004E48F8" w:rsidR="00434EC3" w:rsidP="00A151D0" w:rsidRDefault="00434EC3" w14:paraId="14D4ACA1" w14:textId="77777777">
            <w:pPr>
              <w:tabs>
                <w:tab w:val="left" w:pos="-720"/>
                <w:tab w:val="left" w:pos="0"/>
              </w:tabs>
              <w:suppressAutoHyphens/>
              <w:jc w:val="center"/>
              <w:rPr>
                <w:rFonts w:ascii="Arial" w:hAnsi="Arial" w:cs="Arial"/>
                <w:sz w:val="16"/>
                <w:szCs w:val="16"/>
              </w:rPr>
            </w:pPr>
            <w:r w:rsidRPr="004E48F8">
              <w:rPr>
                <w:rFonts w:ascii="Arial" w:hAnsi="Arial" w:cs="Arial"/>
                <w:sz w:val="16"/>
                <w:szCs w:val="16"/>
              </w:rPr>
              <w:t>$  625,512</w:t>
            </w:r>
          </w:p>
        </w:tc>
      </w:tr>
      <w:tr w:rsidRPr="004E48F8" w:rsidR="00434EC3" w:rsidTr="00A151D0" w14:paraId="45DFC6BE" w14:textId="77777777">
        <w:tc>
          <w:tcPr>
            <w:tcW w:w="3600" w:type="dxa"/>
          </w:tcPr>
          <w:p w:rsidRPr="004E48F8" w:rsidR="00434EC3" w:rsidP="00A151D0" w:rsidRDefault="00434EC3" w14:paraId="2495DD78" w14:textId="77777777">
            <w:pPr>
              <w:tabs>
                <w:tab w:val="left" w:pos="-720"/>
                <w:tab w:val="left" w:pos="0"/>
              </w:tabs>
              <w:suppressAutoHyphens/>
              <w:jc w:val="center"/>
              <w:rPr>
                <w:rFonts w:ascii="Arial" w:hAnsi="Arial" w:cs="Arial"/>
                <w:sz w:val="16"/>
                <w:szCs w:val="16"/>
              </w:rPr>
            </w:pPr>
            <w:r w:rsidRPr="004E48F8">
              <w:rPr>
                <w:rFonts w:ascii="Arial" w:hAnsi="Arial" w:cs="Arial"/>
                <w:sz w:val="16"/>
                <w:szCs w:val="16"/>
              </w:rPr>
              <w:t>45.4</w:t>
            </w:r>
          </w:p>
        </w:tc>
        <w:tc>
          <w:tcPr>
            <w:tcW w:w="3690" w:type="dxa"/>
          </w:tcPr>
          <w:p w:rsidRPr="004E48F8" w:rsidR="00434EC3" w:rsidP="008E672D" w:rsidRDefault="00434EC3" w14:paraId="245E0482" w14:textId="69B3C1C9">
            <w:pPr>
              <w:tabs>
                <w:tab w:val="left" w:pos="-720"/>
                <w:tab w:val="left" w:pos="0"/>
              </w:tabs>
              <w:suppressAutoHyphens/>
              <w:jc w:val="center"/>
              <w:rPr>
                <w:rFonts w:ascii="Arial" w:hAnsi="Arial" w:cs="Arial"/>
                <w:sz w:val="16"/>
                <w:szCs w:val="16"/>
              </w:rPr>
            </w:pPr>
            <w:r w:rsidRPr="004E48F8">
              <w:rPr>
                <w:rFonts w:ascii="Arial" w:hAnsi="Arial" w:cs="Arial"/>
                <w:sz w:val="16"/>
                <w:szCs w:val="16"/>
              </w:rPr>
              <w:t>$  615,</w:t>
            </w:r>
            <w:r w:rsidRPr="004E48F8" w:rsidR="008E672D">
              <w:rPr>
                <w:rFonts w:ascii="Arial" w:hAnsi="Arial" w:cs="Arial"/>
                <w:sz w:val="16"/>
                <w:szCs w:val="16"/>
              </w:rPr>
              <w:t>761</w:t>
            </w:r>
          </w:p>
        </w:tc>
      </w:tr>
      <w:tr w:rsidRPr="004E48F8" w:rsidR="00434EC3" w:rsidTr="00A151D0" w14:paraId="2766BAA6" w14:textId="77777777">
        <w:tc>
          <w:tcPr>
            <w:tcW w:w="3600" w:type="dxa"/>
          </w:tcPr>
          <w:p w:rsidRPr="004E48F8" w:rsidR="00434EC3" w:rsidP="00A151D0" w:rsidRDefault="00434EC3" w14:paraId="34D846DC" w14:textId="77777777">
            <w:pPr>
              <w:tabs>
                <w:tab w:val="left" w:pos="-720"/>
                <w:tab w:val="left" w:pos="0"/>
              </w:tabs>
              <w:suppressAutoHyphens/>
              <w:jc w:val="center"/>
              <w:rPr>
                <w:rFonts w:ascii="Arial" w:hAnsi="Arial" w:cs="Arial"/>
                <w:sz w:val="16"/>
                <w:szCs w:val="16"/>
              </w:rPr>
            </w:pPr>
            <w:r w:rsidRPr="004E48F8">
              <w:rPr>
                <w:rFonts w:ascii="Arial" w:hAnsi="Arial" w:cs="Arial"/>
                <w:sz w:val="16"/>
                <w:szCs w:val="16"/>
              </w:rPr>
              <w:t>45.5</w:t>
            </w:r>
          </w:p>
        </w:tc>
        <w:tc>
          <w:tcPr>
            <w:tcW w:w="3690" w:type="dxa"/>
          </w:tcPr>
          <w:p w:rsidRPr="004E48F8" w:rsidR="00434EC3" w:rsidP="00A151D0" w:rsidRDefault="00434EC3" w14:paraId="6823259C" w14:textId="77777777">
            <w:pPr>
              <w:tabs>
                <w:tab w:val="left" w:pos="-720"/>
                <w:tab w:val="left" w:pos="0"/>
              </w:tabs>
              <w:suppressAutoHyphens/>
              <w:jc w:val="center"/>
              <w:rPr>
                <w:rFonts w:ascii="Arial" w:hAnsi="Arial" w:cs="Arial"/>
                <w:sz w:val="16"/>
                <w:szCs w:val="16"/>
              </w:rPr>
            </w:pPr>
            <w:r w:rsidRPr="004E48F8">
              <w:rPr>
                <w:rFonts w:ascii="Arial" w:hAnsi="Arial" w:cs="Arial"/>
                <w:sz w:val="16"/>
                <w:szCs w:val="16"/>
              </w:rPr>
              <w:t>$   67,680</w:t>
            </w:r>
          </w:p>
        </w:tc>
      </w:tr>
      <w:tr w:rsidRPr="004E48F8" w:rsidR="00434EC3" w:rsidTr="00A151D0" w14:paraId="6C5D361D" w14:textId="77777777">
        <w:tc>
          <w:tcPr>
            <w:tcW w:w="3600" w:type="dxa"/>
          </w:tcPr>
          <w:p w:rsidRPr="004E48F8" w:rsidR="00434EC3" w:rsidP="00A151D0" w:rsidRDefault="00434EC3" w14:paraId="2B133824" w14:textId="77777777">
            <w:pPr>
              <w:tabs>
                <w:tab w:val="left" w:pos="-720"/>
                <w:tab w:val="left" w:pos="0"/>
              </w:tabs>
              <w:suppressAutoHyphens/>
              <w:jc w:val="center"/>
              <w:rPr>
                <w:rFonts w:ascii="Arial" w:hAnsi="Arial" w:cs="Arial"/>
                <w:b/>
                <w:sz w:val="16"/>
                <w:szCs w:val="16"/>
              </w:rPr>
            </w:pPr>
            <w:r w:rsidRPr="004E48F8">
              <w:rPr>
                <w:rFonts w:ascii="Arial" w:hAnsi="Arial" w:cs="Arial"/>
                <w:b/>
                <w:sz w:val="16"/>
                <w:szCs w:val="16"/>
              </w:rPr>
              <w:t>Total</w:t>
            </w:r>
          </w:p>
        </w:tc>
        <w:tc>
          <w:tcPr>
            <w:tcW w:w="3690" w:type="dxa"/>
          </w:tcPr>
          <w:p w:rsidRPr="004E48F8" w:rsidR="00434EC3" w:rsidP="008E672D" w:rsidRDefault="00434EC3" w14:paraId="1B5D7BA5" w14:textId="583174FB">
            <w:pPr>
              <w:tabs>
                <w:tab w:val="left" w:pos="-720"/>
                <w:tab w:val="left" w:pos="0"/>
              </w:tabs>
              <w:suppressAutoHyphens/>
              <w:jc w:val="center"/>
              <w:rPr>
                <w:rFonts w:ascii="Arial" w:hAnsi="Arial" w:cs="Arial"/>
                <w:sz w:val="16"/>
                <w:szCs w:val="16"/>
              </w:rPr>
            </w:pPr>
            <w:r w:rsidRPr="004E48F8">
              <w:rPr>
                <w:rFonts w:ascii="Arial" w:hAnsi="Arial" w:cs="Arial"/>
                <w:sz w:val="16"/>
                <w:szCs w:val="16"/>
              </w:rPr>
              <w:t>$1,308,</w:t>
            </w:r>
            <w:r w:rsidRPr="004E48F8" w:rsidR="008E672D">
              <w:rPr>
                <w:rFonts w:ascii="Arial" w:hAnsi="Arial" w:cs="Arial"/>
                <w:sz w:val="16"/>
                <w:szCs w:val="16"/>
              </w:rPr>
              <w:t>953</w:t>
            </w:r>
          </w:p>
        </w:tc>
      </w:tr>
    </w:tbl>
    <w:p w:rsidRPr="004E48F8" w:rsidR="002B11FD" w:rsidP="006734D8" w:rsidRDefault="002B11FD" w14:paraId="3F2ABAE6" w14:textId="79B477FA">
      <w:pPr>
        <w:tabs>
          <w:tab w:val="left" w:pos="-720"/>
          <w:tab w:val="left" w:pos="0"/>
        </w:tabs>
        <w:suppressAutoHyphens/>
        <w:rPr>
          <w:rFonts w:ascii="Arial" w:hAnsi="Arial" w:cs="Arial"/>
          <w:sz w:val="16"/>
          <w:szCs w:val="16"/>
        </w:rPr>
      </w:pPr>
    </w:p>
    <w:sectPr w:rsidRPr="004E48F8" w:rsidR="002B11FD" w:rsidSect="00870D2C">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F42384" w14:textId="77777777" w:rsidR="00A151D0" w:rsidRDefault="00A151D0" w:rsidP="009C6DB4">
      <w:r>
        <w:separator/>
      </w:r>
    </w:p>
  </w:endnote>
  <w:endnote w:type="continuationSeparator" w:id="0">
    <w:p w14:paraId="50F42385" w14:textId="77777777" w:rsidR="00A151D0" w:rsidRDefault="00A151D0" w:rsidP="009C6DB4">
      <w:r>
        <w:continuationSeparator/>
      </w:r>
    </w:p>
  </w:endnote>
  <w:endnote w:type="continuationNotice" w:id="1">
    <w:p w14:paraId="1AC7AE98" w14:textId="77777777" w:rsidR="00A151D0" w:rsidRDefault="00A151D0"/>
  </w:endnote>
  <w:endnote w:id="2">
    <w:p w14:paraId="06790C86" w14:textId="524CF8DF" w:rsidR="00A151D0" w:rsidRDefault="00A151D0" w:rsidP="002D6C86">
      <w:pPr>
        <w:pStyle w:val="EndnoteText"/>
        <w:spacing w:after="120"/>
      </w:pPr>
      <w:r>
        <w:rPr>
          <w:rStyle w:val="EndnoteReference"/>
        </w:rPr>
        <w:endnoteRef/>
      </w:r>
      <w:r>
        <w:t xml:space="preserve"> The Commission estimates eliminating the requirement for confirmation data reports would reduce the number of reports required to be reported on entering into a swap by 30%, or 7,000 reports per </w:t>
      </w:r>
      <w:proofErr w:type="spellStart"/>
      <w:r>
        <w:t>responsdent</w:t>
      </w:r>
      <w:proofErr w:type="spellEnd"/>
      <w:r>
        <w:t xml:space="preserve"> instead of the previous 10,000 report estimate. The Commission has revised the rest of the estimate for § 45.3 accordingly.</w:t>
      </w:r>
    </w:p>
  </w:endnote>
  <w:endnote w:id="3">
    <w:p w14:paraId="0B5DA135" w14:textId="7775189E" w:rsidR="00A151D0" w:rsidRDefault="00A151D0" w:rsidP="002D6C86">
      <w:pPr>
        <w:pStyle w:val="EndnoteText"/>
        <w:spacing w:after="120"/>
      </w:pPr>
      <w:r>
        <w:rPr>
          <w:rStyle w:val="EndnoteReference"/>
        </w:rPr>
        <w:endnoteRef/>
      </w:r>
      <w:r>
        <w:t xml:space="preserve"> The Commission is correcting a previous error in Attachment A. In the recent renewal, the total annual burden hour cost had been incorrectly recorded as $7,248. The Commission has corrected the cost to be $12,553,536. Reducing the number of reports per respondent by 30% to 3,000 would result in a lower total annual burden hour cost of $8,757,165.</w:t>
      </w:r>
    </w:p>
  </w:endnote>
  <w:endnote w:id="4">
    <w:p w14:paraId="1F172556" w14:textId="20796EBD" w:rsidR="00A151D0" w:rsidRDefault="00A151D0" w:rsidP="002D6C86">
      <w:pPr>
        <w:pStyle w:val="EndnoteText"/>
        <w:spacing w:after="120"/>
      </w:pPr>
      <w:r>
        <w:rPr>
          <w:rStyle w:val="EndnoteReference"/>
        </w:rPr>
        <w:endnoteRef/>
      </w:r>
      <w:r>
        <w:t xml:space="preserve"> The Commission had previously listed the number of entities as 1,732. The Commission is revising this number of entities to be 1,705, to reflect that the 27 SEFs and DCMs do not submit reports under § 45.4. The Commission is updating the estimates for § 45.4 accordingly.</w:t>
      </w:r>
    </w:p>
  </w:endnote>
  <w:endnote w:id="5">
    <w:p w14:paraId="48DA8BD5" w14:textId="30878697" w:rsidR="00A151D0" w:rsidRDefault="00A151D0" w:rsidP="002D6C86">
      <w:pPr>
        <w:pStyle w:val="EndnoteText"/>
        <w:spacing w:after="120"/>
      </w:pPr>
      <w:r>
        <w:rPr>
          <w:rStyle w:val="EndnoteReference"/>
        </w:rPr>
        <w:endnoteRef/>
      </w:r>
      <w:r>
        <w:t xml:space="preserve"> The Commission estimates eliminating the option for reporting updates to swap terms according to the state data reporting method would reduce the number of swap reports being submitted according to § 45.4 by 50%, or 103,772 from 207,543 reports estimated in the last renewal. In addition, the Commission estimates removing the requirement to submit quarterly valuation reports by certain reporting counterparties would result in a reduction of 6,340 reports, resulting in 97,431 reports per respondent. The Commission is updating the rest of the estimates for § 45.4 accordingly.</w:t>
      </w:r>
    </w:p>
  </w:endnote>
  <w:endnote w:id="6">
    <w:p w14:paraId="387ADE59" w14:textId="0682FC32" w:rsidR="00A151D0" w:rsidRDefault="00A151D0" w:rsidP="002D6C86">
      <w:pPr>
        <w:pStyle w:val="EndnoteText"/>
        <w:spacing w:after="120"/>
      </w:pPr>
      <w:r>
        <w:rPr>
          <w:rStyle w:val="EndnoteReference"/>
        </w:rPr>
        <w:endnoteRef/>
      </w:r>
      <w:r>
        <w:t xml:space="preserve"> The Commission estimates requiring counterparties to report collateral and margin data, in addition to </w:t>
      </w:r>
      <w:proofErr w:type="spellStart"/>
      <w:r>
        <w:t>valudation</w:t>
      </w:r>
      <w:proofErr w:type="spellEnd"/>
      <w:r>
        <w:t xml:space="preserve"> data, in the § 45.4 reports would increase the amount of time it takes to create each daily report by .001 hours from .003 hours to a new estimate of .004 hours. The Commission is updating the rest of the estimate for § 45.4 accordingly.</w:t>
      </w:r>
    </w:p>
  </w:endnote>
  <w:endnote w:id="7">
    <w:p w14:paraId="45E72B47" w14:textId="72B32F6A" w:rsidR="00A151D0" w:rsidRDefault="00A151D0" w:rsidP="002D6C86">
      <w:pPr>
        <w:pStyle w:val="EndnoteText"/>
        <w:spacing w:after="120"/>
      </w:pPr>
      <w:r>
        <w:rPr>
          <w:rStyle w:val="EndnoteReference"/>
        </w:rPr>
        <w:endnoteRef/>
      </w:r>
      <w:r>
        <w:t xml:space="preserve"> The Commission is correcting the previous estimate that § 45.5 applies to 1,732 entities to account for the fact that non-SD/MSP/DCO reporting counterparties that are financial entities need to generate USIs. The previous estimate of 1,732 SDRs, SEFs, DCMs, and reporting counterparties over-estimated the number of respondents by including non-SD/MSP/DCO reporting counterparties. The Commission is estimating the half of the 1,585 non-SD/MSP/DCO reporting counterparties are financial </w:t>
      </w:r>
      <w:proofErr w:type="spellStart"/>
      <w:r>
        <w:t>entites</w:t>
      </w:r>
      <w:proofErr w:type="spellEnd"/>
      <w:r>
        <w:t>, bringing the total number of respondents for § 45.5 to 940.</w:t>
      </w:r>
    </w:p>
  </w:endnote>
  <w:endnote w:id="8">
    <w:p w14:paraId="258430A9" w14:textId="756739DF" w:rsidR="00A151D0" w:rsidRDefault="00A151D0" w:rsidP="002D6C86">
      <w:pPr>
        <w:pStyle w:val="EndnoteText"/>
        <w:spacing w:after="120"/>
      </w:pPr>
      <w:r>
        <w:rPr>
          <w:rStyle w:val="EndnoteReference"/>
        </w:rPr>
        <w:endnoteRef/>
      </w:r>
      <w:r>
        <w:t xml:space="preserve"> The Commission had previously estimated that 1,732 entities generated all of the USIs for the 17 million new swaps entered into each year. However, the Commission has to re-balance this estimate in light of the fact that non-SD/MSP/DCO reporting counterparties that are not financial entities do not have to generate UTIs under the proposal. Instead, the Commission estimates that 940 entities will each generate approximately 18,000 UTIs for the 17 million new swaps entered into each year. The Commission is updating the rest of the estimate accordingly.</w:t>
      </w:r>
    </w:p>
  </w:endnote>
  <w:endnote w:id="9">
    <w:p w14:paraId="47DAFC67" w14:textId="19057F3D" w:rsidR="00A151D0" w:rsidRDefault="00A151D0" w:rsidP="002D6C86">
      <w:pPr>
        <w:pStyle w:val="EndnoteText"/>
        <w:spacing w:after="120"/>
      </w:pPr>
      <w:r>
        <w:rPr>
          <w:rStyle w:val="EndnoteReference"/>
        </w:rPr>
        <w:endnoteRef/>
      </w:r>
      <w:r>
        <w:t xml:space="preserve"> The Commission is proposing to revise the estimate for § 45.6 by reducing the number of reports per respondent to 1 to reflect the fact that each entity is required to obtain an LEI, but LEIs themselves are reported in the § 45.3 and § 45.4 reports. To avoid double-counting, the Commission will not separately account for each LEI reported in the § 45.3 and § 45.4 reports. Instead, the Commission has revised the estimate to reflect each entity obtains one LEI. The Commission is updating the rest of the estimate accordingly. The Commission is proposing to remove the estimate for § 45.7 for the same reason that product terms are reported in the § 45.3 and § 45.4 reports.</w:t>
      </w:r>
    </w:p>
  </w:endnote>
  <w:endnote w:id="10">
    <w:p w14:paraId="71681F7E" w14:textId="05A8C80D" w:rsidR="00A151D0" w:rsidRDefault="00A151D0" w:rsidP="002D6C86">
      <w:pPr>
        <w:pStyle w:val="EndnoteText"/>
        <w:spacing w:after="120"/>
      </w:pPr>
      <w:r>
        <w:rPr>
          <w:rStyle w:val="EndnoteReference"/>
        </w:rPr>
        <w:endnoteRef/>
      </w:r>
      <w:r>
        <w:t xml:space="preserve"> The Commission is also increasing the burden hours per response by .01 hours, from .01 to .02 hours, to reflect the fact the Commission is proposing to have many LEI holders renew their LEIs annually. The Commission is revising the rest of the estimate accordingly.</w:t>
      </w:r>
    </w:p>
  </w:endnote>
  <w:endnote w:id="11">
    <w:p w14:paraId="2611E561" w14:textId="2351E35B" w:rsidR="00A151D0" w:rsidRDefault="00A151D0" w:rsidP="002D6C86">
      <w:pPr>
        <w:pStyle w:val="EndnoteText"/>
        <w:spacing w:after="120"/>
      </w:pPr>
      <w:r>
        <w:rPr>
          <w:rStyle w:val="EndnoteReference"/>
        </w:rPr>
        <w:endnoteRef/>
      </w:r>
      <w:r>
        <w:t xml:space="preserve"> The notification requirement in § 45.10 would be new. The Commission preliminarily estimates that 15 entities would elect to take advantage of the opportunity provided in § 45.10 to change SDRs, and would thus need to send the notifications required by § 45.10(d), with each report taking one hour.</w:t>
      </w:r>
    </w:p>
  </w:endnote>
  <w:endnote w:id="12">
    <w:p w14:paraId="6CE52992" w14:textId="427AC3FD" w:rsidR="00A151D0" w:rsidRDefault="00A151D0" w:rsidP="002D6C86">
      <w:pPr>
        <w:pStyle w:val="EndnoteText"/>
        <w:spacing w:after="120"/>
      </w:pPr>
      <w:r>
        <w:rPr>
          <w:rStyle w:val="EndnoteReference"/>
        </w:rPr>
        <w:endnoteRef/>
      </w:r>
      <w:r>
        <w:t xml:space="preserve"> The Commission is not modifying the current estimate for § 45.14.</w:t>
      </w:r>
    </w:p>
  </w:endnote>
  <w:endnote w:id="13">
    <w:p w14:paraId="6F64A66F" w14:textId="766D7ADF" w:rsidR="00A151D0" w:rsidRPr="002D6C86" w:rsidRDefault="00A151D0" w:rsidP="002D6C86">
      <w:pPr>
        <w:pStyle w:val="EndnoteText"/>
        <w:spacing w:after="120"/>
      </w:pPr>
      <w:r w:rsidRPr="0036025F">
        <w:rPr>
          <w:rStyle w:val="EndnoteReference"/>
        </w:rPr>
        <w:endnoteRef/>
      </w:r>
      <w:r w:rsidRPr="0036025F">
        <w:t xml:space="preserve"> </w:t>
      </w:r>
      <w:r w:rsidRPr="002D6C86">
        <w:t>As described above in the answer to question 12, the Commission calculated the average wage rate to $72.23.</w:t>
      </w:r>
    </w:p>
  </w:endnote>
  <w:endnote w:id="14">
    <w:p w14:paraId="00A4E3E8" w14:textId="299BEE96" w:rsidR="00A151D0" w:rsidRDefault="00A151D0" w:rsidP="002D6C86">
      <w:pPr>
        <w:pStyle w:val="EndnoteText"/>
        <w:spacing w:after="120"/>
      </w:pPr>
      <w:r>
        <w:rPr>
          <w:rStyle w:val="EndnoteReference"/>
        </w:rPr>
        <w:endnoteRef/>
      </w:r>
      <w:r>
        <w:t xml:space="preserve"> The Commission is not </w:t>
      </w:r>
      <w:r w:rsidR="009B2A54">
        <w:t xml:space="preserve">amending </w:t>
      </w:r>
      <w:r>
        <w:t>the current recordkeeping estimate</w:t>
      </w:r>
      <w:r w:rsidR="009B2A54">
        <w:t>s</w:t>
      </w:r>
      <w:r>
        <w:t xml:space="preserve"> for § 45.2</w:t>
      </w:r>
      <w:r w:rsidR="009B2A54">
        <w:t xml:space="preserve"> in this rulemaking</w:t>
      </w:r>
      <w:r>
        <w:t>.</w:t>
      </w:r>
      <w:r w:rsidR="009B2A54">
        <w:t xml:space="preserve">  However, the above table </w:t>
      </w:r>
      <w:r w:rsidR="002E6CFD">
        <w:t>corrects an error in the calculation of</w:t>
      </w:r>
      <w:r w:rsidR="009B2A54">
        <w:t xml:space="preserve"> the annual number of burden hours per respondent, </w:t>
      </w:r>
      <w:r w:rsidR="002E6CFD">
        <w:t>from</w:t>
      </w:r>
      <w:r w:rsidR="009B2A54">
        <w:t xml:space="preserve"> 650 </w:t>
      </w:r>
      <w:proofErr w:type="spellStart"/>
      <w:r w:rsidR="002E6CFD">
        <w:t>buren</w:t>
      </w:r>
      <w:proofErr w:type="spellEnd"/>
      <w:r w:rsidR="002E6CFD">
        <w:t xml:space="preserve"> hours per respondent t</w:t>
      </w:r>
      <w:r w:rsidR="009B2A54">
        <w:t xml:space="preserve">o 100 burden hours per respondent.  The correction of the burden hours per respondent </w:t>
      </w:r>
      <w:r w:rsidR="002E6CFD">
        <w:t xml:space="preserve">in column 5 of this row </w:t>
      </w:r>
      <w:r w:rsidR="009B2A54">
        <w:t xml:space="preserve">also </w:t>
      </w:r>
      <w:r w:rsidR="002E6CFD">
        <w:t>affects</w:t>
      </w:r>
      <w:r w:rsidR="009B2A54">
        <w:t xml:space="preserve"> the total burden hours across all respondents in column 9, which is being reduced from 1,125,696 to 173,200.</w:t>
      </w:r>
    </w:p>
    <w:p w14:paraId="6C3403FD" w14:textId="77777777" w:rsidR="00A151D0" w:rsidRDefault="00A151D0" w:rsidP="002D6C86">
      <w:pPr>
        <w:pStyle w:val="EndnoteText"/>
        <w:spacing w:after="1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6AF5A" w14:textId="77777777" w:rsidR="00D77266" w:rsidRDefault="00D772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3FB4B" w14:textId="13BDE211" w:rsidR="00A151D0" w:rsidRDefault="00A151D0" w:rsidP="008A33C6">
    <w:pPr>
      <w:pStyle w:val="Footer"/>
      <w:jc w:val="center"/>
    </w:pPr>
    <w:r>
      <w:fldChar w:fldCharType="begin"/>
    </w:r>
    <w:r>
      <w:instrText xml:space="preserve"> PAGE   \* MERGEFORMAT </w:instrText>
    </w:r>
    <w:r>
      <w:fldChar w:fldCharType="separate"/>
    </w:r>
    <w:r w:rsidR="00384EE9">
      <w:rPr>
        <w:noProof/>
      </w:rPr>
      <w:t>15</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965732" w14:textId="77777777" w:rsidR="00D77266" w:rsidRDefault="00D772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F42382" w14:textId="77777777" w:rsidR="00A151D0" w:rsidRDefault="00A151D0" w:rsidP="009C6DB4">
      <w:r>
        <w:separator/>
      </w:r>
    </w:p>
  </w:footnote>
  <w:footnote w:type="continuationSeparator" w:id="0">
    <w:p w14:paraId="50F42383" w14:textId="77777777" w:rsidR="00A151D0" w:rsidRDefault="00A151D0" w:rsidP="009C6DB4">
      <w:r>
        <w:continuationSeparator/>
      </w:r>
    </w:p>
  </w:footnote>
  <w:footnote w:type="continuationNotice" w:id="1">
    <w:p w14:paraId="2F2FEE8E" w14:textId="77777777" w:rsidR="00A151D0" w:rsidRDefault="00A151D0"/>
  </w:footnote>
  <w:footnote w:id="2">
    <w:p w14:paraId="2A74391A" w14:textId="31B7F5C3" w:rsidR="00A151D0" w:rsidRDefault="00A151D0">
      <w:pPr>
        <w:pStyle w:val="FootnoteText"/>
      </w:pPr>
      <w:r>
        <w:rPr>
          <w:rStyle w:val="FootnoteReference"/>
        </w:rPr>
        <w:footnoteRef/>
      </w:r>
      <w:r>
        <w:t xml:space="preserve"> </w:t>
      </w:r>
      <w:r w:rsidRPr="008625E2">
        <w:t>The Commission is similarly revising the estimate for § 45.7, which requires reporting counterparties to use UPIs. Until the Commission designates a UPI, reporting counterparties use the product fields unique to each SDR. As a result, until the Commission designates a UPI, the burden estimates for the product fields are accounted for in §§ 45.3 and 45.4. To avoid double-counting until there is a UPI, the Commission is proposing to remove the burden estimate for § 45.7 until the Commission designates a UPI.</w:t>
      </w:r>
      <w:r>
        <w:br/>
      </w:r>
    </w:p>
  </w:footnote>
  <w:footnote w:id="3">
    <w:p w14:paraId="46B34B19" w14:textId="41479795" w:rsidR="00A151D0" w:rsidRPr="00F64348" w:rsidRDefault="00A151D0" w:rsidP="00F64348">
      <w:pPr>
        <w:pStyle w:val="FootnoteText"/>
        <w:rPr>
          <w:bCs/>
        </w:rPr>
      </w:pPr>
      <w:r>
        <w:rPr>
          <w:rStyle w:val="FootnoteReference"/>
        </w:rPr>
        <w:footnoteRef/>
      </w:r>
      <w:r>
        <w:t xml:space="preserve"> </w:t>
      </w:r>
      <w:r w:rsidRPr="002932D1">
        <w:t>The Commission is also proposing to eliminate the § 45.12 regulations for voluntary supplemental reporting</w:t>
      </w:r>
      <w:r>
        <w:t>, but t</w:t>
      </w:r>
      <w:r w:rsidRPr="002932D1">
        <w:t>his is not anticipated to change the aggregate burden hour estimates for the collection</w:t>
      </w:r>
      <w:r>
        <w:t>.  T</w:t>
      </w:r>
      <w:r w:rsidRPr="002932D1">
        <w:t xml:space="preserve">he Commission previously estimated the reporting burden as 0 </w:t>
      </w:r>
      <w:r>
        <w:t>because</w:t>
      </w:r>
      <w:r w:rsidRPr="002932D1">
        <w:t xml:space="preserve"> the Commission </w:t>
      </w:r>
      <w:proofErr w:type="gramStart"/>
      <w:r w:rsidRPr="002932D1">
        <w:t>neither required or</w:t>
      </w:r>
      <w:proofErr w:type="gramEnd"/>
      <w:r w:rsidRPr="002932D1">
        <w:t xml:space="preserve"> requested voluntary supplemental reporting.</w:t>
      </w:r>
    </w:p>
    <w:p w14:paraId="74F4D666" w14:textId="623B5C0C" w:rsidR="00A151D0" w:rsidRDefault="00A151D0">
      <w:pPr>
        <w:pStyle w:val="FootnoteText"/>
      </w:pPr>
    </w:p>
  </w:footnote>
  <w:footnote w:id="4">
    <w:p w14:paraId="7C26CA24" w14:textId="77777777" w:rsidR="00A151D0" w:rsidRDefault="00A151D0" w:rsidP="000565C0">
      <w:pPr>
        <w:pStyle w:val="FootnoteText"/>
      </w:pPr>
      <w:r>
        <w:rPr>
          <w:rStyle w:val="FootnoteReference"/>
        </w:rPr>
        <w:footnoteRef/>
      </w:r>
      <w:r>
        <w:t xml:space="preserve"> </w:t>
      </w:r>
      <w:r w:rsidRPr="00645D6D">
        <w:t>The Commission believes the proposed amendments to § 45.10(d) would not require reporting counterparties or SDRs to build any new systems or update technology. Reporting counterparties would continue to report, and SDRs would continue to accept, swap data according to current processes and infrastructures.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CEA36" w14:textId="77777777" w:rsidR="00D77266" w:rsidRDefault="00D772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AEC351" w14:textId="77777777" w:rsidR="00D77266" w:rsidRDefault="00D7726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C54518" w14:textId="77777777" w:rsidR="00D77266" w:rsidRDefault="00D772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D40F9"/>
    <w:multiLevelType w:val="hybridMultilevel"/>
    <w:tmpl w:val="93547A32"/>
    <w:lvl w:ilvl="0" w:tplc="10EED3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16F079C"/>
    <w:multiLevelType w:val="hybridMultilevel"/>
    <w:tmpl w:val="1AFE0AF6"/>
    <w:lvl w:ilvl="0" w:tplc="7ECA6AE4">
      <w:start w:val="4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476532"/>
    <w:multiLevelType w:val="hybridMultilevel"/>
    <w:tmpl w:val="8C26F9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CED6527"/>
    <w:multiLevelType w:val="hybridMultilevel"/>
    <w:tmpl w:val="C3228042"/>
    <w:lvl w:ilvl="0" w:tplc="5908128C">
      <w:start w:val="43"/>
      <w:numFmt w:val="bullet"/>
      <w:lvlText w:val="-"/>
      <w:lvlJc w:val="left"/>
      <w:pPr>
        <w:ind w:left="765" w:hanging="360"/>
      </w:pPr>
      <w:rPr>
        <w:rFonts w:ascii="Times New Roman" w:eastAsiaTheme="minorHAnsi" w:hAnsi="Times New Roman" w:cs="Times New Roman" w:hint="default"/>
        <w:sz w:val="24"/>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31D20AAE"/>
    <w:multiLevelType w:val="hybridMultilevel"/>
    <w:tmpl w:val="D46CC11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3894802"/>
    <w:multiLevelType w:val="hybridMultilevel"/>
    <w:tmpl w:val="8EDE799E"/>
    <w:lvl w:ilvl="0" w:tplc="10EED3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39346A6"/>
    <w:multiLevelType w:val="hybridMultilevel"/>
    <w:tmpl w:val="15FA9B74"/>
    <w:lvl w:ilvl="0" w:tplc="10EED3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567727A"/>
    <w:multiLevelType w:val="hybridMultilevel"/>
    <w:tmpl w:val="EA4E65CC"/>
    <w:lvl w:ilvl="0" w:tplc="A49EF17C">
      <w:start w:val="43"/>
      <w:numFmt w:val="bullet"/>
      <w:lvlText w:val="-"/>
      <w:lvlJc w:val="left"/>
      <w:pPr>
        <w:ind w:left="405" w:hanging="360"/>
      </w:pPr>
      <w:rPr>
        <w:rFonts w:ascii="Arial" w:eastAsia="Times New Roman"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8">
    <w:nsid w:val="3EB15FF7"/>
    <w:multiLevelType w:val="hybridMultilevel"/>
    <w:tmpl w:val="1F3EEDF2"/>
    <w:lvl w:ilvl="0" w:tplc="A03A6E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FA13B0"/>
    <w:multiLevelType w:val="hybridMultilevel"/>
    <w:tmpl w:val="EE189606"/>
    <w:lvl w:ilvl="0" w:tplc="10EED3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BF83D6D"/>
    <w:multiLevelType w:val="hybridMultilevel"/>
    <w:tmpl w:val="5CCC6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A80FF2"/>
    <w:multiLevelType w:val="hybridMultilevel"/>
    <w:tmpl w:val="2A1CEFEE"/>
    <w:lvl w:ilvl="0" w:tplc="F69667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C33F2A"/>
    <w:multiLevelType w:val="hybridMultilevel"/>
    <w:tmpl w:val="CFCA18F0"/>
    <w:lvl w:ilvl="0" w:tplc="D390C0BC">
      <w:start w:val="1"/>
      <w:numFmt w:val="bullet"/>
      <w:lvlText w:val="•"/>
      <w:lvlJc w:val="left"/>
      <w:pPr>
        <w:tabs>
          <w:tab w:val="num" w:pos="936"/>
        </w:tabs>
        <w:ind w:left="936" w:hanging="216"/>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F9774E3"/>
    <w:multiLevelType w:val="hybridMultilevel"/>
    <w:tmpl w:val="050CF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BE5093D"/>
    <w:multiLevelType w:val="hybridMultilevel"/>
    <w:tmpl w:val="267A7F7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7831ECD"/>
    <w:multiLevelType w:val="hybridMultilevel"/>
    <w:tmpl w:val="BBC28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7"/>
  </w:num>
  <w:num w:numId="4">
    <w:abstractNumId w:val="3"/>
  </w:num>
  <w:num w:numId="5">
    <w:abstractNumId w:val="1"/>
  </w:num>
  <w:num w:numId="6">
    <w:abstractNumId w:val="0"/>
  </w:num>
  <w:num w:numId="7">
    <w:abstractNumId w:val="5"/>
  </w:num>
  <w:num w:numId="8">
    <w:abstractNumId w:val="9"/>
  </w:num>
  <w:num w:numId="9">
    <w:abstractNumId w:val="6"/>
  </w:num>
  <w:num w:numId="10">
    <w:abstractNumId w:val="14"/>
  </w:num>
  <w:num w:numId="11">
    <w:abstractNumId w:val="4"/>
  </w:num>
  <w:num w:numId="12">
    <w:abstractNumId w:val="11"/>
  </w:num>
  <w:num w:numId="13">
    <w:abstractNumId w:val="13"/>
  </w:num>
  <w:num w:numId="14">
    <w:abstractNumId w:val="15"/>
  </w:num>
  <w:num w:numId="15">
    <w:abstractNumId w:val="1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hideGrammaticalErrors/>
  <w:proofState w:spelling="clean" w:grammar="clean"/>
  <w:trackRevisions/>
  <w:defaultTabStop w:val="720"/>
  <w:characterSpacingControl w:val="doNotCompress"/>
  <w:hdrShapeDefaults>
    <o:shapedefaults v:ext="edit" spidmax="7168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B6A"/>
    <w:rsid w:val="00000591"/>
    <w:rsid w:val="00013AB1"/>
    <w:rsid w:val="00026051"/>
    <w:rsid w:val="0002705E"/>
    <w:rsid w:val="00027515"/>
    <w:rsid w:val="00032BDD"/>
    <w:rsid w:val="00037E90"/>
    <w:rsid w:val="0004053D"/>
    <w:rsid w:val="000565C0"/>
    <w:rsid w:val="000576BF"/>
    <w:rsid w:val="00060EBC"/>
    <w:rsid w:val="000625B4"/>
    <w:rsid w:val="0007012C"/>
    <w:rsid w:val="00070230"/>
    <w:rsid w:val="00072761"/>
    <w:rsid w:val="00075CA1"/>
    <w:rsid w:val="000803D6"/>
    <w:rsid w:val="00080649"/>
    <w:rsid w:val="00081223"/>
    <w:rsid w:val="000835FF"/>
    <w:rsid w:val="00083F72"/>
    <w:rsid w:val="00093A0E"/>
    <w:rsid w:val="000A2F6B"/>
    <w:rsid w:val="000C2D0E"/>
    <w:rsid w:val="000C3307"/>
    <w:rsid w:val="000E0987"/>
    <w:rsid w:val="000E2599"/>
    <w:rsid w:val="000E43CF"/>
    <w:rsid w:val="000E7178"/>
    <w:rsid w:val="000F46C6"/>
    <w:rsid w:val="00107258"/>
    <w:rsid w:val="00107779"/>
    <w:rsid w:val="00116FC7"/>
    <w:rsid w:val="0012080B"/>
    <w:rsid w:val="00121829"/>
    <w:rsid w:val="00123DD6"/>
    <w:rsid w:val="0013534F"/>
    <w:rsid w:val="00136DB1"/>
    <w:rsid w:val="0014130B"/>
    <w:rsid w:val="00142A65"/>
    <w:rsid w:val="0014627F"/>
    <w:rsid w:val="00153901"/>
    <w:rsid w:val="001577B2"/>
    <w:rsid w:val="00176391"/>
    <w:rsid w:val="00180982"/>
    <w:rsid w:val="00181DCC"/>
    <w:rsid w:val="0018277C"/>
    <w:rsid w:val="001B0891"/>
    <w:rsid w:val="001C44A0"/>
    <w:rsid w:val="001D4BB9"/>
    <w:rsid w:val="001D7B90"/>
    <w:rsid w:val="001E3090"/>
    <w:rsid w:val="001E5CCF"/>
    <w:rsid w:val="001F75A3"/>
    <w:rsid w:val="00200207"/>
    <w:rsid w:val="00213F3E"/>
    <w:rsid w:val="00224559"/>
    <w:rsid w:val="00233D65"/>
    <w:rsid w:val="00237A08"/>
    <w:rsid w:val="00240AD2"/>
    <w:rsid w:val="00241E30"/>
    <w:rsid w:val="00243435"/>
    <w:rsid w:val="00244BFB"/>
    <w:rsid w:val="00256990"/>
    <w:rsid w:val="002600FA"/>
    <w:rsid w:val="00260C07"/>
    <w:rsid w:val="00261D8B"/>
    <w:rsid w:val="00262D0D"/>
    <w:rsid w:val="00267793"/>
    <w:rsid w:val="00275F7C"/>
    <w:rsid w:val="00276808"/>
    <w:rsid w:val="0027708A"/>
    <w:rsid w:val="002879E8"/>
    <w:rsid w:val="002932D1"/>
    <w:rsid w:val="002A535F"/>
    <w:rsid w:val="002A6ACD"/>
    <w:rsid w:val="002B11FD"/>
    <w:rsid w:val="002B4A1D"/>
    <w:rsid w:val="002C555A"/>
    <w:rsid w:val="002C7E70"/>
    <w:rsid w:val="002D0489"/>
    <w:rsid w:val="002D061E"/>
    <w:rsid w:val="002D6C86"/>
    <w:rsid w:val="002E05BD"/>
    <w:rsid w:val="002E0DEB"/>
    <w:rsid w:val="002E6CFD"/>
    <w:rsid w:val="002F1E80"/>
    <w:rsid w:val="002F4E6B"/>
    <w:rsid w:val="00306BE2"/>
    <w:rsid w:val="00307524"/>
    <w:rsid w:val="00307E70"/>
    <w:rsid w:val="00314103"/>
    <w:rsid w:val="00330578"/>
    <w:rsid w:val="00330DF8"/>
    <w:rsid w:val="00335B1D"/>
    <w:rsid w:val="003400A0"/>
    <w:rsid w:val="003446DD"/>
    <w:rsid w:val="00347613"/>
    <w:rsid w:val="003513A3"/>
    <w:rsid w:val="0035705B"/>
    <w:rsid w:val="00357784"/>
    <w:rsid w:val="00357E35"/>
    <w:rsid w:val="0036025F"/>
    <w:rsid w:val="003607A6"/>
    <w:rsid w:val="00361683"/>
    <w:rsid w:val="00362C24"/>
    <w:rsid w:val="003671D2"/>
    <w:rsid w:val="003677B4"/>
    <w:rsid w:val="00370522"/>
    <w:rsid w:val="0037312F"/>
    <w:rsid w:val="0037421B"/>
    <w:rsid w:val="00374C10"/>
    <w:rsid w:val="003751E1"/>
    <w:rsid w:val="003755F4"/>
    <w:rsid w:val="00384EE9"/>
    <w:rsid w:val="003853E8"/>
    <w:rsid w:val="003869F1"/>
    <w:rsid w:val="003B1162"/>
    <w:rsid w:val="003B139E"/>
    <w:rsid w:val="003B6B93"/>
    <w:rsid w:val="003C1CFA"/>
    <w:rsid w:val="003C3DAA"/>
    <w:rsid w:val="003D3960"/>
    <w:rsid w:val="003D6F96"/>
    <w:rsid w:val="003E1141"/>
    <w:rsid w:val="003F40DA"/>
    <w:rsid w:val="0040522C"/>
    <w:rsid w:val="00405AC8"/>
    <w:rsid w:val="00416A6E"/>
    <w:rsid w:val="00422FB0"/>
    <w:rsid w:val="00434EC3"/>
    <w:rsid w:val="00443D7B"/>
    <w:rsid w:val="0044799F"/>
    <w:rsid w:val="004479D7"/>
    <w:rsid w:val="004618A5"/>
    <w:rsid w:val="00464286"/>
    <w:rsid w:val="0047275C"/>
    <w:rsid w:val="00476AB6"/>
    <w:rsid w:val="00487E1F"/>
    <w:rsid w:val="004917AF"/>
    <w:rsid w:val="004925F6"/>
    <w:rsid w:val="004A5F11"/>
    <w:rsid w:val="004A7924"/>
    <w:rsid w:val="004B6159"/>
    <w:rsid w:val="004B7E4E"/>
    <w:rsid w:val="004C2276"/>
    <w:rsid w:val="004C3AE0"/>
    <w:rsid w:val="004D4BEA"/>
    <w:rsid w:val="004E0A52"/>
    <w:rsid w:val="004E48F8"/>
    <w:rsid w:val="004F4090"/>
    <w:rsid w:val="004F4C42"/>
    <w:rsid w:val="004F7FE0"/>
    <w:rsid w:val="00500DBF"/>
    <w:rsid w:val="00505251"/>
    <w:rsid w:val="00506FE2"/>
    <w:rsid w:val="00517E9A"/>
    <w:rsid w:val="005251FD"/>
    <w:rsid w:val="00525395"/>
    <w:rsid w:val="0052742B"/>
    <w:rsid w:val="00532836"/>
    <w:rsid w:val="00532C37"/>
    <w:rsid w:val="00536419"/>
    <w:rsid w:val="00536C1A"/>
    <w:rsid w:val="00544E13"/>
    <w:rsid w:val="005503C6"/>
    <w:rsid w:val="00551E62"/>
    <w:rsid w:val="00554929"/>
    <w:rsid w:val="00557EF2"/>
    <w:rsid w:val="00560340"/>
    <w:rsid w:val="00560B0C"/>
    <w:rsid w:val="005661C0"/>
    <w:rsid w:val="0057413D"/>
    <w:rsid w:val="00577F1F"/>
    <w:rsid w:val="00583523"/>
    <w:rsid w:val="00583E3D"/>
    <w:rsid w:val="00585718"/>
    <w:rsid w:val="005955CB"/>
    <w:rsid w:val="005976D9"/>
    <w:rsid w:val="005A23D5"/>
    <w:rsid w:val="005A6276"/>
    <w:rsid w:val="005A7466"/>
    <w:rsid w:val="005B3B4C"/>
    <w:rsid w:val="005B6FA7"/>
    <w:rsid w:val="005C47E0"/>
    <w:rsid w:val="005D34A0"/>
    <w:rsid w:val="005E024C"/>
    <w:rsid w:val="005E085C"/>
    <w:rsid w:val="005E41B2"/>
    <w:rsid w:val="005E4E5C"/>
    <w:rsid w:val="005E5A54"/>
    <w:rsid w:val="005F316D"/>
    <w:rsid w:val="00607B6C"/>
    <w:rsid w:val="00607D38"/>
    <w:rsid w:val="006243BC"/>
    <w:rsid w:val="00624B4F"/>
    <w:rsid w:val="00625287"/>
    <w:rsid w:val="006273E2"/>
    <w:rsid w:val="0063622E"/>
    <w:rsid w:val="00637711"/>
    <w:rsid w:val="00640784"/>
    <w:rsid w:val="00642B6A"/>
    <w:rsid w:val="00643925"/>
    <w:rsid w:val="00645D6D"/>
    <w:rsid w:val="00653547"/>
    <w:rsid w:val="0066471D"/>
    <w:rsid w:val="00665272"/>
    <w:rsid w:val="00666D87"/>
    <w:rsid w:val="00666FBF"/>
    <w:rsid w:val="00667CD6"/>
    <w:rsid w:val="006734D8"/>
    <w:rsid w:val="0067629B"/>
    <w:rsid w:val="006824F8"/>
    <w:rsid w:val="006913E4"/>
    <w:rsid w:val="00694CEE"/>
    <w:rsid w:val="006961A9"/>
    <w:rsid w:val="00697065"/>
    <w:rsid w:val="006B2A40"/>
    <w:rsid w:val="006B5336"/>
    <w:rsid w:val="006C24C9"/>
    <w:rsid w:val="006C5058"/>
    <w:rsid w:val="006D30E7"/>
    <w:rsid w:val="006D356D"/>
    <w:rsid w:val="006D5C30"/>
    <w:rsid w:val="006E787F"/>
    <w:rsid w:val="006F00A1"/>
    <w:rsid w:val="006F1AA9"/>
    <w:rsid w:val="006F7FBB"/>
    <w:rsid w:val="00700481"/>
    <w:rsid w:val="007029A9"/>
    <w:rsid w:val="007044AD"/>
    <w:rsid w:val="00704FFF"/>
    <w:rsid w:val="00715F21"/>
    <w:rsid w:val="00717815"/>
    <w:rsid w:val="00717A14"/>
    <w:rsid w:val="0072353B"/>
    <w:rsid w:val="0074122B"/>
    <w:rsid w:val="007436EC"/>
    <w:rsid w:val="00747BF5"/>
    <w:rsid w:val="00751B4D"/>
    <w:rsid w:val="00752AE8"/>
    <w:rsid w:val="007553BE"/>
    <w:rsid w:val="00755826"/>
    <w:rsid w:val="00755D76"/>
    <w:rsid w:val="00755F59"/>
    <w:rsid w:val="007573D0"/>
    <w:rsid w:val="00760311"/>
    <w:rsid w:val="00761BD2"/>
    <w:rsid w:val="00761C6E"/>
    <w:rsid w:val="00761ED1"/>
    <w:rsid w:val="0076443A"/>
    <w:rsid w:val="00764441"/>
    <w:rsid w:val="00771D97"/>
    <w:rsid w:val="007724B6"/>
    <w:rsid w:val="00774C1A"/>
    <w:rsid w:val="0078471A"/>
    <w:rsid w:val="00795F86"/>
    <w:rsid w:val="007A1013"/>
    <w:rsid w:val="007A6B73"/>
    <w:rsid w:val="007B1735"/>
    <w:rsid w:val="007B7CE3"/>
    <w:rsid w:val="007C3668"/>
    <w:rsid w:val="007C5B3F"/>
    <w:rsid w:val="007C72FB"/>
    <w:rsid w:val="007D22E3"/>
    <w:rsid w:val="007D7026"/>
    <w:rsid w:val="007E10D4"/>
    <w:rsid w:val="007E1D1B"/>
    <w:rsid w:val="007F27F5"/>
    <w:rsid w:val="007F3179"/>
    <w:rsid w:val="007F44AC"/>
    <w:rsid w:val="007F75EF"/>
    <w:rsid w:val="00826F27"/>
    <w:rsid w:val="00833DC9"/>
    <w:rsid w:val="00836741"/>
    <w:rsid w:val="008435FA"/>
    <w:rsid w:val="00843603"/>
    <w:rsid w:val="00845E55"/>
    <w:rsid w:val="008625E2"/>
    <w:rsid w:val="008646FB"/>
    <w:rsid w:val="00866602"/>
    <w:rsid w:val="0086730E"/>
    <w:rsid w:val="00867A9C"/>
    <w:rsid w:val="00870D2C"/>
    <w:rsid w:val="00882745"/>
    <w:rsid w:val="00893396"/>
    <w:rsid w:val="008A33C6"/>
    <w:rsid w:val="008A671E"/>
    <w:rsid w:val="008B2439"/>
    <w:rsid w:val="008C0859"/>
    <w:rsid w:val="008E2C1F"/>
    <w:rsid w:val="008E4EB3"/>
    <w:rsid w:val="008E672D"/>
    <w:rsid w:val="008F2F98"/>
    <w:rsid w:val="008F41C5"/>
    <w:rsid w:val="008F6D4A"/>
    <w:rsid w:val="00902356"/>
    <w:rsid w:val="00904822"/>
    <w:rsid w:val="009138D7"/>
    <w:rsid w:val="009309EC"/>
    <w:rsid w:val="00933C63"/>
    <w:rsid w:val="009352E0"/>
    <w:rsid w:val="009402E6"/>
    <w:rsid w:val="009413AE"/>
    <w:rsid w:val="00951AAD"/>
    <w:rsid w:val="009569EC"/>
    <w:rsid w:val="0096246C"/>
    <w:rsid w:val="00963975"/>
    <w:rsid w:val="0096475D"/>
    <w:rsid w:val="0096587A"/>
    <w:rsid w:val="009729E7"/>
    <w:rsid w:val="00981C2F"/>
    <w:rsid w:val="009837C6"/>
    <w:rsid w:val="00984026"/>
    <w:rsid w:val="00995790"/>
    <w:rsid w:val="0099690D"/>
    <w:rsid w:val="009A0E74"/>
    <w:rsid w:val="009A5C1A"/>
    <w:rsid w:val="009B10DF"/>
    <w:rsid w:val="009B1E93"/>
    <w:rsid w:val="009B2A54"/>
    <w:rsid w:val="009B2F52"/>
    <w:rsid w:val="009C6C6C"/>
    <w:rsid w:val="009C6DB4"/>
    <w:rsid w:val="009D00FB"/>
    <w:rsid w:val="009D0B20"/>
    <w:rsid w:val="009D33F6"/>
    <w:rsid w:val="009D5972"/>
    <w:rsid w:val="009E0831"/>
    <w:rsid w:val="009E356F"/>
    <w:rsid w:val="009E5AF5"/>
    <w:rsid w:val="009F487D"/>
    <w:rsid w:val="00A014A3"/>
    <w:rsid w:val="00A02B24"/>
    <w:rsid w:val="00A02F67"/>
    <w:rsid w:val="00A13E98"/>
    <w:rsid w:val="00A143DC"/>
    <w:rsid w:val="00A151D0"/>
    <w:rsid w:val="00A22D0E"/>
    <w:rsid w:val="00A24C92"/>
    <w:rsid w:val="00A24CC8"/>
    <w:rsid w:val="00A257E3"/>
    <w:rsid w:val="00A261BC"/>
    <w:rsid w:val="00A26927"/>
    <w:rsid w:val="00A34FBC"/>
    <w:rsid w:val="00A40534"/>
    <w:rsid w:val="00A40B87"/>
    <w:rsid w:val="00A52160"/>
    <w:rsid w:val="00A54471"/>
    <w:rsid w:val="00A56908"/>
    <w:rsid w:val="00A708B1"/>
    <w:rsid w:val="00A80B52"/>
    <w:rsid w:val="00A8372C"/>
    <w:rsid w:val="00A83F6C"/>
    <w:rsid w:val="00AA013C"/>
    <w:rsid w:val="00AA3183"/>
    <w:rsid w:val="00AA4FED"/>
    <w:rsid w:val="00AB00BD"/>
    <w:rsid w:val="00AB576F"/>
    <w:rsid w:val="00AC068C"/>
    <w:rsid w:val="00AC2529"/>
    <w:rsid w:val="00AC321B"/>
    <w:rsid w:val="00AC59BE"/>
    <w:rsid w:val="00AD0896"/>
    <w:rsid w:val="00AD0B9F"/>
    <w:rsid w:val="00AD1E74"/>
    <w:rsid w:val="00AD5FD4"/>
    <w:rsid w:val="00AD6D2F"/>
    <w:rsid w:val="00AF2C79"/>
    <w:rsid w:val="00AF47B8"/>
    <w:rsid w:val="00B013A2"/>
    <w:rsid w:val="00B0340E"/>
    <w:rsid w:val="00B1090B"/>
    <w:rsid w:val="00B10E93"/>
    <w:rsid w:val="00B1597F"/>
    <w:rsid w:val="00B260DE"/>
    <w:rsid w:val="00B265B6"/>
    <w:rsid w:val="00B31A84"/>
    <w:rsid w:val="00B328FB"/>
    <w:rsid w:val="00B33652"/>
    <w:rsid w:val="00B3548E"/>
    <w:rsid w:val="00B40E6D"/>
    <w:rsid w:val="00B46731"/>
    <w:rsid w:val="00B522EF"/>
    <w:rsid w:val="00B6776C"/>
    <w:rsid w:val="00B74CE1"/>
    <w:rsid w:val="00B8366B"/>
    <w:rsid w:val="00B86819"/>
    <w:rsid w:val="00B91613"/>
    <w:rsid w:val="00B91704"/>
    <w:rsid w:val="00B921B8"/>
    <w:rsid w:val="00B925C2"/>
    <w:rsid w:val="00BA0A82"/>
    <w:rsid w:val="00BA10C3"/>
    <w:rsid w:val="00BA6BDD"/>
    <w:rsid w:val="00BA7712"/>
    <w:rsid w:val="00BB57CB"/>
    <w:rsid w:val="00BD4C52"/>
    <w:rsid w:val="00BE3923"/>
    <w:rsid w:val="00BE6AC8"/>
    <w:rsid w:val="00BE76BF"/>
    <w:rsid w:val="00BF3442"/>
    <w:rsid w:val="00C005C9"/>
    <w:rsid w:val="00C00862"/>
    <w:rsid w:val="00C016DB"/>
    <w:rsid w:val="00C02B82"/>
    <w:rsid w:val="00C032F4"/>
    <w:rsid w:val="00C03FBF"/>
    <w:rsid w:val="00C07C7D"/>
    <w:rsid w:val="00C13D51"/>
    <w:rsid w:val="00C16D35"/>
    <w:rsid w:val="00C173E1"/>
    <w:rsid w:val="00C2000F"/>
    <w:rsid w:val="00C20143"/>
    <w:rsid w:val="00C2313F"/>
    <w:rsid w:val="00C23A3C"/>
    <w:rsid w:val="00C5286A"/>
    <w:rsid w:val="00C73014"/>
    <w:rsid w:val="00C83EDF"/>
    <w:rsid w:val="00C86C80"/>
    <w:rsid w:val="00C90C42"/>
    <w:rsid w:val="00C91CB5"/>
    <w:rsid w:val="00C9497A"/>
    <w:rsid w:val="00CA03C5"/>
    <w:rsid w:val="00CA0A08"/>
    <w:rsid w:val="00CB1CDA"/>
    <w:rsid w:val="00CB2417"/>
    <w:rsid w:val="00CB5600"/>
    <w:rsid w:val="00CC000E"/>
    <w:rsid w:val="00CC7039"/>
    <w:rsid w:val="00CC74A6"/>
    <w:rsid w:val="00CD19D9"/>
    <w:rsid w:val="00CE32A1"/>
    <w:rsid w:val="00CE561C"/>
    <w:rsid w:val="00CE795B"/>
    <w:rsid w:val="00CF1C34"/>
    <w:rsid w:val="00CF4155"/>
    <w:rsid w:val="00D0347F"/>
    <w:rsid w:val="00D04832"/>
    <w:rsid w:val="00D053CE"/>
    <w:rsid w:val="00D10E42"/>
    <w:rsid w:val="00D10E69"/>
    <w:rsid w:val="00D12FEB"/>
    <w:rsid w:val="00D212A7"/>
    <w:rsid w:val="00D25BD2"/>
    <w:rsid w:val="00D27AE8"/>
    <w:rsid w:val="00D31AC5"/>
    <w:rsid w:val="00D37F72"/>
    <w:rsid w:val="00D46559"/>
    <w:rsid w:val="00D5232E"/>
    <w:rsid w:val="00D52F91"/>
    <w:rsid w:val="00D6493F"/>
    <w:rsid w:val="00D660CC"/>
    <w:rsid w:val="00D71F31"/>
    <w:rsid w:val="00D77266"/>
    <w:rsid w:val="00D77C63"/>
    <w:rsid w:val="00D8759E"/>
    <w:rsid w:val="00D945B5"/>
    <w:rsid w:val="00DA11F2"/>
    <w:rsid w:val="00DA3D66"/>
    <w:rsid w:val="00DA5113"/>
    <w:rsid w:val="00DA74B6"/>
    <w:rsid w:val="00DB00E1"/>
    <w:rsid w:val="00DB1AD1"/>
    <w:rsid w:val="00DB7297"/>
    <w:rsid w:val="00DC0F54"/>
    <w:rsid w:val="00DC77C0"/>
    <w:rsid w:val="00DD3152"/>
    <w:rsid w:val="00DD36CC"/>
    <w:rsid w:val="00DD3B04"/>
    <w:rsid w:val="00DD51EE"/>
    <w:rsid w:val="00DE274D"/>
    <w:rsid w:val="00DF569F"/>
    <w:rsid w:val="00DF6F26"/>
    <w:rsid w:val="00E010A4"/>
    <w:rsid w:val="00E05261"/>
    <w:rsid w:val="00E102D1"/>
    <w:rsid w:val="00E10778"/>
    <w:rsid w:val="00E12FD5"/>
    <w:rsid w:val="00E159C5"/>
    <w:rsid w:val="00E15E4F"/>
    <w:rsid w:val="00E2149D"/>
    <w:rsid w:val="00E26589"/>
    <w:rsid w:val="00E317E0"/>
    <w:rsid w:val="00E321FA"/>
    <w:rsid w:val="00E35A99"/>
    <w:rsid w:val="00E42A80"/>
    <w:rsid w:val="00E446C6"/>
    <w:rsid w:val="00E44D3C"/>
    <w:rsid w:val="00E464BD"/>
    <w:rsid w:val="00E52124"/>
    <w:rsid w:val="00E522A6"/>
    <w:rsid w:val="00E54279"/>
    <w:rsid w:val="00E61DB0"/>
    <w:rsid w:val="00E73A61"/>
    <w:rsid w:val="00E80A59"/>
    <w:rsid w:val="00E81E1F"/>
    <w:rsid w:val="00E87F36"/>
    <w:rsid w:val="00E87F90"/>
    <w:rsid w:val="00E91BE4"/>
    <w:rsid w:val="00EB0FA7"/>
    <w:rsid w:val="00EB1799"/>
    <w:rsid w:val="00EB6F2C"/>
    <w:rsid w:val="00EC238C"/>
    <w:rsid w:val="00EC507E"/>
    <w:rsid w:val="00EC5466"/>
    <w:rsid w:val="00ED0CA7"/>
    <w:rsid w:val="00ED251F"/>
    <w:rsid w:val="00EE1CBB"/>
    <w:rsid w:val="00EF025D"/>
    <w:rsid w:val="00EF35A4"/>
    <w:rsid w:val="00F02CC0"/>
    <w:rsid w:val="00F14334"/>
    <w:rsid w:val="00F21958"/>
    <w:rsid w:val="00F22FCB"/>
    <w:rsid w:val="00F232CA"/>
    <w:rsid w:val="00F31CDA"/>
    <w:rsid w:val="00F3300D"/>
    <w:rsid w:val="00F336E8"/>
    <w:rsid w:val="00F378A6"/>
    <w:rsid w:val="00F4394D"/>
    <w:rsid w:val="00F4707F"/>
    <w:rsid w:val="00F53973"/>
    <w:rsid w:val="00F568E5"/>
    <w:rsid w:val="00F6029E"/>
    <w:rsid w:val="00F64348"/>
    <w:rsid w:val="00F65431"/>
    <w:rsid w:val="00F6621F"/>
    <w:rsid w:val="00F66C64"/>
    <w:rsid w:val="00F80B16"/>
    <w:rsid w:val="00F825B7"/>
    <w:rsid w:val="00F860C4"/>
    <w:rsid w:val="00F95470"/>
    <w:rsid w:val="00FA28E9"/>
    <w:rsid w:val="00FA7B73"/>
    <w:rsid w:val="00FB0145"/>
    <w:rsid w:val="00FB6F7B"/>
    <w:rsid w:val="00FC54D4"/>
    <w:rsid w:val="00FD6D7D"/>
    <w:rsid w:val="00FE1133"/>
    <w:rsid w:val="00FE503D"/>
    <w:rsid w:val="00FE508E"/>
    <w:rsid w:val="00FE6FE8"/>
    <w:rsid w:val="00FF4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50F42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C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99690D"/>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FE1133"/>
    <w:rPr>
      <w:rFonts w:ascii="Tahoma" w:hAnsi="Tahoma" w:cs="Tahoma"/>
      <w:sz w:val="16"/>
      <w:szCs w:val="16"/>
    </w:rPr>
  </w:style>
  <w:style w:type="character" w:customStyle="1" w:styleId="BalloonTextChar">
    <w:name w:val="Balloon Text Char"/>
    <w:basedOn w:val="DefaultParagraphFont"/>
    <w:link w:val="BalloonText"/>
    <w:uiPriority w:val="99"/>
    <w:semiHidden/>
    <w:rsid w:val="00FE1133"/>
    <w:rPr>
      <w:rFonts w:ascii="Tahoma" w:hAnsi="Tahoma" w:cs="Tahoma"/>
      <w:sz w:val="16"/>
      <w:szCs w:val="16"/>
    </w:rPr>
  </w:style>
  <w:style w:type="character" w:styleId="CommentReference">
    <w:name w:val="annotation reference"/>
    <w:basedOn w:val="DefaultParagraphFont"/>
    <w:uiPriority w:val="99"/>
    <w:semiHidden/>
    <w:unhideWhenUsed/>
    <w:rsid w:val="003755F4"/>
    <w:rPr>
      <w:sz w:val="16"/>
      <w:szCs w:val="16"/>
    </w:rPr>
  </w:style>
  <w:style w:type="paragraph" w:styleId="CommentText">
    <w:name w:val="annotation text"/>
    <w:basedOn w:val="Normal"/>
    <w:link w:val="CommentTextChar"/>
    <w:uiPriority w:val="99"/>
    <w:unhideWhenUsed/>
    <w:rsid w:val="003755F4"/>
    <w:rPr>
      <w:sz w:val="20"/>
      <w:szCs w:val="20"/>
    </w:rPr>
  </w:style>
  <w:style w:type="character" w:customStyle="1" w:styleId="CommentTextChar">
    <w:name w:val="Comment Text Char"/>
    <w:basedOn w:val="DefaultParagraphFont"/>
    <w:link w:val="CommentText"/>
    <w:uiPriority w:val="99"/>
    <w:rsid w:val="003755F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755F4"/>
    <w:rPr>
      <w:b/>
      <w:bCs/>
    </w:rPr>
  </w:style>
  <w:style w:type="character" w:customStyle="1" w:styleId="CommentSubjectChar">
    <w:name w:val="Comment Subject Char"/>
    <w:basedOn w:val="CommentTextChar"/>
    <w:link w:val="CommentSubject"/>
    <w:uiPriority w:val="99"/>
    <w:semiHidden/>
    <w:rsid w:val="003755F4"/>
    <w:rPr>
      <w:rFonts w:ascii="Times New Roman" w:hAnsi="Times New Roman"/>
      <w:b/>
      <w:bCs/>
      <w:sz w:val="20"/>
      <w:szCs w:val="20"/>
    </w:rPr>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ootnote Text Char1,ft,fn"/>
    <w:basedOn w:val="Normal"/>
    <w:link w:val="FootnoteTextChar"/>
    <w:uiPriority w:val="99"/>
    <w:unhideWhenUsed/>
    <w:rsid w:val="009C6DB4"/>
    <w:rPr>
      <w:sz w:val="20"/>
      <w:szCs w:val="20"/>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basedOn w:val="DefaultParagraphFont"/>
    <w:link w:val="FootnoteText"/>
    <w:uiPriority w:val="99"/>
    <w:rsid w:val="009C6DB4"/>
    <w:rPr>
      <w:rFonts w:ascii="Times New Roman" w:hAnsi="Times New Roman"/>
      <w:sz w:val="20"/>
      <w:szCs w:val="20"/>
    </w:rPr>
  </w:style>
  <w:style w:type="character" w:styleId="FootnoteReference">
    <w:name w:val="footnote reference"/>
    <w:aliases w:val="fr,Style 19,Style 16,Style 35,12,Style 39,Style 14,16 Point,Superscript 6 Point,Footnote Reference Number,Footnote Reference_LVL6,Footnote Reference_LVL61,Footnote Reference_LVL62,Footnote Reference_LVL63,Footnote Reference_LVL64"/>
    <w:uiPriority w:val="99"/>
    <w:qFormat/>
    <w:rsid w:val="009C6DB4"/>
    <w:rPr>
      <w:vertAlign w:val="superscript"/>
    </w:rPr>
  </w:style>
  <w:style w:type="paragraph" w:styleId="Header">
    <w:name w:val="header"/>
    <w:basedOn w:val="Normal"/>
    <w:link w:val="HeaderChar"/>
    <w:uiPriority w:val="99"/>
    <w:unhideWhenUsed/>
    <w:rsid w:val="00FE6FE8"/>
    <w:pPr>
      <w:tabs>
        <w:tab w:val="center" w:pos="4680"/>
        <w:tab w:val="right" w:pos="9360"/>
      </w:tabs>
    </w:pPr>
  </w:style>
  <w:style w:type="character" w:customStyle="1" w:styleId="HeaderChar">
    <w:name w:val="Header Char"/>
    <w:basedOn w:val="DefaultParagraphFont"/>
    <w:link w:val="Header"/>
    <w:uiPriority w:val="99"/>
    <w:rsid w:val="00FE6FE8"/>
    <w:rPr>
      <w:rFonts w:ascii="Times New Roman" w:hAnsi="Times New Roman"/>
      <w:sz w:val="24"/>
    </w:rPr>
  </w:style>
  <w:style w:type="paragraph" w:styleId="Footer">
    <w:name w:val="footer"/>
    <w:basedOn w:val="Normal"/>
    <w:link w:val="FooterChar"/>
    <w:uiPriority w:val="99"/>
    <w:unhideWhenUsed/>
    <w:rsid w:val="00FE6FE8"/>
    <w:pPr>
      <w:tabs>
        <w:tab w:val="center" w:pos="4680"/>
        <w:tab w:val="right" w:pos="9360"/>
      </w:tabs>
    </w:pPr>
  </w:style>
  <w:style w:type="character" w:customStyle="1" w:styleId="FooterChar">
    <w:name w:val="Footer Char"/>
    <w:basedOn w:val="DefaultParagraphFont"/>
    <w:link w:val="Footer"/>
    <w:uiPriority w:val="99"/>
    <w:rsid w:val="00FE6FE8"/>
    <w:rPr>
      <w:rFonts w:ascii="Times New Roman" w:hAnsi="Times New Roman"/>
      <w:sz w:val="24"/>
    </w:rPr>
  </w:style>
  <w:style w:type="paragraph" w:styleId="PlainText">
    <w:name w:val="Plain Text"/>
    <w:basedOn w:val="Normal"/>
    <w:link w:val="PlainTextChar"/>
    <w:uiPriority w:val="99"/>
    <w:semiHidden/>
    <w:unhideWhenUsed/>
    <w:rsid w:val="00E54279"/>
    <w:rPr>
      <w:rFonts w:ascii="Consolas" w:hAnsi="Consolas"/>
      <w:sz w:val="21"/>
      <w:szCs w:val="21"/>
    </w:rPr>
  </w:style>
  <w:style w:type="character" w:customStyle="1" w:styleId="PlainTextChar">
    <w:name w:val="Plain Text Char"/>
    <w:basedOn w:val="DefaultParagraphFont"/>
    <w:link w:val="PlainText"/>
    <w:uiPriority w:val="99"/>
    <w:semiHidden/>
    <w:rsid w:val="00E54279"/>
    <w:rPr>
      <w:rFonts w:ascii="Consolas" w:hAnsi="Consolas"/>
      <w:sz w:val="21"/>
      <w:szCs w:val="21"/>
    </w:rPr>
  </w:style>
  <w:style w:type="paragraph" w:styleId="ListParagraph">
    <w:name w:val="List Paragraph"/>
    <w:basedOn w:val="Normal"/>
    <w:uiPriority w:val="34"/>
    <w:qFormat/>
    <w:rsid w:val="009E356F"/>
    <w:pPr>
      <w:ind w:left="720"/>
      <w:contextualSpacing/>
    </w:pPr>
  </w:style>
  <w:style w:type="table" w:styleId="TableGrid">
    <w:name w:val="Table Grid"/>
    <w:basedOn w:val="TableNormal"/>
    <w:uiPriority w:val="59"/>
    <w:rsid w:val="002B11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4B4F"/>
    <w:rPr>
      <w:color w:val="0000FF"/>
      <w:u w:val="single"/>
    </w:rPr>
  </w:style>
  <w:style w:type="character" w:styleId="FollowedHyperlink">
    <w:name w:val="FollowedHyperlink"/>
    <w:basedOn w:val="DefaultParagraphFont"/>
    <w:uiPriority w:val="99"/>
    <w:semiHidden/>
    <w:unhideWhenUsed/>
    <w:rsid w:val="00D660CC"/>
    <w:rPr>
      <w:color w:val="800080" w:themeColor="followedHyperlink"/>
      <w:u w:val="single"/>
    </w:rPr>
  </w:style>
  <w:style w:type="paragraph" w:styleId="NormalWeb">
    <w:name w:val="Normal (Web)"/>
    <w:basedOn w:val="Normal"/>
    <w:uiPriority w:val="99"/>
    <w:semiHidden/>
    <w:unhideWhenUsed/>
    <w:rsid w:val="00DE274D"/>
    <w:rPr>
      <w:rFonts w:cs="Times New Roman"/>
      <w:szCs w:val="24"/>
    </w:rPr>
  </w:style>
  <w:style w:type="paragraph" w:styleId="Revision">
    <w:name w:val="Revision"/>
    <w:hidden/>
    <w:uiPriority w:val="99"/>
    <w:semiHidden/>
    <w:rsid w:val="00E44D3C"/>
    <w:pPr>
      <w:spacing w:after="0" w:line="240" w:lineRule="auto"/>
    </w:pPr>
    <w:rPr>
      <w:rFonts w:ascii="Times New Roman" w:hAnsi="Times New Roman"/>
      <w:sz w:val="24"/>
    </w:rPr>
  </w:style>
  <w:style w:type="paragraph" w:styleId="EndnoteText">
    <w:name w:val="endnote text"/>
    <w:basedOn w:val="Normal"/>
    <w:link w:val="EndnoteTextChar"/>
    <w:uiPriority w:val="99"/>
    <w:semiHidden/>
    <w:unhideWhenUsed/>
    <w:rsid w:val="00013AB1"/>
    <w:rPr>
      <w:sz w:val="20"/>
      <w:szCs w:val="20"/>
    </w:rPr>
  </w:style>
  <w:style w:type="character" w:customStyle="1" w:styleId="EndnoteTextChar">
    <w:name w:val="Endnote Text Char"/>
    <w:basedOn w:val="DefaultParagraphFont"/>
    <w:link w:val="EndnoteText"/>
    <w:uiPriority w:val="99"/>
    <w:semiHidden/>
    <w:rsid w:val="00013AB1"/>
    <w:rPr>
      <w:rFonts w:ascii="Times New Roman" w:hAnsi="Times New Roman"/>
      <w:sz w:val="20"/>
      <w:szCs w:val="20"/>
    </w:rPr>
  </w:style>
  <w:style w:type="character" w:styleId="EndnoteReference">
    <w:name w:val="endnote reference"/>
    <w:basedOn w:val="DefaultParagraphFont"/>
    <w:uiPriority w:val="99"/>
    <w:semiHidden/>
    <w:unhideWhenUsed/>
    <w:rsid w:val="00013AB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C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99690D"/>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FE1133"/>
    <w:rPr>
      <w:rFonts w:ascii="Tahoma" w:hAnsi="Tahoma" w:cs="Tahoma"/>
      <w:sz w:val="16"/>
      <w:szCs w:val="16"/>
    </w:rPr>
  </w:style>
  <w:style w:type="character" w:customStyle="1" w:styleId="BalloonTextChar">
    <w:name w:val="Balloon Text Char"/>
    <w:basedOn w:val="DefaultParagraphFont"/>
    <w:link w:val="BalloonText"/>
    <w:uiPriority w:val="99"/>
    <w:semiHidden/>
    <w:rsid w:val="00FE1133"/>
    <w:rPr>
      <w:rFonts w:ascii="Tahoma" w:hAnsi="Tahoma" w:cs="Tahoma"/>
      <w:sz w:val="16"/>
      <w:szCs w:val="16"/>
    </w:rPr>
  </w:style>
  <w:style w:type="character" w:styleId="CommentReference">
    <w:name w:val="annotation reference"/>
    <w:basedOn w:val="DefaultParagraphFont"/>
    <w:uiPriority w:val="99"/>
    <w:semiHidden/>
    <w:unhideWhenUsed/>
    <w:rsid w:val="003755F4"/>
    <w:rPr>
      <w:sz w:val="16"/>
      <w:szCs w:val="16"/>
    </w:rPr>
  </w:style>
  <w:style w:type="paragraph" w:styleId="CommentText">
    <w:name w:val="annotation text"/>
    <w:basedOn w:val="Normal"/>
    <w:link w:val="CommentTextChar"/>
    <w:uiPriority w:val="99"/>
    <w:unhideWhenUsed/>
    <w:rsid w:val="003755F4"/>
    <w:rPr>
      <w:sz w:val="20"/>
      <w:szCs w:val="20"/>
    </w:rPr>
  </w:style>
  <w:style w:type="character" w:customStyle="1" w:styleId="CommentTextChar">
    <w:name w:val="Comment Text Char"/>
    <w:basedOn w:val="DefaultParagraphFont"/>
    <w:link w:val="CommentText"/>
    <w:uiPriority w:val="99"/>
    <w:rsid w:val="003755F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755F4"/>
    <w:rPr>
      <w:b/>
      <w:bCs/>
    </w:rPr>
  </w:style>
  <w:style w:type="character" w:customStyle="1" w:styleId="CommentSubjectChar">
    <w:name w:val="Comment Subject Char"/>
    <w:basedOn w:val="CommentTextChar"/>
    <w:link w:val="CommentSubject"/>
    <w:uiPriority w:val="99"/>
    <w:semiHidden/>
    <w:rsid w:val="003755F4"/>
    <w:rPr>
      <w:rFonts w:ascii="Times New Roman" w:hAnsi="Times New Roman"/>
      <w:b/>
      <w:bCs/>
      <w:sz w:val="20"/>
      <w:szCs w:val="20"/>
    </w:rPr>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ootnote Text Char1,ft,fn"/>
    <w:basedOn w:val="Normal"/>
    <w:link w:val="FootnoteTextChar"/>
    <w:uiPriority w:val="99"/>
    <w:unhideWhenUsed/>
    <w:rsid w:val="009C6DB4"/>
    <w:rPr>
      <w:sz w:val="20"/>
      <w:szCs w:val="20"/>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basedOn w:val="DefaultParagraphFont"/>
    <w:link w:val="FootnoteText"/>
    <w:uiPriority w:val="99"/>
    <w:rsid w:val="009C6DB4"/>
    <w:rPr>
      <w:rFonts w:ascii="Times New Roman" w:hAnsi="Times New Roman"/>
      <w:sz w:val="20"/>
      <w:szCs w:val="20"/>
    </w:rPr>
  </w:style>
  <w:style w:type="character" w:styleId="FootnoteReference">
    <w:name w:val="footnote reference"/>
    <w:aliases w:val="fr,Style 19,Style 16,Style 35,12,Style 39,Style 14,16 Point,Superscript 6 Point,Footnote Reference Number,Footnote Reference_LVL6,Footnote Reference_LVL61,Footnote Reference_LVL62,Footnote Reference_LVL63,Footnote Reference_LVL64"/>
    <w:uiPriority w:val="99"/>
    <w:qFormat/>
    <w:rsid w:val="009C6DB4"/>
    <w:rPr>
      <w:vertAlign w:val="superscript"/>
    </w:rPr>
  </w:style>
  <w:style w:type="paragraph" w:styleId="Header">
    <w:name w:val="header"/>
    <w:basedOn w:val="Normal"/>
    <w:link w:val="HeaderChar"/>
    <w:uiPriority w:val="99"/>
    <w:unhideWhenUsed/>
    <w:rsid w:val="00FE6FE8"/>
    <w:pPr>
      <w:tabs>
        <w:tab w:val="center" w:pos="4680"/>
        <w:tab w:val="right" w:pos="9360"/>
      </w:tabs>
    </w:pPr>
  </w:style>
  <w:style w:type="character" w:customStyle="1" w:styleId="HeaderChar">
    <w:name w:val="Header Char"/>
    <w:basedOn w:val="DefaultParagraphFont"/>
    <w:link w:val="Header"/>
    <w:uiPriority w:val="99"/>
    <w:rsid w:val="00FE6FE8"/>
    <w:rPr>
      <w:rFonts w:ascii="Times New Roman" w:hAnsi="Times New Roman"/>
      <w:sz w:val="24"/>
    </w:rPr>
  </w:style>
  <w:style w:type="paragraph" w:styleId="Footer">
    <w:name w:val="footer"/>
    <w:basedOn w:val="Normal"/>
    <w:link w:val="FooterChar"/>
    <w:uiPriority w:val="99"/>
    <w:unhideWhenUsed/>
    <w:rsid w:val="00FE6FE8"/>
    <w:pPr>
      <w:tabs>
        <w:tab w:val="center" w:pos="4680"/>
        <w:tab w:val="right" w:pos="9360"/>
      </w:tabs>
    </w:pPr>
  </w:style>
  <w:style w:type="character" w:customStyle="1" w:styleId="FooterChar">
    <w:name w:val="Footer Char"/>
    <w:basedOn w:val="DefaultParagraphFont"/>
    <w:link w:val="Footer"/>
    <w:uiPriority w:val="99"/>
    <w:rsid w:val="00FE6FE8"/>
    <w:rPr>
      <w:rFonts w:ascii="Times New Roman" w:hAnsi="Times New Roman"/>
      <w:sz w:val="24"/>
    </w:rPr>
  </w:style>
  <w:style w:type="paragraph" w:styleId="PlainText">
    <w:name w:val="Plain Text"/>
    <w:basedOn w:val="Normal"/>
    <w:link w:val="PlainTextChar"/>
    <w:uiPriority w:val="99"/>
    <w:semiHidden/>
    <w:unhideWhenUsed/>
    <w:rsid w:val="00E54279"/>
    <w:rPr>
      <w:rFonts w:ascii="Consolas" w:hAnsi="Consolas"/>
      <w:sz w:val="21"/>
      <w:szCs w:val="21"/>
    </w:rPr>
  </w:style>
  <w:style w:type="character" w:customStyle="1" w:styleId="PlainTextChar">
    <w:name w:val="Plain Text Char"/>
    <w:basedOn w:val="DefaultParagraphFont"/>
    <w:link w:val="PlainText"/>
    <w:uiPriority w:val="99"/>
    <w:semiHidden/>
    <w:rsid w:val="00E54279"/>
    <w:rPr>
      <w:rFonts w:ascii="Consolas" w:hAnsi="Consolas"/>
      <w:sz w:val="21"/>
      <w:szCs w:val="21"/>
    </w:rPr>
  </w:style>
  <w:style w:type="paragraph" w:styleId="ListParagraph">
    <w:name w:val="List Paragraph"/>
    <w:basedOn w:val="Normal"/>
    <w:uiPriority w:val="34"/>
    <w:qFormat/>
    <w:rsid w:val="009E356F"/>
    <w:pPr>
      <w:ind w:left="720"/>
      <w:contextualSpacing/>
    </w:pPr>
  </w:style>
  <w:style w:type="table" w:styleId="TableGrid">
    <w:name w:val="Table Grid"/>
    <w:basedOn w:val="TableNormal"/>
    <w:uiPriority w:val="59"/>
    <w:rsid w:val="002B11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4B4F"/>
    <w:rPr>
      <w:color w:val="0000FF"/>
      <w:u w:val="single"/>
    </w:rPr>
  </w:style>
  <w:style w:type="character" w:styleId="FollowedHyperlink">
    <w:name w:val="FollowedHyperlink"/>
    <w:basedOn w:val="DefaultParagraphFont"/>
    <w:uiPriority w:val="99"/>
    <w:semiHidden/>
    <w:unhideWhenUsed/>
    <w:rsid w:val="00D660CC"/>
    <w:rPr>
      <w:color w:val="800080" w:themeColor="followedHyperlink"/>
      <w:u w:val="single"/>
    </w:rPr>
  </w:style>
  <w:style w:type="paragraph" w:styleId="NormalWeb">
    <w:name w:val="Normal (Web)"/>
    <w:basedOn w:val="Normal"/>
    <w:uiPriority w:val="99"/>
    <w:semiHidden/>
    <w:unhideWhenUsed/>
    <w:rsid w:val="00DE274D"/>
    <w:rPr>
      <w:rFonts w:cs="Times New Roman"/>
      <w:szCs w:val="24"/>
    </w:rPr>
  </w:style>
  <w:style w:type="paragraph" w:styleId="Revision">
    <w:name w:val="Revision"/>
    <w:hidden/>
    <w:uiPriority w:val="99"/>
    <w:semiHidden/>
    <w:rsid w:val="00E44D3C"/>
    <w:pPr>
      <w:spacing w:after="0" w:line="240" w:lineRule="auto"/>
    </w:pPr>
    <w:rPr>
      <w:rFonts w:ascii="Times New Roman" w:hAnsi="Times New Roman"/>
      <w:sz w:val="24"/>
    </w:rPr>
  </w:style>
  <w:style w:type="paragraph" w:styleId="EndnoteText">
    <w:name w:val="endnote text"/>
    <w:basedOn w:val="Normal"/>
    <w:link w:val="EndnoteTextChar"/>
    <w:uiPriority w:val="99"/>
    <w:semiHidden/>
    <w:unhideWhenUsed/>
    <w:rsid w:val="00013AB1"/>
    <w:rPr>
      <w:sz w:val="20"/>
      <w:szCs w:val="20"/>
    </w:rPr>
  </w:style>
  <w:style w:type="character" w:customStyle="1" w:styleId="EndnoteTextChar">
    <w:name w:val="Endnote Text Char"/>
    <w:basedOn w:val="DefaultParagraphFont"/>
    <w:link w:val="EndnoteText"/>
    <w:uiPriority w:val="99"/>
    <w:semiHidden/>
    <w:rsid w:val="00013AB1"/>
    <w:rPr>
      <w:rFonts w:ascii="Times New Roman" w:hAnsi="Times New Roman"/>
      <w:sz w:val="20"/>
      <w:szCs w:val="20"/>
    </w:rPr>
  </w:style>
  <w:style w:type="character" w:styleId="EndnoteReference">
    <w:name w:val="endnote reference"/>
    <w:basedOn w:val="DefaultParagraphFont"/>
    <w:uiPriority w:val="99"/>
    <w:semiHidden/>
    <w:unhideWhenUsed/>
    <w:rsid w:val="00013A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5632">
      <w:bodyDiv w:val="1"/>
      <w:marLeft w:val="0"/>
      <w:marRight w:val="0"/>
      <w:marTop w:val="0"/>
      <w:marBottom w:val="0"/>
      <w:divBdr>
        <w:top w:val="none" w:sz="0" w:space="0" w:color="auto"/>
        <w:left w:val="none" w:sz="0" w:space="0" w:color="auto"/>
        <w:bottom w:val="none" w:sz="0" w:space="0" w:color="auto"/>
        <w:right w:val="none" w:sz="0" w:space="0" w:color="auto"/>
      </w:divBdr>
    </w:div>
    <w:div w:id="129059721">
      <w:bodyDiv w:val="1"/>
      <w:marLeft w:val="0"/>
      <w:marRight w:val="0"/>
      <w:marTop w:val="0"/>
      <w:marBottom w:val="0"/>
      <w:divBdr>
        <w:top w:val="none" w:sz="0" w:space="0" w:color="auto"/>
        <w:left w:val="none" w:sz="0" w:space="0" w:color="auto"/>
        <w:bottom w:val="none" w:sz="0" w:space="0" w:color="auto"/>
        <w:right w:val="none" w:sz="0" w:space="0" w:color="auto"/>
      </w:divBdr>
    </w:div>
    <w:div w:id="377320454">
      <w:bodyDiv w:val="1"/>
      <w:marLeft w:val="0"/>
      <w:marRight w:val="0"/>
      <w:marTop w:val="0"/>
      <w:marBottom w:val="0"/>
      <w:divBdr>
        <w:top w:val="none" w:sz="0" w:space="0" w:color="auto"/>
        <w:left w:val="none" w:sz="0" w:space="0" w:color="auto"/>
        <w:bottom w:val="none" w:sz="0" w:space="0" w:color="auto"/>
        <w:right w:val="none" w:sz="0" w:space="0" w:color="auto"/>
      </w:divBdr>
    </w:div>
    <w:div w:id="804467168">
      <w:bodyDiv w:val="1"/>
      <w:marLeft w:val="0"/>
      <w:marRight w:val="0"/>
      <w:marTop w:val="0"/>
      <w:marBottom w:val="0"/>
      <w:divBdr>
        <w:top w:val="none" w:sz="0" w:space="0" w:color="auto"/>
        <w:left w:val="none" w:sz="0" w:space="0" w:color="auto"/>
        <w:bottom w:val="none" w:sz="0" w:space="0" w:color="auto"/>
        <w:right w:val="none" w:sz="0" w:space="0" w:color="auto"/>
      </w:divBdr>
    </w:div>
    <w:div w:id="811412791">
      <w:bodyDiv w:val="1"/>
      <w:marLeft w:val="0"/>
      <w:marRight w:val="0"/>
      <w:marTop w:val="0"/>
      <w:marBottom w:val="0"/>
      <w:divBdr>
        <w:top w:val="none" w:sz="0" w:space="0" w:color="auto"/>
        <w:left w:val="none" w:sz="0" w:space="0" w:color="auto"/>
        <w:bottom w:val="none" w:sz="0" w:space="0" w:color="auto"/>
        <w:right w:val="none" w:sz="0" w:space="0" w:color="auto"/>
      </w:divBdr>
    </w:div>
    <w:div w:id="826440288">
      <w:bodyDiv w:val="1"/>
      <w:marLeft w:val="0"/>
      <w:marRight w:val="0"/>
      <w:marTop w:val="0"/>
      <w:marBottom w:val="0"/>
      <w:divBdr>
        <w:top w:val="none" w:sz="0" w:space="0" w:color="auto"/>
        <w:left w:val="none" w:sz="0" w:space="0" w:color="auto"/>
        <w:bottom w:val="none" w:sz="0" w:space="0" w:color="auto"/>
        <w:right w:val="none" w:sz="0" w:space="0" w:color="auto"/>
      </w:divBdr>
    </w:div>
    <w:div w:id="95737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file:///C:/Users/mtente/AppData/Local/Microsoft/Windows/INetCache/Content.MSO/8EA6C3.tm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8F8C64E8EF5D4F838F827AA9BAC992" ma:contentTypeVersion="0" ma:contentTypeDescription="Create a new document." ma:contentTypeScope="" ma:versionID="58eccbbde2b8734d5698cba15988f96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4D3DE-029C-4524-B95B-318EEF6C30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E367CBB-B949-4A71-ACFE-8DD0396879C0}">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150A2B3-3350-4B41-ADD8-BDF7822C5EEB}">
  <ds:schemaRefs>
    <ds:schemaRef ds:uri="http://schemas.microsoft.com/sharepoint/v3/contenttype/forms"/>
  </ds:schemaRefs>
</ds:datastoreItem>
</file>

<file path=customXml/itemProps4.xml><?xml version="1.0" encoding="utf-8"?>
<ds:datastoreItem xmlns:ds="http://schemas.openxmlformats.org/officeDocument/2006/customXml" ds:itemID="{5C996A36-56E6-4CE4-BCEB-437BC5901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5034</Words>
  <Characters>28698</Characters>
  <Application>Microsoft Office Word</Application>
  <DocSecurity>4</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33665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WMcobb</dc:creator>
  <cp:keywords>PRA Blank</cp:keywords>
  <cp:lastModifiedBy>Office of the General Counsel</cp:lastModifiedBy>
  <cp:revision>2</cp:revision>
  <cp:lastPrinted>2020-03-06T20:53:00Z</cp:lastPrinted>
  <dcterms:created xsi:type="dcterms:W3CDTF">2020-04-17T21:55:00Z</dcterms:created>
  <dcterms:modified xsi:type="dcterms:W3CDTF">2020-04-17T21:55:00Z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0x0101004A8F8C64E8EF5D4F838F827AA9BAC992</vt:lpwstr>
  </property>
  <property fmtid="{D5CDD505-2E9C-101B-9397-08002B2CF9AE}" pid="3" name="CFTC Location">
    <vt:lpwstr>14;#All CFTC Locations|07b51532-ca12-475e-8433-c139a58bc2c8</vt:lpwstr>
  </property>
  <property fmtid="{D5CDD505-2E9C-101B-9397-08002B2CF9AE}" pid="4" name="CFTC Subject">
    <vt:lpwstr>104;#Legal|12e962f7-0af9-400d-a646-2af5c7b92277;#56;#Agency Operations|3495dd4b-79d7-41a6-8ce6-02dce84f79b0</vt:lpwstr>
  </property>
  <property fmtid="{D5CDD505-2E9C-101B-9397-08002B2CF9AE}" pid="5" name="TaxKeyword">
    <vt:lpwstr>2268;#PRA Blank|bbbd82c5-0437-4006-80e0-1ee767fc1cab</vt:lpwstr>
  </property>
  <property fmtid="{D5CDD505-2E9C-101B-9397-08002B2CF9AE}" pid="6" name="CFTC Audience">
    <vt:lpwstr>13;#All CFTC Staff|4f9c852f-d497-40c4-b357-3897abf65c10</vt:lpwstr>
  </property>
  <property fmtid="{D5CDD505-2E9C-101B-9397-08002B2CF9AE}" pid="7" name="CFTC Type">
    <vt:lpwstr>15;#General|f4844b07-25eb-4c74-a1a4-15dd52f1d01d</vt:lpwstr>
  </property>
  <property fmtid="{D5CDD505-2E9C-101B-9397-08002B2CF9AE}" pid="8" name="CFTC Owner">
    <vt:lpwstr>73;#Office of the General Counsel|bd58875c-cb9d-447e-b8fd-b2672ffab719</vt:lpwstr>
  </property>
</Properties>
</file>