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42B6A" w:rsidR="00642B6A" w:rsidP="00140DEF" w:rsidRDefault="00642B6A" w14:paraId="50F42292" w14:textId="77777777">
      <w:pPr>
        <w:suppressAutoHyphens/>
        <w:jc w:val="center"/>
        <w:rPr>
          <w:rFonts w:eastAsia="Times New Roman" w:cs="Times New Roman"/>
          <w:b/>
          <w:szCs w:val="24"/>
        </w:rPr>
      </w:pPr>
      <w:bookmarkStart w:name="_GoBack" w:id="0"/>
      <w:bookmarkEnd w:id="0"/>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0AF3497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524073">
        <w:rPr>
          <w:rFonts w:eastAsia="Times New Roman" w:cs="Times New Roman"/>
          <w:b/>
          <w:szCs w:val="24"/>
        </w:rPr>
        <w:t>8</w:t>
      </w:r>
      <w:r w:rsidR="00047399">
        <w:rPr>
          <w:rFonts w:eastAsia="Times New Roman" w:cs="Times New Roman"/>
          <w:b/>
          <w:szCs w:val="24"/>
        </w:rPr>
        <w:t>6</w:t>
      </w:r>
    </w:p>
    <w:p w:rsidR="00524073" w:rsidP="006B3F2C" w:rsidRDefault="00524073" w14:paraId="60199080" w14:textId="77777777">
      <w:pPr>
        <w:spacing w:after="240"/>
        <w:jc w:val="center"/>
        <w:outlineLvl w:val="0"/>
        <w:rPr>
          <w:rFonts w:eastAsia="Times New Roman" w:cs="Times New Roman"/>
          <w:szCs w:val="24"/>
        </w:rPr>
      </w:pPr>
      <w:r w:rsidRPr="00524073">
        <w:rPr>
          <w:rFonts w:eastAsia="Times New Roman" w:cs="Times New Roman"/>
          <w:szCs w:val="24"/>
        </w:rPr>
        <w:t>Swap Data Repositories: Registration and Regulatory Requirements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00524073" w:rsidP="00E54279" w:rsidRDefault="00524073" w14:paraId="2DFF15E2" w14:textId="764F2219">
      <w:pPr>
        <w:tabs>
          <w:tab w:val="left" w:pos="-720"/>
          <w:tab w:val="left" w:pos="0"/>
        </w:tabs>
        <w:spacing w:after="240"/>
        <w:ind w:firstLine="720"/>
      </w:pPr>
      <w:r w:rsidRPr="00524073">
        <w:t xml:space="preserve">Section </w:t>
      </w:r>
      <w:r>
        <w:t>21</w:t>
      </w:r>
      <w:r w:rsidRPr="00524073">
        <w:t xml:space="preserve"> of the </w:t>
      </w:r>
      <w:r>
        <w:t>Commodity Exchange Act (“CEA”)</w:t>
      </w:r>
      <w:r w:rsidRPr="00524073">
        <w:t xml:space="preserve"> requires </w:t>
      </w:r>
      <w:r>
        <w:t>that the Commission</w:t>
      </w:r>
      <w:r w:rsidRPr="00524073">
        <w:t xml:space="preserve"> establish certain standards for the registration and governance (“SDRs”), including regulations regarding SDRs reporting data to the Commission and to the public. </w:t>
      </w:r>
      <w:r>
        <w:t>T</w:t>
      </w:r>
      <w:r w:rsidRPr="00524073">
        <w:t xml:space="preserve">he </w:t>
      </w:r>
      <w:r>
        <w:t>Commission established these regulations in Part 49 of the Commission’s regulations</w:t>
      </w:r>
      <w:r w:rsidRPr="00524073">
        <w:t>.</w:t>
      </w:r>
    </w:p>
    <w:p w:rsidR="00A02F67" w:rsidP="00A02F67" w:rsidRDefault="00E54279" w14:paraId="7CC1F1F7" w14:textId="37EA2E99">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The Commission is proposing amendments to Part 4</w:t>
      </w:r>
      <w:r w:rsidR="00524073">
        <w:rPr>
          <w:rFonts w:eastAsia="Times New Roman" w:cs="Times New Roman"/>
          <w:color w:val="000000"/>
          <w:szCs w:val="24"/>
        </w:rPr>
        <w:t>9</w:t>
      </w:r>
      <w:r w:rsidR="00ED251F">
        <w:rPr>
          <w:rFonts w:eastAsia="Times New Roman" w:cs="Times New Roman"/>
          <w:color w:val="000000"/>
          <w:szCs w:val="24"/>
        </w:rPr>
        <w:t xml:space="preserve">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A02F67">
        <w:rPr>
          <w:rFonts w:eastAsia="Calibri" w:cs="Times New Roman"/>
          <w:szCs w:val="24"/>
        </w:rPr>
        <w:t xml:space="preserve"> </w:t>
      </w:r>
      <w:r w:rsidR="00ED251F">
        <w:rPr>
          <w:rFonts w:eastAsia="Times New Roman" w:cs="Times New Roman"/>
          <w:color w:val="000000"/>
          <w:szCs w:val="24"/>
        </w:rPr>
        <w:t>T</w:t>
      </w:r>
      <w:r w:rsidRPr="00A02F67" w:rsidR="00A02F67">
        <w:rPr>
          <w:rFonts w:eastAsia="Times New Roman" w:cs="Times New Roman"/>
          <w:color w:val="000000"/>
          <w:szCs w:val="24"/>
        </w:rPr>
        <w:t xml:space="preserve">he Commission is proposing to </w:t>
      </w:r>
      <w:r w:rsidR="007E03FF">
        <w:rPr>
          <w:rFonts w:eastAsia="Times New Roman" w:cs="Times New Roman"/>
          <w:color w:val="000000"/>
          <w:szCs w:val="24"/>
        </w:rPr>
        <w:t xml:space="preserve">amend </w:t>
      </w:r>
      <w:r w:rsidR="00A02F67">
        <w:rPr>
          <w:rFonts w:eastAsia="Times New Roman" w:cs="Times New Roman"/>
          <w:color w:val="000000"/>
          <w:szCs w:val="24"/>
        </w:rPr>
        <w:t>Information Collection 3038-00</w:t>
      </w:r>
      <w:r w:rsidR="00524073">
        <w:rPr>
          <w:rFonts w:eastAsia="Times New Roman" w:cs="Times New Roman"/>
          <w:color w:val="000000"/>
          <w:szCs w:val="24"/>
        </w:rPr>
        <w:t>8</w:t>
      </w:r>
      <w:r w:rsidR="00047399">
        <w:rPr>
          <w:rFonts w:eastAsia="Times New Roman" w:cs="Times New Roman"/>
          <w:color w:val="000000"/>
          <w:szCs w:val="24"/>
        </w:rPr>
        <w:t>6</w:t>
      </w:r>
      <w:r w:rsidRPr="00A02F67" w:rsidR="00A02F67">
        <w:rPr>
          <w:rFonts w:eastAsia="Times New Roman" w:cs="Times New Roman"/>
          <w:color w:val="000000"/>
          <w:szCs w:val="24"/>
        </w:rPr>
        <w:t xml:space="preserve"> to account for </w:t>
      </w:r>
      <w:r w:rsidR="00ED251F">
        <w:rPr>
          <w:rFonts w:eastAsia="Times New Roman" w:cs="Times New Roman"/>
          <w:color w:val="000000"/>
          <w:szCs w:val="24"/>
        </w:rPr>
        <w:t>any</w:t>
      </w:r>
      <w:r w:rsidRPr="00A02F67" w:rsidR="00ED251F">
        <w:rPr>
          <w:rFonts w:eastAsia="Times New Roman" w:cs="Times New Roman"/>
          <w:color w:val="000000"/>
          <w:szCs w:val="24"/>
        </w:rPr>
        <w:t xml:space="preserve"> </w:t>
      </w:r>
      <w:r w:rsidRPr="00A02F67" w:rsidR="00A02F67">
        <w:rPr>
          <w:rFonts w:eastAsia="Times New Roman" w:cs="Times New Roman"/>
          <w:color w:val="000000"/>
          <w:szCs w:val="24"/>
        </w:rPr>
        <w:t>a</w:t>
      </w:r>
      <w:r w:rsidR="00A02F67">
        <w:rPr>
          <w:rFonts w:eastAsia="Times New Roman" w:cs="Times New Roman"/>
          <w:color w:val="000000"/>
          <w:szCs w:val="24"/>
        </w:rPr>
        <w:t xml:space="preserve">dditions and </w:t>
      </w:r>
      <w:r w:rsidR="00ED251F">
        <w:rPr>
          <w:rFonts w:eastAsia="Times New Roman" w:cs="Times New Roman"/>
          <w:color w:val="000000"/>
          <w:szCs w:val="24"/>
        </w:rPr>
        <w:t>revisions</w:t>
      </w:r>
      <w:r w:rsidR="00A02F67">
        <w:rPr>
          <w:rFonts w:eastAsia="Times New Roman" w:cs="Times New Roman"/>
          <w:color w:val="000000"/>
          <w:szCs w:val="24"/>
        </w:rPr>
        <w:t xml:space="preserve">. </w:t>
      </w:r>
      <w:r w:rsidR="007E03FF">
        <w:rPr>
          <w:rFonts w:eastAsia="Times New Roman" w:cs="Times New Roman"/>
          <w:color w:val="000000"/>
          <w:szCs w:val="24"/>
        </w:rPr>
        <w:t>Most</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w:t>
      </w:r>
      <w:r w:rsidR="00047399">
        <w:rPr>
          <w:rFonts w:eastAsia="Times New Roman" w:cs="Times New Roman"/>
          <w:color w:val="000000"/>
          <w:szCs w:val="24"/>
        </w:rPr>
        <w:t>0086</w:t>
      </w:r>
      <w:r w:rsidRPr="00A02F67" w:rsidR="00A02F67">
        <w:rPr>
          <w:rFonts w:eastAsia="Times New Roman" w:cs="Times New Roman"/>
          <w:color w:val="000000"/>
          <w:szCs w:val="24"/>
        </w:rPr>
        <w:t xml:space="preserve"> would not be impacted by the proposed revisions, and the Commission is not proposing to revise the estimated burdens ass</w:t>
      </w:r>
      <w:r w:rsidR="009E356F">
        <w:rPr>
          <w:rFonts w:eastAsia="Times New Roman" w:cs="Times New Roman"/>
          <w:color w:val="000000"/>
          <w:szCs w:val="24"/>
        </w:rPr>
        <w:t>ociated with those collections.</w:t>
      </w:r>
    </w:p>
    <w:p w:rsidR="007E03FF" w:rsidP="00A02F67" w:rsidRDefault="007E03FF" w14:paraId="2FED02C6" w14:textId="77777777">
      <w:pPr>
        <w:autoSpaceDE w:val="0"/>
        <w:autoSpaceDN w:val="0"/>
        <w:adjustRightInd w:val="0"/>
        <w:rPr>
          <w:rFonts w:eastAsia="Times New Roman" w:cs="Times New Roman"/>
          <w:color w:val="000000"/>
          <w:szCs w:val="24"/>
        </w:rPr>
      </w:pPr>
    </w:p>
    <w:p w:rsidR="001D4BB9" w:rsidP="009E356F" w:rsidRDefault="001E1F23" w14:paraId="69453790" w14:textId="082D3BEB">
      <w:pPr>
        <w:autoSpaceDE w:val="0"/>
        <w:autoSpaceDN w:val="0"/>
        <w:adjustRightInd w:val="0"/>
        <w:ind w:firstLine="720"/>
      </w:pPr>
      <w:r w:rsidRPr="001E1F23">
        <w:t xml:space="preserve">The Commission is proposing amendments to Part 49 of the Commission’s regulations in order to improve the quality of swap data and to streamline regulatory requirements governing data </w:t>
      </w:r>
      <w:proofErr w:type="spellStart"/>
      <w:r w:rsidRPr="001E1F23">
        <w:t>reporting.The</w:t>
      </w:r>
      <w:proofErr w:type="spellEnd"/>
      <w:r w:rsidRPr="001E1F23">
        <w:t xml:space="preserve"> proposed modified collections would affect SDRs that collect swap data for the Commission to perform its regulatory duties of risk monitoring and ensuring compliance with its rules, among other things. The information proposed to be sent to the Commission would be necessary for the Commission to ensure that SDR data is stored and sent to the Commission properly when an </w:t>
      </w:r>
      <w:r>
        <w:t>SDR withdraws its registration.</w:t>
      </w:r>
      <w:r w:rsidRPr="001E1F23">
        <w:t xml:space="preserve"> In addition, the information sent to SEFs, DCMs,</w:t>
      </w:r>
      <w:r>
        <w:t xml:space="preserve"> and</w:t>
      </w:r>
      <w:r w:rsidRPr="001E1F23">
        <w:t xml:space="preserve"> reporting counterparties</w:t>
      </w:r>
      <w:r>
        <w:t xml:space="preserve"> by SDRs</w:t>
      </w:r>
      <w:r w:rsidRPr="001E1F23">
        <w:t xml:space="preserve"> is necessary as it would enable these entities to ensure they have reported SDR data to SDRs in accordance with the Commission’s regulations. Without accurate reporting of SDR data as set forth in the Commission’s regulations, the Commission would be unable to fulfill its regulatory mandate of monitoring systemic risk.</w:t>
      </w:r>
    </w:p>
    <w:p w:rsidR="003F3FDF" w:rsidP="009E356F" w:rsidRDefault="003F3FDF" w14:paraId="33B77F8A" w14:textId="31791B13">
      <w:pPr>
        <w:autoSpaceDE w:val="0"/>
        <w:autoSpaceDN w:val="0"/>
        <w:adjustRightInd w:val="0"/>
        <w:ind w:firstLine="720"/>
        <w:rPr>
          <w:rFonts w:eastAsia="Times New Roman" w:cs="Times New Roman"/>
          <w:color w:val="000000"/>
          <w:szCs w:val="24"/>
        </w:rPr>
      </w:pPr>
    </w:p>
    <w:p w:rsidR="003F3FDF" w:rsidP="009E356F" w:rsidRDefault="003F3FDF" w14:paraId="18FCB359" w14:textId="12D1E936">
      <w:pPr>
        <w:autoSpaceDE w:val="0"/>
        <w:autoSpaceDN w:val="0"/>
        <w:adjustRightInd w:val="0"/>
        <w:ind w:firstLine="720"/>
        <w:rPr>
          <w:rFonts w:eastAsia="Times New Roman" w:cs="Times New Roman"/>
          <w:color w:val="000000"/>
          <w:szCs w:val="24"/>
        </w:rPr>
      </w:pPr>
      <w:r>
        <w:t>The Commission is proposing to add or modify information collections for the following regulations:</w:t>
      </w:r>
    </w:p>
    <w:p w:rsidR="00DD6AE8" w:rsidP="00DD6AE8" w:rsidRDefault="00DD6AE8" w14:paraId="516680FF" w14:textId="77777777"/>
    <w:p w:rsidR="003E0220" w:rsidP="007E03FF" w:rsidRDefault="007E03FF" w14:paraId="339261DA" w14:textId="77777777">
      <w:pPr>
        <w:pStyle w:val="ListParagraph"/>
        <w:numPr>
          <w:ilvl w:val="0"/>
          <w:numId w:val="14"/>
        </w:numPr>
      </w:pPr>
      <w:r>
        <w:t xml:space="preserve">Regulation </w:t>
      </w:r>
      <w:r w:rsidR="00DD6AE8">
        <w:t>49.4</w:t>
      </w:r>
      <w:r w:rsidR="003E0220">
        <w:t>(a</w:t>
      </w:r>
      <w:proofErr w:type="gramStart"/>
      <w:r w:rsidR="003E0220">
        <w:t>)(</w:t>
      </w:r>
      <w:proofErr w:type="gramEnd"/>
      <w:r w:rsidR="003E0220">
        <w:t>1)(iv)</w:t>
      </w:r>
      <w:r w:rsidR="00DD6AE8">
        <w:t xml:space="preserve"> requires that a request to withdraw specify, among other items, a statement that the custodial SDR is authorized to make such data and records available in accordance with § 1.44. The Commission is proposing to remove this requirement from 49.4.</w:t>
      </w:r>
    </w:p>
    <w:p w:rsidR="003E0220" w:rsidP="00140DEF" w:rsidRDefault="003E0220" w14:paraId="27CD0861" w14:textId="77777777"/>
    <w:p w:rsidR="00DD6AE8" w:rsidP="007E03FF" w:rsidRDefault="003E0220" w14:paraId="266ECAB1" w14:textId="5D1B4243">
      <w:pPr>
        <w:pStyle w:val="ListParagraph"/>
        <w:numPr>
          <w:ilvl w:val="0"/>
          <w:numId w:val="14"/>
        </w:numPr>
      </w:pPr>
      <w:r>
        <w:lastRenderedPageBreak/>
        <w:t>Regulation</w:t>
      </w:r>
      <w:r w:rsidR="00DD6AE8">
        <w:t xml:space="preserve"> 49.4(a</w:t>
      </w:r>
      <w:proofErr w:type="gramStart"/>
      <w:r w:rsidR="00DD6AE8">
        <w:t>)(</w:t>
      </w:r>
      <w:proofErr w:type="gramEnd"/>
      <w:r w:rsidR="00DD6AE8">
        <w:t>2) requires that prior to filing a request to withdraw, a registered SDR shall file an amended Form SDR to update any inaccurate information. The proposal would eliminate the requirement for SDRs to file an amended Form SDR prior t</w:t>
      </w:r>
      <w:r w:rsidR="007E03FF">
        <w:t>o filing a request to withdraw.</w:t>
      </w:r>
    </w:p>
    <w:p w:rsidR="007E03FF" w:rsidP="007E03FF" w:rsidRDefault="007E03FF" w14:paraId="08B1535B" w14:textId="77777777"/>
    <w:p w:rsidR="00524073" w:rsidP="00DD6AE8" w:rsidRDefault="003E0220" w14:paraId="28A314CD" w14:textId="24257E39">
      <w:pPr>
        <w:pStyle w:val="ListParagraph"/>
        <w:numPr>
          <w:ilvl w:val="0"/>
          <w:numId w:val="14"/>
        </w:numPr>
      </w:pPr>
      <w:r>
        <w:t>T</w:t>
      </w:r>
      <w:r w:rsidR="00DD6AE8">
        <w:t xml:space="preserve">he Commission is proposing </w:t>
      </w:r>
      <w:r w:rsidR="00D52F4E">
        <w:t>new</w:t>
      </w:r>
      <w:r>
        <w:t xml:space="preserve"> </w:t>
      </w:r>
      <w:r w:rsidR="00DD6AE8">
        <w:t xml:space="preserve">§ 49.4(a)(2) to require SDRs to execute an agreement with the custodial SDR governing the custody of the withdrawing SDR’s data and records prior to filing a request to </w:t>
      </w:r>
      <w:r w:rsidR="0096234C">
        <w:t>withdraw with the Commission.</w:t>
      </w:r>
    </w:p>
    <w:p w:rsidR="007E03FF" w:rsidP="007E03FF" w:rsidRDefault="007E03FF" w14:paraId="21F83ED1" w14:textId="77777777">
      <w:pPr>
        <w:pStyle w:val="ListParagraph"/>
      </w:pPr>
    </w:p>
    <w:p w:rsidR="00CC0909" w:rsidP="007E03FF" w:rsidRDefault="007E03FF" w14:paraId="64413546" w14:textId="2F12BB98">
      <w:pPr>
        <w:pStyle w:val="ListParagraph"/>
        <w:numPr>
          <w:ilvl w:val="0"/>
          <w:numId w:val="14"/>
        </w:numPr>
      </w:pPr>
      <w:r>
        <w:t>Regulation</w:t>
      </w:r>
      <w:r w:rsidR="00DD6AE8">
        <w:t xml:space="preserve"> 49.10(a) requires SDRs to accept and promptly record all swap data. The </w:t>
      </w:r>
      <w:r w:rsidR="00D52F4E">
        <w:t xml:space="preserve">Commission is proposing to amend § 49.10(a) </w:t>
      </w:r>
      <w:r w:rsidR="00B70CD2">
        <w:t xml:space="preserve">to </w:t>
      </w:r>
      <w:r w:rsidR="00DD6AE8">
        <w:t>further specify that SDRs must send validation acceptance and rejection mess</w:t>
      </w:r>
      <w:r w:rsidR="0096234C">
        <w:t>ages</w:t>
      </w:r>
      <w:r w:rsidR="001E1F23">
        <w:t xml:space="preserve"> to SEFs, DCMs, and reporting counterparties</w:t>
      </w:r>
      <w:r w:rsidR="0096234C">
        <w:t xml:space="preserve"> after validating SDR data.</w:t>
      </w:r>
    </w:p>
    <w:p w:rsidRPr="0066471D" w:rsidR="00A02F67" w:rsidP="00642B6A" w:rsidRDefault="00A02F67" w14:paraId="606FCFB3" w14:textId="6605BFB2">
      <w:pPr>
        <w:autoSpaceDE w:val="0"/>
        <w:autoSpaceDN w:val="0"/>
        <w:adjustRightInd w:val="0"/>
        <w:rPr>
          <w:rFonts w:eastAsia="Times New Roman" w:cs="Times New Roman"/>
          <w:color w:val="000000"/>
          <w:szCs w:val="24"/>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CC0909" w:rsidP="001577B2" w:rsidRDefault="009E356F" w14:paraId="25C61900" w14:textId="6A05DACC">
      <w:pPr>
        <w:rPr>
          <w:rFonts w:eastAsia="Times New Roman" w:cs="Times New Roman"/>
          <w:color w:val="000000"/>
          <w:szCs w:val="24"/>
        </w:rPr>
      </w:pPr>
      <w:r>
        <w:rPr>
          <w:rFonts w:eastAsia="Times New Roman" w:cs="Times New Roman"/>
          <w:color w:val="000000"/>
          <w:szCs w:val="24"/>
        </w:rPr>
        <w:tab/>
      </w:r>
      <w:r w:rsidR="00CC0909">
        <w:rPr>
          <w:rFonts w:eastAsia="Times New Roman" w:cs="Times New Roman"/>
          <w:color w:val="000000"/>
          <w:szCs w:val="24"/>
        </w:rPr>
        <w:t>The information sent to the Commission in proposed § 49.4 would be necessary for the Commission to ensure that SDR data is stored and sent to the Commission properly when an SDR withdraws its registration</w:t>
      </w:r>
      <w:r>
        <w:rPr>
          <w:rFonts w:eastAsia="Times New Roman" w:cs="Times New Roman"/>
          <w:color w:val="000000"/>
          <w:szCs w:val="24"/>
        </w:rPr>
        <w:t>.</w:t>
      </w:r>
      <w:r w:rsidR="00CC0909">
        <w:rPr>
          <w:rFonts w:eastAsia="Times New Roman" w:cs="Times New Roman"/>
          <w:color w:val="000000"/>
          <w:szCs w:val="24"/>
        </w:rPr>
        <w:t xml:space="preserve"> The information sent to SEFs, DCMs, reporting counte</w:t>
      </w:r>
      <w:r w:rsidR="007D0F5D">
        <w:rPr>
          <w:rFonts w:eastAsia="Times New Roman" w:cs="Times New Roman"/>
          <w:color w:val="000000"/>
          <w:szCs w:val="24"/>
        </w:rPr>
        <w:t>rparties, and third-party servic</w:t>
      </w:r>
      <w:r w:rsidR="00CC0909">
        <w:rPr>
          <w:rFonts w:eastAsia="Times New Roman" w:cs="Times New Roman"/>
          <w:color w:val="000000"/>
          <w:szCs w:val="24"/>
        </w:rPr>
        <w:t>e provid</w:t>
      </w:r>
      <w:r w:rsidR="0096234C">
        <w:rPr>
          <w:rFonts w:eastAsia="Times New Roman" w:cs="Times New Roman"/>
          <w:color w:val="000000"/>
          <w:szCs w:val="24"/>
        </w:rPr>
        <w:t>ers</w:t>
      </w:r>
      <w:r w:rsidR="007D0F5D">
        <w:rPr>
          <w:rFonts w:eastAsia="Times New Roman" w:cs="Times New Roman"/>
          <w:color w:val="000000"/>
          <w:szCs w:val="24"/>
        </w:rPr>
        <w:t xml:space="preserve"> by SDRs</w:t>
      </w:r>
      <w:r w:rsidR="0096234C">
        <w:rPr>
          <w:rFonts w:eastAsia="Times New Roman" w:cs="Times New Roman"/>
          <w:color w:val="000000"/>
          <w:szCs w:val="24"/>
        </w:rPr>
        <w:t xml:space="preserve"> as required by proposed §</w:t>
      </w:r>
      <w:r w:rsidR="00CC0909">
        <w:rPr>
          <w:rFonts w:eastAsia="Times New Roman" w:cs="Times New Roman"/>
          <w:color w:val="000000"/>
          <w:szCs w:val="24"/>
        </w:rPr>
        <w:t xml:space="preserve"> 49.10 would be used by these entities to ensure they have reported SDR data to SDRs </w:t>
      </w:r>
      <w:r w:rsidR="007D0F5D">
        <w:rPr>
          <w:rFonts w:eastAsia="Times New Roman" w:cs="Times New Roman"/>
          <w:color w:val="000000"/>
          <w:szCs w:val="24"/>
        </w:rPr>
        <w:t>in accordance with</w:t>
      </w:r>
      <w:r w:rsidR="00CC0909">
        <w:rPr>
          <w:rFonts w:eastAsia="Times New Roman" w:cs="Times New Roman"/>
          <w:color w:val="000000"/>
          <w:szCs w:val="24"/>
        </w:rPr>
        <w:t xml:space="preserve"> the Commission’s regulations.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3221C474">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current and proposed information collections within Information Collection </w:t>
      </w:r>
      <w:r w:rsidR="00B46731">
        <w:rPr>
          <w:rFonts w:eastAsia="Times New Roman" w:cs="Times New Roman"/>
          <w:szCs w:val="24"/>
        </w:rPr>
        <w:t>3038-</w:t>
      </w:r>
      <w:r w:rsidR="00CC0909">
        <w:rPr>
          <w:rFonts w:eastAsia="Times New Roman" w:cs="Times New Roman"/>
          <w:szCs w:val="24"/>
        </w:rPr>
        <w:t>0086</w:t>
      </w:r>
      <w:r w:rsidRPr="00B46731" w:rsidR="00CC0909">
        <w:rPr>
          <w:rFonts w:eastAsia="Times New Roman" w:cs="Times New Roman"/>
          <w:szCs w:val="24"/>
        </w:rPr>
        <w:t xml:space="preserve"> </w:t>
      </w:r>
      <w:r w:rsidRPr="00B46731" w:rsidR="00B46731">
        <w:rPr>
          <w:rFonts w:eastAsia="Times New Roman" w:cs="Times New Roman"/>
          <w:szCs w:val="24"/>
        </w:rPr>
        <w:t>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21398D40">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 xml:space="preserve">collected pursuant to </w:t>
      </w:r>
      <w:r w:rsidR="00CC0909">
        <w:rPr>
          <w:rFonts w:eastAsia="Times New Roman" w:cs="Times New Roman"/>
          <w:szCs w:val="24"/>
        </w:rPr>
        <w:t>P</w:t>
      </w:r>
      <w:r w:rsidR="00AD0896">
        <w:rPr>
          <w:rFonts w:eastAsia="Times New Roman" w:cs="Times New Roman"/>
          <w:szCs w:val="24"/>
        </w:rPr>
        <w:t xml:space="preserve">art </w:t>
      </w:r>
      <w:r w:rsidR="00CC0909">
        <w:rPr>
          <w:rFonts w:eastAsia="Times New Roman" w:cs="Times New Roman"/>
          <w:szCs w:val="24"/>
        </w:rPr>
        <w:t>49</w:t>
      </w:r>
      <w:r w:rsidRPr="00AD0896" w:rsidR="00CC0909">
        <w:rPr>
          <w:rFonts w:eastAsia="Times New Roman" w:cs="Times New Roman"/>
          <w:szCs w:val="24"/>
        </w:rPr>
        <w:t xml:space="preserve"> </w:t>
      </w:r>
      <w:r w:rsidRPr="00AD0896" w:rsidR="00AD0896">
        <w:rPr>
          <w:rFonts w:eastAsia="Times New Roman" w:cs="Times New Roman"/>
          <w:szCs w:val="24"/>
        </w:rPr>
        <w:t xml:space="preserve">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w:t>
      </w:r>
    </w:p>
    <w:p w:rsidRPr="00642B6A" w:rsidR="00642B6A" w:rsidP="00FE503D" w:rsidRDefault="00642B6A" w14:paraId="50F422A0" w14:textId="1C4072AB">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 xml:space="preserve">If the collection of information involves small business or other small entities (Item 5 of OMB </w:t>
      </w:r>
      <w:r w:rsidR="007D0F5D">
        <w:rPr>
          <w:rFonts w:eastAsia="Times New Roman" w:cs="Times New Roman"/>
          <w:b/>
          <w:szCs w:val="24"/>
        </w:rPr>
        <w:t>Form</w:t>
      </w:r>
      <w:r w:rsidRPr="00642B6A">
        <w:rPr>
          <w:rFonts w:eastAsia="Times New Roman" w:cs="Times New Roman"/>
          <w:b/>
          <w:szCs w:val="24"/>
        </w:rPr>
        <w:t xml:space="preserve"> 83-I), describe the methods used to minimize burden.</w:t>
      </w:r>
    </w:p>
    <w:p w:rsidRPr="00642B6A" w:rsidR="00642B6A" w:rsidP="00AD0896" w:rsidRDefault="00642B6A" w14:paraId="50F422A1" w14:textId="489AE187">
      <w:pPr>
        <w:tabs>
          <w:tab w:val="left" w:pos="-720"/>
        </w:tabs>
        <w:spacing w:after="240"/>
        <w:rPr>
          <w:rFonts w:eastAsia="Times New Roman" w:cs="Times New Roman"/>
          <w:szCs w:val="24"/>
        </w:rPr>
      </w:pPr>
      <w:r w:rsidRPr="00642B6A">
        <w:rPr>
          <w:rFonts w:eastAsia="Times New Roman" w:cs="Times New Roman"/>
          <w:szCs w:val="24"/>
        </w:rPr>
        <w:lastRenderedPageBreak/>
        <w:tab/>
      </w:r>
      <w:r w:rsidRPr="00AD0896" w:rsidR="00AD0896">
        <w:rPr>
          <w:rFonts w:eastAsia="Times New Roman" w:cs="Times New Roman"/>
          <w:szCs w:val="24"/>
        </w:rPr>
        <w:t>This collection of information would not involve any small busines</w:t>
      </w:r>
      <w:r w:rsidR="00AD0896">
        <w:rPr>
          <w:rFonts w:eastAsia="Times New Roman" w:cs="Times New Roman"/>
          <w:szCs w:val="24"/>
        </w:rPr>
        <w:t xml:space="preserve">s or other small entities. The Commission has previously established </w:t>
      </w:r>
      <w:r w:rsidR="005946E6">
        <w:rPr>
          <w:rFonts w:eastAsia="Times New Roman" w:cs="Times New Roman"/>
          <w:szCs w:val="24"/>
        </w:rPr>
        <w:t xml:space="preserve">that </w:t>
      </w:r>
      <w:r w:rsidR="007D0F5D">
        <w:rPr>
          <w:rFonts w:eastAsia="Times New Roman" w:cs="Times New Roman"/>
          <w:szCs w:val="24"/>
        </w:rPr>
        <w:t>the SDRs</w:t>
      </w:r>
      <w:r w:rsidR="00AD0896">
        <w:rPr>
          <w:rFonts w:eastAsia="Times New Roman" w:cs="Times New Roman"/>
          <w:szCs w:val="24"/>
        </w:rPr>
        <w:t xml:space="preserve"> that would be affected by this collection are small entities.</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AD0896" w14:paraId="46B6C82E" w14:textId="07EDC397">
      <w:pPr>
        <w:ind w:firstLine="720"/>
        <w:rPr>
          <w:rFonts w:eastAsia="Times New Roman" w:cs="Times New Roman"/>
          <w:color w:val="000000"/>
          <w:szCs w:val="24"/>
        </w:rPr>
      </w:pPr>
      <w:r>
        <w:rPr>
          <w:rFonts w:eastAsia="Times New Roman" w:cs="Times New Roman"/>
          <w:color w:val="000000"/>
          <w:szCs w:val="24"/>
        </w:rPr>
        <w:t xml:space="preserve">Without </w:t>
      </w:r>
      <w:r w:rsidR="00CC0909">
        <w:rPr>
          <w:rFonts w:eastAsia="Times New Roman" w:cs="Times New Roman"/>
          <w:color w:val="000000"/>
          <w:szCs w:val="24"/>
        </w:rPr>
        <w:t xml:space="preserve">accurate </w:t>
      </w:r>
      <w:r>
        <w:rPr>
          <w:rFonts w:eastAsia="Times New Roman" w:cs="Times New Roman"/>
          <w:color w:val="000000"/>
          <w:szCs w:val="24"/>
        </w:rPr>
        <w:t xml:space="preserve">reporting </w:t>
      </w:r>
      <w:r w:rsidR="00CC0909">
        <w:rPr>
          <w:rFonts w:eastAsia="Times New Roman" w:cs="Times New Roman"/>
          <w:color w:val="000000"/>
          <w:szCs w:val="24"/>
        </w:rPr>
        <w:t xml:space="preserve">of SDR data as </w:t>
      </w:r>
      <w:r>
        <w:rPr>
          <w:rFonts w:eastAsia="Times New Roman" w:cs="Times New Roman"/>
          <w:color w:val="000000"/>
          <w:szCs w:val="24"/>
        </w:rPr>
        <w:t xml:space="preserve">set forth in the Commission’s regulations, </w:t>
      </w:r>
      <w:r w:rsidR="00330578">
        <w:rPr>
          <w:rFonts w:eastAsia="Times New Roman" w:cs="Times New Roman"/>
          <w:color w:val="000000"/>
          <w:szCs w:val="24"/>
        </w:rPr>
        <w:t>the Commission would be unable to fulfill its regulatory mandate of monitoring systemic risk.</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5B712BDE">
      <w:pPr>
        <w:tabs>
          <w:tab w:val="left" w:pos="-720"/>
        </w:tabs>
        <w:spacing w:after="240"/>
        <w:rPr>
          <w:rFonts w:eastAsia="Times New Roman" w:cs="Times New Roman"/>
          <w:szCs w:val="24"/>
        </w:rPr>
      </w:pPr>
      <w:r w:rsidRPr="00642B6A">
        <w:rPr>
          <w:rFonts w:eastAsia="Times New Roman" w:cs="Times New Roman"/>
          <w:szCs w:val="24"/>
        </w:rPr>
        <w:tab/>
      </w:r>
      <w:r w:rsidR="00CC0909">
        <w:rPr>
          <w:rFonts w:eastAsia="Times New Roman" w:cs="Times New Roman"/>
          <w:szCs w:val="24"/>
        </w:rPr>
        <w:t>SDR withdrawals are not a regular or common occurrence.</w:t>
      </w:r>
      <w:r w:rsidR="007D0F5D">
        <w:rPr>
          <w:rFonts w:eastAsia="Times New Roman" w:cs="Times New Roman"/>
          <w:szCs w:val="24"/>
        </w:rPr>
        <w:t xml:space="preserve"> However, SDR validation of swap data, and the associated rejection and acceptance messages proposed § 49.10 would require SDRs to send entities submitting data, would be more often than quarterly.</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6DD586D0">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CE561C" w:rsidR="00BA10C3">
        <w:rPr>
          <w:rFonts w:eastAsia="Times New Roman" w:cs="Times New Roman"/>
          <w:szCs w:val="24"/>
        </w:rPr>
        <w:t xml:space="preserve">The proposed amendments to </w:t>
      </w:r>
      <w:r w:rsidR="00CC0909">
        <w:rPr>
          <w:rFonts w:eastAsia="Times New Roman" w:cs="Times New Roman"/>
          <w:szCs w:val="24"/>
        </w:rPr>
        <w:t>P</w:t>
      </w:r>
      <w:r w:rsidRPr="00CE561C" w:rsidR="00CC0909">
        <w:rPr>
          <w:rFonts w:eastAsia="Times New Roman" w:cs="Times New Roman"/>
          <w:szCs w:val="24"/>
        </w:rPr>
        <w:t xml:space="preserve">art </w:t>
      </w:r>
      <w:r w:rsidRPr="00CE561C" w:rsidR="00BA10C3">
        <w:rPr>
          <w:rFonts w:eastAsia="Times New Roman" w:cs="Times New Roman"/>
          <w:szCs w:val="24"/>
        </w:rPr>
        <w:t>4</w:t>
      </w:r>
      <w:r w:rsidR="00CC0909">
        <w:rPr>
          <w:rFonts w:eastAsia="Times New Roman" w:cs="Times New Roman"/>
          <w:szCs w:val="24"/>
        </w:rPr>
        <w:t>9</w:t>
      </w:r>
      <w:r w:rsidRPr="00CE561C" w:rsidR="00BA10C3">
        <w:rPr>
          <w:rFonts w:eastAsia="Times New Roman" w:cs="Times New Roman"/>
          <w:szCs w:val="24"/>
        </w:rPr>
        <w:t xml:space="preserve"> would not modify Information Collection 3038-</w:t>
      </w:r>
      <w:r w:rsidRPr="00CE561C" w:rsidR="00CC0909">
        <w:rPr>
          <w:rFonts w:eastAsia="Times New Roman" w:cs="Times New Roman"/>
          <w:szCs w:val="24"/>
        </w:rPr>
        <w:t>00</w:t>
      </w:r>
      <w:r w:rsidR="00CC0909">
        <w:rPr>
          <w:rFonts w:eastAsia="Times New Roman" w:cs="Times New Roman"/>
          <w:szCs w:val="24"/>
        </w:rPr>
        <w:t>86</w:t>
      </w:r>
      <w:r w:rsidRPr="00CE561C" w:rsidR="00CC0909">
        <w:rPr>
          <w:rFonts w:eastAsia="Times New Roman" w:cs="Times New Roman"/>
          <w:szCs w:val="24"/>
        </w:rPr>
        <w:t xml:space="preserve"> </w:t>
      </w:r>
      <w:r w:rsidRPr="00CE561C" w:rsidR="00BA10C3">
        <w:rPr>
          <w:rFonts w:eastAsia="Times New Roman" w:cs="Times New Roman"/>
          <w:szCs w:val="24"/>
        </w:rPr>
        <w:t>in regards to recordkeeping requirements</w:t>
      </w:r>
      <w:r w:rsidR="007D0F5D">
        <w:rPr>
          <w:rFonts w:eastAsia="Times New Roman" w:cs="Times New Roman"/>
          <w:szCs w:val="24"/>
        </w:rPr>
        <w:t>.</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23D50D6F">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proposed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25FAE5A8">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lastRenderedPageBreak/>
        <w:t>Not applicable, the proposed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2C849FD6">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proposed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6070F18E">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w:t>
      </w:r>
      <w:proofErr w:type="gramStart"/>
      <w:r w:rsidRPr="00AD0896">
        <w:rPr>
          <w:rFonts w:eastAsia="Times New Roman" w:cs="Times New Roman"/>
          <w:szCs w:val="24"/>
        </w:rPr>
        <w:t>)(</w:t>
      </w:r>
      <w:proofErr w:type="gramEnd"/>
      <w:r w:rsidRPr="00AD0896">
        <w:rPr>
          <w:rFonts w:eastAsia="Times New Roman" w:cs="Times New Roman"/>
          <w:szCs w:val="24"/>
        </w:rPr>
        <w:t xml:space="preserve">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P="007A1013" w:rsidRDefault="00B86819" w14:paraId="50F422B4" w14:textId="79D3CE02">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AD0896" w:rsidR="00AD0896">
        <w:rPr>
          <w:rFonts w:eastAsia="Times New Roman" w:cs="Times New Roman"/>
          <w:szCs w:val="24"/>
        </w:rPr>
        <w:t>The Commission seeks public comment on any aspect of the proposed amendments to this collection of information in the proposing release for this proposed rulemaking</w:t>
      </w:r>
      <w:r w:rsidR="007D0F5D">
        <w:rPr>
          <w:rFonts w:eastAsia="Times New Roman" w:cs="Times New Roman"/>
          <w:szCs w:val="24"/>
        </w:rPr>
        <w:t>.</w:t>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7D0F5D" w14:paraId="50F422B8" w14:textId="65A764DB">
      <w:pPr>
        <w:tabs>
          <w:tab w:val="left" w:pos="-720"/>
        </w:tabs>
        <w:spacing w:after="240"/>
        <w:ind w:firstLine="720"/>
        <w:rPr>
          <w:rFonts w:eastAsia="Times New Roman" w:cs="Times New Roman"/>
          <w:szCs w:val="24"/>
        </w:rPr>
      </w:pPr>
      <w:r w:rsidRPr="007D0F5D">
        <w:rPr>
          <w:rFonts w:eastAsia="Times New Roman" w:cs="Times New Roman"/>
          <w:szCs w:val="24"/>
        </w:rPr>
        <w:t>The Commission does not provide respondents with an assurance of confidentiality beyond that provided by applicable law.</w:t>
      </w:r>
      <w:r>
        <w:rPr>
          <w:rFonts w:eastAsia="Times New Roman" w:cs="Times New Roman"/>
          <w:szCs w:val="24"/>
        </w:rPr>
        <w:t xml:space="preserve"> </w:t>
      </w:r>
      <w:r w:rsidRPr="007A1013" w:rsidR="007A1013">
        <w:rPr>
          <w:rFonts w:eastAsia="Times New Roman" w:cs="Times New Roman"/>
          <w:szCs w:val="24"/>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w:t>
      </w:r>
      <w:proofErr w:type="gramStart"/>
      <w:r w:rsidRPr="007A1013" w:rsidR="007A1013">
        <w:rPr>
          <w:rFonts w:eastAsia="Times New Roman" w:cs="Times New Roman"/>
          <w:szCs w:val="24"/>
        </w:rPr>
        <w:t>)(</w:t>
      </w:r>
      <w:proofErr w:type="gramEnd"/>
      <w:r w:rsidRPr="007A1013" w:rsidR="007A1013">
        <w:rPr>
          <w:rFonts w:eastAsia="Times New Roman" w:cs="Times New Roman"/>
          <w:szCs w:val="24"/>
        </w:rPr>
        <w:t xml:space="preserve">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lastRenderedPageBreak/>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7D0F5D" w:rsidP="007D0F5D" w:rsidRDefault="007D0F5D" w14:paraId="74F996DD" w14:textId="6CDCA2EF">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B70CD2">
        <w:rPr>
          <w:rFonts w:eastAsia="Times New Roman" w:cs="Times New Roman"/>
          <w:color w:val="000000"/>
          <w:szCs w:val="24"/>
        </w:rPr>
        <w:t>A</w:t>
      </w:r>
      <w:r w:rsidRPr="008F41C5" w:rsidR="00B70CD2">
        <w:rPr>
          <w:rFonts w:eastAsia="Times New Roman" w:cs="Times New Roman"/>
          <w:color w:val="000000"/>
          <w:szCs w:val="24"/>
        </w:rPr>
        <w:t xml:space="preserve">ttachment </w:t>
      </w:r>
      <w:r w:rsidRPr="008F41C5">
        <w:rPr>
          <w:rFonts w:eastAsia="Times New Roman" w:cs="Times New Roman"/>
          <w:color w:val="000000"/>
          <w:szCs w:val="24"/>
        </w:rPr>
        <w:t>A for the estimated hour burden</w:t>
      </w:r>
      <w:r w:rsidR="00722882">
        <w:rPr>
          <w:rFonts w:eastAsia="Times New Roman" w:cs="Times New Roman"/>
          <w:color w:val="000000"/>
          <w:szCs w:val="24"/>
        </w:rPr>
        <w:t xml:space="preserve"> adjustments</w:t>
      </w:r>
      <w:r w:rsidRPr="008F41C5">
        <w:rPr>
          <w:rFonts w:eastAsia="Times New Roman" w:cs="Times New Roman"/>
          <w:color w:val="000000"/>
          <w:szCs w:val="24"/>
        </w:rPr>
        <w:t xml:space="preserve"> </w:t>
      </w:r>
      <w:r w:rsidR="00722882">
        <w:rPr>
          <w:rFonts w:eastAsia="Times New Roman" w:cs="Times New Roman"/>
          <w:color w:val="000000"/>
          <w:szCs w:val="24"/>
        </w:rPr>
        <w:t>to</w:t>
      </w:r>
      <w:r w:rsidRPr="008F41C5" w:rsidR="00722882">
        <w:rPr>
          <w:rFonts w:eastAsia="Times New Roman" w:cs="Times New Roman"/>
          <w:color w:val="000000"/>
          <w:szCs w:val="24"/>
        </w:rPr>
        <w:t xml:space="preserve"> </w:t>
      </w:r>
      <w:r w:rsidRPr="008F41C5">
        <w:rPr>
          <w:rFonts w:eastAsia="Times New Roman" w:cs="Times New Roman"/>
          <w:color w:val="000000"/>
          <w:szCs w:val="24"/>
        </w:rPr>
        <w:t>the collections of information discussed in this supporting statement.</w:t>
      </w:r>
    </w:p>
    <w:p w:rsidR="007D0F5D" w:rsidP="007D0F5D" w:rsidRDefault="007D0F5D" w14:paraId="261D8051" w14:textId="77777777">
      <w:pPr>
        <w:ind w:firstLine="720"/>
        <w:rPr>
          <w:rFonts w:eastAsia="Times New Roman" w:cs="Times New Roman"/>
          <w:color w:val="000000"/>
          <w:szCs w:val="24"/>
        </w:rPr>
      </w:pPr>
    </w:p>
    <w:p w:rsidR="00722882" w:rsidP="007D0F5D" w:rsidRDefault="007D0F5D" w14:paraId="6A6982A8" w14:textId="67638A35">
      <w:pPr>
        <w:ind w:firstLine="720"/>
        <w:rPr>
          <w:rFonts w:eastAsia="Times New Roman" w:cs="Times New Roman"/>
          <w:color w:val="000000"/>
          <w:szCs w:val="24"/>
        </w:rPr>
      </w:pPr>
      <w:r>
        <w:t xml:space="preserve">As an initial matter, </w:t>
      </w:r>
      <w:r>
        <w:rPr>
          <w:rFonts w:eastAsia="Times New Roman" w:cs="Times New Roman"/>
          <w:color w:val="000000"/>
          <w:szCs w:val="24"/>
        </w:rPr>
        <w:t xml:space="preserve">the Commission has proposed amendments to regulations that would impact </w:t>
      </w:r>
      <w:r w:rsidRPr="006440C8">
        <w:rPr>
          <w:rFonts w:eastAsia="Times New Roman" w:cs="Times New Roman"/>
          <w:color w:val="000000"/>
          <w:szCs w:val="24"/>
        </w:rPr>
        <w:t>the collections of information under OMB 3038-00</w:t>
      </w:r>
      <w:r>
        <w:rPr>
          <w:rFonts w:eastAsia="Times New Roman" w:cs="Times New Roman"/>
          <w:color w:val="000000"/>
          <w:szCs w:val="24"/>
        </w:rPr>
        <w:t xml:space="preserve">86 (Certain Swap Data Repository and Data Reporting Requirements, 84 Fed. </w:t>
      </w:r>
      <w:proofErr w:type="gramStart"/>
      <w:r>
        <w:rPr>
          <w:rFonts w:eastAsia="Times New Roman" w:cs="Times New Roman"/>
          <w:color w:val="000000"/>
          <w:szCs w:val="24"/>
        </w:rPr>
        <w:t>Reg. 21044, May 13, 2019) (the “May 2019 release”).</w:t>
      </w:r>
      <w:proofErr w:type="gramEnd"/>
      <w:r>
        <w:rPr>
          <w:rFonts w:eastAsia="Times New Roman" w:cs="Times New Roman"/>
          <w:color w:val="000000"/>
          <w:szCs w:val="24"/>
        </w:rPr>
        <w:t xml:space="preserve"> The Commission has re-opened the comment period for that proposal to align with the comment period for the proposal accompanying this supporting statement</w:t>
      </w:r>
      <w:r w:rsidR="00722882">
        <w:rPr>
          <w:rFonts w:eastAsia="Times New Roman" w:cs="Times New Roman"/>
          <w:color w:val="000000"/>
          <w:szCs w:val="24"/>
        </w:rPr>
        <w:t xml:space="preserve"> (the “February 2020 release”)</w:t>
      </w:r>
      <w:r>
        <w:rPr>
          <w:rFonts w:eastAsia="Times New Roman" w:cs="Times New Roman"/>
          <w:color w:val="000000"/>
          <w:szCs w:val="24"/>
        </w:rPr>
        <w:t>.</w:t>
      </w:r>
      <w:r w:rsidR="00722882">
        <w:rPr>
          <w:rFonts w:eastAsia="Times New Roman" w:cs="Times New Roman"/>
          <w:color w:val="000000"/>
          <w:szCs w:val="24"/>
        </w:rPr>
        <w:t xml:space="preserve"> The February 2020 release proposes additional amendments to regulations that would impact the collections of information under OMB 3038-0086.</w:t>
      </w:r>
    </w:p>
    <w:p w:rsidR="00722882" w:rsidP="007D0F5D" w:rsidRDefault="00722882" w14:paraId="123F7CCD" w14:textId="77777777">
      <w:pPr>
        <w:ind w:firstLine="720"/>
        <w:rPr>
          <w:rFonts w:eastAsia="Times New Roman" w:cs="Times New Roman"/>
          <w:color w:val="000000"/>
          <w:szCs w:val="24"/>
        </w:rPr>
      </w:pPr>
    </w:p>
    <w:p w:rsidR="00722882" w:rsidRDefault="007D0F5D" w14:paraId="667F8080" w14:textId="73A6CCD5">
      <w:pPr>
        <w:ind w:firstLine="720"/>
        <w:rPr>
          <w:rFonts w:eastAsia="Times New Roman" w:cs="Times New Roman"/>
          <w:color w:val="000000"/>
          <w:szCs w:val="24"/>
        </w:rPr>
      </w:pPr>
      <w:r>
        <w:rPr>
          <w:rFonts w:eastAsia="Times New Roman" w:cs="Times New Roman"/>
          <w:color w:val="000000"/>
          <w:szCs w:val="24"/>
        </w:rPr>
        <w:t>The two rulemakings are related</w:t>
      </w:r>
      <w:r w:rsidR="00722882">
        <w:rPr>
          <w:rFonts w:eastAsia="Times New Roman" w:cs="Times New Roman"/>
          <w:color w:val="000000"/>
          <w:szCs w:val="24"/>
        </w:rPr>
        <w:t>: the May 2019 release proposes amendments to most of the regulations in part 49 and creates new regulations in part 49, while the February 2020 release proposes amendments to § 49.4 and § 49.10.</w:t>
      </w:r>
      <w:r>
        <w:rPr>
          <w:rFonts w:eastAsia="Times New Roman" w:cs="Times New Roman"/>
          <w:color w:val="000000"/>
          <w:szCs w:val="24"/>
        </w:rPr>
        <w:t xml:space="preserve"> </w:t>
      </w:r>
      <w:r w:rsidR="00722882">
        <w:rPr>
          <w:rFonts w:eastAsia="Times New Roman" w:cs="Times New Roman"/>
          <w:color w:val="000000"/>
          <w:szCs w:val="24"/>
        </w:rPr>
        <w:t>C</w:t>
      </w:r>
      <w:r>
        <w:rPr>
          <w:rFonts w:eastAsia="Times New Roman" w:cs="Times New Roman"/>
          <w:color w:val="000000"/>
          <w:szCs w:val="24"/>
        </w:rPr>
        <w:t>ommenters will be able to comment on both</w:t>
      </w:r>
      <w:r w:rsidR="00722882">
        <w:rPr>
          <w:rFonts w:eastAsia="Times New Roman" w:cs="Times New Roman"/>
          <w:color w:val="000000"/>
          <w:szCs w:val="24"/>
        </w:rPr>
        <w:t xml:space="preserve"> </w:t>
      </w:r>
      <w:r w:rsidR="00722882">
        <w:rPr>
          <w:rFonts w:eastAsia="Times New Roman" w:cs="Times New Roman"/>
          <w:color w:val="000000"/>
          <w:szCs w:val="24"/>
        </w:rPr>
        <w:lastRenderedPageBreak/>
        <w:t>releases</w:t>
      </w:r>
      <w:r>
        <w:rPr>
          <w:rFonts w:eastAsia="Times New Roman" w:cs="Times New Roman"/>
          <w:color w:val="000000"/>
          <w:szCs w:val="24"/>
        </w:rPr>
        <w:t xml:space="preserve"> at the same time</w:t>
      </w:r>
      <w:r w:rsidR="00722882">
        <w:rPr>
          <w:rFonts w:eastAsia="Times New Roman" w:cs="Times New Roman"/>
          <w:color w:val="000000"/>
          <w:szCs w:val="24"/>
        </w:rPr>
        <w:t xml:space="preserve"> so they can comment on all of the amendments to the part 49 regulations proposed in both releases. T</w:t>
      </w:r>
      <w:r>
        <w:rPr>
          <w:rFonts w:eastAsia="Times New Roman" w:cs="Times New Roman"/>
          <w:color w:val="000000"/>
          <w:szCs w:val="24"/>
        </w:rPr>
        <w:t>he Commission intends to finalize the rulemakings together.</w:t>
      </w:r>
    </w:p>
    <w:p w:rsidR="00722882" w:rsidRDefault="00722882" w14:paraId="5781A9FC" w14:textId="77777777">
      <w:pPr>
        <w:ind w:firstLine="720"/>
        <w:rPr>
          <w:rFonts w:eastAsia="Times New Roman" w:cs="Times New Roman"/>
          <w:color w:val="000000"/>
          <w:szCs w:val="24"/>
        </w:rPr>
      </w:pPr>
    </w:p>
    <w:p w:rsidR="00FC5F7F" w:rsidRDefault="00B70CD2" w14:paraId="6826968C" w14:textId="5FF015F9">
      <w:pPr>
        <w:ind w:firstLine="720"/>
        <w:rPr>
          <w:rFonts w:eastAsia="Times New Roman" w:cs="Times New Roman"/>
          <w:color w:val="000000"/>
          <w:szCs w:val="24"/>
        </w:rPr>
      </w:pPr>
      <w:r>
        <w:rPr>
          <w:rFonts w:eastAsia="Times New Roman" w:cs="Times New Roman"/>
          <w:color w:val="000000"/>
          <w:szCs w:val="24"/>
        </w:rPr>
        <w:t>In the February 2020 release, t</w:t>
      </w:r>
      <w:r w:rsidRPr="00722882" w:rsidR="00722882">
        <w:rPr>
          <w:rFonts w:eastAsia="Times New Roman" w:cs="Times New Roman"/>
          <w:color w:val="000000"/>
          <w:szCs w:val="24"/>
        </w:rPr>
        <w:t>he Commission is not proposing any amendments to the regulations in part 49</w:t>
      </w:r>
      <w:r w:rsidR="00722882">
        <w:rPr>
          <w:rFonts w:eastAsia="Times New Roman" w:cs="Times New Roman"/>
          <w:color w:val="000000"/>
          <w:szCs w:val="24"/>
        </w:rPr>
        <w:t xml:space="preserve"> o</w:t>
      </w:r>
      <w:r w:rsidRPr="00722882" w:rsidR="00722882">
        <w:rPr>
          <w:rFonts w:eastAsia="Times New Roman" w:cs="Times New Roman"/>
          <w:color w:val="000000"/>
          <w:szCs w:val="24"/>
        </w:rPr>
        <w:t>utside of the proposed ame</w:t>
      </w:r>
      <w:r w:rsidR="00722882">
        <w:rPr>
          <w:rFonts w:eastAsia="Times New Roman" w:cs="Times New Roman"/>
          <w:color w:val="000000"/>
          <w:szCs w:val="24"/>
        </w:rPr>
        <w:t>ndments to § 49.4 and § 49.10 in the February 2020 release</w:t>
      </w:r>
      <w:r w:rsidRPr="00722882" w:rsidR="00722882">
        <w:rPr>
          <w:rFonts w:eastAsia="Times New Roman" w:cs="Times New Roman"/>
          <w:color w:val="000000"/>
          <w:szCs w:val="24"/>
        </w:rPr>
        <w:t xml:space="preserve">. Since the Commission is not proposing to amend the majority of the </w:t>
      </w:r>
      <w:r w:rsidR="00722882">
        <w:rPr>
          <w:rFonts w:eastAsia="Times New Roman" w:cs="Times New Roman"/>
          <w:color w:val="000000"/>
          <w:szCs w:val="24"/>
        </w:rPr>
        <w:t>collection</w:t>
      </w:r>
      <w:r w:rsidR="00061F6E">
        <w:rPr>
          <w:rFonts w:eastAsia="Times New Roman" w:cs="Times New Roman"/>
          <w:color w:val="000000"/>
          <w:szCs w:val="24"/>
        </w:rPr>
        <w:t>s of information in OMB 3038-008</w:t>
      </w:r>
      <w:r w:rsidR="00722882">
        <w:rPr>
          <w:rFonts w:eastAsia="Times New Roman" w:cs="Times New Roman"/>
          <w:color w:val="000000"/>
          <w:szCs w:val="24"/>
        </w:rPr>
        <w:t>6 in the February 2020 release,</w:t>
      </w:r>
      <w:r w:rsidRPr="00722882" w:rsidR="00722882">
        <w:rPr>
          <w:rFonts w:eastAsia="Times New Roman" w:cs="Times New Roman"/>
          <w:color w:val="000000"/>
          <w:szCs w:val="24"/>
        </w:rPr>
        <w:t xml:space="preserve"> Attachment A shows only </w:t>
      </w:r>
      <w:r w:rsidR="00722882">
        <w:rPr>
          <w:rFonts w:eastAsia="Times New Roman" w:cs="Times New Roman"/>
          <w:color w:val="000000"/>
          <w:szCs w:val="24"/>
        </w:rPr>
        <w:t xml:space="preserve">the adjustment to the </w:t>
      </w:r>
      <w:r w:rsidRPr="00722882" w:rsidR="00722882">
        <w:rPr>
          <w:rFonts w:eastAsia="Times New Roman" w:cs="Times New Roman"/>
          <w:color w:val="000000"/>
          <w:szCs w:val="24"/>
        </w:rPr>
        <w:t>burden estimates</w:t>
      </w:r>
      <w:r w:rsidR="00061F6E">
        <w:rPr>
          <w:rFonts w:eastAsia="Times New Roman" w:cs="Times New Roman"/>
          <w:color w:val="000000"/>
          <w:szCs w:val="24"/>
        </w:rPr>
        <w:t xml:space="preserve"> for OMB 3038-008</w:t>
      </w:r>
      <w:r w:rsidR="00722882">
        <w:rPr>
          <w:rFonts w:eastAsia="Times New Roman" w:cs="Times New Roman"/>
          <w:color w:val="000000"/>
          <w:szCs w:val="24"/>
        </w:rPr>
        <w:t>6 proposed in the May 2019 release</w:t>
      </w:r>
      <w:r w:rsidRPr="00722882" w:rsidR="00722882">
        <w:rPr>
          <w:rFonts w:eastAsia="Times New Roman" w:cs="Times New Roman"/>
          <w:color w:val="000000"/>
          <w:szCs w:val="24"/>
        </w:rPr>
        <w:t xml:space="preserve"> resulting from the </w:t>
      </w:r>
      <w:r w:rsidR="00722882">
        <w:rPr>
          <w:rFonts w:eastAsia="Times New Roman" w:cs="Times New Roman"/>
          <w:color w:val="000000"/>
          <w:szCs w:val="24"/>
        </w:rPr>
        <w:t xml:space="preserve">proposed </w:t>
      </w:r>
      <w:r w:rsidRPr="00722882" w:rsidR="00722882">
        <w:rPr>
          <w:rFonts w:eastAsia="Times New Roman" w:cs="Times New Roman"/>
          <w:color w:val="000000"/>
          <w:szCs w:val="24"/>
        </w:rPr>
        <w:t>amendments to § 49.4 and § 49.10</w:t>
      </w:r>
      <w:r w:rsidR="00722882">
        <w:rPr>
          <w:rFonts w:eastAsia="Times New Roman" w:cs="Times New Roman"/>
          <w:color w:val="000000"/>
          <w:szCs w:val="24"/>
        </w:rPr>
        <w:t xml:space="preserve"> in the February 2020 release</w:t>
      </w:r>
      <w:r w:rsidRPr="00722882" w:rsidR="00722882">
        <w:rPr>
          <w:rFonts w:eastAsia="Times New Roman" w:cs="Times New Roman"/>
          <w:color w:val="000000"/>
          <w:szCs w:val="24"/>
        </w:rPr>
        <w:t>.</w:t>
      </w:r>
    </w:p>
    <w:p w:rsidR="00FC5F7F" w:rsidRDefault="00FC5F7F" w14:paraId="2D79DA95" w14:textId="77777777">
      <w:pPr>
        <w:ind w:firstLine="720"/>
        <w:rPr>
          <w:rFonts w:eastAsia="Times New Roman" w:cs="Times New Roman"/>
          <w:color w:val="000000"/>
          <w:szCs w:val="24"/>
        </w:rPr>
      </w:pPr>
    </w:p>
    <w:p w:rsidR="007D0F5D" w:rsidP="00140DEF" w:rsidRDefault="00FC5F7F" w14:paraId="30163347" w14:textId="71D6CFFE">
      <w:pPr>
        <w:rPr>
          <w:rFonts w:eastAsia="Times New Roman" w:cs="Times New Roman"/>
          <w:color w:val="000000"/>
          <w:szCs w:val="24"/>
        </w:rPr>
      </w:pPr>
      <w:r>
        <w:rPr>
          <w:rFonts w:eastAsia="Times New Roman" w:cs="Times New Roman"/>
          <w:color w:val="000000"/>
          <w:szCs w:val="24"/>
        </w:rPr>
        <w:t>In other words, since the February 2020 release proposes further am</w:t>
      </w:r>
      <w:r w:rsidR="00B70CD2">
        <w:rPr>
          <w:rFonts w:eastAsia="Times New Roman" w:cs="Times New Roman"/>
          <w:color w:val="000000"/>
          <w:szCs w:val="24"/>
        </w:rPr>
        <w:t>en</w:t>
      </w:r>
      <w:r>
        <w:rPr>
          <w:rFonts w:eastAsia="Times New Roman" w:cs="Times New Roman"/>
          <w:color w:val="000000"/>
          <w:szCs w:val="24"/>
        </w:rPr>
        <w:t>dments to part 49 to those proposed in the May 2019 release, Attachment A will only show the changes to OMB 303</w:t>
      </w:r>
      <w:r w:rsidR="00061F6E">
        <w:rPr>
          <w:rFonts w:eastAsia="Times New Roman" w:cs="Times New Roman"/>
          <w:color w:val="000000"/>
          <w:szCs w:val="24"/>
        </w:rPr>
        <w:t>8-008</w:t>
      </w:r>
      <w:r>
        <w:rPr>
          <w:rFonts w:eastAsia="Times New Roman" w:cs="Times New Roman"/>
          <w:color w:val="000000"/>
          <w:szCs w:val="24"/>
        </w:rPr>
        <w:t>6 resulting from the February 2020 release. As shown in Attachment A, t</w:t>
      </w:r>
      <w:r w:rsidRPr="009B71FB" w:rsidR="007D0F5D">
        <w:rPr>
          <w:rFonts w:eastAsia="Times New Roman" w:cs="Times New Roman"/>
          <w:color w:val="000000"/>
          <w:szCs w:val="24"/>
        </w:rPr>
        <w:t xml:space="preserve">he Commission estimates the </w:t>
      </w:r>
      <w:r w:rsidR="007D0F5D">
        <w:rPr>
          <w:rFonts w:eastAsia="Times New Roman" w:cs="Times New Roman"/>
          <w:color w:val="000000"/>
          <w:szCs w:val="24"/>
        </w:rPr>
        <w:t xml:space="preserve">proposed </w:t>
      </w:r>
      <w:r w:rsidRPr="009B71FB" w:rsidR="007D0F5D">
        <w:rPr>
          <w:rFonts w:eastAsia="Times New Roman" w:cs="Times New Roman"/>
          <w:color w:val="000000"/>
          <w:szCs w:val="24"/>
        </w:rPr>
        <w:t xml:space="preserve">amendments </w:t>
      </w:r>
      <w:r w:rsidR="007D0F5D">
        <w:rPr>
          <w:rFonts w:eastAsia="Times New Roman" w:cs="Times New Roman"/>
          <w:color w:val="000000"/>
          <w:szCs w:val="24"/>
        </w:rPr>
        <w:t xml:space="preserve">to </w:t>
      </w:r>
      <w:r w:rsidRPr="009C5F72" w:rsidR="007D0F5D">
        <w:rPr>
          <w:rFonts w:eastAsia="Times New Roman" w:cs="Times New Roman"/>
          <w:color w:val="000000"/>
          <w:szCs w:val="24"/>
        </w:rPr>
        <w:t>§ 49.4 and § 49.10</w:t>
      </w:r>
      <w:r w:rsidR="007D0F5D">
        <w:rPr>
          <w:rFonts w:eastAsia="Times New Roman" w:cs="Times New Roman"/>
          <w:color w:val="000000"/>
          <w:szCs w:val="24"/>
        </w:rPr>
        <w:t xml:space="preserve"> </w:t>
      </w:r>
      <w:r w:rsidRPr="009B71FB" w:rsidR="007D0F5D">
        <w:rPr>
          <w:rFonts w:eastAsia="Times New Roman" w:cs="Times New Roman"/>
          <w:color w:val="000000"/>
          <w:szCs w:val="24"/>
        </w:rPr>
        <w:t>would result in an additional 9,000,001 responses added to the total number of responses, and an additional 4,9</w:t>
      </w:r>
      <w:r w:rsidR="00D431CA">
        <w:rPr>
          <w:rFonts w:eastAsia="Times New Roman" w:cs="Times New Roman"/>
          <w:color w:val="000000"/>
          <w:szCs w:val="24"/>
        </w:rPr>
        <w:t>90</w:t>
      </w:r>
      <w:r w:rsidRPr="009B71FB" w:rsidR="007D0F5D">
        <w:rPr>
          <w:rFonts w:eastAsia="Times New Roman" w:cs="Times New Roman"/>
          <w:color w:val="000000"/>
          <w:szCs w:val="24"/>
        </w:rPr>
        <w:t xml:space="preserve"> burden hours with a total additional cost of $</w:t>
      </w:r>
      <w:r w:rsidR="00D431CA">
        <w:rPr>
          <w:rFonts w:eastAsia="Times New Roman" w:cs="Times New Roman"/>
          <w:color w:val="000000"/>
          <w:szCs w:val="24"/>
        </w:rPr>
        <w:t>360,427</w:t>
      </w:r>
      <w:r w:rsidR="00061F6E">
        <w:rPr>
          <w:rFonts w:eastAsia="Times New Roman" w:cs="Times New Roman"/>
          <w:color w:val="000000"/>
          <w:szCs w:val="24"/>
        </w:rPr>
        <w:t xml:space="preserve"> to OMB 3038-008</w:t>
      </w:r>
      <w:r>
        <w:rPr>
          <w:rFonts w:eastAsia="Times New Roman" w:cs="Times New Roman"/>
          <w:color w:val="000000"/>
          <w:szCs w:val="24"/>
        </w:rPr>
        <w:t xml:space="preserve">6. </w:t>
      </w:r>
      <w:r w:rsidRPr="00FC5F7F">
        <w:rPr>
          <w:rFonts w:eastAsia="Times New Roman" w:cs="Times New Roman"/>
          <w:color w:val="000000"/>
          <w:szCs w:val="24"/>
        </w:rPr>
        <w:t>More detail regarding the burden estimates for each regulatory requirement affected by the proposal is provided below.</w:t>
      </w:r>
    </w:p>
    <w:p w:rsidR="007D0F5D" w:rsidP="007D0F5D" w:rsidRDefault="007D0F5D" w14:paraId="5EB9E95B" w14:textId="77777777">
      <w:pPr>
        <w:ind w:firstLine="720"/>
        <w:rPr>
          <w:rFonts w:eastAsia="Times New Roman" w:cs="Times New Roman"/>
          <w:color w:val="000000"/>
          <w:szCs w:val="24"/>
        </w:rPr>
      </w:pPr>
    </w:p>
    <w:p w:rsidR="007D0F5D" w:rsidP="007D0F5D" w:rsidRDefault="007D0F5D" w14:paraId="1D3A3B9A" w14:textId="77777777">
      <w:pPr>
        <w:ind w:firstLine="720"/>
        <w:rPr>
          <w:rFonts w:eastAsia="Times New Roman" w:cs="Times New Roman"/>
          <w:color w:val="000000"/>
          <w:szCs w:val="24"/>
        </w:rPr>
      </w:pPr>
      <w:r w:rsidRPr="008F41C5">
        <w:rPr>
          <w:rFonts w:eastAsia="Times New Roman" w:cs="Times New Roman"/>
          <w:color w:val="000000"/>
          <w:szCs w:val="24"/>
        </w:rPr>
        <w:t>In calculating this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7D0F5D" w:rsidP="00140DEF" w:rsidRDefault="007D0F5D" w14:paraId="769D0AA3" w14:textId="77777777">
      <w:pPr>
        <w:rPr>
          <w:rFonts w:eastAsia="Times New Roman" w:cs="Times New Roman"/>
          <w:color w:val="000000"/>
          <w:szCs w:val="24"/>
        </w:rPr>
      </w:pPr>
    </w:p>
    <w:p w:rsidR="00FC5F7F" w:rsidP="00140DEF" w:rsidRDefault="007D0F5D" w14:paraId="11CD874E" w14:textId="77777777">
      <w:pPr>
        <w:pStyle w:val="ListParagraph"/>
        <w:numPr>
          <w:ilvl w:val="0"/>
          <w:numId w:val="15"/>
        </w:numPr>
      </w:pPr>
      <w:r>
        <w:t>Regulation 49.4</w:t>
      </w:r>
      <w:r w:rsidR="00FC5F7F">
        <w:t>(a)(1)(iv) currently</w:t>
      </w:r>
      <w:r>
        <w:t xml:space="preserve"> requires that a request to withdraw</w:t>
      </w:r>
      <w:r w:rsidR="00FC5F7F">
        <w:t xml:space="preserve"> from SDR registration</w:t>
      </w:r>
      <w:r>
        <w:t xml:space="preserve"> specify, among other items, a statement that the custodial SDR is authorized to make such data and records available in accordance with § 1.44. The Commission is proposing to remove this requirement from 49.4</w:t>
      </w:r>
      <w:r w:rsidR="00FC5F7F">
        <w:t>(a</w:t>
      </w:r>
      <w:proofErr w:type="gramStart"/>
      <w:r w:rsidR="00FC5F7F">
        <w:t>)(</w:t>
      </w:r>
      <w:proofErr w:type="gramEnd"/>
      <w:r w:rsidR="00FC5F7F">
        <w:t>1)(iv)</w:t>
      </w:r>
      <w:r>
        <w:t>.</w:t>
      </w:r>
    </w:p>
    <w:p w:rsidR="00FC5F7F" w:rsidP="00140DEF" w:rsidRDefault="00FC5F7F" w14:paraId="02482D4A" w14:textId="77777777"/>
    <w:p w:rsidR="007D0F5D" w:rsidP="00140DEF" w:rsidRDefault="00B70CD2" w14:paraId="01AE150A" w14:textId="563419D5">
      <w:pPr>
        <w:pStyle w:val="ListParagraph"/>
        <w:numPr>
          <w:ilvl w:val="0"/>
          <w:numId w:val="15"/>
        </w:numPr>
      </w:pPr>
      <w:r>
        <w:t>Regulation</w:t>
      </w:r>
      <w:r w:rsidR="007D0F5D">
        <w:t xml:space="preserve"> 49.4(a</w:t>
      </w:r>
      <w:proofErr w:type="gramStart"/>
      <w:r w:rsidR="007D0F5D">
        <w:t>)(</w:t>
      </w:r>
      <w:proofErr w:type="gramEnd"/>
      <w:r w:rsidR="007D0F5D">
        <w:t>2) requires that prior to filing a request to withdraw, a registered SDR shall file an amended Form SDR to update any inaccurate information. The proposal would eliminate the requirement for SDRs to file an amended Form SDR prior to filing a request to withdraw.</w:t>
      </w:r>
    </w:p>
    <w:p w:rsidR="007D0F5D" w:rsidP="007D0F5D" w:rsidRDefault="007D0F5D" w14:paraId="0E69E3D9" w14:textId="77777777"/>
    <w:p w:rsidR="007D0F5D" w:rsidP="00140DEF" w:rsidRDefault="007D0F5D" w14:paraId="27148307" w14:textId="21E4044E">
      <w:pPr>
        <w:pStyle w:val="ListParagraph"/>
        <w:numPr>
          <w:ilvl w:val="0"/>
          <w:numId w:val="15"/>
        </w:numPr>
      </w:pPr>
      <w:r>
        <w:t xml:space="preserve">Separately, the Commission is proposing </w:t>
      </w:r>
      <w:r w:rsidR="00FC5F7F">
        <w:t xml:space="preserve">new </w:t>
      </w:r>
      <w:r>
        <w:t>§ 49.4(a)(2) to require SDRs to execute an agreement with the custodial SDR governing the custody of the withdrawing SDR’s data and records prior to filing a request to withdraw with the Commission.</w:t>
      </w:r>
      <w:r w:rsidR="00FC5F7F">
        <w:t xml:space="preserve"> </w:t>
      </w:r>
      <w:r w:rsidRPr="0026565F">
        <w:t xml:space="preserve">The Commission had not previously provided a burden estimate for § 49.4. While the Commission is </w:t>
      </w:r>
      <w:r w:rsidRPr="0026565F">
        <w:lastRenderedPageBreak/>
        <w:t xml:space="preserve">proposing to amend § 49.4 to remove the requirement to file a </w:t>
      </w:r>
      <w:r w:rsidR="00B70CD2">
        <w:t>F</w:t>
      </w:r>
      <w:r w:rsidRPr="0026565F" w:rsidR="00B70CD2">
        <w:t xml:space="preserve">orm </w:t>
      </w:r>
      <w:r w:rsidRPr="0026565F">
        <w:t>SDR upon withdrawal from registration, the Commission is also proposing to require SDRs to execute custodial agreements with the SDR to which they would be transferring all of their data. This would result in no net change to the number of reports SDRs are required to file pursuant to § 49.4 (1 report). However, the Commission is now adding an estimate for § 49.4, because it had not done so before. The Commission is estimating that 1 SDR would file a report pursuant to § 49.4, at an estimated 40 hours per report for a total cost of $2,889.20 to the SDR.</w:t>
      </w:r>
    </w:p>
    <w:p w:rsidR="00247B86" w:rsidP="00140DEF" w:rsidRDefault="00247B86" w14:paraId="7F2C5233" w14:textId="77777777"/>
    <w:p w:rsidR="0026565F" w:rsidP="00140DEF" w:rsidRDefault="007D0F5D" w14:paraId="12405F1E" w14:textId="6517D0A2">
      <w:pPr>
        <w:pStyle w:val="ListParagraph"/>
        <w:numPr>
          <w:ilvl w:val="0"/>
          <w:numId w:val="15"/>
        </w:numPr>
      </w:pPr>
      <w:r>
        <w:t>Regulation 49.10(a) requires SDRs to accept and promptly record all swap data. The proposal would further specify that SDRs must send validation acceptance and rejection messages after validating SDR data.</w:t>
      </w:r>
      <w:r w:rsidR="00247B86">
        <w:t xml:space="preserve"> </w:t>
      </w:r>
      <w:r w:rsidRPr="0026565F">
        <w:t>The Commission had previously estimated the burden for § 49.10 as follows: 3 SDRs each annually report 2,652,000 reports at an estimated .00055 hours per report, for a total burden estimate of 7,956,000 responses at 4,419 hours, and $319,184 total</w:t>
      </w:r>
      <w:r>
        <w:t xml:space="preserve"> costs</w:t>
      </w:r>
      <w:r w:rsidRPr="0026565F">
        <w:t>. The Commission is updating this estimate to account for the proposal requiring SDRs to submit new acceptance and rejection messages.</w:t>
      </w:r>
      <w:r w:rsidR="00247B86">
        <w:t xml:space="preserve"> </w:t>
      </w:r>
      <w:r w:rsidRPr="0026565F">
        <w:t xml:space="preserve">The Commission estimates SDRs will each be required to report an additional 3,000,000 messages from the new requirement to submit acceptance and validation messages. </w:t>
      </w:r>
      <w:r w:rsidR="00D431CA">
        <w:t>The 3,000,000 additional messages for each SDR will add an additional 4,950 burden hours at a cost of $357,538.50 to the current estimate for § 49.10</w:t>
      </w:r>
      <w:r>
        <w:t>.</w:t>
      </w:r>
      <w:r>
        <w:rPr>
          <w:rStyle w:val="FootnoteReference"/>
        </w:rPr>
        <w:footnoteReference w:id="1"/>
      </w:r>
    </w:p>
    <w:p w:rsidRPr="00642B6A" w:rsidR="009B71FB" w:rsidP="00642B6A" w:rsidRDefault="009B71FB" w14:paraId="2599E21A" w14:textId="77777777">
      <w:pPr>
        <w:ind w:firstLine="720"/>
        <w:rPr>
          <w:rFonts w:eastAsia="Times New Roman" w:cs="Times New Roman"/>
          <w:color w:val="000000"/>
          <w:szCs w:val="24"/>
        </w:rPr>
      </w:pPr>
    </w:p>
    <w:p w:rsidRPr="00642B6A" w:rsidR="00642B6A" w:rsidP="00FE503D" w:rsidRDefault="00642B6A"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642B6A" w:rsidP="00FE503D" w:rsidRDefault="00642B6A"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96234C" w:rsidP="0096234C" w:rsidRDefault="0096234C" w14:paraId="2178E97C" w14:textId="768364B3">
      <w:pPr>
        <w:pStyle w:val="Default"/>
        <w:tabs>
          <w:tab w:val="left" w:pos="0"/>
        </w:tabs>
        <w:ind w:firstLine="720"/>
        <w:rPr>
          <w:sz w:val="23"/>
          <w:szCs w:val="23"/>
        </w:rPr>
      </w:pPr>
      <w:r>
        <w:rPr>
          <w:rFonts w:eastAsia="Times New Roman"/>
        </w:rPr>
        <w:t xml:space="preserve">The proposed amendments to § 49.10 would require SDRs to </w:t>
      </w:r>
      <w:r>
        <w:rPr>
          <w:sz w:val="23"/>
          <w:szCs w:val="23"/>
        </w:rPr>
        <w:t xml:space="preserve">send validation acceptance and rejection messages after validating SDR data. This would create costs for SDRs to update systems for sending these messages. The Commission estimates that SDRs would incur a one-time initial burden of 100 hours per entity to modify their systems to adopt the changes described below, for a total estimated </w:t>
      </w:r>
      <w:proofErr w:type="gramStart"/>
      <w:r>
        <w:rPr>
          <w:sz w:val="23"/>
          <w:szCs w:val="23"/>
        </w:rPr>
        <w:t>hours</w:t>
      </w:r>
      <w:proofErr w:type="gramEnd"/>
      <w:r>
        <w:rPr>
          <w:sz w:val="23"/>
          <w:szCs w:val="23"/>
        </w:rPr>
        <w:t xml:space="preserve"> burden of 300 hours, at a total cost of </w:t>
      </w:r>
      <w:r w:rsidR="003E3A38">
        <w:rPr>
          <w:sz w:val="23"/>
          <w:szCs w:val="23"/>
        </w:rPr>
        <w:t>$21,669 across the SDRs</w:t>
      </w:r>
      <w:r w:rsidR="00372711">
        <w:rPr>
          <w:sz w:val="23"/>
          <w:szCs w:val="23"/>
        </w:rPr>
        <w:t xml:space="preserve"> (based on a labor cost of $72.23)</w:t>
      </w:r>
      <w:r w:rsidR="003E3A38">
        <w:rPr>
          <w:sz w:val="23"/>
          <w:szCs w:val="23"/>
        </w:rPr>
        <w:t>.</w:t>
      </w:r>
      <w:r>
        <w:rPr>
          <w:sz w:val="23"/>
          <w:szCs w:val="23"/>
        </w:rPr>
        <w:t xml:space="preserve"> The Commission additionally estimates 100 hours per entity annually to perform any needed maintenance or ad</w:t>
      </w:r>
      <w:r w:rsidR="003E3A38">
        <w:rPr>
          <w:sz w:val="23"/>
          <w:szCs w:val="23"/>
        </w:rPr>
        <w:t xml:space="preserve">justments to reporting systems, </w:t>
      </w:r>
      <w:r w:rsidRPr="00E056E9" w:rsidR="00E056E9">
        <w:rPr>
          <w:sz w:val="23"/>
          <w:szCs w:val="23"/>
        </w:rPr>
        <w:t xml:space="preserve">for a total estimated </w:t>
      </w:r>
      <w:proofErr w:type="gramStart"/>
      <w:r w:rsidRPr="00E056E9" w:rsidR="00E056E9">
        <w:rPr>
          <w:sz w:val="23"/>
          <w:szCs w:val="23"/>
        </w:rPr>
        <w:t>hours</w:t>
      </w:r>
      <w:proofErr w:type="gramEnd"/>
      <w:r w:rsidRPr="00E056E9" w:rsidR="00E056E9">
        <w:rPr>
          <w:sz w:val="23"/>
          <w:szCs w:val="23"/>
        </w:rPr>
        <w:t xml:space="preserve"> burden of 300 hours, at a total cost of $21,669 across the SDRs</w:t>
      </w:r>
      <w:r w:rsidR="003E3A38">
        <w:rPr>
          <w:sz w:val="23"/>
          <w:szCs w:val="23"/>
        </w:rPr>
        <w:t>.</w:t>
      </w:r>
    </w:p>
    <w:p w:rsidR="0096234C" w:rsidP="0096234C" w:rsidRDefault="0096234C" w14:paraId="7F0D893C" w14:textId="77777777">
      <w:pPr>
        <w:pStyle w:val="Default"/>
        <w:tabs>
          <w:tab w:val="left" w:pos="0"/>
        </w:tabs>
        <w:ind w:firstLine="720"/>
        <w:rPr>
          <w:sz w:val="23"/>
          <w:szCs w:val="23"/>
        </w:rPr>
      </w:pPr>
    </w:p>
    <w:p w:rsidRPr="0096234C" w:rsidR="007F4582" w:rsidP="0096234C" w:rsidRDefault="007F4582" w14:paraId="16FA0B03" w14:textId="36A1FA56">
      <w:pPr>
        <w:pStyle w:val="Default"/>
        <w:tabs>
          <w:tab w:val="left" w:pos="0"/>
        </w:tabs>
        <w:ind w:firstLine="720"/>
        <w:rPr>
          <w:sz w:val="23"/>
          <w:szCs w:val="23"/>
        </w:rPr>
      </w:pPr>
      <w:r>
        <w:rPr>
          <w:rFonts w:eastAsia="Times New Roman"/>
        </w:rPr>
        <w:t xml:space="preserve">The total capital/start-up costs for </w:t>
      </w:r>
      <w:r w:rsidR="0096234C">
        <w:rPr>
          <w:rFonts w:eastAsia="Times New Roman"/>
        </w:rPr>
        <w:t>amended §</w:t>
      </w:r>
      <w:r>
        <w:rPr>
          <w:rFonts w:eastAsia="Times New Roman"/>
        </w:rPr>
        <w:t xml:space="preserve"> 4</w:t>
      </w:r>
      <w:r w:rsidR="0096234C">
        <w:rPr>
          <w:rFonts w:eastAsia="Times New Roman"/>
        </w:rPr>
        <w:t xml:space="preserve">9.10 </w:t>
      </w:r>
      <w:r>
        <w:rPr>
          <w:rFonts w:eastAsia="Times New Roman"/>
        </w:rPr>
        <w:t>are shown in Attachment B</w:t>
      </w:r>
      <w:r w:rsidR="0096234C">
        <w:rPr>
          <w:rFonts w:eastAsia="Times New Roman"/>
        </w:rPr>
        <w:t>.</w:t>
      </w:r>
    </w:p>
    <w:p w:rsidRPr="00642B6A" w:rsidR="00347613" w:rsidP="00642B6A" w:rsidRDefault="00347613" w14:paraId="157A3524" w14:textId="77777777">
      <w:pPr>
        <w:ind w:firstLine="720"/>
        <w:rPr>
          <w:rFonts w:eastAsia="Times New Roman" w:cs="Times New Roman"/>
          <w:color w:val="000000"/>
          <w:szCs w:val="24"/>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4B587D4F">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 xml:space="preserve">the </w:t>
      </w:r>
      <w:r w:rsidRPr="007553BE" w:rsidR="007553BE">
        <w:rPr>
          <w:rFonts w:eastAsia="Times New Roman" w:cs="Times New Roman"/>
          <w:szCs w:val="24"/>
        </w:rPr>
        <w:t>proposed 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3038-00</w:t>
      </w:r>
      <w:r w:rsidR="00C066FB">
        <w:rPr>
          <w:rFonts w:eastAsia="Times New Roman" w:cs="Times New Roman"/>
          <w:szCs w:val="24"/>
        </w:rPr>
        <w:t>86</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30696E57">
      <w:pPr>
        <w:tabs>
          <w:tab w:val="left" w:pos="-720"/>
        </w:tabs>
        <w:spacing w:after="240"/>
        <w:rPr>
          <w:rFonts w:eastAsia="Times New Roman" w:cs="Times New Roman"/>
          <w:szCs w:val="24"/>
        </w:rPr>
      </w:pPr>
      <w:r w:rsidRPr="00642B6A">
        <w:rPr>
          <w:rFonts w:eastAsia="Times New Roman" w:cs="Times New Roman"/>
          <w:szCs w:val="24"/>
        </w:rPr>
        <w:tab/>
      </w:r>
      <w:r w:rsidR="00C066FB">
        <w:rPr>
          <w:rFonts w:eastAsia="Times New Roman" w:cs="Times New Roman"/>
          <w:szCs w:val="24"/>
        </w:rPr>
        <w:t>T</w:t>
      </w:r>
      <w:r w:rsidRPr="00752AE8" w:rsidR="00752AE8">
        <w:rPr>
          <w:rFonts w:eastAsia="Times New Roman" w:cs="Times New Roman"/>
          <w:szCs w:val="24"/>
        </w:rPr>
        <w:t>he Commission is</w:t>
      </w:r>
      <w:r w:rsidR="00752AE8">
        <w:rPr>
          <w:rFonts w:eastAsia="Times New Roman" w:cs="Times New Roman"/>
          <w:szCs w:val="24"/>
        </w:rPr>
        <w:t xml:space="preserve"> proposing amendments to </w:t>
      </w:r>
      <w:r w:rsidR="00C066FB">
        <w:rPr>
          <w:rFonts w:eastAsia="Times New Roman" w:cs="Times New Roman"/>
          <w:szCs w:val="24"/>
        </w:rPr>
        <w:t xml:space="preserve">Part </w:t>
      </w:r>
      <w:r w:rsidR="00752AE8">
        <w:rPr>
          <w:rFonts w:eastAsia="Times New Roman" w:cs="Times New Roman"/>
          <w:szCs w:val="24"/>
        </w:rPr>
        <w:t>4</w:t>
      </w:r>
      <w:r w:rsidR="00C066FB">
        <w:rPr>
          <w:rFonts w:eastAsia="Times New Roman" w:cs="Times New Roman"/>
          <w:szCs w:val="24"/>
        </w:rPr>
        <w:t>9</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w:t>
      </w:r>
      <w:r w:rsidR="00625287">
        <w:rPr>
          <w:rFonts w:eastAsia="Times New Roman" w:cs="Times New Roman"/>
          <w:szCs w:val="24"/>
        </w:rPr>
        <w:t xml:space="preserve">swap data and </w:t>
      </w:r>
      <w:r w:rsidRPr="00752AE8" w:rsidR="00752AE8">
        <w:rPr>
          <w:rFonts w:eastAsia="Times New Roman" w:cs="Times New Roman"/>
          <w:szCs w:val="24"/>
        </w:rPr>
        <w:t>to streamline regulatory requirements govern</w:t>
      </w:r>
      <w:r w:rsidR="00752AE8">
        <w:rPr>
          <w:rFonts w:eastAsia="Times New Roman" w:cs="Times New Roman"/>
          <w:szCs w:val="24"/>
        </w:rPr>
        <w:t>ing data reporting</w:t>
      </w:r>
      <w:r w:rsidRPr="00752AE8" w:rsidR="00752AE8">
        <w:rPr>
          <w:rFonts w:eastAsia="Times New Roman" w:cs="Times New Roman"/>
          <w:szCs w:val="24"/>
        </w:rPr>
        <w:t xml:space="preserve">. This supporting statement discusses adjustments to burden </w:t>
      </w:r>
      <w:proofErr w:type="gramStart"/>
      <w:r w:rsidRPr="00752AE8" w:rsidR="00752AE8">
        <w:rPr>
          <w:rFonts w:eastAsia="Times New Roman" w:cs="Times New Roman"/>
          <w:szCs w:val="24"/>
        </w:rPr>
        <w:t>hours</w:t>
      </w:r>
      <w:proofErr w:type="gramEnd"/>
      <w:r w:rsidRPr="00752AE8" w:rsidR="00752AE8">
        <w:rPr>
          <w:rFonts w:eastAsia="Times New Roman" w:cs="Times New Roman"/>
          <w:szCs w:val="24"/>
        </w:rPr>
        <w:t xml:space="preserve"> calculations for </w:t>
      </w:r>
      <w:r w:rsidR="00752AE8">
        <w:rPr>
          <w:rFonts w:eastAsia="Times New Roman" w:cs="Times New Roman"/>
          <w:szCs w:val="24"/>
        </w:rPr>
        <w:t>Information Collection 3038-00</w:t>
      </w:r>
      <w:r w:rsidR="00C066FB">
        <w:rPr>
          <w:rFonts w:eastAsia="Times New Roman" w:cs="Times New Roman"/>
          <w:szCs w:val="24"/>
        </w:rPr>
        <w:t>86</w:t>
      </w:r>
      <w:r w:rsidRPr="00752AE8" w:rsidR="00752AE8">
        <w:rPr>
          <w:rFonts w:eastAsia="Times New Roman" w:cs="Times New Roman"/>
          <w:szCs w:val="24"/>
        </w:rPr>
        <w:t xml:space="preserve"> to account for modified and new burdens associated with the proposed changes to t</w:t>
      </w:r>
      <w:r w:rsidR="00B6286C">
        <w:rPr>
          <w:rFonts w:eastAsia="Times New Roman" w:cs="Times New Roman"/>
          <w:szCs w:val="24"/>
        </w:rPr>
        <w:t>he regulation.</w:t>
      </w:r>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lastRenderedPageBreak/>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B74CE1" w:rsidRDefault="00B74CE1" w14:paraId="50F422D1" w14:textId="77777777">
      <w:pPr>
        <w:spacing w:after="200" w:line="276" w:lineRule="auto"/>
        <w:rPr>
          <w:rFonts w:eastAsia="Times New Roman" w:cs="Times New Roman"/>
          <w:szCs w:val="24"/>
        </w:rPr>
      </w:pPr>
      <w:r>
        <w:rPr>
          <w:rFonts w:eastAsia="Times New Roman" w:cs="Times New Roman"/>
          <w:szCs w:val="24"/>
        </w:rPr>
        <w:br w:type="page"/>
      </w:r>
    </w:p>
    <w:p w:rsidRPr="00642B6A" w:rsidR="00642B6A" w:rsidP="005E4E5C" w:rsidRDefault="00642B6A" w14:paraId="50F422D3"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642B6A" w:rsidR="00642B6A" w:rsidP="00642B6A" w:rsidRDefault="00642B6A" w14:paraId="50F422D4" w14:textId="77777777">
      <w:pPr>
        <w:jc w:val="center"/>
        <w:rPr>
          <w:rFonts w:eastAsia="Times New Roman" w:cs="Times New Roman"/>
          <w:b/>
          <w:szCs w:val="24"/>
        </w:rPr>
      </w:pPr>
    </w:p>
    <w:p w:rsidR="00642B6A" w:rsidP="00642B6A" w:rsidRDefault="00357E35" w14:paraId="50F422D5" w14:textId="151225FF">
      <w:pPr>
        <w:jc w:val="center"/>
        <w:rPr>
          <w:rFonts w:eastAsia="Times New Roman" w:cs="Times New Roman"/>
          <w:b/>
          <w:szCs w:val="24"/>
        </w:rPr>
      </w:pPr>
      <w:r>
        <w:rPr>
          <w:rFonts w:eastAsia="Times New Roman" w:cs="Times New Roman"/>
          <w:b/>
          <w:szCs w:val="24"/>
        </w:rPr>
        <w:t>OMB Control Number 3038-00</w:t>
      </w:r>
      <w:r w:rsidR="00274164">
        <w:rPr>
          <w:rFonts w:eastAsia="Times New Roman" w:cs="Times New Roman"/>
          <w:b/>
          <w:szCs w:val="24"/>
        </w:rPr>
        <w:t>8</w:t>
      </w:r>
      <w:r w:rsidR="00047399">
        <w:rPr>
          <w:rFonts w:eastAsia="Times New Roman" w:cs="Times New Roman"/>
          <w:b/>
          <w:szCs w:val="24"/>
        </w:rPr>
        <w:t>6</w:t>
      </w:r>
    </w:p>
    <w:p w:rsidR="00A80B52" w:rsidP="00357E35" w:rsidRDefault="00274164" w14:paraId="15AE25DE" w14:textId="24542E3C">
      <w:pPr>
        <w:jc w:val="center"/>
        <w:rPr>
          <w:rFonts w:eastAsia="Times New Roman" w:cs="Times New Roman"/>
          <w:szCs w:val="24"/>
        </w:rPr>
      </w:pPr>
      <w:r w:rsidRPr="00274164">
        <w:rPr>
          <w:rFonts w:eastAsia="Times New Roman" w:cs="Times New Roman"/>
          <w:szCs w:val="24"/>
        </w:rPr>
        <w:t>Swap Data Repositories: Registration and Regulatory Requirements</w:t>
      </w:r>
    </w:p>
    <w:p w:rsidRPr="00642B6A" w:rsidR="00274164" w:rsidP="00357E35" w:rsidRDefault="00274164" w14:paraId="3807F524" w14:textId="77777777">
      <w:pPr>
        <w:jc w:val="center"/>
        <w:rPr>
          <w:rFonts w:eastAsia="Times New Roman" w:cs="Times New Roman"/>
          <w:b/>
          <w:szCs w:val="24"/>
        </w:rPr>
      </w:pPr>
    </w:p>
    <w:p w:rsidRPr="008F6D4A" w:rsidR="008F6D4A" w:rsidP="008F6D4A" w:rsidRDefault="008F6D4A" w14:paraId="50F422D7" w14:textId="6BBAD2D3">
      <w:pPr>
        <w:jc w:val="center"/>
        <w:rPr>
          <w:rFonts w:eastAsia="Times New Roman" w:cs="Times New Roman"/>
          <w:szCs w:val="24"/>
        </w:rPr>
      </w:pPr>
      <w:r w:rsidRPr="008F6D4A">
        <w:rPr>
          <w:rFonts w:eastAsia="Times New Roman" w:cs="Times New Roman"/>
          <w:szCs w:val="24"/>
        </w:rPr>
        <w:t>Reporting Burden</w:t>
      </w:r>
    </w:p>
    <w:p w:rsidRPr="008F6D4A" w:rsidR="008F6D4A" w:rsidP="008F6D4A" w:rsidRDefault="008F6D4A" w14:paraId="50F422D8" w14:textId="77777777">
      <w:pPr>
        <w:jc w:val="center"/>
        <w:rPr>
          <w:rFonts w:eastAsia="Times New Roman" w:cs="Times New Roman"/>
          <w:szCs w:val="24"/>
        </w:rPr>
      </w:pPr>
    </w:p>
    <w:tbl>
      <w:tblPr>
        <w:tblW w:w="6015"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53"/>
        <w:gridCol w:w="1259"/>
        <w:gridCol w:w="1087"/>
        <w:gridCol w:w="1170"/>
        <w:gridCol w:w="1170"/>
        <w:gridCol w:w="993"/>
        <w:gridCol w:w="1251"/>
        <w:gridCol w:w="1078"/>
        <w:gridCol w:w="816"/>
        <w:gridCol w:w="1343"/>
      </w:tblGrid>
      <w:tr w:rsidRPr="008F6D4A" w:rsidR="007D22E3" w:rsidDel="009C6DB4" w:rsidTr="00140DEF" w14:paraId="50F422F6" w14:textId="77777777">
        <w:trPr>
          <w:trHeight w:val="1427"/>
        </w:trPr>
        <w:tc>
          <w:tcPr>
            <w:tcW w:w="587" w:type="pct"/>
          </w:tcPr>
          <w:p w:rsidR="007D22E3" w:rsidP="00A910FB" w:rsidRDefault="007D22E3" w14:paraId="50F422D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Pr="005E41B2" w:rsidR="007D22E3" w:rsidP="00A910FB" w:rsidRDefault="007D22E3" w14:paraId="50F422DA"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tc>
        <w:tc>
          <w:tcPr>
            <w:tcW w:w="546" w:type="pct"/>
          </w:tcPr>
          <w:p w:rsidR="007D22E3" w:rsidP="00A910FB" w:rsidRDefault="007D22E3" w14:paraId="50F422D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7D22E3" w:rsidP="00A910FB" w:rsidRDefault="007D22E3" w14:paraId="50F422DC"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7D22E3" w:rsidP="00A910FB" w:rsidRDefault="007D22E3" w14:paraId="50F422DD" w14:textId="77777777">
            <w:pPr>
              <w:tabs>
                <w:tab w:val="left" w:pos="-720"/>
                <w:tab w:val="left" w:pos="0"/>
              </w:tabs>
              <w:suppressAutoHyphens/>
              <w:jc w:val="center"/>
              <w:rPr>
                <w:rFonts w:ascii="Arial" w:hAnsi="Arial" w:eastAsia="Times New Roman" w:cs="Times New Roman"/>
                <w:b/>
                <w:sz w:val="16"/>
                <w:szCs w:val="16"/>
              </w:rPr>
            </w:pPr>
          </w:p>
        </w:tc>
        <w:tc>
          <w:tcPr>
            <w:tcW w:w="472" w:type="pct"/>
          </w:tcPr>
          <w:p w:rsidR="007D22E3" w:rsidP="00A910FB" w:rsidRDefault="007D22E3" w14:paraId="50F422DE"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7D22E3" w:rsidP="00A910FB" w:rsidRDefault="007D22E3" w14:paraId="50F422D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7D22E3" w:rsidP="00A910FB" w:rsidRDefault="007D22E3" w14:paraId="50F422E0"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08" w:type="pct"/>
          </w:tcPr>
          <w:p w:rsidR="007D22E3" w:rsidP="00A910FB" w:rsidRDefault="007D22E3" w14:paraId="50F422E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7D22E3" w:rsidP="00A910FB" w:rsidRDefault="007D22E3" w14:paraId="50F422E2"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08" w:type="pct"/>
          </w:tcPr>
          <w:p w:rsidR="007D22E3" w:rsidP="00A910FB" w:rsidRDefault="007D22E3" w14:paraId="50F422E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7D22E3" w:rsidP="00A910FB" w:rsidRDefault="00C83EDF" w14:paraId="50F422E4" w14:textId="22DD6C81">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Annual </w:t>
            </w:r>
            <w:r w:rsidRPr="005E41B2" w:rsidR="007D22E3">
              <w:rPr>
                <w:rFonts w:ascii="Arial" w:hAnsi="Arial" w:eastAsia="Times New Roman" w:cs="Times New Roman"/>
                <w:b/>
                <w:sz w:val="16"/>
                <w:szCs w:val="16"/>
              </w:rPr>
              <w:t>Number of Burden Hours per Respondent</w:t>
            </w:r>
          </w:p>
          <w:p w:rsidRPr="005E41B2" w:rsidR="007D22E3" w:rsidP="00A910FB" w:rsidRDefault="007D22E3" w14:paraId="50F422E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1" w:type="pct"/>
          </w:tcPr>
          <w:p w:rsidR="007D22E3" w:rsidP="00A910FB" w:rsidRDefault="007D22E3" w14:paraId="50F422E6"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7D22E3" w:rsidP="00A910FB" w:rsidRDefault="007D22E3" w14:paraId="50F422E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footnoteReference w:id="2"/>
            </w:r>
          </w:p>
          <w:p w:rsidRPr="005E41B2" w:rsidR="007D22E3" w:rsidP="00A910FB" w:rsidRDefault="007D22E3" w14:paraId="50F422E8" w14:textId="77777777">
            <w:pPr>
              <w:tabs>
                <w:tab w:val="left" w:pos="-720"/>
                <w:tab w:val="left" w:pos="0"/>
              </w:tabs>
              <w:suppressAutoHyphens/>
              <w:jc w:val="center"/>
              <w:rPr>
                <w:rFonts w:ascii="Arial" w:hAnsi="Arial" w:eastAsia="Times New Roman" w:cs="Times New Roman"/>
                <w:b/>
                <w:sz w:val="16"/>
                <w:szCs w:val="16"/>
              </w:rPr>
            </w:pPr>
          </w:p>
        </w:tc>
        <w:tc>
          <w:tcPr>
            <w:tcW w:w="543" w:type="pct"/>
          </w:tcPr>
          <w:p w:rsidR="007D22E3" w:rsidP="00A910FB" w:rsidRDefault="007D22E3" w14:paraId="50F422E9" w14:textId="77777777">
            <w:pPr>
              <w:jc w:val="center"/>
              <w:rPr>
                <w:rFonts w:ascii="Arial" w:hAnsi="Arial" w:cs="Arial"/>
                <w:b/>
                <w:sz w:val="16"/>
                <w:szCs w:val="16"/>
              </w:rPr>
            </w:pPr>
            <w:r>
              <w:rPr>
                <w:rFonts w:ascii="Arial" w:hAnsi="Arial" w:cs="Arial"/>
                <w:b/>
                <w:sz w:val="16"/>
                <w:szCs w:val="16"/>
              </w:rPr>
              <w:t>7.</w:t>
            </w:r>
          </w:p>
          <w:p w:rsidR="007D22E3" w:rsidP="00A910FB" w:rsidRDefault="007D22E3" w14:paraId="50F422EA"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7D22E3" w:rsidP="00A910FB" w:rsidRDefault="007D22E3" w14:paraId="50F422EB" w14:textId="77777777">
            <w:pPr>
              <w:jc w:val="center"/>
              <w:rPr>
                <w:rFonts w:ascii="Arial" w:hAnsi="Arial" w:cs="Arial"/>
                <w:b/>
                <w:sz w:val="16"/>
                <w:szCs w:val="16"/>
              </w:rPr>
            </w:pPr>
            <w:r>
              <w:rPr>
                <w:rFonts w:ascii="Arial" w:hAnsi="Arial" w:cs="Arial"/>
                <w:b/>
                <w:sz w:val="16"/>
                <w:szCs w:val="16"/>
              </w:rPr>
              <w:t>(5 x 6)</w:t>
            </w:r>
          </w:p>
        </w:tc>
        <w:tc>
          <w:tcPr>
            <w:tcW w:w="468" w:type="pct"/>
          </w:tcPr>
          <w:p w:rsidR="007D22E3" w:rsidP="00A910FB" w:rsidRDefault="007D22E3" w14:paraId="50F422E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7D22E3" w:rsidP="00A910FB" w:rsidRDefault="007D22E3" w14:paraId="50F422E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7D22E3" w:rsidP="00A910FB" w:rsidRDefault="007D22E3" w14:paraId="50F422EE"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7D22E3" w:rsidP="00A910FB" w:rsidRDefault="007D22E3" w14:paraId="50F422E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354" w:type="pct"/>
          </w:tcPr>
          <w:p w:rsidRPr="00C91CB5" w:rsidR="007D22E3" w:rsidP="00A910FB" w:rsidRDefault="007D22E3" w14:paraId="50F422F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7D22E3" w:rsidP="00A910FB" w:rsidRDefault="007D22E3" w14:paraId="50F422F1" w14:textId="137BC90B">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sidR="00C83EDF">
              <w:rPr>
                <w:rFonts w:ascii="Arial" w:hAnsi="Arial" w:eastAsia="Times New Roman" w:cs="Times New Roman"/>
                <w:b/>
                <w:sz w:val="16"/>
                <w:szCs w:val="16"/>
              </w:rPr>
              <w:t xml:space="preserve"> </w:t>
            </w:r>
            <w:r w:rsidR="007A1107">
              <w:rPr>
                <w:rFonts w:ascii="Arial" w:hAnsi="Arial" w:eastAsia="Times New Roman" w:cs="Times New Roman"/>
                <w:b/>
                <w:sz w:val="16"/>
                <w:szCs w:val="16"/>
              </w:rPr>
              <w:t>No.</w:t>
            </w:r>
            <w:r w:rsidRPr="00C91CB5" w:rsidR="007A1107">
              <w:rPr>
                <w:rFonts w:ascii="Arial" w:hAnsi="Arial" w:eastAsia="Times New Roman" w:cs="Times New Roman"/>
                <w:b/>
                <w:sz w:val="16"/>
                <w:szCs w:val="16"/>
              </w:rPr>
              <w:t xml:space="preserve"> </w:t>
            </w:r>
            <w:r w:rsidRPr="00C91CB5">
              <w:rPr>
                <w:rFonts w:ascii="Arial" w:hAnsi="Arial" w:eastAsia="Times New Roman" w:cs="Times New Roman"/>
                <w:b/>
                <w:sz w:val="16"/>
                <w:szCs w:val="16"/>
              </w:rPr>
              <w:t>of Burden Hours</w:t>
            </w:r>
          </w:p>
          <w:p w:rsidR="007D22E3" w:rsidP="00A910FB" w:rsidRDefault="007D22E3" w14:paraId="50F422F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83" w:type="pct"/>
          </w:tcPr>
          <w:p w:rsidR="007D22E3" w:rsidP="00A910FB" w:rsidRDefault="007D22E3" w14:paraId="50F422F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7D22E3" w:rsidP="00A910FB" w:rsidRDefault="007D22E3" w14:paraId="50F422F4"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7D22E3" w:rsidDel="009C6DB4" w:rsidP="00A910FB" w:rsidRDefault="007D22E3" w14:paraId="50F422F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AD5E25" w:rsidR="00C80E79" w:rsidTr="00140DEF" w14:paraId="3EC84F48"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6D5560EA" w14:textId="6E5CC9E8">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49.4</w:t>
            </w:r>
            <w:r>
              <w:rPr>
                <w:rFonts w:ascii="Arial" w:hAnsi="Arial" w:eastAsia="Times New Roman" w:cs="Times New Roman"/>
                <w:sz w:val="16"/>
                <w:szCs w:val="16"/>
              </w:rPr>
              <w:t xml:space="preserve"> – Withdrawal from Registration</w:t>
            </w:r>
            <w:r w:rsidR="00C50E30">
              <w:rPr>
                <w:rStyle w:val="FootnoteReference"/>
                <w:rFonts w:ascii="Arial" w:hAnsi="Arial" w:eastAsia="Times New Roman" w:cs="Times New Roman"/>
                <w:sz w:val="16"/>
                <w:szCs w:val="16"/>
              </w:rPr>
              <w:footnoteReference w:id="3"/>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7F73DEB3"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1B33763C"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204BA35B"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40</w:t>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10C69F72"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40</w:t>
            </w: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D5E25" w:rsidRDefault="00C80E79" w14:paraId="2EDF9389" w14:textId="7E04023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$72.23</w:t>
            </w: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CE39BB" w:rsidRDefault="00C80E79" w14:paraId="522BAE4F" w14:textId="07C21C54">
            <w:pPr>
              <w:jc w:val="center"/>
              <w:rPr>
                <w:rFonts w:ascii="Arial" w:hAnsi="Arial" w:cs="Arial"/>
                <w:sz w:val="16"/>
                <w:szCs w:val="16"/>
              </w:rPr>
            </w:pPr>
            <w:r>
              <w:rPr>
                <w:rFonts w:ascii="Arial" w:hAnsi="Arial" w:cs="Arial"/>
                <w:color w:val="000000"/>
                <w:sz w:val="16"/>
                <w:szCs w:val="16"/>
              </w:rPr>
              <w:t>$2,889.20</w:t>
            </w:r>
          </w:p>
        </w:tc>
        <w:tc>
          <w:tcPr>
            <w:tcW w:w="468"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910B8" w:rsidRDefault="00C80E79" w14:paraId="70CAE7BC" w14:textId="02CE4967">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A910B8" w:rsidRDefault="00C80E79" w14:paraId="33290BBD" w14:textId="19698132">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40</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rsidRPr="00AD5E25" w:rsidR="00C80E79" w:rsidP="00F971DD" w:rsidRDefault="00C80E79" w14:paraId="48B40FA0" w14:textId="13771D9A">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$2,889.20</w:t>
            </w:r>
          </w:p>
        </w:tc>
      </w:tr>
      <w:tr w:rsidRPr="00AD5E25" w:rsidR="00A15A96" w:rsidTr="00140DEF" w14:paraId="21D18D24"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7E587866" w14:textId="42CD8EA6">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49.10 – Acceptance of Data</w:t>
            </w:r>
            <w:r w:rsidR="00C50E30">
              <w:rPr>
                <w:rStyle w:val="FootnoteReference"/>
                <w:rFonts w:ascii="Arial" w:hAnsi="Arial" w:eastAsia="Times New Roman" w:cs="Times New Roman"/>
                <w:sz w:val="16"/>
                <w:szCs w:val="16"/>
              </w:rPr>
              <w:footnoteReference w:id="4"/>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230FD98B" w14:textId="77777777">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D431CA" w14:paraId="32195FF8" w14:textId="063C5FE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3,000,000</w:t>
            </w:r>
            <w:r w:rsidR="00235DD2">
              <w:rPr>
                <w:rStyle w:val="FootnoteReference"/>
                <w:rFonts w:ascii="Arial" w:hAnsi="Arial" w:eastAsia="Times New Roman" w:cs="Times New Roman"/>
                <w:sz w:val="16"/>
                <w:szCs w:val="16"/>
              </w:rPr>
              <w:footnoteReference w:id="5"/>
            </w: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128388F5" w14:textId="77777777">
            <w:pPr>
              <w:tabs>
                <w:tab w:val="left" w:pos="-720"/>
                <w:tab w:val="left" w:pos="0"/>
              </w:tabs>
              <w:suppressAutoHyphens/>
              <w:jc w:val="center"/>
              <w:rPr>
                <w:rFonts w:ascii="Arial" w:hAnsi="Arial" w:eastAsia="Times New Roman" w:cs="Times New Roman"/>
                <w:sz w:val="16"/>
                <w:szCs w:val="16"/>
              </w:rPr>
            </w:pPr>
            <w:bookmarkStart w:name="RANGE!D10" w:id="1"/>
            <w:r w:rsidRPr="00AD5E25">
              <w:rPr>
                <w:rFonts w:ascii="Arial" w:hAnsi="Arial" w:eastAsia="Times New Roman" w:cs="Times New Roman"/>
                <w:sz w:val="16"/>
                <w:szCs w:val="16"/>
              </w:rPr>
              <w:t>0.00055</w:t>
            </w:r>
            <w:bookmarkEnd w:id="1"/>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D431CA" w14:paraId="5B29ED01" w14:textId="5539093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1,650</w:t>
            </w: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AD5E25" w:rsidRDefault="00A15A96" w14:paraId="72761C92" w14:textId="45E9D18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$72.23</w:t>
            </w:r>
            <w:r w:rsidRPr="00AD5E25">
              <w:rPr>
                <w:rFonts w:ascii="Arial" w:hAnsi="Arial" w:eastAsia="Times New Roman" w:cs="Times New Roman"/>
                <w:sz w:val="16"/>
                <w:szCs w:val="16"/>
              </w:rPr>
              <w:t xml:space="preserve"> </w:t>
            </w: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F971DD" w:rsidRDefault="00C80E79" w14:paraId="38330BBE" w14:textId="0824A349">
            <w:pPr>
              <w:jc w:val="center"/>
              <w:rPr>
                <w:rFonts w:ascii="Arial" w:hAnsi="Arial" w:cs="Arial"/>
                <w:sz w:val="16"/>
                <w:szCs w:val="16"/>
              </w:rPr>
            </w:pPr>
            <w:r>
              <w:rPr>
                <w:rFonts w:ascii="Arial" w:hAnsi="Arial" w:cs="Arial"/>
                <w:color w:val="000000"/>
                <w:sz w:val="16"/>
                <w:szCs w:val="16"/>
              </w:rPr>
              <w:t xml:space="preserve">$ </w:t>
            </w:r>
            <w:r w:rsidRPr="00D431CA" w:rsidR="00D431CA">
              <w:rPr>
                <w:rFonts w:ascii="Arial" w:hAnsi="Arial" w:cs="Arial"/>
                <w:color w:val="000000"/>
                <w:sz w:val="16"/>
                <w:szCs w:val="16"/>
              </w:rPr>
              <w:t>119,179.5</w:t>
            </w:r>
            <w:r w:rsidR="00D431CA">
              <w:rPr>
                <w:rFonts w:ascii="Arial" w:hAnsi="Arial" w:cs="Arial"/>
                <w:color w:val="000000"/>
                <w:sz w:val="16"/>
                <w:szCs w:val="16"/>
              </w:rPr>
              <w:t>0</w:t>
            </w:r>
          </w:p>
        </w:tc>
        <w:tc>
          <w:tcPr>
            <w:tcW w:w="468"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F971DD" w:rsidRDefault="00D431CA" w14:paraId="195657DC" w14:textId="0098E27E">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9,000,000</w:t>
            </w:r>
          </w:p>
        </w:tc>
        <w:tc>
          <w:tcPr>
            <w:tcW w:w="354"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P="003B1073" w:rsidRDefault="00D431CA" w14:paraId="2075529D" w14:textId="0435AD61">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4,950</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rsidRPr="00AD5E25" w:rsidR="00A15A96" w:rsidRDefault="00C80E79" w14:paraId="4FEF13A5" w14:textId="1A491F29">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 </w:t>
            </w:r>
            <w:r w:rsidRPr="00D431CA" w:rsidR="00D431CA">
              <w:rPr>
                <w:rFonts w:ascii="Arial" w:hAnsi="Arial" w:cs="Arial"/>
                <w:color w:val="000000"/>
                <w:sz w:val="16"/>
                <w:szCs w:val="16"/>
              </w:rPr>
              <w:t>357,538.5</w:t>
            </w:r>
            <w:r w:rsidR="00D431CA">
              <w:rPr>
                <w:rFonts w:ascii="Arial" w:hAnsi="Arial" w:cs="Arial"/>
                <w:color w:val="000000"/>
                <w:sz w:val="16"/>
                <w:szCs w:val="16"/>
              </w:rPr>
              <w:t>0</w:t>
            </w:r>
          </w:p>
        </w:tc>
      </w:tr>
      <w:tr w:rsidRPr="00AD5E25" w:rsidR="00C50E30" w:rsidTr="00140DEF" w14:paraId="0824618C" w14:textId="77777777">
        <w:trPr>
          <w:trHeight w:val="1427"/>
        </w:trPr>
        <w:tc>
          <w:tcPr>
            <w:tcW w:w="587"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7922F63C" w14:textId="06CF3ABA">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lastRenderedPageBreak/>
              <w:t>Total Adjustment from Proposal</w:t>
            </w:r>
            <w:r w:rsidR="00235DD2">
              <w:rPr>
                <w:rStyle w:val="FootnoteReference"/>
                <w:rFonts w:ascii="Arial" w:hAnsi="Arial" w:eastAsia="Times New Roman" w:cs="Times New Roman"/>
                <w:sz w:val="16"/>
                <w:szCs w:val="16"/>
              </w:rPr>
              <w:footnoteReference w:id="6"/>
            </w:r>
          </w:p>
        </w:tc>
        <w:tc>
          <w:tcPr>
            <w:tcW w:w="546"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4D4D4898" w14:textId="77777777">
            <w:pPr>
              <w:tabs>
                <w:tab w:val="left" w:pos="-720"/>
                <w:tab w:val="left" w:pos="0"/>
              </w:tabs>
              <w:suppressAutoHyphens/>
              <w:jc w:val="center"/>
              <w:rPr>
                <w:rFonts w:ascii="Arial" w:hAnsi="Arial" w:eastAsia="Times New Roman" w:cs="Times New Roman"/>
                <w:sz w:val="16"/>
                <w:szCs w:val="16"/>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28E6BF2B" w14:textId="77777777">
            <w:pPr>
              <w:tabs>
                <w:tab w:val="left" w:pos="-720"/>
                <w:tab w:val="left" w:pos="0"/>
              </w:tabs>
              <w:suppressAutoHyphens/>
              <w:jc w:val="center"/>
              <w:rPr>
                <w:rFonts w:ascii="Arial" w:hAnsi="Arial" w:eastAsia="Times New Roman" w:cs="Times New Roman"/>
                <w:sz w:val="16"/>
                <w:szCs w:val="16"/>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3740A731" w14:textId="77777777">
            <w:pPr>
              <w:tabs>
                <w:tab w:val="left" w:pos="-720"/>
                <w:tab w:val="left" w:pos="0"/>
              </w:tabs>
              <w:suppressAutoHyphens/>
              <w:jc w:val="center"/>
              <w:rPr>
                <w:rFonts w:ascii="Arial" w:hAnsi="Arial" w:eastAsia="Times New Roman" w:cs="Times New Roman"/>
                <w:sz w:val="16"/>
                <w:szCs w:val="16"/>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465AE315" w14:textId="77777777">
            <w:pPr>
              <w:tabs>
                <w:tab w:val="left" w:pos="-720"/>
                <w:tab w:val="left" w:pos="0"/>
              </w:tabs>
              <w:suppressAutoHyphens/>
              <w:jc w:val="center"/>
              <w:rPr>
                <w:rFonts w:ascii="Arial" w:hAnsi="Arial" w:eastAsia="Times New Roman" w:cs="Times New Roman"/>
                <w:sz w:val="16"/>
                <w:szCs w:val="16"/>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27C68621" w14:textId="77777777">
            <w:pPr>
              <w:tabs>
                <w:tab w:val="left" w:pos="-720"/>
                <w:tab w:val="left" w:pos="0"/>
              </w:tabs>
              <w:suppressAutoHyphens/>
              <w:jc w:val="center"/>
              <w:rPr>
                <w:rFonts w:ascii="Arial" w:hAnsi="Arial" w:eastAsia="Times New Roman" w:cs="Times New Roman"/>
                <w:sz w:val="16"/>
                <w:szCs w:val="16"/>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tcPr>
          <w:p w:rsidRPr="00AD5E25" w:rsidR="00C50E30" w:rsidP="00AD5E25" w:rsidRDefault="00C50E30" w14:paraId="0614703E" w14:textId="77777777">
            <w:pPr>
              <w:jc w:val="center"/>
              <w:rPr>
                <w:rFonts w:ascii="Arial" w:hAnsi="Arial" w:cs="Arial"/>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59229C3D" w14:textId="6DEEC812">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9,000,001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1FD0C653" w14:textId="7000BBB5">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4,9</w:t>
            </w:r>
            <w:r w:rsidR="00D431CA">
              <w:rPr>
                <w:rFonts w:ascii="Arial" w:hAnsi="Arial" w:cs="Arial"/>
                <w:color w:val="000000"/>
                <w:sz w:val="16"/>
                <w:szCs w:val="16"/>
              </w:rPr>
              <w:t>90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AD5E25" w:rsidR="00C50E30" w:rsidP="00AD5E25" w:rsidRDefault="00C50E30" w14:paraId="275522CA" w14:textId="6A575D53">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 $ </w:t>
            </w:r>
            <w:r w:rsidRPr="00D431CA" w:rsidR="00D431CA">
              <w:rPr>
                <w:rFonts w:ascii="Arial" w:hAnsi="Arial" w:cs="Arial"/>
                <w:color w:val="000000"/>
                <w:sz w:val="16"/>
                <w:szCs w:val="16"/>
              </w:rPr>
              <w:t>360,427.7</w:t>
            </w:r>
            <w:r w:rsidRPr="00D431CA" w:rsidR="00D431CA">
              <w:rPr>
                <w:rFonts w:ascii="Arial" w:hAnsi="Arial" w:cs="Arial"/>
                <w:color w:val="000000"/>
                <w:sz w:val="16"/>
                <w:szCs w:val="16"/>
              </w:rPr>
              <w:t>‬</w:t>
            </w:r>
            <w:r>
              <w:rPr>
                <w:rFonts w:ascii="Arial" w:hAnsi="Arial" w:cs="Arial"/>
                <w:color w:val="000000"/>
                <w:sz w:val="16"/>
                <w:szCs w:val="16"/>
              </w:rPr>
              <w:t xml:space="preserve">0 </w:t>
            </w:r>
          </w:p>
        </w:tc>
      </w:tr>
    </w:tbl>
    <w:p w:rsidR="009B10DF" w:rsidRDefault="009B10DF" w14:paraId="3DDB511F" w14:textId="77777777">
      <w:pPr>
        <w:tabs>
          <w:tab w:val="left" w:pos="-720"/>
          <w:tab w:val="left" w:pos="0"/>
        </w:tabs>
        <w:suppressAutoHyphens/>
        <w:ind w:left="720" w:hanging="720"/>
        <w:jc w:val="center"/>
      </w:pPr>
    </w:p>
    <w:p w:rsidRPr="007F4582" w:rsidR="007F4582" w:rsidP="007F4582" w:rsidRDefault="007F4582" w14:paraId="6AF91960" w14:textId="77777777">
      <w:pPr>
        <w:tabs>
          <w:tab w:val="left" w:pos="-720"/>
          <w:tab w:val="left" w:pos="0"/>
        </w:tabs>
        <w:suppressAutoHyphens/>
        <w:ind w:left="720" w:hanging="720"/>
        <w:jc w:val="center"/>
        <w:rPr>
          <w:b/>
        </w:rPr>
      </w:pPr>
      <w:r w:rsidRPr="007F4582">
        <w:rPr>
          <w:b/>
        </w:rPr>
        <w:t>Attachment B</w:t>
      </w:r>
    </w:p>
    <w:p w:rsidRPr="007F4582" w:rsidR="007F4582" w:rsidP="007F4582" w:rsidRDefault="007F4582" w14:paraId="714F6245" w14:textId="77777777">
      <w:pPr>
        <w:tabs>
          <w:tab w:val="left" w:pos="-720"/>
          <w:tab w:val="left" w:pos="0"/>
        </w:tabs>
        <w:suppressAutoHyphens/>
        <w:ind w:left="720" w:hanging="720"/>
        <w:jc w:val="center"/>
      </w:pPr>
    </w:p>
    <w:p w:rsidRPr="007F4582" w:rsidR="007F4582" w:rsidP="007F4582" w:rsidRDefault="007F4582" w14:paraId="0D79EE93" w14:textId="77777777">
      <w:pPr>
        <w:tabs>
          <w:tab w:val="left" w:pos="-720"/>
          <w:tab w:val="left" w:pos="0"/>
        </w:tabs>
        <w:suppressAutoHyphens/>
        <w:ind w:left="720" w:hanging="720"/>
        <w:jc w:val="center"/>
      </w:pPr>
      <w:r w:rsidRPr="007F4582">
        <w:t>Capital/Start-Up Costs</w:t>
      </w:r>
    </w:p>
    <w:tbl>
      <w:tblPr>
        <w:tblStyle w:val="TableGrid"/>
        <w:tblW w:w="0" w:type="auto"/>
        <w:tblInd w:w="1188" w:type="dxa"/>
        <w:tblLook w:val="04A0" w:firstRow="1" w:lastRow="0" w:firstColumn="1" w:lastColumn="0" w:noHBand="0" w:noVBand="1"/>
      </w:tblPr>
      <w:tblGrid>
        <w:gridCol w:w="3600"/>
        <w:gridCol w:w="3690"/>
      </w:tblGrid>
      <w:tr w:rsidRPr="007F4582" w:rsidR="007F4582" w:rsidTr="007F4582" w14:paraId="6D76FC89"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19C23A79" w14:textId="77777777">
            <w:pPr>
              <w:tabs>
                <w:tab w:val="left" w:pos="-720"/>
                <w:tab w:val="left" w:pos="0"/>
              </w:tabs>
              <w:suppressAutoHyphens/>
              <w:ind w:left="720" w:hanging="720"/>
              <w:jc w:val="center"/>
              <w:rPr>
                <w:b/>
              </w:rPr>
            </w:pPr>
            <w:r w:rsidRPr="007F4582">
              <w:rPr>
                <w:b/>
              </w:rPr>
              <w:t>Regulation</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4B49E8DB" w14:textId="77777777">
            <w:pPr>
              <w:tabs>
                <w:tab w:val="left" w:pos="-720"/>
                <w:tab w:val="left" w:pos="0"/>
              </w:tabs>
              <w:suppressAutoHyphens/>
              <w:ind w:left="720" w:hanging="720"/>
              <w:jc w:val="center"/>
              <w:rPr>
                <w:b/>
              </w:rPr>
            </w:pPr>
            <w:r w:rsidRPr="007F4582">
              <w:rPr>
                <w:b/>
              </w:rPr>
              <w:t>Capital/Start-Up Costs</w:t>
            </w:r>
          </w:p>
        </w:tc>
      </w:tr>
      <w:tr w:rsidRPr="007F4582" w:rsidR="007F4582" w:rsidTr="007F4582" w14:paraId="5F17E554"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08C311F4" w14:textId="6DAA3761">
            <w:pPr>
              <w:tabs>
                <w:tab w:val="left" w:pos="-720"/>
                <w:tab w:val="left" w:pos="0"/>
              </w:tabs>
              <w:suppressAutoHyphens/>
              <w:ind w:left="720" w:hanging="720"/>
              <w:jc w:val="center"/>
            </w:pPr>
            <w:r>
              <w:t>49.10</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3E946C9F" w14:textId="4BC9E878">
            <w:pPr>
              <w:tabs>
                <w:tab w:val="left" w:pos="-720"/>
                <w:tab w:val="left" w:pos="0"/>
              </w:tabs>
              <w:suppressAutoHyphens/>
              <w:ind w:left="720" w:hanging="720"/>
              <w:jc w:val="center"/>
            </w:pPr>
            <w:r>
              <w:t xml:space="preserve">$  </w:t>
            </w:r>
            <w:r w:rsidR="00B6286C">
              <w:t>21,669</w:t>
            </w:r>
          </w:p>
        </w:tc>
      </w:tr>
    </w:tbl>
    <w:p w:rsidRPr="007F4582" w:rsidR="007F4582" w:rsidP="007F4582" w:rsidRDefault="007F4582" w14:paraId="1F3077A7" w14:textId="77777777">
      <w:pPr>
        <w:tabs>
          <w:tab w:val="left" w:pos="-720"/>
          <w:tab w:val="left" w:pos="0"/>
        </w:tabs>
        <w:suppressAutoHyphens/>
        <w:ind w:left="720" w:hanging="720"/>
        <w:jc w:val="center"/>
      </w:pPr>
    </w:p>
    <w:p w:rsidRPr="007F4582" w:rsidR="007F4582" w:rsidP="007F4582" w:rsidRDefault="007F4582" w14:paraId="216B0987" w14:textId="77777777">
      <w:pPr>
        <w:tabs>
          <w:tab w:val="left" w:pos="-720"/>
          <w:tab w:val="left" w:pos="0"/>
        </w:tabs>
        <w:suppressAutoHyphens/>
        <w:ind w:left="720" w:hanging="720"/>
        <w:jc w:val="center"/>
      </w:pPr>
      <w:r w:rsidRPr="007F4582">
        <w:t>Operational/Maintenance Costs</w:t>
      </w:r>
    </w:p>
    <w:tbl>
      <w:tblPr>
        <w:tblStyle w:val="TableGrid"/>
        <w:tblW w:w="0" w:type="auto"/>
        <w:tblInd w:w="1188" w:type="dxa"/>
        <w:tblLook w:val="04A0" w:firstRow="1" w:lastRow="0" w:firstColumn="1" w:lastColumn="0" w:noHBand="0" w:noVBand="1"/>
      </w:tblPr>
      <w:tblGrid>
        <w:gridCol w:w="3600"/>
        <w:gridCol w:w="3690"/>
      </w:tblGrid>
      <w:tr w:rsidRPr="007F4582" w:rsidR="007F4582" w:rsidTr="007F4582" w14:paraId="575D2479"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22593AF0" w14:textId="77777777">
            <w:pPr>
              <w:tabs>
                <w:tab w:val="left" w:pos="-720"/>
                <w:tab w:val="left" w:pos="0"/>
              </w:tabs>
              <w:suppressAutoHyphens/>
              <w:ind w:left="720" w:hanging="720"/>
              <w:jc w:val="center"/>
              <w:rPr>
                <w:b/>
              </w:rPr>
            </w:pPr>
            <w:r w:rsidRPr="007F4582">
              <w:rPr>
                <w:b/>
              </w:rPr>
              <w:t>Regulation</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7F4582" w14:paraId="5436DA2F" w14:textId="77777777">
            <w:pPr>
              <w:tabs>
                <w:tab w:val="left" w:pos="-720"/>
                <w:tab w:val="left" w:pos="0"/>
              </w:tabs>
              <w:suppressAutoHyphens/>
              <w:ind w:left="720" w:hanging="720"/>
              <w:jc w:val="center"/>
              <w:rPr>
                <w:b/>
              </w:rPr>
            </w:pPr>
            <w:r w:rsidRPr="007F4582">
              <w:rPr>
                <w:b/>
              </w:rPr>
              <w:t>Operational/Maintenance Costs</w:t>
            </w:r>
          </w:p>
        </w:tc>
      </w:tr>
      <w:tr w:rsidRPr="007F4582" w:rsidR="007F4582" w:rsidTr="007F4582" w14:paraId="74B832DE" w14:textId="77777777">
        <w:tc>
          <w:tcPr>
            <w:tcW w:w="360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2B4D2946" w14:textId="6CAEC881">
            <w:pPr>
              <w:tabs>
                <w:tab w:val="left" w:pos="-720"/>
                <w:tab w:val="left" w:pos="0"/>
              </w:tabs>
              <w:suppressAutoHyphens/>
              <w:ind w:left="720" w:hanging="720"/>
              <w:jc w:val="center"/>
            </w:pPr>
            <w:r>
              <w:t>49.10</w:t>
            </w:r>
          </w:p>
        </w:tc>
        <w:tc>
          <w:tcPr>
            <w:tcW w:w="3690" w:type="dxa"/>
            <w:tcBorders>
              <w:top w:val="single" w:color="auto" w:sz="4" w:space="0"/>
              <w:left w:val="single" w:color="auto" w:sz="4" w:space="0"/>
              <w:bottom w:val="single" w:color="auto" w:sz="4" w:space="0"/>
              <w:right w:val="single" w:color="auto" w:sz="4" w:space="0"/>
            </w:tcBorders>
            <w:hideMark/>
          </w:tcPr>
          <w:p w:rsidRPr="007F4582" w:rsidR="007F4582" w:rsidP="007F4582" w:rsidRDefault="0096234C" w14:paraId="4A352ACF" w14:textId="37D69B0F">
            <w:pPr>
              <w:tabs>
                <w:tab w:val="left" w:pos="-720"/>
                <w:tab w:val="left" w:pos="0"/>
              </w:tabs>
              <w:suppressAutoHyphens/>
              <w:ind w:left="720" w:hanging="720"/>
              <w:jc w:val="center"/>
            </w:pPr>
            <w:r>
              <w:t xml:space="preserve">$  </w:t>
            </w:r>
            <w:r w:rsidR="00E056E9">
              <w:t>21,669</w:t>
            </w:r>
          </w:p>
        </w:tc>
      </w:tr>
    </w:tbl>
    <w:p w:rsidR="007F4582" w:rsidP="00C50E30" w:rsidRDefault="007F4582" w14:paraId="10EEF29C" w14:textId="77777777">
      <w:pPr>
        <w:tabs>
          <w:tab w:val="left" w:pos="-720"/>
          <w:tab w:val="left" w:pos="0"/>
        </w:tabs>
        <w:suppressAutoHyphens/>
      </w:pPr>
    </w:p>
    <w:sectPr w:rsidR="007F4582"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2384" w14:textId="77777777" w:rsidR="009C6DB4" w:rsidRDefault="009C6DB4" w:rsidP="009C6DB4">
      <w:r>
        <w:separator/>
      </w:r>
    </w:p>
  </w:endnote>
  <w:endnote w:type="continuationSeparator" w:id="0">
    <w:p w14:paraId="50F42385" w14:textId="77777777"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42382" w14:textId="77777777" w:rsidR="009C6DB4" w:rsidRDefault="009C6DB4" w:rsidP="009C6DB4">
      <w:r>
        <w:separator/>
      </w:r>
    </w:p>
  </w:footnote>
  <w:footnote w:type="continuationSeparator" w:id="0">
    <w:p w14:paraId="50F42383" w14:textId="77777777" w:rsidR="009C6DB4" w:rsidRDefault="009C6DB4" w:rsidP="009C6DB4">
      <w:r>
        <w:continuationSeparator/>
      </w:r>
    </w:p>
  </w:footnote>
  <w:footnote w:id="1">
    <w:p w14:paraId="2C40A610" w14:textId="77777777" w:rsidR="007D0F5D" w:rsidRPr="00C85218" w:rsidRDefault="007D0F5D" w:rsidP="007D0F5D">
      <w:pPr>
        <w:pStyle w:val="FootnoteText"/>
      </w:pPr>
      <w:r w:rsidRPr="00C85218">
        <w:rPr>
          <w:rStyle w:val="FootnoteReference"/>
        </w:rPr>
        <w:footnoteRef/>
      </w:r>
      <w:r w:rsidRPr="00C85218">
        <w:t xml:space="preserve"> The Commission erroneously characterized this in the preamble to the proposed regulations and is anticipating correcting the error in the final rule.</w:t>
      </w:r>
    </w:p>
  </w:footnote>
  <w:footnote w:id="2">
    <w:p w14:paraId="50F4238C" w14:textId="2D59EC11" w:rsidR="007D22E3" w:rsidRPr="00140DEF" w:rsidRDefault="007D22E3" w:rsidP="007D22E3">
      <w:pPr>
        <w:pStyle w:val="FootnoteText"/>
      </w:pPr>
      <w:r w:rsidRPr="00C85218">
        <w:rPr>
          <w:rStyle w:val="FootnoteReference"/>
        </w:rPr>
        <w:footnoteRef/>
      </w:r>
      <w:r w:rsidRPr="00C85218">
        <w:t xml:space="preserve"> </w:t>
      </w:r>
      <w:r w:rsidR="00361683" w:rsidRPr="00140DEF">
        <w:t>As described above in the answer to question 13, the Commission calculated the average wage rate to $72.23.</w:t>
      </w:r>
    </w:p>
  </w:footnote>
  <w:footnote w:id="3">
    <w:p w14:paraId="78BAC090" w14:textId="180BAE55" w:rsidR="00C50E30" w:rsidRPr="00140DEF" w:rsidRDefault="00C50E30">
      <w:pPr>
        <w:pStyle w:val="FootnoteText"/>
      </w:pPr>
      <w:r w:rsidRPr="00140DEF">
        <w:rPr>
          <w:rStyle w:val="FootnoteReference"/>
        </w:rPr>
        <w:footnoteRef/>
      </w:r>
      <w:r w:rsidRPr="00140DEF">
        <w:t xml:space="preserve"> The Commission </w:t>
      </w:r>
      <w:r w:rsidR="003E0220">
        <w:t>has</w:t>
      </w:r>
      <w:r w:rsidR="003E0220" w:rsidRPr="00140DEF">
        <w:t xml:space="preserve"> </w:t>
      </w:r>
      <w:r w:rsidRPr="00140DEF">
        <w:t xml:space="preserve">not previously provided a burden estimate for § 49.4. While the Commission is proposing to amend § 49.4 to remove the requirement to file a </w:t>
      </w:r>
      <w:r w:rsidR="00B70CD2">
        <w:t>F</w:t>
      </w:r>
      <w:r w:rsidR="00B70CD2" w:rsidRPr="00140DEF">
        <w:t xml:space="preserve">orm </w:t>
      </w:r>
      <w:r w:rsidRPr="00140DEF">
        <w:t>SDR upon withdrawal from registration, the Commission is also proposing to require SDRs to execute custodial agreements with the SDR to which they would be transferring all of their data. This would result in no net change to the number of reports SDRs are required to file pursuant to § 49.4 (1 report). However, the Commission is now adding an estimate for § 49.4, because it had not done so before. The Commission is estimating that 1 SDR would file a report pursuant to § 49.4, at an estimated 40 hours per report for a total cost of $2,889.20 to the SDR.</w:t>
      </w:r>
    </w:p>
  </w:footnote>
  <w:footnote w:id="4">
    <w:p w14:paraId="62E65E61" w14:textId="132BB545" w:rsidR="00C50E30" w:rsidRPr="00C85218" w:rsidRDefault="00C50E30">
      <w:pPr>
        <w:pStyle w:val="FootnoteText"/>
      </w:pPr>
      <w:r w:rsidRPr="00C85218">
        <w:rPr>
          <w:rStyle w:val="FootnoteReference"/>
        </w:rPr>
        <w:footnoteRef/>
      </w:r>
      <w:r w:rsidRPr="00C85218">
        <w:t xml:space="preserve"> The Commission had previously estimated the burden </w:t>
      </w:r>
      <w:r w:rsidR="00235DD2" w:rsidRPr="00C85218">
        <w:t>for § 49.10 as follows: 3 SDRs each annually report 2,652,000 reports at an estimated .00055 hours per report, for a total burden estimate of 7,956,000 responses at 4,419 hours, and $319,184 total</w:t>
      </w:r>
      <w:r w:rsidR="00E056E9" w:rsidRPr="00C85218">
        <w:t xml:space="preserve"> costs</w:t>
      </w:r>
      <w:r w:rsidR="00235DD2" w:rsidRPr="00C85218">
        <w:t xml:space="preserve">. </w:t>
      </w:r>
      <w:r w:rsidR="00D431CA">
        <w:t>Attachment A shows the changes to this estimate that would result from the changes proposed to § 49.10 in the February 2020 release.</w:t>
      </w:r>
    </w:p>
  </w:footnote>
  <w:footnote w:id="5">
    <w:p w14:paraId="72EA4C40" w14:textId="0ED5C8FF" w:rsidR="00235DD2" w:rsidRPr="00C85218" w:rsidRDefault="00235DD2">
      <w:pPr>
        <w:pStyle w:val="FootnoteText"/>
      </w:pPr>
      <w:r w:rsidRPr="00C85218">
        <w:rPr>
          <w:rStyle w:val="FootnoteReference"/>
        </w:rPr>
        <w:footnoteRef/>
      </w:r>
      <w:r w:rsidRPr="00C85218">
        <w:t xml:space="preserve"> The Commission estimates SDRs will each be required to report an additional 3,000,000 messages from the new requirement to submit acceptance and validation messages. </w:t>
      </w:r>
      <w:r w:rsidR="00D431CA" w:rsidRPr="00D431CA">
        <w:t>The 3,000,000 additional messages for each SDR will add an additional 4,950 burden hours at a cost of $357,538.50 to the current estimate for § 49.10</w:t>
      </w:r>
      <w:r w:rsidR="00D431CA">
        <w:t>, as shown in Attachment A.</w:t>
      </w:r>
    </w:p>
  </w:footnote>
  <w:footnote w:id="6">
    <w:p w14:paraId="570CA472" w14:textId="1F47CDA2" w:rsidR="00235DD2" w:rsidRPr="00C85218" w:rsidRDefault="00235DD2">
      <w:pPr>
        <w:pStyle w:val="FootnoteText"/>
      </w:pPr>
      <w:r w:rsidRPr="00C85218">
        <w:rPr>
          <w:rStyle w:val="FootnoteReference"/>
        </w:rPr>
        <w:footnoteRef/>
      </w:r>
      <w:r w:rsidRPr="00C85218">
        <w:t xml:space="preserve"> </w:t>
      </w:r>
      <w:r w:rsidR="003E0220">
        <w:t>T</w:t>
      </w:r>
      <w:r w:rsidR="00E056E9" w:rsidRPr="00C85218">
        <w:t>he Commission is not proposing any amendments to the other regulations in part 49</w:t>
      </w:r>
      <w:r w:rsidR="003E0220">
        <w:t xml:space="preserve"> in this NPRM outside </w:t>
      </w:r>
      <w:r w:rsidR="003E0220" w:rsidRPr="000302DC">
        <w:t>of the proposed ame</w:t>
      </w:r>
      <w:r w:rsidR="003E0220">
        <w:t>ndments to § 49.4 and § 49.10</w:t>
      </w:r>
      <w:r w:rsidR="00E056E9" w:rsidRPr="00C85218">
        <w:t xml:space="preserve">. Since the Commission is not proposing to amend the majority of the burden estimates for part 49 in this </w:t>
      </w:r>
      <w:r w:rsidR="003E0220">
        <w:t>NPRM</w:t>
      </w:r>
      <w:r w:rsidR="00E056E9" w:rsidRPr="00C85218">
        <w:t>, the Commission is providing a total of the changes to the burden estimates resulting from the amendments to § 49.4 and § 49.10</w:t>
      </w:r>
      <w:r w:rsidR="00D431CA">
        <w:t xml:space="preserve"> proposed in the February 2020 release</w:t>
      </w:r>
      <w:r w:rsidR="00E056E9" w:rsidRPr="00C85218">
        <w:t>.</w:t>
      </w:r>
      <w:r w:rsidR="003E0220">
        <w:t xml:space="preserve"> </w:t>
      </w:r>
      <w:r w:rsidR="00E056E9" w:rsidRPr="00C85218">
        <w:t>See Item 12 above</w:t>
      </w:r>
      <w:r w:rsidR="003E0220">
        <w:t xml:space="preserve"> for further explanation</w:t>
      </w:r>
      <w:r w:rsidR="00E056E9" w:rsidRPr="00C8521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D90288"/>
    <w:multiLevelType w:val="hybridMultilevel"/>
    <w:tmpl w:val="80D2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5104"/>
    <w:multiLevelType w:val="hybridMultilevel"/>
    <w:tmpl w:val="2DCA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C33F2A"/>
    <w:multiLevelType w:val="hybridMultilevel"/>
    <w:tmpl w:val="08FC1D3A"/>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9"/>
  </w:num>
  <w:num w:numId="4">
    <w:abstractNumId w:val="5"/>
  </w:num>
  <w:num w:numId="5">
    <w:abstractNumId w:val="2"/>
  </w:num>
  <w:num w:numId="6">
    <w:abstractNumId w:val="0"/>
  </w:num>
  <w:num w:numId="7">
    <w:abstractNumId w:val="7"/>
  </w:num>
  <w:num w:numId="8">
    <w:abstractNumId w:val="10"/>
  </w:num>
  <w:num w:numId="9">
    <w:abstractNumId w:val="8"/>
  </w:num>
  <w:num w:numId="10">
    <w:abstractNumId w:val="13"/>
  </w:num>
  <w:num w:numId="11">
    <w:abstractNumId w:val="6"/>
  </w:num>
  <w:num w:numId="12">
    <w:abstractNumId w:val="11"/>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134A3"/>
    <w:rsid w:val="00032BDD"/>
    <w:rsid w:val="00037E90"/>
    <w:rsid w:val="00047399"/>
    <w:rsid w:val="00047495"/>
    <w:rsid w:val="000576BF"/>
    <w:rsid w:val="00061F6E"/>
    <w:rsid w:val="0007012C"/>
    <w:rsid w:val="00072761"/>
    <w:rsid w:val="000803D6"/>
    <w:rsid w:val="00081BEA"/>
    <w:rsid w:val="000835FF"/>
    <w:rsid w:val="00083F72"/>
    <w:rsid w:val="000C2D0E"/>
    <w:rsid w:val="000C3307"/>
    <w:rsid w:val="000E0987"/>
    <w:rsid w:val="00107258"/>
    <w:rsid w:val="00116FC7"/>
    <w:rsid w:val="0012080B"/>
    <w:rsid w:val="00125FBE"/>
    <w:rsid w:val="00140DEF"/>
    <w:rsid w:val="00153901"/>
    <w:rsid w:val="001577B2"/>
    <w:rsid w:val="00176391"/>
    <w:rsid w:val="00180982"/>
    <w:rsid w:val="001D4BB9"/>
    <w:rsid w:val="001D7B90"/>
    <w:rsid w:val="001E1F23"/>
    <w:rsid w:val="00200207"/>
    <w:rsid w:val="002236D6"/>
    <w:rsid w:val="002312F3"/>
    <w:rsid w:val="00233D65"/>
    <w:rsid w:val="00235DD2"/>
    <w:rsid w:val="00241C71"/>
    <w:rsid w:val="00241E30"/>
    <w:rsid w:val="00243435"/>
    <w:rsid w:val="00247B86"/>
    <w:rsid w:val="002600FA"/>
    <w:rsid w:val="00260C07"/>
    <w:rsid w:val="0026565F"/>
    <w:rsid w:val="00274164"/>
    <w:rsid w:val="00276808"/>
    <w:rsid w:val="0027708A"/>
    <w:rsid w:val="002879E8"/>
    <w:rsid w:val="002A328F"/>
    <w:rsid w:val="002A6ACD"/>
    <w:rsid w:val="002B4A1D"/>
    <w:rsid w:val="002C7E70"/>
    <w:rsid w:val="002D0489"/>
    <w:rsid w:val="002E05BD"/>
    <w:rsid w:val="002E0DEB"/>
    <w:rsid w:val="002F1E80"/>
    <w:rsid w:val="00307E70"/>
    <w:rsid w:val="00330578"/>
    <w:rsid w:val="00330DF8"/>
    <w:rsid w:val="00347613"/>
    <w:rsid w:val="0035705B"/>
    <w:rsid w:val="00357784"/>
    <w:rsid w:val="00357E35"/>
    <w:rsid w:val="003607A6"/>
    <w:rsid w:val="00361683"/>
    <w:rsid w:val="003677B4"/>
    <w:rsid w:val="00370522"/>
    <w:rsid w:val="00372711"/>
    <w:rsid w:val="0037312F"/>
    <w:rsid w:val="0037421B"/>
    <w:rsid w:val="003755F4"/>
    <w:rsid w:val="003B1073"/>
    <w:rsid w:val="003C1CFA"/>
    <w:rsid w:val="003C4B28"/>
    <w:rsid w:val="003D6F96"/>
    <w:rsid w:val="003E0220"/>
    <w:rsid w:val="003E1141"/>
    <w:rsid w:val="003E3A38"/>
    <w:rsid w:val="003F3FDF"/>
    <w:rsid w:val="00405AC8"/>
    <w:rsid w:val="004101F1"/>
    <w:rsid w:val="00422FB0"/>
    <w:rsid w:val="00443D7B"/>
    <w:rsid w:val="0044799F"/>
    <w:rsid w:val="004618A5"/>
    <w:rsid w:val="00464286"/>
    <w:rsid w:val="00476AB6"/>
    <w:rsid w:val="004917AF"/>
    <w:rsid w:val="004A5F11"/>
    <w:rsid w:val="004A7924"/>
    <w:rsid w:val="004C2276"/>
    <w:rsid w:val="004D4BEA"/>
    <w:rsid w:val="004E0A52"/>
    <w:rsid w:val="004F4C42"/>
    <w:rsid w:val="00505251"/>
    <w:rsid w:val="00506FE2"/>
    <w:rsid w:val="00517E9A"/>
    <w:rsid w:val="00524073"/>
    <w:rsid w:val="00525395"/>
    <w:rsid w:val="0052742B"/>
    <w:rsid w:val="005428FF"/>
    <w:rsid w:val="005503C6"/>
    <w:rsid w:val="00551E62"/>
    <w:rsid w:val="00554929"/>
    <w:rsid w:val="00557EF2"/>
    <w:rsid w:val="00560340"/>
    <w:rsid w:val="00577F1F"/>
    <w:rsid w:val="00585718"/>
    <w:rsid w:val="005946E6"/>
    <w:rsid w:val="005A3751"/>
    <w:rsid w:val="005D34A0"/>
    <w:rsid w:val="005E41B2"/>
    <w:rsid w:val="005E4E5C"/>
    <w:rsid w:val="005F316D"/>
    <w:rsid w:val="00607B6C"/>
    <w:rsid w:val="00607D38"/>
    <w:rsid w:val="006243BC"/>
    <w:rsid w:val="00625287"/>
    <w:rsid w:val="0063622E"/>
    <w:rsid w:val="00637711"/>
    <w:rsid w:val="00640784"/>
    <w:rsid w:val="00642B6A"/>
    <w:rsid w:val="00643925"/>
    <w:rsid w:val="00653547"/>
    <w:rsid w:val="0066471D"/>
    <w:rsid w:val="00666FBF"/>
    <w:rsid w:val="00666FC0"/>
    <w:rsid w:val="00667CD6"/>
    <w:rsid w:val="006913E4"/>
    <w:rsid w:val="00697065"/>
    <w:rsid w:val="006B2A40"/>
    <w:rsid w:val="006B3F2C"/>
    <w:rsid w:val="006B452E"/>
    <w:rsid w:val="006B5336"/>
    <w:rsid w:val="006F00A1"/>
    <w:rsid w:val="007029A9"/>
    <w:rsid w:val="00715F21"/>
    <w:rsid w:val="00722882"/>
    <w:rsid w:val="0072353B"/>
    <w:rsid w:val="0074122B"/>
    <w:rsid w:val="00747BF5"/>
    <w:rsid w:val="00751B4D"/>
    <w:rsid w:val="00752AE8"/>
    <w:rsid w:val="007553BE"/>
    <w:rsid w:val="00755826"/>
    <w:rsid w:val="00755F59"/>
    <w:rsid w:val="00760311"/>
    <w:rsid w:val="00761BD2"/>
    <w:rsid w:val="0076443A"/>
    <w:rsid w:val="00771D97"/>
    <w:rsid w:val="007724B6"/>
    <w:rsid w:val="00774C1A"/>
    <w:rsid w:val="0078471A"/>
    <w:rsid w:val="007A1013"/>
    <w:rsid w:val="007A1107"/>
    <w:rsid w:val="007A383E"/>
    <w:rsid w:val="007B1735"/>
    <w:rsid w:val="007B66E1"/>
    <w:rsid w:val="007B7CE3"/>
    <w:rsid w:val="007C5B3F"/>
    <w:rsid w:val="007C72FB"/>
    <w:rsid w:val="007D0F5D"/>
    <w:rsid w:val="007D22E3"/>
    <w:rsid w:val="007D7026"/>
    <w:rsid w:val="007E03FF"/>
    <w:rsid w:val="007E10D4"/>
    <w:rsid w:val="007F27F5"/>
    <w:rsid w:val="007F3179"/>
    <w:rsid w:val="007F4582"/>
    <w:rsid w:val="008131B0"/>
    <w:rsid w:val="00826F27"/>
    <w:rsid w:val="008336D1"/>
    <w:rsid w:val="00833DC9"/>
    <w:rsid w:val="00836741"/>
    <w:rsid w:val="008435FA"/>
    <w:rsid w:val="00843603"/>
    <w:rsid w:val="00882745"/>
    <w:rsid w:val="008F2F98"/>
    <w:rsid w:val="008F41C5"/>
    <w:rsid w:val="008F6D4A"/>
    <w:rsid w:val="00902356"/>
    <w:rsid w:val="009138D7"/>
    <w:rsid w:val="009309EC"/>
    <w:rsid w:val="009402E6"/>
    <w:rsid w:val="0094455C"/>
    <w:rsid w:val="0096234C"/>
    <w:rsid w:val="00963975"/>
    <w:rsid w:val="009729E7"/>
    <w:rsid w:val="00981C2F"/>
    <w:rsid w:val="0099690D"/>
    <w:rsid w:val="009B10DF"/>
    <w:rsid w:val="009B1E93"/>
    <w:rsid w:val="009B2F52"/>
    <w:rsid w:val="009B71FB"/>
    <w:rsid w:val="009C6DB4"/>
    <w:rsid w:val="009D00FB"/>
    <w:rsid w:val="009E356F"/>
    <w:rsid w:val="009E5AF5"/>
    <w:rsid w:val="00A014A3"/>
    <w:rsid w:val="00A02F67"/>
    <w:rsid w:val="00A0630F"/>
    <w:rsid w:val="00A13E98"/>
    <w:rsid w:val="00A15A96"/>
    <w:rsid w:val="00A1713D"/>
    <w:rsid w:val="00A22D0E"/>
    <w:rsid w:val="00A23237"/>
    <w:rsid w:val="00A257E3"/>
    <w:rsid w:val="00A3234E"/>
    <w:rsid w:val="00A34FBC"/>
    <w:rsid w:val="00A54471"/>
    <w:rsid w:val="00A708B1"/>
    <w:rsid w:val="00A728F2"/>
    <w:rsid w:val="00A80B52"/>
    <w:rsid w:val="00A910B8"/>
    <w:rsid w:val="00AA013C"/>
    <w:rsid w:val="00AA3183"/>
    <w:rsid w:val="00AB00BD"/>
    <w:rsid w:val="00AC2529"/>
    <w:rsid w:val="00AC3CC9"/>
    <w:rsid w:val="00AC59BE"/>
    <w:rsid w:val="00AD0896"/>
    <w:rsid w:val="00AD0B9F"/>
    <w:rsid w:val="00AD5E25"/>
    <w:rsid w:val="00AD5FD4"/>
    <w:rsid w:val="00AF2C79"/>
    <w:rsid w:val="00AF47B8"/>
    <w:rsid w:val="00B1090B"/>
    <w:rsid w:val="00B31A84"/>
    <w:rsid w:val="00B328FB"/>
    <w:rsid w:val="00B33652"/>
    <w:rsid w:val="00B46731"/>
    <w:rsid w:val="00B6286C"/>
    <w:rsid w:val="00B6776C"/>
    <w:rsid w:val="00B70CD2"/>
    <w:rsid w:val="00B74586"/>
    <w:rsid w:val="00B74CE1"/>
    <w:rsid w:val="00B86819"/>
    <w:rsid w:val="00B91704"/>
    <w:rsid w:val="00BA0A82"/>
    <w:rsid w:val="00BA10C3"/>
    <w:rsid w:val="00BB2859"/>
    <w:rsid w:val="00BB57CB"/>
    <w:rsid w:val="00BE3923"/>
    <w:rsid w:val="00BE4892"/>
    <w:rsid w:val="00BE6AC8"/>
    <w:rsid w:val="00BE76BF"/>
    <w:rsid w:val="00BF3442"/>
    <w:rsid w:val="00C032F4"/>
    <w:rsid w:val="00C03FBF"/>
    <w:rsid w:val="00C066FB"/>
    <w:rsid w:val="00C173E1"/>
    <w:rsid w:val="00C2000F"/>
    <w:rsid w:val="00C20143"/>
    <w:rsid w:val="00C23A3C"/>
    <w:rsid w:val="00C50E30"/>
    <w:rsid w:val="00C76DB9"/>
    <w:rsid w:val="00C80E79"/>
    <w:rsid w:val="00C83EDF"/>
    <w:rsid w:val="00C85218"/>
    <w:rsid w:val="00C90C42"/>
    <w:rsid w:val="00C91CB5"/>
    <w:rsid w:val="00C9497A"/>
    <w:rsid w:val="00CC0909"/>
    <w:rsid w:val="00CE39BB"/>
    <w:rsid w:val="00CE561C"/>
    <w:rsid w:val="00CF1C34"/>
    <w:rsid w:val="00CF4155"/>
    <w:rsid w:val="00D0347F"/>
    <w:rsid w:val="00D04832"/>
    <w:rsid w:val="00D10E69"/>
    <w:rsid w:val="00D12FEB"/>
    <w:rsid w:val="00D25BD2"/>
    <w:rsid w:val="00D27AE8"/>
    <w:rsid w:val="00D333C7"/>
    <w:rsid w:val="00D37F72"/>
    <w:rsid w:val="00D431CA"/>
    <w:rsid w:val="00D46559"/>
    <w:rsid w:val="00D5232E"/>
    <w:rsid w:val="00D52F4E"/>
    <w:rsid w:val="00D945B5"/>
    <w:rsid w:val="00DA5113"/>
    <w:rsid w:val="00DB00E1"/>
    <w:rsid w:val="00DB1AD1"/>
    <w:rsid w:val="00DB7297"/>
    <w:rsid w:val="00DC77C0"/>
    <w:rsid w:val="00DD36CC"/>
    <w:rsid w:val="00DD51EE"/>
    <w:rsid w:val="00DD6AE8"/>
    <w:rsid w:val="00E056E9"/>
    <w:rsid w:val="00E102D1"/>
    <w:rsid w:val="00E12FD5"/>
    <w:rsid w:val="00E15E4F"/>
    <w:rsid w:val="00E317E0"/>
    <w:rsid w:val="00E42A80"/>
    <w:rsid w:val="00E446C6"/>
    <w:rsid w:val="00E54279"/>
    <w:rsid w:val="00E73A61"/>
    <w:rsid w:val="00E81E1F"/>
    <w:rsid w:val="00E87F36"/>
    <w:rsid w:val="00E87F90"/>
    <w:rsid w:val="00EB0FA7"/>
    <w:rsid w:val="00EC0F74"/>
    <w:rsid w:val="00EC238C"/>
    <w:rsid w:val="00ED251F"/>
    <w:rsid w:val="00EE71BD"/>
    <w:rsid w:val="00F02CC0"/>
    <w:rsid w:val="00F21958"/>
    <w:rsid w:val="00F22FCB"/>
    <w:rsid w:val="00F336E8"/>
    <w:rsid w:val="00F378A6"/>
    <w:rsid w:val="00F4707F"/>
    <w:rsid w:val="00F564AC"/>
    <w:rsid w:val="00F568E5"/>
    <w:rsid w:val="00F825B7"/>
    <w:rsid w:val="00F860C4"/>
    <w:rsid w:val="00F971DD"/>
    <w:rsid w:val="00FA28E9"/>
    <w:rsid w:val="00FA7B73"/>
    <w:rsid w:val="00FB0145"/>
    <w:rsid w:val="00FC3439"/>
    <w:rsid w:val="00FC54D4"/>
    <w:rsid w:val="00FC5F7F"/>
    <w:rsid w:val="00FD683D"/>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0F4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7F45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34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7F45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3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00888">
      <w:bodyDiv w:val="1"/>
      <w:marLeft w:val="0"/>
      <w:marRight w:val="0"/>
      <w:marTop w:val="0"/>
      <w:marBottom w:val="0"/>
      <w:divBdr>
        <w:top w:val="none" w:sz="0" w:space="0" w:color="auto"/>
        <w:left w:val="none" w:sz="0" w:space="0" w:color="auto"/>
        <w:bottom w:val="none" w:sz="0" w:space="0" w:color="auto"/>
        <w:right w:val="none" w:sz="0" w:space="0" w:color="auto"/>
      </w:divBdr>
    </w:div>
    <w:div w:id="689647863">
      <w:bodyDiv w:val="1"/>
      <w:marLeft w:val="0"/>
      <w:marRight w:val="0"/>
      <w:marTop w:val="0"/>
      <w:marBottom w:val="0"/>
      <w:divBdr>
        <w:top w:val="none" w:sz="0" w:space="0" w:color="auto"/>
        <w:left w:val="none" w:sz="0" w:space="0" w:color="auto"/>
        <w:bottom w:val="none" w:sz="0" w:space="0" w:color="auto"/>
        <w:right w:val="none" w:sz="0" w:space="0" w:color="auto"/>
      </w:divBdr>
    </w:div>
    <w:div w:id="1536969635">
      <w:bodyDiv w:val="1"/>
      <w:marLeft w:val="0"/>
      <w:marRight w:val="0"/>
      <w:marTop w:val="0"/>
      <w:marBottom w:val="0"/>
      <w:divBdr>
        <w:top w:val="none" w:sz="0" w:space="0" w:color="auto"/>
        <w:left w:val="none" w:sz="0" w:space="0" w:color="auto"/>
        <w:bottom w:val="none" w:sz="0" w:space="0" w:color="auto"/>
        <w:right w:val="none" w:sz="0" w:space="0" w:color="auto"/>
      </w:divBdr>
    </w:div>
    <w:div w:id="20797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7CBB-B949-4A71-ACFE-8DD0396879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A23D7D1-73A0-48A6-BF76-1077D0689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4.xml><?xml version="1.0" encoding="utf-8"?>
<ds:datastoreItem xmlns:ds="http://schemas.openxmlformats.org/officeDocument/2006/customXml" ds:itemID="{93E0DC63-0D12-4AF6-AF08-4809CEBA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3546</Words>
  <Characters>20217</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Office of the General Counsel</cp:lastModifiedBy>
  <cp:revision>2</cp:revision>
  <cp:lastPrinted>2020-04-06T20:13:00Z</cp:lastPrinted>
  <dcterms:created xsi:type="dcterms:W3CDTF">2020-04-18T23:47:00Z</dcterms:created>
  <dcterms:modified xsi:type="dcterms:W3CDTF">2020-04-18T23:47:00Z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