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06C5" w:rsidR="00D50FF6" w:rsidP="00D50FF6" w:rsidRDefault="004C3D55" w14:paraId="1CE13381" w14:textId="77777777">
      <w:pPr>
        <w:tabs>
          <w:tab w:val="left" w:pos="90"/>
        </w:tabs>
        <w:suppressAutoHyphens/>
        <w:ind w:left="-720" w:right="720"/>
        <w:rPr>
          <w:szCs w:val="24"/>
        </w:rPr>
      </w:pPr>
      <w:r w:rsidRPr="00C206C5">
        <w:rPr>
          <w:b/>
          <w:szCs w:val="24"/>
          <w:u w:val="single"/>
        </w:rPr>
        <w:t>A</w:t>
      </w:r>
      <w:r w:rsidRPr="00C206C5" w:rsidR="0024653B">
        <w:rPr>
          <w:b/>
          <w:szCs w:val="24"/>
          <w:u w:val="single"/>
        </w:rPr>
        <w:t>.</w:t>
      </w:r>
      <w:r w:rsidRPr="00C206C5" w:rsidR="0024653B">
        <w:rPr>
          <w:b/>
          <w:szCs w:val="24"/>
        </w:rPr>
        <w:t xml:space="preserve">  </w:t>
      </w:r>
      <w:r w:rsidRPr="00C206C5" w:rsidR="0024653B">
        <w:rPr>
          <w:b/>
          <w:szCs w:val="24"/>
          <w:u w:val="single"/>
        </w:rPr>
        <w:t>Justification:</w:t>
      </w:r>
    </w:p>
    <w:p w:rsidRPr="00C206C5" w:rsidR="00D50FF6" w:rsidP="00CD36BA" w:rsidRDefault="00D50FF6" w14:paraId="0681A8F8" w14:textId="77777777">
      <w:pPr>
        <w:widowControl/>
        <w:tabs>
          <w:tab w:val="left" w:pos="90"/>
          <w:tab w:val="left" w:pos="360"/>
          <w:tab w:val="left" w:pos="9360"/>
        </w:tabs>
        <w:ind w:left="-360"/>
        <w:jc w:val="both"/>
        <w:rPr>
          <w:szCs w:val="24"/>
        </w:rPr>
      </w:pPr>
    </w:p>
    <w:p w:rsidRPr="00C206C5" w:rsidR="00B9633D" w:rsidP="00CD36BA" w:rsidRDefault="00D50FF6" w14:paraId="373BE20C" w14:textId="58E659C0">
      <w:pPr>
        <w:tabs>
          <w:tab w:val="left" w:pos="90"/>
          <w:tab w:val="left" w:pos="360"/>
          <w:tab w:val="left" w:pos="9360"/>
        </w:tabs>
        <w:suppressAutoHyphens/>
        <w:ind w:left="-360" w:hanging="360"/>
        <w:jc w:val="both"/>
        <w:rPr>
          <w:szCs w:val="24"/>
        </w:rPr>
      </w:pPr>
      <w:r w:rsidRPr="00C206C5">
        <w:rPr>
          <w:szCs w:val="24"/>
        </w:rPr>
        <w:t xml:space="preserve">1.  </w:t>
      </w:r>
      <w:r w:rsidRPr="00C206C5" w:rsidR="00945FD9">
        <w:rPr>
          <w:szCs w:val="24"/>
        </w:rPr>
        <w:t xml:space="preserve">FCC </w:t>
      </w:r>
      <w:r w:rsidRPr="00C206C5" w:rsidR="00771111">
        <w:rPr>
          <w:szCs w:val="24"/>
        </w:rPr>
        <w:t xml:space="preserve">Form </w:t>
      </w:r>
      <w:r w:rsidRPr="00C206C5" w:rsidR="00945FD9">
        <w:rPr>
          <w:szCs w:val="24"/>
        </w:rPr>
        <w:t>601 is a consolidated, multi-part application form</w:t>
      </w:r>
      <w:r w:rsidRPr="00C206C5" w:rsidR="00523E7D">
        <w:rPr>
          <w:szCs w:val="24"/>
        </w:rPr>
        <w:t xml:space="preserve"> </w:t>
      </w:r>
      <w:r w:rsidRPr="00C206C5" w:rsidR="00945FD9">
        <w:rPr>
          <w:szCs w:val="24"/>
        </w:rPr>
        <w:t>that is used for market-based and site-</w:t>
      </w:r>
      <w:r w:rsidRPr="00C206C5" w:rsidR="004318D2">
        <w:rPr>
          <w:szCs w:val="24"/>
        </w:rPr>
        <w:t>based</w:t>
      </w:r>
      <w:r w:rsidRPr="00C206C5" w:rsidR="00945FD9">
        <w:rPr>
          <w:szCs w:val="24"/>
        </w:rPr>
        <w:t xml:space="preserve"> licensing </w:t>
      </w:r>
      <w:r w:rsidRPr="00C206C5" w:rsidR="00B25578">
        <w:rPr>
          <w:szCs w:val="24"/>
        </w:rPr>
        <w:t>for w</w:t>
      </w:r>
      <w:r w:rsidRPr="00C206C5" w:rsidR="00945FD9">
        <w:rPr>
          <w:szCs w:val="24"/>
        </w:rPr>
        <w:t xml:space="preserve">ireless </w:t>
      </w:r>
      <w:r w:rsidRPr="00C206C5" w:rsidR="00B25578">
        <w:rPr>
          <w:szCs w:val="24"/>
        </w:rPr>
        <w:t>t</w:t>
      </w:r>
      <w:r w:rsidRPr="00C206C5" w:rsidR="00945FD9">
        <w:rPr>
          <w:szCs w:val="24"/>
        </w:rPr>
        <w:t xml:space="preserve">elecommunications </w:t>
      </w:r>
      <w:r w:rsidRPr="00C206C5" w:rsidR="00773D95">
        <w:rPr>
          <w:szCs w:val="24"/>
        </w:rPr>
        <w:t xml:space="preserve">services, including </w:t>
      </w:r>
      <w:r w:rsidRPr="00C206C5" w:rsidR="0064374B">
        <w:rPr>
          <w:szCs w:val="24"/>
        </w:rPr>
        <w:t>public safety</w:t>
      </w:r>
      <w:r w:rsidRPr="00C206C5" w:rsidR="00773D95">
        <w:rPr>
          <w:szCs w:val="24"/>
        </w:rPr>
        <w:t>,</w:t>
      </w:r>
      <w:r w:rsidRPr="00C206C5" w:rsidR="00FE6F9A">
        <w:rPr>
          <w:szCs w:val="24"/>
        </w:rPr>
        <w:t xml:space="preserve"> </w:t>
      </w:r>
      <w:r w:rsidRPr="00C206C5" w:rsidR="00773D95">
        <w:rPr>
          <w:szCs w:val="24"/>
        </w:rPr>
        <w:t xml:space="preserve">which </w:t>
      </w:r>
      <w:r w:rsidRPr="00C206C5" w:rsidR="001E51FD">
        <w:rPr>
          <w:szCs w:val="24"/>
        </w:rPr>
        <w:t>are f</w:t>
      </w:r>
      <w:r w:rsidRPr="00C206C5" w:rsidR="0042553A">
        <w:rPr>
          <w:szCs w:val="24"/>
        </w:rPr>
        <w:t>i</w:t>
      </w:r>
      <w:r w:rsidRPr="00C206C5" w:rsidR="001E51FD">
        <w:rPr>
          <w:szCs w:val="24"/>
        </w:rPr>
        <w:t>led</w:t>
      </w:r>
      <w:r w:rsidRPr="00C206C5" w:rsidR="00275DAC">
        <w:rPr>
          <w:szCs w:val="24"/>
        </w:rPr>
        <w:t xml:space="preserve"> </w:t>
      </w:r>
      <w:r w:rsidRPr="00C206C5" w:rsidR="00B25578">
        <w:rPr>
          <w:szCs w:val="24"/>
        </w:rPr>
        <w:t>through the Commission</w:t>
      </w:r>
      <w:r w:rsidRPr="00C206C5" w:rsidR="00F72885">
        <w:rPr>
          <w:szCs w:val="24"/>
        </w:rPr>
        <w:t>’</w:t>
      </w:r>
      <w:r w:rsidRPr="00C206C5" w:rsidR="00B25578">
        <w:rPr>
          <w:szCs w:val="24"/>
        </w:rPr>
        <w:t>s</w:t>
      </w:r>
      <w:r w:rsidRPr="00C206C5" w:rsidR="00945FD9">
        <w:rPr>
          <w:szCs w:val="24"/>
        </w:rPr>
        <w:t xml:space="preserve"> Universal Licensing System (ULS)</w:t>
      </w:r>
      <w:r w:rsidRPr="0053216D" w:rsidR="0053216D">
        <w:rPr>
          <w:szCs w:val="24"/>
        </w:rPr>
        <w:t xml:space="preserve"> </w:t>
      </w:r>
      <w:r w:rsidRPr="0059032D" w:rsidR="0053216D">
        <w:rPr>
          <w:szCs w:val="24"/>
        </w:rPr>
        <w:t>or any other electronic filing interface the Commission develops</w:t>
      </w:r>
      <w:r w:rsidRPr="00C206C5" w:rsidR="00945FD9">
        <w:rPr>
          <w:szCs w:val="24"/>
        </w:rPr>
        <w:t>.</w:t>
      </w:r>
      <w:r w:rsidRPr="00C206C5" w:rsidR="00832748">
        <w:rPr>
          <w:szCs w:val="24"/>
        </w:rPr>
        <w:t xml:space="preserve">  F</w:t>
      </w:r>
      <w:r w:rsidRPr="00C206C5" w:rsidR="00A63A92">
        <w:rPr>
          <w:szCs w:val="24"/>
        </w:rPr>
        <w:t>CC</w:t>
      </w:r>
      <w:r w:rsidRPr="00C206C5" w:rsidR="00832748">
        <w:rPr>
          <w:szCs w:val="24"/>
        </w:rPr>
        <w:t xml:space="preserve"> </w:t>
      </w:r>
      <w:r w:rsidRPr="00C206C5" w:rsidR="00771111">
        <w:rPr>
          <w:szCs w:val="24"/>
        </w:rPr>
        <w:t xml:space="preserve">Form </w:t>
      </w:r>
      <w:r w:rsidRPr="00C206C5" w:rsidR="00832748">
        <w:rPr>
          <w:szCs w:val="24"/>
        </w:rPr>
        <w:t>601 is composed of a main form that contains administrative information and a series of schedules used for filing technical</w:t>
      </w:r>
      <w:r w:rsidRPr="00C206C5" w:rsidR="00B25578">
        <w:rPr>
          <w:szCs w:val="24"/>
        </w:rPr>
        <w:t xml:space="preserve"> and other</w:t>
      </w:r>
      <w:r w:rsidRPr="00C206C5" w:rsidR="00832748">
        <w:rPr>
          <w:szCs w:val="24"/>
        </w:rPr>
        <w:t xml:space="preserve"> information.</w:t>
      </w:r>
      <w:r w:rsidRPr="00C206C5">
        <w:rPr>
          <w:szCs w:val="24"/>
        </w:rPr>
        <w:t xml:space="preserve">  T</w:t>
      </w:r>
      <w:r w:rsidRPr="00C206C5" w:rsidR="004318D2">
        <w:rPr>
          <w:szCs w:val="24"/>
        </w:rPr>
        <w:t>his form</w:t>
      </w:r>
      <w:r w:rsidRPr="00C206C5" w:rsidR="00B9633D">
        <w:rPr>
          <w:szCs w:val="24"/>
        </w:rPr>
        <w:t xml:space="preserve"> is used to apply for a new </w:t>
      </w:r>
      <w:r w:rsidRPr="00C206C5" w:rsidR="00523E7D">
        <w:rPr>
          <w:szCs w:val="24"/>
        </w:rPr>
        <w:t>license,</w:t>
      </w:r>
      <w:r w:rsidRPr="00C206C5" w:rsidR="00B9633D">
        <w:rPr>
          <w:szCs w:val="24"/>
        </w:rPr>
        <w:t xml:space="preserve"> to amend</w:t>
      </w:r>
      <w:r w:rsidRPr="00C206C5" w:rsidR="004318D2">
        <w:rPr>
          <w:szCs w:val="24"/>
        </w:rPr>
        <w:t xml:space="preserve"> or withdraw</w:t>
      </w:r>
      <w:r w:rsidRPr="00C206C5" w:rsidR="00B9633D">
        <w:rPr>
          <w:szCs w:val="24"/>
        </w:rPr>
        <w:t xml:space="preserve"> a pending application</w:t>
      </w:r>
      <w:r w:rsidRPr="00C206C5" w:rsidR="004318D2">
        <w:rPr>
          <w:szCs w:val="24"/>
        </w:rPr>
        <w:t xml:space="preserve">, to modify or renew an existing license, cancel a license, request a duplicate license, submit required notifications, request an extension of time to satisfy construction requirements, request an administrative update to an existing license (such as mailing address change), </w:t>
      </w:r>
      <w:r w:rsidRPr="00C206C5" w:rsidR="00A032AC">
        <w:rPr>
          <w:szCs w:val="24"/>
        </w:rPr>
        <w:t xml:space="preserve">or </w:t>
      </w:r>
      <w:r w:rsidRPr="00C206C5" w:rsidR="004318D2">
        <w:rPr>
          <w:szCs w:val="24"/>
        </w:rPr>
        <w:t>request a Special Temporary Authority License.</w:t>
      </w:r>
      <w:r w:rsidRPr="00C206C5" w:rsidR="00B9633D">
        <w:rPr>
          <w:szCs w:val="24"/>
        </w:rPr>
        <w:t xml:space="preserve"> </w:t>
      </w:r>
      <w:r w:rsidRPr="00C206C5" w:rsidR="00C51EEE">
        <w:rPr>
          <w:szCs w:val="24"/>
        </w:rPr>
        <w:t>Respondents are encouraged to submit FCC Form 601 electronically and are required to do</w:t>
      </w:r>
      <w:r w:rsidR="00C206C5">
        <w:rPr>
          <w:szCs w:val="24"/>
        </w:rPr>
        <w:t xml:space="preserve"> </w:t>
      </w:r>
      <w:r w:rsidRPr="00C206C5" w:rsidR="00C51EEE">
        <w:rPr>
          <w:szCs w:val="24"/>
        </w:rPr>
        <w:t>when apply</w:t>
      </w:r>
      <w:r w:rsidRPr="00C206C5" w:rsidR="00A032AC">
        <w:rPr>
          <w:szCs w:val="24"/>
        </w:rPr>
        <w:t>ing</w:t>
      </w:r>
      <w:r w:rsidRPr="00C206C5" w:rsidR="00C51EEE">
        <w:rPr>
          <w:szCs w:val="24"/>
        </w:rPr>
        <w:t xml:space="preserve"> for an authorization for which the applicant was the winning bidder in a spectrum auction.</w:t>
      </w:r>
    </w:p>
    <w:p w:rsidRPr="00C206C5" w:rsidR="001522C2" w:rsidP="00CD36BA" w:rsidRDefault="001522C2" w14:paraId="0F5BC9CB" w14:textId="77777777">
      <w:pPr>
        <w:tabs>
          <w:tab w:val="left" w:pos="90"/>
          <w:tab w:val="left" w:pos="360"/>
          <w:tab w:val="left" w:pos="9360"/>
        </w:tabs>
        <w:suppressAutoHyphens/>
        <w:ind w:left="-360" w:hanging="360"/>
        <w:jc w:val="both"/>
        <w:rPr>
          <w:szCs w:val="24"/>
        </w:rPr>
      </w:pPr>
    </w:p>
    <w:p w:rsidRPr="00C206C5" w:rsidR="004318D2" w:rsidP="004318D2" w:rsidRDefault="00F727DA" w14:paraId="4F5925A5" w14:textId="77777777">
      <w:pPr>
        <w:tabs>
          <w:tab w:val="left" w:pos="90"/>
          <w:tab w:val="left" w:pos="360"/>
          <w:tab w:val="left" w:pos="9360"/>
        </w:tabs>
        <w:suppressAutoHyphens/>
        <w:ind w:left="-360" w:hanging="360"/>
        <w:jc w:val="both"/>
        <w:rPr>
          <w:szCs w:val="24"/>
        </w:rPr>
      </w:pPr>
      <w:r w:rsidRPr="00C206C5">
        <w:rPr>
          <w:szCs w:val="24"/>
        </w:rPr>
        <w:t xml:space="preserve">      </w:t>
      </w:r>
      <w:r w:rsidRPr="00C206C5" w:rsidR="004318D2">
        <w:rPr>
          <w:szCs w:val="24"/>
        </w:rPr>
        <w:t>The data collected on FCC Form 601 include</w:t>
      </w:r>
      <w:r w:rsidRPr="00C206C5" w:rsidR="00523E7D">
        <w:rPr>
          <w:szCs w:val="24"/>
        </w:rPr>
        <w:t>s</w:t>
      </w:r>
      <w:r w:rsidRPr="00C206C5" w:rsidR="004318D2">
        <w:rPr>
          <w:szCs w:val="24"/>
        </w:rPr>
        <w:t xml:space="preserve"> the FCC Registration Number (FRN), which serves as a </w:t>
      </w:r>
      <w:r w:rsidRPr="00C206C5" w:rsidR="00B76B92">
        <w:rPr>
          <w:szCs w:val="24"/>
        </w:rPr>
        <w:t>“</w:t>
      </w:r>
      <w:r w:rsidRPr="00C206C5" w:rsidR="004318D2">
        <w:rPr>
          <w:szCs w:val="24"/>
        </w:rPr>
        <w:t>common link</w:t>
      </w:r>
      <w:r w:rsidRPr="00C206C5" w:rsidR="00B76B92">
        <w:rPr>
          <w:szCs w:val="24"/>
        </w:rPr>
        <w:t>”</w:t>
      </w:r>
      <w:r w:rsidRPr="00C206C5" w:rsidR="004318D2">
        <w:rPr>
          <w:szCs w:val="24"/>
        </w:rPr>
        <w:t xml:space="preserve"> for all filings an entity has with the FCC.  The Debt Collection Improvement Act of 1996 requires entities filing with the Commission </w:t>
      </w:r>
      <w:r w:rsidRPr="00C206C5" w:rsidR="00A032AC">
        <w:rPr>
          <w:szCs w:val="24"/>
        </w:rPr>
        <w:t xml:space="preserve">to </w:t>
      </w:r>
      <w:r w:rsidRPr="00C206C5" w:rsidR="004318D2">
        <w:rPr>
          <w:szCs w:val="24"/>
        </w:rPr>
        <w:t>use a</w:t>
      </w:r>
      <w:r w:rsidRPr="00C206C5" w:rsidR="00523E7D">
        <w:rPr>
          <w:szCs w:val="24"/>
        </w:rPr>
        <w:t>n</w:t>
      </w:r>
      <w:r w:rsidRPr="00C206C5" w:rsidR="004318D2">
        <w:rPr>
          <w:szCs w:val="24"/>
        </w:rPr>
        <w:t xml:space="preserve"> FRN. </w:t>
      </w:r>
    </w:p>
    <w:p w:rsidRPr="00C206C5" w:rsidR="004318D2" w:rsidP="00CD36BA" w:rsidRDefault="004318D2" w14:paraId="2A060DEC" w14:textId="77777777">
      <w:pPr>
        <w:tabs>
          <w:tab w:val="left" w:pos="90"/>
          <w:tab w:val="left" w:pos="360"/>
          <w:tab w:val="left" w:pos="9360"/>
        </w:tabs>
        <w:suppressAutoHyphens/>
        <w:ind w:left="-360" w:hanging="360"/>
        <w:jc w:val="both"/>
        <w:rPr>
          <w:szCs w:val="24"/>
        </w:rPr>
      </w:pPr>
    </w:p>
    <w:p w:rsidR="00C206C5" w:rsidP="00C206C5" w:rsidRDefault="00E00B9D" w14:paraId="4550EE8D" w14:textId="77777777">
      <w:pPr>
        <w:tabs>
          <w:tab w:val="left" w:pos="9360"/>
        </w:tabs>
        <w:suppressAutoHyphens/>
        <w:ind w:left="-360"/>
        <w:jc w:val="both"/>
        <w:rPr>
          <w:szCs w:val="24"/>
        </w:rPr>
      </w:pPr>
      <w:r w:rsidRPr="00C206C5">
        <w:rPr>
          <w:bCs/>
          <w:iCs/>
          <w:szCs w:val="24"/>
        </w:rPr>
        <w:t xml:space="preserve">Records </w:t>
      </w:r>
      <w:r w:rsidRPr="00C206C5" w:rsidR="00110087">
        <w:rPr>
          <w:bCs/>
          <w:iCs/>
          <w:szCs w:val="24"/>
        </w:rPr>
        <w:t>such as F</w:t>
      </w:r>
      <w:r w:rsidRPr="00C206C5" w:rsidR="00A032AC">
        <w:rPr>
          <w:bCs/>
          <w:iCs/>
          <w:szCs w:val="24"/>
        </w:rPr>
        <w:t xml:space="preserve">orm 601 </w:t>
      </w:r>
      <w:r w:rsidRPr="00C206C5">
        <w:rPr>
          <w:bCs/>
          <w:iCs/>
          <w:szCs w:val="24"/>
        </w:rPr>
        <w:t>may include information about individuals or households</w:t>
      </w:r>
      <w:r w:rsidRPr="00C206C5">
        <w:rPr>
          <w:b/>
          <w:bCs/>
          <w:iCs/>
          <w:szCs w:val="24"/>
        </w:rPr>
        <w:t xml:space="preserve">, </w:t>
      </w:r>
      <w:r w:rsidRPr="00C206C5">
        <w:rPr>
          <w:bCs/>
          <w:i/>
          <w:iCs/>
          <w:szCs w:val="24"/>
        </w:rPr>
        <w:t>e.g</w:t>
      </w:r>
      <w:r w:rsidRPr="00C206C5">
        <w:rPr>
          <w:bCs/>
          <w:iCs/>
          <w:szCs w:val="24"/>
        </w:rPr>
        <w:t xml:space="preserve">., personally identifiable information or PII, and the use(s) and disclosure of this information </w:t>
      </w:r>
      <w:r w:rsidRPr="00C206C5" w:rsidR="0018112B">
        <w:rPr>
          <w:bCs/>
          <w:iCs/>
          <w:szCs w:val="24"/>
        </w:rPr>
        <w:t>are</w:t>
      </w:r>
      <w:r w:rsidRPr="00C206C5">
        <w:rPr>
          <w:bCs/>
          <w:iCs/>
          <w:szCs w:val="24"/>
        </w:rPr>
        <w:t xml:space="preserve"> governed by the requirements of a system of records notice or </w:t>
      </w:r>
      <w:r w:rsidRPr="00C206C5" w:rsidR="00B76B92">
        <w:rPr>
          <w:bCs/>
          <w:iCs/>
          <w:szCs w:val="24"/>
        </w:rPr>
        <w:t>“</w:t>
      </w:r>
      <w:r w:rsidRPr="00C206C5">
        <w:rPr>
          <w:bCs/>
          <w:iCs/>
          <w:szCs w:val="24"/>
        </w:rPr>
        <w:t>SORN</w:t>
      </w:r>
      <w:r w:rsidRPr="00C206C5" w:rsidR="00B76B92">
        <w:rPr>
          <w:bCs/>
          <w:iCs/>
          <w:szCs w:val="24"/>
        </w:rPr>
        <w:t>”</w:t>
      </w:r>
      <w:r w:rsidRPr="00C206C5">
        <w:rPr>
          <w:bCs/>
          <w:iCs/>
          <w:szCs w:val="24"/>
        </w:rPr>
        <w:t>, FCC/WTB-</w:t>
      </w:r>
      <w:r w:rsidRPr="00C206C5" w:rsidR="00C82E49">
        <w:rPr>
          <w:bCs/>
          <w:iCs/>
          <w:szCs w:val="24"/>
        </w:rPr>
        <w:t>1</w:t>
      </w:r>
      <w:r w:rsidRPr="00C206C5">
        <w:rPr>
          <w:bCs/>
          <w:iCs/>
          <w:szCs w:val="24"/>
        </w:rPr>
        <w:t xml:space="preserve">, </w:t>
      </w:r>
      <w:r w:rsidRPr="00C206C5" w:rsidR="00B76B92">
        <w:rPr>
          <w:bCs/>
          <w:iCs/>
          <w:szCs w:val="24"/>
        </w:rPr>
        <w:t>“</w:t>
      </w:r>
      <w:r w:rsidRPr="00C206C5" w:rsidR="00C82E49">
        <w:rPr>
          <w:bCs/>
          <w:iCs/>
          <w:szCs w:val="24"/>
        </w:rPr>
        <w:t>Wireless Services Licensing Records</w:t>
      </w:r>
      <w:r w:rsidRPr="00C206C5">
        <w:rPr>
          <w:bCs/>
          <w:iCs/>
          <w:szCs w:val="24"/>
        </w:rPr>
        <w:t>.</w:t>
      </w:r>
      <w:r w:rsidRPr="00C206C5" w:rsidR="00B76B92">
        <w:rPr>
          <w:bCs/>
          <w:iCs/>
          <w:szCs w:val="24"/>
        </w:rPr>
        <w:t>”</w:t>
      </w:r>
      <w:r w:rsidRPr="00C206C5">
        <w:rPr>
          <w:bCs/>
          <w:iCs/>
          <w:szCs w:val="24"/>
        </w:rPr>
        <w:t xml:space="preserve">  There are no additional impacts under the Privacy Act.</w:t>
      </w:r>
    </w:p>
    <w:p w:rsidR="00C206C5" w:rsidP="00C206C5" w:rsidRDefault="00C206C5" w14:paraId="4CDC6C91" w14:textId="77777777">
      <w:pPr>
        <w:tabs>
          <w:tab w:val="left" w:pos="9360"/>
        </w:tabs>
        <w:suppressAutoHyphens/>
        <w:ind w:left="-360"/>
        <w:jc w:val="both"/>
        <w:rPr>
          <w:szCs w:val="24"/>
        </w:rPr>
      </w:pPr>
    </w:p>
    <w:p w:rsidR="00C206C5" w:rsidP="00C206C5" w:rsidRDefault="009B6D1B" w14:paraId="3F3DCC3F" w14:textId="0EA89CAD">
      <w:pPr>
        <w:tabs>
          <w:tab w:val="left" w:pos="9360"/>
        </w:tabs>
        <w:suppressAutoHyphens/>
        <w:ind w:left="-360"/>
        <w:jc w:val="both"/>
        <w:rPr>
          <w:color w:val="000000" w:themeColor="text1"/>
          <w:szCs w:val="24"/>
        </w:rPr>
      </w:pPr>
      <w:r w:rsidRPr="009B6D1B">
        <w:rPr>
          <w:snapToGrid/>
          <w:color w:val="000000" w:themeColor="text1"/>
          <w:szCs w:val="24"/>
        </w:rPr>
        <w:t>On August 3, 2017, the Commission released the WRS Reform Second Report and Order in which it consolidated the hodgepodge of service-specific renewal and permanent discontinuance rules into consolidated Part 1 rules, 1.949 and 1.953, respectively (See </w:t>
      </w:r>
      <w:hyperlink w:history="1" r:id="rId8">
        <w:r w:rsidRPr="009B6D1B">
          <w:rPr>
            <w:snapToGrid/>
            <w:color w:val="000000" w:themeColor="text1"/>
            <w:szCs w:val="24"/>
            <w:bdr w:val="none" w:color="auto" w:sz="0" w:space="0" w:frame="1"/>
          </w:rPr>
          <w:t>Amendment of Parts 1, 22, 24, 27, 74, 80, 90, 95, and 101 To Establish Uniform License Renewal, Discontinuance of Operation, and Geographic Partitioning and Spectrum Disaggregation Rules and Policies for Certain Wireless Radio Services, Second Report and Order and Further Notice of Proposed Rulemaking, FCC 17-105</w:t>
        </w:r>
      </w:hyperlink>
      <w:r w:rsidRPr="009B6D1B">
        <w:rPr>
          <w:snapToGrid/>
          <w:color w:val="000000" w:themeColor="text1"/>
          <w:szCs w:val="24"/>
        </w:rPr>
        <w:t xml:space="preserve"> (WRS Reform Second Report and Order))</w:t>
      </w:r>
      <w:r w:rsidRPr="00553652" w:rsidR="00D6773A">
        <w:rPr>
          <w:rStyle w:val="FootnoteReference"/>
          <w:snapToGrid/>
          <w:color w:val="000000" w:themeColor="text1"/>
          <w:sz w:val="22"/>
          <w:szCs w:val="22"/>
        </w:rPr>
        <w:footnoteReference w:id="1"/>
      </w:r>
      <w:r w:rsidRPr="009B6D1B">
        <w:rPr>
          <w:snapToGrid/>
          <w:color w:val="000000" w:themeColor="text1"/>
          <w:szCs w:val="24"/>
        </w:rPr>
        <w:t>. Of relevance to the information collection at issue here, the Commission established a consistent standard for renewing wireless licenses and set forth safe harbors providing expedited renewal for licensees that meet their initial term construction requirement and remain operating at or above that level. In addition, the Commission adopted consistent service continuity rules, which provide for automatic termination of any license on which a licensee permanently discontinues service or operation.</w:t>
      </w:r>
      <w:bookmarkStart w:name="co_tempAnchor" w:id="0"/>
      <w:bookmarkEnd w:id="0"/>
    </w:p>
    <w:p w:rsidR="00C206C5" w:rsidP="00C206C5" w:rsidRDefault="00C206C5" w14:paraId="40D150FF" w14:textId="77777777">
      <w:pPr>
        <w:tabs>
          <w:tab w:val="left" w:pos="9360"/>
        </w:tabs>
        <w:suppressAutoHyphens/>
        <w:ind w:left="-360"/>
        <w:jc w:val="both"/>
        <w:rPr>
          <w:color w:val="000000" w:themeColor="text1"/>
          <w:szCs w:val="24"/>
        </w:rPr>
      </w:pPr>
    </w:p>
    <w:p w:rsidR="00C206C5" w:rsidP="00C206C5" w:rsidRDefault="009B6D1B" w14:paraId="391D24BF" w14:textId="7AB971D3">
      <w:pPr>
        <w:tabs>
          <w:tab w:val="left" w:pos="9360"/>
        </w:tabs>
        <w:suppressAutoHyphens/>
        <w:ind w:left="-360"/>
        <w:jc w:val="both"/>
        <w:rPr>
          <w:snapToGrid/>
          <w:color w:val="000000" w:themeColor="text1"/>
          <w:szCs w:val="24"/>
        </w:rPr>
      </w:pPr>
      <w:r w:rsidRPr="009B6D1B">
        <w:rPr>
          <w:snapToGrid/>
          <w:color w:val="000000" w:themeColor="text1"/>
          <w:szCs w:val="24"/>
        </w:rPr>
        <w:t xml:space="preserve">The Commission now seeks approval for revisions to its currently approved collection of information </w:t>
      </w:r>
      <w:r w:rsidRPr="009B6D1B">
        <w:rPr>
          <w:snapToGrid/>
          <w:color w:val="000000" w:themeColor="text1"/>
          <w:szCs w:val="24"/>
        </w:rPr>
        <w:lastRenderedPageBreak/>
        <w:t>under OMB Control Number </w:t>
      </w:r>
      <w:r w:rsidRPr="009B6D1B">
        <w:rPr>
          <w:snapToGrid/>
          <w:color w:val="000000" w:themeColor="text1"/>
          <w:szCs w:val="24"/>
          <w:bdr w:val="none" w:color="auto" w:sz="0" w:space="0" w:frame="1"/>
        </w:rPr>
        <w:t>3060</w:t>
      </w:r>
      <w:r w:rsidRPr="009B6D1B">
        <w:rPr>
          <w:snapToGrid/>
          <w:color w:val="000000" w:themeColor="text1"/>
          <w:szCs w:val="24"/>
        </w:rPr>
        <w:t>-</w:t>
      </w:r>
      <w:r w:rsidRPr="009B6D1B">
        <w:rPr>
          <w:snapToGrid/>
          <w:color w:val="000000" w:themeColor="text1"/>
          <w:szCs w:val="24"/>
          <w:bdr w:val="none" w:color="auto" w:sz="0" w:space="0" w:frame="1"/>
        </w:rPr>
        <w:t>0798</w:t>
      </w:r>
      <w:r w:rsidRPr="009B6D1B">
        <w:rPr>
          <w:snapToGrid/>
          <w:color w:val="000000" w:themeColor="text1"/>
          <w:szCs w:val="24"/>
        </w:rPr>
        <w:t> to permit (1) the collection of renewal-related information for Wireless Radio Service (WRS) licenses, and (2) the filing of requests to extend a permanent discontinuance period for good cause. Regarding renewal of WRS licenses,</w:t>
      </w:r>
      <w:r w:rsidR="00783643">
        <w:rPr>
          <w:snapToGrid/>
          <w:color w:val="000000" w:themeColor="text1"/>
          <w:szCs w:val="24"/>
        </w:rPr>
        <w:t xml:space="preserve"> </w:t>
      </w:r>
      <w:r w:rsidRPr="009B6D1B">
        <w:rPr>
          <w:snapToGrid/>
          <w:color w:val="000000" w:themeColor="text1"/>
          <w:szCs w:val="24"/>
        </w:rPr>
        <w:t>§ 1.949(d) of the Commission's rules requires an applicant for renewal of certain WRS licenses to meet the Renewal Standard, i.e., the applicant must demonstrate that over the course of the license term, the licensee provided and continues to provide service to the public, or operated and continues to operate the license to meet the licensee(s)' private, internal communications needs. A renewal applicant can meet the Renewal Standard by certifying compliance with one of the safe harbors enumerated in § 1.949(e) of the Commission's rules, or, if the applicant cannot satisfy the requirements of one of the safe harbors, the applicant must make a Renewal Showing consistent with § 1.949(f). In addition, a renewal applicant must make a Regulatory Compliance Certification certifying that it has substantially complied with all applicable FCC rules, policies, and the Communications Act of 1934, as amended. If an applicant is unable to make this substantial compliance certification, it will need to provide an explanation of the circumstances preventing such a certification and why renewal of the subject license should still be granted.</w:t>
      </w:r>
    </w:p>
    <w:p w:rsidR="00C206C5" w:rsidP="00C206C5" w:rsidRDefault="00C206C5" w14:paraId="2E17929F" w14:textId="77777777">
      <w:pPr>
        <w:tabs>
          <w:tab w:val="left" w:pos="9360"/>
        </w:tabs>
        <w:suppressAutoHyphens/>
        <w:ind w:left="-360"/>
        <w:jc w:val="both"/>
        <w:rPr>
          <w:snapToGrid/>
          <w:color w:val="000000" w:themeColor="text1"/>
          <w:szCs w:val="24"/>
        </w:rPr>
      </w:pPr>
    </w:p>
    <w:p w:rsidR="00C206C5" w:rsidP="00C206C5" w:rsidRDefault="009B6D1B" w14:paraId="5960B26E" w14:textId="3C222417">
      <w:pPr>
        <w:tabs>
          <w:tab w:val="left" w:pos="9360"/>
        </w:tabs>
        <w:suppressAutoHyphens/>
        <w:ind w:left="-360"/>
        <w:jc w:val="both"/>
        <w:rPr>
          <w:snapToGrid/>
          <w:color w:val="000000" w:themeColor="text1"/>
          <w:szCs w:val="24"/>
        </w:rPr>
      </w:pPr>
      <w:r w:rsidRPr="009B6D1B">
        <w:rPr>
          <w:snapToGrid/>
          <w:color w:val="000000" w:themeColor="text1"/>
          <w:szCs w:val="24"/>
        </w:rPr>
        <w:t xml:space="preserve">We do not anticipate that these revisions will have any impact on the burden to complete FCC Form 601. The renewal process remains virtually unchanged for site-based licensees, which will continue to have streamlined processes for renewal under the safe harbors adopted in the WRS Reform Second Report and Order. For licensees </w:t>
      </w:r>
      <w:r w:rsidR="00783643">
        <w:rPr>
          <w:snapToGrid/>
          <w:color w:val="000000" w:themeColor="text1"/>
          <w:szCs w:val="24"/>
        </w:rPr>
        <w:t>that</w:t>
      </w:r>
      <w:r w:rsidRPr="009B6D1B" w:rsidR="00783643">
        <w:rPr>
          <w:snapToGrid/>
          <w:color w:val="000000" w:themeColor="text1"/>
          <w:szCs w:val="24"/>
        </w:rPr>
        <w:t xml:space="preserve"> </w:t>
      </w:r>
      <w:r w:rsidRPr="009B6D1B">
        <w:rPr>
          <w:snapToGrid/>
          <w:color w:val="000000" w:themeColor="text1"/>
          <w:szCs w:val="24"/>
        </w:rPr>
        <w:t>had to make renewal showings under the Commissions' prior, service-specific renewal rules, including 700 MHz Commercial Services, 600 MHz Service, H-Block Service, AWS-3, AWS-4, and 218-219 MHz Service, the rules now provide for streamlined renewal processes under the safe harbor provisions in § 1.949(e), which minimize the burdens on such licensees. The Commission expects that most licensees will be able to avail themselves of the streamlined safe harbor process.</w:t>
      </w:r>
    </w:p>
    <w:p w:rsidR="00C206C5" w:rsidP="00C206C5" w:rsidRDefault="00C206C5" w14:paraId="6DAA098A" w14:textId="77777777">
      <w:pPr>
        <w:tabs>
          <w:tab w:val="left" w:pos="9360"/>
        </w:tabs>
        <w:suppressAutoHyphens/>
        <w:ind w:left="-360"/>
        <w:jc w:val="both"/>
        <w:rPr>
          <w:snapToGrid/>
          <w:color w:val="000000" w:themeColor="text1"/>
          <w:szCs w:val="24"/>
        </w:rPr>
      </w:pPr>
    </w:p>
    <w:p w:rsidR="00C206C5" w:rsidP="00C206C5" w:rsidRDefault="009B6D1B" w14:paraId="2F3CDC55" w14:textId="77777777">
      <w:pPr>
        <w:tabs>
          <w:tab w:val="left" w:pos="9360"/>
        </w:tabs>
        <w:suppressAutoHyphens/>
        <w:ind w:left="-360"/>
        <w:jc w:val="both"/>
        <w:rPr>
          <w:snapToGrid/>
          <w:color w:val="000000" w:themeColor="text1"/>
          <w:szCs w:val="24"/>
        </w:rPr>
      </w:pPr>
      <w:r w:rsidRPr="009B6D1B">
        <w:rPr>
          <w:snapToGrid/>
          <w:color w:val="000000" w:themeColor="text1"/>
          <w:szCs w:val="24"/>
        </w:rPr>
        <w:t>Although some licensees will be required to make a renewal showing, on balance, we believe there will be no increase in the overall annual burden to complete the form. Further, the Commission's experience with requests to extend the discontinuance period for licensees in the cellular service leads us to anticipate few, if any, such requests will be filed under our new rules. Specifically, we are unaware of any requests to extend a cellular discontinuance period. Thus, we believe there will be a negligible, if any, impact on the annual burden to complete the form.</w:t>
      </w:r>
    </w:p>
    <w:p w:rsidR="00C206C5" w:rsidP="00C206C5" w:rsidRDefault="00C206C5" w14:paraId="4CDD839E" w14:textId="77777777">
      <w:pPr>
        <w:tabs>
          <w:tab w:val="left" w:pos="9360"/>
        </w:tabs>
        <w:suppressAutoHyphens/>
        <w:ind w:left="-360"/>
        <w:jc w:val="both"/>
        <w:rPr>
          <w:snapToGrid/>
          <w:color w:val="000000" w:themeColor="text1"/>
          <w:szCs w:val="24"/>
        </w:rPr>
      </w:pPr>
    </w:p>
    <w:p w:rsidR="009B6D1B" w:rsidP="00C206C5" w:rsidRDefault="009B6D1B" w14:paraId="690F1CF6" w14:textId="77777777">
      <w:pPr>
        <w:tabs>
          <w:tab w:val="left" w:pos="9360"/>
        </w:tabs>
        <w:suppressAutoHyphens/>
        <w:ind w:left="-360"/>
        <w:jc w:val="both"/>
        <w:rPr>
          <w:snapToGrid/>
          <w:color w:val="000000" w:themeColor="text1"/>
          <w:szCs w:val="24"/>
        </w:rPr>
      </w:pPr>
      <w:r w:rsidRPr="009B6D1B">
        <w:rPr>
          <w:snapToGrid/>
          <w:color w:val="000000" w:themeColor="text1"/>
          <w:szCs w:val="24"/>
        </w:rPr>
        <w:t>The Commission therefore seeks approval for a revision to its currently approved information collection on FCC Form 601 to revise FCC Form 601 accordingly.</w:t>
      </w:r>
    </w:p>
    <w:p w:rsidR="001901AB" w:rsidP="00C206C5" w:rsidRDefault="001901AB" w14:paraId="03D6FE09" w14:textId="77777777">
      <w:pPr>
        <w:tabs>
          <w:tab w:val="left" w:pos="9360"/>
        </w:tabs>
        <w:suppressAutoHyphens/>
        <w:ind w:left="-360"/>
        <w:jc w:val="both"/>
        <w:rPr>
          <w:snapToGrid/>
          <w:color w:val="000000" w:themeColor="text1"/>
          <w:szCs w:val="24"/>
        </w:rPr>
      </w:pPr>
    </w:p>
    <w:p w:rsidR="001901AB" w:rsidP="00C206C5" w:rsidRDefault="001901AB" w14:paraId="69DC4BA0" w14:textId="2CD43A96">
      <w:pPr>
        <w:tabs>
          <w:tab w:val="left" w:pos="9360"/>
        </w:tabs>
        <w:suppressAutoHyphens/>
        <w:ind w:left="-360"/>
        <w:jc w:val="both"/>
        <w:rPr>
          <w:szCs w:val="24"/>
        </w:rPr>
      </w:pPr>
      <w:r>
        <w:rPr>
          <w:snapToGrid/>
          <w:color w:val="000000" w:themeColor="text1"/>
          <w:szCs w:val="24"/>
        </w:rPr>
        <w:t>In addition, o</w:t>
      </w:r>
      <w:r w:rsidRPr="009B6D1B">
        <w:rPr>
          <w:snapToGrid/>
          <w:color w:val="000000" w:themeColor="text1"/>
          <w:szCs w:val="24"/>
        </w:rPr>
        <w:t xml:space="preserve">n August </w:t>
      </w:r>
      <w:r w:rsidR="00CB3F56">
        <w:rPr>
          <w:snapToGrid/>
          <w:color w:val="000000" w:themeColor="text1"/>
          <w:szCs w:val="24"/>
        </w:rPr>
        <w:t>10</w:t>
      </w:r>
      <w:r w:rsidRPr="009B6D1B">
        <w:rPr>
          <w:snapToGrid/>
          <w:color w:val="000000" w:themeColor="text1"/>
          <w:szCs w:val="24"/>
        </w:rPr>
        <w:t>, 201</w:t>
      </w:r>
      <w:r>
        <w:rPr>
          <w:snapToGrid/>
          <w:color w:val="000000" w:themeColor="text1"/>
          <w:szCs w:val="24"/>
        </w:rPr>
        <w:t>5</w:t>
      </w:r>
      <w:r w:rsidRPr="009B6D1B">
        <w:rPr>
          <w:snapToGrid/>
          <w:color w:val="000000" w:themeColor="text1"/>
          <w:szCs w:val="24"/>
        </w:rPr>
        <w:t xml:space="preserve">, the Commission released </w:t>
      </w:r>
      <w:r>
        <w:rPr>
          <w:snapToGrid/>
          <w:color w:val="000000" w:themeColor="text1"/>
          <w:szCs w:val="24"/>
        </w:rPr>
        <w:t xml:space="preserve">a </w:t>
      </w:r>
      <w:r w:rsidRPr="009B6D1B">
        <w:rPr>
          <w:snapToGrid/>
          <w:color w:val="000000" w:themeColor="text1"/>
          <w:szCs w:val="24"/>
        </w:rPr>
        <w:t xml:space="preserve">Report and Order in </w:t>
      </w:r>
      <w:r w:rsidRPr="001901AB">
        <w:rPr>
          <w:snapToGrid/>
          <w:color w:val="000000" w:themeColor="text1"/>
          <w:szCs w:val="24"/>
        </w:rPr>
        <w:t>Amendment of Sections 90.20(d) and 90.265 of the Commission’s Rules to Facilitate the Use of Vehicular Repeater Units</w:t>
      </w:r>
      <w:r>
        <w:rPr>
          <w:snapToGrid/>
          <w:color w:val="000000" w:themeColor="text1"/>
          <w:szCs w:val="24"/>
        </w:rPr>
        <w:t xml:space="preserve">, FCC </w:t>
      </w:r>
      <w:r w:rsidR="00C06399">
        <w:rPr>
          <w:snapToGrid/>
          <w:color w:val="000000" w:themeColor="text1"/>
          <w:szCs w:val="24"/>
        </w:rPr>
        <w:t xml:space="preserve">15-103, in </w:t>
      </w:r>
      <w:r w:rsidRPr="009B6D1B">
        <w:rPr>
          <w:snapToGrid/>
          <w:color w:val="000000" w:themeColor="text1"/>
          <w:szCs w:val="24"/>
        </w:rPr>
        <w:t xml:space="preserve">which </w:t>
      </w:r>
      <w:r w:rsidR="00C06399">
        <w:rPr>
          <w:snapToGrid/>
          <w:color w:val="000000" w:themeColor="text1"/>
          <w:szCs w:val="24"/>
        </w:rPr>
        <w:t xml:space="preserve">it decided to adopt </w:t>
      </w:r>
      <w:r w:rsidRPr="00E44E11" w:rsidR="00C06399">
        <w:rPr>
          <w:szCs w:val="24"/>
        </w:rPr>
        <w:t xml:space="preserve">certain changes to the rules governing </w:t>
      </w:r>
      <w:r w:rsidRPr="00E44E11" w:rsidR="00C06399">
        <w:rPr>
          <w:spacing w:val="-2"/>
          <w:szCs w:val="24"/>
        </w:rPr>
        <w:t>six remote control and telemetry channels in the VHF band.</w:t>
      </w:r>
      <w:r w:rsidRPr="00E44E11" w:rsidR="00C06399">
        <w:rPr>
          <w:rStyle w:val="FootnoteReference"/>
          <w:szCs w:val="24"/>
        </w:rPr>
        <w:t xml:space="preserve"> </w:t>
      </w:r>
      <w:r w:rsidRPr="00E44E11" w:rsidR="00C06399">
        <w:rPr>
          <w:spacing w:val="-2"/>
          <w:szCs w:val="24"/>
        </w:rPr>
        <w:t xml:space="preserve"> </w:t>
      </w:r>
      <w:r w:rsidR="00C06399">
        <w:rPr>
          <w:spacing w:val="-2"/>
          <w:szCs w:val="24"/>
        </w:rPr>
        <w:t>The Commission decided to</w:t>
      </w:r>
      <w:r w:rsidRPr="00E44E11" w:rsidR="00C06399">
        <w:rPr>
          <w:szCs w:val="24"/>
        </w:rPr>
        <w:t xml:space="preserve"> allow the licensing and operation of vehicular repeater systems (VRS) and other mobile repeaters on these channels.  In addition, </w:t>
      </w:r>
      <w:r w:rsidR="00C06399">
        <w:rPr>
          <w:szCs w:val="24"/>
        </w:rPr>
        <w:t>the Commission</w:t>
      </w:r>
      <w:r w:rsidRPr="00E44E11" w:rsidR="00C06399">
        <w:rPr>
          <w:szCs w:val="24"/>
        </w:rPr>
        <w:t xml:space="preserve"> revise</w:t>
      </w:r>
      <w:r w:rsidR="00C06399">
        <w:rPr>
          <w:szCs w:val="24"/>
        </w:rPr>
        <w:t>s</w:t>
      </w:r>
      <w:r w:rsidRPr="00E44E11" w:rsidR="00C06399">
        <w:rPr>
          <w:szCs w:val="24"/>
        </w:rPr>
        <w:t xml:space="preserve"> and update</w:t>
      </w:r>
      <w:r w:rsidR="00C06399">
        <w:rPr>
          <w:szCs w:val="24"/>
        </w:rPr>
        <w:t>d</w:t>
      </w:r>
      <w:r w:rsidRPr="00E44E11" w:rsidR="00C06399">
        <w:rPr>
          <w:szCs w:val="24"/>
        </w:rPr>
        <w:t xml:space="preserve"> the technical rules for these channels to allow greater use of VRS systems while providing protection for incumbent telemetry users who rely on these </w:t>
      </w:r>
      <w:r w:rsidRPr="00E44E11" w:rsidR="00C06399">
        <w:rPr>
          <w:szCs w:val="24"/>
        </w:rPr>
        <w:lastRenderedPageBreak/>
        <w:t>frequencies for control of critical infrastructure systems.</w:t>
      </w:r>
      <w:bookmarkStart w:name="_Toc382916066" w:id="1"/>
      <w:bookmarkStart w:name="_Toc382916077" w:id="2"/>
      <w:bookmarkStart w:name="_Toc382916078" w:id="3"/>
      <w:bookmarkStart w:name="_Toc382916079" w:id="4"/>
      <w:bookmarkStart w:name="_Toc382916081" w:id="5"/>
      <w:bookmarkStart w:name="_Toc382916082" w:id="6"/>
      <w:bookmarkStart w:name="_Toc382916085" w:id="7"/>
      <w:bookmarkEnd w:id="1"/>
      <w:bookmarkEnd w:id="2"/>
      <w:bookmarkEnd w:id="3"/>
      <w:bookmarkEnd w:id="4"/>
      <w:bookmarkEnd w:id="5"/>
      <w:bookmarkEnd w:id="6"/>
      <w:bookmarkEnd w:id="7"/>
      <w:r w:rsidRPr="00E44E11" w:rsidR="00C06399">
        <w:rPr>
          <w:szCs w:val="24"/>
        </w:rPr>
        <w:t xml:space="preserve">  </w:t>
      </w:r>
      <w:r w:rsidR="00C06399">
        <w:rPr>
          <w:szCs w:val="24"/>
        </w:rPr>
        <w:t>Of significance for this collection, t</w:t>
      </w:r>
      <w:r w:rsidRPr="00E44E11" w:rsidR="00C06399">
        <w:rPr>
          <w:szCs w:val="24"/>
        </w:rPr>
        <w:t>he Commission also decide</w:t>
      </w:r>
      <w:r w:rsidR="00C06399">
        <w:rPr>
          <w:szCs w:val="24"/>
        </w:rPr>
        <w:t>d</w:t>
      </w:r>
      <w:r w:rsidRPr="00E44E11" w:rsidR="00C06399">
        <w:rPr>
          <w:szCs w:val="24"/>
        </w:rPr>
        <w:t xml:space="preserve"> that the only way to accommodate both telemetry and VRS on these frequencies is through frequency coordination to both ensure geographic separation as well as minimizing the risk of commingling voice and data operations.</w:t>
      </w:r>
      <w:r w:rsidR="00CB3F56">
        <w:rPr>
          <w:szCs w:val="24"/>
        </w:rPr>
        <w:t xml:space="preserve">  In particular, the Commission adopted new </w:t>
      </w:r>
      <w:r w:rsidR="000A3007">
        <w:rPr>
          <w:szCs w:val="24"/>
        </w:rPr>
        <w:t>s</w:t>
      </w:r>
      <w:r w:rsidR="00CB3F56">
        <w:rPr>
          <w:szCs w:val="24"/>
        </w:rPr>
        <w:t>ection 90.175(b)(4), which prescribes the obligations of frequency coordinators and the ability of applicants to submit written concurrences from potentially affected incumbent licensees as part of the Form 601 filing.  On December 11, 2015, the Commission adopted a Clarification Order in this docket, but that order made t</w:t>
      </w:r>
      <w:r w:rsidR="006D3F8E">
        <w:rPr>
          <w:szCs w:val="24"/>
        </w:rPr>
        <w:t>wo</w:t>
      </w:r>
      <w:r w:rsidR="00CB3F56">
        <w:rPr>
          <w:szCs w:val="24"/>
        </w:rPr>
        <w:t xml:space="preserve"> changes to </w:t>
      </w:r>
      <w:r w:rsidR="000A3007">
        <w:rPr>
          <w:szCs w:val="24"/>
        </w:rPr>
        <w:t>the requirements of section 90.175(b)(4).</w:t>
      </w:r>
    </w:p>
    <w:p w:rsidR="000A3007" w:rsidP="00C206C5" w:rsidRDefault="000A3007" w14:paraId="434E2758" w14:textId="77777777">
      <w:pPr>
        <w:tabs>
          <w:tab w:val="left" w:pos="9360"/>
        </w:tabs>
        <w:suppressAutoHyphens/>
        <w:ind w:left="-360"/>
        <w:jc w:val="both"/>
        <w:rPr>
          <w:szCs w:val="24"/>
        </w:rPr>
      </w:pPr>
    </w:p>
    <w:p w:rsidRPr="009B6D1B" w:rsidR="000A3007" w:rsidP="00C206C5" w:rsidRDefault="000A3007" w14:paraId="28483C3A" w14:textId="77777777">
      <w:pPr>
        <w:tabs>
          <w:tab w:val="left" w:pos="9360"/>
        </w:tabs>
        <w:suppressAutoHyphens/>
        <w:ind w:left="-360"/>
        <w:jc w:val="both"/>
        <w:rPr>
          <w:snapToGrid/>
          <w:color w:val="000000" w:themeColor="text1"/>
          <w:szCs w:val="24"/>
        </w:rPr>
      </w:pPr>
      <w:r>
        <w:rPr>
          <w:snapToGrid/>
          <w:color w:val="000000" w:themeColor="text1"/>
          <w:szCs w:val="24"/>
        </w:rPr>
        <w:t>S</w:t>
      </w:r>
      <w:r w:rsidRPr="000A3007">
        <w:rPr>
          <w:snapToGrid/>
          <w:color w:val="000000" w:themeColor="text1"/>
          <w:szCs w:val="24"/>
        </w:rPr>
        <w:t>ections 90.35, 90.20</w:t>
      </w:r>
      <w:r>
        <w:rPr>
          <w:snapToGrid/>
          <w:color w:val="000000" w:themeColor="text1"/>
          <w:szCs w:val="24"/>
        </w:rPr>
        <w:t>,</w:t>
      </w:r>
      <w:r w:rsidRPr="000A3007">
        <w:rPr>
          <w:snapToGrid/>
          <w:color w:val="000000" w:themeColor="text1"/>
          <w:szCs w:val="24"/>
        </w:rPr>
        <w:t xml:space="preserve"> and 90.175</w:t>
      </w:r>
      <w:r>
        <w:rPr>
          <w:snapToGrid/>
          <w:color w:val="000000" w:themeColor="text1"/>
          <w:szCs w:val="24"/>
        </w:rPr>
        <w:t>(b)(4)</w:t>
      </w:r>
      <w:r w:rsidRPr="000A3007">
        <w:rPr>
          <w:snapToGrid/>
          <w:color w:val="000000" w:themeColor="text1"/>
          <w:szCs w:val="24"/>
        </w:rPr>
        <w:t xml:space="preserve"> require third party disclosures by applicants proposing to operate vehicular repeater units on designated frequencies. </w:t>
      </w:r>
      <w:r>
        <w:rPr>
          <w:snapToGrid/>
          <w:color w:val="000000" w:themeColor="text1"/>
          <w:szCs w:val="24"/>
        </w:rPr>
        <w:t xml:space="preserve"> </w:t>
      </w:r>
      <w:r w:rsidRPr="000A3007">
        <w:rPr>
          <w:snapToGrid/>
          <w:color w:val="000000" w:themeColor="text1"/>
          <w:szCs w:val="24"/>
        </w:rPr>
        <w:t>They are required to obtain written concurrence of a frequency coordinator.  This information will be used by Commission personnel in evaluating the applicant’s need for such frequencies and to minimize the interference potential to other stations operating on the proposed frequencies.</w:t>
      </w:r>
    </w:p>
    <w:p w:rsidRPr="00C206C5" w:rsidR="001B50B2" w:rsidP="00E00B9D" w:rsidRDefault="00C206C5" w14:paraId="763B4E11" w14:textId="64D85C10">
      <w:pPr>
        <w:widowControl/>
        <w:tabs>
          <w:tab w:val="left" w:pos="90"/>
          <w:tab w:val="left" w:pos="360"/>
          <w:tab w:val="left" w:pos="9360"/>
        </w:tabs>
        <w:ind w:left="-360"/>
        <w:jc w:val="both"/>
        <w:rPr>
          <w:color w:val="000000" w:themeColor="text1"/>
          <w:szCs w:val="24"/>
        </w:rPr>
      </w:pPr>
      <w:r>
        <w:rPr>
          <w:color w:val="000000" w:themeColor="text1"/>
          <w:szCs w:val="24"/>
        </w:rPr>
        <w:br/>
      </w:r>
      <w:r w:rsidRPr="00C206C5" w:rsidR="005E5138">
        <w:rPr>
          <w:color w:val="000000" w:themeColor="text1"/>
          <w:szCs w:val="24"/>
        </w:rPr>
        <w:t xml:space="preserve">Statutory authority for this information collection is </w:t>
      </w:r>
      <w:r w:rsidRPr="00C206C5" w:rsidR="00DA71E9">
        <w:rPr>
          <w:color w:val="000000" w:themeColor="text1"/>
          <w:szCs w:val="24"/>
        </w:rPr>
        <w:t xml:space="preserve">contained in </w:t>
      </w:r>
      <w:r w:rsidRPr="00C206C5" w:rsidR="005E5138">
        <w:rPr>
          <w:color w:val="000000" w:themeColor="text1"/>
          <w:szCs w:val="24"/>
        </w:rPr>
        <w:t>47 U.S.C. §§ 151, 152,</w:t>
      </w:r>
      <w:r w:rsidRPr="00C206C5" w:rsidR="001448F8">
        <w:rPr>
          <w:color w:val="000000" w:themeColor="text1"/>
          <w:szCs w:val="24"/>
        </w:rPr>
        <w:t xml:space="preserve"> 154,</w:t>
      </w:r>
      <w:r w:rsidRPr="00C206C5" w:rsidR="005E5138">
        <w:rPr>
          <w:color w:val="000000" w:themeColor="text1"/>
          <w:szCs w:val="24"/>
        </w:rPr>
        <w:t xml:space="preserve"> 154(i), 155(c), 157, </w:t>
      </w:r>
      <w:r w:rsidR="00705312">
        <w:rPr>
          <w:color w:val="000000" w:themeColor="text1"/>
          <w:szCs w:val="24"/>
        </w:rPr>
        <w:t xml:space="preserve">161, </w:t>
      </w:r>
      <w:r w:rsidRPr="00C206C5" w:rsidR="005E5138">
        <w:rPr>
          <w:color w:val="000000" w:themeColor="text1"/>
          <w:szCs w:val="24"/>
        </w:rPr>
        <w:t>201, 202, 208, 214, 301, 302a, 303, 307, 308, 309, 310, 311, 314, 316, 319, 324, 331, 332, 333, 336, 534, 535</w:t>
      </w:r>
      <w:r w:rsidR="000A3007">
        <w:rPr>
          <w:color w:val="000000" w:themeColor="text1"/>
          <w:szCs w:val="24"/>
        </w:rPr>
        <w:t>,</w:t>
      </w:r>
      <w:r w:rsidRPr="00C206C5" w:rsidR="001448F8">
        <w:rPr>
          <w:color w:val="000000" w:themeColor="text1"/>
          <w:szCs w:val="24"/>
        </w:rPr>
        <w:t xml:space="preserve"> and 554</w:t>
      </w:r>
      <w:r w:rsidRPr="00C206C5" w:rsidR="005E5138">
        <w:rPr>
          <w:color w:val="000000" w:themeColor="text1"/>
          <w:szCs w:val="24"/>
        </w:rPr>
        <w:t>.</w:t>
      </w:r>
    </w:p>
    <w:p w:rsidRPr="00C206C5" w:rsidR="001B50B2" w:rsidP="001B50B2" w:rsidRDefault="001B50B2" w14:paraId="5C2EC993" w14:textId="77777777">
      <w:pPr>
        <w:widowControl/>
        <w:tabs>
          <w:tab w:val="left" w:pos="90"/>
          <w:tab w:val="left" w:pos="360"/>
          <w:tab w:val="left" w:pos="9360"/>
        </w:tabs>
        <w:ind w:left="-360"/>
        <w:jc w:val="both"/>
        <w:rPr>
          <w:color w:val="000000" w:themeColor="text1"/>
          <w:szCs w:val="24"/>
        </w:rPr>
      </w:pPr>
    </w:p>
    <w:p w:rsidRPr="00C206C5" w:rsidR="00FE0A01" w:rsidP="00CD36BA" w:rsidRDefault="0063141B" w14:paraId="09F7FFB8" w14:textId="77777777">
      <w:pPr>
        <w:pStyle w:val="BodyTextIndent"/>
        <w:tabs>
          <w:tab w:val="left" w:pos="90"/>
          <w:tab w:val="left" w:pos="360"/>
          <w:tab w:val="left" w:pos="9360"/>
        </w:tabs>
        <w:ind w:left="-360" w:hanging="360"/>
        <w:jc w:val="both"/>
        <w:rPr>
          <w:rFonts w:ascii="Times New Roman" w:hAnsi="Times New Roman"/>
          <w:color w:val="000000" w:themeColor="text1"/>
          <w:szCs w:val="24"/>
        </w:rPr>
      </w:pPr>
      <w:r w:rsidRPr="00C206C5">
        <w:rPr>
          <w:rFonts w:ascii="Times New Roman" w:hAnsi="Times New Roman"/>
          <w:color w:val="000000" w:themeColor="text1"/>
          <w:szCs w:val="24"/>
        </w:rPr>
        <w:t xml:space="preserve">2.  The </w:t>
      </w:r>
      <w:r w:rsidRPr="00C206C5" w:rsidR="00267A69">
        <w:rPr>
          <w:rFonts w:ascii="Times New Roman" w:hAnsi="Times New Roman"/>
          <w:color w:val="000000" w:themeColor="text1"/>
          <w:szCs w:val="24"/>
        </w:rPr>
        <w:t>Commission</w:t>
      </w:r>
      <w:r w:rsidRPr="00C206C5" w:rsidR="009B3A3D">
        <w:rPr>
          <w:rFonts w:ascii="Times New Roman" w:hAnsi="Times New Roman"/>
          <w:color w:val="000000" w:themeColor="text1"/>
          <w:szCs w:val="24"/>
        </w:rPr>
        <w:t xml:space="preserve">, in accordance with its statutory responsibilities under the Communications Act of 1934, as amended, </w:t>
      </w:r>
      <w:r w:rsidRPr="00C206C5" w:rsidR="00267A69">
        <w:rPr>
          <w:rFonts w:ascii="Times New Roman" w:hAnsi="Times New Roman"/>
          <w:color w:val="000000" w:themeColor="text1"/>
          <w:szCs w:val="24"/>
        </w:rPr>
        <w:t xml:space="preserve">uses the </w:t>
      </w:r>
      <w:r w:rsidRPr="00C206C5">
        <w:rPr>
          <w:rFonts w:ascii="Times New Roman" w:hAnsi="Times New Roman"/>
          <w:color w:val="000000" w:themeColor="text1"/>
          <w:szCs w:val="24"/>
        </w:rPr>
        <w:t xml:space="preserve">information </w:t>
      </w:r>
      <w:r w:rsidRPr="00C206C5" w:rsidR="00435B84">
        <w:rPr>
          <w:rFonts w:ascii="Times New Roman" w:hAnsi="Times New Roman"/>
          <w:color w:val="000000" w:themeColor="text1"/>
          <w:szCs w:val="24"/>
        </w:rPr>
        <w:t xml:space="preserve">provided by applicants on FCC </w:t>
      </w:r>
      <w:r w:rsidRPr="00C206C5" w:rsidR="001D715B">
        <w:rPr>
          <w:rFonts w:ascii="Times New Roman" w:hAnsi="Times New Roman"/>
          <w:color w:val="000000" w:themeColor="text1"/>
          <w:szCs w:val="24"/>
        </w:rPr>
        <w:t xml:space="preserve">Form </w:t>
      </w:r>
      <w:r w:rsidRPr="00C206C5" w:rsidR="00435B84">
        <w:rPr>
          <w:rFonts w:ascii="Times New Roman" w:hAnsi="Times New Roman"/>
          <w:color w:val="000000" w:themeColor="text1"/>
          <w:szCs w:val="24"/>
        </w:rPr>
        <w:t>601 to</w:t>
      </w:r>
      <w:r w:rsidRPr="00C206C5" w:rsidR="009B3A3D">
        <w:rPr>
          <w:rFonts w:ascii="Times New Roman" w:hAnsi="Times New Roman"/>
          <w:color w:val="000000" w:themeColor="text1"/>
          <w:szCs w:val="24"/>
        </w:rPr>
        <w:t xml:space="preserve"> update its </w:t>
      </w:r>
      <w:r w:rsidRPr="00C206C5" w:rsidR="004318D2">
        <w:rPr>
          <w:rFonts w:ascii="Times New Roman" w:hAnsi="Times New Roman"/>
          <w:color w:val="000000" w:themeColor="text1"/>
          <w:szCs w:val="24"/>
        </w:rPr>
        <w:t xml:space="preserve">licensing </w:t>
      </w:r>
      <w:r w:rsidRPr="00C206C5" w:rsidR="009B3A3D">
        <w:rPr>
          <w:rFonts w:ascii="Times New Roman" w:hAnsi="Times New Roman"/>
          <w:color w:val="000000" w:themeColor="text1"/>
          <w:szCs w:val="24"/>
        </w:rPr>
        <w:t xml:space="preserve">database and to </w:t>
      </w:r>
      <w:r w:rsidRPr="00C206C5" w:rsidR="00435B84">
        <w:rPr>
          <w:rFonts w:ascii="Times New Roman" w:hAnsi="Times New Roman"/>
          <w:color w:val="000000" w:themeColor="text1"/>
          <w:szCs w:val="24"/>
        </w:rPr>
        <w:t xml:space="preserve">determine </w:t>
      </w:r>
      <w:r w:rsidRPr="00C206C5" w:rsidR="001446AA">
        <w:rPr>
          <w:rFonts w:ascii="Times New Roman" w:hAnsi="Times New Roman"/>
          <w:color w:val="000000" w:themeColor="text1"/>
          <w:szCs w:val="24"/>
        </w:rPr>
        <w:t xml:space="preserve">if </w:t>
      </w:r>
      <w:r w:rsidRPr="00C206C5">
        <w:rPr>
          <w:rFonts w:ascii="Times New Roman" w:hAnsi="Times New Roman"/>
          <w:color w:val="000000" w:themeColor="text1"/>
          <w:szCs w:val="24"/>
        </w:rPr>
        <w:t>the applicant is legally, technically</w:t>
      </w:r>
      <w:r w:rsidRPr="00C206C5" w:rsidR="004F0A0B">
        <w:rPr>
          <w:rFonts w:ascii="Times New Roman" w:hAnsi="Times New Roman"/>
          <w:color w:val="000000" w:themeColor="text1"/>
          <w:szCs w:val="24"/>
        </w:rPr>
        <w:t>,</w:t>
      </w:r>
      <w:r w:rsidRPr="00C206C5">
        <w:rPr>
          <w:rFonts w:ascii="Times New Roman" w:hAnsi="Times New Roman"/>
          <w:color w:val="000000" w:themeColor="text1"/>
          <w:szCs w:val="24"/>
        </w:rPr>
        <w:t xml:space="preserve"> and financially qualified to </w:t>
      </w:r>
      <w:r w:rsidRPr="00C206C5" w:rsidR="009B3A3D">
        <w:rPr>
          <w:rFonts w:ascii="Times New Roman" w:hAnsi="Times New Roman"/>
          <w:color w:val="000000" w:themeColor="text1"/>
          <w:szCs w:val="24"/>
        </w:rPr>
        <w:t xml:space="preserve">provide </w:t>
      </w:r>
      <w:r w:rsidRPr="00C206C5">
        <w:rPr>
          <w:rFonts w:ascii="Times New Roman" w:hAnsi="Times New Roman"/>
          <w:color w:val="000000" w:themeColor="text1"/>
          <w:szCs w:val="24"/>
        </w:rPr>
        <w:t xml:space="preserve">licensed services </w:t>
      </w:r>
      <w:r w:rsidRPr="00C206C5" w:rsidR="009B3A3D">
        <w:rPr>
          <w:rFonts w:ascii="Times New Roman" w:hAnsi="Times New Roman"/>
          <w:color w:val="000000" w:themeColor="text1"/>
          <w:szCs w:val="24"/>
        </w:rPr>
        <w:t xml:space="preserve">and make </w:t>
      </w:r>
      <w:r w:rsidRPr="00C206C5">
        <w:rPr>
          <w:rFonts w:ascii="Times New Roman" w:hAnsi="Times New Roman"/>
          <w:color w:val="000000" w:themeColor="text1"/>
          <w:szCs w:val="24"/>
        </w:rPr>
        <w:t>proper use of the frequency spectrum.</w:t>
      </w:r>
      <w:r w:rsidR="000A3007">
        <w:rPr>
          <w:rFonts w:ascii="Times New Roman" w:hAnsi="Times New Roman"/>
          <w:color w:val="000000" w:themeColor="text1"/>
          <w:szCs w:val="24"/>
        </w:rPr>
        <w:t xml:space="preserve">  The section 90.175(b)(4) requirement </w:t>
      </w:r>
      <w:r w:rsidRPr="009D38D9" w:rsidR="000A3007">
        <w:rPr>
          <w:sz w:val="22"/>
          <w:szCs w:val="22"/>
        </w:rPr>
        <w:t>will be used by Commission personnel in evaluating the applicant’s need for such frequencies and to minimize the interference potential to other stations operating on the proposed frequencies</w:t>
      </w:r>
      <w:r w:rsidR="000A3007">
        <w:rPr>
          <w:sz w:val="22"/>
          <w:szCs w:val="22"/>
        </w:rPr>
        <w:t>.</w:t>
      </w:r>
    </w:p>
    <w:p w:rsidRPr="00C206C5" w:rsidR="00FE0A01" w:rsidP="00CD36BA" w:rsidRDefault="00FE0A01" w14:paraId="0A19FE3A" w14:textId="77777777">
      <w:pPr>
        <w:pStyle w:val="BodyTextIndent"/>
        <w:tabs>
          <w:tab w:val="left" w:pos="90"/>
          <w:tab w:val="left" w:pos="360"/>
          <w:tab w:val="left" w:pos="9360"/>
        </w:tabs>
        <w:ind w:left="-360" w:firstLine="0"/>
        <w:jc w:val="both"/>
        <w:rPr>
          <w:rFonts w:ascii="Times New Roman" w:hAnsi="Times New Roman"/>
          <w:color w:val="000000" w:themeColor="text1"/>
          <w:szCs w:val="24"/>
        </w:rPr>
      </w:pPr>
      <w:r w:rsidRPr="00C206C5">
        <w:rPr>
          <w:rFonts w:ascii="Times New Roman" w:hAnsi="Times New Roman"/>
          <w:color w:val="000000" w:themeColor="text1"/>
          <w:szCs w:val="24"/>
        </w:rPr>
        <w:t>For third party disclosure requirements, approximately 40% of the PLMRS respondents are required to comply with frequency coordination requirements.  There is no additional time burden placed on the respondent for this third</w:t>
      </w:r>
      <w:r w:rsidRPr="00C206C5" w:rsidR="00F63BBB">
        <w:rPr>
          <w:rFonts w:ascii="Times New Roman" w:hAnsi="Times New Roman"/>
          <w:color w:val="000000" w:themeColor="text1"/>
          <w:szCs w:val="24"/>
        </w:rPr>
        <w:t>-</w:t>
      </w:r>
      <w:r w:rsidRPr="00C206C5">
        <w:rPr>
          <w:rFonts w:ascii="Times New Roman" w:hAnsi="Times New Roman"/>
          <w:color w:val="000000" w:themeColor="text1"/>
          <w:szCs w:val="24"/>
        </w:rPr>
        <w:t xml:space="preserve">party requirement.  Again, information about individuals or households, and the use(s) and disclosure of this information is governed by the requirements of system of records, FCC/WTB-1. </w:t>
      </w:r>
      <w:r w:rsidRPr="00C206C5" w:rsidR="004318D2">
        <w:rPr>
          <w:rFonts w:ascii="Times New Roman" w:hAnsi="Times New Roman"/>
          <w:color w:val="000000" w:themeColor="text1"/>
          <w:szCs w:val="24"/>
        </w:rPr>
        <w:t xml:space="preserve"> </w:t>
      </w:r>
      <w:r w:rsidRPr="00C206C5">
        <w:rPr>
          <w:rFonts w:ascii="Times New Roman" w:hAnsi="Times New Roman"/>
          <w:color w:val="000000" w:themeColor="text1"/>
          <w:szCs w:val="24"/>
        </w:rPr>
        <w:t xml:space="preserve">All information </w:t>
      </w:r>
      <w:r w:rsidRPr="00C206C5" w:rsidR="004318D2">
        <w:rPr>
          <w:rFonts w:ascii="Times New Roman" w:hAnsi="Times New Roman"/>
          <w:color w:val="000000" w:themeColor="text1"/>
          <w:szCs w:val="24"/>
        </w:rPr>
        <w:t xml:space="preserve">collected </w:t>
      </w:r>
      <w:r w:rsidRPr="00C206C5">
        <w:rPr>
          <w:rFonts w:ascii="Times New Roman" w:hAnsi="Times New Roman"/>
          <w:color w:val="000000" w:themeColor="text1"/>
          <w:szCs w:val="24"/>
        </w:rPr>
        <w:t>is publicly available</w:t>
      </w:r>
      <w:r w:rsidRPr="00C206C5" w:rsidR="00996DF9">
        <w:rPr>
          <w:rFonts w:ascii="Times New Roman" w:hAnsi="Times New Roman"/>
          <w:color w:val="000000" w:themeColor="text1"/>
          <w:szCs w:val="24"/>
        </w:rPr>
        <w:t>.</w:t>
      </w:r>
    </w:p>
    <w:p w:rsidRPr="00C206C5" w:rsidR="00BB52D0" w:rsidP="003678D7" w:rsidRDefault="00BB52D0" w14:paraId="223ABC62" w14:textId="77777777">
      <w:pPr>
        <w:tabs>
          <w:tab w:val="left" w:pos="90"/>
          <w:tab w:val="left" w:pos="9360"/>
        </w:tabs>
        <w:suppressAutoHyphens/>
        <w:jc w:val="both"/>
        <w:rPr>
          <w:color w:val="000000" w:themeColor="text1"/>
          <w:szCs w:val="24"/>
        </w:rPr>
      </w:pPr>
    </w:p>
    <w:p w:rsidRPr="00C206C5" w:rsidR="0063141B" w:rsidP="008C5D45" w:rsidRDefault="0063141B" w14:paraId="4259AFC0" w14:textId="084F25C7">
      <w:pPr>
        <w:tabs>
          <w:tab w:val="left" w:pos="90"/>
          <w:tab w:val="left" w:pos="360"/>
          <w:tab w:val="left" w:pos="9360"/>
        </w:tabs>
        <w:suppressAutoHyphens/>
        <w:ind w:left="-360" w:hanging="360"/>
        <w:jc w:val="both"/>
        <w:rPr>
          <w:color w:val="000000" w:themeColor="text1"/>
          <w:szCs w:val="24"/>
        </w:rPr>
      </w:pPr>
      <w:r w:rsidRPr="00C206C5">
        <w:rPr>
          <w:color w:val="000000" w:themeColor="text1"/>
          <w:szCs w:val="24"/>
        </w:rPr>
        <w:t xml:space="preserve">3. </w:t>
      </w:r>
      <w:r w:rsidRPr="00C206C5" w:rsidR="00F547C0">
        <w:rPr>
          <w:color w:val="000000" w:themeColor="text1"/>
          <w:szCs w:val="24"/>
        </w:rPr>
        <w:t xml:space="preserve"> </w:t>
      </w:r>
      <w:r w:rsidRPr="00C206C5" w:rsidR="00F727DA">
        <w:rPr>
          <w:color w:val="000000" w:themeColor="text1"/>
          <w:szCs w:val="24"/>
        </w:rPr>
        <w:t xml:space="preserve"> </w:t>
      </w:r>
      <w:r w:rsidRPr="00C206C5">
        <w:rPr>
          <w:color w:val="000000" w:themeColor="text1"/>
          <w:szCs w:val="24"/>
        </w:rPr>
        <w:t xml:space="preserve">Electronic filing is mandatory for certain categories of </w:t>
      </w:r>
      <w:r w:rsidRPr="00C206C5" w:rsidR="002560B8">
        <w:rPr>
          <w:color w:val="000000" w:themeColor="text1"/>
          <w:szCs w:val="24"/>
        </w:rPr>
        <w:t>respondents</w:t>
      </w:r>
      <w:r w:rsidRPr="00C206C5">
        <w:rPr>
          <w:color w:val="000000" w:themeColor="text1"/>
          <w:szCs w:val="24"/>
        </w:rPr>
        <w:t xml:space="preserve"> </w:t>
      </w:r>
      <w:r w:rsidRPr="00C206C5" w:rsidR="00996DF9">
        <w:rPr>
          <w:color w:val="000000" w:themeColor="text1"/>
          <w:szCs w:val="24"/>
        </w:rPr>
        <w:t xml:space="preserve">specified in 47 CFR §1.913 </w:t>
      </w:r>
      <w:r w:rsidRPr="00C206C5">
        <w:rPr>
          <w:color w:val="000000" w:themeColor="text1"/>
          <w:szCs w:val="24"/>
        </w:rPr>
        <w:t xml:space="preserve">and others have the choice of filing manually or electronically.  </w:t>
      </w:r>
      <w:r w:rsidRPr="00C206C5" w:rsidR="00811885">
        <w:rPr>
          <w:color w:val="000000" w:themeColor="text1"/>
          <w:szCs w:val="24"/>
        </w:rPr>
        <w:t>Approximately 98% of all filings are submitted electronically.</w:t>
      </w:r>
      <w:r w:rsidR="000A3007">
        <w:rPr>
          <w:color w:val="000000" w:themeColor="text1"/>
          <w:szCs w:val="24"/>
        </w:rPr>
        <w:t xml:space="preserve">  </w:t>
      </w:r>
      <w:r w:rsidRPr="009D38D9" w:rsidR="000A3007">
        <w:rPr>
          <w:sz w:val="22"/>
          <w:szCs w:val="22"/>
        </w:rPr>
        <w:t>Prior to finalizing rulemakings</w:t>
      </w:r>
      <w:r w:rsidR="000A3007">
        <w:rPr>
          <w:sz w:val="22"/>
          <w:szCs w:val="22"/>
        </w:rPr>
        <w:t>,</w:t>
      </w:r>
      <w:r w:rsidRPr="009D38D9" w:rsidR="000A3007">
        <w:rPr>
          <w:sz w:val="22"/>
          <w:szCs w:val="22"/>
        </w:rPr>
        <w:t xml:space="preserve"> the </w:t>
      </w:r>
      <w:r w:rsidR="00705312">
        <w:rPr>
          <w:sz w:val="22"/>
          <w:szCs w:val="22"/>
        </w:rPr>
        <w:t xml:space="preserve">Commission </w:t>
      </w:r>
      <w:r w:rsidRPr="009D38D9" w:rsidR="000A3007">
        <w:rPr>
          <w:sz w:val="22"/>
          <w:szCs w:val="22"/>
        </w:rPr>
        <w:t>conducts an analysis to ensure that improved information technology cannot be used to reduce the burden on the public.  This analysis considers the possibility of obtaining and/or computer-generating the required data from existing data bases in the Commission or other federal agencies.</w:t>
      </w:r>
    </w:p>
    <w:p w:rsidRPr="00C206C5" w:rsidR="0063141B" w:rsidP="00CD36BA" w:rsidRDefault="0063141B" w14:paraId="05B842C7" w14:textId="77777777">
      <w:pPr>
        <w:tabs>
          <w:tab w:val="left" w:pos="90"/>
          <w:tab w:val="left" w:pos="9360"/>
        </w:tabs>
        <w:suppressAutoHyphens/>
        <w:ind w:left="-360"/>
        <w:jc w:val="both"/>
        <w:rPr>
          <w:color w:val="000000" w:themeColor="text1"/>
          <w:szCs w:val="24"/>
        </w:rPr>
      </w:pPr>
    </w:p>
    <w:p w:rsidRPr="00C206C5" w:rsidR="0063141B" w:rsidP="00CD36BA" w:rsidRDefault="0063141B" w14:paraId="08E68099" w14:textId="77777777">
      <w:pPr>
        <w:tabs>
          <w:tab w:val="left" w:pos="90"/>
          <w:tab w:val="left" w:pos="9360"/>
        </w:tabs>
        <w:suppressAutoHyphens/>
        <w:ind w:left="-360" w:hanging="360"/>
        <w:jc w:val="both"/>
        <w:rPr>
          <w:color w:val="000000" w:themeColor="text1"/>
          <w:szCs w:val="24"/>
        </w:rPr>
      </w:pPr>
      <w:r w:rsidRPr="00C206C5">
        <w:rPr>
          <w:color w:val="000000" w:themeColor="text1"/>
          <w:szCs w:val="24"/>
        </w:rPr>
        <w:t xml:space="preserve">4. </w:t>
      </w:r>
      <w:r w:rsidRPr="00C206C5" w:rsidR="00770B25">
        <w:rPr>
          <w:color w:val="000000" w:themeColor="text1"/>
          <w:szCs w:val="24"/>
        </w:rPr>
        <w:t xml:space="preserve"> </w:t>
      </w:r>
      <w:r w:rsidRPr="00C206C5">
        <w:rPr>
          <w:color w:val="000000" w:themeColor="text1"/>
          <w:szCs w:val="24"/>
        </w:rPr>
        <w:t xml:space="preserve">This agency does not impose a similar information collection </w:t>
      </w:r>
      <w:r w:rsidRPr="00C206C5" w:rsidR="001B4062">
        <w:rPr>
          <w:color w:val="000000" w:themeColor="text1"/>
          <w:szCs w:val="24"/>
        </w:rPr>
        <w:t>on the respondents.  There are</w:t>
      </w:r>
      <w:r w:rsidRPr="00C206C5">
        <w:rPr>
          <w:color w:val="000000" w:themeColor="text1"/>
          <w:szCs w:val="24"/>
        </w:rPr>
        <w:t xml:space="preserve"> no similar data available. </w:t>
      </w:r>
    </w:p>
    <w:p w:rsidRPr="00C206C5" w:rsidR="0063141B" w:rsidP="00CD36BA" w:rsidRDefault="0063141B" w14:paraId="0DE018D2" w14:textId="77777777">
      <w:pPr>
        <w:tabs>
          <w:tab w:val="left" w:pos="90"/>
          <w:tab w:val="left" w:pos="9360"/>
        </w:tabs>
        <w:suppressAutoHyphens/>
        <w:ind w:left="-360"/>
        <w:jc w:val="both"/>
        <w:rPr>
          <w:color w:val="000000" w:themeColor="text1"/>
          <w:szCs w:val="24"/>
        </w:rPr>
      </w:pPr>
    </w:p>
    <w:p w:rsidRPr="00C206C5" w:rsidR="0063141B" w:rsidP="001D715B" w:rsidRDefault="0063141B" w14:paraId="6924DC58" w14:textId="77777777">
      <w:pPr>
        <w:tabs>
          <w:tab w:val="left" w:pos="90"/>
          <w:tab w:val="left" w:pos="9360"/>
        </w:tabs>
        <w:suppressAutoHyphens/>
        <w:ind w:left="-360" w:hanging="360"/>
        <w:jc w:val="both"/>
        <w:rPr>
          <w:color w:val="000000" w:themeColor="text1"/>
          <w:szCs w:val="24"/>
        </w:rPr>
      </w:pPr>
      <w:r w:rsidRPr="00C206C5">
        <w:rPr>
          <w:color w:val="000000" w:themeColor="text1"/>
          <w:szCs w:val="24"/>
        </w:rPr>
        <w:t xml:space="preserve">5.  In conformance with the Paperwork Reduction Act of 1995, the Commission is </w:t>
      </w:r>
      <w:proofErr w:type="gramStart"/>
      <w:r w:rsidRPr="00C206C5">
        <w:rPr>
          <w:color w:val="000000" w:themeColor="text1"/>
          <w:szCs w:val="24"/>
        </w:rPr>
        <w:t>making an effort</w:t>
      </w:r>
      <w:proofErr w:type="gramEnd"/>
      <w:r w:rsidRPr="00C206C5">
        <w:rPr>
          <w:color w:val="000000" w:themeColor="text1"/>
          <w:szCs w:val="24"/>
        </w:rPr>
        <w:t xml:space="preserve"> to </w:t>
      </w:r>
      <w:r w:rsidRPr="00C206C5" w:rsidR="001D715B">
        <w:rPr>
          <w:color w:val="000000" w:themeColor="text1"/>
          <w:szCs w:val="24"/>
        </w:rPr>
        <w:t xml:space="preserve">   </w:t>
      </w:r>
      <w:r w:rsidRPr="00C206C5">
        <w:rPr>
          <w:color w:val="000000" w:themeColor="text1"/>
          <w:szCs w:val="24"/>
        </w:rPr>
        <w:t>minimize the burden on all respondents, regardless of size.  The Commission has limited the information requirements to th</w:t>
      </w:r>
      <w:r w:rsidRPr="00C206C5" w:rsidR="00781AEB">
        <w:rPr>
          <w:color w:val="000000" w:themeColor="text1"/>
          <w:szCs w:val="24"/>
        </w:rPr>
        <w:t xml:space="preserve">ose </w:t>
      </w:r>
      <w:r w:rsidRPr="00C206C5">
        <w:rPr>
          <w:color w:val="000000" w:themeColor="text1"/>
          <w:szCs w:val="24"/>
        </w:rPr>
        <w:t>absolutely necessary</w:t>
      </w:r>
      <w:r w:rsidRPr="00C206C5" w:rsidR="00781AEB">
        <w:rPr>
          <w:color w:val="000000" w:themeColor="text1"/>
          <w:szCs w:val="24"/>
        </w:rPr>
        <w:t xml:space="preserve"> for evaluating and processing each</w:t>
      </w:r>
      <w:r w:rsidRPr="00C206C5">
        <w:rPr>
          <w:color w:val="000000" w:themeColor="text1"/>
          <w:szCs w:val="24"/>
        </w:rPr>
        <w:t xml:space="preserve"> </w:t>
      </w:r>
      <w:r w:rsidRPr="00C206C5" w:rsidR="005A73FD">
        <w:rPr>
          <w:color w:val="000000" w:themeColor="text1"/>
          <w:szCs w:val="24"/>
        </w:rPr>
        <w:t>a</w:t>
      </w:r>
      <w:r w:rsidRPr="00C206C5">
        <w:rPr>
          <w:color w:val="000000" w:themeColor="text1"/>
          <w:szCs w:val="24"/>
        </w:rPr>
        <w:t xml:space="preserve">pplication </w:t>
      </w:r>
      <w:r w:rsidRPr="00C206C5">
        <w:rPr>
          <w:color w:val="000000" w:themeColor="text1"/>
          <w:szCs w:val="24"/>
        </w:rPr>
        <w:lastRenderedPageBreak/>
        <w:t>and to deter possible abuses of the processes.</w:t>
      </w:r>
    </w:p>
    <w:p w:rsidRPr="00C206C5" w:rsidR="0063141B" w:rsidP="00CD36BA" w:rsidRDefault="0063141B" w14:paraId="462614AE" w14:textId="77777777">
      <w:pPr>
        <w:tabs>
          <w:tab w:val="left" w:pos="90"/>
          <w:tab w:val="left" w:pos="9360"/>
        </w:tabs>
        <w:suppressAutoHyphens/>
        <w:ind w:left="-360"/>
        <w:jc w:val="both"/>
        <w:rPr>
          <w:color w:val="000000" w:themeColor="text1"/>
          <w:szCs w:val="24"/>
        </w:rPr>
      </w:pPr>
    </w:p>
    <w:p w:rsidRPr="00C206C5" w:rsidR="0063141B" w:rsidP="001D715B" w:rsidRDefault="0063141B" w14:paraId="3DF42297" w14:textId="77777777">
      <w:pPr>
        <w:tabs>
          <w:tab w:val="left" w:pos="90"/>
          <w:tab w:val="left" w:pos="360"/>
          <w:tab w:val="left" w:pos="9360"/>
        </w:tabs>
        <w:suppressAutoHyphens/>
        <w:ind w:left="-360" w:hanging="360"/>
        <w:jc w:val="both"/>
        <w:rPr>
          <w:color w:val="000000" w:themeColor="text1"/>
          <w:szCs w:val="24"/>
        </w:rPr>
      </w:pPr>
      <w:r w:rsidRPr="00C206C5">
        <w:rPr>
          <w:color w:val="000000" w:themeColor="text1"/>
          <w:szCs w:val="24"/>
        </w:rPr>
        <w:t>6.  Generally, the frequency of filing</w:t>
      </w:r>
      <w:r w:rsidRPr="00C206C5" w:rsidR="00781AEB">
        <w:rPr>
          <w:color w:val="000000" w:themeColor="text1"/>
          <w:szCs w:val="24"/>
        </w:rPr>
        <w:t xml:space="preserve"> FCC </w:t>
      </w:r>
      <w:r w:rsidRPr="00C206C5" w:rsidR="008C5D45">
        <w:rPr>
          <w:color w:val="000000" w:themeColor="text1"/>
          <w:szCs w:val="24"/>
        </w:rPr>
        <w:t xml:space="preserve">Form </w:t>
      </w:r>
      <w:r w:rsidRPr="00C206C5" w:rsidR="00781AEB">
        <w:rPr>
          <w:color w:val="000000" w:themeColor="text1"/>
          <w:szCs w:val="24"/>
        </w:rPr>
        <w:t>601</w:t>
      </w:r>
      <w:r w:rsidRPr="00C206C5">
        <w:rPr>
          <w:color w:val="000000" w:themeColor="text1"/>
          <w:szCs w:val="24"/>
        </w:rPr>
        <w:t xml:space="preserve"> is determined by the applicant and/or licensee</w:t>
      </w:r>
      <w:r w:rsidRPr="00C206C5" w:rsidR="00B76B92">
        <w:rPr>
          <w:color w:val="000000" w:themeColor="text1"/>
          <w:szCs w:val="24"/>
        </w:rPr>
        <w:t xml:space="preserve"> and t</w:t>
      </w:r>
      <w:r w:rsidRPr="00C206C5" w:rsidR="00B76B92">
        <w:rPr>
          <w:color w:val="000000" w:themeColor="text1"/>
          <w:szCs w:val="24"/>
          <w:shd w:val="clear" w:color="auto" w:fill="FFFFFF"/>
        </w:rPr>
        <w:t xml:space="preserve">he frequency of response can be </w:t>
      </w:r>
      <w:r w:rsidRPr="00C206C5" w:rsidR="00B76B92">
        <w:rPr>
          <w:color w:val="000000" w:themeColor="text1"/>
          <w:szCs w:val="24"/>
        </w:rPr>
        <w:t>on occasion or periodic</w:t>
      </w:r>
      <w:r w:rsidRPr="00C206C5">
        <w:rPr>
          <w:color w:val="000000" w:themeColor="text1"/>
          <w:szCs w:val="24"/>
        </w:rPr>
        <w:t>.</w:t>
      </w:r>
    </w:p>
    <w:p w:rsidRPr="00C206C5" w:rsidR="0063141B" w:rsidP="00CD36BA" w:rsidRDefault="0063141B" w14:paraId="59DFCA5A" w14:textId="77777777">
      <w:pPr>
        <w:tabs>
          <w:tab w:val="left" w:pos="90"/>
          <w:tab w:val="left" w:pos="9360"/>
        </w:tabs>
        <w:suppressAutoHyphens/>
        <w:ind w:left="-360"/>
        <w:jc w:val="both"/>
        <w:rPr>
          <w:color w:val="000000" w:themeColor="text1"/>
          <w:szCs w:val="24"/>
        </w:rPr>
      </w:pPr>
    </w:p>
    <w:p w:rsidRPr="00C206C5" w:rsidR="0063141B" w:rsidP="00CD36BA" w:rsidRDefault="0063141B" w14:paraId="7962D42E" w14:textId="77777777">
      <w:pPr>
        <w:tabs>
          <w:tab w:val="left" w:pos="90"/>
          <w:tab w:val="left" w:pos="9360"/>
        </w:tabs>
        <w:suppressAutoHyphens/>
        <w:ind w:left="-720"/>
        <w:jc w:val="both"/>
        <w:rPr>
          <w:color w:val="000000" w:themeColor="text1"/>
          <w:szCs w:val="24"/>
        </w:rPr>
      </w:pPr>
      <w:r w:rsidRPr="00C206C5">
        <w:rPr>
          <w:color w:val="000000" w:themeColor="text1"/>
          <w:szCs w:val="24"/>
        </w:rPr>
        <w:t xml:space="preserve">7.  </w:t>
      </w:r>
      <w:r w:rsidRPr="00C206C5" w:rsidR="00781AEB">
        <w:rPr>
          <w:color w:val="000000" w:themeColor="text1"/>
          <w:szCs w:val="24"/>
        </w:rPr>
        <w:t xml:space="preserve"> </w:t>
      </w:r>
      <w:r w:rsidRPr="00C206C5">
        <w:rPr>
          <w:color w:val="000000" w:themeColor="text1"/>
          <w:szCs w:val="24"/>
        </w:rPr>
        <w:t xml:space="preserve">This collection of information is consistent with the guidelines in 5 CFR § 1320.  </w:t>
      </w:r>
    </w:p>
    <w:p w:rsidRPr="00C206C5" w:rsidR="00EC74EF" w:rsidP="00CD36BA" w:rsidRDefault="00EC74EF" w14:paraId="554A372B" w14:textId="77777777">
      <w:pPr>
        <w:tabs>
          <w:tab w:val="left" w:pos="90"/>
          <w:tab w:val="left" w:pos="9360"/>
        </w:tabs>
        <w:suppressAutoHyphens/>
        <w:ind w:left="-720"/>
        <w:jc w:val="both"/>
        <w:rPr>
          <w:color w:val="000000" w:themeColor="text1"/>
          <w:szCs w:val="24"/>
        </w:rPr>
      </w:pPr>
    </w:p>
    <w:p w:rsidR="00C41487" w:rsidP="002D55D1" w:rsidRDefault="00C41487" w14:paraId="07A06F13" w14:textId="054B4AF2">
      <w:pPr>
        <w:tabs>
          <w:tab w:val="left" w:pos="90"/>
          <w:tab w:val="left" w:pos="9360"/>
        </w:tabs>
        <w:suppressAutoHyphens/>
        <w:ind w:left="-360" w:hanging="360"/>
        <w:rPr>
          <w:color w:val="000000" w:themeColor="text1"/>
          <w:szCs w:val="24"/>
        </w:rPr>
      </w:pPr>
      <w:r>
        <w:rPr>
          <w:color w:val="000000" w:themeColor="text1"/>
          <w:szCs w:val="24"/>
        </w:rPr>
        <w:t xml:space="preserve">8.  </w:t>
      </w:r>
      <w:r w:rsidRPr="00C41487" w:rsidR="00655645">
        <w:rPr>
          <w:color w:val="000000" w:themeColor="text1"/>
          <w:szCs w:val="24"/>
        </w:rPr>
        <w:t>T</w:t>
      </w:r>
      <w:r w:rsidRPr="00C41487" w:rsidR="00996DF9">
        <w:rPr>
          <w:color w:val="000000" w:themeColor="text1"/>
          <w:szCs w:val="24"/>
        </w:rPr>
        <w:t xml:space="preserve">he Commission </w:t>
      </w:r>
      <w:r w:rsidRPr="00C41487" w:rsidR="0024653B">
        <w:rPr>
          <w:color w:val="000000" w:themeColor="text1"/>
          <w:szCs w:val="24"/>
        </w:rPr>
        <w:t>published</w:t>
      </w:r>
      <w:r w:rsidRPr="00C41487" w:rsidR="00996DF9">
        <w:rPr>
          <w:color w:val="000000" w:themeColor="text1"/>
          <w:szCs w:val="24"/>
        </w:rPr>
        <w:t xml:space="preserve"> a 60-day </w:t>
      </w:r>
      <w:r w:rsidRPr="00C41487" w:rsidR="0024653B">
        <w:rPr>
          <w:color w:val="000000" w:themeColor="text1"/>
          <w:szCs w:val="24"/>
        </w:rPr>
        <w:t>notice</w:t>
      </w:r>
      <w:r w:rsidRPr="00C41487" w:rsidR="0041098E">
        <w:rPr>
          <w:color w:val="000000" w:themeColor="text1"/>
          <w:szCs w:val="24"/>
        </w:rPr>
        <w:t xml:space="preserve"> for the WRS renewal and discontinuance requirements</w:t>
      </w:r>
      <w:r w:rsidR="00557094">
        <w:rPr>
          <w:color w:val="000000" w:themeColor="text1"/>
          <w:szCs w:val="24"/>
        </w:rPr>
        <w:t xml:space="preserve"> </w:t>
      </w:r>
      <w:r w:rsidRPr="00C41487">
        <w:rPr>
          <w:color w:val="000000" w:themeColor="text1"/>
          <w:szCs w:val="24"/>
        </w:rPr>
        <w:t xml:space="preserve">that </w:t>
      </w:r>
      <w:r w:rsidRPr="00C41487" w:rsidR="00996DF9">
        <w:rPr>
          <w:color w:val="000000" w:themeColor="text1"/>
          <w:szCs w:val="24"/>
        </w:rPr>
        <w:t>appeared in the Federal Register on</w:t>
      </w:r>
      <w:r w:rsidRPr="00C41487" w:rsidR="00343617">
        <w:rPr>
          <w:color w:val="000000" w:themeColor="text1"/>
          <w:szCs w:val="24"/>
        </w:rPr>
        <w:t xml:space="preserve"> </w:t>
      </w:r>
      <w:r w:rsidRPr="00C41487" w:rsidR="009B6D1B">
        <w:rPr>
          <w:color w:val="000000" w:themeColor="text1"/>
          <w:szCs w:val="24"/>
        </w:rPr>
        <w:t xml:space="preserve">February </w:t>
      </w:r>
      <w:r w:rsidRPr="00C41487" w:rsidR="00C206C5">
        <w:rPr>
          <w:color w:val="000000" w:themeColor="text1"/>
          <w:szCs w:val="24"/>
        </w:rPr>
        <w:t>6, 2020</w:t>
      </w:r>
      <w:r w:rsidRPr="00C41487" w:rsidR="00F63BBB">
        <w:rPr>
          <w:color w:val="000000" w:themeColor="text1"/>
          <w:szCs w:val="24"/>
        </w:rPr>
        <w:t>, 8</w:t>
      </w:r>
      <w:r w:rsidRPr="00C41487" w:rsidR="00C206C5">
        <w:rPr>
          <w:color w:val="000000" w:themeColor="text1"/>
          <w:szCs w:val="24"/>
        </w:rPr>
        <w:t>5</w:t>
      </w:r>
      <w:r w:rsidRPr="00C41487" w:rsidR="00F63BBB">
        <w:rPr>
          <w:color w:val="000000" w:themeColor="text1"/>
          <w:szCs w:val="24"/>
        </w:rPr>
        <w:t xml:space="preserve"> </w:t>
      </w:r>
      <w:r w:rsidRPr="00C41487" w:rsidR="00B015BA">
        <w:rPr>
          <w:color w:val="000000" w:themeColor="text1"/>
          <w:szCs w:val="24"/>
        </w:rPr>
        <w:t>FR</w:t>
      </w:r>
      <w:r w:rsidRPr="00C41487" w:rsidR="00F63BBB">
        <w:rPr>
          <w:color w:val="000000" w:themeColor="text1"/>
          <w:szCs w:val="24"/>
        </w:rPr>
        <w:t xml:space="preserve"> </w:t>
      </w:r>
      <w:r w:rsidRPr="00C41487" w:rsidR="00C206C5">
        <w:rPr>
          <w:color w:val="000000" w:themeColor="text1"/>
          <w:szCs w:val="24"/>
        </w:rPr>
        <w:t>6948</w:t>
      </w:r>
      <w:r w:rsidRPr="00C41487" w:rsidR="008C2539">
        <w:rPr>
          <w:color w:val="000000" w:themeColor="text1"/>
          <w:szCs w:val="24"/>
        </w:rPr>
        <w:t>,</w:t>
      </w:r>
      <w:r w:rsidRPr="00C41487" w:rsidR="00B472FB">
        <w:rPr>
          <w:color w:val="000000" w:themeColor="text1"/>
          <w:szCs w:val="24"/>
        </w:rPr>
        <w:t xml:space="preserve"> </w:t>
      </w:r>
      <w:r w:rsidRPr="00C41487" w:rsidR="006776B4">
        <w:rPr>
          <w:color w:val="000000" w:themeColor="text1"/>
          <w:szCs w:val="24"/>
        </w:rPr>
        <w:t xml:space="preserve">seeking comment from the public on the information collection requirements contained in this </w:t>
      </w:r>
      <w:r w:rsidRPr="00C41487" w:rsidR="0041098E">
        <w:rPr>
          <w:color w:val="000000" w:themeColor="text1"/>
          <w:szCs w:val="24"/>
        </w:rPr>
        <w:t xml:space="preserve">aspect of the </w:t>
      </w:r>
      <w:r w:rsidRPr="00C41487" w:rsidR="006776B4">
        <w:rPr>
          <w:color w:val="000000" w:themeColor="text1"/>
          <w:szCs w:val="24"/>
        </w:rPr>
        <w:t>collection</w:t>
      </w:r>
      <w:r w:rsidRPr="00C41487" w:rsidR="00E414E1">
        <w:rPr>
          <w:color w:val="000000" w:themeColor="text1"/>
          <w:szCs w:val="24"/>
        </w:rPr>
        <w:t>.</w:t>
      </w:r>
      <w:r w:rsidRPr="00C41487">
        <w:rPr>
          <w:color w:val="000000" w:themeColor="text1"/>
          <w:szCs w:val="24"/>
        </w:rPr>
        <w:t xml:space="preserve">  </w:t>
      </w:r>
      <w:proofErr w:type="spellStart"/>
      <w:r w:rsidRPr="00C41487">
        <w:rPr>
          <w:color w:val="000000" w:themeColor="text1"/>
          <w:szCs w:val="24"/>
        </w:rPr>
        <w:t>Sensus</w:t>
      </w:r>
      <w:proofErr w:type="spellEnd"/>
      <w:r w:rsidRPr="00C41487">
        <w:rPr>
          <w:color w:val="000000" w:themeColor="text1"/>
          <w:szCs w:val="24"/>
        </w:rPr>
        <w:t xml:space="preserve"> USA, Inc., and its wholly-owned subsidiary, </w:t>
      </w:r>
      <w:proofErr w:type="spellStart"/>
      <w:r w:rsidRPr="00C41487">
        <w:rPr>
          <w:color w:val="000000" w:themeColor="text1"/>
          <w:szCs w:val="24"/>
        </w:rPr>
        <w:t>Sensus</w:t>
      </w:r>
      <w:proofErr w:type="spellEnd"/>
      <w:r w:rsidRPr="00C41487">
        <w:rPr>
          <w:color w:val="000000" w:themeColor="text1"/>
          <w:szCs w:val="24"/>
        </w:rPr>
        <w:t xml:space="preserve"> Spectrum LLC (collectively, </w:t>
      </w:r>
      <w:proofErr w:type="spellStart"/>
      <w:r w:rsidRPr="00C41487">
        <w:rPr>
          <w:color w:val="000000" w:themeColor="text1"/>
          <w:szCs w:val="24"/>
        </w:rPr>
        <w:t>Sensus</w:t>
      </w:r>
      <w:proofErr w:type="spellEnd"/>
      <w:r w:rsidRPr="00C41487">
        <w:rPr>
          <w:color w:val="000000" w:themeColor="text1"/>
          <w:szCs w:val="24"/>
        </w:rPr>
        <w:t xml:space="preserve">), and American Messaging Services, LLC (American Messaging) filed separate comments on April 6, 2020, both essentially arguing that the Commission has understated or not adequately assessed the burden associated with preparing a Form 601 license renewal application under the revised WRS renewal rules, and offering what they claim to be a less burdensome alternative that would satisfy the Commission’s needs.   The </w:t>
      </w:r>
      <w:proofErr w:type="spellStart"/>
      <w:r w:rsidRPr="00C41487">
        <w:rPr>
          <w:color w:val="000000" w:themeColor="text1"/>
          <w:szCs w:val="24"/>
        </w:rPr>
        <w:t>Sensus</w:t>
      </w:r>
      <w:proofErr w:type="spellEnd"/>
      <w:r w:rsidRPr="00C41487">
        <w:rPr>
          <w:color w:val="000000" w:themeColor="text1"/>
          <w:szCs w:val="24"/>
        </w:rPr>
        <w:t xml:space="preserve"> and American Messaging pleadings largely reiterate arguments they made in pending petitions for reconsideration of the Commission’s 2017 WRS Reform Second Report and Order regarding a regulatory structure they propose to substitute for the one the Commission adopted in 2017.  In that order, the Commission made clear that it sought to ensure, consistent with its obligations under the Communications Act of 1934, that once licensed and constructed, licensed wireless spectrum is used consistently over a license term.  The Commission specifically concluded that the renewal paradigm it adopted was in the public interest and that the benefits of this paradigm outweighed any likely costs, such as those cited by </w:t>
      </w:r>
      <w:proofErr w:type="spellStart"/>
      <w:r w:rsidRPr="00C41487">
        <w:rPr>
          <w:color w:val="000000" w:themeColor="text1"/>
          <w:szCs w:val="24"/>
        </w:rPr>
        <w:t>Sensus</w:t>
      </w:r>
      <w:proofErr w:type="spellEnd"/>
      <w:r w:rsidRPr="00C41487">
        <w:rPr>
          <w:color w:val="000000" w:themeColor="text1"/>
          <w:szCs w:val="24"/>
        </w:rPr>
        <w:t xml:space="preserve"> and American Messaging in their comments on the proposed information collection.  The burdens to which </w:t>
      </w:r>
      <w:proofErr w:type="spellStart"/>
      <w:r w:rsidRPr="00C41487">
        <w:rPr>
          <w:color w:val="000000" w:themeColor="text1"/>
          <w:szCs w:val="24"/>
        </w:rPr>
        <w:t>Sensus</w:t>
      </w:r>
      <w:proofErr w:type="spellEnd"/>
      <w:r w:rsidRPr="00C41487">
        <w:rPr>
          <w:color w:val="000000" w:themeColor="text1"/>
          <w:szCs w:val="24"/>
        </w:rPr>
        <w:t xml:space="preserve"> and American Messaging are objecting are obligations imposed by the Commission’s rules and policies regarding the grant, holding, and operation under wireless licenses and the usage of scarce wireless spectrum.  These burdens do not stem from the Form 601 revisions.  As previously noted, the Commission expects that the vast majority of licensees will be able to submit renewal applications that only involve making certain required certifications. </w:t>
      </w:r>
    </w:p>
    <w:p w:rsidR="00D7682B" w:rsidP="002D55D1" w:rsidRDefault="00D7682B" w14:paraId="3486E4DB" w14:textId="102B2BCE">
      <w:pPr>
        <w:tabs>
          <w:tab w:val="left" w:pos="90"/>
          <w:tab w:val="left" w:pos="9360"/>
        </w:tabs>
        <w:suppressAutoHyphens/>
        <w:ind w:left="-360" w:hanging="360"/>
        <w:rPr>
          <w:color w:val="000000" w:themeColor="text1"/>
          <w:szCs w:val="24"/>
        </w:rPr>
      </w:pPr>
    </w:p>
    <w:p w:rsidR="00D7682B" w:rsidP="00550B8A" w:rsidRDefault="00D7682B" w14:paraId="633C3608" w14:textId="1DB35167">
      <w:pPr>
        <w:tabs>
          <w:tab w:val="left" w:pos="90"/>
          <w:tab w:val="left" w:pos="9360"/>
        </w:tabs>
        <w:suppressAutoHyphens/>
        <w:ind w:left="-360"/>
        <w:rPr>
          <w:color w:val="000000" w:themeColor="text1"/>
          <w:szCs w:val="24"/>
        </w:rPr>
      </w:pPr>
      <w:r>
        <w:rPr>
          <w:color w:val="000000" w:themeColor="text1"/>
          <w:szCs w:val="24"/>
        </w:rPr>
        <w:t xml:space="preserve">American Messaging Services, LLC (American Messaging), and </w:t>
      </w:r>
      <w:proofErr w:type="spellStart"/>
      <w:r>
        <w:rPr>
          <w:color w:val="000000" w:themeColor="text1"/>
          <w:szCs w:val="24"/>
        </w:rPr>
        <w:t>Sensus</w:t>
      </w:r>
      <w:proofErr w:type="spellEnd"/>
      <w:r>
        <w:rPr>
          <w:color w:val="000000" w:themeColor="text1"/>
          <w:szCs w:val="24"/>
        </w:rPr>
        <w:t xml:space="preserve"> USA, Inc., and its wholly-owned subsidiary, </w:t>
      </w:r>
      <w:proofErr w:type="spellStart"/>
      <w:r>
        <w:rPr>
          <w:color w:val="000000" w:themeColor="text1"/>
          <w:szCs w:val="24"/>
        </w:rPr>
        <w:t>Sensus</w:t>
      </w:r>
      <w:proofErr w:type="spellEnd"/>
      <w:r>
        <w:rPr>
          <w:color w:val="000000" w:themeColor="text1"/>
          <w:szCs w:val="24"/>
        </w:rPr>
        <w:t xml:space="preserve"> Spectrum LLC (collectively, </w:t>
      </w:r>
      <w:proofErr w:type="spellStart"/>
      <w:r>
        <w:rPr>
          <w:color w:val="000000" w:themeColor="text1"/>
          <w:szCs w:val="24"/>
        </w:rPr>
        <w:t>Sensus</w:t>
      </w:r>
      <w:proofErr w:type="spellEnd"/>
      <w:r>
        <w:rPr>
          <w:color w:val="000000" w:themeColor="text1"/>
          <w:szCs w:val="24"/>
        </w:rPr>
        <w:t xml:space="preserve">), filed Joint Comments </w:t>
      </w:r>
      <w:r w:rsidR="00550B8A">
        <w:rPr>
          <w:color w:val="000000" w:themeColor="text1"/>
          <w:szCs w:val="24"/>
        </w:rPr>
        <w:t>on May 20, 2020, in response to the 30</w:t>
      </w:r>
      <w:r w:rsidRPr="00C41487" w:rsidR="00550B8A">
        <w:rPr>
          <w:color w:val="000000" w:themeColor="text1"/>
          <w:szCs w:val="24"/>
        </w:rPr>
        <w:t>-day notice for the WRS renewal and discontinuance requirements</w:t>
      </w:r>
      <w:r w:rsidR="00550B8A">
        <w:rPr>
          <w:color w:val="000000" w:themeColor="text1"/>
          <w:szCs w:val="24"/>
        </w:rPr>
        <w:t xml:space="preserve"> </w:t>
      </w:r>
      <w:r w:rsidRPr="00C41487" w:rsidR="00550B8A">
        <w:rPr>
          <w:color w:val="000000" w:themeColor="text1"/>
          <w:szCs w:val="24"/>
        </w:rPr>
        <w:t xml:space="preserve">that appeared in the Federal Register on </w:t>
      </w:r>
      <w:r w:rsidR="00550B8A">
        <w:rPr>
          <w:color w:val="000000" w:themeColor="text1"/>
          <w:szCs w:val="24"/>
        </w:rPr>
        <w:t>April 17</w:t>
      </w:r>
      <w:r w:rsidRPr="00C41487" w:rsidR="00550B8A">
        <w:rPr>
          <w:color w:val="000000" w:themeColor="text1"/>
          <w:szCs w:val="24"/>
        </w:rPr>
        <w:t xml:space="preserve">, 2020, 85 FR </w:t>
      </w:r>
      <w:r w:rsidR="00550B8A">
        <w:rPr>
          <w:color w:val="000000" w:themeColor="text1"/>
          <w:szCs w:val="24"/>
        </w:rPr>
        <w:t>21432.</w:t>
      </w:r>
      <w:r w:rsidR="00C0159D">
        <w:rPr>
          <w:color w:val="000000" w:themeColor="text1"/>
          <w:szCs w:val="24"/>
        </w:rPr>
        <w:t xml:space="preserve">  </w:t>
      </w:r>
      <w:r w:rsidR="00CE764E">
        <w:rPr>
          <w:color w:val="000000" w:themeColor="text1"/>
          <w:szCs w:val="24"/>
        </w:rPr>
        <w:t xml:space="preserve">The Joint Comments mostly repeat the assertions made by American Messaging and </w:t>
      </w:r>
      <w:proofErr w:type="spellStart"/>
      <w:r w:rsidR="00CE764E">
        <w:rPr>
          <w:color w:val="000000" w:themeColor="text1"/>
          <w:szCs w:val="24"/>
        </w:rPr>
        <w:t>Sensus</w:t>
      </w:r>
      <w:proofErr w:type="spellEnd"/>
      <w:r w:rsidR="00CE764E">
        <w:rPr>
          <w:color w:val="000000" w:themeColor="text1"/>
          <w:szCs w:val="24"/>
        </w:rPr>
        <w:t xml:space="preserve"> in their respective individual comments in response to the 60-day notice.</w:t>
      </w:r>
    </w:p>
    <w:p w:rsidR="00E60B6A" w:rsidP="00550B8A" w:rsidRDefault="00E60B6A" w14:paraId="0346984A" w14:textId="464D0761">
      <w:pPr>
        <w:tabs>
          <w:tab w:val="left" w:pos="90"/>
          <w:tab w:val="left" w:pos="9360"/>
        </w:tabs>
        <w:suppressAutoHyphens/>
        <w:ind w:left="-360"/>
        <w:rPr>
          <w:color w:val="000000" w:themeColor="text1"/>
          <w:szCs w:val="24"/>
        </w:rPr>
      </w:pPr>
    </w:p>
    <w:p w:rsidR="00E60B6A" w:rsidP="00550B8A" w:rsidRDefault="00E60B6A" w14:paraId="1420EC6F" w14:textId="700B7838">
      <w:pPr>
        <w:tabs>
          <w:tab w:val="left" w:pos="90"/>
          <w:tab w:val="left" w:pos="9360"/>
        </w:tabs>
        <w:suppressAutoHyphens/>
        <w:ind w:left="-360"/>
        <w:rPr>
          <w:color w:val="000000" w:themeColor="text1"/>
          <w:szCs w:val="24"/>
        </w:rPr>
      </w:pPr>
      <w:r>
        <w:rPr>
          <w:color w:val="000000" w:themeColor="text1"/>
          <w:szCs w:val="24"/>
        </w:rPr>
        <w:t xml:space="preserve">When the Commission adopted the Second Report and Order in this proceeding in August 2017, it observed that </w:t>
      </w:r>
      <w:r w:rsidR="00454FDD">
        <w:rPr>
          <w:color w:val="000000" w:themeColor="text1"/>
          <w:szCs w:val="24"/>
        </w:rPr>
        <w:t xml:space="preserve">it was replacing a patchwork of </w:t>
      </w:r>
      <w:r w:rsidR="006D5835">
        <w:rPr>
          <w:color w:val="000000" w:themeColor="text1"/>
          <w:szCs w:val="24"/>
        </w:rPr>
        <w:t xml:space="preserve">inconsistent </w:t>
      </w:r>
      <w:r w:rsidR="00454FDD">
        <w:rPr>
          <w:color w:val="000000" w:themeColor="text1"/>
          <w:szCs w:val="24"/>
        </w:rPr>
        <w:t xml:space="preserve">service-specific renewal rules with a set of clear and consistent rules for the covered wireless radio service licenses.  The Commission adopted this framework as part of the regulatory scheme to ensure that licensees, authorized to hold a limited but critical communications resource, would initially construct their networks consistent with service-specific rules, and subsequently continue to use the spectrum over the entire license </w:t>
      </w:r>
      <w:r w:rsidR="00454FDD">
        <w:rPr>
          <w:color w:val="000000" w:themeColor="text1"/>
          <w:szCs w:val="24"/>
        </w:rPr>
        <w:lastRenderedPageBreak/>
        <w:t>term.  The Commission sought to achieve these important public interest goals while rationalizing and simplifying the regulatory process for licensees.</w:t>
      </w:r>
      <w:r w:rsidR="00315D14">
        <w:rPr>
          <w:color w:val="000000" w:themeColor="text1"/>
          <w:szCs w:val="24"/>
        </w:rPr>
        <w:t xml:space="preserve">  It did so by extending a set of requirements first adopted in 2007 for 700 MHz licensed operations to ensure that licensees were using their facilities to provide service, including providing at least the </w:t>
      </w:r>
      <w:proofErr w:type="gramStart"/>
      <w:r w:rsidR="00315D14">
        <w:rPr>
          <w:color w:val="000000" w:themeColor="text1"/>
          <w:szCs w:val="24"/>
        </w:rPr>
        <w:t>initially-required</w:t>
      </w:r>
      <w:proofErr w:type="gramEnd"/>
      <w:r w:rsidR="00315D14">
        <w:rPr>
          <w:color w:val="000000" w:themeColor="text1"/>
          <w:szCs w:val="24"/>
        </w:rPr>
        <w:t xml:space="preserve"> level of service through the end of any license terms subsequent to the initial license term.  The Commission concluded that extending this same basic policy across the board to most WRS licenses is in the public interest and the benefits would outweigh “any likely costs” (which is not a finding, as claimed </w:t>
      </w:r>
      <w:r w:rsidR="00975EE3">
        <w:rPr>
          <w:color w:val="000000" w:themeColor="text1"/>
          <w:szCs w:val="24"/>
        </w:rPr>
        <w:t>by American Messaging in its 60-day notice comments</w:t>
      </w:r>
      <w:r w:rsidR="0020634D">
        <w:rPr>
          <w:color w:val="000000" w:themeColor="text1"/>
          <w:szCs w:val="24"/>
        </w:rPr>
        <w:t xml:space="preserve"> at 3</w:t>
      </w:r>
      <w:r w:rsidR="00315D14">
        <w:rPr>
          <w:color w:val="000000" w:themeColor="text1"/>
          <w:szCs w:val="24"/>
        </w:rPr>
        <w:t xml:space="preserve">, that the Commission found </w:t>
      </w:r>
      <w:r w:rsidR="0020634D">
        <w:rPr>
          <w:color w:val="000000" w:themeColor="text1"/>
          <w:szCs w:val="24"/>
        </w:rPr>
        <w:t>that the adopted renewal requirements would “likely” impose additional costs and burdens on licensees</w:t>
      </w:r>
      <w:r w:rsidR="00315D14">
        <w:rPr>
          <w:color w:val="000000" w:themeColor="text1"/>
          <w:szCs w:val="24"/>
        </w:rPr>
        <w:t>).</w:t>
      </w:r>
    </w:p>
    <w:p w:rsidR="00D70639" w:rsidP="00550B8A" w:rsidRDefault="00D70639" w14:paraId="36EBDB53" w14:textId="1149DCD1">
      <w:pPr>
        <w:tabs>
          <w:tab w:val="left" w:pos="90"/>
          <w:tab w:val="left" w:pos="9360"/>
        </w:tabs>
        <w:suppressAutoHyphens/>
        <w:ind w:left="-360"/>
        <w:rPr>
          <w:color w:val="000000" w:themeColor="text1"/>
          <w:szCs w:val="24"/>
        </w:rPr>
      </w:pPr>
    </w:p>
    <w:p w:rsidR="00D70639" w:rsidP="00550B8A" w:rsidRDefault="00D70639" w14:paraId="59A8F359" w14:textId="6794210C">
      <w:pPr>
        <w:tabs>
          <w:tab w:val="left" w:pos="90"/>
          <w:tab w:val="left" w:pos="9360"/>
        </w:tabs>
        <w:suppressAutoHyphens/>
        <w:ind w:left="-360"/>
        <w:rPr>
          <w:color w:val="000000" w:themeColor="text1"/>
          <w:szCs w:val="24"/>
        </w:rPr>
      </w:pPr>
      <w:r>
        <w:rPr>
          <w:color w:val="000000" w:themeColor="text1"/>
          <w:szCs w:val="24"/>
        </w:rPr>
        <w:t xml:space="preserve">Prior to the adoption of the WRS renewal rules involved here, WRS licensees in some services were required to make an extensive renewal showing in order to obtain renewal of their licenses.  During the course of the rulemaking proceeding, numerous wireless </w:t>
      </w:r>
      <w:proofErr w:type="spellStart"/>
      <w:r>
        <w:rPr>
          <w:color w:val="000000" w:themeColor="text1"/>
          <w:szCs w:val="24"/>
        </w:rPr>
        <w:t>licensees</w:t>
      </w:r>
      <w:proofErr w:type="spellEnd"/>
      <w:r>
        <w:rPr>
          <w:color w:val="000000" w:themeColor="text1"/>
          <w:szCs w:val="24"/>
        </w:rPr>
        <w:t xml:space="preserve"> or their representatives urged the Commission to apply a certification process for all licensees, both site-based and geographic area licensees.  The Commission decided to establish safe harbors, supported by licensee certifications, that would significantly reduce the burden on wireless licensees and, at the same time, allow the Commission to devote its limited resources to those renewal situations requiring closer staff scrutiny.  The Commission also provided the ability for wireless licensees that could not make the necessary certifications to support processing under one of the safe harbors to submit a more detailed renewal showing—as many wireless carriers </w:t>
      </w:r>
      <w:r w:rsidR="00D3077E">
        <w:rPr>
          <w:color w:val="000000" w:themeColor="text1"/>
          <w:szCs w:val="24"/>
        </w:rPr>
        <w:t xml:space="preserve">and other wireless licensees </w:t>
      </w:r>
      <w:r w:rsidR="00153839">
        <w:rPr>
          <w:color w:val="000000" w:themeColor="text1"/>
          <w:szCs w:val="24"/>
        </w:rPr>
        <w:t xml:space="preserve">previously </w:t>
      </w:r>
      <w:r>
        <w:rPr>
          <w:color w:val="000000" w:themeColor="text1"/>
          <w:szCs w:val="24"/>
        </w:rPr>
        <w:t>had to do for all licenses in certain services—</w:t>
      </w:r>
      <w:r w:rsidR="00153839">
        <w:rPr>
          <w:color w:val="000000" w:themeColor="text1"/>
          <w:szCs w:val="24"/>
        </w:rPr>
        <w:t xml:space="preserve">to support favorable action by the Commission on a renewal request.  </w:t>
      </w:r>
      <w:r w:rsidR="000258AB">
        <w:rPr>
          <w:color w:val="000000" w:themeColor="text1"/>
          <w:szCs w:val="24"/>
        </w:rPr>
        <w:t xml:space="preserve">American Messaging and </w:t>
      </w:r>
      <w:proofErr w:type="spellStart"/>
      <w:r w:rsidR="000258AB">
        <w:rPr>
          <w:color w:val="000000" w:themeColor="text1"/>
          <w:szCs w:val="24"/>
        </w:rPr>
        <w:t>Sensus</w:t>
      </w:r>
      <w:proofErr w:type="spellEnd"/>
      <w:r w:rsidR="00153839">
        <w:rPr>
          <w:color w:val="000000" w:themeColor="text1"/>
          <w:szCs w:val="24"/>
        </w:rPr>
        <w:t xml:space="preserve"> object to the certification regarding the renewal applicant’s ongoing provision of service and/or operations consistent with the Commission’s objective of ensuring that licensees holding valuable spectrum are in fact making use of that spectrum consistent with applicable rules.</w:t>
      </w:r>
    </w:p>
    <w:p w:rsidR="00975EE3" w:rsidP="00550B8A" w:rsidRDefault="00975EE3" w14:paraId="2AE2CF52" w14:textId="5A383881">
      <w:pPr>
        <w:tabs>
          <w:tab w:val="left" w:pos="90"/>
          <w:tab w:val="left" w:pos="9360"/>
        </w:tabs>
        <w:suppressAutoHyphens/>
        <w:ind w:left="-360"/>
        <w:rPr>
          <w:color w:val="000000" w:themeColor="text1"/>
          <w:szCs w:val="24"/>
        </w:rPr>
      </w:pPr>
    </w:p>
    <w:p w:rsidR="00975EE3" w:rsidP="00550B8A" w:rsidRDefault="00331185" w14:paraId="39DCA426" w14:textId="38926C82">
      <w:pPr>
        <w:tabs>
          <w:tab w:val="left" w:pos="90"/>
          <w:tab w:val="left" w:pos="9360"/>
        </w:tabs>
        <w:suppressAutoHyphens/>
        <w:ind w:left="-360"/>
        <w:rPr>
          <w:color w:val="000000" w:themeColor="text1"/>
          <w:szCs w:val="24"/>
        </w:rPr>
      </w:pPr>
      <w:r>
        <w:rPr>
          <w:color w:val="000000" w:themeColor="text1"/>
          <w:szCs w:val="24"/>
        </w:rPr>
        <w:t>Interestingly</w:t>
      </w:r>
      <w:r w:rsidR="003B54FA">
        <w:rPr>
          <w:color w:val="000000" w:themeColor="text1"/>
          <w:szCs w:val="24"/>
        </w:rPr>
        <w:t>, the safe harbor and certification approach adopted by the Commission was based on proposals made by a number of wireless licensees in response to the Commission’s initial proposal to require a more extensive renewal showing for each and every wireless license.</w:t>
      </w:r>
      <w:r w:rsidR="00DD1CB3">
        <w:rPr>
          <w:color w:val="000000" w:themeColor="text1"/>
          <w:szCs w:val="24"/>
        </w:rPr>
        <w:t xml:space="preserve">  The adopted certifications are subject only to the condition on all FCC application forms that willful false statements made on the form or in any attachments are punishable by fine and/or imprisonment and/or revocation of any station license or construction permit.  The Commission made clear that applicants making the three required certifications </w:t>
      </w:r>
      <w:r w:rsidRPr="0098290F" w:rsidR="00DD1CB3">
        <w:rPr>
          <w:i/>
          <w:iCs/>
          <w:color w:val="000000" w:themeColor="text1"/>
          <w:szCs w:val="24"/>
        </w:rPr>
        <w:t>in good faith</w:t>
      </w:r>
      <w:r w:rsidR="00DD1CB3">
        <w:rPr>
          <w:color w:val="000000" w:themeColor="text1"/>
          <w:szCs w:val="24"/>
        </w:rPr>
        <w:t xml:space="preserve"> would see their renewal applications processed on a routine basis without requiring any further detailed renewal showing in support of the application.  The Commission also made clear that it anticipate</w:t>
      </w:r>
      <w:r>
        <w:rPr>
          <w:color w:val="000000" w:themeColor="text1"/>
          <w:szCs w:val="24"/>
        </w:rPr>
        <w:t>d</w:t>
      </w:r>
      <w:r w:rsidR="00DD1CB3">
        <w:rPr>
          <w:color w:val="000000" w:themeColor="text1"/>
          <w:szCs w:val="24"/>
        </w:rPr>
        <w:t xml:space="preserve"> the vast majority of licensees would be able readily to make these certifications in support of license renewal.</w:t>
      </w:r>
    </w:p>
    <w:p w:rsidR="00331185" w:rsidP="00550B8A" w:rsidRDefault="00331185" w14:paraId="645985F9" w14:textId="59759DFD">
      <w:pPr>
        <w:tabs>
          <w:tab w:val="left" w:pos="90"/>
          <w:tab w:val="left" w:pos="9360"/>
        </w:tabs>
        <w:suppressAutoHyphens/>
        <w:ind w:left="-360"/>
        <w:rPr>
          <w:color w:val="000000" w:themeColor="text1"/>
          <w:szCs w:val="24"/>
        </w:rPr>
      </w:pPr>
    </w:p>
    <w:p w:rsidR="00331185" w:rsidP="00550B8A" w:rsidRDefault="00331185" w14:paraId="103AC868" w14:textId="3B18293E">
      <w:pPr>
        <w:tabs>
          <w:tab w:val="left" w:pos="90"/>
          <w:tab w:val="left" w:pos="9360"/>
        </w:tabs>
        <w:suppressAutoHyphens/>
        <w:ind w:left="-360"/>
        <w:rPr>
          <w:color w:val="000000" w:themeColor="text1"/>
          <w:szCs w:val="24"/>
        </w:rPr>
      </w:pPr>
      <w:r>
        <w:rPr>
          <w:color w:val="000000" w:themeColor="text1"/>
          <w:szCs w:val="24"/>
        </w:rPr>
        <w:t xml:space="preserve">While American Messaging and </w:t>
      </w:r>
      <w:proofErr w:type="spellStart"/>
      <w:r>
        <w:rPr>
          <w:color w:val="000000" w:themeColor="text1"/>
          <w:szCs w:val="24"/>
        </w:rPr>
        <w:t>Sensus</w:t>
      </w:r>
      <w:proofErr w:type="spellEnd"/>
      <w:r>
        <w:rPr>
          <w:color w:val="000000" w:themeColor="text1"/>
          <w:szCs w:val="24"/>
        </w:rPr>
        <w:t xml:space="preserve"> claim that making the required certifications will require them to take all kinds of action that they apparently would not otherwise take in operating pursuant to their licenses, as noted previously, t</w:t>
      </w:r>
      <w:r w:rsidRPr="00C41487">
        <w:rPr>
          <w:color w:val="000000" w:themeColor="text1"/>
          <w:szCs w:val="24"/>
        </w:rPr>
        <w:t xml:space="preserve">he burdens to which </w:t>
      </w:r>
      <w:proofErr w:type="spellStart"/>
      <w:r w:rsidRPr="00C41487">
        <w:rPr>
          <w:color w:val="000000" w:themeColor="text1"/>
          <w:szCs w:val="24"/>
        </w:rPr>
        <w:t>Sensus</w:t>
      </w:r>
      <w:proofErr w:type="spellEnd"/>
      <w:r w:rsidRPr="00C41487">
        <w:rPr>
          <w:color w:val="000000" w:themeColor="text1"/>
          <w:szCs w:val="24"/>
        </w:rPr>
        <w:t xml:space="preserve"> and American Messaging are objecting are obligations imposed by the Commission’s rules and policies regarding the grant, holding, and operation under wireless licenses and the usage of scarce wireless spectrum.</w:t>
      </w:r>
      <w:r>
        <w:rPr>
          <w:color w:val="000000" w:themeColor="text1"/>
          <w:szCs w:val="24"/>
        </w:rPr>
        <w:t xml:space="preserve">  </w:t>
      </w:r>
    </w:p>
    <w:p w:rsidR="00331185" w:rsidP="00550B8A" w:rsidRDefault="00331185" w14:paraId="28F30F0F" w14:textId="0F957CA2">
      <w:pPr>
        <w:tabs>
          <w:tab w:val="left" w:pos="90"/>
          <w:tab w:val="left" w:pos="9360"/>
        </w:tabs>
        <w:suppressAutoHyphens/>
        <w:ind w:left="-360"/>
        <w:rPr>
          <w:color w:val="000000" w:themeColor="text1"/>
          <w:szCs w:val="24"/>
        </w:rPr>
      </w:pPr>
    </w:p>
    <w:p w:rsidR="00331185" w:rsidP="00550B8A" w:rsidRDefault="00331185" w14:paraId="74DAFF95" w14:textId="646929ED">
      <w:pPr>
        <w:tabs>
          <w:tab w:val="left" w:pos="90"/>
          <w:tab w:val="left" w:pos="9360"/>
        </w:tabs>
        <w:suppressAutoHyphens/>
        <w:ind w:left="-360"/>
        <w:rPr>
          <w:color w:val="000000" w:themeColor="text1"/>
          <w:szCs w:val="24"/>
        </w:rPr>
      </w:pPr>
      <w:r>
        <w:rPr>
          <w:color w:val="000000" w:themeColor="text1"/>
          <w:szCs w:val="24"/>
        </w:rPr>
        <w:t xml:space="preserve">The Joint Comments purport to </w:t>
      </w:r>
      <w:r w:rsidR="00CD0BFE">
        <w:rPr>
          <w:color w:val="000000" w:themeColor="text1"/>
          <w:szCs w:val="24"/>
        </w:rPr>
        <w:t xml:space="preserve">set forth the extensive burden imposed in connection with the </w:t>
      </w:r>
      <w:r w:rsidR="00CD0BFE">
        <w:rPr>
          <w:color w:val="000000" w:themeColor="text1"/>
          <w:szCs w:val="24"/>
        </w:rPr>
        <w:lastRenderedPageBreak/>
        <w:t>renewal of a site-based license.</w:t>
      </w:r>
      <w:r w:rsidRPr="00501CAC" w:rsidR="00553652">
        <w:rPr>
          <w:rStyle w:val="FootnoteReference"/>
          <w:color w:val="000000" w:themeColor="text1"/>
          <w:sz w:val="22"/>
          <w:szCs w:val="22"/>
        </w:rPr>
        <w:footnoteReference w:id="2"/>
      </w:r>
      <w:r w:rsidR="00CD0BFE">
        <w:rPr>
          <w:color w:val="000000" w:themeColor="text1"/>
          <w:szCs w:val="24"/>
        </w:rPr>
        <w:t xml:space="preserve">  With a site-based license, however, either the most recently filed construction notification or the authorization itself describes the operation authorized by the Commission.  Either the licensee is operating legally consistent with the information in the construction notification or the authorization itself, or it is not, in which case the licensee is operating illegally.  This is status information that a responsible licensee should maintain to ensure that it is complying with the applicable licensing requirements.  This is little different than is the case currently for renewal of site-based licenses.  </w:t>
      </w:r>
      <w:r w:rsidR="002B4D9B">
        <w:rPr>
          <w:color w:val="000000" w:themeColor="text1"/>
          <w:szCs w:val="24"/>
        </w:rPr>
        <w:t xml:space="preserve">In addition, the Commission explicitly built some flexibility into this certification requirement, explicitly stating that a site-based licensee that temporarily reduced its operations for fewer than 180 days would be able to take advantage of this safe harbor and make the necessary certification.  </w:t>
      </w:r>
      <w:r w:rsidR="00CD0BFE">
        <w:rPr>
          <w:color w:val="000000" w:themeColor="text1"/>
          <w:szCs w:val="24"/>
        </w:rPr>
        <w:t xml:space="preserve">Similarly, </w:t>
      </w:r>
      <w:r w:rsidR="007961F8">
        <w:rPr>
          <w:color w:val="000000" w:themeColor="text1"/>
          <w:szCs w:val="24"/>
        </w:rPr>
        <w:t xml:space="preserve">regarding the second certification, </w:t>
      </w:r>
      <w:r w:rsidR="00CD0BFE">
        <w:rPr>
          <w:color w:val="000000" w:themeColor="text1"/>
          <w:szCs w:val="24"/>
        </w:rPr>
        <w:t xml:space="preserve">given that the Commission clearly articulated a </w:t>
      </w:r>
      <w:r w:rsidR="002B4D9B">
        <w:rPr>
          <w:color w:val="000000" w:themeColor="text1"/>
          <w:szCs w:val="24"/>
        </w:rPr>
        <w:t xml:space="preserve">consistent </w:t>
      </w:r>
      <w:r w:rsidR="00CD0BFE">
        <w:rPr>
          <w:color w:val="000000" w:themeColor="text1"/>
          <w:szCs w:val="24"/>
        </w:rPr>
        <w:t>standard for permanent discontinuance for all site-based services, it is reasonable to expect a licensee to know, for any given site-based operation, when and for how long a site-based facility is out of service, regardless of what it means for any renewal application.</w:t>
      </w:r>
      <w:r w:rsidR="007961F8">
        <w:rPr>
          <w:color w:val="000000" w:themeColor="text1"/>
          <w:szCs w:val="24"/>
        </w:rPr>
        <w:t xml:space="preserve">  Finally, the substantial regulatory compliance certification supports the Commission’s obligation to ensure that its licensees substantially comply with all Commission rules and policies and the Communications Act.  Licensees bear this compliance obligation by virtue of being a licensee.  The burdens about which American Messaging and </w:t>
      </w:r>
      <w:proofErr w:type="spellStart"/>
      <w:r w:rsidR="007961F8">
        <w:rPr>
          <w:color w:val="000000" w:themeColor="text1"/>
          <w:szCs w:val="24"/>
        </w:rPr>
        <w:t>Sensus</w:t>
      </w:r>
      <w:proofErr w:type="spellEnd"/>
      <w:r w:rsidR="007961F8">
        <w:rPr>
          <w:color w:val="000000" w:themeColor="text1"/>
          <w:szCs w:val="24"/>
        </w:rPr>
        <w:t xml:space="preserve"> </w:t>
      </w:r>
      <w:r w:rsidR="00A74AAC">
        <w:rPr>
          <w:color w:val="000000" w:themeColor="text1"/>
          <w:szCs w:val="24"/>
        </w:rPr>
        <w:t>mention</w:t>
      </w:r>
      <w:r w:rsidR="007961F8">
        <w:rPr>
          <w:color w:val="000000" w:themeColor="text1"/>
          <w:szCs w:val="24"/>
        </w:rPr>
        <w:t xml:space="preserve"> in fact are obligations and requirements related to their decision</w:t>
      </w:r>
      <w:r w:rsidR="005D534E">
        <w:rPr>
          <w:color w:val="000000" w:themeColor="text1"/>
          <w:szCs w:val="24"/>
        </w:rPr>
        <w:t>s</w:t>
      </w:r>
      <w:r w:rsidR="007961F8">
        <w:rPr>
          <w:color w:val="000000" w:themeColor="text1"/>
          <w:szCs w:val="24"/>
        </w:rPr>
        <w:t xml:space="preserve"> to apply for and hold Commission licenses</w:t>
      </w:r>
      <w:r w:rsidR="005D534E">
        <w:rPr>
          <w:color w:val="000000" w:themeColor="text1"/>
          <w:szCs w:val="24"/>
        </w:rPr>
        <w:t xml:space="preserve"> consistent with the requirements of the Communications Act and the Commission’s rules.</w:t>
      </w:r>
    </w:p>
    <w:p w:rsidR="005D534E" w:rsidP="00550B8A" w:rsidRDefault="005D534E" w14:paraId="7973B1C7" w14:textId="66780724">
      <w:pPr>
        <w:tabs>
          <w:tab w:val="left" w:pos="90"/>
          <w:tab w:val="left" w:pos="9360"/>
        </w:tabs>
        <w:suppressAutoHyphens/>
        <w:ind w:left="-360"/>
        <w:rPr>
          <w:color w:val="000000" w:themeColor="text1"/>
          <w:szCs w:val="24"/>
        </w:rPr>
      </w:pPr>
    </w:p>
    <w:p w:rsidR="005D534E" w:rsidP="00550B8A" w:rsidRDefault="005D534E" w14:paraId="25B6E6FE" w14:textId="384D9F62">
      <w:pPr>
        <w:tabs>
          <w:tab w:val="left" w:pos="90"/>
          <w:tab w:val="left" w:pos="9360"/>
        </w:tabs>
        <w:suppressAutoHyphens/>
        <w:ind w:left="-360"/>
        <w:rPr>
          <w:color w:val="000000" w:themeColor="text1"/>
          <w:szCs w:val="24"/>
        </w:rPr>
      </w:pPr>
      <w:r>
        <w:rPr>
          <w:color w:val="000000" w:themeColor="text1"/>
          <w:szCs w:val="24"/>
        </w:rPr>
        <w:t xml:space="preserve">The Joint Comments take a similar approach in </w:t>
      </w:r>
      <w:r w:rsidR="003761CB">
        <w:rPr>
          <w:color w:val="000000" w:themeColor="text1"/>
          <w:szCs w:val="24"/>
        </w:rPr>
        <w:t>attempting</w:t>
      </w:r>
      <w:r>
        <w:rPr>
          <w:color w:val="000000" w:themeColor="text1"/>
          <w:szCs w:val="24"/>
        </w:rPr>
        <w:t xml:space="preserve"> to show how burdensome and extensive the new certification requirements are for geographic area licensees.  </w:t>
      </w:r>
      <w:r w:rsidR="00411EC4">
        <w:rPr>
          <w:color w:val="000000" w:themeColor="text1"/>
          <w:szCs w:val="24"/>
        </w:rPr>
        <w:t>As explained above, the certification/safe harbor approach was adopted by the Commission in response to suggestions and comments made in the rulemaking proceeding</w:t>
      </w:r>
      <w:r w:rsidR="00C92AD4">
        <w:rPr>
          <w:color w:val="000000" w:themeColor="text1"/>
          <w:szCs w:val="24"/>
        </w:rPr>
        <w:t xml:space="preserve">, with the twin goals of ensuring that licensees are continuing to make </w:t>
      </w:r>
      <w:r w:rsidR="003761CB">
        <w:rPr>
          <w:color w:val="000000" w:themeColor="text1"/>
          <w:szCs w:val="24"/>
        </w:rPr>
        <w:t>use of licensed spectrum in accordance with applicable rules and standards while also reducing the filing burdens on licensees when seeking to renew their licenses.</w:t>
      </w:r>
      <w:r w:rsidR="002B4D9B">
        <w:rPr>
          <w:color w:val="000000" w:themeColor="text1"/>
          <w:szCs w:val="24"/>
        </w:rPr>
        <w:t xml:space="preserve">  American Messaging and </w:t>
      </w:r>
      <w:proofErr w:type="spellStart"/>
      <w:r w:rsidR="002B4D9B">
        <w:rPr>
          <w:color w:val="000000" w:themeColor="text1"/>
          <w:szCs w:val="24"/>
        </w:rPr>
        <w:t>Sensus</w:t>
      </w:r>
      <w:proofErr w:type="spellEnd"/>
      <w:r w:rsidR="002B4D9B">
        <w:rPr>
          <w:color w:val="000000" w:themeColor="text1"/>
          <w:szCs w:val="24"/>
        </w:rPr>
        <w:t xml:space="preserve"> </w:t>
      </w:r>
      <w:r w:rsidR="00025553">
        <w:rPr>
          <w:color w:val="000000" w:themeColor="text1"/>
          <w:szCs w:val="24"/>
        </w:rPr>
        <w:t xml:space="preserve">nonetheless </w:t>
      </w:r>
      <w:r w:rsidR="002B4D9B">
        <w:rPr>
          <w:color w:val="000000" w:themeColor="text1"/>
          <w:szCs w:val="24"/>
        </w:rPr>
        <w:t xml:space="preserve">claim that for </w:t>
      </w:r>
      <w:r w:rsidR="00025553">
        <w:rPr>
          <w:color w:val="000000" w:themeColor="text1"/>
          <w:szCs w:val="24"/>
        </w:rPr>
        <w:t xml:space="preserve">a </w:t>
      </w:r>
      <w:r w:rsidR="002B4D9B">
        <w:rPr>
          <w:color w:val="000000" w:themeColor="text1"/>
          <w:szCs w:val="24"/>
        </w:rPr>
        <w:t xml:space="preserve">geographic area licensee to </w:t>
      </w:r>
      <w:r w:rsidR="00025553">
        <w:rPr>
          <w:color w:val="000000" w:themeColor="text1"/>
          <w:szCs w:val="24"/>
        </w:rPr>
        <w:t>make the applicable certification regarding the level of service being provided in a particular license area (whether the licensee is using the spectrum to provide service or for private, internal purposes)</w:t>
      </w:r>
      <w:r w:rsidR="000258AB">
        <w:rPr>
          <w:color w:val="000000" w:themeColor="text1"/>
          <w:szCs w:val="24"/>
        </w:rPr>
        <w:t>, it</w:t>
      </w:r>
      <w:r w:rsidR="00C2441A">
        <w:rPr>
          <w:color w:val="000000" w:themeColor="text1"/>
          <w:szCs w:val="24"/>
        </w:rPr>
        <w:t xml:space="preserve"> will </w:t>
      </w:r>
      <w:r w:rsidR="000258AB">
        <w:rPr>
          <w:color w:val="000000" w:themeColor="text1"/>
          <w:szCs w:val="24"/>
        </w:rPr>
        <w:t>be necessary for</w:t>
      </w:r>
      <w:r w:rsidR="00C2441A">
        <w:rPr>
          <w:color w:val="000000" w:themeColor="text1"/>
          <w:szCs w:val="24"/>
        </w:rPr>
        <w:t xml:space="preserve"> the licensee to undertake extensive analyses. </w:t>
      </w:r>
      <w:r w:rsidR="00AC3D19">
        <w:rPr>
          <w:color w:val="000000" w:themeColor="text1"/>
          <w:szCs w:val="24"/>
        </w:rPr>
        <w:t xml:space="preserve"> </w:t>
      </w:r>
      <w:r w:rsidR="00A37EFD">
        <w:rPr>
          <w:color w:val="000000" w:themeColor="text1"/>
          <w:szCs w:val="24"/>
        </w:rPr>
        <w:t>Interestingly, out of all the geographic area licensees that participate</w:t>
      </w:r>
      <w:r w:rsidR="00FC5C61">
        <w:rPr>
          <w:color w:val="000000" w:themeColor="text1"/>
          <w:szCs w:val="24"/>
        </w:rPr>
        <w:t>d</w:t>
      </w:r>
      <w:r w:rsidR="00A37EFD">
        <w:rPr>
          <w:color w:val="000000" w:themeColor="text1"/>
          <w:szCs w:val="24"/>
        </w:rPr>
        <w:t xml:space="preserve"> in this proceeding directly or through their associations, only these two </w:t>
      </w:r>
      <w:r w:rsidR="00FC5C61">
        <w:rPr>
          <w:color w:val="000000" w:themeColor="text1"/>
          <w:szCs w:val="24"/>
        </w:rPr>
        <w:t>filers</w:t>
      </w:r>
      <w:r w:rsidR="00A37EFD">
        <w:rPr>
          <w:color w:val="000000" w:themeColor="text1"/>
          <w:szCs w:val="24"/>
        </w:rPr>
        <w:t xml:space="preserve"> have raised this concern.  </w:t>
      </w:r>
      <w:r w:rsidR="005F3928">
        <w:rPr>
          <w:color w:val="000000" w:themeColor="text1"/>
          <w:szCs w:val="24"/>
        </w:rPr>
        <w:t xml:space="preserve">The Commission requires only that American Messaging and </w:t>
      </w:r>
      <w:proofErr w:type="spellStart"/>
      <w:r w:rsidR="005F3928">
        <w:rPr>
          <w:color w:val="000000" w:themeColor="text1"/>
          <w:szCs w:val="24"/>
        </w:rPr>
        <w:t>Sensus</w:t>
      </w:r>
      <w:proofErr w:type="spellEnd"/>
      <w:r w:rsidR="00D04721">
        <w:rPr>
          <w:color w:val="000000" w:themeColor="text1"/>
          <w:szCs w:val="24"/>
        </w:rPr>
        <w:t>, like all other geographic area licensees,</w:t>
      </w:r>
      <w:r w:rsidR="005F3928">
        <w:rPr>
          <w:color w:val="000000" w:themeColor="text1"/>
          <w:szCs w:val="24"/>
        </w:rPr>
        <w:t xml:space="preserve"> make their certifications in good faith</w:t>
      </w:r>
      <w:r w:rsidR="00D04721">
        <w:rPr>
          <w:color w:val="000000" w:themeColor="text1"/>
          <w:szCs w:val="24"/>
        </w:rPr>
        <w:t>.  As with site-based licensees and recognizing the nature of operating radio systems, the Commission provided real world flexibility so that if a geographic area licensee temporarily drops below the applicable construction benchmark for fewer than 180 days, that licensee could still make the necessary certification about operation and avail itself of the renewal safe harbor.</w:t>
      </w:r>
    </w:p>
    <w:p w:rsidR="00D04721" w:rsidP="00550B8A" w:rsidRDefault="00D04721" w14:paraId="74D4512E" w14:textId="103B3D03">
      <w:pPr>
        <w:tabs>
          <w:tab w:val="left" w:pos="90"/>
          <w:tab w:val="left" w:pos="9360"/>
        </w:tabs>
        <w:suppressAutoHyphens/>
        <w:ind w:left="-360"/>
        <w:rPr>
          <w:color w:val="000000" w:themeColor="text1"/>
          <w:szCs w:val="24"/>
        </w:rPr>
      </w:pPr>
    </w:p>
    <w:p w:rsidR="006F48F0" w:rsidP="00550B8A" w:rsidRDefault="008642CA" w14:paraId="55E5D92D" w14:textId="5E034C2B">
      <w:pPr>
        <w:tabs>
          <w:tab w:val="left" w:pos="90"/>
          <w:tab w:val="left" w:pos="9360"/>
        </w:tabs>
        <w:suppressAutoHyphens/>
        <w:ind w:left="-360"/>
        <w:rPr>
          <w:color w:val="000000" w:themeColor="text1"/>
          <w:szCs w:val="24"/>
        </w:rPr>
      </w:pPr>
      <w:r>
        <w:rPr>
          <w:color w:val="000000" w:themeColor="text1"/>
          <w:szCs w:val="24"/>
        </w:rPr>
        <w:t xml:space="preserve">American Messaging and </w:t>
      </w:r>
      <w:proofErr w:type="spellStart"/>
      <w:r>
        <w:rPr>
          <w:color w:val="000000" w:themeColor="text1"/>
          <w:szCs w:val="24"/>
        </w:rPr>
        <w:t>Sensus</w:t>
      </w:r>
      <w:proofErr w:type="spellEnd"/>
      <w:r w:rsidR="00D04721">
        <w:rPr>
          <w:color w:val="000000" w:themeColor="text1"/>
          <w:szCs w:val="24"/>
        </w:rPr>
        <w:t xml:space="preserve"> next </w:t>
      </w:r>
      <w:r w:rsidR="00A74AAC">
        <w:rPr>
          <w:color w:val="000000" w:themeColor="text1"/>
          <w:szCs w:val="24"/>
        </w:rPr>
        <w:t>mention</w:t>
      </w:r>
      <w:r w:rsidR="00D04721">
        <w:rPr>
          <w:color w:val="000000" w:themeColor="text1"/>
          <w:szCs w:val="24"/>
        </w:rPr>
        <w:t xml:space="preserve"> about the </w:t>
      </w:r>
      <w:r>
        <w:rPr>
          <w:color w:val="000000" w:themeColor="text1"/>
          <w:szCs w:val="24"/>
        </w:rPr>
        <w:t xml:space="preserve">renewal showing that a renewal applicant must submit if it is unable to take advantage of one of the four defined renewal safe harbors.  The Commission made clear that it expects that most licensees will be able to make the necessary certifications to take advantage of one of the safe harbors.  It was necessary for the Commission to </w:t>
      </w:r>
      <w:r>
        <w:rPr>
          <w:color w:val="000000" w:themeColor="text1"/>
          <w:szCs w:val="24"/>
        </w:rPr>
        <w:lastRenderedPageBreak/>
        <w:t>provide some other renewal application filing process for those licensees unable to satisfy one of the safe harbors that would achieve the Commission’s goals and objectives in streamlining and conforming its WRS renewal rules and policies.  The Commission recognized that such licenses may well warrant renewal</w:t>
      </w:r>
      <w:r w:rsidR="00344E95">
        <w:rPr>
          <w:color w:val="000000" w:themeColor="text1"/>
          <w:szCs w:val="24"/>
        </w:rPr>
        <w:t xml:space="preserve">.  Rather than leave it up to such licensees to guess at what information and factors would be useful to the Commission in assessing whether to renew a license that could not meet one of the safe harbors, the Commission provided guidance.  The factors set out by the Commission are both consistent with its objective in this proceeding of ensuring service or operation over the license term and previously in place in part or in whole </w:t>
      </w:r>
      <w:r w:rsidR="00A47D4B">
        <w:rPr>
          <w:color w:val="000000" w:themeColor="text1"/>
          <w:szCs w:val="24"/>
        </w:rPr>
        <w:t>for renewals in</w:t>
      </w:r>
      <w:r w:rsidR="00344E95">
        <w:rPr>
          <w:color w:val="000000" w:themeColor="text1"/>
          <w:szCs w:val="24"/>
        </w:rPr>
        <w:t xml:space="preserve"> </w:t>
      </w:r>
      <w:r w:rsidR="00A47D4B">
        <w:rPr>
          <w:color w:val="000000" w:themeColor="text1"/>
          <w:szCs w:val="24"/>
        </w:rPr>
        <w:t>a number of wireless radio services.</w:t>
      </w:r>
      <w:r w:rsidR="00D3381D">
        <w:rPr>
          <w:color w:val="000000" w:themeColor="text1"/>
          <w:szCs w:val="24"/>
        </w:rPr>
        <w:t xml:space="preserve">  This option is an opportunity for a licensee to still make the case for renewal of a license even if the licensee’s operation under that license otherwise fails to meet any of the safe harbors that would merit renewal of the license.  Because licensees seeking renewal in a number of services already must provide this information, and thus any burden is already included in the Form 601 burden calculations</w:t>
      </w:r>
      <w:r w:rsidR="000258AB">
        <w:rPr>
          <w:color w:val="000000" w:themeColor="text1"/>
          <w:szCs w:val="24"/>
        </w:rPr>
        <w:t>,</w:t>
      </w:r>
      <w:r w:rsidR="00D3381D">
        <w:rPr>
          <w:color w:val="000000" w:themeColor="text1"/>
          <w:szCs w:val="24"/>
        </w:rPr>
        <w:t xml:space="preserve"> and because the Commission anticipates most licensees will not need to take advantage of this option (and thus </w:t>
      </w:r>
      <w:r w:rsidR="000258AB">
        <w:rPr>
          <w:color w:val="000000" w:themeColor="text1"/>
          <w:szCs w:val="24"/>
        </w:rPr>
        <w:t xml:space="preserve">these filings </w:t>
      </w:r>
      <w:r w:rsidR="00D3381D">
        <w:rPr>
          <w:color w:val="000000" w:themeColor="text1"/>
          <w:szCs w:val="24"/>
        </w:rPr>
        <w:t xml:space="preserve">would represent a small proportion of the </w:t>
      </w:r>
      <w:r w:rsidR="000258AB">
        <w:rPr>
          <w:color w:val="000000" w:themeColor="text1"/>
          <w:szCs w:val="24"/>
        </w:rPr>
        <w:t xml:space="preserve">total </w:t>
      </w:r>
      <w:r w:rsidR="00D3381D">
        <w:rPr>
          <w:color w:val="000000" w:themeColor="text1"/>
          <w:szCs w:val="24"/>
        </w:rPr>
        <w:t xml:space="preserve">number of </w:t>
      </w:r>
      <w:r w:rsidR="000258AB">
        <w:rPr>
          <w:color w:val="000000" w:themeColor="text1"/>
          <w:szCs w:val="24"/>
        </w:rPr>
        <w:t xml:space="preserve">renewal and other Form 601 </w:t>
      </w:r>
      <w:r w:rsidR="00D3381D">
        <w:rPr>
          <w:color w:val="000000" w:themeColor="text1"/>
          <w:szCs w:val="24"/>
        </w:rPr>
        <w:t>filings each year</w:t>
      </w:r>
      <w:r w:rsidR="00A441F3">
        <w:rPr>
          <w:color w:val="000000" w:themeColor="text1"/>
          <w:szCs w:val="24"/>
        </w:rPr>
        <w:t>)</w:t>
      </w:r>
      <w:r w:rsidR="00D3381D">
        <w:rPr>
          <w:color w:val="000000" w:themeColor="text1"/>
          <w:szCs w:val="24"/>
        </w:rPr>
        <w:t xml:space="preserve">, the Commission concluded that the burden calculations did not need to be adjusted for this particular aspect of the collection.  The Commission </w:t>
      </w:r>
      <w:r w:rsidR="00D92689">
        <w:rPr>
          <w:color w:val="000000" w:themeColor="text1"/>
          <w:szCs w:val="24"/>
        </w:rPr>
        <w:t xml:space="preserve">notes that American Messaging and </w:t>
      </w:r>
      <w:proofErr w:type="spellStart"/>
      <w:r w:rsidR="00D92689">
        <w:rPr>
          <w:color w:val="000000" w:themeColor="text1"/>
          <w:szCs w:val="24"/>
        </w:rPr>
        <w:t>Sensus</w:t>
      </w:r>
      <w:proofErr w:type="spellEnd"/>
      <w:r w:rsidR="00D92689">
        <w:rPr>
          <w:color w:val="000000" w:themeColor="text1"/>
          <w:szCs w:val="24"/>
        </w:rPr>
        <w:t xml:space="preserve"> provide no basis for their statement that the Commission will review these renewal showings “with no standard for review.”</w:t>
      </w:r>
      <w:r w:rsidRPr="001D27DB" w:rsidR="00553652">
        <w:rPr>
          <w:rStyle w:val="FootnoteReference"/>
          <w:color w:val="000000" w:themeColor="text1"/>
          <w:sz w:val="22"/>
          <w:szCs w:val="22"/>
        </w:rPr>
        <w:footnoteReference w:id="3"/>
      </w:r>
      <w:r w:rsidR="00D92689">
        <w:rPr>
          <w:color w:val="000000" w:themeColor="text1"/>
          <w:szCs w:val="24"/>
        </w:rPr>
        <w:t xml:space="preserve">  To the contrary, as is the case for many case-by-case filings, the Commission will be guided by its public interest and statutory obligations, including, in this context, the objectives and policies </w:t>
      </w:r>
      <w:r w:rsidR="000258AB">
        <w:rPr>
          <w:color w:val="000000" w:themeColor="text1"/>
          <w:szCs w:val="24"/>
        </w:rPr>
        <w:t>established</w:t>
      </w:r>
      <w:r w:rsidR="00D92689">
        <w:rPr>
          <w:color w:val="000000" w:themeColor="text1"/>
          <w:szCs w:val="24"/>
        </w:rPr>
        <w:t xml:space="preserve"> in this proceeding regarding the renewal of spectrum licenses.</w:t>
      </w:r>
    </w:p>
    <w:p w:rsidR="006F48F0" w:rsidP="00550B8A" w:rsidRDefault="006F48F0" w14:paraId="65B901BA" w14:textId="77777777">
      <w:pPr>
        <w:tabs>
          <w:tab w:val="left" w:pos="90"/>
          <w:tab w:val="left" w:pos="9360"/>
        </w:tabs>
        <w:suppressAutoHyphens/>
        <w:ind w:left="-360"/>
        <w:rPr>
          <w:color w:val="000000" w:themeColor="text1"/>
          <w:szCs w:val="24"/>
        </w:rPr>
      </w:pPr>
    </w:p>
    <w:p w:rsidR="00D04721" w:rsidP="002D6EC0" w:rsidRDefault="006F48F0" w14:paraId="4BA053C3" w14:textId="48BB7C37">
      <w:pPr>
        <w:widowControl/>
        <w:tabs>
          <w:tab w:val="left" w:pos="90"/>
          <w:tab w:val="left" w:pos="9360"/>
        </w:tabs>
        <w:suppressAutoHyphens/>
        <w:ind w:left="-360"/>
        <w:rPr>
          <w:color w:val="000000" w:themeColor="text1"/>
          <w:szCs w:val="24"/>
        </w:rPr>
      </w:pPr>
      <w:r>
        <w:rPr>
          <w:color w:val="000000" w:themeColor="text1"/>
          <w:szCs w:val="24"/>
        </w:rPr>
        <w:t xml:space="preserve">American Messaging and </w:t>
      </w:r>
      <w:proofErr w:type="spellStart"/>
      <w:r>
        <w:rPr>
          <w:color w:val="000000" w:themeColor="text1"/>
          <w:szCs w:val="24"/>
        </w:rPr>
        <w:t>Sensus</w:t>
      </w:r>
      <w:proofErr w:type="spellEnd"/>
      <w:r>
        <w:rPr>
          <w:color w:val="000000" w:themeColor="text1"/>
          <w:szCs w:val="24"/>
        </w:rPr>
        <w:t xml:space="preserve"> </w:t>
      </w:r>
      <w:r w:rsidR="00A74AAC">
        <w:rPr>
          <w:color w:val="000000" w:themeColor="text1"/>
          <w:szCs w:val="24"/>
        </w:rPr>
        <w:t>assert</w:t>
      </w:r>
      <w:r>
        <w:rPr>
          <w:color w:val="000000" w:themeColor="text1"/>
          <w:szCs w:val="24"/>
        </w:rPr>
        <w:t xml:space="preserve"> that</w:t>
      </w:r>
      <w:r w:rsidR="00CD64CB">
        <w:rPr>
          <w:color w:val="000000" w:themeColor="text1"/>
          <w:szCs w:val="24"/>
        </w:rPr>
        <w:t xml:space="preserve"> the Commission should replace the certifications adopted in this rulemaking proceeding with a “less burdensome” certification that a renewal applicant has:  1) satisfied all applicable initial and final performance requirements; 2) provided coverage and service in its license area during the license term; and 3) not permanently discontinued</w:t>
      </w:r>
      <w:r>
        <w:rPr>
          <w:color w:val="000000" w:themeColor="text1"/>
          <w:szCs w:val="24"/>
        </w:rPr>
        <w:t xml:space="preserve"> </w:t>
      </w:r>
      <w:r w:rsidR="00CD64CB">
        <w:rPr>
          <w:color w:val="000000" w:themeColor="text1"/>
          <w:szCs w:val="24"/>
        </w:rPr>
        <w:t xml:space="preserve">service at any time during the license term.  They have also advocated for this position in separate petitions for reconsideration of the Commission’s August 2017 </w:t>
      </w:r>
      <w:r w:rsidR="00AF3A18">
        <w:rPr>
          <w:color w:val="000000" w:themeColor="text1"/>
          <w:szCs w:val="24"/>
        </w:rPr>
        <w:t>decision</w:t>
      </w:r>
      <w:r w:rsidR="00CD64CB">
        <w:rPr>
          <w:color w:val="000000" w:themeColor="text1"/>
          <w:szCs w:val="24"/>
        </w:rPr>
        <w:t xml:space="preserve"> (note that American Messaging did not participate in this proceeding until it filed a petition for reconsideration), which the Commission will consider in due course.  </w:t>
      </w:r>
      <w:r w:rsidR="00003D9E">
        <w:rPr>
          <w:color w:val="000000" w:themeColor="text1"/>
          <w:szCs w:val="24"/>
        </w:rPr>
        <w:t xml:space="preserve">Because the parties have raised this alternative set of certifications in pending petitions for reconsideration in the rulemaking, we are limited in addressing the merits of this proposal so as to not prejudge whatever action the Commission might take in addressing the pending petitions for reconsideration.  </w:t>
      </w:r>
      <w:r w:rsidR="00AF3A18">
        <w:t>The alternate certification does not implement the rules and policies described in the Commission’s Second Report and Order.</w:t>
      </w:r>
      <w:r w:rsidR="00467E2A">
        <w:t xml:space="preserve"> </w:t>
      </w:r>
      <w:r w:rsidR="00AF3A18">
        <w:t xml:space="preserve"> It falls short in that</w:t>
      </w:r>
      <w:r w:rsidR="00003D9E">
        <w:rPr>
          <w:color w:val="000000" w:themeColor="text1"/>
          <w:szCs w:val="24"/>
        </w:rPr>
        <w:t xml:space="preserve"> a license</w:t>
      </w:r>
      <w:r w:rsidR="00467E2A">
        <w:rPr>
          <w:color w:val="000000" w:themeColor="text1"/>
          <w:szCs w:val="24"/>
        </w:rPr>
        <w:t>’s certification</w:t>
      </w:r>
      <w:r w:rsidR="008950C4">
        <w:rPr>
          <w:color w:val="000000" w:themeColor="text1"/>
          <w:szCs w:val="24"/>
        </w:rPr>
        <w:t xml:space="preserve"> that it </w:t>
      </w:r>
      <w:r w:rsidR="00003D9E">
        <w:rPr>
          <w:color w:val="000000" w:themeColor="text1"/>
          <w:szCs w:val="24"/>
        </w:rPr>
        <w:t>has provided coverage and service in its license area during the license term does not include either a temporal or a scope of geographic coverage element.  As explained previously, one of the Commission’ goals in this proceeding was to ensure intensive, continuous use of spectrum.</w:t>
      </w:r>
      <w:r w:rsidR="00381E2F">
        <w:rPr>
          <w:color w:val="000000" w:themeColor="text1"/>
          <w:szCs w:val="24"/>
        </w:rPr>
        <w:t xml:space="preserve">  Under the American Messaging and </w:t>
      </w:r>
      <w:proofErr w:type="spellStart"/>
      <w:r w:rsidR="00381E2F">
        <w:rPr>
          <w:color w:val="000000" w:themeColor="text1"/>
          <w:szCs w:val="24"/>
        </w:rPr>
        <w:t>Sensus</w:t>
      </w:r>
      <w:proofErr w:type="spellEnd"/>
      <w:r w:rsidR="00381E2F">
        <w:rPr>
          <w:color w:val="000000" w:themeColor="text1"/>
          <w:szCs w:val="24"/>
        </w:rPr>
        <w:t xml:space="preserve"> alternative, a licensee could certify that it met its performance requirement, for example, of providing coverage of 70 percent of the geographic area under a license.  Because the licensee would</w:t>
      </w:r>
      <w:r w:rsidR="009B4B36">
        <w:rPr>
          <w:color w:val="000000" w:themeColor="text1"/>
          <w:szCs w:val="24"/>
        </w:rPr>
        <w:t xml:space="preserve"> also</w:t>
      </w:r>
      <w:r w:rsidR="00381E2F">
        <w:rPr>
          <w:color w:val="000000" w:themeColor="text1"/>
          <w:szCs w:val="24"/>
        </w:rPr>
        <w:t xml:space="preserve"> have to certify only that it </w:t>
      </w:r>
      <w:r w:rsidR="009B4B36">
        <w:rPr>
          <w:color w:val="000000" w:themeColor="text1"/>
          <w:szCs w:val="24"/>
        </w:rPr>
        <w:t>“</w:t>
      </w:r>
      <w:r w:rsidR="00381E2F">
        <w:rPr>
          <w:color w:val="000000" w:themeColor="text1"/>
          <w:szCs w:val="24"/>
        </w:rPr>
        <w:t>provided coverage and service in it license area during the license term,</w:t>
      </w:r>
      <w:r w:rsidR="009B4B36">
        <w:rPr>
          <w:color w:val="000000" w:themeColor="text1"/>
          <w:szCs w:val="24"/>
        </w:rPr>
        <w:t>”</w:t>
      </w:r>
      <w:r w:rsidR="00381E2F">
        <w:rPr>
          <w:color w:val="000000" w:themeColor="text1"/>
          <w:szCs w:val="24"/>
        </w:rPr>
        <w:t xml:space="preserve"> after meeting its coverage requirement, it </w:t>
      </w:r>
      <w:r w:rsidR="00381E2F">
        <w:rPr>
          <w:color w:val="000000" w:themeColor="text1"/>
          <w:szCs w:val="24"/>
        </w:rPr>
        <w:lastRenderedPageBreak/>
        <w:t xml:space="preserve">could drop the 70 percent coverage to </w:t>
      </w:r>
      <w:r w:rsidR="00003D9E">
        <w:rPr>
          <w:color w:val="000000" w:themeColor="text1"/>
          <w:szCs w:val="24"/>
        </w:rPr>
        <w:t>some significantly lesser amount</w:t>
      </w:r>
      <w:r w:rsidR="00381E2F">
        <w:rPr>
          <w:color w:val="000000" w:themeColor="text1"/>
          <w:szCs w:val="24"/>
        </w:rPr>
        <w:t>, and still receive a license renewal</w:t>
      </w:r>
      <w:r w:rsidR="009B4B36">
        <w:rPr>
          <w:color w:val="000000" w:themeColor="text1"/>
          <w:szCs w:val="24"/>
        </w:rPr>
        <w:t xml:space="preserve"> grant</w:t>
      </w:r>
      <w:r w:rsidR="00381E2F">
        <w:rPr>
          <w:color w:val="000000" w:themeColor="text1"/>
          <w:szCs w:val="24"/>
        </w:rPr>
        <w:t>.</w:t>
      </w:r>
    </w:p>
    <w:p w:rsidR="00066672" w:rsidP="00550B8A" w:rsidRDefault="00066672" w14:paraId="61BE8AC4" w14:textId="65DE7A83">
      <w:pPr>
        <w:tabs>
          <w:tab w:val="left" w:pos="90"/>
          <w:tab w:val="left" w:pos="9360"/>
        </w:tabs>
        <w:suppressAutoHyphens/>
        <w:ind w:left="-360"/>
        <w:rPr>
          <w:color w:val="000000" w:themeColor="text1"/>
          <w:szCs w:val="24"/>
        </w:rPr>
      </w:pPr>
    </w:p>
    <w:p w:rsidR="00066672" w:rsidP="00550B8A" w:rsidRDefault="00066672" w14:paraId="75906169" w14:textId="071F66E0">
      <w:pPr>
        <w:tabs>
          <w:tab w:val="left" w:pos="90"/>
          <w:tab w:val="left" w:pos="9360"/>
        </w:tabs>
        <w:suppressAutoHyphens/>
        <w:ind w:left="-360"/>
        <w:rPr>
          <w:color w:val="000000" w:themeColor="text1"/>
          <w:szCs w:val="24"/>
        </w:rPr>
      </w:pPr>
      <w:r>
        <w:rPr>
          <w:color w:val="000000" w:themeColor="text1"/>
          <w:szCs w:val="24"/>
        </w:rPr>
        <w:t>The filers claim that their alternative set of certifications would meet the Commission’s new license renewal standard, quoting language from paragraph 9 of the Commission’s August 2017 order.</w:t>
      </w:r>
      <w:r w:rsidRPr="00501CAC" w:rsidR="00553652">
        <w:rPr>
          <w:rStyle w:val="FootnoteReference"/>
          <w:color w:val="000000" w:themeColor="text1"/>
          <w:sz w:val="22"/>
          <w:szCs w:val="22"/>
        </w:rPr>
        <w:footnoteReference w:id="4"/>
      </w:r>
      <w:r>
        <w:rPr>
          <w:color w:val="000000" w:themeColor="text1"/>
          <w:szCs w:val="24"/>
        </w:rPr>
        <w:t xml:space="preserve">  American Messaging and </w:t>
      </w:r>
      <w:proofErr w:type="spellStart"/>
      <w:r>
        <w:rPr>
          <w:color w:val="000000" w:themeColor="text1"/>
          <w:szCs w:val="24"/>
        </w:rPr>
        <w:t>Sensus</w:t>
      </w:r>
      <w:proofErr w:type="spellEnd"/>
      <w:r>
        <w:rPr>
          <w:color w:val="000000" w:themeColor="text1"/>
          <w:szCs w:val="24"/>
        </w:rPr>
        <w:t xml:space="preserve"> conveniently omit the sentences immediately following the quoted language, which state (emphasis added):</w:t>
      </w:r>
    </w:p>
    <w:p w:rsidR="00066672" w:rsidP="00066672" w:rsidRDefault="00066672" w14:paraId="230ED05A" w14:textId="296F642F">
      <w:pPr>
        <w:tabs>
          <w:tab w:val="left" w:pos="90"/>
          <w:tab w:val="left" w:pos="9360"/>
        </w:tabs>
        <w:suppressAutoHyphens/>
        <w:ind w:left="90"/>
      </w:pPr>
      <w:r w:rsidRPr="000F6D8F">
        <w:t xml:space="preserve">More specifically, </w:t>
      </w:r>
      <w:r>
        <w:t>for renewal at the end of an initial</w:t>
      </w:r>
      <w:r w:rsidRPr="000F6D8F">
        <w:t xml:space="preserve"> license term, the licensee must demonstrate that it </w:t>
      </w:r>
      <w:r w:rsidRPr="00DC5655">
        <w:t xml:space="preserve">timely constructed to any level(s) required </w:t>
      </w:r>
      <w:r w:rsidRPr="00E30A5A">
        <w:t xml:space="preserve">by the service-specific rules </w:t>
      </w:r>
      <w:r w:rsidRPr="00DC5655">
        <w:t>and</w:t>
      </w:r>
      <w:r>
        <w:t>,</w:t>
      </w:r>
      <w:r w:rsidRPr="00DC5655">
        <w:t xml:space="preserve"> thereafter</w:t>
      </w:r>
      <w:r>
        <w:t>, consistent with our permanent discontinuance rules,</w:t>
      </w:r>
      <w:r w:rsidRPr="00DC5655">
        <w:t xml:space="preserve"> </w:t>
      </w:r>
      <w:r w:rsidRPr="00C93FA7">
        <w:rPr>
          <w:i/>
          <w:iCs/>
        </w:rPr>
        <w:t>continuously provided service or operated at or above the required level(s) for the remainder of the license term</w:t>
      </w:r>
      <w:r w:rsidRPr="00DC5655">
        <w:t>.  For subsequent renewals, the licensee must demonstrate that</w:t>
      </w:r>
      <w:r>
        <w:t>,</w:t>
      </w:r>
      <w:r w:rsidRPr="00DC5655">
        <w:t xml:space="preserve"> over the license term</w:t>
      </w:r>
      <w:r>
        <w:t xml:space="preserve"> at issue</w:t>
      </w:r>
      <w:r w:rsidRPr="00DC5655">
        <w:t xml:space="preserve">, </w:t>
      </w:r>
      <w:r w:rsidRPr="00C93FA7">
        <w:rPr>
          <w:i/>
          <w:iCs/>
        </w:rPr>
        <w:t>it continuously provided service to the public or operated under the license to meet the licensee’s private, internal communications needs, at or above the level required to meet the final construction requirement during the initial term of the license</w:t>
      </w:r>
      <w:r w:rsidRPr="00264F8A">
        <w:t xml:space="preserve">.  </w:t>
      </w:r>
      <w:r w:rsidRPr="00C93B85">
        <w:t>In all events, the licensee also must certify that its service or operations are continuing.</w:t>
      </w:r>
    </w:p>
    <w:p w:rsidR="00C93FA7" w:rsidP="00C93FA7" w:rsidRDefault="00C93FA7" w14:paraId="31632EB9" w14:textId="746DAA74">
      <w:pPr>
        <w:tabs>
          <w:tab w:val="left" w:pos="90"/>
          <w:tab w:val="left" w:pos="9360"/>
        </w:tabs>
        <w:suppressAutoHyphens/>
        <w:ind w:left="-360"/>
        <w:rPr>
          <w:color w:val="000000" w:themeColor="text1"/>
          <w:szCs w:val="24"/>
        </w:rPr>
      </w:pPr>
      <w:r>
        <w:rPr>
          <w:color w:val="000000" w:themeColor="text1"/>
          <w:szCs w:val="24"/>
        </w:rPr>
        <w:t xml:space="preserve">American Messaging and </w:t>
      </w:r>
      <w:proofErr w:type="spellStart"/>
      <w:r>
        <w:rPr>
          <w:color w:val="000000" w:themeColor="text1"/>
          <w:szCs w:val="24"/>
        </w:rPr>
        <w:t>Sensus</w:t>
      </w:r>
      <w:proofErr w:type="spellEnd"/>
      <w:r>
        <w:rPr>
          <w:color w:val="000000" w:themeColor="text1"/>
          <w:szCs w:val="24"/>
        </w:rPr>
        <w:t xml:space="preserve"> likewise ignore the clear language of the Commission’s rule, 47 CFR §1.949, regarding the certifications required to support the renewal safe harbors.</w:t>
      </w:r>
    </w:p>
    <w:p w:rsidR="00C93FA7" w:rsidP="00C93FA7" w:rsidRDefault="00C93FA7" w14:paraId="2E3121A6" w14:textId="2DE49A5F">
      <w:pPr>
        <w:tabs>
          <w:tab w:val="left" w:pos="90"/>
          <w:tab w:val="left" w:pos="9360"/>
        </w:tabs>
        <w:suppressAutoHyphens/>
        <w:ind w:left="-360"/>
        <w:rPr>
          <w:color w:val="000000" w:themeColor="text1"/>
          <w:szCs w:val="24"/>
        </w:rPr>
      </w:pPr>
    </w:p>
    <w:p w:rsidRPr="00C206C5" w:rsidR="00C93FA7" w:rsidP="00C93FA7" w:rsidRDefault="00C93FA7" w14:paraId="360309C6" w14:textId="018DD74C">
      <w:pPr>
        <w:tabs>
          <w:tab w:val="left" w:pos="90"/>
          <w:tab w:val="left" w:pos="9360"/>
        </w:tabs>
        <w:suppressAutoHyphens/>
        <w:ind w:left="-360"/>
        <w:rPr>
          <w:color w:val="000000" w:themeColor="text1"/>
          <w:szCs w:val="24"/>
        </w:rPr>
      </w:pPr>
      <w:r>
        <w:rPr>
          <w:color w:val="000000" w:themeColor="text1"/>
          <w:szCs w:val="24"/>
        </w:rPr>
        <w:t>The proposed replacement set of certifications also apparently omits the regulatory compliance certification.  As previously explained above, this certification supports the Commission’s obligation to ensure that its licensees substantially comply with all Commission rules and policies and the Communications Act.</w:t>
      </w:r>
    </w:p>
    <w:p w:rsidRPr="00C41487" w:rsidR="00C41487" w:rsidP="00C41487" w:rsidRDefault="00C41487" w14:paraId="22C2B294" w14:textId="77777777">
      <w:pPr>
        <w:tabs>
          <w:tab w:val="left" w:pos="90"/>
          <w:tab w:val="left" w:pos="9360"/>
        </w:tabs>
        <w:suppressAutoHyphens/>
        <w:ind w:left="360"/>
        <w:jc w:val="both"/>
        <w:rPr>
          <w:color w:val="000000" w:themeColor="text1"/>
          <w:szCs w:val="24"/>
        </w:rPr>
      </w:pPr>
    </w:p>
    <w:p w:rsidRPr="00C41487" w:rsidR="00C41487" w:rsidP="00C41487" w:rsidRDefault="00C93FA7" w14:paraId="3FF40A87" w14:textId="1534F15C">
      <w:pPr>
        <w:tabs>
          <w:tab w:val="left" w:pos="90"/>
          <w:tab w:val="left" w:pos="9360"/>
        </w:tabs>
        <w:suppressAutoHyphens/>
        <w:ind w:left="-360"/>
        <w:jc w:val="both"/>
        <w:rPr>
          <w:color w:val="000000" w:themeColor="text1"/>
          <w:szCs w:val="24"/>
        </w:rPr>
      </w:pPr>
      <w:r>
        <w:rPr>
          <w:color w:val="000000" w:themeColor="text1"/>
          <w:szCs w:val="24"/>
        </w:rPr>
        <w:t>As previously stated, t</w:t>
      </w:r>
      <w:r w:rsidRPr="00C41487" w:rsidR="00C41487">
        <w:rPr>
          <w:color w:val="000000" w:themeColor="text1"/>
          <w:szCs w:val="24"/>
        </w:rPr>
        <w:t xml:space="preserve">he claims made by </w:t>
      </w:r>
      <w:proofErr w:type="spellStart"/>
      <w:r w:rsidRPr="00C41487" w:rsidR="00C41487">
        <w:rPr>
          <w:color w:val="000000" w:themeColor="text1"/>
          <w:szCs w:val="24"/>
        </w:rPr>
        <w:t>Sensus</w:t>
      </w:r>
      <w:proofErr w:type="spellEnd"/>
      <w:r w:rsidRPr="00C41487" w:rsidR="00C41487">
        <w:rPr>
          <w:color w:val="000000" w:themeColor="text1"/>
          <w:szCs w:val="24"/>
        </w:rPr>
        <w:t xml:space="preserve"> and American Messaging in their comments on the Form 601 information collection address the fundamental policy decisions made by the Commission in the 2017 WRS Report Second Report and Order.  These issues are not appropriately addressed in the information collection review process</w:t>
      </w:r>
      <w:r w:rsidR="00557094">
        <w:rPr>
          <w:color w:val="000000" w:themeColor="text1"/>
          <w:szCs w:val="24"/>
        </w:rPr>
        <w:t xml:space="preserve">, </w:t>
      </w:r>
      <w:r w:rsidRPr="00C41487" w:rsidR="00C41487">
        <w:rPr>
          <w:color w:val="000000" w:themeColor="text1"/>
          <w:szCs w:val="24"/>
        </w:rPr>
        <w:t>but will be addressed by the Commission as part of the rulemaking process.</w:t>
      </w:r>
    </w:p>
    <w:p w:rsidRPr="00C41487" w:rsidR="00C41487" w:rsidP="00C41487" w:rsidRDefault="00C41487" w14:paraId="350F45F5" w14:textId="77777777">
      <w:pPr>
        <w:tabs>
          <w:tab w:val="left" w:pos="90"/>
          <w:tab w:val="left" w:pos="9360"/>
        </w:tabs>
        <w:suppressAutoHyphens/>
        <w:ind w:left="-360"/>
        <w:jc w:val="both"/>
        <w:rPr>
          <w:color w:val="000000" w:themeColor="text1"/>
          <w:szCs w:val="24"/>
        </w:rPr>
      </w:pPr>
    </w:p>
    <w:p w:rsidR="002D55D1" w:rsidP="002D55D1" w:rsidRDefault="0041098E" w14:paraId="2FD9ED01" w14:textId="3BBCCBA4">
      <w:pPr>
        <w:tabs>
          <w:tab w:val="left" w:pos="90"/>
          <w:tab w:val="left" w:pos="9360"/>
        </w:tabs>
        <w:suppressAutoHyphens/>
        <w:ind w:left="-360"/>
        <w:jc w:val="both"/>
        <w:rPr>
          <w:color w:val="000000" w:themeColor="text1"/>
          <w:szCs w:val="24"/>
        </w:rPr>
      </w:pPr>
      <w:r>
        <w:rPr>
          <w:color w:val="000000" w:themeColor="text1"/>
          <w:szCs w:val="24"/>
        </w:rPr>
        <w:t xml:space="preserve">The Commission published a 60-day notice in connection with the frequency coordination requirements, which appeared in the Federal Register on May 10, 2018, </w:t>
      </w:r>
      <w:r>
        <w:t xml:space="preserve">83 FR 21773, seeking comment from the public, seeking comment from the public on the information collection requirements contained in this aspect of the collection. </w:t>
      </w:r>
      <w:r w:rsidRPr="00C206C5" w:rsidR="00996DF9">
        <w:rPr>
          <w:color w:val="000000" w:themeColor="text1"/>
          <w:szCs w:val="24"/>
        </w:rPr>
        <w:t xml:space="preserve"> No comments were received </w:t>
      </w:r>
      <w:r w:rsidRPr="00C206C5" w:rsidR="006776B4">
        <w:rPr>
          <w:color w:val="000000" w:themeColor="text1"/>
          <w:szCs w:val="24"/>
        </w:rPr>
        <w:t xml:space="preserve">on the Paperwork Reduction Act (PRA) </w:t>
      </w:r>
      <w:r w:rsidRPr="00C206C5" w:rsidR="00996DF9">
        <w:rPr>
          <w:color w:val="000000" w:themeColor="text1"/>
          <w:szCs w:val="24"/>
        </w:rPr>
        <w:t xml:space="preserve">as a result of </w:t>
      </w:r>
      <w:r w:rsidR="00C41487">
        <w:rPr>
          <w:color w:val="000000" w:themeColor="text1"/>
          <w:szCs w:val="24"/>
        </w:rPr>
        <w:t>the May 10, 2018,</w:t>
      </w:r>
      <w:r>
        <w:rPr>
          <w:color w:val="000000" w:themeColor="text1"/>
          <w:szCs w:val="24"/>
        </w:rPr>
        <w:t xml:space="preserve"> </w:t>
      </w:r>
      <w:r w:rsidRPr="00C206C5" w:rsidR="00996DF9">
        <w:rPr>
          <w:color w:val="000000" w:themeColor="text1"/>
          <w:szCs w:val="24"/>
        </w:rPr>
        <w:t xml:space="preserve">notice.  </w:t>
      </w:r>
    </w:p>
    <w:p w:rsidR="002D55D1" w:rsidP="002D55D1" w:rsidRDefault="002D55D1" w14:paraId="0600B416" w14:textId="1A32431F">
      <w:pPr>
        <w:tabs>
          <w:tab w:val="left" w:pos="90"/>
          <w:tab w:val="left" w:pos="9360"/>
        </w:tabs>
        <w:suppressAutoHyphens/>
        <w:ind w:left="-360"/>
        <w:jc w:val="both"/>
        <w:rPr>
          <w:color w:val="000000" w:themeColor="text1"/>
          <w:szCs w:val="24"/>
        </w:rPr>
      </w:pPr>
    </w:p>
    <w:p w:rsidR="002D55D1" w:rsidP="002D55D1" w:rsidRDefault="002D55D1" w14:paraId="087FBD09" w14:textId="77777777">
      <w:pPr>
        <w:tabs>
          <w:tab w:val="left" w:pos="90"/>
          <w:tab w:val="left" w:pos="9360"/>
        </w:tabs>
        <w:suppressAutoHyphens/>
        <w:ind w:left="-360"/>
        <w:jc w:val="both"/>
        <w:rPr>
          <w:color w:val="000000" w:themeColor="text1"/>
          <w:szCs w:val="24"/>
        </w:rPr>
      </w:pPr>
      <w:r>
        <w:rPr>
          <w:color w:val="000000" w:themeColor="text1"/>
          <w:szCs w:val="24"/>
        </w:rPr>
        <w:t xml:space="preserve">9.  </w:t>
      </w:r>
      <w:r w:rsidRPr="00C206C5" w:rsidR="0063141B">
        <w:rPr>
          <w:color w:val="000000" w:themeColor="text1"/>
          <w:szCs w:val="24"/>
        </w:rPr>
        <w:t>Respondents will not receive any payments.</w:t>
      </w:r>
    </w:p>
    <w:p w:rsidR="002D55D1" w:rsidP="002D55D1" w:rsidRDefault="002D55D1" w14:paraId="026A575D" w14:textId="77777777">
      <w:pPr>
        <w:tabs>
          <w:tab w:val="left" w:pos="90"/>
          <w:tab w:val="left" w:pos="9360"/>
        </w:tabs>
        <w:suppressAutoHyphens/>
        <w:ind w:left="-360"/>
        <w:jc w:val="both"/>
        <w:rPr>
          <w:color w:val="000000" w:themeColor="text1"/>
          <w:szCs w:val="24"/>
        </w:rPr>
      </w:pPr>
    </w:p>
    <w:p w:rsidRPr="002D55D1" w:rsidR="00FE0A01" w:rsidP="002D55D1" w:rsidRDefault="002D55D1" w14:paraId="757A1B2C" w14:textId="240E4389">
      <w:pPr>
        <w:tabs>
          <w:tab w:val="left" w:pos="90"/>
          <w:tab w:val="left" w:pos="9360"/>
        </w:tabs>
        <w:suppressAutoHyphens/>
        <w:ind w:left="-360"/>
        <w:jc w:val="both"/>
        <w:rPr>
          <w:color w:val="000000" w:themeColor="text1"/>
          <w:szCs w:val="24"/>
        </w:rPr>
      </w:pPr>
      <w:r>
        <w:rPr>
          <w:smallCaps/>
          <w:color w:val="000000" w:themeColor="text1"/>
          <w:szCs w:val="24"/>
        </w:rPr>
        <w:t>10.</w:t>
      </w:r>
      <w:r w:rsidRPr="00C206C5" w:rsidR="0063141B">
        <w:rPr>
          <w:color w:val="000000" w:themeColor="text1"/>
          <w:szCs w:val="24"/>
        </w:rPr>
        <w:t xml:space="preserve">Respondents may request </w:t>
      </w:r>
      <w:r w:rsidRPr="00C206C5" w:rsidR="00761A58">
        <w:rPr>
          <w:color w:val="000000" w:themeColor="text1"/>
          <w:szCs w:val="24"/>
        </w:rPr>
        <w:t xml:space="preserve">that </w:t>
      </w:r>
      <w:r w:rsidRPr="00C206C5" w:rsidR="0063141B">
        <w:rPr>
          <w:color w:val="000000" w:themeColor="text1"/>
          <w:szCs w:val="24"/>
        </w:rPr>
        <w:t xml:space="preserve">materials or information submitted to the Commission be withheld </w:t>
      </w:r>
      <w:r>
        <w:rPr>
          <w:color w:val="000000" w:themeColor="text1"/>
          <w:szCs w:val="24"/>
        </w:rPr>
        <w:t xml:space="preserve">     </w:t>
      </w:r>
      <w:r w:rsidRPr="00C206C5" w:rsidR="0063141B">
        <w:rPr>
          <w:color w:val="000000" w:themeColor="text1"/>
          <w:szCs w:val="24"/>
        </w:rPr>
        <w:t>from public</w:t>
      </w:r>
      <w:r w:rsidRPr="00C206C5" w:rsidR="00925ECB">
        <w:rPr>
          <w:color w:val="000000" w:themeColor="text1"/>
          <w:szCs w:val="24"/>
        </w:rPr>
        <w:t xml:space="preserve"> </w:t>
      </w:r>
      <w:r w:rsidRPr="00C206C5" w:rsidR="0063141B">
        <w:rPr>
          <w:color w:val="000000" w:themeColor="text1"/>
          <w:szCs w:val="24"/>
        </w:rPr>
        <w:t xml:space="preserve">inspection </w:t>
      </w:r>
      <w:r w:rsidRPr="00C206C5" w:rsidR="00F05707">
        <w:rPr>
          <w:color w:val="000000" w:themeColor="text1"/>
          <w:szCs w:val="24"/>
        </w:rPr>
        <w:t>under 47 CFR</w:t>
      </w:r>
      <w:r w:rsidRPr="00C206C5" w:rsidR="0063141B">
        <w:rPr>
          <w:color w:val="000000" w:themeColor="text1"/>
          <w:szCs w:val="24"/>
        </w:rPr>
        <w:t xml:space="preserve"> §0.459</w:t>
      </w:r>
      <w:r w:rsidRPr="00C206C5" w:rsidR="00F05707">
        <w:rPr>
          <w:color w:val="000000" w:themeColor="text1"/>
          <w:szCs w:val="24"/>
        </w:rPr>
        <w:t xml:space="preserve"> of the FCC rules</w:t>
      </w:r>
      <w:r w:rsidRPr="00C206C5" w:rsidR="0063141B">
        <w:rPr>
          <w:color w:val="000000" w:themeColor="text1"/>
          <w:szCs w:val="24"/>
        </w:rPr>
        <w:t>.</w:t>
      </w:r>
      <w:r w:rsidRPr="00C206C5" w:rsidR="002A3E1A">
        <w:rPr>
          <w:color w:val="000000" w:themeColor="text1"/>
          <w:szCs w:val="24"/>
        </w:rPr>
        <w:t xml:space="preserve">  </w:t>
      </w:r>
    </w:p>
    <w:p w:rsidRPr="00C206C5" w:rsidR="00FE0A01" w:rsidP="00CD36BA" w:rsidRDefault="00FE0A01" w14:paraId="68716623" w14:textId="77777777">
      <w:pPr>
        <w:tabs>
          <w:tab w:val="left" w:pos="-360"/>
          <w:tab w:val="left" w:pos="9360"/>
        </w:tabs>
        <w:suppressAutoHyphens/>
        <w:ind w:left="-720"/>
        <w:jc w:val="both"/>
        <w:rPr>
          <w:color w:val="000000" w:themeColor="text1"/>
          <w:szCs w:val="24"/>
        </w:rPr>
      </w:pPr>
    </w:p>
    <w:p w:rsidRPr="00C206C5" w:rsidR="000907AB" w:rsidP="00E410BA" w:rsidRDefault="00FE0A01" w14:paraId="61682FFE" w14:textId="77777777">
      <w:pPr>
        <w:widowControl/>
        <w:tabs>
          <w:tab w:val="left" w:pos="9360"/>
        </w:tabs>
        <w:suppressAutoHyphens/>
        <w:ind w:left="-360"/>
        <w:jc w:val="both"/>
        <w:rPr>
          <w:color w:val="000000" w:themeColor="text1"/>
          <w:spacing w:val="-3"/>
          <w:szCs w:val="24"/>
        </w:rPr>
      </w:pPr>
      <w:r w:rsidRPr="00C206C5">
        <w:rPr>
          <w:color w:val="000000" w:themeColor="text1"/>
          <w:szCs w:val="24"/>
          <w:shd w:val="clear" w:color="auto" w:fill="FFFFFF"/>
        </w:rPr>
        <w:lastRenderedPageBreak/>
        <w:t xml:space="preserve">Information on the </w:t>
      </w:r>
      <w:r w:rsidRPr="00C206C5" w:rsidR="0024653B">
        <w:rPr>
          <w:bCs/>
          <w:iCs/>
          <w:snapToGrid/>
          <w:color w:val="000000" w:themeColor="text1"/>
          <w:szCs w:val="24"/>
        </w:rPr>
        <w:t>FCC Form 601</w:t>
      </w:r>
      <w:r w:rsidRPr="00C206C5">
        <w:rPr>
          <w:color w:val="000000" w:themeColor="text1"/>
          <w:szCs w:val="24"/>
          <w:shd w:val="clear" w:color="auto" w:fill="FFFFFF"/>
        </w:rPr>
        <w:t xml:space="preserve"> is maintained in the Commission</w:t>
      </w:r>
      <w:r w:rsidRPr="00C206C5" w:rsidR="00F72885">
        <w:rPr>
          <w:color w:val="000000" w:themeColor="text1"/>
          <w:szCs w:val="24"/>
          <w:shd w:val="clear" w:color="auto" w:fill="FFFFFF"/>
        </w:rPr>
        <w:t>’</w:t>
      </w:r>
      <w:r w:rsidRPr="00C206C5">
        <w:rPr>
          <w:color w:val="000000" w:themeColor="text1"/>
          <w:szCs w:val="24"/>
          <w:shd w:val="clear" w:color="auto" w:fill="FFFFFF"/>
        </w:rPr>
        <w:t>s system of records</w:t>
      </w:r>
      <w:r w:rsidRPr="00C206C5" w:rsidR="00E00B9D">
        <w:rPr>
          <w:color w:val="000000" w:themeColor="text1"/>
          <w:szCs w:val="24"/>
          <w:shd w:val="clear" w:color="auto" w:fill="FFFFFF"/>
        </w:rPr>
        <w:t xml:space="preserve"> notice or </w:t>
      </w:r>
      <w:r w:rsidRPr="00C206C5" w:rsidR="00F72885">
        <w:rPr>
          <w:color w:val="000000" w:themeColor="text1"/>
          <w:szCs w:val="24"/>
          <w:shd w:val="clear" w:color="auto" w:fill="FFFFFF"/>
        </w:rPr>
        <w:t>‘</w:t>
      </w:r>
      <w:r w:rsidRPr="00C206C5" w:rsidR="00E00B9D">
        <w:rPr>
          <w:color w:val="000000" w:themeColor="text1"/>
          <w:szCs w:val="24"/>
          <w:shd w:val="clear" w:color="auto" w:fill="FFFFFF"/>
        </w:rPr>
        <w:t>SORN</w:t>
      </w:r>
      <w:r w:rsidRPr="00C206C5" w:rsidR="00F72885">
        <w:rPr>
          <w:color w:val="000000" w:themeColor="text1"/>
          <w:szCs w:val="24"/>
          <w:shd w:val="clear" w:color="auto" w:fill="FFFFFF"/>
        </w:rPr>
        <w:t>’</w:t>
      </w:r>
      <w:r w:rsidRPr="00C206C5">
        <w:rPr>
          <w:color w:val="000000" w:themeColor="text1"/>
          <w:szCs w:val="24"/>
          <w:shd w:val="clear" w:color="auto" w:fill="FFFFFF"/>
        </w:rPr>
        <w:t xml:space="preserve">, FCC/WTB-1, </w:t>
      </w:r>
      <w:r w:rsidRPr="00C206C5" w:rsidR="00B76B92">
        <w:rPr>
          <w:color w:val="000000" w:themeColor="text1"/>
          <w:szCs w:val="24"/>
          <w:shd w:val="clear" w:color="auto" w:fill="FFFFFF"/>
        </w:rPr>
        <w:t>“</w:t>
      </w:r>
      <w:r w:rsidRPr="00C206C5">
        <w:rPr>
          <w:color w:val="000000" w:themeColor="text1"/>
          <w:szCs w:val="24"/>
          <w:shd w:val="clear" w:color="auto" w:fill="FFFFFF"/>
        </w:rPr>
        <w:t>Wireless Services Licensing Records.</w:t>
      </w:r>
      <w:r w:rsidRPr="00C206C5" w:rsidR="00B76B92">
        <w:rPr>
          <w:color w:val="000000" w:themeColor="text1"/>
          <w:szCs w:val="24"/>
          <w:shd w:val="clear" w:color="auto" w:fill="FFFFFF"/>
        </w:rPr>
        <w:t>”</w:t>
      </w:r>
      <w:r w:rsidRPr="00C206C5">
        <w:rPr>
          <w:color w:val="000000" w:themeColor="text1"/>
          <w:szCs w:val="24"/>
          <w:shd w:val="clear" w:color="auto" w:fill="FFFFFF"/>
        </w:rPr>
        <w:t xml:space="preserve">  </w:t>
      </w:r>
      <w:r w:rsidRPr="00C206C5">
        <w:rPr>
          <w:color w:val="000000" w:themeColor="text1"/>
          <w:spacing w:val="-3"/>
          <w:szCs w:val="24"/>
          <w:shd w:val="clear" w:color="auto" w:fill="FFFFFF"/>
        </w:rPr>
        <w:t>These</w:t>
      </w:r>
      <w:r w:rsidRPr="00C206C5">
        <w:rPr>
          <w:color w:val="000000" w:themeColor="text1"/>
          <w:spacing w:val="-3"/>
          <w:szCs w:val="24"/>
        </w:rPr>
        <w:t xml:space="preserve"> licensee records are publicly available and routinely used in accordance with subsection b. of the Privacy Act, 5 U.S.C. 552a(b), </w:t>
      </w:r>
      <w:r w:rsidRPr="00C206C5">
        <w:rPr>
          <w:color w:val="000000" w:themeColor="text1"/>
          <w:spacing w:val="-3"/>
          <w:szCs w:val="24"/>
          <w:shd w:val="clear" w:color="auto" w:fill="FFFFFF"/>
        </w:rPr>
        <w:t>as amended</w:t>
      </w:r>
      <w:r w:rsidRPr="00C206C5">
        <w:rPr>
          <w:color w:val="000000" w:themeColor="text1"/>
          <w:szCs w:val="24"/>
          <w:shd w:val="clear" w:color="auto" w:fill="FFFFFF"/>
        </w:rPr>
        <w:t>.</w:t>
      </w:r>
      <w:r w:rsidRPr="00C206C5">
        <w:rPr>
          <w:color w:val="000000" w:themeColor="text1"/>
          <w:spacing w:val="-3"/>
          <w:szCs w:val="24"/>
          <w:shd w:val="clear" w:color="auto" w:fill="FFFFFF"/>
        </w:rPr>
        <w:t xml:space="preserve">  </w:t>
      </w:r>
    </w:p>
    <w:p w:rsidRPr="00C206C5" w:rsidR="000907AB" w:rsidP="00E410BA" w:rsidRDefault="000907AB" w14:paraId="750616F6" w14:textId="77777777">
      <w:pPr>
        <w:widowControl/>
        <w:tabs>
          <w:tab w:val="left" w:pos="9360"/>
        </w:tabs>
        <w:suppressAutoHyphens/>
        <w:ind w:left="360"/>
        <w:jc w:val="both"/>
        <w:rPr>
          <w:color w:val="000000" w:themeColor="text1"/>
          <w:spacing w:val="-3"/>
          <w:szCs w:val="24"/>
        </w:rPr>
      </w:pPr>
    </w:p>
    <w:p w:rsidRPr="00C206C5" w:rsidR="000907AB" w:rsidP="00E410BA" w:rsidRDefault="000907AB" w14:paraId="05ABC698" w14:textId="77777777">
      <w:pPr>
        <w:widowControl/>
        <w:tabs>
          <w:tab w:val="left" w:pos="9360"/>
        </w:tabs>
        <w:suppressAutoHyphens/>
        <w:ind w:left="-360"/>
        <w:jc w:val="both"/>
        <w:rPr>
          <w:color w:val="000000" w:themeColor="text1"/>
          <w:spacing w:val="-3"/>
          <w:szCs w:val="24"/>
        </w:rPr>
      </w:pPr>
      <w:r w:rsidRPr="00C206C5">
        <w:rPr>
          <w:color w:val="000000" w:themeColor="text1"/>
          <w:spacing w:val="-3"/>
          <w:szCs w:val="24"/>
        </w:rPr>
        <w:t xml:space="preserve">The Commission has in place the following policy and procedures for records retention and disposal:  Records will be actively maintained as long as the </w:t>
      </w:r>
      <w:r w:rsidRPr="00C206C5" w:rsidR="00E26344">
        <w:rPr>
          <w:color w:val="000000" w:themeColor="text1"/>
          <w:spacing w:val="-3"/>
          <w:szCs w:val="24"/>
        </w:rPr>
        <w:t>authorization is valid</w:t>
      </w:r>
      <w:r w:rsidRPr="00C206C5">
        <w:rPr>
          <w:color w:val="000000" w:themeColor="text1"/>
          <w:spacing w:val="-3"/>
          <w:szCs w:val="24"/>
        </w:rPr>
        <w:t xml:space="preserve">.  Paper records will be archived after being keyed or scanned into the </w:t>
      </w:r>
      <w:r w:rsidRPr="00C206C5" w:rsidR="00CE0F16">
        <w:rPr>
          <w:color w:val="000000" w:themeColor="text1"/>
          <w:spacing w:val="-3"/>
          <w:szCs w:val="24"/>
        </w:rPr>
        <w:t>database</w:t>
      </w:r>
      <w:r w:rsidRPr="00C206C5" w:rsidR="00E91917">
        <w:rPr>
          <w:color w:val="000000" w:themeColor="text1"/>
          <w:spacing w:val="-3"/>
          <w:szCs w:val="24"/>
        </w:rPr>
        <w:t xml:space="preserve"> and destroyed when 12 years old</w:t>
      </w:r>
      <w:r w:rsidRPr="00C206C5" w:rsidR="00CE0F16">
        <w:rPr>
          <w:color w:val="000000" w:themeColor="text1"/>
          <w:spacing w:val="-3"/>
          <w:szCs w:val="24"/>
        </w:rPr>
        <w:t>.</w:t>
      </w:r>
      <w:r w:rsidRPr="00C206C5">
        <w:rPr>
          <w:color w:val="000000" w:themeColor="text1"/>
          <w:spacing w:val="-3"/>
          <w:szCs w:val="24"/>
        </w:rPr>
        <w:t xml:space="preserve">  Electronic records will be backed up</w:t>
      </w:r>
      <w:r w:rsidRPr="00C206C5" w:rsidR="00E91917">
        <w:rPr>
          <w:color w:val="000000" w:themeColor="text1"/>
          <w:spacing w:val="-3"/>
          <w:szCs w:val="24"/>
        </w:rPr>
        <w:t xml:space="preserve"> and deleted twelve years after the authorization is no longer valid</w:t>
      </w:r>
      <w:r w:rsidRPr="00C206C5">
        <w:rPr>
          <w:color w:val="000000" w:themeColor="text1"/>
          <w:spacing w:val="-3"/>
          <w:szCs w:val="24"/>
        </w:rPr>
        <w:t>.</w:t>
      </w:r>
    </w:p>
    <w:p w:rsidRPr="00C206C5" w:rsidR="003E4F7C" w:rsidP="00E410BA" w:rsidRDefault="003E4F7C" w14:paraId="29EE6600" w14:textId="77777777">
      <w:pPr>
        <w:widowControl/>
        <w:tabs>
          <w:tab w:val="left" w:pos="9360"/>
        </w:tabs>
        <w:suppressAutoHyphens/>
        <w:ind w:left="-360"/>
        <w:jc w:val="both"/>
        <w:rPr>
          <w:color w:val="000000" w:themeColor="text1"/>
          <w:spacing w:val="-3"/>
          <w:szCs w:val="24"/>
        </w:rPr>
      </w:pPr>
    </w:p>
    <w:p w:rsidRPr="00C206C5" w:rsidR="0063141B" w:rsidP="002D55D1" w:rsidRDefault="002D55D1" w14:paraId="39CBCAFE" w14:textId="33B42E00">
      <w:pPr>
        <w:tabs>
          <w:tab w:val="left" w:pos="-720"/>
          <w:tab w:val="left" w:pos="9360"/>
        </w:tabs>
        <w:suppressAutoHyphens/>
        <w:ind w:left="-360"/>
        <w:jc w:val="both"/>
        <w:rPr>
          <w:color w:val="000000" w:themeColor="text1"/>
          <w:szCs w:val="24"/>
        </w:rPr>
      </w:pPr>
      <w:r>
        <w:rPr>
          <w:color w:val="000000" w:themeColor="text1"/>
          <w:szCs w:val="24"/>
        </w:rPr>
        <w:t xml:space="preserve">11.  </w:t>
      </w:r>
      <w:r w:rsidRPr="00C206C5" w:rsidR="00E00B9D">
        <w:rPr>
          <w:color w:val="000000" w:themeColor="text1"/>
          <w:szCs w:val="24"/>
        </w:rPr>
        <w:t xml:space="preserve">This collection does not address private matters of a sensitive nature, and the PII is covered by the system of records notice or </w:t>
      </w:r>
      <w:r w:rsidRPr="00C206C5" w:rsidR="00F72885">
        <w:rPr>
          <w:color w:val="000000" w:themeColor="text1"/>
          <w:szCs w:val="24"/>
        </w:rPr>
        <w:t>‘</w:t>
      </w:r>
      <w:r w:rsidRPr="00C206C5" w:rsidR="00E00B9D">
        <w:rPr>
          <w:color w:val="000000" w:themeColor="text1"/>
          <w:szCs w:val="24"/>
        </w:rPr>
        <w:t>SORN</w:t>
      </w:r>
      <w:r w:rsidRPr="00C206C5" w:rsidR="00F72885">
        <w:rPr>
          <w:color w:val="000000" w:themeColor="text1"/>
          <w:szCs w:val="24"/>
        </w:rPr>
        <w:t>’</w:t>
      </w:r>
      <w:r w:rsidRPr="00C206C5" w:rsidR="00E00B9D">
        <w:rPr>
          <w:color w:val="000000" w:themeColor="text1"/>
          <w:szCs w:val="24"/>
        </w:rPr>
        <w:t xml:space="preserve">, FCC/WTB-1, </w:t>
      </w:r>
      <w:r w:rsidRPr="00C206C5" w:rsidR="00B76B92">
        <w:rPr>
          <w:color w:val="000000" w:themeColor="text1"/>
          <w:szCs w:val="24"/>
        </w:rPr>
        <w:t>“</w:t>
      </w:r>
      <w:r w:rsidRPr="00C206C5" w:rsidR="00E00B9D">
        <w:rPr>
          <w:color w:val="000000" w:themeColor="text1"/>
          <w:szCs w:val="24"/>
        </w:rPr>
        <w:t>Wireless Services Licensing Records</w:t>
      </w:r>
      <w:r w:rsidRPr="00C206C5" w:rsidR="00761A58">
        <w:rPr>
          <w:color w:val="000000" w:themeColor="text1"/>
          <w:szCs w:val="24"/>
        </w:rPr>
        <w:t>.</w:t>
      </w:r>
      <w:r w:rsidRPr="00C206C5" w:rsidR="00B76B92">
        <w:rPr>
          <w:color w:val="000000" w:themeColor="text1"/>
          <w:szCs w:val="24"/>
        </w:rPr>
        <w:t>”</w:t>
      </w:r>
      <w:r w:rsidRPr="00C206C5" w:rsidR="0063141B">
        <w:rPr>
          <w:color w:val="000000" w:themeColor="text1"/>
          <w:szCs w:val="24"/>
        </w:rPr>
        <w:t xml:space="preserve">  </w:t>
      </w:r>
    </w:p>
    <w:p w:rsidRPr="00C206C5" w:rsidR="0063141B" w:rsidP="00CD36BA" w:rsidRDefault="0063141B" w14:paraId="5A374691" w14:textId="77777777">
      <w:pPr>
        <w:tabs>
          <w:tab w:val="left" w:pos="90"/>
          <w:tab w:val="left" w:pos="9360"/>
        </w:tabs>
        <w:suppressAutoHyphens/>
        <w:ind w:left="-360"/>
        <w:jc w:val="both"/>
        <w:rPr>
          <w:color w:val="000000" w:themeColor="text1"/>
          <w:szCs w:val="24"/>
        </w:rPr>
      </w:pPr>
    </w:p>
    <w:p w:rsidRPr="00C206C5" w:rsidR="00287FE6" w:rsidP="002D55D1" w:rsidRDefault="002D55D1" w14:paraId="159B0FC8" w14:textId="5DC36E57">
      <w:pPr>
        <w:tabs>
          <w:tab w:val="left" w:pos="90"/>
          <w:tab w:val="left" w:pos="1890"/>
          <w:tab w:val="left" w:pos="9360"/>
        </w:tabs>
        <w:suppressAutoHyphens/>
        <w:ind w:left="-360"/>
        <w:jc w:val="both"/>
        <w:rPr>
          <w:color w:val="000000" w:themeColor="text1"/>
          <w:szCs w:val="24"/>
        </w:rPr>
      </w:pPr>
      <w:r>
        <w:rPr>
          <w:color w:val="000000" w:themeColor="text1"/>
          <w:szCs w:val="24"/>
        </w:rPr>
        <w:t xml:space="preserve">12.  </w:t>
      </w:r>
      <w:r w:rsidRPr="00C206C5" w:rsidR="00F05707">
        <w:rPr>
          <w:color w:val="000000" w:themeColor="text1"/>
          <w:szCs w:val="24"/>
        </w:rPr>
        <w:t xml:space="preserve">The Commission </w:t>
      </w:r>
      <w:r w:rsidRPr="00C206C5" w:rsidR="0063141B">
        <w:rPr>
          <w:color w:val="000000" w:themeColor="text1"/>
          <w:szCs w:val="24"/>
        </w:rPr>
        <w:t>estimate</w:t>
      </w:r>
      <w:r w:rsidRPr="00C206C5" w:rsidR="00F05707">
        <w:rPr>
          <w:color w:val="000000" w:themeColor="text1"/>
          <w:szCs w:val="24"/>
        </w:rPr>
        <w:t>s</w:t>
      </w:r>
      <w:r w:rsidRPr="00C206C5" w:rsidR="0063141B">
        <w:rPr>
          <w:color w:val="000000" w:themeColor="text1"/>
          <w:szCs w:val="24"/>
        </w:rPr>
        <w:t xml:space="preserve"> that</w:t>
      </w:r>
      <w:r w:rsidRPr="00C206C5" w:rsidR="00F05707">
        <w:rPr>
          <w:color w:val="000000" w:themeColor="text1"/>
          <w:szCs w:val="24"/>
        </w:rPr>
        <w:t xml:space="preserve"> </w:t>
      </w:r>
      <w:r w:rsidRPr="00C206C5" w:rsidR="001F351F">
        <w:rPr>
          <w:color w:val="000000" w:themeColor="text1"/>
          <w:szCs w:val="24"/>
        </w:rPr>
        <w:t>25</w:t>
      </w:r>
      <w:r w:rsidRPr="00C206C5" w:rsidR="00C365B9">
        <w:rPr>
          <w:color w:val="000000" w:themeColor="text1"/>
          <w:szCs w:val="24"/>
        </w:rPr>
        <w:t>5,</w:t>
      </w:r>
      <w:r w:rsidRPr="00C206C5" w:rsidR="005855FA">
        <w:rPr>
          <w:color w:val="000000" w:themeColor="text1"/>
          <w:szCs w:val="24"/>
        </w:rPr>
        <w:t>4</w:t>
      </w:r>
      <w:r w:rsidRPr="00C206C5" w:rsidR="00C365B9">
        <w:rPr>
          <w:color w:val="000000" w:themeColor="text1"/>
          <w:szCs w:val="24"/>
        </w:rPr>
        <w:t>52</w:t>
      </w:r>
      <w:r w:rsidRPr="00C206C5" w:rsidR="001F351F">
        <w:rPr>
          <w:color w:val="000000" w:themeColor="text1"/>
          <w:szCs w:val="24"/>
        </w:rPr>
        <w:t xml:space="preserve"> </w:t>
      </w:r>
      <w:r w:rsidRPr="00C206C5" w:rsidR="00F05707">
        <w:rPr>
          <w:color w:val="000000" w:themeColor="text1"/>
          <w:szCs w:val="24"/>
        </w:rPr>
        <w:t>respondents (applicants/licensees) will file</w:t>
      </w:r>
      <w:r w:rsidRPr="00C206C5" w:rsidR="0063141B">
        <w:rPr>
          <w:color w:val="000000" w:themeColor="text1"/>
          <w:szCs w:val="24"/>
        </w:rPr>
        <w:t xml:space="preserve"> FCC</w:t>
      </w:r>
      <w:r w:rsidRPr="00C206C5" w:rsidR="00A63A92">
        <w:rPr>
          <w:color w:val="000000" w:themeColor="text1"/>
          <w:szCs w:val="24"/>
        </w:rPr>
        <w:t xml:space="preserve"> </w:t>
      </w:r>
      <w:r w:rsidRPr="00C206C5" w:rsidR="008C5D45">
        <w:rPr>
          <w:color w:val="000000" w:themeColor="text1"/>
          <w:szCs w:val="24"/>
        </w:rPr>
        <w:t xml:space="preserve">Form </w:t>
      </w:r>
      <w:r w:rsidRPr="00C206C5" w:rsidR="0063141B">
        <w:rPr>
          <w:color w:val="000000" w:themeColor="text1"/>
          <w:szCs w:val="24"/>
        </w:rPr>
        <w:t xml:space="preserve">601 </w:t>
      </w:r>
      <w:r w:rsidRPr="00C206C5" w:rsidR="00A63A92">
        <w:rPr>
          <w:color w:val="000000" w:themeColor="text1"/>
          <w:szCs w:val="24"/>
        </w:rPr>
        <w:t>a</w:t>
      </w:r>
      <w:r w:rsidRPr="00C206C5" w:rsidR="0063141B">
        <w:rPr>
          <w:color w:val="000000" w:themeColor="text1"/>
          <w:szCs w:val="24"/>
        </w:rPr>
        <w:t xml:space="preserve">pplications annually and that the </w:t>
      </w:r>
      <w:r w:rsidRPr="00C206C5" w:rsidR="0063141B">
        <w:rPr>
          <w:i/>
          <w:color w:val="000000" w:themeColor="text1"/>
          <w:szCs w:val="24"/>
        </w:rPr>
        <w:t>average</w:t>
      </w:r>
      <w:r w:rsidRPr="00C206C5" w:rsidR="0063141B">
        <w:rPr>
          <w:color w:val="000000" w:themeColor="text1"/>
          <w:szCs w:val="24"/>
        </w:rPr>
        <w:t xml:space="preserve"> burden per res</w:t>
      </w:r>
      <w:r w:rsidRPr="00C206C5" w:rsidR="006C3C73">
        <w:rPr>
          <w:color w:val="000000" w:themeColor="text1"/>
          <w:szCs w:val="24"/>
        </w:rPr>
        <w:t>ponse</w:t>
      </w:r>
      <w:r w:rsidRPr="00C206C5" w:rsidR="0063141B">
        <w:rPr>
          <w:color w:val="000000" w:themeColor="text1"/>
          <w:szCs w:val="24"/>
        </w:rPr>
        <w:t xml:space="preserve"> is 1.25 hours. </w:t>
      </w:r>
    </w:p>
    <w:p w:rsidRPr="00C206C5" w:rsidR="00287FE6" w:rsidP="00287FE6" w:rsidRDefault="00287FE6" w14:paraId="78B91CBB" w14:textId="77777777">
      <w:pPr>
        <w:tabs>
          <w:tab w:val="left" w:pos="90"/>
          <w:tab w:val="left" w:pos="1890"/>
          <w:tab w:val="left" w:pos="9360"/>
        </w:tabs>
        <w:suppressAutoHyphens/>
        <w:jc w:val="both"/>
        <w:rPr>
          <w:color w:val="000000" w:themeColor="text1"/>
          <w:szCs w:val="24"/>
        </w:rPr>
      </w:pPr>
    </w:p>
    <w:p w:rsidRPr="00C206C5" w:rsidR="008E453F" w:rsidP="00287FE6" w:rsidRDefault="0018188D" w14:paraId="70903129" w14:textId="77777777">
      <w:pPr>
        <w:tabs>
          <w:tab w:val="left" w:pos="90"/>
          <w:tab w:val="left" w:pos="1890"/>
          <w:tab w:val="left" w:pos="9360"/>
        </w:tabs>
        <w:suppressAutoHyphens/>
        <w:ind w:left="-360"/>
        <w:jc w:val="both"/>
        <w:rPr>
          <w:color w:val="000000" w:themeColor="text1"/>
          <w:szCs w:val="24"/>
        </w:rPr>
      </w:pPr>
      <w:r w:rsidRPr="00C206C5">
        <w:rPr>
          <w:color w:val="000000" w:themeColor="text1"/>
          <w:szCs w:val="24"/>
        </w:rPr>
        <w:t>The Commission estimates</w:t>
      </w:r>
      <w:r w:rsidRPr="00C206C5" w:rsidR="0063141B">
        <w:rPr>
          <w:color w:val="000000" w:themeColor="text1"/>
          <w:szCs w:val="24"/>
        </w:rPr>
        <w:t xml:space="preserve"> that 50% of </w:t>
      </w:r>
      <w:r w:rsidRPr="00C206C5" w:rsidR="00761A58">
        <w:rPr>
          <w:color w:val="000000" w:themeColor="text1"/>
          <w:szCs w:val="24"/>
        </w:rPr>
        <w:t xml:space="preserve">the </w:t>
      </w:r>
      <w:r w:rsidRPr="00C206C5" w:rsidR="001F351F">
        <w:rPr>
          <w:color w:val="000000" w:themeColor="text1"/>
          <w:szCs w:val="24"/>
        </w:rPr>
        <w:t>25</w:t>
      </w:r>
      <w:r w:rsidRPr="00C206C5" w:rsidR="00C365B9">
        <w:rPr>
          <w:color w:val="000000" w:themeColor="text1"/>
          <w:szCs w:val="24"/>
        </w:rPr>
        <w:t>5,</w:t>
      </w:r>
      <w:r w:rsidRPr="00C206C5" w:rsidR="005855FA">
        <w:rPr>
          <w:color w:val="000000" w:themeColor="text1"/>
          <w:szCs w:val="24"/>
        </w:rPr>
        <w:t>4</w:t>
      </w:r>
      <w:r w:rsidRPr="00C206C5" w:rsidR="00C365B9">
        <w:rPr>
          <w:color w:val="000000" w:themeColor="text1"/>
          <w:szCs w:val="24"/>
        </w:rPr>
        <w:t>52</w:t>
      </w:r>
      <w:r w:rsidRPr="00C206C5" w:rsidR="0063141B">
        <w:rPr>
          <w:color w:val="000000" w:themeColor="text1"/>
          <w:szCs w:val="24"/>
        </w:rPr>
        <w:t xml:space="preserve"> respondents </w:t>
      </w:r>
      <w:r w:rsidRPr="00C206C5" w:rsidR="001F351F">
        <w:rPr>
          <w:color w:val="000000" w:themeColor="text1"/>
          <w:szCs w:val="24"/>
        </w:rPr>
        <w:t>(12</w:t>
      </w:r>
      <w:r w:rsidRPr="00C206C5" w:rsidR="00C365B9">
        <w:rPr>
          <w:color w:val="000000" w:themeColor="text1"/>
          <w:szCs w:val="24"/>
        </w:rPr>
        <w:t>7</w:t>
      </w:r>
      <w:r w:rsidRPr="00C206C5" w:rsidR="00F30052">
        <w:rPr>
          <w:color w:val="000000" w:themeColor="text1"/>
          <w:szCs w:val="24"/>
        </w:rPr>
        <w:t>,</w:t>
      </w:r>
      <w:r w:rsidRPr="00C206C5" w:rsidR="005855FA">
        <w:rPr>
          <w:color w:val="000000" w:themeColor="text1"/>
          <w:szCs w:val="24"/>
        </w:rPr>
        <w:t>726</w:t>
      </w:r>
      <w:r w:rsidRPr="00C206C5" w:rsidR="001F351F">
        <w:rPr>
          <w:color w:val="000000" w:themeColor="text1"/>
          <w:szCs w:val="24"/>
        </w:rPr>
        <w:t xml:space="preserve">) </w:t>
      </w:r>
      <w:r w:rsidRPr="00C206C5" w:rsidR="0063141B">
        <w:rPr>
          <w:color w:val="000000" w:themeColor="text1"/>
          <w:szCs w:val="24"/>
        </w:rPr>
        <w:t xml:space="preserve">will complete the application themselves with no additional assistance and </w:t>
      </w:r>
      <w:r w:rsidRPr="00C206C5" w:rsidR="001F351F">
        <w:rPr>
          <w:color w:val="000000" w:themeColor="text1"/>
          <w:szCs w:val="24"/>
        </w:rPr>
        <w:t>the remaining</w:t>
      </w:r>
      <w:r w:rsidRPr="00C206C5" w:rsidR="0063141B">
        <w:rPr>
          <w:color w:val="000000" w:themeColor="text1"/>
          <w:szCs w:val="24"/>
        </w:rPr>
        <w:t xml:space="preserve"> 50% </w:t>
      </w:r>
      <w:r w:rsidRPr="00C206C5" w:rsidR="001F351F">
        <w:rPr>
          <w:color w:val="000000" w:themeColor="text1"/>
          <w:szCs w:val="24"/>
        </w:rPr>
        <w:t>(12</w:t>
      </w:r>
      <w:r w:rsidRPr="00C206C5" w:rsidR="00220B51">
        <w:rPr>
          <w:color w:val="000000" w:themeColor="text1"/>
          <w:szCs w:val="24"/>
        </w:rPr>
        <w:t>7</w:t>
      </w:r>
      <w:r w:rsidRPr="00C206C5" w:rsidR="00F30052">
        <w:rPr>
          <w:color w:val="000000" w:themeColor="text1"/>
          <w:szCs w:val="24"/>
        </w:rPr>
        <w:t>,</w:t>
      </w:r>
      <w:r w:rsidRPr="00C206C5" w:rsidR="005855FA">
        <w:rPr>
          <w:color w:val="000000" w:themeColor="text1"/>
          <w:szCs w:val="24"/>
        </w:rPr>
        <w:t>726</w:t>
      </w:r>
      <w:r w:rsidRPr="00C206C5" w:rsidR="001F351F">
        <w:rPr>
          <w:color w:val="000000" w:themeColor="text1"/>
          <w:szCs w:val="24"/>
        </w:rPr>
        <w:t xml:space="preserve">) </w:t>
      </w:r>
      <w:r w:rsidRPr="00C206C5" w:rsidR="0063141B">
        <w:rPr>
          <w:color w:val="000000" w:themeColor="text1"/>
          <w:szCs w:val="24"/>
        </w:rPr>
        <w:t xml:space="preserve">will contract </w:t>
      </w:r>
      <w:r w:rsidRPr="00C206C5" w:rsidR="00761A58">
        <w:rPr>
          <w:color w:val="000000" w:themeColor="text1"/>
          <w:szCs w:val="24"/>
        </w:rPr>
        <w:t xml:space="preserve">out </w:t>
      </w:r>
      <w:r w:rsidRPr="00C206C5" w:rsidR="00CE0F16">
        <w:rPr>
          <w:color w:val="000000" w:themeColor="text1"/>
          <w:szCs w:val="24"/>
        </w:rPr>
        <w:t>the completion of</w:t>
      </w:r>
      <w:r w:rsidRPr="00C206C5" w:rsidR="0063141B">
        <w:rPr>
          <w:color w:val="000000" w:themeColor="text1"/>
          <w:szCs w:val="24"/>
        </w:rPr>
        <w:t xml:space="preserve"> the form to a law firm or application preparation service.  </w:t>
      </w:r>
    </w:p>
    <w:p w:rsidRPr="00C206C5" w:rsidR="008E453F" w:rsidP="00CD36BA" w:rsidRDefault="008E453F" w14:paraId="66BADC37" w14:textId="77777777">
      <w:pPr>
        <w:tabs>
          <w:tab w:val="left" w:pos="90"/>
          <w:tab w:val="left" w:pos="9360"/>
        </w:tabs>
        <w:suppressAutoHyphens/>
        <w:ind w:left="-360"/>
        <w:jc w:val="both"/>
        <w:rPr>
          <w:color w:val="000000" w:themeColor="text1"/>
          <w:szCs w:val="24"/>
          <w:highlight w:val="yellow"/>
        </w:rPr>
      </w:pPr>
    </w:p>
    <w:p w:rsidRPr="00C206C5" w:rsidR="0063141B" w:rsidP="00CD36BA" w:rsidRDefault="00CE0F16" w14:paraId="299F2098" w14:textId="77777777">
      <w:pPr>
        <w:tabs>
          <w:tab w:val="left" w:pos="90"/>
          <w:tab w:val="left" w:pos="9360"/>
        </w:tabs>
        <w:suppressAutoHyphens/>
        <w:ind w:left="-360"/>
        <w:jc w:val="both"/>
        <w:rPr>
          <w:color w:val="000000" w:themeColor="text1"/>
          <w:szCs w:val="24"/>
        </w:rPr>
      </w:pPr>
      <w:r w:rsidRPr="00C206C5">
        <w:rPr>
          <w:color w:val="000000" w:themeColor="text1"/>
          <w:szCs w:val="24"/>
        </w:rPr>
        <w:t xml:space="preserve">The Commission estimates the average burden per response to be </w:t>
      </w:r>
      <w:r w:rsidRPr="00C206C5" w:rsidR="008E453F">
        <w:rPr>
          <w:color w:val="000000" w:themeColor="text1"/>
          <w:szCs w:val="24"/>
        </w:rPr>
        <w:t xml:space="preserve">approximately </w:t>
      </w:r>
      <w:r w:rsidRPr="00C206C5" w:rsidR="0063141B">
        <w:rPr>
          <w:color w:val="000000" w:themeColor="text1"/>
          <w:szCs w:val="24"/>
        </w:rPr>
        <w:t xml:space="preserve">1.25 hours </w:t>
      </w:r>
      <w:r w:rsidRPr="00C206C5" w:rsidR="002402EE">
        <w:rPr>
          <w:color w:val="000000" w:themeColor="text1"/>
          <w:szCs w:val="24"/>
        </w:rPr>
        <w:t xml:space="preserve">for those </w:t>
      </w:r>
      <w:r w:rsidRPr="00C206C5" w:rsidR="0063141B">
        <w:rPr>
          <w:color w:val="000000" w:themeColor="text1"/>
          <w:szCs w:val="24"/>
        </w:rPr>
        <w:t xml:space="preserve">respondents completing the forms </w:t>
      </w:r>
      <w:r w:rsidRPr="00C206C5" w:rsidR="00DA6676">
        <w:rPr>
          <w:color w:val="000000" w:themeColor="text1"/>
          <w:szCs w:val="24"/>
        </w:rPr>
        <w:t>themselves</w:t>
      </w:r>
      <w:r w:rsidRPr="00C206C5" w:rsidR="0063141B">
        <w:rPr>
          <w:color w:val="000000" w:themeColor="text1"/>
          <w:szCs w:val="24"/>
        </w:rPr>
        <w:t>.  For those respondents hiring a consultant</w:t>
      </w:r>
      <w:r w:rsidRPr="00C206C5" w:rsidR="00D254E5">
        <w:rPr>
          <w:color w:val="000000" w:themeColor="text1"/>
          <w:szCs w:val="24"/>
        </w:rPr>
        <w:t>,</w:t>
      </w:r>
      <w:r w:rsidRPr="00C206C5" w:rsidR="0063141B">
        <w:rPr>
          <w:color w:val="000000" w:themeColor="text1"/>
          <w:szCs w:val="24"/>
        </w:rPr>
        <w:t xml:space="preserve"> we estimate a burden of approximately 30 minutes </w:t>
      </w:r>
      <w:r w:rsidRPr="00C206C5" w:rsidR="00F05707">
        <w:rPr>
          <w:color w:val="000000" w:themeColor="text1"/>
          <w:szCs w:val="24"/>
        </w:rPr>
        <w:t xml:space="preserve">(0.5 hours) </w:t>
      </w:r>
      <w:r w:rsidRPr="00C206C5" w:rsidR="0063141B">
        <w:rPr>
          <w:color w:val="000000" w:themeColor="text1"/>
          <w:szCs w:val="24"/>
        </w:rPr>
        <w:t xml:space="preserve">to coordinate with the consultant. </w:t>
      </w:r>
    </w:p>
    <w:p w:rsidRPr="00C206C5" w:rsidR="007031C8" w:rsidP="00CD36BA" w:rsidRDefault="007031C8" w14:paraId="58B22F4C" w14:textId="77777777">
      <w:pPr>
        <w:tabs>
          <w:tab w:val="left" w:pos="90"/>
          <w:tab w:val="left" w:pos="9360"/>
        </w:tabs>
        <w:suppressAutoHyphens/>
        <w:ind w:left="-360"/>
        <w:jc w:val="both"/>
        <w:rPr>
          <w:color w:val="000000" w:themeColor="text1"/>
          <w:szCs w:val="24"/>
        </w:rPr>
      </w:pPr>
    </w:p>
    <w:p w:rsidRPr="00C206C5" w:rsidR="0063141B" w:rsidP="001F351F" w:rsidRDefault="00F05707" w14:paraId="46CD6CC5" w14:textId="77777777">
      <w:pPr>
        <w:tabs>
          <w:tab w:val="left" w:pos="90"/>
        </w:tabs>
        <w:suppressAutoHyphens/>
        <w:ind w:left="540" w:right="720"/>
        <w:jc w:val="both"/>
        <w:rPr>
          <w:color w:val="000000" w:themeColor="text1"/>
          <w:szCs w:val="24"/>
        </w:rPr>
      </w:pPr>
      <w:r w:rsidRPr="00C206C5">
        <w:rPr>
          <w:color w:val="000000" w:themeColor="text1"/>
          <w:szCs w:val="24"/>
        </w:rPr>
        <w:t xml:space="preserve">The </w:t>
      </w:r>
      <w:r w:rsidRPr="00C206C5" w:rsidR="001F351F">
        <w:rPr>
          <w:color w:val="000000" w:themeColor="text1"/>
          <w:szCs w:val="24"/>
        </w:rPr>
        <w:t>estimated</w:t>
      </w:r>
      <w:r w:rsidRPr="00C206C5">
        <w:rPr>
          <w:color w:val="000000" w:themeColor="text1"/>
          <w:szCs w:val="24"/>
        </w:rPr>
        <w:t xml:space="preserve"> annual burden is</w:t>
      </w:r>
      <w:r w:rsidRPr="00C206C5" w:rsidR="00A516A4">
        <w:rPr>
          <w:color w:val="000000" w:themeColor="text1"/>
          <w:szCs w:val="24"/>
        </w:rPr>
        <w:t>:</w:t>
      </w:r>
    </w:p>
    <w:p w:rsidRPr="00C206C5" w:rsidR="0063141B" w:rsidP="001F351F" w:rsidRDefault="0063141B" w14:paraId="51D2AC90" w14:textId="77777777">
      <w:pPr>
        <w:tabs>
          <w:tab w:val="left" w:pos="90"/>
        </w:tabs>
        <w:suppressAutoHyphens/>
        <w:ind w:left="540" w:right="720"/>
        <w:jc w:val="both"/>
        <w:rPr>
          <w:color w:val="000000" w:themeColor="text1"/>
          <w:szCs w:val="24"/>
          <w:highlight w:val="yellow"/>
        </w:rPr>
      </w:pPr>
    </w:p>
    <w:p w:rsidRPr="00C206C5" w:rsidR="0063141B" w:rsidP="001F351F" w:rsidRDefault="0063141B" w14:paraId="1A32F8D7" w14:textId="77777777">
      <w:pPr>
        <w:tabs>
          <w:tab w:val="left" w:pos="90"/>
        </w:tabs>
        <w:suppressAutoHyphens/>
        <w:ind w:left="540" w:right="720"/>
        <w:jc w:val="both"/>
        <w:rPr>
          <w:color w:val="000000" w:themeColor="text1"/>
          <w:szCs w:val="24"/>
        </w:rPr>
      </w:pPr>
      <w:r w:rsidRPr="00C206C5">
        <w:rPr>
          <w:color w:val="000000" w:themeColor="text1"/>
          <w:szCs w:val="24"/>
        </w:rPr>
        <w:t>12</w:t>
      </w:r>
      <w:r w:rsidRPr="00C206C5" w:rsidR="00C365B9">
        <w:rPr>
          <w:color w:val="000000" w:themeColor="text1"/>
          <w:szCs w:val="24"/>
        </w:rPr>
        <w:t>7</w:t>
      </w:r>
      <w:r w:rsidRPr="00C206C5" w:rsidR="00567618">
        <w:rPr>
          <w:color w:val="000000" w:themeColor="text1"/>
          <w:szCs w:val="24"/>
        </w:rPr>
        <w:t>,</w:t>
      </w:r>
      <w:r w:rsidRPr="00C206C5" w:rsidR="005855FA">
        <w:rPr>
          <w:color w:val="000000" w:themeColor="text1"/>
          <w:szCs w:val="24"/>
        </w:rPr>
        <w:t>726</w:t>
      </w:r>
      <w:r w:rsidRPr="00C206C5" w:rsidR="00A516A4">
        <w:rPr>
          <w:color w:val="000000" w:themeColor="text1"/>
          <w:szCs w:val="24"/>
        </w:rPr>
        <w:t xml:space="preserve"> responses x </w:t>
      </w:r>
      <w:r w:rsidRPr="00C206C5">
        <w:rPr>
          <w:color w:val="000000" w:themeColor="text1"/>
          <w:szCs w:val="24"/>
        </w:rPr>
        <w:t>1.25 hours = 15</w:t>
      </w:r>
      <w:r w:rsidRPr="00C206C5" w:rsidR="00C365B9">
        <w:rPr>
          <w:color w:val="000000" w:themeColor="text1"/>
          <w:szCs w:val="24"/>
        </w:rPr>
        <w:t>9,</w:t>
      </w:r>
      <w:r w:rsidRPr="00C206C5" w:rsidR="005855FA">
        <w:rPr>
          <w:color w:val="000000" w:themeColor="text1"/>
          <w:szCs w:val="24"/>
        </w:rPr>
        <w:t>65</w:t>
      </w:r>
      <w:r w:rsidRPr="00C206C5" w:rsidR="001B50B2">
        <w:rPr>
          <w:color w:val="000000" w:themeColor="text1"/>
          <w:szCs w:val="24"/>
        </w:rPr>
        <w:t>8</w:t>
      </w:r>
      <w:r w:rsidRPr="00C206C5">
        <w:rPr>
          <w:color w:val="000000" w:themeColor="text1"/>
          <w:szCs w:val="24"/>
        </w:rPr>
        <w:t xml:space="preserve"> hours</w:t>
      </w:r>
    </w:p>
    <w:p w:rsidRPr="00C206C5" w:rsidR="0063141B" w:rsidP="001F351F" w:rsidRDefault="0063141B" w14:paraId="3081127E" w14:textId="77777777">
      <w:pPr>
        <w:tabs>
          <w:tab w:val="left" w:pos="90"/>
        </w:tabs>
        <w:suppressAutoHyphens/>
        <w:ind w:left="540" w:right="720"/>
        <w:jc w:val="both"/>
        <w:rPr>
          <w:b/>
          <w:color w:val="000000" w:themeColor="text1"/>
          <w:szCs w:val="24"/>
        </w:rPr>
      </w:pPr>
      <w:r w:rsidRPr="00C206C5">
        <w:rPr>
          <w:color w:val="000000" w:themeColor="text1"/>
          <w:szCs w:val="24"/>
        </w:rPr>
        <w:t>12</w:t>
      </w:r>
      <w:r w:rsidRPr="00C206C5" w:rsidR="00C365B9">
        <w:rPr>
          <w:color w:val="000000" w:themeColor="text1"/>
          <w:szCs w:val="24"/>
        </w:rPr>
        <w:t>7</w:t>
      </w:r>
      <w:r w:rsidRPr="00C206C5" w:rsidR="00567618">
        <w:rPr>
          <w:color w:val="000000" w:themeColor="text1"/>
          <w:szCs w:val="24"/>
        </w:rPr>
        <w:t>,</w:t>
      </w:r>
      <w:r w:rsidRPr="00C206C5" w:rsidR="005855FA">
        <w:rPr>
          <w:color w:val="000000" w:themeColor="text1"/>
          <w:szCs w:val="24"/>
        </w:rPr>
        <w:t>726</w:t>
      </w:r>
      <w:r w:rsidRPr="00C206C5">
        <w:rPr>
          <w:color w:val="000000" w:themeColor="text1"/>
          <w:szCs w:val="24"/>
        </w:rPr>
        <w:t xml:space="preserve"> </w:t>
      </w:r>
      <w:r w:rsidRPr="00C206C5" w:rsidR="00A516A4">
        <w:rPr>
          <w:color w:val="000000" w:themeColor="text1"/>
          <w:szCs w:val="24"/>
        </w:rPr>
        <w:t xml:space="preserve">responses x </w:t>
      </w:r>
      <w:r w:rsidRPr="00C206C5" w:rsidR="0007641F">
        <w:rPr>
          <w:color w:val="000000" w:themeColor="text1"/>
          <w:szCs w:val="24"/>
        </w:rPr>
        <w:t>.</w:t>
      </w:r>
      <w:r w:rsidRPr="00C206C5" w:rsidR="00A63A92">
        <w:rPr>
          <w:color w:val="000000" w:themeColor="text1"/>
          <w:szCs w:val="24"/>
        </w:rPr>
        <w:t>5</w:t>
      </w:r>
      <w:r w:rsidRPr="00C206C5" w:rsidR="0007641F">
        <w:rPr>
          <w:color w:val="000000" w:themeColor="text1"/>
          <w:szCs w:val="24"/>
        </w:rPr>
        <w:t>0</w:t>
      </w:r>
      <w:r w:rsidRPr="00C206C5">
        <w:rPr>
          <w:color w:val="000000" w:themeColor="text1"/>
          <w:szCs w:val="24"/>
        </w:rPr>
        <w:t xml:space="preserve"> hours </w:t>
      </w:r>
      <w:r w:rsidRPr="00C206C5" w:rsidR="00EA5F2C">
        <w:rPr>
          <w:color w:val="000000" w:themeColor="text1"/>
          <w:szCs w:val="24"/>
        </w:rPr>
        <w:t xml:space="preserve">  </w:t>
      </w:r>
      <w:r w:rsidRPr="00C206C5" w:rsidR="008C2AAA">
        <w:rPr>
          <w:color w:val="000000" w:themeColor="text1"/>
          <w:szCs w:val="24"/>
        </w:rPr>
        <w:t xml:space="preserve">= </w:t>
      </w:r>
      <w:r w:rsidRPr="00C206C5" w:rsidR="00EA5F2C">
        <w:rPr>
          <w:color w:val="000000" w:themeColor="text1"/>
          <w:szCs w:val="24"/>
        </w:rPr>
        <w:t xml:space="preserve">  </w:t>
      </w:r>
      <w:r w:rsidRPr="00C206C5">
        <w:rPr>
          <w:color w:val="000000" w:themeColor="text1"/>
          <w:szCs w:val="24"/>
        </w:rPr>
        <w:t>6</w:t>
      </w:r>
      <w:r w:rsidRPr="00C206C5" w:rsidR="00CA6136">
        <w:rPr>
          <w:color w:val="000000" w:themeColor="text1"/>
          <w:szCs w:val="24"/>
        </w:rPr>
        <w:t>3,</w:t>
      </w:r>
      <w:r w:rsidRPr="00C206C5" w:rsidR="00C365B9">
        <w:rPr>
          <w:color w:val="000000" w:themeColor="text1"/>
          <w:szCs w:val="24"/>
        </w:rPr>
        <w:t>8</w:t>
      </w:r>
      <w:r w:rsidRPr="00C206C5" w:rsidR="005855FA">
        <w:rPr>
          <w:color w:val="000000" w:themeColor="text1"/>
          <w:szCs w:val="24"/>
        </w:rPr>
        <w:t>63</w:t>
      </w:r>
      <w:r w:rsidRPr="00C206C5">
        <w:rPr>
          <w:color w:val="000000" w:themeColor="text1"/>
          <w:szCs w:val="24"/>
        </w:rPr>
        <w:t xml:space="preserve"> hours</w:t>
      </w:r>
      <w:r w:rsidRPr="00C206C5">
        <w:rPr>
          <w:b/>
          <w:color w:val="000000" w:themeColor="text1"/>
          <w:szCs w:val="24"/>
        </w:rPr>
        <w:t xml:space="preserve"> </w:t>
      </w:r>
    </w:p>
    <w:p w:rsidRPr="00C206C5" w:rsidR="001F351F" w:rsidP="001F351F" w:rsidRDefault="001F351F" w14:paraId="62AF4310" w14:textId="77777777">
      <w:pPr>
        <w:tabs>
          <w:tab w:val="left" w:pos="90"/>
        </w:tabs>
        <w:suppressAutoHyphens/>
        <w:ind w:left="540" w:right="720"/>
        <w:jc w:val="both"/>
        <w:rPr>
          <w:b/>
          <w:color w:val="000000" w:themeColor="text1"/>
          <w:szCs w:val="24"/>
        </w:rPr>
      </w:pPr>
    </w:p>
    <w:p w:rsidRPr="00C206C5" w:rsidR="00A516A4" w:rsidP="001F351F" w:rsidRDefault="00E414E1" w14:paraId="78ACAE1A" w14:textId="77777777">
      <w:pPr>
        <w:tabs>
          <w:tab w:val="left" w:pos="90"/>
        </w:tabs>
        <w:suppressAutoHyphens/>
        <w:ind w:left="540" w:right="720"/>
        <w:jc w:val="both"/>
        <w:rPr>
          <w:b/>
          <w:color w:val="000000" w:themeColor="text1"/>
          <w:szCs w:val="24"/>
        </w:rPr>
      </w:pPr>
      <w:r w:rsidRPr="00C206C5">
        <w:rPr>
          <w:b/>
          <w:color w:val="000000" w:themeColor="text1"/>
          <w:szCs w:val="24"/>
        </w:rPr>
        <w:t xml:space="preserve">Total </w:t>
      </w:r>
      <w:r w:rsidRPr="00C206C5" w:rsidR="00A516A4">
        <w:rPr>
          <w:b/>
          <w:color w:val="000000" w:themeColor="text1"/>
          <w:szCs w:val="24"/>
        </w:rPr>
        <w:t>Annual burden:  15</w:t>
      </w:r>
      <w:r w:rsidRPr="00C206C5" w:rsidR="00C365B9">
        <w:rPr>
          <w:b/>
          <w:color w:val="000000" w:themeColor="text1"/>
          <w:szCs w:val="24"/>
        </w:rPr>
        <w:t>9</w:t>
      </w:r>
      <w:r w:rsidRPr="00C206C5" w:rsidR="00A516A4">
        <w:rPr>
          <w:b/>
          <w:color w:val="000000" w:themeColor="text1"/>
          <w:szCs w:val="24"/>
        </w:rPr>
        <w:t>,</w:t>
      </w:r>
      <w:r w:rsidRPr="00C206C5" w:rsidR="005855FA">
        <w:rPr>
          <w:b/>
          <w:color w:val="000000" w:themeColor="text1"/>
          <w:szCs w:val="24"/>
        </w:rPr>
        <w:t>65</w:t>
      </w:r>
      <w:r w:rsidRPr="00C206C5" w:rsidR="001B50B2">
        <w:rPr>
          <w:b/>
          <w:color w:val="000000" w:themeColor="text1"/>
          <w:szCs w:val="24"/>
        </w:rPr>
        <w:t>8</w:t>
      </w:r>
      <w:r w:rsidRPr="00C206C5" w:rsidR="00A516A4">
        <w:rPr>
          <w:b/>
          <w:color w:val="000000" w:themeColor="text1"/>
          <w:szCs w:val="24"/>
        </w:rPr>
        <w:t xml:space="preserve"> </w:t>
      </w:r>
      <w:r w:rsidRPr="00C206C5">
        <w:rPr>
          <w:b/>
          <w:color w:val="000000" w:themeColor="text1"/>
          <w:szCs w:val="24"/>
        </w:rPr>
        <w:t xml:space="preserve">hours </w:t>
      </w:r>
      <w:r w:rsidRPr="00C206C5" w:rsidR="00A516A4">
        <w:rPr>
          <w:b/>
          <w:color w:val="000000" w:themeColor="text1"/>
          <w:szCs w:val="24"/>
        </w:rPr>
        <w:t>+ 63,</w:t>
      </w:r>
      <w:r w:rsidRPr="00C206C5" w:rsidR="00C365B9">
        <w:rPr>
          <w:b/>
          <w:color w:val="000000" w:themeColor="text1"/>
          <w:szCs w:val="24"/>
        </w:rPr>
        <w:t>8</w:t>
      </w:r>
      <w:r w:rsidRPr="00C206C5" w:rsidR="005855FA">
        <w:rPr>
          <w:b/>
          <w:color w:val="000000" w:themeColor="text1"/>
          <w:szCs w:val="24"/>
        </w:rPr>
        <w:t>63</w:t>
      </w:r>
      <w:r w:rsidRPr="00C206C5" w:rsidR="00A516A4">
        <w:rPr>
          <w:b/>
          <w:color w:val="000000" w:themeColor="text1"/>
          <w:szCs w:val="24"/>
        </w:rPr>
        <w:t xml:space="preserve"> </w:t>
      </w:r>
      <w:r w:rsidRPr="00C206C5">
        <w:rPr>
          <w:b/>
          <w:color w:val="000000" w:themeColor="text1"/>
          <w:szCs w:val="24"/>
        </w:rPr>
        <w:t xml:space="preserve">hours </w:t>
      </w:r>
      <w:r w:rsidRPr="00C206C5" w:rsidR="00A516A4">
        <w:rPr>
          <w:b/>
          <w:color w:val="000000" w:themeColor="text1"/>
          <w:szCs w:val="24"/>
        </w:rPr>
        <w:t>= 22</w:t>
      </w:r>
      <w:r w:rsidRPr="00C206C5" w:rsidR="00C365B9">
        <w:rPr>
          <w:b/>
          <w:color w:val="000000" w:themeColor="text1"/>
          <w:szCs w:val="24"/>
        </w:rPr>
        <w:t>3,</w:t>
      </w:r>
      <w:r w:rsidRPr="00C206C5" w:rsidR="005855FA">
        <w:rPr>
          <w:b/>
          <w:color w:val="000000" w:themeColor="text1"/>
          <w:szCs w:val="24"/>
        </w:rPr>
        <w:t>52</w:t>
      </w:r>
      <w:r w:rsidRPr="00C206C5" w:rsidR="001B50B2">
        <w:rPr>
          <w:b/>
          <w:color w:val="000000" w:themeColor="text1"/>
          <w:szCs w:val="24"/>
        </w:rPr>
        <w:t>1</w:t>
      </w:r>
      <w:r w:rsidRPr="00C206C5" w:rsidR="00D217F4">
        <w:rPr>
          <w:b/>
          <w:color w:val="000000" w:themeColor="text1"/>
          <w:szCs w:val="24"/>
        </w:rPr>
        <w:t xml:space="preserve"> </w:t>
      </w:r>
      <w:r w:rsidRPr="00C206C5">
        <w:rPr>
          <w:b/>
          <w:color w:val="000000" w:themeColor="text1"/>
          <w:szCs w:val="24"/>
        </w:rPr>
        <w:t>hours.</w:t>
      </w:r>
    </w:p>
    <w:p w:rsidRPr="00C206C5" w:rsidR="00D50FF6" w:rsidP="001F351F" w:rsidRDefault="00D50FF6" w14:paraId="13A00DDD" w14:textId="77777777">
      <w:pPr>
        <w:tabs>
          <w:tab w:val="left" w:pos="90"/>
        </w:tabs>
        <w:suppressAutoHyphens/>
        <w:ind w:left="540" w:right="720"/>
        <w:jc w:val="both"/>
        <w:rPr>
          <w:b/>
          <w:color w:val="000000" w:themeColor="text1"/>
          <w:szCs w:val="24"/>
        </w:rPr>
      </w:pPr>
    </w:p>
    <w:p w:rsidRPr="00C206C5" w:rsidR="001F351F" w:rsidP="00CD36BA" w:rsidRDefault="001F351F" w14:paraId="7E4098D8" w14:textId="77777777">
      <w:pPr>
        <w:tabs>
          <w:tab w:val="left" w:pos="-360"/>
          <w:tab w:val="left" w:pos="90"/>
        </w:tabs>
        <w:suppressAutoHyphens/>
        <w:ind w:left="-360"/>
        <w:jc w:val="both"/>
        <w:rPr>
          <w:color w:val="000000" w:themeColor="text1"/>
          <w:szCs w:val="24"/>
        </w:rPr>
      </w:pPr>
      <w:r w:rsidRPr="00C206C5">
        <w:rPr>
          <w:color w:val="000000" w:themeColor="text1"/>
          <w:szCs w:val="24"/>
        </w:rPr>
        <w:t xml:space="preserve">The Commission also estimates that between zero and 400 entities will annually file </w:t>
      </w:r>
      <w:r w:rsidRPr="00C206C5" w:rsidR="008C5D45">
        <w:rPr>
          <w:color w:val="000000" w:themeColor="text1"/>
          <w:szCs w:val="24"/>
        </w:rPr>
        <w:t xml:space="preserve">FCC </w:t>
      </w:r>
      <w:r w:rsidRPr="00C206C5">
        <w:rPr>
          <w:color w:val="000000" w:themeColor="text1"/>
          <w:szCs w:val="24"/>
        </w:rPr>
        <w:t xml:space="preserve">Form 601 applications regarding eligibility for designated entity benefits.  We therefore estimate that there will be 400 </w:t>
      </w:r>
      <w:r w:rsidRPr="00C206C5" w:rsidR="00761A58">
        <w:rPr>
          <w:color w:val="000000" w:themeColor="text1"/>
          <w:szCs w:val="24"/>
        </w:rPr>
        <w:t xml:space="preserve">such </w:t>
      </w:r>
      <w:r w:rsidRPr="00C206C5">
        <w:rPr>
          <w:color w:val="000000" w:themeColor="text1"/>
          <w:szCs w:val="24"/>
        </w:rPr>
        <w:t>entities.</w:t>
      </w:r>
    </w:p>
    <w:p w:rsidRPr="00C206C5" w:rsidR="001F351F" w:rsidP="00CD36BA" w:rsidRDefault="001F351F" w14:paraId="0F349434" w14:textId="77777777">
      <w:pPr>
        <w:tabs>
          <w:tab w:val="left" w:pos="-360"/>
          <w:tab w:val="left" w:pos="90"/>
        </w:tabs>
        <w:suppressAutoHyphens/>
        <w:ind w:left="-360"/>
        <w:jc w:val="both"/>
        <w:rPr>
          <w:color w:val="000000" w:themeColor="text1"/>
          <w:szCs w:val="24"/>
        </w:rPr>
      </w:pPr>
    </w:p>
    <w:p w:rsidRPr="00C206C5" w:rsidR="001F351F" w:rsidP="00CD36BA" w:rsidRDefault="0018188D" w14:paraId="6F263A92" w14:textId="77777777">
      <w:pPr>
        <w:tabs>
          <w:tab w:val="left" w:pos="-360"/>
          <w:tab w:val="left" w:pos="90"/>
        </w:tabs>
        <w:suppressAutoHyphens/>
        <w:ind w:left="-360"/>
        <w:jc w:val="both"/>
        <w:rPr>
          <w:color w:val="000000" w:themeColor="text1"/>
          <w:szCs w:val="24"/>
        </w:rPr>
      </w:pPr>
      <w:r w:rsidRPr="00C206C5">
        <w:rPr>
          <w:color w:val="000000" w:themeColor="text1"/>
          <w:szCs w:val="24"/>
        </w:rPr>
        <w:t>The Commission estimates</w:t>
      </w:r>
      <w:r w:rsidRPr="00C206C5" w:rsidR="001F351F">
        <w:rPr>
          <w:color w:val="000000" w:themeColor="text1"/>
          <w:szCs w:val="24"/>
        </w:rPr>
        <w:t xml:space="preserve"> that 50% of </w:t>
      </w:r>
      <w:r w:rsidRPr="00C206C5" w:rsidR="003C7811">
        <w:rPr>
          <w:color w:val="000000" w:themeColor="text1"/>
          <w:szCs w:val="24"/>
        </w:rPr>
        <w:t xml:space="preserve">these </w:t>
      </w:r>
      <w:r w:rsidRPr="00C206C5" w:rsidR="005E58A6">
        <w:rPr>
          <w:color w:val="000000" w:themeColor="text1"/>
          <w:szCs w:val="24"/>
        </w:rPr>
        <w:t>400</w:t>
      </w:r>
      <w:r w:rsidRPr="00C206C5" w:rsidR="001F351F">
        <w:rPr>
          <w:color w:val="000000" w:themeColor="text1"/>
          <w:szCs w:val="24"/>
        </w:rPr>
        <w:t xml:space="preserve"> respondents (200) will complete the application themselves with no additional assistance and </w:t>
      </w:r>
      <w:r w:rsidRPr="00C206C5" w:rsidR="005E58A6">
        <w:rPr>
          <w:color w:val="000000" w:themeColor="text1"/>
          <w:szCs w:val="24"/>
        </w:rPr>
        <w:t>the remaining</w:t>
      </w:r>
      <w:r w:rsidRPr="00C206C5" w:rsidR="001F351F">
        <w:rPr>
          <w:color w:val="000000" w:themeColor="text1"/>
          <w:szCs w:val="24"/>
        </w:rPr>
        <w:t xml:space="preserve"> 50% (200) will contract </w:t>
      </w:r>
      <w:r w:rsidRPr="00C206C5" w:rsidR="003C7811">
        <w:rPr>
          <w:color w:val="000000" w:themeColor="text1"/>
          <w:szCs w:val="24"/>
        </w:rPr>
        <w:t xml:space="preserve">out </w:t>
      </w:r>
      <w:r w:rsidRPr="00C206C5" w:rsidR="00CE0F16">
        <w:rPr>
          <w:color w:val="000000" w:themeColor="text1"/>
          <w:szCs w:val="24"/>
        </w:rPr>
        <w:t>the completion of</w:t>
      </w:r>
      <w:r w:rsidRPr="00C206C5" w:rsidR="001F351F">
        <w:rPr>
          <w:color w:val="000000" w:themeColor="text1"/>
          <w:szCs w:val="24"/>
        </w:rPr>
        <w:t xml:space="preserve"> the form to a law firm or application preparation service.  </w:t>
      </w:r>
    </w:p>
    <w:p w:rsidRPr="00C206C5" w:rsidR="001F351F" w:rsidP="00CD36BA" w:rsidRDefault="001F351F" w14:paraId="28A1EF46" w14:textId="77777777">
      <w:pPr>
        <w:tabs>
          <w:tab w:val="left" w:pos="-360"/>
          <w:tab w:val="left" w:pos="90"/>
        </w:tabs>
        <w:suppressAutoHyphens/>
        <w:ind w:left="-360"/>
        <w:jc w:val="both"/>
        <w:rPr>
          <w:color w:val="000000" w:themeColor="text1"/>
          <w:szCs w:val="24"/>
        </w:rPr>
      </w:pPr>
    </w:p>
    <w:p w:rsidRPr="00C206C5" w:rsidR="001F351F" w:rsidP="00CD36BA" w:rsidRDefault="00CE0F16" w14:paraId="67650A33" w14:textId="77777777">
      <w:pPr>
        <w:tabs>
          <w:tab w:val="left" w:pos="-360"/>
          <w:tab w:val="left" w:pos="90"/>
        </w:tabs>
        <w:suppressAutoHyphens/>
        <w:ind w:left="-360"/>
        <w:jc w:val="both"/>
        <w:rPr>
          <w:color w:val="000000" w:themeColor="text1"/>
          <w:szCs w:val="24"/>
        </w:rPr>
      </w:pPr>
      <w:r w:rsidRPr="00C206C5">
        <w:rPr>
          <w:color w:val="000000" w:themeColor="text1"/>
          <w:szCs w:val="24"/>
        </w:rPr>
        <w:t xml:space="preserve">The Commission estimates the average </w:t>
      </w:r>
      <w:r w:rsidRPr="00C206C5" w:rsidR="00A516A4">
        <w:rPr>
          <w:color w:val="000000" w:themeColor="text1"/>
          <w:szCs w:val="24"/>
        </w:rPr>
        <w:t xml:space="preserve">burden per response to be </w:t>
      </w:r>
      <w:r w:rsidRPr="00C206C5" w:rsidR="001F351F">
        <w:rPr>
          <w:color w:val="000000" w:themeColor="text1"/>
          <w:szCs w:val="24"/>
        </w:rPr>
        <w:t xml:space="preserve">approximately </w:t>
      </w:r>
      <w:r w:rsidRPr="00C206C5" w:rsidR="004C7B1B">
        <w:rPr>
          <w:color w:val="000000" w:themeColor="text1"/>
          <w:szCs w:val="24"/>
        </w:rPr>
        <w:t xml:space="preserve">1.25 </w:t>
      </w:r>
      <w:r w:rsidRPr="00C206C5" w:rsidR="001F351F">
        <w:rPr>
          <w:color w:val="000000" w:themeColor="text1"/>
          <w:szCs w:val="24"/>
        </w:rPr>
        <w:t>hour</w:t>
      </w:r>
      <w:r w:rsidRPr="00C206C5" w:rsidR="004C7B1B">
        <w:rPr>
          <w:color w:val="000000" w:themeColor="text1"/>
          <w:szCs w:val="24"/>
        </w:rPr>
        <w:t>s</w:t>
      </w:r>
      <w:r w:rsidRPr="00C206C5" w:rsidR="001F351F">
        <w:rPr>
          <w:color w:val="000000" w:themeColor="text1"/>
          <w:szCs w:val="24"/>
        </w:rPr>
        <w:t xml:space="preserve"> for those respondents completing the form themselves.  For those respondents hiring a consultant, we estimate a burden of approximately </w:t>
      </w:r>
      <w:r w:rsidRPr="00C206C5" w:rsidR="004C7B1B">
        <w:rPr>
          <w:color w:val="000000" w:themeColor="text1"/>
          <w:szCs w:val="24"/>
        </w:rPr>
        <w:t xml:space="preserve">45 </w:t>
      </w:r>
      <w:r w:rsidRPr="00C206C5" w:rsidR="001F351F">
        <w:rPr>
          <w:color w:val="000000" w:themeColor="text1"/>
          <w:szCs w:val="24"/>
        </w:rPr>
        <w:t>minutes (0.</w:t>
      </w:r>
      <w:r w:rsidRPr="00C206C5" w:rsidR="004C7B1B">
        <w:rPr>
          <w:color w:val="000000" w:themeColor="text1"/>
          <w:szCs w:val="24"/>
        </w:rPr>
        <w:t xml:space="preserve">75 </w:t>
      </w:r>
      <w:r w:rsidRPr="00C206C5" w:rsidR="001F351F">
        <w:rPr>
          <w:color w:val="000000" w:themeColor="text1"/>
          <w:szCs w:val="24"/>
        </w:rPr>
        <w:t xml:space="preserve">hours) to coordinate with the consultant. </w:t>
      </w:r>
    </w:p>
    <w:p w:rsidRPr="00C206C5" w:rsidR="001F351F" w:rsidP="001F351F" w:rsidRDefault="001F351F" w14:paraId="2A452217" w14:textId="77777777">
      <w:pPr>
        <w:tabs>
          <w:tab w:val="left" w:pos="-360"/>
          <w:tab w:val="left" w:pos="90"/>
        </w:tabs>
        <w:suppressAutoHyphens/>
        <w:ind w:left="-360" w:right="630"/>
        <w:jc w:val="both"/>
        <w:rPr>
          <w:color w:val="000000" w:themeColor="text1"/>
          <w:szCs w:val="24"/>
        </w:rPr>
      </w:pPr>
    </w:p>
    <w:p w:rsidRPr="00C206C5" w:rsidR="00D02C3B" w:rsidP="001F351F" w:rsidRDefault="00D02C3B" w14:paraId="3939A4D9" w14:textId="77777777">
      <w:pPr>
        <w:tabs>
          <w:tab w:val="left" w:pos="-360"/>
          <w:tab w:val="left" w:pos="90"/>
        </w:tabs>
        <w:suppressAutoHyphens/>
        <w:ind w:left="-360" w:right="630"/>
        <w:jc w:val="both"/>
        <w:rPr>
          <w:color w:val="000000" w:themeColor="text1"/>
          <w:szCs w:val="24"/>
        </w:rPr>
      </w:pPr>
    </w:p>
    <w:p w:rsidRPr="00C206C5" w:rsidR="001F351F" w:rsidP="001F351F" w:rsidRDefault="007031C8" w14:paraId="7375E029" w14:textId="77777777">
      <w:pPr>
        <w:tabs>
          <w:tab w:val="left" w:pos="90"/>
          <w:tab w:val="left" w:pos="540"/>
        </w:tabs>
        <w:suppressAutoHyphens/>
        <w:ind w:left="630" w:right="630"/>
        <w:jc w:val="both"/>
        <w:rPr>
          <w:color w:val="000000" w:themeColor="text1"/>
          <w:szCs w:val="24"/>
        </w:rPr>
      </w:pPr>
      <w:r w:rsidRPr="00C206C5">
        <w:rPr>
          <w:color w:val="000000" w:themeColor="text1"/>
          <w:szCs w:val="24"/>
        </w:rPr>
        <w:t xml:space="preserve"> </w:t>
      </w:r>
      <w:r w:rsidRPr="00C206C5" w:rsidR="001F351F">
        <w:rPr>
          <w:color w:val="000000" w:themeColor="text1"/>
          <w:szCs w:val="24"/>
        </w:rPr>
        <w:t>The estimated annual burden is</w:t>
      </w:r>
      <w:r w:rsidRPr="00C206C5" w:rsidR="00A516A4">
        <w:rPr>
          <w:color w:val="000000" w:themeColor="text1"/>
          <w:szCs w:val="24"/>
        </w:rPr>
        <w:t>:</w:t>
      </w:r>
    </w:p>
    <w:p w:rsidRPr="00C206C5" w:rsidR="001F351F" w:rsidP="001F351F" w:rsidRDefault="001F351F" w14:paraId="0C25821A" w14:textId="77777777">
      <w:pPr>
        <w:tabs>
          <w:tab w:val="left" w:pos="90"/>
        </w:tabs>
        <w:suppressAutoHyphens/>
        <w:ind w:left="360"/>
        <w:rPr>
          <w:color w:val="000000" w:themeColor="text1"/>
          <w:szCs w:val="24"/>
        </w:rPr>
      </w:pPr>
    </w:p>
    <w:p w:rsidRPr="00C206C5" w:rsidR="001F351F" w:rsidP="001F351F" w:rsidRDefault="001F351F" w14:paraId="15FCE701" w14:textId="77777777">
      <w:pPr>
        <w:tabs>
          <w:tab w:val="left" w:pos="90"/>
        </w:tabs>
        <w:suppressAutoHyphens/>
        <w:ind w:left="720"/>
        <w:rPr>
          <w:color w:val="000000" w:themeColor="text1"/>
          <w:szCs w:val="24"/>
        </w:rPr>
      </w:pPr>
      <w:r w:rsidRPr="00C206C5">
        <w:rPr>
          <w:color w:val="000000" w:themeColor="text1"/>
          <w:szCs w:val="24"/>
        </w:rPr>
        <w:t xml:space="preserve">200 </w:t>
      </w:r>
      <w:r w:rsidRPr="00C206C5" w:rsidR="00A516A4">
        <w:rPr>
          <w:color w:val="000000" w:themeColor="text1"/>
          <w:szCs w:val="24"/>
        </w:rPr>
        <w:t xml:space="preserve">responses x </w:t>
      </w:r>
      <w:r w:rsidRPr="00C206C5">
        <w:rPr>
          <w:color w:val="000000" w:themeColor="text1"/>
          <w:szCs w:val="24"/>
        </w:rPr>
        <w:t>1</w:t>
      </w:r>
      <w:r w:rsidRPr="00C206C5" w:rsidR="004C7B1B">
        <w:rPr>
          <w:color w:val="000000" w:themeColor="text1"/>
          <w:szCs w:val="24"/>
        </w:rPr>
        <w:t>.25</w:t>
      </w:r>
      <w:r w:rsidRPr="00C206C5">
        <w:rPr>
          <w:color w:val="000000" w:themeColor="text1"/>
          <w:szCs w:val="24"/>
        </w:rPr>
        <w:t xml:space="preserve"> hour </w:t>
      </w:r>
      <w:r w:rsidRPr="00C206C5" w:rsidR="00EA5F2C">
        <w:rPr>
          <w:color w:val="000000" w:themeColor="text1"/>
          <w:szCs w:val="24"/>
        </w:rPr>
        <w:t xml:space="preserve">    </w:t>
      </w:r>
      <w:r w:rsidRPr="00C206C5">
        <w:rPr>
          <w:color w:val="000000" w:themeColor="text1"/>
          <w:szCs w:val="24"/>
        </w:rPr>
        <w:t xml:space="preserve">= </w:t>
      </w:r>
      <w:r w:rsidRPr="00C206C5" w:rsidR="00EA5F2C">
        <w:rPr>
          <w:color w:val="000000" w:themeColor="text1"/>
          <w:szCs w:val="24"/>
        </w:rPr>
        <w:t xml:space="preserve"> </w:t>
      </w:r>
      <w:r w:rsidRPr="00C206C5" w:rsidR="004C7B1B">
        <w:rPr>
          <w:color w:val="000000" w:themeColor="text1"/>
          <w:szCs w:val="24"/>
        </w:rPr>
        <w:t xml:space="preserve">250 </w:t>
      </w:r>
      <w:r w:rsidRPr="00C206C5">
        <w:rPr>
          <w:color w:val="000000" w:themeColor="text1"/>
          <w:szCs w:val="24"/>
        </w:rPr>
        <w:t>hours</w:t>
      </w:r>
    </w:p>
    <w:p w:rsidRPr="00C206C5" w:rsidR="001F351F" w:rsidP="001F351F" w:rsidRDefault="001F351F" w14:paraId="2236D6C0" w14:textId="77777777">
      <w:pPr>
        <w:tabs>
          <w:tab w:val="left" w:pos="90"/>
        </w:tabs>
        <w:suppressAutoHyphens/>
        <w:ind w:left="720"/>
        <w:rPr>
          <w:color w:val="000000" w:themeColor="text1"/>
          <w:szCs w:val="24"/>
        </w:rPr>
      </w:pPr>
      <w:r w:rsidRPr="00C206C5">
        <w:rPr>
          <w:color w:val="000000" w:themeColor="text1"/>
          <w:szCs w:val="24"/>
        </w:rPr>
        <w:t xml:space="preserve">200 </w:t>
      </w:r>
      <w:r w:rsidRPr="00C206C5" w:rsidR="00A516A4">
        <w:rPr>
          <w:color w:val="000000" w:themeColor="text1"/>
          <w:szCs w:val="24"/>
        </w:rPr>
        <w:t xml:space="preserve">responses x </w:t>
      </w:r>
      <w:r w:rsidRPr="00C206C5">
        <w:rPr>
          <w:color w:val="000000" w:themeColor="text1"/>
          <w:szCs w:val="24"/>
        </w:rPr>
        <w:t>0.</w:t>
      </w:r>
      <w:r w:rsidRPr="00C206C5" w:rsidR="004C7B1B">
        <w:rPr>
          <w:color w:val="000000" w:themeColor="text1"/>
          <w:szCs w:val="24"/>
        </w:rPr>
        <w:t>7</w:t>
      </w:r>
      <w:r w:rsidRPr="00C206C5">
        <w:rPr>
          <w:color w:val="000000" w:themeColor="text1"/>
          <w:szCs w:val="24"/>
        </w:rPr>
        <w:t xml:space="preserve">5 hours </w:t>
      </w:r>
      <w:r w:rsidRPr="00C206C5" w:rsidR="003678D7">
        <w:rPr>
          <w:color w:val="000000" w:themeColor="text1"/>
          <w:szCs w:val="24"/>
        </w:rPr>
        <w:t xml:space="preserve">   </w:t>
      </w:r>
      <w:r w:rsidRPr="00C206C5">
        <w:rPr>
          <w:color w:val="000000" w:themeColor="text1"/>
          <w:szCs w:val="24"/>
        </w:rPr>
        <w:t xml:space="preserve">= </w:t>
      </w:r>
      <w:r w:rsidRPr="00C206C5" w:rsidR="004C7B1B">
        <w:rPr>
          <w:color w:val="000000" w:themeColor="text1"/>
          <w:szCs w:val="24"/>
        </w:rPr>
        <w:t xml:space="preserve">150 </w:t>
      </w:r>
      <w:r w:rsidRPr="00C206C5">
        <w:rPr>
          <w:color w:val="000000" w:themeColor="text1"/>
          <w:szCs w:val="24"/>
        </w:rPr>
        <w:t>hours</w:t>
      </w:r>
    </w:p>
    <w:p w:rsidRPr="00C206C5" w:rsidR="001F351F" w:rsidP="001F351F" w:rsidRDefault="001F351F" w14:paraId="2CD93EDF" w14:textId="77777777">
      <w:pPr>
        <w:tabs>
          <w:tab w:val="left" w:pos="90"/>
        </w:tabs>
        <w:suppressAutoHyphens/>
        <w:ind w:left="360"/>
        <w:rPr>
          <w:color w:val="000000" w:themeColor="text1"/>
          <w:szCs w:val="24"/>
        </w:rPr>
      </w:pPr>
    </w:p>
    <w:p w:rsidRPr="00C206C5" w:rsidR="00A516A4" w:rsidP="001F351F" w:rsidRDefault="00A516A4" w14:paraId="254DB08E" w14:textId="77777777">
      <w:pPr>
        <w:tabs>
          <w:tab w:val="left" w:pos="90"/>
        </w:tabs>
        <w:suppressAutoHyphens/>
        <w:ind w:left="720"/>
        <w:rPr>
          <w:b/>
          <w:color w:val="000000" w:themeColor="text1"/>
          <w:szCs w:val="24"/>
        </w:rPr>
      </w:pPr>
      <w:r w:rsidRPr="00C206C5">
        <w:rPr>
          <w:b/>
          <w:color w:val="000000" w:themeColor="text1"/>
          <w:szCs w:val="24"/>
        </w:rPr>
        <w:t xml:space="preserve">Annual burden hours:  </w:t>
      </w:r>
      <w:r w:rsidRPr="00C206C5" w:rsidR="004C7B1B">
        <w:rPr>
          <w:b/>
          <w:color w:val="000000" w:themeColor="text1"/>
          <w:szCs w:val="24"/>
        </w:rPr>
        <w:t xml:space="preserve">250 </w:t>
      </w:r>
      <w:r w:rsidRPr="00C206C5">
        <w:rPr>
          <w:b/>
          <w:color w:val="000000" w:themeColor="text1"/>
          <w:szCs w:val="24"/>
        </w:rPr>
        <w:t xml:space="preserve">+ </w:t>
      </w:r>
      <w:r w:rsidRPr="00C206C5" w:rsidR="004C7B1B">
        <w:rPr>
          <w:b/>
          <w:color w:val="000000" w:themeColor="text1"/>
          <w:szCs w:val="24"/>
        </w:rPr>
        <w:t xml:space="preserve">150 </w:t>
      </w:r>
      <w:r w:rsidRPr="00C206C5">
        <w:rPr>
          <w:b/>
          <w:color w:val="000000" w:themeColor="text1"/>
          <w:szCs w:val="24"/>
        </w:rPr>
        <w:t xml:space="preserve">= </w:t>
      </w:r>
      <w:r w:rsidRPr="00C206C5" w:rsidR="004C7B1B">
        <w:rPr>
          <w:b/>
          <w:color w:val="000000" w:themeColor="text1"/>
          <w:szCs w:val="24"/>
        </w:rPr>
        <w:t xml:space="preserve">400 </w:t>
      </w:r>
    </w:p>
    <w:p w:rsidRPr="00C206C5" w:rsidR="00D50FF6" w:rsidP="001F351F" w:rsidRDefault="00D50FF6" w14:paraId="307AEC43" w14:textId="77777777">
      <w:pPr>
        <w:tabs>
          <w:tab w:val="left" w:pos="90"/>
        </w:tabs>
        <w:suppressAutoHyphens/>
        <w:ind w:left="720"/>
        <w:rPr>
          <w:b/>
          <w:color w:val="000000" w:themeColor="text1"/>
          <w:szCs w:val="24"/>
        </w:rPr>
      </w:pPr>
    </w:p>
    <w:p w:rsidRPr="00C206C5" w:rsidR="0018188D" w:rsidP="0018188D" w:rsidRDefault="0018188D" w14:paraId="76C69469" w14:textId="77777777">
      <w:pPr>
        <w:tabs>
          <w:tab w:val="left" w:pos="90"/>
        </w:tabs>
        <w:suppressAutoHyphens/>
        <w:ind w:left="-360" w:right="720"/>
        <w:rPr>
          <w:b/>
          <w:smallCaps/>
          <w:color w:val="000000" w:themeColor="text1"/>
          <w:szCs w:val="24"/>
        </w:rPr>
      </w:pPr>
      <w:r w:rsidRPr="00C206C5">
        <w:rPr>
          <w:b/>
          <w:smallCaps/>
          <w:color w:val="000000" w:themeColor="text1"/>
          <w:szCs w:val="24"/>
        </w:rPr>
        <w:t>total annual burden hours:  2</w:t>
      </w:r>
      <w:r w:rsidRPr="00C206C5" w:rsidR="003212D7">
        <w:rPr>
          <w:b/>
          <w:smallCaps/>
          <w:color w:val="000000" w:themeColor="text1"/>
          <w:szCs w:val="24"/>
        </w:rPr>
        <w:t>23,</w:t>
      </w:r>
      <w:r w:rsidRPr="00C206C5" w:rsidR="005855FA">
        <w:rPr>
          <w:b/>
          <w:smallCaps/>
          <w:color w:val="000000" w:themeColor="text1"/>
          <w:szCs w:val="24"/>
        </w:rPr>
        <w:t>52</w:t>
      </w:r>
      <w:r w:rsidRPr="00C206C5" w:rsidR="001B50B2">
        <w:rPr>
          <w:b/>
          <w:smallCaps/>
          <w:color w:val="000000" w:themeColor="text1"/>
          <w:szCs w:val="24"/>
        </w:rPr>
        <w:t>1</w:t>
      </w:r>
      <w:r w:rsidRPr="00C206C5" w:rsidR="00201250">
        <w:rPr>
          <w:b/>
          <w:smallCaps/>
          <w:color w:val="000000" w:themeColor="text1"/>
          <w:szCs w:val="24"/>
        </w:rPr>
        <w:t xml:space="preserve"> </w:t>
      </w:r>
      <w:r w:rsidRPr="00C206C5">
        <w:rPr>
          <w:b/>
          <w:smallCaps/>
          <w:color w:val="000000" w:themeColor="text1"/>
          <w:szCs w:val="24"/>
        </w:rPr>
        <w:t xml:space="preserve">+ </w:t>
      </w:r>
      <w:r w:rsidRPr="00C206C5" w:rsidR="004C7B1B">
        <w:rPr>
          <w:b/>
          <w:smallCaps/>
          <w:color w:val="000000" w:themeColor="text1"/>
          <w:szCs w:val="24"/>
        </w:rPr>
        <w:t xml:space="preserve">400 </w:t>
      </w:r>
      <w:r w:rsidRPr="00C206C5">
        <w:rPr>
          <w:b/>
          <w:smallCaps/>
          <w:color w:val="000000" w:themeColor="text1"/>
          <w:szCs w:val="24"/>
        </w:rPr>
        <w:t xml:space="preserve">= </w:t>
      </w:r>
      <w:r w:rsidRPr="00C206C5" w:rsidR="004C7B1B">
        <w:rPr>
          <w:b/>
          <w:smallCaps/>
          <w:color w:val="000000" w:themeColor="text1"/>
          <w:szCs w:val="24"/>
        </w:rPr>
        <w:t>22</w:t>
      </w:r>
      <w:r w:rsidRPr="00C206C5" w:rsidR="00C365B9">
        <w:rPr>
          <w:b/>
          <w:smallCaps/>
          <w:color w:val="000000" w:themeColor="text1"/>
          <w:szCs w:val="24"/>
        </w:rPr>
        <w:t>3,</w:t>
      </w:r>
      <w:r w:rsidRPr="00C206C5" w:rsidR="005855FA">
        <w:rPr>
          <w:b/>
          <w:smallCaps/>
          <w:color w:val="000000" w:themeColor="text1"/>
          <w:szCs w:val="24"/>
        </w:rPr>
        <w:t>92</w:t>
      </w:r>
      <w:r w:rsidRPr="00C206C5" w:rsidR="001B50B2">
        <w:rPr>
          <w:b/>
          <w:smallCaps/>
          <w:color w:val="000000" w:themeColor="text1"/>
          <w:szCs w:val="24"/>
        </w:rPr>
        <w:t>1</w:t>
      </w:r>
    </w:p>
    <w:p w:rsidRPr="00C206C5" w:rsidR="00A51BFC" w:rsidP="0018188D" w:rsidRDefault="00A51BFC" w14:paraId="3B388AB0" w14:textId="77777777">
      <w:pPr>
        <w:tabs>
          <w:tab w:val="left" w:pos="90"/>
        </w:tabs>
        <w:suppressAutoHyphens/>
        <w:ind w:left="-360" w:right="720"/>
        <w:rPr>
          <w:b/>
          <w:smallCaps/>
          <w:color w:val="000000" w:themeColor="text1"/>
          <w:szCs w:val="24"/>
        </w:rPr>
      </w:pPr>
    </w:p>
    <w:p w:rsidRPr="00C206C5" w:rsidR="00A51BFC" w:rsidP="0018188D" w:rsidRDefault="00A51BFC" w14:paraId="032D563C" w14:textId="77777777">
      <w:pPr>
        <w:tabs>
          <w:tab w:val="left" w:pos="90"/>
        </w:tabs>
        <w:suppressAutoHyphens/>
        <w:ind w:left="-360" w:right="720"/>
        <w:rPr>
          <w:b/>
          <w:smallCaps/>
          <w:color w:val="000000" w:themeColor="text1"/>
          <w:szCs w:val="24"/>
        </w:rPr>
      </w:pPr>
      <w:r w:rsidRPr="00C206C5">
        <w:rPr>
          <w:b/>
          <w:smallCaps/>
          <w:color w:val="000000" w:themeColor="text1"/>
          <w:szCs w:val="24"/>
        </w:rPr>
        <w:t>Total Number of Respondents:  25</w:t>
      </w:r>
      <w:r w:rsidRPr="00C206C5" w:rsidR="00C365B9">
        <w:rPr>
          <w:b/>
          <w:smallCaps/>
          <w:color w:val="000000" w:themeColor="text1"/>
          <w:szCs w:val="24"/>
        </w:rPr>
        <w:t>5,</w:t>
      </w:r>
      <w:r w:rsidRPr="00C206C5" w:rsidR="005855FA">
        <w:rPr>
          <w:b/>
          <w:smallCaps/>
          <w:color w:val="000000" w:themeColor="text1"/>
          <w:szCs w:val="24"/>
        </w:rPr>
        <w:t>4</w:t>
      </w:r>
      <w:r w:rsidRPr="00C206C5" w:rsidR="00C365B9">
        <w:rPr>
          <w:b/>
          <w:smallCaps/>
          <w:color w:val="000000" w:themeColor="text1"/>
          <w:szCs w:val="24"/>
        </w:rPr>
        <w:t>52</w:t>
      </w:r>
    </w:p>
    <w:p w:rsidRPr="00C206C5" w:rsidR="00A51BFC" w:rsidP="0018188D" w:rsidRDefault="00A51BFC" w14:paraId="7D51FC88" w14:textId="77777777">
      <w:pPr>
        <w:tabs>
          <w:tab w:val="left" w:pos="90"/>
        </w:tabs>
        <w:suppressAutoHyphens/>
        <w:ind w:left="-360" w:right="720"/>
        <w:rPr>
          <w:b/>
          <w:smallCaps/>
          <w:color w:val="000000" w:themeColor="text1"/>
          <w:szCs w:val="24"/>
        </w:rPr>
      </w:pPr>
    </w:p>
    <w:p w:rsidRPr="00C206C5" w:rsidR="00A51BFC" w:rsidP="0018188D" w:rsidRDefault="00A51BFC" w14:paraId="4D51EB36" w14:textId="77777777">
      <w:pPr>
        <w:tabs>
          <w:tab w:val="left" w:pos="90"/>
        </w:tabs>
        <w:suppressAutoHyphens/>
        <w:ind w:left="-360" w:right="720"/>
        <w:rPr>
          <w:b/>
          <w:color w:val="000000" w:themeColor="text1"/>
          <w:szCs w:val="24"/>
        </w:rPr>
      </w:pPr>
      <w:r w:rsidRPr="00C206C5">
        <w:rPr>
          <w:b/>
          <w:smallCaps/>
          <w:color w:val="000000" w:themeColor="text1"/>
          <w:szCs w:val="24"/>
        </w:rPr>
        <w:t>Total Number of Responses:  25</w:t>
      </w:r>
      <w:r w:rsidRPr="00C206C5" w:rsidR="00C365B9">
        <w:rPr>
          <w:b/>
          <w:smallCaps/>
          <w:color w:val="000000" w:themeColor="text1"/>
          <w:szCs w:val="24"/>
        </w:rPr>
        <w:t>5,</w:t>
      </w:r>
      <w:r w:rsidRPr="00C206C5" w:rsidR="005855FA">
        <w:rPr>
          <w:b/>
          <w:smallCaps/>
          <w:color w:val="000000" w:themeColor="text1"/>
          <w:szCs w:val="24"/>
        </w:rPr>
        <w:t>4</w:t>
      </w:r>
      <w:r w:rsidRPr="00C206C5" w:rsidR="00C365B9">
        <w:rPr>
          <w:b/>
          <w:smallCaps/>
          <w:color w:val="000000" w:themeColor="text1"/>
          <w:szCs w:val="24"/>
        </w:rPr>
        <w:t>52</w:t>
      </w:r>
    </w:p>
    <w:p w:rsidRPr="00C206C5" w:rsidR="0063141B" w:rsidP="008523E0" w:rsidRDefault="0063141B" w14:paraId="5AB9667C" w14:textId="77777777">
      <w:pPr>
        <w:tabs>
          <w:tab w:val="left" w:pos="90"/>
        </w:tabs>
        <w:suppressAutoHyphens/>
        <w:ind w:left="-360" w:right="720" w:hanging="720"/>
        <w:jc w:val="both"/>
        <w:rPr>
          <w:b/>
          <w:color w:val="000000" w:themeColor="text1"/>
          <w:szCs w:val="24"/>
          <w:highlight w:val="yellow"/>
        </w:rPr>
      </w:pPr>
    </w:p>
    <w:p w:rsidRPr="00C206C5" w:rsidR="0063141B" w:rsidP="00CD36BA" w:rsidRDefault="00A516A4" w14:paraId="159D8428" w14:textId="77777777">
      <w:pPr>
        <w:tabs>
          <w:tab w:val="left" w:pos="90"/>
        </w:tabs>
        <w:suppressAutoHyphens/>
        <w:ind w:left="-360"/>
        <w:jc w:val="both"/>
        <w:rPr>
          <w:color w:val="000000" w:themeColor="text1"/>
          <w:szCs w:val="24"/>
        </w:rPr>
      </w:pPr>
      <w:r w:rsidRPr="00C206C5">
        <w:rPr>
          <w:color w:val="000000" w:themeColor="text1"/>
          <w:szCs w:val="24"/>
        </w:rPr>
        <w:t>Commission Rules require</w:t>
      </w:r>
      <w:r w:rsidRPr="00C206C5" w:rsidR="0063141B">
        <w:rPr>
          <w:color w:val="000000" w:themeColor="text1"/>
          <w:szCs w:val="24"/>
        </w:rPr>
        <w:t xml:space="preserve"> that certain applicants obtain frequency coordination prior to submitting their application to the FCC.  We estimate that approximately 40% of the total respondents (</w:t>
      </w:r>
      <w:r w:rsidRPr="00C206C5" w:rsidR="00F30052">
        <w:rPr>
          <w:color w:val="000000" w:themeColor="text1"/>
          <w:szCs w:val="24"/>
        </w:rPr>
        <w:t>10</w:t>
      </w:r>
      <w:r w:rsidRPr="00C206C5" w:rsidR="00154267">
        <w:rPr>
          <w:color w:val="000000" w:themeColor="text1"/>
          <w:szCs w:val="24"/>
        </w:rPr>
        <w:t>2</w:t>
      </w:r>
      <w:r w:rsidRPr="00C206C5" w:rsidR="0063141B">
        <w:rPr>
          <w:color w:val="000000" w:themeColor="text1"/>
          <w:szCs w:val="24"/>
        </w:rPr>
        <w:t>,</w:t>
      </w:r>
      <w:r w:rsidRPr="00C206C5" w:rsidR="004B4D56">
        <w:rPr>
          <w:color w:val="000000" w:themeColor="text1"/>
          <w:szCs w:val="24"/>
        </w:rPr>
        <w:t>181</w:t>
      </w:r>
      <w:r w:rsidRPr="00C206C5" w:rsidR="0063141B">
        <w:rPr>
          <w:color w:val="000000" w:themeColor="text1"/>
          <w:szCs w:val="24"/>
        </w:rPr>
        <w:t xml:space="preserve"> respondents) are required to comply with frequency coordination requirements.  There is no additional time burden placed on the respondent for this third</w:t>
      </w:r>
      <w:r w:rsidRPr="00C206C5" w:rsidR="00F63BBB">
        <w:rPr>
          <w:color w:val="000000" w:themeColor="text1"/>
          <w:szCs w:val="24"/>
        </w:rPr>
        <w:t>-</w:t>
      </w:r>
      <w:r w:rsidRPr="00C206C5" w:rsidR="0063141B">
        <w:rPr>
          <w:color w:val="000000" w:themeColor="text1"/>
          <w:szCs w:val="24"/>
        </w:rPr>
        <w:t xml:space="preserve">party disclosure requirement, however, it adds an extra </w:t>
      </w:r>
      <w:r w:rsidRPr="00C206C5" w:rsidR="00B76B92">
        <w:rPr>
          <w:color w:val="000000" w:themeColor="text1"/>
          <w:szCs w:val="24"/>
        </w:rPr>
        <w:t>“</w:t>
      </w:r>
      <w:r w:rsidRPr="00C206C5" w:rsidR="0063141B">
        <w:rPr>
          <w:color w:val="000000" w:themeColor="text1"/>
          <w:szCs w:val="24"/>
        </w:rPr>
        <w:t>step</w:t>
      </w:r>
      <w:r w:rsidRPr="00C206C5" w:rsidR="00B76B92">
        <w:rPr>
          <w:color w:val="000000" w:themeColor="text1"/>
          <w:szCs w:val="24"/>
        </w:rPr>
        <w:t>”</w:t>
      </w:r>
      <w:r w:rsidRPr="00C206C5" w:rsidR="0063141B">
        <w:rPr>
          <w:color w:val="000000" w:themeColor="text1"/>
          <w:szCs w:val="24"/>
        </w:rPr>
        <w:t xml:space="preserve"> to the application filing requirements. Applicants forward their applications via the non-profit private sector frequency coordinators designated by type of radio service to the FCC.  The frequency coordinator then forwards the application and application remittance to the FCC</w:t>
      </w:r>
      <w:r w:rsidRPr="00C206C5" w:rsidR="00F7265A">
        <w:rPr>
          <w:color w:val="000000" w:themeColor="text1"/>
          <w:szCs w:val="24"/>
        </w:rPr>
        <w:t>.</w:t>
      </w:r>
      <w:r w:rsidRPr="00C206C5" w:rsidR="0063141B">
        <w:rPr>
          <w:color w:val="000000" w:themeColor="text1"/>
          <w:szCs w:val="24"/>
        </w:rPr>
        <w:t xml:space="preserve"> </w:t>
      </w:r>
      <w:r w:rsidRPr="00C206C5" w:rsidR="00F7265A">
        <w:rPr>
          <w:color w:val="000000" w:themeColor="text1"/>
          <w:szCs w:val="24"/>
        </w:rPr>
        <w:t xml:space="preserve"> The frequency coordinator must file</w:t>
      </w:r>
      <w:r w:rsidRPr="00C206C5" w:rsidR="0063141B">
        <w:rPr>
          <w:color w:val="000000" w:themeColor="text1"/>
          <w:szCs w:val="24"/>
        </w:rPr>
        <w:t xml:space="preserve"> electronically.</w:t>
      </w:r>
    </w:p>
    <w:p w:rsidRPr="00C206C5" w:rsidR="0063141B" w:rsidP="00CD36BA" w:rsidRDefault="0063141B" w14:paraId="56E3B597" w14:textId="77777777">
      <w:pPr>
        <w:tabs>
          <w:tab w:val="left" w:pos="90"/>
        </w:tabs>
        <w:suppressAutoHyphens/>
        <w:ind w:left="-360"/>
        <w:jc w:val="both"/>
        <w:rPr>
          <w:color w:val="000000" w:themeColor="text1"/>
          <w:szCs w:val="24"/>
          <w:highlight w:val="yellow"/>
        </w:rPr>
      </w:pPr>
    </w:p>
    <w:p w:rsidRPr="00C206C5" w:rsidR="006776B4" w:rsidP="00CD36BA" w:rsidRDefault="00B76B92" w14:paraId="78BA517F" w14:textId="77777777">
      <w:pPr>
        <w:tabs>
          <w:tab w:val="left" w:pos="90"/>
        </w:tabs>
        <w:suppressAutoHyphens/>
        <w:ind w:left="-360"/>
        <w:jc w:val="both"/>
        <w:rPr>
          <w:b/>
          <w:color w:val="000000" w:themeColor="text1"/>
          <w:szCs w:val="24"/>
        </w:rPr>
      </w:pPr>
      <w:r w:rsidRPr="00C206C5">
        <w:rPr>
          <w:b/>
          <w:color w:val="000000" w:themeColor="text1"/>
          <w:szCs w:val="24"/>
        </w:rPr>
        <w:t>“</w:t>
      </w:r>
      <w:r w:rsidRPr="00C206C5" w:rsidR="006776B4">
        <w:rPr>
          <w:b/>
          <w:color w:val="000000" w:themeColor="text1"/>
          <w:szCs w:val="24"/>
        </w:rPr>
        <w:t>In-House Cost</w:t>
      </w:r>
      <w:r w:rsidRPr="00C206C5">
        <w:rPr>
          <w:b/>
          <w:color w:val="000000" w:themeColor="text1"/>
          <w:szCs w:val="24"/>
        </w:rPr>
        <w:t>”</w:t>
      </w:r>
      <w:r w:rsidRPr="00C206C5" w:rsidR="006776B4">
        <w:rPr>
          <w:b/>
          <w:color w:val="000000" w:themeColor="text1"/>
          <w:szCs w:val="24"/>
        </w:rPr>
        <w:t>:</w:t>
      </w:r>
    </w:p>
    <w:p w:rsidRPr="00C206C5" w:rsidR="006776B4" w:rsidP="00CD36BA" w:rsidRDefault="006776B4" w14:paraId="1ED567B4" w14:textId="77777777">
      <w:pPr>
        <w:tabs>
          <w:tab w:val="left" w:pos="90"/>
        </w:tabs>
        <w:suppressAutoHyphens/>
        <w:ind w:left="-360"/>
        <w:jc w:val="both"/>
        <w:rPr>
          <w:b/>
          <w:color w:val="000000" w:themeColor="text1"/>
          <w:szCs w:val="24"/>
        </w:rPr>
      </w:pPr>
    </w:p>
    <w:p w:rsidRPr="00C206C5" w:rsidR="0063141B" w:rsidP="00CD36BA" w:rsidRDefault="0063141B" w14:paraId="7BF833E3" w14:textId="219A2D8C">
      <w:pPr>
        <w:tabs>
          <w:tab w:val="left" w:pos="90"/>
        </w:tabs>
        <w:suppressAutoHyphens/>
        <w:ind w:left="-360"/>
        <w:jc w:val="both"/>
        <w:rPr>
          <w:color w:val="000000" w:themeColor="text1"/>
          <w:szCs w:val="24"/>
          <w:highlight w:val="yellow"/>
        </w:rPr>
      </w:pPr>
      <w:r w:rsidRPr="00C206C5">
        <w:rPr>
          <w:color w:val="000000" w:themeColor="text1"/>
          <w:szCs w:val="24"/>
        </w:rPr>
        <w:t>Assuming that 50% of the respondents use personnel comparable in pay to a mid-to-senior level federal employee</w:t>
      </w:r>
      <w:r w:rsidRPr="00C206C5" w:rsidR="00881CBA">
        <w:rPr>
          <w:color w:val="000000" w:themeColor="text1"/>
          <w:szCs w:val="24"/>
        </w:rPr>
        <w:t xml:space="preserve"> (GS-13, Step 5)</w:t>
      </w:r>
      <w:r w:rsidRPr="00C206C5">
        <w:rPr>
          <w:color w:val="000000" w:themeColor="text1"/>
          <w:szCs w:val="24"/>
        </w:rPr>
        <w:t xml:space="preserve"> to prepare the collection, we estimate the cost to be about $</w:t>
      </w:r>
      <w:r w:rsidRPr="00C206C5" w:rsidR="00163382">
        <w:rPr>
          <w:color w:val="000000" w:themeColor="text1"/>
          <w:szCs w:val="24"/>
        </w:rPr>
        <w:t>5</w:t>
      </w:r>
      <w:r w:rsidRPr="00C206C5" w:rsidR="00F63BBB">
        <w:rPr>
          <w:color w:val="000000" w:themeColor="text1"/>
          <w:szCs w:val="24"/>
        </w:rPr>
        <w:t>5.75</w:t>
      </w:r>
      <w:r w:rsidRPr="00C206C5" w:rsidR="00163382">
        <w:rPr>
          <w:color w:val="000000" w:themeColor="text1"/>
          <w:szCs w:val="24"/>
        </w:rPr>
        <w:t xml:space="preserve"> </w:t>
      </w:r>
      <w:r w:rsidRPr="00C206C5">
        <w:rPr>
          <w:color w:val="000000" w:themeColor="text1"/>
          <w:szCs w:val="24"/>
        </w:rPr>
        <w:t>per hour @ 1.25 hours per filing.  The cost per filing</w:t>
      </w:r>
      <w:r w:rsidRPr="00C206C5" w:rsidR="00881CBA">
        <w:rPr>
          <w:color w:val="000000" w:themeColor="text1"/>
          <w:szCs w:val="24"/>
        </w:rPr>
        <w:t>: $</w:t>
      </w:r>
      <w:r w:rsidRPr="00C206C5" w:rsidR="00163382">
        <w:rPr>
          <w:color w:val="000000" w:themeColor="text1"/>
          <w:szCs w:val="24"/>
        </w:rPr>
        <w:t>5</w:t>
      </w:r>
      <w:r w:rsidRPr="00C206C5" w:rsidR="00F63BBB">
        <w:rPr>
          <w:color w:val="000000" w:themeColor="text1"/>
          <w:szCs w:val="24"/>
        </w:rPr>
        <w:t>5.75</w:t>
      </w:r>
      <w:r w:rsidRPr="00C206C5" w:rsidR="00163382">
        <w:rPr>
          <w:color w:val="000000" w:themeColor="text1"/>
          <w:szCs w:val="24"/>
        </w:rPr>
        <w:t xml:space="preserve"> </w:t>
      </w:r>
      <w:r w:rsidR="00DD5D07">
        <w:rPr>
          <w:color w:val="000000" w:themeColor="text1"/>
          <w:szCs w:val="24"/>
        </w:rPr>
        <w:t>x</w:t>
      </w:r>
      <w:r w:rsidRPr="00C206C5" w:rsidR="00881CBA">
        <w:rPr>
          <w:color w:val="000000" w:themeColor="text1"/>
          <w:szCs w:val="24"/>
        </w:rPr>
        <w:t xml:space="preserve"> 1.25</w:t>
      </w:r>
      <w:r w:rsidRPr="00C206C5">
        <w:rPr>
          <w:color w:val="000000" w:themeColor="text1"/>
          <w:szCs w:val="24"/>
        </w:rPr>
        <w:t xml:space="preserve"> </w:t>
      </w:r>
      <w:r w:rsidRPr="00C206C5" w:rsidR="00781AEB">
        <w:rPr>
          <w:color w:val="000000" w:themeColor="text1"/>
          <w:szCs w:val="24"/>
        </w:rPr>
        <w:t>= $</w:t>
      </w:r>
      <w:r w:rsidRPr="00C206C5" w:rsidR="00626327">
        <w:rPr>
          <w:color w:val="000000" w:themeColor="text1"/>
          <w:szCs w:val="24"/>
        </w:rPr>
        <w:t>6</w:t>
      </w:r>
      <w:r w:rsidRPr="00C206C5" w:rsidR="00F63BBB">
        <w:rPr>
          <w:color w:val="000000" w:themeColor="text1"/>
          <w:szCs w:val="24"/>
        </w:rPr>
        <w:t>9.69</w:t>
      </w:r>
      <w:r w:rsidRPr="00C206C5">
        <w:rPr>
          <w:color w:val="000000" w:themeColor="text1"/>
          <w:szCs w:val="24"/>
        </w:rPr>
        <w:t>.</w:t>
      </w:r>
    </w:p>
    <w:p w:rsidRPr="00C206C5" w:rsidR="00315F23" w:rsidP="00CD36BA" w:rsidRDefault="00315F23" w14:paraId="7BEB80F3" w14:textId="77777777">
      <w:pPr>
        <w:tabs>
          <w:tab w:val="left" w:pos="90"/>
        </w:tabs>
        <w:suppressAutoHyphens/>
        <w:ind w:left="-360"/>
        <w:jc w:val="both"/>
        <w:rPr>
          <w:b/>
          <w:color w:val="000000" w:themeColor="text1"/>
          <w:szCs w:val="24"/>
          <w:highlight w:val="yellow"/>
        </w:rPr>
      </w:pPr>
    </w:p>
    <w:p w:rsidRPr="00C206C5" w:rsidR="0063141B" w:rsidP="00CD36BA" w:rsidRDefault="00881CBA" w14:paraId="14BEE34A" w14:textId="77777777">
      <w:pPr>
        <w:tabs>
          <w:tab w:val="left" w:pos="90"/>
        </w:tabs>
        <w:suppressAutoHyphens/>
        <w:ind w:left="720"/>
        <w:jc w:val="both"/>
        <w:rPr>
          <w:color w:val="000000" w:themeColor="text1"/>
          <w:szCs w:val="24"/>
        </w:rPr>
      </w:pPr>
      <w:r w:rsidRPr="00C206C5">
        <w:rPr>
          <w:color w:val="000000" w:themeColor="text1"/>
          <w:szCs w:val="24"/>
        </w:rPr>
        <w:t>12</w:t>
      </w:r>
      <w:r w:rsidRPr="00C206C5" w:rsidR="00154267">
        <w:rPr>
          <w:color w:val="000000" w:themeColor="text1"/>
          <w:szCs w:val="24"/>
        </w:rPr>
        <w:t>7,</w:t>
      </w:r>
      <w:r w:rsidRPr="00C206C5" w:rsidR="005855FA">
        <w:rPr>
          <w:color w:val="000000" w:themeColor="text1"/>
          <w:szCs w:val="24"/>
        </w:rPr>
        <w:t>726</w:t>
      </w:r>
      <w:r w:rsidRPr="00C206C5" w:rsidR="00A63A92">
        <w:rPr>
          <w:color w:val="000000" w:themeColor="text1"/>
          <w:szCs w:val="24"/>
        </w:rPr>
        <w:t xml:space="preserve"> </w:t>
      </w:r>
      <w:r w:rsidRPr="00C206C5">
        <w:rPr>
          <w:color w:val="000000" w:themeColor="text1"/>
          <w:szCs w:val="24"/>
        </w:rPr>
        <w:t xml:space="preserve">applications </w:t>
      </w:r>
      <w:r w:rsidRPr="00C206C5" w:rsidR="007F147B">
        <w:rPr>
          <w:color w:val="000000" w:themeColor="text1"/>
          <w:szCs w:val="24"/>
        </w:rPr>
        <w:t>x</w:t>
      </w:r>
      <w:r w:rsidRPr="00C206C5" w:rsidR="0063141B">
        <w:rPr>
          <w:color w:val="000000" w:themeColor="text1"/>
          <w:szCs w:val="24"/>
        </w:rPr>
        <w:t xml:space="preserve"> $</w:t>
      </w:r>
      <w:r w:rsidRPr="00C206C5" w:rsidR="00163382">
        <w:rPr>
          <w:color w:val="000000" w:themeColor="text1"/>
          <w:szCs w:val="24"/>
        </w:rPr>
        <w:t>6</w:t>
      </w:r>
      <w:r w:rsidRPr="00C206C5" w:rsidR="00F63BBB">
        <w:rPr>
          <w:color w:val="000000" w:themeColor="text1"/>
          <w:szCs w:val="24"/>
        </w:rPr>
        <w:t>9.69</w:t>
      </w:r>
      <w:r w:rsidRPr="00C206C5" w:rsidR="00163382">
        <w:rPr>
          <w:color w:val="000000" w:themeColor="text1"/>
          <w:szCs w:val="24"/>
        </w:rPr>
        <w:t xml:space="preserve"> </w:t>
      </w:r>
      <w:r w:rsidRPr="00C206C5" w:rsidR="0063141B">
        <w:rPr>
          <w:color w:val="000000" w:themeColor="text1"/>
          <w:szCs w:val="24"/>
        </w:rPr>
        <w:t>per filing = $</w:t>
      </w:r>
      <w:bookmarkStart w:name="_Hlk531277996" w:id="8"/>
      <w:r w:rsidRPr="00C206C5" w:rsidR="00F63BBB">
        <w:rPr>
          <w:color w:val="000000" w:themeColor="text1"/>
          <w:szCs w:val="24"/>
        </w:rPr>
        <w:t>8,901,224.94</w:t>
      </w:r>
      <w:r w:rsidRPr="00C206C5" w:rsidR="00626327">
        <w:rPr>
          <w:color w:val="000000" w:themeColor="text1"/>
          <w:szCs w:val="24"/>
        </w:rPr>
        <w:t xml:space="preserve"> </w:t>
      </w:r>
      <w:bookmarkEnd w:id="8"/>
    </w:p>
    <w:p w:rsidRPr="00C206C5" w:rsidR="0063141B" w:rsidP="00CD36BA" w:rsidRDefault="0063141B" w14:paraId="7A224ED8" w14:textId="77777777">
      <w:pPr>
        <w:tabs>
          <w:tab w:val="left" w:pos="90"/>
        </w:tabs>
        <w:suppressAutoHyphens/>
        <w:ind w:left="-360"/>
        <w:jc w:val="both"/>
        <w:rPr>
          <w:color w:val="000000" w:themeColor="text1"/>
          <w:szCs w:val="24"/>
          <w:highlight w:val="yellow"/>
        </w:rPr>
      </w:pPr>
    </w:p>
    <w:p w:rsidRPr="00C206C5" w:rsidR="0063141B" w:rsidP="00CD36BA" w:rsidRDefault="0074085D" w14:paraId="1137A0D1" w14:textId="77777777">
      <w:pPr>
        <w:tabs>
          <w:tab w:val="left" w:pos="90"/>
        </w:tabs>
        <w:suppressAutoHyphens/>
        <w:ind w:left="-360"/>
        <w:jc w:val="both"/>
        <w:rPr>
          <w:color w:val="000000" w:themeColor="text1"/>
          <w:szCs w:val="24"/>
        </w:rPr>
      </w:pPr>
      <w:r w:rsidRPr="00C206C5">
        <w:rPr>
          <w:color w:val="000000" w:themeColor="text1"/>
          <w:szCs w:val="24"/>
        </w:rPr>
        <w:t xml:space="preserve">The Commission estimates that </w:t>
      </w:r>
      <w:r w:rsidRPr="00C206C5" w:rsidR="0063141B">
        <w:rPr>
          <w:color w:val="000000" w:themeColor="text1"/>
          <w:szCs w:val="24"/>
        </w:rPr>
        <w:t xml:space="preserve">50% will contract </w:t>
      </w:r>
      <w:r w:rsidRPr="00C206C5" w:rsidR="003C7811">
        <w:rPr>
          <w:color w:val="000000" w:themeColor="text1"/>
          <w:szCs w:val="24"/>
        </w:rPr>
        <w:t xml:space="preserve">out </w:t>
      </w:r>
      <w:r w:rsidRPr="00C206C5" w:rsidR="007F147B">
        <w:rPr>
          <w:color w:val="000000" w:themeColor="text1"/>
          <w:szCs w:val="24"/>
        </w:rPr>
        <w:t>the completion of</w:t>
      </w:r>
      <w:r w:rsidRPr="00C206C5" w:rsidR="0063141B">
        <w:rPr>
          <w:color w:val="000000" w:themeColor="text1"/>
          <w:szCs w:val="24"/>
        </w:rPr>
        <w:t xml:space="preserve"> the form to a law firm or application preparation service and will spend approximately 30 minutes </w:t>
      </w:r>
      <w:r w:rsidRPr="00C206C5" w:rsidR="00E6643C">
        <w:rPr>
          <w:color w:val="000000" w:themeColor="text1"/>
          <w:szCs w:val="24"/>
        </w:rPr>
        <w:t xml:space="preserve">(0.5 hours) </w:t>
      </w:r>
      <w:r w:rsidRPr="00C206C5" w:rsidR="0063141B">
        <w:rPr>
          <w:color w:val="000000" w:themeColor="text1"/>
          <w:szCs w:val="24"/>
        </w:rPr>
        <w:t xml:space="preserve">coordinating this information. Assuming they use personnel comparable in pay to a mid-to-senior level federal employee </w:t>
      </w:r>
      <w:r w:rsidRPr="00C206C5" w:rsidR="00BE5C4C">
        <w:rPr>
          <w:color w:val="000000" w:themeColor="text1"/>
          <w:szCs w:val="24"/>
        </w:rPr>
        <w:t xml:space="preserve">(GS-13, Step 5) </w:t>
      </w:r>
      <w:r w:rsidRPr="00C206C5" w:rsidR="0063141B">
        <w:rPr>
          <w:color w:val="000000" w:themeColor="text1"/>
          <w:szCs w:val="24"/>
        </w:rPr>
        <w:t>to coordinate this submission we estimate the cost to be approximately $</w:t>
      </w:r>
      <w:r w:rsidRPr="00C206C5" w:rsidR="00163382">
        <w:rPr>
          <w:color w:val="000000" w:themeColor="text1"/>
          <w:szCs w:val="24"/>
        </w:rPr>
        <w:t>5</w:t>
      </w:r>
      <w:r w:rsidRPr="00C206C5" w:rsidR="00F63BBB">
        <w:rPr>
          <w:color w:val="000000" w:themeColor="text1"/>
          <w:szCs w:val="24"/>
        </w:rPr>
        <w:t>5.75</w:t>
      </w:r>
      <w:r w:rsidRPr="00C206C5" w:rsidR="00163382">
        <w:rPr>
          <w:color w:val="000000" w:themeColor="text1"/>
          <w:szCs w:val="24"/>
        </w:rPr>
        <w:t xml:space="preserve"> </w:t>
      </w:r>
      <w:r w:rsidRPr="00C206C5" w:rsidR="0063141B">
        <w:rPr>
          <w:color w:val="000000" w:themeColor="text1"/>
          <w:szCs w:val="24"/>
        </w:rPr>
        <w:t xml:space="preserve">per hour @ </w:t>
      </w:r>
      <w:r w:rsidRPr="00C206C5" w:rsidR="00535869">
        <w:rPr>
          <w:color w:val="000000" w:themeColor="text1"/>
          <w:szCs w:val="24"/>
        </w:rPr>
        <w:t>0</w:t>
      </w:r>
      <w:r w:rsidRPr="00C206C5" w:rsidR="0063141B">
        <w:rPr>
          <w:color w:val="000000" w:themeColor="text1"/>
          <w:szCs w:val="24"/>
        </w:rPr>
        <w:t>.5 hours per filing.  The cost per filing = $</w:t>
      </w:r>
      <w:r w:rsidRPr="00C206C5" w:rsidR="00626327">
        <w:rPr>
          <w:color w:val="000000" w:themeColor="text1"/>
          <w:szCs w:val="24"/>
        </w:rPr>
        <w:t>2</w:t>
      </w:r>
      <w:r w:rsidRPr="00C206C5" w:rsidR="00F63BBB">
        <w:rPr>
          <w:color w:val="000000" w:themeColor="text1"/>
          <w:szCs w:val="24"/>
        </w:rPr>
        <w:t>7.88</w:t>
      </w:r>
      <w:r w:rsidRPr="00C206C5" w:rsidR="00B90D2F">
        <w:rPr>
          <w:color w:val="000000" w:themeColor="text1"/>
          <w:szCs w:val="24"/>
        </w:rPr>
        <w:t>.</w:t>
      </w:r>
    </w:p>
    <w:p w:rsidRPr="00C206C5" w:rsidR="0063141B" w:rsidP="008523E0" w:rsidRDefault="0063141B" w14:paraId="1E213E94" w14:textId="77777777">
      <w:pPr>
        <w:tabs>
          <w:tab w:val="left" w:pos="90"/>
        </w:tabs>
        <w:suppressAutoHyphens/>
        <w:ind w:left="-360" w:right="720"/>
        <w:jc w:val="both"/>
        <w:rPr>
          <w:color w:val="000000" w:themeColor="text1"/>
          <w:szCs w:val="24"/>
        </w:rPr>
      </w:pPr>
    </w:p>
    <w:p w:rsidRPr="00C206C5" w:rsidR="0063141B" w:rsidP="004B1BAE" w:rsidRDefault="0063141B" w14:paraId="7C6A86A2" w14:textId="77777777">
      <w:pPr>
        <w:tabs>
          <w:tab w:val="left" w:pos="90"/>
        </w:tabs>
        <w:suppressAutoHyphens/>
        <w:ind w:left="720" w:right="720"/>
        <w:jc w:val="both"/>
        <w:rPr>
          <w:color w:val="000000" w:themeColor="text1"/>
          <w:szCs w:val="24"/>
        </w:rPr>
      </w:pPr>
      <w:r w:rsidRPr="00C206C5">
        <w:rPr>
          <w:color w:val="000000" w:themeColor="text1"/>
          <w:szCs w:val="24"/>
        </w:rPr>
        <w:t>12</w:t>
      </w:r>
      <w:r w:rsidRPr="00C206C5" w:rsidR="00154267">
        <w:rPr>
          <w:color w:val="000000" w:themeColor="text1"/>
          <w:szCs w:val="24"/>
        </w:rPr>
        <w:t>7,</w:t>
      </w:r>
      <w:r w:rsidRPr="00C206C5" w:rsidR="005855FA">
        <w:rPr>
          <w:color w:val="000000" w:themeColor="text1"/>
          <w:szCs w:val="24"/>
        </w:rPr>
        <w:t>726</w:t>
      </w:r>
      <w:r w:rsidRPr="00C206C5">
        <w:rPr>
          <w:color w:val="000000" w:themeColor="text1"/>
          <w:szCs w:val="24"/>
        </w:rPr>
        <w:t xml:space="preserve"> applications </w:t>
      </w:r>
      <w:r w:rsidRPr="00C206C5" w:rsidR="007F147B">
        <w:rPr>
          <w:color w:val="000000" w:themeColor="text1"/>
          <w:szCs w:val="24"/>
        </w:rPr>
        <w:t>x</w:t>
      </w:r>
      <w:r w:rsidRPr="00C206C5">
        <w:rPr>
          <w:color w:val="000000" w:themeColor="text1"/>
          <w:szCs w:val="24"/>
        </w:rPr>
        <w:t xml:space="preserve"> $</w:t>
      </w:r>
      <w:r w:rsidRPr="00C206C5" w:rsidR="00626327">
        <w:rPr>
          <w:color w:val="000000" w:themeColor="text1"/>
          <w:szCs w:val="24"/>
        </w:rPr>
        <w:t>2</w:t>
      </w:r>
      <w:r w:rsidRPr="00C206C5" w:rsidR="00F63BBB">
        <w:rPr>
          <w:color w:val="000000" w:themeColor="text1"/>
          <w:szCs w:val="24"/>
        </w:rPr>
        <w:t>7.88</w:t>
      </w:r>
      <w:r w:rsidRPr="00C206C5" w:rsidR="00626327">
        <w:rPr>
          <w:color w:val="000000" w:themeColor="text1"/>
          <w:szCs w:val="24"/>
        </w:rPr>
        <w:t xml:space="preserve"> </w:t>
      </w:r>
      <w:r w:rsidRPr="00C206C5">
        <w:rPr>
          <w:color w:val="000000" w:themeColor="text1"/>
          <w:szCs w:val="24"/>
        </w:rPr>
        <w:t>per filing = $</w:t>
      </w:r>
      <w:r w:rsidRPr="00C206C5" w:rsidR="00F63BBB">
        <w:rPr>
          <w:color w:val="000000" w:themeColor="text1"/>
          <w:szCs w:val="24"/>
        </w:rPr>
        <w:t>3,561,000.88</w:t>
      </w:r>
    </w:p>
    <w:p w:rsidRPr="00C206C5" w:rsidR="00BB29F9" w:rsidP="004B1BAE" w:rsidRDefault="00BB29F9" w14:paraId="1DBBF103" w14:textId="77777777">
      <w:pPr>
        <w:tabs>
          <w:tab w:val="left" w:pos="90"/>
        </w:tabs>
        <w:suppressAutoHyphens/>
        <w:ind w:left="720" w:right="720"/>
        <w:jc w:val="both"/>
        <w:rPr>
          <w:color w:val="000000" w:themeColor="text1"/>
          <w:szCs w:val="24"/>
        </w:rPr>
      </w:pPr>
    </w:p>
    <w:p w:rsidRPr="00C206C5" w:rsidR="00BB29F9" w:rsidP="0085226E" w:rsidRDefault="00BB29F9" w14:paraId="4E19B2D1" w14:textId="77777777">
      <w:pPr>
        <w:tabs>
          <w:tab w:val="left" w:pos="90"/>
        </w:tabs>
        <w:suppressAutoHyphens/>
        <w:ind w:left="720" w:right="720"/>
        <w:rPr>
          <w:color w:val="000000" w:themeColor="text1"/>
          <w:szCs w:val="24"/>
        </w:rPr>
      </w:pPr>
    </w:p>
    <w:p w:rsidRPr="00C206C5" w:rsidR="003322D2" w:rsidRDefault="00BB29F9" w14:paraId="4AEDD4A4" w14:textId="77777777">
      <w:pPr>
        <w:tabs>
          <w:tab w:val="left" w:pos="90"/>
        </w:tabs>
        <w:suppressAutoHyphens/>
        <w:ind w:right="720"/>
        <w:rPr>
          <w:color w:val="000000" w:themeColor="text1"/>
          <w:szCs w:val="24"/>
        </w:rPr>
      </w:pPr>
      <w:r w:rsidRPr="00C206C5">
        <w:rPr>
          <w:color w:val="000000" w:themeColor="text1"/>
          <w:szCs w:val="24"/>
        </w:rPr>
        <w:t xml:space="preserve">Assuming that 50% of the respondents </w:t>
      </w:r>
      <w:r w:rsidRPr="00C206C5" w:rsidR="004C0506">
        <w:rPr>
          <w:color w:val="000000" w:themeColor="text1"/>
          <w:szCs w:val="24"/>
        </w:rPr>
        <w:t xml:space="preserve">filing the 601 annually for designated entity benefits </w:t>
      </w:r>
      <w:r w:rsidRPr="00C206C5">
        <w:rPr>
          <w:color w:val="000000" w:themeColor="text1"/>
          <w:szCs w:val="24"/>
        </w:rPr>
        <w:t>use personnel comparable in pay to a mid-to-senior level federal employee (GS-13, Step 5) to prepare the collection, we estimate the cost to be about $</w:t>
      </w:r>
      <w:r w:rsidRPr="00C206C5" w:rsidR="00163382">
        <w:rPr>
          <w:color w:val="000000" w:themeColor="text1"/>
          <w:szCs w:val="24"/>
        </w:rPr>
        <w:t>5</w:t>
      </w:r>
      <w:r w:rsidRPr="00C206C5" w:rsidR="00F63BBB">
        <w:rPr>
          <w:color w:val="000000" w:themeColor="text1"/>
          <w:szCs w:val="24"/>
        </w:rPr>
        <w:t>5.75</w:t>
      </w:r>
      <w:r w:rsidRPr="00C206C5" w:rsidR="00163382">
        <w:rPr>
          <w:color w:val="000000" w:themeColor="text1"/>
          <w:szCs w:val="24"/>
        </w:rPr>
        <w:t xml:space="preserve"> </w:t>
      </w:r>
      <w:r w:rsidRPr="00C206C5">
        <w:rPr>
          <w:color w:val="000000" w:themeColor="text1"/>
          <w:szCs w:val="24"/>
        </w:rPr>
        <w:t xml:space="preserve">per hour @ </w:t>
      </w:r>
      <w:r w:rsidRPr="00C206C5">
        <w:rPr>
          <w:color w:val="000000" w:themeColor="text1"/>
          <w:szCs w:val="24"/>
        </w:rPr>
        <w:lastRenderedPageBreak/>
        <w:t>1 hour per filing.  The cost per filing</w:t>
      </w:r>
      <w:r w:rsidRPr="00C206C5" w:rsidR="00D24086">
        <w:rPr>
          <w:color w:val="000000" w:themeColor="text1"/>
          <w:szCs w:val="24"/>
        </w:rPr>
        <w:t xml:space="preserve"> =</w:t>
      </w:r>
      <w:r w:rsidRPr="00C206C5">
        <w:rPr>
          <w:color w:val="000000" w:themeColor="text1"/>
          <w:szCs w:val="24"/>
        </w:rPr>
        <w:t xml:space="preserve"> $</w:t>
      </w:r>
      <w:r w:rsidRPr="00C206C5" w:rsidR="00163382">
        <w:rPr>
          <w:color w:val="000000" w:themeColor="text1"/>
          <w:szCs w:val="24"/>
        </w:rPr>
        <w:t>5</w:t>
      </w:r>
      <w:r w:rsidRPr="00C206C5" w:rsidR="00F63BBB">
        <w:rPr>
          <w:color w:val="000000" w:themeColor="text1"/>
          <w:szCs w:val="24"/>
        </w:rPr>
        <w:t>5.75</w:t>
      </w:r>
    </w:p>
    <w:p w:rsidRPr="00C206C5" w:rsidR="003322D2" w:rsidRDefault="003322D2" w14:paraId="210373D1" w14:textId="77777777">
      <w:pPr>
        <w:tabs>
          <w:tab w:val="left" w:pos="90"/>
        </w:tabs>
        <w:suppressAutoHyphens/>
        <w:ind w:right="720"/>
        <w:rPr>
          <w:color w:val="000000" w:themeColor="text1"/>
          <w:szCs w:val="24"/>
        </w:rPr>
      </w:pPr>
    </w:p>
    <w:p w:rsidRPr="00C206C5" w:rsidR="003322D2" w:rsidP="0085226E" w:rsidRDefault="003322D2" w14:paraId="1C7EE368" w14:textId="77777777">
      <w:pPr>
        <w:tabs>
          <w:tab w:val="left" w:pos="90"/>
        </w:tabs>
        <w:suppressAutoHyphens/>
        <w:ind w:right="720"/>
        <w:jc w:val="right"/>
        <w:rPr>
          <w:color w:val="000000" w:themeColor="text1"/>
          <w:szCs w:val="24"/>
        </w:rPr>
      </w:pPr>
    </w:p>
    <w:p w:rsidRPr="00C206C5" w:rsidR="00BB29F9" w:rsidP="00332683" w:rsidRDefault="00332683" w14:paraId="4AE6D563" w14:textId="77777777">
      <w:pPr>
        <w:tabs>
          <w:tab w:val="left" w:pos="90"/>
        </w:tabs>
        <w:suppressAutoHyphens/>
        <w:ind w:right="720"/>
        <w:rPr>
          <w:color w:val="000000" w:themeColor="text1"/>
          <w:szCs w:val="24"/>
        </w:rPr>
      </w:pPr>
      <w:r w:rsidRPr="00C206C5">
        <w:rPr>
          <w:color w:val="000000" w:themeColor="text1"/>
          <w:szCs w:val="24"/>
        </w:rPr>
        <w:tab/>
      </w:r>
      <w:r w:rsidRPr="00C206C5">
        <w:rPr>
          <w:color w:val="000000" w:themeColor="text1"/>
          <w:szCs w:val="24"/>
        </w:rPr>
        <w:tab/>
      </w:r>
      <w:r w:rsidRPr="00C206C5">
        <w:rPr>
          <w:color w:val="000000" w:themeColor="text1"/>
          <w:szCs w:val="24"/>
        </w:rPr>
        <w:tab/>
      </w:r>
      <w:r w:rsidRPr="00C206C5" w:rsidR="00BB29F9">
        <w:rPr>
          <w:color w:val="000000" w:themeColor="text1"/>
          <w:szCs w:val="24"/>
        </w:rPr>
        <w:t>200 responses x $</w:t>
      </w:r>
      <w:r w:rsidRPr="00C206C5" w:rsidR="00163382">
        <w:rPr>
          <w:color w:val="000000" w:themeColor="text1"/>
          <w:szCs w:val="24"/>
        </w:rPr>
        <w:t>5</w:t>
      </w:r>
      <w:r w:rsidRPr="00C206C5" w:rsidR="00F63BBB">
        <w:rPr>
          <w:color w:val="000000" w:themeColor="text1"/>
          <w:szCs w:val="24"/>
        </w:rPr>
        <w:t>5.75</w:t>
      </w:r>
      <w:r w:rsidRPr="00C206C5" w:rsidR="00163382">
        <w:rPr>
          <w:color w:val="000000" w:themeColor="text1"/>
          <w:szCs w:val="24"/>
        </w:rPr>
        <w:t xml:space="preserve"> </w:t>
      </w:r>
      <w:r w:rsidRPr="00C206C5" w:rsidR="00BB29F9">
        <w:rPr>
          <w:color w:val="000000" w:themeColor="text1"/>
          <w:szCs w:val="24"/>
        </w:rPr>
        <w:t>per response = $</w:t>
      </w:r>
      <w:r w:rsidRPr="00C206C5" w:rsidR="00163382">
        <w:rPr>
          <w:color w:val="000000" w:themeColor="text1"/>
          <w:szCs w:val="24"/>
        </w:rPr>
        <w:t>1</w:t>
      </w:r>
      <w:r w:rsidRPr="00C206C5" w:rsidR="00F63BBB">
        <w:rPr>
          <w:color w:val="000000" w:themeColor="text1"/>
          <w:szCs w:val="24"/>
        </w:rPr>
        <w:t>1,150</w:t>
      </w:r>
    </w:p>
    <w:p w:rsidRPr="00C206C5" w:rsidR="00BB29F9" w:rsidP="00BB29F9" w:rsidRDefault="00BB29F9" w14:paraId="1495112E" w14:textId="77777777">
      <w:pPr>
        <w:tabs>
          <w:tab w:val="left" w:pos="90"/>
        </w:tabs>
        <w:suppressAutoHyphens/>
        <w:ind w:right="720"/>
        <w:rPr>
          <w:color w:val="000000" w:themeColor="text1"/>
          <w:szCs w:val="24"/>
        </w:rPr>
      </w:pPr>
    </w:p>
    <w:p w:rsidRPr="00C206C5" w:rsidR="003322D2" w:rsidP="003322D2" w:rsidRDefault="003322D2" w14:paraId="4358E612" w14:textId="77777777">
      <w:pPr>
        <w:tabs>
          <w:tab w:val="left" w:pos="90"/>
        </w:tabs>
        <w:suppressAutoHyphens/>
        <w:ind w:right="720"/>
        <w:rPr>
          <w:color w:val="000000" w:themeColor="text1"/>
          <w:szCs w:val="24"/>
        </w:rPr>
      </w:pPr>
      <w:r w:rsidRPr="00C206C5">
        <w:rPr>
          <w:color w:val="000000" w:themeColor="text1"/>
          <w:szCs w:val="24"/>
        </w:rPr>
        <w:t xml:space="preserve">The Commission estimates that 50% will contract </w:t>
      </w:r>
      <w:r w:rsidRPr="00C206C5" w:rsidR="003C7811">
        <w:rPr>
          <w:color w:val="000000" w:themeColor="text1"/>
          <w:szCs w:val="24"/>
        </w:rPr>
        <w:t xml:space="preserve">out </w:t>
      </w:r>
      <w:r w:rsidRPr="00C206C5">
        <w:rPr>
          <w:color w:val="000000" w:themeColor="text1"/>
          <w:szCs w:val="24"/>
        </w:rPr>
        <w:t xml:space="preserve">the completion of the form to a law firm or application preparation service and will spend approximately 30 minutes (0.5 hours) coordinating this information. Assuming they use personnel comparable in pay to a mid-to-senior level federal employee </w:t>
      </w:r>
      <w:r w:rsidRPr="00C206C5" w:rsidR="00BE5C4C">
        <w:rPr>
          <w:color w:val="000000" w:themeColor="text1"/>
          <w:szCs w:val="24"/>
        </w:rPr>
        <w:t xml:space="preserve">(GS-13, Step 5) </w:t>
      </w:r>
      <w:r w:rsidRPr="00C206C5">
        <w:rPr>
          <w:color w:val="000000" w:themeColor="text1"/>
          <w:szCs w:val="24"/>
        </w:rPr>
        <w:t>to coordinate this submission we estimate the cost to be approximately $</w:t>
      </w:r>
      <w:r w:rsidRPr="00C206C5" w:rsidR="00F63BBB">
        <w:rPr>
          <w:color w:val="000000" w:themeColor="text1"/>
          <w:szCs w:val="24"/>
        </w:rPr>
        <w:t>55.75</w:t>
      </w:r>
      <w:r w:rsidRPr="00C206C5" w:rsidR="00163382">
        <w:rPr>
          <w:color w:val="000000" w:themeColor="text1"/>
          <w:szCs w:val="24"/>
        </w:rPr>
        <w:t xml:space="preserve"> </w:t>
      </w:r>
      <w:r w:rsidRPr="00C206C5">
        <w:rPr>
          <w:color w:val="000000" w:themeColor="text1"/>
          <w:szCs w:val="24"/>
        </w:rPr>
        <w:t>per hour @ 0.5 hours per filing.  The cost per filing = $</w:t>
      </w:r>
      <w:r w:rsidRPr="00C206C5" w:rsidR="00626327">
        <w:rPr>
          <w:color w:val="000000" w:themeColor="text1"/>
          <w:szCs w:val="24"/>
        </w:rPr>
        <w:t>2</w:t>
      </w:r>
      <w:r w:rsidRPr="00C206C5" w:rsidR="00F63BBB">
        <w:rPr>
          <w:color w:val="000000" w:themeColor="text1"/>
          <w:szCs w:val="24"/>
        </w:rPr>
        <w:t>7.88</w:t>
      </w:r>
      <w:r w:rsidRPr="00C206C5">
        <w:rPr>
          <w:color w:val="000000" w:themeColor="text1"/>
          <w:szCs w:val="24"/>
        </w:rPr>
        <w:t>.</w:t>
      </w:r>
    </w:p>
    <w:p w:rsidRPr="00C206C5" w:rsidR="003322D2" w:rsidP="0085226E" w:rsidRDefault="003322D2" w14:paraId="447F10A3" w14:textId="77777777">
      <w:pPr>
        <w:tabs>
          <w:tab w:val="left" w:pos="90"/>
        </w:tabs>
        <w:suppressAutoHyphens/>
        <w:ind w:right="720"/>
        <w:rPr>
          <w:color w:val="000000" w:themeColor="text1"/>
          <w:szCs w:val="24"/>
        </w:rPr>
      </w:pPr>
    </w:p>
    <w:p w:rsidRPr="00C206C5" w:rsidR="003322D2" w:rsidP="0085226E" w:rsidRDefault="003322D2" w14:paraId="59AE1DB9" w14:textId="77777777">
      <w:pPr>
        <w:tabs>
          <w:tab w:val="left" w:pos="90"/>
        </w:tabs>
        <w:suppressAutoHyphens/>
        <w:ind w:right="720"/>
        <w:rPr>
          <w:color w:val="000000" w:themeColor="text1"/>
          <w:szCs w:val="24"/>
        </w:rPr>
      </w:pPr>
      <w:r w:rsidRPr="00C206C5">
        <w:rPr>
          <w:b/>
          <w:color w:val="000000" w:themeColor="text1"/>
          <w:szCs w:val="24"/>
        </w:rPr>
        <w:t xml:space="preserve"> </w:t>
      </w:r>
      <w:r w:rsidRPr="00C206C5">
        <w:rPr>
          <w:b/>
          <w:color w:val="000000" w:themeColor="text1"/>
          <w:szCs w:val="24"/>
        </w:rPr>
        <w:tab/>
      </w:r>
      <w:r w:rsidRPr="00C206C5">
        <w:rPr>
          <w:b/>
          <w:color w:val="000000" w:themeColor="text1"/>
          <w:szCs w:val="24"/>
        </w:rPr>
        <w:tab/>
      </w:r>
      <w:r w:rsidRPr="00C206C5">
        <w:rPr>
          <w:color w:val="000000" w:themeColor="text1"/>
          <w:szCs w:val="24"/>
        </w:rPr>
        <w:tab/>
        <w:t>200 responses x $</w:t>
      </w:r>
      <w:r w:rsidRPr="00C206C5" w:rsidR="00626327">
        <w:rPr>
          <w:color w:val="000000" w:themeColor="text1"/>
          <w:szCs w:val="24"/>
        </w:rPr>
        <w:t>2</w:t>
      </w:r>
      <w:r w:rsidRPr="00C206C5" w:rsidR="00F63BBB">
        <w:rPr>
          <w:color w:val="000000" w:themeColor="text1"/>
          <w:szCs w:val="24"/>
        </w:rPr>
        <w:t>7.88</w:t>
      </w:r>
      <w:r w:rsidRPr="00C206C5" w:rsidR="00626327">
        <w:rPr>
          <w:color w:val="000000" w:themeColor="text1"/>
          <w:szCs w:val="24"/>
        </w:rPr>
        <w:t xml:space="preserve"> </w:t>
      </w:r>
      <w:r w:rsidRPr="00C206C5">
        <w:rPr>
          <w:color w:val="000000" w:themeColor="text1"/>
          <w:szCs w:val="24"/>
        </w:rPr>
        <w:t xml:space="preserve">per response = </w:t>
      </w:r>
      <w:r w:rsidRPr="00C206C5" w:rsidR="0085226E">
        <w:rPr>
          <w:color w:val="000000" w:themeColor="text1"/>
          <w:szCs w:val="24"/>
        </w:rPr>
        <w:t>$</w:t>
      </w:r>
      <w:r w:rsidRPr="00C206C5" w:rsidR="00626327">
        <w:rPr>
          <w:color w:val="000000" w:themeColor="text1"/>
          <w:szCs w:val="24"/>
        </w:rPr>
        <w:t>5,</w:t>
      </w:r>
      <w:r w:rsidRPr="00C206C5" w:rsidR="00F63BBB">
        <w:rPr>
          <w:color w:val="000000" w:themeColor="text1"/>
          <w:szCs w:val="24"/>
        </w:rPr>
        <w:t>576</w:t>
      </w:r>
    </w:p>
    <w:p w:rsidRPr="00C206C5" w:rsidR="003322D2" w:rsidP="0085226E" w:rsidRDefault="003322D2" w14:paraId="07B71A40" w14:textId="77777777">
      <w:pPr>
        <w:tabs>
          <w:tab w:val="left" w:pos="90"/>
        </w:tabs>
        <w:suppressAutoHyphens/>
        <w:ind w:right="720"/>
        <w:rPr>
          <w:b/>
          <w:color w:val="000000" w:themeColor="text1"/>
          <w:szCs w:val="24"/>
        </w:rPr>
      </w:pPr>
    </w:p>
    <w:p w:rsidRPr="00C206C5" w:rsidR="003322D2" w:rsidP="0085226E" w:rsidRDefault="003322D2" w14:paraId="1676CD23" w14:textId="77777777">
      <w:pPr>
        <w:tabs>
          <w:tab w:val="left" w:pos="90"/>
        </w:tabs>
        <w:suppressAutoHyphens/>
        <w:ind w:right="720"/>
        <w:rPr>
          <w:b/>
          <w:color w:val="000000" w:themeColor="text1"/>
          <w:szCs w:val="24"/>
        </w:rPr>
      </w:pPr>
    </w:p>
    <w:p w:rsidRPr="00C206C5" w:rsidR="00EE3C78" w:rsidP="0085226E" w:rsidRDefault="00EE3C78" w14:paraId="66A880EB" w14:textId="77777777">
      <w:pPr>
        <w:tabs>
          <w:tab w:val="left" w:pos="90"/>
        </w:tabs>
        <w:suppressAutoHyphens/>
        <w:ind w:right="720"/>
        <w:rPr>
          <w:b/>
          <w:color w:val="000000" w:themeColor="text1"/>
          <w:szCs w:val="24"/>
        </w:rPr>
      </w:pPr>
      <w:r w:rsidRPr="00C206C5">
        <w:rPr>
          <w:b/>
          <w:color w:val="000000" w:themeColor="text1"/>
          <w:szCs w:val="24"/>
        </w:rPr>
        <w:tab/>
      </w:r>
      <w:r w:rsidRPr="00C206C5">
        <w:rPr>
          <w:b/>
          <w:color w:val="000000" w:themeColor="text1"/>
          <w:szCs w:val="24"/>
        </w:rPr>
        <w:tab/>
        <w:t xml:space="preserve">TOTAL IN-HOUSE COST: </w:t>
      </w:r>
    </w:p>
    <w:p w:rsidRPr="00C206C5" w:rsidR="00EE3C78" w:rsidP="0085226E" w:rsidRDefault="00EE3C78" w14:paraId="6966A2F7" w14:textId="77777777">
      <w:pPr>
        <w:tabs>
          <w:tab w:val="left" w:pos="90"/>
        </w:tabs>
        <w:suppressAutoHyphens/>
        <w:ind w:right="720"/>
        <w:rPr>
          <w:b/>
          <w:color w:val="000000" w:themeColor="text1"/>
          <w:szCs w:val="24"/>
        </w:rPr>
      </w:pPr>
    </w:p>
    <w:p w:rsidRPr="00C206C5" w:rsidR="0063141B" w:rsidP="0085226E" w:rsidRDefault="00EE3C78" w14:paraId="2186D7A4" w14:textId="77777777">
      <w:pPr>
        <w:tabs>
          <w:tab w:val="left" w:pos="90"/>
        </w:tabs>
        <w:suppressAutoHyphens/>
        <w:ind w:right="720"/>
        <w:rPr>
          <w:b/>
          <w:color w:val="000000" w:themeColor="text1"/>
          <w:szCs w:val="24"/>
        </w:rPr>
      </w:pPr>
      <w:r w:rsidRPr="00C206C5">
        <w:rPr>
          <w:b/>
          <w:color w:val="000000" w:themeColor="text1"/>
          <w:szCs w:val="24"/>
        </w:rPr>
        <w:tab/>
      </w:r>
      <w:r w:rsidRPr="00C206C5">
        <w:rPr>
          <w:b/>
          <w:color w:val="000000" w:themeColor="text1"/>
          <w:szCs w:val="24"/>
        </w:rPr>
        <w:tab/>
      </w:r>
      <w:r w:rsidRPr="00C206C5" w:rsidR="00626327">
        <w:rPr>
          <w:b/>
          <w:color w:val="000000" w:themeColor="text1"/>
          <w:szCs w:val="24"/>
        </w:rPr>
        <w:t>$</w:t>
      </w:r>
      <w:r w:rsidRPr="00C206C5" w:rsidR="00F63BBB">
        <w:rPr>
          <w:b/>
          <w:color w:val="000000" w:themeColor="text1"/>
          <w:szCs w:val="24"/>
        </w:rPr>
        <w:t>8,901,224.94</w:t>
      </w:r>
      <w:r w:rsidRPr="00C206C5" w:rsidR="00F63BBB">
        <w:rPr>
          <w:color w:val="000000" w:themeColor="text1"/>
          <w:szCs w:val="24"/>
        </w:rPr>
        <w:t xml:space="preserve"> </w:t>
      </w:r>
      <w:r w:rsidRPr="00C206C5" w:rsidR="00B3727E">
        <w:rPr>
          <w:b/>
          <w:color w:val="000000" w:themeColor="text1"/>
          <w:szCs w:val="24"/>
        </w:rPr>
        <w:t xml:space="preserve">+ </w:t>
      </w:r>
      <w:r w:rsidRPr="00C206C5" w:rsidR="00626327">
        <w:rPr>
          <w:b/>
          <w:color w:val="000000" w:themeColor="text1"/>
          <w:szCs w:val="24"/>
        </w:rPr>
        <w:t>$3,</w:t>
      </w:r>
      <w:r w:rsidRPr="00C206C5" w:rsidR="00F63BBB">
        <w:rPr>
          <w:b/>
          <w:color w:val="000000" w:themeColor="text1"/>
          <w:szCs w:val="24"/>
        </w:rPr>
        <w:t>561,000.88</w:t>
      </w:r>
      <w:r w:rsidRPr="00C206C5">
        <w:rPr>
          <w:b/>
          <w:color w:val="000000" w:themeColor="text1"/>
          <w:szCs w:val="24"/>
        </w:rPr>
        <w:t xml:space="preserve"> + </w:t>
      </w:r>
      <w:r w:rsidRPr="00C206C5" w:rsidR="00626327">
        <w:rPr>
          <w:b/>
          <w:color w:val="000000" w:themeColor="text1"/>
          <w:szCs w:val="24"/>
        </w:rPr>
        <w:t>$1</w:t>
      </w:r>
      <w:r w:rsidRPr="00C206C5" w:rsidR="00F63BBB">
        <w:rPr>
          <w:b/>
          <w:color w:val="000000" w:themeColor="text1"/>
          <w:szCs w:val="24"/>
        </w:rPr>
        <w:t>1,150</w:t>
      </w:r>
      <w:r w:rsidRPr="00C206C5" w:rsidR="00626327">
        <w:rPr>
          <w:b/>
          <w:color w:val="000000" w:themeColor="text1"/>
          <w:szCs w:val="24"/>
        </w:rPr>
        <w:t xml:space="preserve"> </w:t>
      </w:r>
      <w:r w:rsidRPr="00C206C5" w:rsidR="003678D7">
        <w:rPr>
          <w:b/>
          <w:color w:val="000000" w:themeColor="text1"/>
          <w:szCs w:val="24"/>
        </w:rPr>
        <w:t xml:space="preserve">+ </w:t>
      </w:r>
      <w:r w:rsidRPr="00C206C5" w:rsidR="00626327">
        <w:rPr>
          <w:b/>
          <w:color w:val="000000" w:themeColor="text1"/>
          <w:szCs w:val="24"/>
        </w:rPr>
        <w:t>$5,</w:t>
      </w:r>
      <w:r w:rsidRPr="00C206C5" w:rsidR="00F63BBB">
        <w:rPr>
          <w:b/>
          <w:color w:val="000000" w:themeColor="text1"/>
          <w:szCs w:val="24"/>
        </w:rPr>
        <w:t>576</w:t>
      </w:r>
      <w:r w:rsidRPr="00C206C5" w:rsidR="001B50B2">
        <w:rPr>
          <w:b/>
          <w:color w:val="000000" w:themeColor="text1"/>
          <w:szCs w:val="24"/>
        </w:rPr>
        <w:t xml:space="preserve"> </w:t>
      </w:r>
      <w:r w:rsidRPr="00C206C5" w:rsidR="0063141B">
        <w:rPr>
          <w:b/>
          <w:color w:val="000000" w:themeColor="text1"/>
          <w:szCs w:val="24"/>
        </w:rPr>
        <w:t>= $</w:t>
      </w:r>
      <w:r w:rsidRPr="00C206C5" w:rsidR="001B50B2">
        <w:rPr>
          <w:b/>
          <w:color w:val="000000" w:themeColor="text1"/>
          <w:szCs w:val="24"/>
        </w:rPr>
        <w:t>12,</w:t>
      </w:r>
      <w:r w:rsidRPr="00C206C5" w:rsidR="00201250">
        <w:rPr>
          <w:b/>
          <w:color w:val="000000" w:themeColor="text1"/>
          <w:szCs w:val="24"/>
        </w:rPr>
        <w:t>478,951.80</w:t>
      </w:r>
    </w:p>
    <w:p w:rsidRPr="00C206C5" w:rsidR="00AA218B" w:rsidP="008523E0" w:rsidRDefault="00AA218B" w14:paraId="4D0B765C" w14:textId="77777777">
      <w:pPr>
        <w:tabs>
          <w:tab w:val="left" w:pos="90"/>
        </w:tabs>
        <w:suppressAutoHyphens/>
        <w:ind w:left="-720" w:right="720"/>
        <w:jc w:val="both"/>
        <w:rPr>
          <w:b/>
          <w:color w:val="000000" w:themeColor="text1"/>
          <w:szCs w:val="24"/>
        </w:rPr>
      </w:pPr>
    </w:p>
    <w:p w:rsidRPr="00C206C5" w:rsidR="00AA218B" w:rsidP="008523E0" w:rsidRDefault="00AA218B" w14:paraId="4BC881B6" w14:textId="77777777">
      <w:pPr>
        <w:tabs>
          <w:tab w:val="left" w:pos="90"/>
        </w:tabs>
        <w:suppressAutoHyphens/>
        <w:ind w:left="-720" w:right="720"/>
        <w:jc w:val="both"/>
        <w:rPr>
          <w:b/>
          <w:color w:val="000000" w:themeColor="text1"/>
          <w:szCs w:val="24"/>
        </w:rPr>
      </w:pPr>
    </w:p>
    <w:p w:rsidRPr="00C206C5" w:rsidR="0063141B" w:rsidP="008523E0" w:rsidRDefault="002D55D1" w14:paraId="6624F83C" w14:textId="4165F6C5">
      <w:pPr>
        <w:tabs>
          <w:tab w:val="left" w:pos="90"/>
        </w:tabs>
        <w:suppressAutoHyphens/>
        <w:ind w:left="-720" w:right="720"/>
        <w:jc w:val="both"/>
        <w:rPr>
          <w:color w:val="000000" w:themeColor="text1"/>
          <w:szCs w:val="24"/>
        </w:rPr>
      </w:pPr>
      <w:r>
        <w:rPr>
          <w:color w:val="000000" w:themeColor="text1"/>
          <w:szCs w:val="24"/>
        </w:rPr>
        <w:t xml:space="preserve">   13.  </w:t>
      </w:r>
      <w:r w:rsidRPr="00C206C5" w:rsidR="0063141B">
        <w:rPr>
          <w:color w:val="000000" w:themeColor="text1"/>
          <w:szCs w:val="24"/>
        </w:rPr>
        <w:t>Cost to the Respondent:</w:t>
      </w:r>
    </w:p>
    <w:p w:rsidRPr="00C206C5" w:rsidR="00E66D2B" w:rsidP="008523E0" w:rsidRDefault="00E66D2B" w14:paraId="3353FCD3" w14:textId="77777777">
      <w:pPr>
        <w:tabs>
          <w:tab w:val="left" w:pos="90"/>
        </w:tabs>
        <w:suppressAutoHyphens/>
        <w:ind w:left="-360" w:right="720" w:firstLine="360"/>
        <w:jc w:val="both"/>
        <w:rPr>
          <w:color w:val="000000" w:themeColor="text1"/>
          <w:szCs w:val="24"/>
        </w:rPr>
      </w:pPr>
    </w:p>
    <w:p w:rsidRPr="00C206C5" w:rsidR="00E66D2B" w:rsidP="008523E0" w:rsidRDefault="002D55D1" w14:paraId="3816FB20" w14:textId="52EB8F50">
      <w:pPr>
        <w:tabs>
          <w:tab w:val="left" w:pos="-360"/>
        </w:tabs>
        <w:suppressAutoHyphens/>
        <w:ind w:left="-360" w:right="720"/>
        <w:jc w:val="both"/>
        <w:rPr>
          <w:color w:val="000000" w:themeColor="text1"/>
          <w:szCs w:val="24"/>
        </w:rPr>
      </w:pPr>
      <w:r>
        <w:rPr>
          <w:color w:val="000000" w:themeColor="text1"/>
          <w:szCs w:val="24"/>
        </w:rPr>
        <w:tab/>
      </w:r>
      <w:r w:rsidRPr="00C206C5" w:rsidR="00781AEB">
        <w:rPr>
          <w:color w:val="000000" w:themeColor="text1"/>
          <w:szCs w:val="24"/>
        </w:rPr>
        <w:t xml:space="preserve">a. </w:t>
      </w:r>
      <w:r w:rsidRPr="00C206C5" w:rsidR="00E66D2B">
        <w:rPr>
          <w:color w:val="000000" w:themeColor="text1"/>
          <w:szCs w:val="24"/>
        </w:rPr>
        <w:tab/>
        <w:t>T</w:t>
      </w:r>
      <w:r w:rsidRPr="00C206C5" w:rsidR="007C1EBA">
        <w:rPr>
          <w:color w:val="000000" w:themeColor="text1"/>
          <w:szCs w:val="24"/>
        </w:rPr>
        <w:t>otal annualized capital/start-up costs: $0.00</w:t>
      </w:r>
    </w:p>
    <w:p w:rsidR="00C206C5" w:rsidP="002D55D1" w:rsidRDefault="002D55D1" w14:paraId="55D86578" w14:textId="1E0EC861">
      <w:pPr>
        <w:tabs>
          <w:tab w:val="left" w:pos="-360"/>
        </w:tabs>
        <w:suppressAutoHyphens/>
        <w:ind w:left="-360" w:right="720"/>
        <w:jc w:val="both"/>
        <w:rPr>
          <w:color w:val="000000" w:themeColor="text1"/>
          <w:szCs w:val="24"/>
        </w:rPr>
      </w:pPr>
      <w:r>
        <w:rPr>
          <w:color w:val="000000" w:themeColor="text1"/>
          <w:szCs w:val="24"/>
        </w:rPr>
        <w:tab/>
        <w:t xml:space="preserve">b.  </w:t>
      </w:r>
      <w:r>
        <w:rPr>
          <w:color w:val="000000" w:themeColor="text1"/>
          <w:szCs w:val="24"/>
        </w:rPr>
        <w:tab/>
      </w:r>
      <w:r w:rsidRPr="00C206C5" w:rsidR="00781AEB">
        <w:rPr>
          <w:color w:val="000000" w:themeColor="text1"/>
          <w:szCs w:val="24"/>
        </w:rPr>
        <w:t>Total</w:t>
      </w:r>
      <w:r w:rsidRPr="00C206C5" w:rsidR="0063141B">
        <w:rPr>
          <w:color w:val="000000" w:themeColor="text1"/>
          <w:szCs w:val="24"/>
        </w:rPr>
        <w:t xml:space="preserve"> </w:t>
      </w:r>
      <w:r w:rsidRPr="00C206C5" w:rsidR="00E66D2B">
        <w:rPr>
          <w:color w:val="000000" w:themeColor="text1"/>
          <w:szCs w:val="24"/>
        </w:rPr>
        <w:t xml:space="preserve">annualized cost requested </w:t>
      </w:r>
      <w:r w:rsidRPr="00C206C5" w:rsidR="0063141B">
        <w:rPr>
          <w:color w:val="000000" w:themeColor="text1"/>
          <w:szCs w:val="24"/>
        </w:rPr>
        <w:t>to prepare FCC 601</w:t>
      </w:r>
      <w:r w:rsidRPr="00C206C5" w:rsidR="00C25FF7">
        <w:rPr>
          <w:color w:val="000000" w:themeColor="text1"/>
          <w:szCs w:val="24"/>
        </w:rPr>
        <w:t xml:space="preserve"> are</w:t>
      </w:r>
      <w:r w:rsidRPr="00C206C5" w:rsidR="0063141B">
        <w:rPr>
          <w:color w:val="000000" w:themeColor="text1"/>
          <w:szCs w:val="24"/>
        </w:rPr>
        <w:t>:</w:t>
      </w:r>
    </w:p>
    <w:p w:rsidR="00C206C5" w:rsidP="00C206C5" w:rsidRDefault="00C206C5" w14:paraId="69B998B7" w14:textId="77777777">
      <w:pPr>
        <w:tabs>
          <w:tab w:val="left" w:pos="-360"/>
        </w:tabs>
        <w:suppressAutoHyphens/>
        <w:ind w:left="-360" w:right="720"/>
        <w:jc w:val="both"/>
        <w:rPr>
          <w:color w:val="000000" w:themeColor="text1"/>
          <w:szCs w:val="24"/>
        </w:rPr>
      </w:pPr>
    </w:p>
    <w:p w:rsidRPr="00C206C5" w:rsidR="0063141B" w:rsidP="00C206C5" w:rsidRDefault="002D55D1" w14:paraId="10248272" w14:textId="3829ED1B">
      <w:pPr>
        <w:tabs>
          <w:tab w:val="left" w:pos="-360"/>
        </w:tabs>
        <w:suppressAutoHyphens/>
        <w:ind w:left="-360" w:right="720"/>
        <w:jc w:val="both"/>
        <w:rPr>
          <w:color w:val="000000" w:themeColor="text1"/>
          <w:szCs w:val="24"/>
        </w:rPr>
      </w:pPr>
      <w:r>
        <w:rPr>
          <w:color w:val="000000" w:themeColor="text1"/>
          <w:szCs w:val="24"/>
        </w:rPr>
        <w:tab/>
      </w:r>
      <w:r w:rsidRPr="00C206C5" w:rsidR="0063141B">
        <w:rPr>
          <w:color w:val="000000" w:themeColor="text1"/>
          <w:szCs w:val="24"/>
        </w:rPr>
        <w:t xml:space="preserve">There is no </w:t>
      </w:r>
      <w:r w:rsidRPr="00C206C5" w:rsidR="000907AB">
        <w:rPr>
          <w:color w:val="000000" w:themeColor="text1"/>
          <w:szCs w:val="24"/>
        </w:rPr>
        <w:t xml:space="preserve">cost to file the application </w:t>
      </w:r>
      <w:r w:rsidRPr="00C206C5" w:rsidR="0063141B">
        <w:rPr>
          <w:color w:val="000000" w:themeColor="text1"/>
          <w:szCs w:val="24"/>
        </w:rPr>
        <w:t>electronic</w:t>
      </w:r>
      <w:r w:rsidRPr="00C206C5" w:rsidR="000907AB">
        <w:rPr>
          <w:color w:val="000000" w:themeColor="text1"/>
          <w:szCs w:val="24"/>
        </w:rPr>
        <w:t>ally</w:t>
      </w:r>
      <w:r w:rsidRPr="00C206C5" w:rsidR="0063141B">
        <w:rPr>
          <w:color w:val="000000" w:themeColor="text1"/>
          <w:szCs w:val="24"/>
        </w:rPr>
        <w:t xml:space="preserve"> with the FCC</w:t>
      </w:r>
      <w:r w:rsidRPr="00C206C5" w:rsidR="00344008">
        <w:rPr>
          <w:color w:val="000000" w:themeColor="text1"/>
          <w:szCs w:val="24"/>
        </w:rPr>
        <w:t>.</w:t>
      </w:r>
      <w:r w:rsidRPr="00C206C5" w:rsidR="0063141B">
        <w:rPr>
          <w:color w:val="000000" w:themeColor="text1"/>
          <w:szCs w:val="24"/>
        </w:rPr>
        <w:t xml:space="preserve"> </w:t>
      </w:r>
    </w:p>
    <w:p w:rsidRPr="00C206C5" w:rsidR="00EC74EF" w:rsidP="004B1BAE" w:rsidRDefault="00EC74EF" w14:paraId="63ACFA59" w14:textId="77777777">
      <w:pPr>
        <w:tabs>
          <w:tab w:val="left" w:pos="-360"/>
        </w:tabs>
        <w:suppressAutoHyphens/>
        <w:ind w:left="720" w:right="720"/>
        <w:jc w:val="both"/>
        <w:rPr>
          <w:color w:val="000000" w:themeColor="text1"/>
          <w:szCs w:val="24"/>
        </w:rPr>
      </w:pPr>
    </w:p>
    <w:p w:rsidRPr="00C206C5" w:rsidR="0063141B" w:rsidP="008523E0" w:rsidRDefault="0063141B" w14:paraId="7E0D053D" w14:textId="77777777">
      <w:pPr>
        <w:tabs>
          <w:tab w:val="left" w:pos="-360"/>
        </w:tabs>
        <w:suppressAutoHyphens/>
        <w:ind w:left="-360" w:right="720"/>
        <w:jc w:val="both"/>
        <w:rPr>
          <w:color w:val="000000" w:themeColor="text1"/>
          <w:szCs w:val="24"/>
          <w:highlight w:val="yellow"/>
        </w:rPr>
      </w:pPr>
    </w:p>
    <w:p w:rsidRPr="00C206C5" w:rsidR="0063141B" w:rsidP="008523E0" w:rsidRDefault="002D55D1" w14:paraId="548EFE5A" w14:textId="31E5C1E3">
      <w:pPr>
        <w:tabs>
          <w:tab w:val="left" w:pos="-360"/>
        </w:tabs>
        <w:suppressAutoHyphens/>
        <w:ind w:left="-360" w:right="720"/>
        <w:jc w:val="both"/>
        <w:rPr>
          <w:color w:val="000000" w:themeColor="text1"/>
          <w:szCs w:val="24"/>
        </w:rPr>
      </w:pPr>
      <w:r>
        <w:rPr>
          <w:color w:val="000000" w:themeColor="text1"/>
          <w:szCs w:val="24"/>
        </w:rPr>
        <w:tab/>
      </w:r>
      <w:r w:rsidRPr="00C206C5" w:rsidR="0063141B">
        <w:rPr>
          <w:color w:val="000000" w:themeColor="text1"/>
          <w:szCs w:val="24"/>
        </w:rPr>
        <w:t>FCC application filing fees:</w:t>
      </w:r>
    </w:p>
    <w:p w:rsidRPr="00C206C5" w:rsidR="000765B8" w:rsidP="008523E0" w:rsidRDefault="000765B8" w14:paraId="0CC0B304" w14:textId="77777777">
      <w:pPr>
        <w:tabs>
          <w:tab w:val="left" w:pos="90"/>
        </w:tabs>
        <w:suppressAutoHyphens/>
        <w:ind w:left="-360" w:right="720" w:firstLine="360"/>
        <w:jc w:val="both"/>
        <w:rPr>
          <w:color w:val="000000" w:themeColor="text1"/>
          <w:szCs w:val="24"/>
          <w:highlight w:val="yellow"/>
        </w:rPr>
      </w:pPr>
    </w:p>
    <w:p w:rsidRPr="00C206C5" w:rsidR="00C95995" w:rsidP="00CD36BA" w:rsidRDefault="002D55D1" w14:paraId="57A05EA4" w14:textId="645010CE">
      <w:pPr>
        <w:tabs>
          <w:tab w:val="left" w:pos="90"/>
        </w:tabs>
        <w:suppressAutoHyphens/>
        <w:ind w:left="-360"/>
        <w:jc w:val="both"/>
        <w:rPr>
          <w:color w:val="000000" w:themeColor="text1"/>
          <w:szCs w:val="24"/>
        </w:rPr>
      </w:pPr>
      <w:r>
        <w:rPr>
          <w:color w:val="000000" w:themeColor="text1"/>
          <w:szCs w:val="24"/>
        </w:rPr>
        <w:tab/>
      </w:r>
      <w:r w:rsidRPr="00C206C5" w:rsidR="0063141B">
        <w:rPr>
          <w:color w:val="000000" w:themeColor="text1"/>
          <w:szCs w:val="24"/>
        </w:rPr>
        <w:t xml:space="preserve">We estimate that </w:t>
      </w:r>
      <w:r w:rsidRPr="00C206C5" w:rsidR="00781AEB">
        <w:rPr>
          <w:color w:val="000000" w:themeColor="text1"/>
          <w:szCs w:val="24"/>
        </w:rPr>
        <w:t>approximately</w:t>
      </w:r>
      <w:r w:rsidRPr="00C206C5" w:rsidR="0063141B">
        <w:rPr>
          <w:color w:val="000000" w:themeColor="text1"/>
          <w:szCs w:val="24"/>
        </w:rPr>
        <w:t xml:space="preserve"> 75% of </w:t>
      </w:r>
      <w:r w:rsidRPr="00C206C5" w:rsidR="004B1BAE">
        <w:rPr>
          <w:color w:val="000000" w:themeColor="text1"/>
          <w:szCs w:val="24"/>
        </w:rPr>
        <w:t>25</w:t>
      </w:r>
      <w:r w:rsidRPr="00C206C5" w:rsidR="00154267">
        <w:rPr>
          <w:color w:val="000000" w:themeColor="text1"/>
          <w:szCs w:val="24"/>
        </w:rPr>
        <w:t>5</w:t>
      </w:r>
      <w:r w:rsidRPr="00C206C5" w:rsidR="004B1BAE">
        <w:rPr>
          <w:color w:val="000000" w:themeColor="text1"/>
          <w:szCs w:val="24"/>
        </w:rPr>
        <w:t>,</w:t>
      </w:r>
      <w:r w:rsidRPr="00C206C5" w:rsidR="005855FA">
        <w:rPr>
          <w:color w:val="000000" w:themeColor="text1"/>
          <w:szCs w:val="24"/>
        </w:rPr>
        <w:t>4</w:t>
      </w:r>
      <w:r w:rsidRPr="00C206C5" w:rsidR="00154267">
        <w:rPr>
          <w:color w:val="000000" w:themeColor="text1"/>
          <w:szCs w:val="24"/>
        </w:rPr>
        <w:t>52</w:t>
      </w:r>
      <w:r w:rsidRPr="00C206C5" w:rsidR="004B1BAE">
        <w:rPr>
          <w:color w:val="000000" w:themeColor="text1"/>
          <w:szCs w:val="24"/>
        </w:rPr>
        <w:t xml:space="preserve"> </w:t>
      </w:r>
      <w:r w:rsidRPr="00C206C5" w:rsidR="000907AB">
        <w:rPr>
          <w:color w:val="000000" w:themeColor="text1"/>
          <w:szCs w:val="24"/>
        </w:rPr>
        <w:t xml:space="preserve">various </w:t>
      </w:r>
      <w:r w:rsidRPr="00C206C5" w:rsidR="0063141B">
        <w:rPr>
          <w:color w:val="000000" w:themeColor="text1"/>
          <w:szCs w:val="24"/>
        </w:rPr>
        <w:t xml:space="preserve">applications filed require an application </w:t>
      </w:r>
      <w:r>
        <w:rPr>
          <w:color w:val="000000" w:themeColor="text1"/>
          <w:szCs w:val="24"/>
        </w:rPr>
        <w:tab/>
      </w:r>
      <w:r w:rsidRPr="00C206C5" w:rsidR="0063141B">
        <w:rPr>
          <w:color w:val="000000" w:themeColor="text1"/>
          <w:szCs w:val="24"/>
        </w:rPr>
        <w:t xml:space="preserve">fee </w:t>
      </w:r>
      <w:r w:rsidRPr="00C206C5" w:rsidR="00781AEB">
        <w:rPr>
          <w:color w:val="000000" w:themeColor="text1"/>
          <w:szCs w:val="24"/>
        </w:rPr>
        <w:t>of</w:t>
      </w:r>
      <w:r w:rsidRPr="00C206C5" w:rsidR="0063141B">
        <w:rPr>
          <w:color w:val="000000" w:themeColor="text1"/>
          <w:szCs w:val="24"/>
        </w:rPr>
        <w:t xml:space="preserve"> $</w:t>
      </w:r>
      <w:r w:rsidRPr="00C206C5" w:rsidR="00587307">
        <w:rPr>
          <w:color w:val="000000" w:themeColor="text1"/>
          <w:szCs w:val="24"/>
        </w:rPr>
        <w:t>65</w:t>
      </w:r>
      <w:r w:rsidRPr="00C206C5" w:rsidR="0063141B">
        <w:rPr>
          <w:color w:val="000000" w:themeColor="text1"/>
          <w:szCs w:val="24"/>
        </w:rPr>
        <w:t>-$</w:t>
      </w:r>
      <w:r w:rsidRPr="00C206C5" w:rsidR="00587307">
        <w:rPr>
          <w:color w:val="000000" w:themeColor="text1"/>
          <w:szCs w:val="24"/>
        </w:rPr>
        <w:t xml:space="preserve">430 </w:t>
      </w:r>
      <w:r w:rsidRPr="00C206C5" w:rsidR="000907AB">
        <w:rPr>
          <w:color w:val="000000" w:themeColor="text1"/>
          <w:szCs w:val="24"/>
        </w:rPr>
        <w:t>each</w:t>
      </w:r>
      <w:r w:rsidRPr="00C206C5" w:rsidR="0063141B">
        <w:rPr>
          <w:color w:val="000000" w:themeColor="text1"/>
          <w:szCs w:val="24"/>
        </w:rPr>
        <w:t>. (The balance of the respondents would be exempt</w:t>
      </w:r>
      <w:r w:rsidRPr="00C206C5" w:rsidR="000907AB">
        <w:rPr>
          <w:color w:val="000000" w:themeColor="text1"/>
          <w:szCs w:val="24"/>
        </w:rPr>
        <w:t xml:space="preserve"> from filing fees due to </w:t>
      </w:r>
      <w:r>
        <w:rPr>
          <w:color w:val="000000" w:themeColor="text1"/>
          <w:szCs w:val="24"/>
        </w:rPr>
        <w:tab/>
      </w:r>
      <w:r w:rsidRPr="00C206C5" w:rsidR="000907AB">
        <w:rPr>
          <w:color w:val="000000" w:themeColor="text1"/>
          <w:szCs w:val="24"/>
        </w:rPr>
        <w:t>type of entity, i.e. p</w:t>
      </w:r>
      <w:r w:rsidRPr="00C206C5" w:rsidR="0063141B">
        <w:rPr>
          <w:color w:val="000000" w:themeColor="text1"/>
          <w:szCs w:val="24"/>
        </w:rPr>
        <w:t xml:space="preserve">ublic </w:t>
      </w:r>
      <w:r w:rsidRPr="00C206C5" w:rsidR="000907AB">
        <w:rPr>
          <w:color w:val="000000" w:themeColor="text1"/>
          <w:szCs w:val="24"/>
        </w:rPr>
        <w:t>s</w:t>
      </w:r>
      <w:r w:rsidRPr="00C206C5" w:rsidR="0063141B">
        <w:rPr>
          <w:color w:val="000000" w:themeColor="text1"/>
          <w:szCs w:val="24"/>
        </w:rPr>
        <w:t xml:space="preserve">afety, governmental entities, </w:t>
      </w:r>
      <w:r w:rsidRPr="00C206C5" w:rsidR="000907AB">
        <w:rPr>
          <w:color w:val="000000" w:themeColor="text1"/>
          <w:szCs w:val="24"/>
        </w:rPr>
        <w:t>n</w:t>
      </w:r>
      <w:r w:rsidRPr="00C206C5" w:rsidR="0063141B">
        <w:rPr>
          <w:color w:val="000000" w:themeColor="text1"/>
          <w:szCs w:val="24"/>
        </w:rPr>
        <w:t>on-commercial educational broadcast</w:t>
      </w:r>
      <w:r w:rsidRPr="00C206C5" w:rsidR="003C7811">
        <w:rPr>
          <w:color w:val="000000" w:themeColor="text1"/>
          <w:szCs w:val="24"/>
        </w:rPr>
        <w:t>ers</w:t>
      </w:r>
      <w:r w:rsidRPr="00C206C5" w:rsidR="0063141B">
        <w:rPr>
          <w:color w:val="000000" w:themeColor="text1"/>
          <w:szCs w:val="24"/>
        </w:rPr>
        <w:t xml:space="preserve">, </w:t>
      </w:r>
      <w:r>
        <w:rPr>
          <w:color w:val="000000" w:themeColor="text1"/>
          <w:szCs w:val="24"/>
        </w:rPr>
        <w:tab/>
      </w:r>
      <w:r w:rsidRPr="00C206C5" w:rsidR="0063141B">
        <w:rPr>
          <w:color w:val="000000" w:themeColor="text1"/>
          <w:szCs w:val="24"/>
        </w:rPr>
        <w:t xml:space="preserve">or because the purpose for which they are filing does not require a fee.)  </w:t>
      </w:r>
    </w:p>
    <w:p w:rsidR="00BE5C4C" w:rsidP="00CD36BA" w:rsidRDefault="00BE5C4C" w14:paraId="3E5BB0A4" w14:textId="46A61F47">
      <w:pPr>
        <w:tabs>
          <w:tab w:val="left" w:pos="90"/>
        </w:tabs>
        <w:suppressAutoHyphens/>
        <w:ind w:left="-360"/>
        <w:jc w:val="both"/>
        <w:rPr>
          <w:color w:val="000000" w:themeColor="text1"/>
          <w:szCs w:val="24"/>
        </w:rPr>
      </w:pPr>
    </w:p>
    <w:p w:rsidRPr="00C206C5" w:rsidR="0063141B" w:rsidP="00CD36BA" w:rsidRDefault="002D55D1" w14:paraId="7AAB9C3E" w14:textId="2D6A5A14">
      <w:pPr>
        <w:tabs>
          <w:tab w:val="left" w:pos="90"/>
        </w:tabs>
        <w:suppressAutoHyphens/>
        <w:ind w:left="-360"/>
        <w:jc w:val="both"/>
        <w:rPr>
          <w:color w:val="000000" w:themeColor="text1"/>
          <w:szCs w:val="24"/>
        </w:rPr>
      </w:pPr>
      <w:r>
        <w:rPr>
          <w:color w:val="000000" w:themeColor="text1"/>
          <w:szCs w:val="24"/>
        </w:rPr>
        <w:tab/>
      </w:r>
      <w:r w:rsidRPr="00C206C5" w:rsidR="0063141B">
        <w:rPr>
          <w:color w:val="000000" w:themeColor="text1"/>
          <w:szCs w:val="24"/>
        </w:rPr>
        <w:t>For purposes of this submission, we estimate the total application fees using an average of $1</w:t>
      </w:r>
      <w:r w:rsidRPr="00C206C5" w:rsidR="001C0D70">
        <w:rPr>
          <w:color w:val="000000" w:themeColor="text1"/>
          <w:szCs w:val="24"/>
        </w:rPr>
        <w:t>25</w:t>
      </w:r>
      <w:r w:rsidRPr="00C206C5" w:rsidR="0063141B">
        <w:rPr>
          <w:color w:val="000000" w:themeColor="text1"/>
          <w:szCs w:val="24"/>
        </w:rPr>
        <w:t xml:space="preserve"> </w:t>
      </w:r>
      <w:r>
        <w:rPr>
          <w:color w:val="000000" w:themeColor="text1"/>
          <w:szCs w:val="24"/>
        </w:rPr>
        <w:tab/>
      </w:r>
      <w:r w:rsidRPr="00C206C5" w:rsidR="0063141B">
        <w:rPr>
          <w:color w:val="000000" w:themeColor="text1"/>
          <w:szCs w:val="24"/>
        </w:rPr>
        <w:t>per filing</w:t>
      </w:r>
      <w:r w:rsidRPr="00C206C5" w:rsidR="0039081A">
        <w:rPr>
          <w:color w:val="000000" w:themeColor="text1"/>
          <w:szCs w:val="24"/>
        </w:rPr>
        <w:t>:</w:t>
      </w:r>
    </w:p>
    <w:p w:rsidRPr="00C206C5" w:rsidR="0063141B" w:rsidP="00CD36BA" w:rsidRDefault="0063141B" w14:paraId="2495E3C5" w14:textId="77777777">
      <w:pPr>
        <w:tabs>
          <w:tab w:val="left" w:pos="90"/>
        </w:tabs>
        <w:suppressAutoHyphens/>
        <w:ind w:left="-360"/>
        <w:jc w:val="both"/>
        <w:rPr>
          <w:color w:val="000000" w:themeColor="text1"/>
          <w:szCs w:val="24"/>
          <w:highlight w:val="yellow"/>
        </w:rPr>
      </w:pPr>
    </w:p>
    <w:p w:rsidRPr="00C206C5" w:rsidR="0063141B" w:rsidP="004B1BAE" w:rsidRDefault="0063141B" w14:paraId="254FD01D" w14:textId="77777777">
      <w:pPr>
        <w:tabs>
          <w:tab w:val="left" w:pos="90"/>
        </w:tabs>
        <w:suppressAutoHyphens/>
        <w:ind w:left="720" w:right="720"/>
        <w:jc w:val="both"/>
        <w:rPr>
          <w:color w:val="000000" w:themeColor="text1"/>
          <w:szCs w:val="24"/>
        </w:rPr>
      </w:pPr>
      <w:r w:rsidRPr="00C206C5">
        <w:rPr>
          <w:color w:val="000000" w:themeColor="text1"/>
          <w:szCs w:val="24"/>
        </w:rPr>
        <w:t>2</w:t>
      </w:r>
      <w:r w:rsidRPr="00C206C5" w:rsidR="00CF343A">
        <w:rPr>
          <w:color w:val="000000" w:themeColor="text1"/>
          <w:szCs w:val="24"/>
        </w:rPr>
        <w:t>5</w:t>
      </w:r>
      <w:r w:rsidRPr="00C206C5" w:rsidR="00154267">
        <w:rPr>
          <w:color w:val="000000" w:themeColor="text1"/>
          <w:szCs w:val="24"/>
        </w:rPr>
        <w:t>5,</w:t>
      </w:r>
      <w:r w:rsidRPr="00C206C5" w:rsidR="005855FA">
        <w:rPr>
          <w:color w:val="000000" w:themeColor="text1"/>
          <w:szCs w:val="24"/>
        </w:rPr>
        <w:t>4</w:t>
      </w:r>
      <w:r w:rsidRPr="00C206C5" w:rsidR="00154267">
        <w:rPr>
          <w:color w:val="000000" w:themeColor="text1"/>
          <w:szCs w:val="24"/>
        </w:rPr>
        <w:t>52</w:t>
      </w:r>
      <w:r w:rsidRPr="00C206C5">
        <w:rPr>
          <w:color w:val="000000" w:themeColor="text1"/>
          <w:szCs w:val="24"/>
        </w:rPr>
        <w:t xml:space="preserve"> total respondents </w:t>
      </w:r>
      <w:r w:rsidRPr="00C206C5" w:rsidR="007F147B">
        <w:rPr>
          <w:color w:val="000000" w:themeColor="text1"/>
          <w:szCs w:val="24"/>
        </w:rPr>
        <w:t>x</w:t>
      </w:r>
      <w:r w:rsidRPr="00C206C5">
        <w:rPr>
          <w:color w:val="000000" w:themeColor="text1"/>
          <w:szCs w:val="24"/>
        </w:rPr>
        <w:t xml:space="preserve"> 75% (feeable) = 1</w:t>
      </w:r>
      <w:r w:rsidRPr="00C206C5" w:rsidR="006A72C5">
        <w:rPr>
          <w:color w:val="000000" w:themeColor="text1"/>
          <w:szCs w:val="24"/>
        </w:rPr>
        <w:t>91,5</w:t>
      </w:r>
      <w:r w:rsidRPr="00C206C5" w:rsidR="001B50B2">
        <w:rPr>
          <w:color w:val="000000" w:themeColor="text1"/>
          <w:szCs w:val="24"/>
        </w:rPr>
        <w:t>90</w:t>
      </w:r>
      <w:r w:rsidRPr="00C206C5">
        <w:rPr>
          <w:color w:val="000000" w:themeColor="text1"/>
          <w:szCs w:val="24"/>
        </w:rPr>
        <w:t xml:space="preserve"> feeable filings</w:t>
      </w:r>
    </w:p>
    <w:p w:rsidRPr="00C206C5" w:rsidR="009F2260" w:rsidP="004B1BAE" w:rsidRDefault="009F2260" w14:paraId="01EFB052" w14:textId="77777777">
      <w:pPr>
        <w:tabs>
          <w:tab w:val="left" w:pos="90"/>
        </w:tabs>
        <w:suppressAutoHyphens/>
        <w:ind w:left="720" w:right="720"/>
        <w:jc w:val="both"/>
        <w:rPr>
          <w:color w:val="000000" w:themeColor="text1"/>
          <w:szCs w:val="24"/>
        </w:rPr>
      </w:pPr>
    </w:p>
    <w:p w:rsidRPr="00C206C5" w:rsidR="0063141B" w:rsidP="004B1BAE" w:rsidRDefault="0063141B" w14:paraId="634BEDB6" w14:textId="77777777">
      <w:pPr>
        <w:tabs>
          <w:tab w:val="left" w:pos="90"/>
        </w:tabs>
        <w:suppressAutoHyphens/>
        <w:ind w:left="720" w:right="720"/>
        <w:jc w:val="both"/>
        <w:rPr>
          <w:color w:val="000000" w:themeColor="text1"/>
          <w:szCs w:val="24"/>
        </w:rPr>
      </w:pPr>
      <w:r w:rsidRPr="00C206C5">
        <w:rPr>
          <w:color w:val="000000" w:themeColor="text1"/>
          <w:szCs w:val="24"/>
        </w:rPr>
        <w:t>1</w:t>
      </w:r>
      <w:r w:rsidRPr="00C206C5" w:rsidR="006A72C5">
        <w:rPr>
          <w:color w:val="000000" w:themeColor="text1"/>
          <w:szCs w:val="24"/>
        </w:rPr>
        <w:t>91,5</w:t>
      </w:r>
      <w:r w:rsidRPr="00C206C5" w:rsidR="001B50B2">
        <w:rPr>
          <w:color w:val="000000" w:themeColor="text1"/>
          <w:szCs w:val="24"/>
        </w:rPr>
        <w:t>90</w:t>
      </w:r>
      <w:r w:rsidRPr="00C206C5">
        <w:rPr>
          <w:color w:val="000000" w:themeColor="text1"/>
          <w:szCs w:val="24"/>
        </w:rPr>
        <w:t xml:space="preserve"> filings </w:t>
      </w:r>
      <w:r w:rsidRPr="00C206C5" w:rsidR="007F147B">
        <w:rPr>
          <w:color w:val="000000" w:themeColor="text1"/>
          <w:szCs w:val="24"/>
        </w:rPr>
        <w:t>x</w:t>
      </w:r>
      <w:r w:rsidRPr="00C206C5">
        <w:rPr>
          <w:color w:val="000000" w:themeColor="text1"/>
          <w:szCs w:val="24"/>
        </w:rPr>
        <w:t xml:space="preserve"> $1</w:t>
      </w:r>
      <w:r w:rsidRPr="00C206C5" w:rsidR="001C0D70">
        <w:rPr>
          <w:color w:val="000000" w:themeColor="text1"/>
          <w:szCs w:val="24"/>
        </w:rPr>
        <w:t>25</w:t>
      </w:r>
      <w:r w:rsidRPr="00C206C5">
        <w:rPr>
          <w:color w:val="000000" w:themeColor="text1"/>
          <w:szCs w:val="24"/>
        </w:rPr>
        <w:t xml:space="preserve"> average fee = $</w:t>
      </w:r>
      <w:r w:rsidRPr="00C206C5" w:rsidR="001C0D70">
        <w:rPr>
          <w:color w:val="000000" w:themeColor="text1"/>
          <w:szCs w:val="24"/>
        </w:rPr>
        <w:t>23</w:t>
      </w:r>
      <w:r w:rsidRPr="00C206C5">
        <w:rPr>
          <w:color w:val="000000" w:themeColor="text1"/>
          <w:szCs w:val="24"/>
        </w:rPr>
        <w:t>,</w:t>
      </w:r>
      <w:r w:rsidRPr="00C206C5" w:rsidR="006A72C5">
        <w:rPr>
          <w:color w:val="000000" w:themeColor="text1"/>
          <w:szCs w:val="24"/>
        </w:rPr>
        <w:t>9</w:t>
      </w:r>
      <w:r w:rsidRPr="00C206C5" w:rsidR="005855FA">
        <w:rPr>
          <w:color w:val="000000" w:themeColor="text1"/>
          <w:szCs w:val="24"/>
        </w:rPr>
        <w:t>48,</w:t>
      </w:r>
      <w:r w:rsidRPr="00C206C5" w:rsidR="001B50B2">
        <w:rPr>
          <w:color w:val="000000" w:themeColor="text1"/>
          <w:szCs w:val="24"/>
        </w:rPr>
        <w:t>750</w:t>
      </w:r>
    </w:p>
    <w:p w:rsidRPr="00C206C5" w:rsidR="00915047" w:rsidP="004B1BAE" w:rsidRDefault="00915047" w14:paraId="72EB5A99" w14:textId="77777777">
      <w:pPr>
        <w:tabs>
          <w:tab w:val="left" w:pos="90"/>
        </w:tabs>
        <w:suppressAutoHyphens/>
        <w:ind w:left="720" w:right="720"/>
        <w:jc w:val="both"/>
        <w:rPr>
          <w:color w:val="000000" w:themeColor="text1"/>
          <w:szCs w:val="24"/>
        </w:rPr>
      </w:pPr>
    </w:p>
    <w:p w:rsidRPr="00C206C5" w:rsidR="0063141B" w:rsidP="004B1BAE" w:rsidRDefault="0063141B" w14:paraId="49FF9D9C" w14:textId="77777777">
      <w:pPr>
        <w:tabs>
          <w:tab w:val="left" w:pos="90"/>
        </w:tabs>
        <w:suppressAutoHyphens/>
        <w:ind w:left="720" w:right="1890"/>
        <w:jc w:val="both"/>
        <w:rPr>
          <w:color w:val="000000" w:themeColor="text1"/>
          <w:szCs w:val="24"/>
        </w:rPr>
      </w:pPr>
      <w:r w:rsidRPr="00C206C5">
        <w:rPr>
          <w:color w:val="000000" w:themeColor="text1"/>
          <w:szCs w:val="24"/>
        </w:rPr>
        <w:lastRenderedPageBreak/>
        <w:t>We estimate that 50% of the respondents will contract out the completion of the form and would use an attorney</w:t>
      </w:r>
      <w:r w:rsidRPr="00C206C5" w:rsidR="008724C2">
        <w:rPr>
          <w:color w:val="000000" w:themeColor="text1"/>
          <w:szCs w:val="24"/>
        </w:rPr>
        <w:t xml:space="preserve"> </w:t>
      </w:r>
      <w:r w:rsidRPr="00C206C5">
        <w:rPr>
          <w:color w:val="000000" w:themeColor="text1"/>
          <w:szCs w:val="24"/>
        </w:rPr>
        <w:t>or application preparation service at a cost of $</w:t>
      </w:r>
      <w:r w:rsidRPr="00C206C5" w:rsidR="006776B4">
        <w:rPr>
          <w:color w:val="000000" w:themeColor="text1"/>
          <w:szCs w:val="24"/>
        </w:rPr>
        <w:t>3</w:t>
      </w:r>
      <w:r w:rsidRPr="00C206C5">
        <w:rPr>
          <w:color w:val="000000" w:themeColor="text1"/>
          <w:szCs w:val="24"/>
        </w:rPr>
        <w:t>00/hour to prepare the FCC 601</w:t>
      </w:r>
      <w:r w:rsidRPr="00C206C5" w:rsidR="006776B4">
        <w:rPr>
          <w:color w:val="000000" w:themeColor="text1"/>
          <w:szCs w:val="24"/>
        </w:rPr>
        <w:t xml:space="preserve"> and take the consultant 1.25 hours to complete each form</w:t>
      </w:r>
      <w:r w:rsidRPr="00C206C5">
        <w:rPr>
          <w:color w:val="000000" w:themeColor="text1"/>
          <w:szCs w:val="24"/>
        </w:rPr>
        <w:t>.</w:t>
      </w:r>
    </w:p>
    <w:p w:rsidRPr="00C206C5" w:rsidR="0063141B" w:rsidP="004B1BAE" w:rsidRDefault="0063141B" w14:paraId="6E4E5797" w14:textId="77777777">
      <w:pPr>
        <w:tabs>
          <w:tab w:val="left" w:pos="90"/>
        </w:tabs>
        <w:suppressAutoHyphens/>
        <w:ind w:left="720" w:right="720"/>
        <w:jc w:val="both"/>
        <w:rPr>
          <w:color w:val="000000" w:themeColor="text1"/>
          <w:szCs w:val="24"/>
        </w:rPr>
      </w:pPr>
    </w:p>
    <w:p w:rsidRPr="00C206C5" w:rsidR="0063141B" w:rsidP="004B1BAE" w:rsidRDefault="00103F21" w14:paraId="4E83279A" w14:textId="77777777">
      <w:pPr>
        <w:tabs>
          <w:tab w:val="left" w:pos="90"/>
        </w:tabs>
        <w:suppressAutoHyphens/>
        <w:ind w:left="720" w:right="720"/>
        <w:jc w:val="both"/>
        <w:rPr>
          <w:color w:val="000000" w:themeColor="text1"/>
          <w:szCs w:val="24"/>
        </w:rPr>
      </w:pPr>
      <w:r w:rsidRPr="00C206C5">
        <w:rPr>
          <w:color w:val="000000" w:themeColor="text1"/>
          <w:szCs w:val="24"/>
        </w:rPr>
        <w:t>12</w:t>
      </w:r>
      <w:r w:rsidRPr="00C206C5" w:rsidR="006A72C5">
        <w:rPr>
          <w:color w:val="000000" w:themeColor="text1"/>
          <w:szCs w:val="24"/>
        </w:rPr>
        <w:t>7,</w:t>
      </w:r>
      <w:r w:rsidRPr="00C206C5" w:rsidR="005855FA">
        <w:rPr>
          <w:color w:val="000000" w:themeColor="text1"/>
          <w:szCs w:val="24"/>
        </w:rPr>
        <w:t>726</w:t>
      </w:r>
      <w:r w:rsidRPr="00C206C5" w:rsidR="0063141B">
        <w:rPr>
          <w:color w:val="000000" w:themeColor="text1"/>
          <w:szCs w:val="24"/>
        </w:rPr>
        <w:t xml:space="preserve"> applications x 1.25 hours </w:t>
      </w:r>
      <w:r w:rsidRPr="00C206C5" w:rsidR="007F147B">
        <w:rPr>
          <w:color w:val="000000" w:themeColor="text1"/>
          <w:szCs w:val="24"/>
        </w:rPr>
        <w:t>x</w:t>
      </w:r>
      <w:r w:rsidRPr="00C206C5" w:rsidR="0063141B">
        <w:rPr>
          <w:color w:val="000000" w:themeColor="text1"/>
          <w:szCs w:val="24"/>
        </w:rPr>
        <w:t xml:space="preserve"> $</w:t>
      </w:r>
      <w:r w:rsidRPr="00C206C5" w:rsidR="006776B4">
        <w:rPr>
          <w:color w:val="000000" w:themeColor="text1"/>
          <w:szCs w:val="24"/>
        </w:rPr>
        <w:t>3</w:t>
      </w:r>
      <w:r w:rsidRPr="00C206C5" w:rsidR="0063141B">
        <w:rPr>
          <w:color w:val="000000" w:themeColor="text1"/>
          <w:szCs w:val="24"/>
        </w:rPr>
        <w:t>00/hour = $</w:t>
      </w:r>
      <w:r w:rsidRPr="00C206C5" w:rsidR="006776B4">
        <w:rPr>
          <w:color w:val="000000" w:themeColor="text1"/>
          <w:szCs w:val="24"/>
        </w:rPr>
        <w:t>47</w:t>
      </w:r>
      <w:r w:rsidRPr="00C206C5" w:rsidR="006A72C5">
        <w:rPr>
          <w:color w:val="000000" w:themeColor="text1"/>
          <w:szCs w:val="24"/>
        </w:rPr>
        <w:t>,8</w:t>
      </w:r>
      <w:r w:rsidRPr="00C206C5" w:rsidR="005855FA">
        <w:rPr>
          <w:color w:val="000000" w:themeColor="text1"/>
          <w:szCs w:val="24"/>
        </w:rPr>
        <w:t>97,250</w:t>
      </w:r>
    </w:p>
    <w:p w:rsidRPr="00C206C5" w:rsidR="00641C20" w:rsidP="004B1BAE" w:rsidRDefault="00641C20" w14:paraId="18932094" w14:textId="77777777">
      <w:pPr>
        <w:tabs>
          <w:tab w:val="left" w:pos="90"/>
        </w:tabs>
        <w:suppressAutoHyphens/>
        <w:ind w:left="720" w:right="720"/>
        <w:jc w:val="both"/>
        <w:rPr>
          <w:color w:val="000000" w:themeColor="text1"/>
          <w:szCs w:val="24"/>
        </w:rPr>
      </w:pPr>
    </w:p>
    <w:p w:rsidRPr="00C206C5" w:rsidR="00954CA7" w:rsidP="00CD36BA" w:rsidRDefault="002D55D1" w14:paraId="72316C51" w14:textId="18D98C13">
      <w:pPr>
        <w:tabs>
          <w:tab w:val="left" w:pos="90"/>
        </w:tabs>
        <w:suppressAutoHyphens/>
        <w:ind w:left="-360"/>
        <w:jc w:val="both"/>
        <w:rPr>
          <w:color w:val="000000" w:themeColor="text1"/>
          <w:szCs w:val="24"/>
        </w:rPr>
      </w:pPr>
      <w:r>
        <w:rPr>
          <w:color w:val="000000" w:themeColor="text1"/>
          <w:szCs w:val="24"/>
        </w:rPr>
        <w:tab/>
      </w:r>
      <w:r w:rsidRPr="00C206C5" w:rsidR="00954CA7">
        <w:rPr>
          <w:color w:val="000000" w:themeColor="text1"/>
          <w:szCs w:val="24"/>
        </w:rPr>
        <w:t xml:space="preserve">Regarding respondents </w:t>
      </w:r>
      <w:r w:rsidRPr="00C206C5" w:rsidR="00BE5C4C">
        <w:rPr>
          <w:color w:val="000000" w:themeColor="text1"/>
          <w:szCs w:val="24"/>
        </w:rPr>
        <w:t>eligible</w:t>
      </w:r>
      <w:r w:rsidRPr="00C206C5" w:rsidR="00954CA7">
        <w:rPr>
          <w:color w:val="000000" w:themeColor="text1"/>
          <w:szCs w:val="24"/>
        </w:rPr>
        <w:t xml:space="preserve"> for designated entity benefits, there is no application fee because </w:t>
      </w:r>
      <w:r>
        <w:rPr>
          <w:color w:val="000000" w:themeColor="text1"/>
          <w:szCs w:val="24"/>
        </w:rPr>
        <w:tab/>
      </w:r>
      <w:r w:rsidRPr="00C206C5" w:rsidR="00954CA7">
        <w:rPr>
          <w:color w:val="000000" w:themeColor="text1"/>
          <w:szCs w:val="24"/>
        </w:rPr>
        <w:t>the services involved are subject to auctions.</w:t>
      </w:r>
    </w:p>
    <w:p w:rsidRPr="00C206C5" w:rsidR="00954CA7" w:rsidP="00CD36BA" w:rsidRDefault="00954CA7" w14:paraId="6D15549C" w14:textId="77777777">
      <w:pPr>
        <w:tabs>
          <w:tab w:val="left" w:pos="90"/>
        </w:tabs>
        <w:suppressAutoHyphens/>
        <w:ind w:left="-360"/>
        <w:jc w:val="both"/>
        <w:rPr>
          <w:color w:val="000000" w:themeColor="text1"/>
          <w:szCs w:val="24"/>
        </w:rPr>
      </w:pPr>
    </w:p>
    <w:p w:rsidRPr="00C206C5" w:rsidR="00954CA7" w:rsidP="00954CA7" w:rsidRDefault="00954CA7" w14:paraId="665BE82B" w14:textId="77777777">
      <w:pPr>
        <w:tabs>
          <w:tab w:val="left" w:pos="90"/>
        </w:tabs>
        <w:suppressAutoHyphens/>
        <w:ind w:left="720" w:right="1890"/>
        <w:jc w:val="both"/>
        <w:rPr>
          <w:color w:val="000000" w:themeColor="text1"/>
          <w:szCs w:val="24"/>
        </w:rPr>
      </w:pPr>
      <w:r w:rsidRPr="00C206C5">
        <w:rPr>
          <w:color w:val="000000" w:themeColor="text1"/>
          <w:szCs w:val="24"/>
        </w:rPr>
        <w:t xml:space="preserve">We estimate that 50% of the respondents will contract </w:t>
      </w:r>
      <w:r w:rsidRPr="00C206C5" w:rsidR="001737F1">
        <w:rPr>
          <w:color w:val="000000" w:themeColor="text1"/>
          <w:szCs w:val="24"/>
        </w:rPr>
        <w:t xml:space="preserve">out </w:t>
      </w:r>
      <w:r w:rsidRPr="00C206C5">
        <w:rPr>
          <w:color w:val="000000" w:themeColor="text1"/>
          <w:szCs w:val="24"/>
        </w:rPr>
        <w:t>the completion of the form and would use an attorney</w:t>
      </w:r>
      <w:r w:rsidRPr="00C206C5" w:rsidR="008724C2">
        <w:rPr>
          <w:color w:val="000000" w:themeColor="text1"/>
          <w:szCs w:val="24"/>
        </w:rPr>
        <w:t xml:space="preserve"> </w:t>
      </w:r>
      <w:r w:rsidRPr="00C206C5">
        <w:rPr>
          <w:color w:val="000000" w:themeColor="text1"/>
          <w:szCs w:val="24"/>
        </w:rPr>
        <w:t>or application preparation service at a cost of $</w:t>
      </w:r>
      <w:r w:rsidRPr="00C206C5" w:rsidR="006776B4">
        <w:rPr>
          <w:color w:val="000000" w:themeColor="text1"/>
          <w:szCs w:val="24"/>
        </w:rPr>
        <w:t>3</w:t>
      </w:r>
      <w:r w:rsidRPr="00C206C5">
        <w:rPr>
          <w:color w:val="000000" w:themeColor="text1"/>
          <w:szCs w:val="24"/>
        </w:rPr>
        <w:t>00</w:t>
      </w:r>
      <w:r w:rsidRPr="00C206C5" w:rsidR="007F147B">
        <w:rPr>
          <w:color w:val="000000" w:themeColor="text1"/>
          <w:szCs w:val="24"/>
        </w:rPr>
        <w:t xml:space="preserve"> per</w:t>
      </w:r>
      <w:r w:rsidRPr="00C206C5" w:rsidR="005B4FBF">
        <w:rPr>
          <w:color w:val="000000" w:themeColor="text1"/>
          <w:szCs w:val="24"/>
        </w:rPr>
        <w:t xml:space="preserve"> </w:t>
      </w:r>
      <w:r w:rsidRPr="00C206C5">
        <w:rPr>
          <w:color w:val="000000" w:themeColor="text1"/>
          <w:szCs w:val="24"/>
        </w:rPr>
        <w:t xml:space="preserve">hour to prepare </w:t>
      </w:r>
      <w:r w:rsidRPr="00C206C5" w:rsidR="00046925">
        <w:rPr>
          <w:color w:val="000000" w:themeColor="text1"/>
          <w:szCs w:val="24"/>
        </w:rPr>
        <w:t xml:space="preserve">in 1 hour </w:t>
      </w:r>
      <w:r w:rsidRPr="00C206C5">
        <w:rPr>
          <w:color w:val="000000" w:themeColor="text1"/>
          <w:szCs w:val="24"/>
        </w:rPr>
        <w:t xml:space="preserve">the FCC </w:t>
      </w:r>
      <w:r w:rsidRPr="00C206C5" w:rsidR="008C5D45">
        <w:rPr>
          <w:color w:val="000000" w:themeColor="text1"/>
          <w:szCs w:val="24"/>
        </w:rPr>
        <w:t xml:space="preserve">Form </w:t>
      </w:r>
      <w:r w:rsidRPr="00C206C5">
        <w:rPr>
          <w:color w:val="000000" w:themeColor="text1"/>
          <w:szCs w:val="24"/>
        </w:rPr>
        <w:t>601.</w:t>
      </w:r>
    </w:p>
    <w:p w:rsidRPr="00C206C5" w:rsidR="00954CA7" w:rsidP="00954CA7" w:rsidRDefault="00954CA7" w14:paraId="6EE6B16E" w14:textId="77777777">
      <w:pPr>
        <w:tabs>
          <w:tab w:val="left" w:pos="90"/>
        </w:tabs>
        <w:suppressAutoHyphens/>
        <w:ind w:left="720" w:right="1890"/>
        <w:jc w:val="both"/>
        <w:rPr>
          <w:color w:val="000000" w:themeColor="text1"/>
          <w:szCs w:val="24"/>
          <w:highlight w:val="yellow"/>
        </w:rPr>
      </w:pPr>
    </w:p>
    <w:p w:rsidRPr="00C206C5" w:rsidR="002D2714" w:rsidP="00954CA7" w:rsidRDefault="00954CA7" w14:paraId="2331B3D0" w14:textId="77777777">
      <w:pPr>
        <w:tabs>
          <w:tab w:val="left" w:pos="90"/>
        </w:tabs>
        <w:suppressAutoHyphens/>
        <w:ind w:left="720" w:right="1890"/>
        <w:jc w:val="both"/>
        <w:rPr>
          <w:color w:val="000000" w:themeColor="text1"/>
          <w:szCs w:val="24"/>
        </w:rPr>
      </w:pPr>
      <w:r w:rsidRPr="00C206C5">
        <w:rPr>
          <w:color w:val="000000" w:themeColor="text1"/>
          <w:szCs w:val="24"/>
        </w:rPr>
        <w:t xml:space="preserve">200 applications x </w:t>
      </w:r>
      <w:proofErr w:type="gramStart"/>
      <w:r w:rsidRPr="00C206C5">
        <w:rPr>
          <w:color w:val="000000" w:themeColor="text1"/>
          <w:szCs w:val="24"/>
        </w:rPr>
        <w:t>1 hour</w:t>
      </w:r>
      <w:proofErr w:type="gramEnd"/>
      <w:r w:rsidRPr="00C206C5">
        <w:rPr>
          <w:color w:val="000000" w:themeColor="text1"/>
          <w:szCs w:val="24"/>
        </w:rPr>
        <w:t xml:space="preserve"> </w:t>
      </w:r>
      <w:r w:rsidRPr="00C206C5" w:rsidR="007F147B">
        <w:rPr>
          <w:color w:val="000000" w:themeColor="text1"/>
          <w:szCs w:val="24"/>
        </w:rPr>
        <w:t>x</w:t>
      </w:r>
      <w:r w:rsidRPr="00C206C5">
        <w:rPr>
          <w:color w:val="000000" w:themeColor="text1"/>
          <w:szCs w:val="24"/>
        </w:rPr>
        <w:t xml:space="preserve"> $</w:t>
      </w:r>
      <w:r w:rsidRPr="00C206C5" w:rsidR="006776B4">
        <w:rPr>
          <w:color w:val="000000" w:themeColor="text1"/>
          <w:szCs w:val="24"/>
        </w:rPr>
        <w:t>3</w:t>
      </w:r>
      <w:r w:rsidRPr="00C206C5">
        <w:rPr>
          <w:color w:val="000000" w:themeColor="text1"/>
          <w:szCs w:val="24"/>
        </w:rPr>
        <w:t>00</w:t>
      </w:r>
      <w:r w:rsidRPr="00C206C5" w:rsidR="007F147B">
        <w:rPr>
          <w:color w:val="000000" w:themeColor="text1"/>
          <w:szCs w:val="24"/>
        </w:rPr>
        <w:t xml:space="preserve"> </w:t>
      </w:r>
      <w:r w:rsidRPr="00C206C5">
        <w:rPr>
          <w:color w:val="000000" w:themeColor="text1"/>
          <w:szCs w:val="24"/>
        </w:rPr>
        <w:t>hour = $</w:t>
      </w:r>
      <w:r w:rsidRPr="00C206C5" w:rsidR="006776B4">
        <w:rPr>
          <w:color w:val="000000" w:themeColor="text1"/>
          <w:szCs w:val="24"/>
        </w:rPr>
        <w:t>6</w:t>
      </w:r>
      <w:r w:rsidRPr="00C206C5">
        <w:rPr>
          <w:color w:val="000000" w:themeColor="text1"/>
          <w:szCs w:val="24"/>
        </w:rPr>
        <w:t>0,000</w:t>
      </w:r>
      <w:r w:rsidRPr="00C206C5" w:rsidR="00927E14">
        <w:rPr>
          <w:color w:val="000000" w:themeColor="text1"/>
          <w:szCs w:val="24"/>
        </w:rPr>
        <w:t xml:space="preserve"> </w:t>
      </w:r>
    </w:p>
    <w:p w:rsidRPr="00C206C5" w:rsidR="00954CA7" w:rsidP="00954CA7" w:rsidRDefault="00954CA7" w14:paraId="44CBE6F0" w14:textId="77777777">
      <w:pPr>
        <w:tabs>
          <w:tab w:val="left" w:pos="90"/>
        </w:tabs>
        <w:suppressAutoHyphens/>
        <w:ind w:left="720" w:right="1890"/>
        <w:jc w:val="both"/>
        <w:rPr>
          <w:color w:val="000000" w:themeColor="text1"/>
          <w:szCs w:val="24"/>
          <w:highlight w:val="yellow"/>
        </w:rPr>
      </w:pPr>
    </w:p>
    <w:p w:rsidRPr="00C206C5" w:rsidR="00954CA7" w:rsidP="00954CA7" w:rsidRDefault="002D55D1" w14:paraId="5D675DC0" w14:textId="54B0C082">
      <w:pPr>
        <w:tabs>
          <w:tab w:val="left" w:pos="0"/>
          <w:tab w:val="left" w:pos="90"/>
        </w:tabs>
        <w:suppressAutoHyphens/>
        <w:ind w:left="-360" w:right="1890"/>
        <w:jc w:val="both"/>
        <w:rPr>
          <w:b/>
          <w:color w:val="000000" w:themeColor="text1"/>
          <w:szCs w:val="24"/>
        </w:rPr>
      </w:pPr>
      <w:r>
        <w:rPr>
          <w:b/>
          <w:color w:val="000000" w:themeColor="text1"/>
          <w:szCs w:val="24"/>
        </w:rPr>
        <w:tab/>
      </w:r>
      <w:r w:rsidRPr="00C206C5" w:rsidR="00954CA7">
        <w:rPr>
          <w:b/>
          <w:color w:val="000000" w:themeColor="text1"/>
          <w:szCs w:val="24"/>
        </w:rPr>
        <w:t>TOTAL ESTIMATED RESPONDENT COST:  $</w:t>
      </w:r>
      <w:r w:rsidRPr="00C206C5" w:rsidR="00957CD8">
        <w:rPr>
          <w:color w:val="000000" w:themeColor="text1"/>
          <w:szCs w:val="24"/>
        </w:rPr>
        <w:t>23,</w:t>
      </w:r>
      <w:r w:rsidRPr="00C206C5" w:rsidR="006A72C5">
        <w:rPr>
          <w:color w:val="000000" w:themeColor="text1"/>
          <w:szCs w:val="24"/>
        </w:rPr>
        <w:t>9</w:t>
      </w:r>
      <w:r w:rsidRPr="00C206C5" w:rsidR="005855FA">
        <w:rPr>
          <w:color w:val="000000" w:themeColor="text1"/>
          <w:szCs w:val="24"/>
        </w:rPr>
        <w:t>48,</w:t>
      </w:r>
      <w:r w:rsidRPr="00C206C5" w:rsidR="001B50B2">
        <w:rPr>
          <w:color w:val="000000" w:themeColor="text1"/>
          <w:szCs w:val="24"/>
        </w:rPr>
        <w:t>750</w:t>
      </w:r>
      <w:r w:rsidRPr="00C206C5" w:rsidR="00333980">
        <w:rPr>
          <w:b/>
          <w:color w:val="000000" w:themeColor="text1"/>
          <w:szCs w:val="24"/>
        </w:rPr>
        <w:t xml:space="preserve"> +</w:t>
      </w:r>
      <w:r w:rsidRPr="00C206C5" w:rsidR="00954CA7">
        <w:rPr>
          <w:b/>
          <w:color w:val="000000" w:themeColor="text1"/>
          <w:szCs w:val="24"/>
        </w:rPr>
        <w:t xml:space="preserve"> </w:t>
      </w:r>
      <w:r>
        <w:rPr>
          <w:b/>
          <w:color w:val="000000" w:themeColor="text1"/>
          <w:szCs w:val="24"/>
        </w:rPr>
        <w:tab/>
      </w:r>
      <w:r w:rsidRPr="00C206C5" w:rsidR="006776B4">
        <w:rPr>
          <w:color w:val="000000" w:themeColor="text1"/>
          <w:szCs w:val="24"/>
        </w:rPr>
        <w:t>$47,</w:t>
      </w:r>
      <w:r w:rsidRPr="00C206C5" w:rsidR="006A72C5">
        <w:rPr>
          <w:color w:val="000000" w:themeColor="text1"/>
          <w:szCs w:val="24"/>
        </w:rPr>
        <w:t>8</w:t>
      </w:r>
      <w:r w:rsidRPr="00C206C5" w:rsidR="005855FA">
        <w:rPr>
          <w:color w:val="000000" w:themeColor="text1"/>
          <w:szCs w:val="24"/>
        </w:rPr>
        <w:t>97,250</w:t>
      </w:r>
      <w:r w:rsidRPr="00C206C5" w:rsidR="00333980">
        <w:rPr>
          <w:b/>
          <w:color w:val="000000" w:themeColor="text1"/>
          <w:szCs w:val="24"/>
        </w:rPr>
        <w:t xml:space="preserve"> </w:t>
      </w:r>
      <w:r w:rsidRPr="00C206C5" w:rsidR="00954CA7">
        <w:rPr>
          <w:b/>
          <w:color w:val="000000" w:themeColor="text1"/>
          <w:szCs w:val="24"/>
        </w:rPr>
        <w:t xml:space="preserve">+ </w:t>
      </w:r>
      <w:r w:rsidRPr="00C206C5" w:rsidR="006776B4">
        <w:rPr>
          <w:color w:val="000000" w:themeColor="text1"/>
          <w:szCs w:val="24"/>
        </w:rPr>
        <w:t>$6</w:t>
      </w:r>
      <w:r w:rsidRPr="00C206C5" w:rsidR="00954CA7">
        <w:rPr>
          <w:color w:val="000000" w:themeColor="text1"/>
          <w:szCs w:val="24"/>
        </w:rPr>
        <w:t>0,000</w:t>
      </w:r>
      <w:r w:rsidRPr="00C206C5" w:rsidR="00954CA7">
        <w:rPr>
          <w:b/>
          <w:color w:val="000000" w:themeColor="text1"/>
          <w:szCs w:val="24"/>
        </w:rPr>
        <w:t xml:space="preserve"> = </w:t>
      </w:r>
      <w:r w:rsidRPr="00C206C5" w:rsidR="006776B4">
        <w:rPr>
          <w:b/>
          <w:color w:val="000000" w:themeColor="text1"/>
          <w:szCs w:val="24"/>
        </w:rPr>
        <w:t>$</w:t>
      </w:r>
      <w:r w:rsidRPr="00C206C5" w:rsidR="006A72C5">
        <w:rPr>
          <w:b/>
          <w:color w:val="000000" w:themeColor="text1"/>
          <w:szCs w:val="24"/>
        </w:rPr>
        <w:t>71,</w:t>
      </w:r>
      <w:r w:rsidRPr="00C206C5" w:rsidR="005855FA">
        <w:rPr>
          <w:b/>
          <w:color w:val="000000" w:themeColor="text1"/>
          <w:szCs w:val="24"/>
        </w:rPr>
        <w:t>90</w:t>
      </w:r>
      <w:r w:rsidRPr="00C206C5" w:rsidR="001B50B2">
        <w:rPr>
          <w:b/>
          <w:color w:val="000000" w:themeColor="text1"/>
          <w:szCs w:val="24"/>
        </w:rPr>
        <w:t>6,000</w:t>
      </w:r>
    </w:p>
    <w:p w:rsidRPr="00C206C5" w:rsidR="008170F2" w:rsidP="00954CA7" w:rsidRDefault="008170F2" w14:paraId="61848369" w14:textId="77777777">
      <w:pPr>
        <w:tabs>
          <w:tab w:val="left" w:pos="0"/>
          <w:tab w:val="left" w:pos="90"/>
        </w:tabs>
        <w:suppressAutoHyphens/>
        <w:ind w:left="-360" w:right="1890"/>
        <w:jc w:val="both"/>
        <w:rPr>
          <w:b/>
          <w:color w:val="000000" w:themeColor="text1"/>
          <w:szCs w:val="24"/>
        </w:rPr>
      </w:pPr>
    </w:p>
    <w:p w:rsidRPr="00C206C5" w:rsidR="0063141B" w:rsidP="008523E0" w:rsidRDefault="002D55D1" w14:paraId="33B24C3B" w14:textId="094AA2D5">
      <w:pPr>
        <w:tabs>
          <w:tab w:val="left" w:pos="90"/>
        </w:tabs>
        <w:suppressAutoHyphens/>
        <w:ind w:left="-720" w:right="720"/>
        <w:jc w:val="both"/>
        <w:rPr>
          <w:color w:val="000000" w:themeColor="text1"/>
          <w:szCs w:val="24"/>
        </w:rPr>
      </w:pPr>
      <w:r>
        <w:rPr>
          <w:color w:val="000000" w:themeColor="text1"/>
          <w:szCs w:val="24"/>
        </w:rPr>
        <w:t xml:space="preserve">   14.  </w:t>
      </w:r>
      <w:r w:rsidRPr="00C206C5" w:rsidR="0063141B">
        <w:rPr>
          <w:color w:val="000000" w:themeColor="text1"/>
          <w:szCs w:val="24"/>
        </w:rPr>
        <w:t>Cost to the Federal Government:</w:t>
      </w:r>
    </w:p>
    <w:p w:rsidRPr="00C206C5" w:rsidR="00EF7591" w:rsidP="008523E0" w:rsidRDefault="00EF7591" w14:paraId="5A233B4A" w14:textId="77777777">
      <w:pPr>
        <w:tabs>
          <w:tab w:val="left" w:pos="90"/>
        </w:tabs>
        <w:suppressAutoHyphens/>
        <w:ind w:left="-360" w:right="720"/>
        <w:jc w:val="both"/>
        <w:rPr>
          <w:color w:val="000000" w:themeColor="text1"/>
          <w:szCs w:val="24"/>
        </w:rPr>
      </w:pPr>
    </w:p>
    <w:p w:rsidRPr="00C206C5" w:rsidR="0063141B" w:rsidP="008523E0" w:rsidRDefault="002D55D1" w14:paraId="14A66725" w14:textId="1BD624F4">
      <w:pPr>
        <w:tabs>
          <w:tab w:val="left" w:pos="90"/>
        </w:tabs>
        <w:suppressAutoHyphens/>
        <w:ind w:left="-360" w:right="720"/>
        <w:jc w:val="both"/>
        <w:rPr>
          <w:color w:val="000000" w:themeColor="text1"/>
          <w:szCs w:val="24"/>
          <w:highlight w:val="yellow"/>
        </w:rPr>
      </w:pPr>
      <w:r>
        <w:rPr>
          <w:color w:val="000000" w:themeColor="text1"/>
          <w:szCs w:val="24"/>
        </w:rPr>
        <w:tab/>
      </w:r>
      <w:r w:rsidRPr="00C206C5" w:rsidR="0063141B">
        <w:rPr>
          <w:color w:val="000000" w:themeColor="text1"/>
          <w:szCs w:val="24"/>
        </w:rPr>
        <w:t xml:space="preserve">FCC </w:t>
      </w:r>
      <w:r w:rsidRPr="00C206C5" w:rsidR="008C5D45">
        <w:rPr>
          <w:color w:val="000000" w:themeColor="text1"/>
          <w:szCs w:val="24"/>
        </w:rPr>
        <w:t xml:space="preserve">Form </w:t>
      </w:r>
      <w:r w:rsidRPr="00C206C5" w:rsidR="0063141B">
        <w:rPr>
          <w:color w:val="000000" w:themeColor="text1"/>
          <w:szCs w:val="24"/>
        </w:rPr>
        <w:t xml:space="preserve">601 Applications estimated to be filed: </w:t>
      </w:r>
      <w:r w:rsidRPr="00C206C5" w:rsidR="000315A0">
        <w:rPr>
          <w:color w:val="000000" w:themeColor="text1"/>
          <w:szCs w:val="24"/>
        </w:rPr>
        <w:t xml:space="preserve"> </w:t>
      </w:r>
      <w:r w:rsidRPr="00C206C5" w:rsidR="0063141B">
        <w:rPr>
          <w:color w:val="000000" w:themeColor="text1"/>
          <w:szCs w:val="24"/>
        </w:rPr>
        <w:t>2</w:t>
      </w:r>
      <w:r w:rsidRPr="00C206C5" w:rsidR="00CF343A">
        <w:rPr>
          <w:color w:val="000000" w:themeColor="text1"/>
          <w:szCs w:val="24"/>
        </w:rPr>
        <w:t>5</w:t>
      </w:r>
      <w:r w:rsidRPr="00C206C5" w:rsidR="006A72C5">
        <w:rPr>
          <w:color w:val="000000" w:themeColor="text1"/>
          <w:szCs w:val="24"/>
        </w:rPr>
        <w:t>5,352</w:t>
      </w:r>
    </w:p>
    <w:p w:rsidRPr="00C206C5" w:rsidR="0063141B" w:rsidP="008523E0" w:rsidRDefault="0063141B" w14:paraId="4ECFA113" w14:textId="77777777">
      <w:pPr>
        <w:tabs>
          <w:tab w:val="left" w:pos="90"/>
        </w:tabs>
        <w:suppressAutoHyphens/>
        <w:ind w:left="-360" w:right="720"/>
        <w:jc w:val="both"/>
        <w:rPr>
          <w:color w:val="000000" w:themeColor="text1"/>
          <w:szCs w:val="24"/>
          <w:highlight w:val="yellow"/>
        </w:rPr>
      </w:pPr>
    </w:p>
    <w:p w:rsidRPr="00C206C5" w:rsidR="0063141B" w:rsidP="008523E0" w:rsidRDefault="002D55D1" w14:paraId="0E633D4F" w14:textId="0154636F">
      <w:pPr>
        <w:tabs>
          <w:tab w:val="left" w:pos="90"/>
        </w:tabs>
        <w:suppressAutoHyphens/>
        <w:ind w:left="-360" w:right="720"/>
        <w:jc w:val="both"/>
        <w:rPr>
          <w:color w:val="000000" w:themeColor="text1"/>
          <w:szCs w:val="24"/>
        </w:rPr>
      </w:pPr>
      <w:r>
        <w:rPr>
          <w:color w:val="000000" w:themeColor="text1"/>
          <w:szCs w:val="24"/>
        </w:rPr>
        <w:tab/>
      </w:r>
      <w:r w:rsidRPr="00C206C5" w:rsidR="004829E0">
        <w:rPr>
          <w:color w:val="000000" w:themeColor="text1"/>
          <w:szCs w:val="24"/>
        </w:rPr>
        <w:t>12</w:t>
      </w:r>
      <w:r w:rsidRPr="00C206C5" w:rsidR="006A72C5">
        <w:rPr>
          <w:color w:val="000000" w:themeColor="text1"/>
          <w:szCs w:val="24"/>
        </w:rPr>
        <w:t>7,</w:t>
      </w:r>
      <w:r w:rsidRPr="00C206C5" w:rsidR="005855FA">
        <w:rPr>
          <w:color w:val="000000" w:themeColor="text1"/>
          <w:szCs w:val="24"/>
        </w:rPr>
        <w:t>726</w:t>
      </w:r>
      <w:r w:rsidRPr="00C206C5" w:rsidR="0063141B">
        <w:rPr>
          <w:color w:val="000000" w:themeColor="text1"/>
          <w:szCs w:val="24"/>
        </w:rPr>
        <w:t xml:space="preserve"> applications </w:t>
      </w:r>
      <w:r w:rsidRPr="00C206C5" w:rsidR="00C265E2">
        <w:rPr>
          <w:color w:val="000000" w:themeColor="text1"/>
          <w:szCs w:val="24"/>
        </w:rPr>
        <w:t>x</w:t>
      </w:r>
      <w:r w:rsidRPr="00C206C5" w:rsidR="0063141B">
        <w:rPr>
          <w:color w:val="000000" w:themeColor="text1"/>
          <w:szCs w:val="24"/>
        </w:rPr>
        <w:t xml:space="preserve"> </w:t>
      </w:r>
      <w:r w:rsidRPr="00C206C5" w:rsidR="009C07F3">
        <w:rPr>
          <w:color w:val="000000" w:themeColor="text1"/>
          <w:szCs w:val="24"/>
        </w:rPr>
        <w:t>30 mins.</w:t>
      </w:r>
      <w:r w:rsidRPr="00C206C5" w:rsidR="006C460B">
        <w:rPr>
          <w:color w:val="000000" w:themeColor="text1"/>
          <w:szCs w:val="24"/>
        </w:rPr>
        <w:t xml:space="preserve"> </w:t>
      </w:r>
      <w:r w:rsidRPr="00C206C5" w:rsidR="009C07F3">
        <w:rPr>
          <w:color w:val="000000" w:themeColor="text1"/>
          <w:szCs w:val="24"/>
        </w:rPr>
        <w:t>(0.</w:t>
      </w:r>
      <w:r w:rsidRPr="00C206C5" w:rsidR="0063141B">
        <w:rPr>
          <w:color w:val="000000" w:themeColor="text1"/>
          <w:szCs w:val="24"/>
        </w:rPr>
        <w:t>50</w:t>
      </w:r>
      <w:r w:rsidRPr="00C206C5" w:rsidR="009C07F3">
        <w:rPr>
          <w:color w:val="000000" w:themeColor="text1"/>
          <w:szCs w:val="24"/>
        </w:rPr>
        <w:t xml:space="preserve"> </w:t>
      </w:r>
      <w:proofErr w:type="spellStart"/>
      <w:r w:rsidRPr="00C206C5" w:rsidR="009C07F3">
        <w:rPr>
          <w:color w:val="000000" w:themeColor="text1"/>
          <w:szCs w:val="24"/>
        </w:rPr>
        <w:t>hrs</w:t>
      </w:r>
      <w:proofErr w:type="spellEnd"/>
      <w:r w:rsidRPr="00C206C5" w:rsidR="0063141B">
        <w:rPr>
          <w:color w:val="000000" w:themeColor="text1"/>
          <w:szCs w:val="24"/>
        </w:rPr>
        <w:t>)</w:t>
      </w:r>
    </w:p>
    <w:p w:rsidRPr="00C206C5" w:rsidR="0063141B" w:rsidP="008523E0" w:rsidRDefault="002D55D1" w14:paraId="1033A64A" w14:textId="060657EC">
      <w:pPr>
        <w:tabs>
          <w:tab w:val="left" w:pos="90"/>
        </w:tabs>
        <w:suppressAutoHyphens/>
        <w:ind w:left="-360" w:right="720"/>
        <w:jc w:val="both"/>
        <w:rPr>
          <w:color w:val="000000" w:themeColor="text1"/>
          <w:szCs w:val="24"/>
        </w:rPr>
      </w:pPr>
      <w:r>
        <w:rPr>
          <w:color w:val="000000" w:themeColor="text1"/>
          <w:szCs w:val="24"/>
        </w:rPr>
        <w:tab/>
      </w:r>
      <w:r w:rsidRPr="00C206C5" w:rsidR="00881CBA">
        <w:rPr>
          <w:color w:val="000000" w:themeColor="text1"/>
          <w:szCs w:val="24"/>
        </w:rPr>
        <w:t>@</w:t>
      </w:r>
      <w:r w:rsidRPr="00C206C5" w:rsidR="009C07F3">
        <w:rPr>
          <w:color w:val="000000" w:themeColor="text1"/>
          <w:szCs w:val="24"/>
        </w:rPr>
        <w:t xml:space="preserve"> $</w:t>
      </w:r>
      <w:r w:rsidRPr="00C206C5" w:rsidR="0058296F">
        <w:rPr>
          <w:color w:val="000000" w:themeColor="text1"/>
          <w:szCs w:val="24"/>
        </w:rPr>
        <w:t>2</w:t>
      </w:r>
      <w:r w:rsidRPr="00C206C5" w:rsidR="00201250">
        <w:rPr>
          <w:color w:val="000000" w:themeColor="text1"/>
          <w:szCs w:val="24"/>
        </w:rPr>
        <w:t>6.43</w:t>
      </w:r>
      <w:r w:rsidRPr="00C206C5" w:rsidR="00BB4F7C">
        <w:rPr>
          <w:color w:val="000000" w:themeColor="text1"/>
          <w:szCs w:val="24"/>
        </w:rPr>
        <w:t xml:space="preserve"> </w:t>
      </w:r>
      <w:r w:rsidRPr="00C206C5" w:rsidR="0063141B">
        <w:rPr>
          <w:color w:val="000000" w:themeColor="text1"/>
          <w:szCs w:val="24"/>
        </w:rPr>
        <w:t>per hour (GS-</w:t>
      </w:r>
      <w:r w:rsidRPr="00C206C5" w:rsidR="009C07F3">
        <w:rPr>
          <w:color w:val="000000" w:themeColor="text1"/>
          <w:szCs w:val="24"/>
        </w:rPr>
        <w:t>7</w:t>
      </w:r>
      <w:r w:rsidRPr="00C206C5" w:rsidR="00C265E2">
        <w:rPr>
          <w:color w:val="000000" w:themeColor="text1"/>
          <w:szCs w:val="24"/>
        </w:rPr>
        <w:t xml:space="preserve"> Step 5)</w:t>
      </w:r>
      <w:r w:rsidRPr="00C206C5" w:rsidR="0063141B">
        <w:rPr>
          <w:color w:val="000000" w:themeColor="text1"/>
          <w:szCs w:val="24"/>
        </w:rPr>
        <w:t xml:space="preserve"> </w:t>
      </w:r>
      <w:r w:rsidRPr="00C206C5" w:rsidR="009C07F3">
        <w:rPr>
          <w:color w:val="000000" w:themeColor="text1"/>
          <w:szCs w:val="24"/>
        </w:rPr>
        <w:t>for an</w:t>
      </w:r>
      <w:r w:rsidRPr="00C206C5" w:rsidR="009C07F3">
        <w:rPr>
          <w:color w:val="000000" w:themeColor="text1"/>
          <w:szCs w:val="24"/>
        </w:rPr>
        <w:tab/>
      </w:r>
      <w:r w:rsidRPr="00C206C5" w:rsidR="000315A0">
        <w:rPr>
          <w:color w:val="000000" w:themeColor="text1"/>
          <w:szCs w:val="24"/>
        </w:rPr>
        <w:tab/>
      </w:r>
      <w:r w:rsidRPr="00C206C5" w:rsidR="002E6394">
        <w:rPr>
          <w:color w:val="000000" w:themeColor="text1"/>
          <w:szCs w:val="24"/>
        </w:rPr>
        <w:tab/>
      </w:r>
      <w:r w:rsidRPr="00C206C5" w:rsidR="0063141B">
        <w:rPr>
          <w:color w:val="000000" w:themeColor="text1"/>
          <w:szCs w:val="24"/>
        </w:rPr>
        <w:t>=</w:t>
      </w:r>
      <w:r w:rsidRPr="00C206C5" w:rsidR="0063141B">
        <w:rPr>
          <w:color w:val="000000" w:themeColor="text1"/>
          <w:szCs w:val="24"/>
        </w:rPr>
        <w:tab/>
        <w:t>$</w:t>
      </w:r>
      <w:r w:rsidRPr="00C206C5" w:rsidR="009C07F3">
        <w:rPr>
          <w:color w:val="000000" w:themeColor="text1"/>
          <w:szCs w:val="24"/>
        </w:rPr>
        <w:t>1,</w:t>
      </w:r>
      <w:r w:rsidRPr="00C206C5" w:rsidR="001B50B2">
        <w:rPr>
          <w:color w:val="000000" w:themeColor="text1"/>
          <w:szCs w:val="24"/>
        </w:rPr>
        <w:t>6</w:t>
      </w:r>
      <w:r w:rsidRPr="00C206C5" w:rsidR="00201250">
        <w:rPr>
          <w:color w:val="000000" w:themeColor="text1"/>
          <w:szCs w:val="24"/>
        </w:rPr>
        <w:t>87,899.09</w:t>
      </w:r>
      <w:r w:rsidRPr="00C206C5" w:rsidR="00BB4F7C">
        <w:rPr>
          <w:color w:val="000000" w:themeColor="text1"/>
          <w:szCs w:val="24"/>
        </w:rPr>
        <w:t xml:space="preserve"> </w:t>
      </w:r>
      <w:r>
        <w:rPr>
          <w:color w:val="000000" w:themeColor="text1"/>
          <w:szCs w:val="24"/>
        </w:rPr>
        <w:tab/>
      </w:r>
      <w:r w:rsidRPr="00C206C5" w:rsidR="0063141B">
        <w:rPr>
          <w:color w:val="000000" w:themeColor="text1"/>
          <w:szCs w:val="24"/>
        </w:rPr>
        <w:t>(Processing)</w:t>
      </w:r>
    </w:p>
    <w:p w:rsidRPr="00C206C5" w:rsidR="0063141B" w:rsidP="008523E0" w:rsidRDefault="002D55D1" w14:paraId="287F2D44" w14:textId="5F1585D4">
      <w:pPr>
        <w:tabs>
          <w:tab w:val="left" w:pos="90"/>
        </w:tabs>
        <w:suppressAutoHyphens/>
        <w:ind w:left="-360" w:right="720"/>
        <w:jc w:val="both"/>
        <w:rPr>
          <w:color w:val="000000" w:themeColor="text1"/>
          <w:szCs w:val="24"/>
        </w:rPr>
      </w:pPr>
      <w:r>
        <w:rPr>
          <w:color w:val="000000" w:themeColor="text1"/>
          <w:szCs w:val="24"/>
        </w:rPr>
        <w:tab/>
      </w:r>
      <w:r w:rsidRPr="00C206C5" w:rsidR="009C07F3">
        <w:rPr>
          <w:color w:val="000000" w:themeColor="text1"/>
          <w:szCs w:val="24"/>
        </w:rPr>
        <w:t>Industry Analyst</w:t>
      </w:r>
    </w:p>
    <w:p w:rsidRPr="00C206C5" w:rsidR="00344008" w:rsidP="008523E0" w:rsidRDefault="00344008" w14:paraId="31F84F03" w14:textId="77777777">
      <w:pPr>
        <w:tabs>
          <w:tab w:val="left" w:pos="90"/>
        </w:tabs>
        <w:suppressAutoHyphens/>
        <w:ind w:left="-360" w:right="720"/>
        <w:jc w:val="both"/>
        <w:rPr>
          <w:color w:val="000000" w:themeColor="text1"/>
          <w:szCs w:val="24"/>
        </w:rPr>
      </w:pPr>
    </w:p>
    <w:p w:rsidRPr="00C206C5" w:rsidR="0063141B" w:rsidP="008523E0" w:rsidRDefault="002D55D1" w14:paraId="65AEEDC1" w14:textId="05EE260E">
      <w:pPr>
        <w:tabs>
          <w:tab w:val="left" w:pos="90"/>
        </w:tabs>
        <w:suppressAutoHyphens/>
        <w:ind w:left="-360" w:right="720"/>
        <w:jc w:val="both"/>
        <w:rPr>
          <w:color w:val="000000" w:themeColor="text1"/>
          <w:szCs w:val="24"/>
        </w:rPr>
      </w:pPr>
      <w:r>
        <w:rPr>
          <w:color w:val="000000" w:themeColor="text1"/>
          <w:szCs w:val="24"/>
        </w:rPr>
        <w:tab/>
      </w:r>
      <w:r w:rsidRPr="00C206C5" w:rsidR="00315F23">
        <w:rPr>
          <w:color w:val="000000" w:themeColor="text1"/>
          <w:szCs w:val="24"/>
        </w:rPr>
        <w:t>1</w:t>
      </w:r>
      <w:r w:rsidRPr="00C206C5" w:rsidR="0063141B">
        <w:rPr>
          <w:color w:val="000000" w:themeColor="text1"/>
          <w:szCs w:val="24"/>
        </w:rPr>
        <w:t>2</w:t>
      </w:r>
      <w:r w:rsidRPr="00C206C5" w:rsidR="006A72C5">
        <w:rPr>
          <w:color w:val="000000" w:themeColor="text1"/>
          <w:szCs w:val="24"/>
        </w:rPr>
        <w:t>7,</w:t>
      </w:r>
      <w:r w:rsidRPr="00C206C5" w:rsidR="005855FA">
        <w:rPr>
          <w:color w:val="000000" w:themeColor="text1"/>
          <w:szCs w:val="24"/>
        </w:rPr>
        <w:t>726</w:t>
      </w:r>
      <w:r w:rsidRPr="00C206C5" w:rsidR="00103F21">
        <w:rPr>
          <w:color w:val="000000" w:themeColor="text1"/>
          <w:szCs w:val="24"/>
        </w:rPr>
        <w:t xml:space="preserve"> </w:t>
      </w:r>
      <w:r w:rsidRPr="00C206C5" w:rsidR="0063141B">
        <w:rPr>
          <w:color w:val="000000" w:themeColor="text1"/>
          <w:szCs w:val="24"/>
        </w:rPr>
        <w:t xml:space="preserve">applications </w:t>
      </w:r>
      <w:r w:rsidRPr="00C206C5" w:rsidR="009C07F3">
        <w:rPr>
          <w:color w:val="000000" w:themeColor="text1"/>
          <w:szCs w:val="24"/>
        </w:rPr>
        <w:t>x</w:t>
      </w:r>
      <w:r w:rsidRPr="00C206C5" w:rsidR="0063141B">
        <w:rPr>
          <w:color w:val="000000" w:themeColor="text1"/>
          <w:szCs w:val="24"/>
        </w:rPr>
        <w:t xml:space="preserve"> </w:t>
      </w:r>
      <w:r w:rsidRPr="00C206C5" w:rsidR="009C07F3">
        <w:rPr>
          <w:color w:val="000000" w:themeColor="text1"/>
          <w:szCs w:val="24"/>
        </w:rPr>
        <w:t>10 mins. (0</w:t>
      </w:r>
      <w:r w:rsidRPr="00C206C5" w:rsidR="0063141B">
        <w:rPr>
          <w:color w:val="000000" w:themeColor="text1"/>
          <w:szCs w:val="24"/>
        </w:rPr>
        <w:t>.166</w:t>
      </w:r>
      <w:r w:rsidRPr="00C206C5" w:rsidR="009C07F3">
        <w:rPr>
          <w:color w:val="000000" w:themeColor="text1"/>
          <w:szCs w:val="24"/>
        </w:rPr>
        <w:t xml:space="preserve"> </w:t>
      </w:r>
      <w:proofErr w:type="spellStart"/>
      <w:r w:rsidRPr="00C206C5" w:rsidR="009C07F3">
        <w:rPr>
          <w:color w:val="000000" w:themeColor="text1"/>
          <w:szCs w:val="24"/>
        </w:rPr>
        <w:t>hrs</w:t>
      </w:r>
      <w:proofErr w:type="spellEnd"/>
      <w:r w:rsidRPr="00C206C5" w:rsidR="009C07F3">
        <w:rPr>
          <w:color w:val="000000" w:themeColor="text1"/>
          <w:szCs w:val="24"/>
        </w:rPr>
        <w:t>)</w:t>
      </w:r>
      <w:r w:rsidRPr="00C206C5" w:rsidR="0063141B">
        <w:rPr>
          <w:color w:val="000000" w:themeColor="text1"/>
          <w:szCs w:val="24"/>
        </w:rPr>
        <w:t xml:space="preserve"> </w:t>
      </w:r>
      <w:r w:rsidRPr="00C206C5" w:rsidR="009E6821">
        <w:rPr>
          <w:color w:val="000000" w:themeColor="text1"/>
          <w:szCs w:val="24"/>
        </w:rPr>
        <w:tab/>
      </w:r>
      <w:r w:rsidRPr="00C206C5" w:rsidR="000C0D47">
        <w:rPr>
          <w:color w:val="000000" w:themeColor="text1"/>
          <w:szCs w:val="24"/>
        </w:rPr>
        <w:tab/>
      </w:r>
      <w:r w:rsidRPr="00C206C5" w:rsidR="0063141B">
        <w:rPr>
          <w:color w:val="000000" w:themeColor="text1"/>
          <w:szCs w:val="24"/>
        </w:rPr>
        <w:t>=</w:t>
      </w:r>
      <w:r w:rsidRPr="00C206C5" w:rsidR="0063141B">
        <w:rPr>
          <w:color w:val="000000" w:themeColor="text1"/>
          <w:szCs w:val="24"/>
        </w:rPr>
        <w:tab/>
        <w:t>$</w:t>
      </w:r>
      <w:r w:rsidRPr="00C206C5" w:rsidR="00201250">
        <w:rPr>
          <w:color w:val="000000" w:themeColor="text1"/>
          <w:szCs w:val="24"/>
        </w:rPr>
        <w:t>560,382.50</w:t>
      </w:r>
      <w:r w:rsidRPr="00C206C5" w:rsidR="00BB4F7C">
        <w:rPr>
          <w:color w:val="000000" w:themeColor="text1"/>
          <w:szCs w:val="24"/>
        </w:rPr>
        <w:t xml:space="preserve"> </w:t>
      </w:r>
      <w:r>
        <w:rPr>
          <w:color w:val="000000" w:themeColor="text1"/>
          <w:szCs w:val="24"/>
        </w:rPr>
        <w:tab/>
      </w:r>
      <w:r w:rsidRPr="00C206C5" w:rsidR="0063141B">
        <w:rPr>
          <w:color w:val="000000" w:themeColor="text1"/>
          <w:szCs w:val="24"/>
        </w:rPr>
        <w:t>(Processing)</w:t>
      </w:r>
    </w:p>
    <w:p w:rsidRPr="00C206C5" w:rsidR="009C07F3" w:rsidP="008523E0" w:rsidRDefault="002D55D1" w14:paraId="02E3FD14" w14:textId="1C369060">
      <w:pPr>
        <w:tabs>
          <w:tab w:val="left" w:pos="90"/>
        </w:tabs>
        <w:suppressAutoHyphens/>
        <w:ind w:left="-360" w:right="720"/>
        <w:jc w:val="both"/>
        <w:rPr>
          <w:color w:val="000000" w:themeColor="text1"/>
          <w:szCs w:val="24"/>
        </w:rPr>
      </w:pPr>
      <w:r>
        <w:rPr>
          <w:color w:val="000000" w:themeColor="text1"/>
          <w:szCs w:val="24"/>
        </w:rPr>
        <w:tab/>
      </w:r>
      <w:r w:rsidRPr="00C206C5" w:rsidR="00881CBA">
        <w:rPr>
          <w:color w:val="000000" w:themeColor="text1"/>
          <w:szCs w:val="24"/>
        </w:rPr>
        <w:t xml:space="preserve">@ </w:t>
      </w:r>
      <w:r w:rsidRPr="00C206C5" w:rsidR="009C07F3">
        <w:rPr>
          <w:color w:val="000000" w:themeColor="text1"/>
          <w:szCs w:val="24"/>
        </w:rPr>
        <w:t>$</w:t>
      </w:r>
      <w:r w:rsidRPr="00C206C5" w:rsidR="00DC66C5">
        <w:rPr>
          <w:color w:val="000000" w:themeColor="text1"/>
          <w:szCs w:val="24"/>
        </w:rPr>
        <w:t>2</w:t>
      </w:r>
      <w:r w:rsidRPr="00C206C5" w:rsidR="00201250">
        <w:rPr>
          <w:color w:val="000000" w:themeColor="text1"/>
          <w:szCs w:val="24"/>
        </w:rPr>
        <w:t>6.43</w:t>
      </w:r>
      <w:r w:rsidRPr="00C206C5" w:rsidR="00DC66C5">
        <w:rPr>
          <w:color w:val="000000" w:themeColor="text1"/>
          <w:szCs w:val="24"/>
        </w:rPr>
        <w:t xml:space="preserve"> </w:t>
      </w:r>
      <w:r w:rsidRPr="00C206C5" w:rsidR="0063141B">
        <w:rPr>
          <w:color w:val="000000" w:themeColor="text1"/>
          <w:szCs w:val="24"/>
        </w:rPr>
        <w:t xml:space="preserve">per hour (GS-7 </w:t>
      </w:r>
      <w:r w:rsidRPr="00C206C5" w:rsidR="009C07F3">
        <w:rPr>
          <w:color w:val="000000" w:themeColor="text1"/>
          <w:szCs w:val="24"/>
        </w:rPr>
        <w:t>Step 5) for an</w:t>
      </w:r>
    </w:p>
    <w:p w:rsidRPr="00C206C5" w:rsidR="0063141B" w:rsidP="008523E0" w:rsidRDefault="002D55D1" w14:paraId="7F709452" w14:textId="744D6992">
      <w:pPr>
        <w:tabs>
          <w:tab w:val="left" w:pos="90"/>
        </w:tabs>
        <w:suppressAutoHyphens/>
        <w:ind w:left="-360" w:right="720"/>
        <w:jc w:val="both"/>
        <w:rPr>
          <w:color w:val="000000" w:themeColor="text1"/>
          <w:szCs w:val="24"/>
        </w:rPr>
      </w:pPr>
      <w:r>
        <w:rPr>
          <w:color w:val="000000" w:themeColor="text1"/>
          <w:szCs w:val="24"/>
        </w:rPr>
        <w:tab/>
      </w:r>
      <w:r w:rsidRPr="00C206C5" w:rsidR="009C07F3">
        <w:rPr>
          <w:color w:val="000000" w:themeColor="text1"/>
          <w:szCs w:val="24"/>
        </w:rPr>
        <w:t>Industry Analyst</w:t>
      </w:r>
    </w:p>
    <w:p w:rsidRPr="00C206C5" w:rsidR="0063141B" w:rsidP="008523E0" w:rsidRDefault="0063141B" w14:paraId="1CF70681" w14:textId="77777777">
      <w:pPr>
        <w:tabs>
          <w:tab w:val="left" w:pos="90"/>
        </w:tabs>
        <w:suppressAutoHyphens/>
        <w:ind w:left="-360" w:right="720"/>
        <w:jc w:val="both"/>
        <w:rPr>
          <w:color w:val="000000" w:themeColor="text1"/>
          <w:szCs w:val="24"/>
          <w:highlight w:val="yellow"/>
        </w:rPr>
      </w:pPr>
    </w:p>
    <w:p w:rsidR="00557094" w:rsidP="002D55D1" w:rsidRDefault="0063141B" w14:paraId="32344470" w14:textId="77777777">
      <w:pPr>
        <w:tabs>
          <w:tab w:val="left" w:pos="90"/>
        </w:tabs>
        <w:suppressAutoHyphens/>
        <w:ind w:left="-360" w:right="720"/>
        <w:jc w:val="both"/>
        <w:rPr>
          <w:b/>
          <w:color w:val="000000" w:themeColor="text1"/>
          <w:szCs w:val="24"/>
        </w:rPr>
      </w:pPr>
      <w:r w:rsidRPr="00C206C5">
        <w:rPr>
          <w:color w:val="000000" w:themeColor="text1"/>
          <w:szCs w:val="24"/>
        </w:rPr>
        <w:tab/>
      </w:r>
      <w:r w:rsidRPr="00C206C5">
        <w:rPr>
          <w:color w:val="000000" w:themeColor="text1"/>
          <w:szCs w:val="24"/>
        </w:rPr>
        <w:tab/>
      </w:r>
      <w:r w:rsidRPr="00C206C5">
        <w:rPr>
          <w:color w:val="000000" w:themeColor="text1"/>
          <w:szCs w:val="24"/>
        </w:rPr>
        <w:tab/>
      </w:r>
      <w:r w:rsidRPr="00C206C5" w:rsidR="001D2FAD">
        <w:rPr>
          <w:color w:val="000000" w:themeColor="text1"/>
          <w:szCs w:val="24"/>
        </w:rPr>
        <w:tab/>
      </w:r>
      <w:r w:rsidRPr="00C206C5" w:rsidR="006776B4">
        <w:rPr>
          <w:b/>
          <w:color w:val="000000" w:themeColor="text1"/>
          <w:szCs w:val="24"/>
        </w:rPr>
        <w:t xml:space="preserve">        </w:t>
      </w:r>
      <w:r w:rsidR="002D55D1">
        <w:rPr>
          <w:b/>
          <w:color w:val="000000" w:themeColor="text1"/>
          <w:szCs w:val="24"/>
        </w:rPr>
        <w:tab/>
      </w:r>
      <w:r w:rsidR="002D55D1">
        <w:rPr>
          <w:b/>
          <w:color w:val="000000" w:themeColor="text1"/>
          <w:szCs w:val="24"/>
        </w:rPr>
        <w:tab/>
      </w:r>
      <w:r w:rsidRPr="00C206C5">
        <w:rPr>
          <w:b/>
          <w:color w:val="000000" w:themeColor="text1"/>
          <w:szCs w:val="24"/>
        </w:rPr>
        <w:t>Total</w:t>
      </w:r>
      <w:r w:rsidRPr="00C206C5">
        <w:rPr>
          <w:b/>
          <w:color w:val="000000" w:themeColor="text1"/>
          <w:szCs w:val="24"/>
        </w:rPr>
        <w:tab/>
      </w:r>
      <w:r w:rsidRPr="00C206C5" w:rsidR="005C5AFF">
        <w:rPr>
          <w:b/>
          <w:color w:val="000000" w:themeColor="text1"/>
          <w:szCs w:val="24"/>
        </w:rPr>
        <w:tab/>
      </w:r>
      <w:r w:rsidRPr="00C206C5" w:rsidR="000C0D47">
        <w:rPr>
          <w:b/>
          <w:color w:val="000000" w:themeColor="text1"/>
          <w:szCs w:val="24"/>
        </w:rPr>
        <w:tab/>
      </w:r>
      <w:r w:rsidRPr="00C206C5">
        <w:rPr>
          <w:b/>
          <w:color w:val="000000" w:themeColor="text1"/>
          <w:szCs w:val="24"/>
        </w:rPr>
        <w:t>=</w:t>
      </w:r>
      <w:r w:rsidRPr="00C206C5">
        <w:rPr>
          <w:b/>
          <w:color w:val="000000" w:themeColor="text1"/>
          <w:szCs w:val="24"/>
        </w:rPr>
        <w:tab/>
        <w:t>$</w:t>
      </w:r>
      <w:r w:rsidRPr="00C206C5" w:rsidR="00201250">
        <w:rPr>
          <w:b/>
          <w:color w:val="000000" w:themeColor="text1"/>
          <w:szCs w:val="24"/>
        </w:rPr>
        <w:t>2,248,281.59</w:t>
      </w:r>
    </w:p>
    <w:p w:rsidR="00557094" w:rsidP="00557094" w:rsidRDefault="00557094" w14:paraId="1F932590" w14:textId="77777777">
      <w:pPr>
        <w:tabs>
          <w:tab w:val="left" w:pos="90"/>
        </w:tabs>
        <w:suppressAutoHyphens/>
        <w:ind w:left="-360" w:right="720"/>
        <w:jc w:val="both"/>
        <w:rPr>
          <w:color w:val="000000" w:themeColor="text1"/>
          <w:szCs w:val="24"/>
        </w:rPr>
      </w:pPr>
    </w:p>
    <w:p w:rsidRPr="002D55D1" w:rsidR="001F702D" w:rsidP="00557094" w:rsidRDefault="00557094" w14:paraId="1917FA6B" w14:textId="72D2E474">
      <w:pPr>
        <w:tabs>
          <w:tab w:val="left" w:pos="90"/>
        </w:tabs>
        <w:suppressAutoHyphens/>
        <w:ind w:left="-360" w:right="720"/>
        <w:jc w:val="both"/>
        <w:rPr>
          <w:b/>
          <w:color w:val="000000" w:themeColor="text1"/>
          <w:szCs w:val="24"/>
        </w:rPr>
      </w:pPr>
      <w:r>
        <w:rPr>
          <w:color w:val="000000" w:themeColor="text1"/>
          <w:szCs w:val="24"/>
        </w:rPr>
        <w:t xml:space="preserve">15.  </w:t>
      </w:r>
      <w:r w:rsidRPr="00C206C5" w:rsidR="001B50B2">
        <w:rPr>
          <w:color w:val="000000" w:themeColor="text1"/>
          <w:szCs w:val="24"/>
        </w:rPr>
        <w:t xml:space="preserve">There are no </w:t>
      </w:r>
      <w:r w:rsidRPr="00C206C5" w:rsidR="00C206C5">
        <w:rPr>
          <w:color w:val="000000" w:themeColor="text1"/>
          <w:szCs w:val="24"/>
        </w:rPr>
        <w:t xml:space="preserve">program changes or </w:t>
      </w:r>
      <w:r w:rsidRPr="00C206C5" w:rsidR="001B50B2">
        <w:rPr>
          <w:color w:val="000000" w:themeColor="text1"/>
          <w:szCs w:val="24"/>
        </w:rPr>
        <w:t>adjustments to this collection.</w:t>
      </w:r>
    </w:p>
    <w:p w:rsidR="008B0BB6" w:rsidP="008B0BB6" w:rsidRDefault="008B0BB6" w14:paraId="47EE94CA" w14:textId="31B80630">
      <w:pPr>
        <w:tabs>
          <w:tab w:val="left" w:pos="90"/>
          <w:tab w:val="left" w:pos="9360"/>
        </w:tabs>
        <w:suppressAutoHyphens/>
        <w:ind w:left="-360" w:hanging="360"/>
        <w:jc w:val="both"/>
        <w:rPr>
          <w:color w:val="000000" w:themeColor="text1"/>
          <w:szCs w:val="24"/>
        </w:rPr>
      </w:pPr>
    </w:p>
    <w:p w:rsidR="00557094" w:rsidP="008B0BB6" w:rsidRDefault="00557094" w14:paraId="7BD23FB8" w14:textId="4BE35F58">
      <w:pPr>
        <w:tabs>
          <w:tab w:val="left" w:pos="90"/>
          <w:tab w:val="left" w:pos="9360"/>
        </w:tabs>
        <w:suppressAutoHyphens/>
        <w:ind w:left="-360" w:hanging="360"/>
        <w:jc w:val="both"/>
        <w:rPr>
          <w:color w:val="000000" w:themeColor="text1"/>
          <w:szCs w:val="24"/>
        </w:rPr>
      </w:pPr>
    </w:p>
    <w:p w:rsidRPr="00C206C5" w:rsidR="0063141B" w:rsidP="00CD36BA" w:rsidRDefault="002D55D1" w14:paraId="26CEF2E2" w14:textId="0FF6B1D5">
      <w:pPr>
        <w:tabs>
          <w:tab w:val="left" w:pos="90"/>
          <w:tab w:val="left" w:pos="9360"/>
        </w:tabs>
        <w:suppressAutoHyphens/>
        <w:ind w:left="-720"/>
        <w:jc w:val="both"/>
        <w:rPr>
          <w:color w:val="000000" w:themeColor="text1"/>
          <w:szCs w:val="24"/>
        </w:rPr>
      </w:pPr>
      <w:r>
        <w:rPr>
          <w:color w:val="000000" w:themeColor="text1"/>
          <w:szCs w:val="24"/>
        </w:rPr>
        <w:t xml:space="preserve">16.  </w:t>
      </w:r>
      <w:r w:rsidRPr="00C206C5" w:rsidR="0063141B">
        <w:rPr>
          <w:color w:val="000000" w:themeColor="text1"/>
          <w:szCs w:val="24"/>
        </w:rPr>
        <w:t>The data will not be published for statistical use.</w:t>
      </w:r>
    </w:p>
    <w:p w:rsidRPr="00C206C5" w:rsidR="0063141B" w:rsidP="00CD36BA" w:rsidRDefault="0063141B" w14:paraId="6C489859" w14:textId="77777777">
      <w:pPr>
        <w:tabs>
          <w:tab w:val="left" w:pos="90"/>
          <w:tab w:val="left" w:pos="9360"/>
        </w:tabs>
        <w:suppressAutoHyphens/>
        <w:ind w:left="-360"/>
        <w:jc w:val="both"/>
        <w:rPr>
          <w:color w:val="000000" w:themeColor="text1"/>
          <w:szCs w:val="24"/>
        </w:rPr>
      </w:pPr>
    </w:p>
    <w:p w:rsidRPr="00C206C5" w:rsidR="0063141B" w:rsidP="00CD36BA" w:rsidRDefault="002D55D1" w14:paraId="38097CC7" w14:textId="6C8A47F0">
      <w:pPr>
        <w:tabs>
          <w:tab w:val="left" w:pos="90"/>
          <w:tab w:val="left" w:pos="9360"/>
        </w:tabs>
        <w:suppressAutoHyphens/>
        <w:ind w:left="-360" w:hanging="360"/>
        <w:jc w:val="both"/>
        <w:rPr>
          <w:color w:val="000000" w:themeColor="text1"/>
          <w:szCs w:val="24"/>
        </w:rPr>
      </w:pPr>
      <w:r>
        <w:rPr>
          <w:color w:val="000000" w:themeColor="text1"/>
          <w:szCs w:val="24"/>
        </w:rPr>
        <w:t xml:space="preserve">17.  </w:t>
      </w:r>
      <w:r w:rsidRPr="00C206C5" w:rsidR="00CF6D26">
        <w:rPr>
          <w:color w:val="000000" w:themeColor="text1"/>
          <w:szCs w:val="24"/>
        </w:rPr>
        <w:t xml:space="preserve">The Commission is requesting a continued waiver from displaying the OMB expiration date on FCC </w:t>
      </w:r>
      <w:r>
        <w:rPr>
          <w:color w:val="000000" w:themeColor="text1"/>
          <w:szCs w:val="24"/>
        </w:rPr>
        <w:t xml:space="preserve">      </w:t>
      </w:r>
      <w:r w:rsidRPr="00C206C5" w:rsidR="00CF6D26">
        <w:rPr>
          <w:color w:val="000000" w:themeColor="text1"/>
          <w:szCs w:val="24"/>
        </w:rPr>
        <w:lastRenderedPageBreak/>
        <w:t>Form 601.  Granting this waiver will prevent the Commission from destroying excess forms, having to update computer versions and thus reduce waste. All OMB-approved information collections are published in 47 CFR 0.408.   This section includes the OMB control number, title of the collection and the OMB expiration date.</w:t>
      </w:r>
    </w:p>
    <w:p w:rsidRPr="00C206C5" w:rsidR="0063141B" w:rsidP="00CD36BA" w:rsidRDefault="0063141B" w14:paraId="5F04AE3D" w14:textId="77777777">
      <w:pPr>
        <w:tabs>
          <w:tab w:val="left" w:pos="90"/>
          <w:tab w:val="left" w:pos="9360"/>
        </w:tabs>
        <w:suppressAutoHyphens/>
        <w:ind w:left="-360"/>
        <w:jc w:val="both"/>
        <w:rPr>
          <w:color w:val="000000" w:themeColor="text1"/>
          <w:szCs w:val="24"/>
        </w:rPr>
      </w:pPr>
    </w:p>
    <w:p w:rsidRPr="00C206C5" w:rsidR="0063141B" w:rsidP="00741A40" w:rsidRDefault="0016686A" w14:paraId="519D5318" w14:textId="39BAB168">
      <w:pPr>
        <w:numPr>
          <w:ilvl w:val="0"/>
          <w:numId w:val="11"/>
        </w:numPr>
        <w:tabs>
          <w:tab w:val="clear" w:pos="360"/>
          <w:tab w:val="left" w:pos="-720"/>
          <w:tab w:val="num" w:pos="-360"/>
          <w:tab w:val="left" w:pos="9360"/>
        </w:tabs>
        <w:suppressAutoHyphens/>
        <w:ind w:left="-360"/>
        <w:rPr>
          <w:color w:val="000000" w:themeColor="text1"/>
          <w:szCs w:val="24"/>
        </w:rPr>
      </w:pPr>
      <w:r>
        <w:rPr>
          <w:color w:val="000000" w:themeColor="text1"/>
          <w:szCs w:val="24"/>
        </w:rPr>
        <w:t>The Commission published  60-day notice</w:t>
      </w:r>
      <w:r w:rsidR="00965D12">
        <w:rPr>
          <w:color w:val="000000" w:themeColor="text1"/>
          <w:szCs w:val="24"/>
        </w:rPr>
        <w:t>s</w:t>
      </w:r>
      <w:r>
        <w:rPr>
          <w:color w:val="000000" w:themeColor="text1"/>
          <w:szCs w:val="24"/>
        </w:rPr>
        <w:t xml:space="preserve"> in the Federal Register seeking comments on the information collection requirements contained in this collection (85 FR 6948) on February 6, 2020</w:t>
      </w:r>
      <w:r w:rsidR="00965D12">
        <w:rPr>
          <w:color w:val="000000" w:themeColor="text1"/>
          <w:szCs w:val="24"/>
        </w:rPr>
        <w:t xml:space="preserve"> and on May 10, 2018 (83 FR 21773)</w:t>
      </w:r>
      <w:r>
        <w:rPr>
          <w:color w:val="000000" w:themeColor="text1"/>
          <w:szCs w:val="24"/>
        </w:rPr>
        <w:t xml:space="preserve">.  </w:t>
      </w:r>
      <w:r w:rsidR="00E00068">
        <w:rPr>
          <w:color w:val="000000" w:themeColor="text1"/>
          <w:szCs w:val="24"/>
        </w:rPr>
        <w:t>Since th</w:t>
      </w:r>
      <w:r w:rsidR="0058486F">
        <w:rPr>
          <w:color w:val="000000" w:themeColor="text1"/>
          <w:szCs w:val="24"/>
        </w:rPr>
        <w:t>ese</w:t>
      </w:r>
      <w:r w:rsidR="00E00068">
        <w:rPr>
          <w:color w:val="000000" w:themeColor="text1"/>
          <w:szCs w:val="24"/>
        </w:rPr>
        <w:t xml:space="preserve"> notice</w:t>
      </w:r>
      <w:r w:rsidR="0058486F">
        <w:rPr>
          <w:color w:val="000000" w:themeColor="text1"/>
          <w:szCs w:val="24"/>
        </w:rPr>
        <w:t>s</w:t>
      </w:r>
      <w:r w:rsidR="00E00068">
        <w:rPr>
          <w:color w:val="000000" w:themeColor="text1"/>
          <w:szCs w:val="24"/>
        </w:rPr>
        <w:t xml:space="preserve"> w</w:t>
      </w:r>
      <w:r w:rsidR="0058486F">
        <w:rPr>
          <w:color w:val="000000" w:themeColor="text1"/>
          <w:szCs w:val="24"/>
        </w:rPr>
        <w:t>ere</w:t>
      </w:r>
      <w:r w:rsidR="00E00068">
        <w:rPr>
          <w:color w:val="000000" w:themeColor="text1"/>
          <w:szCs w:val="24"/>
        </w:rPr>
        <w:t xml:space="preserve"> published, the Commission had a revision to collection 3060-0798.  Therefore, the number of responses, burden hours and annual cost changed for the collection.  T</w:t>
      </w:r>
      <w:r w:rsidRPr="00C206C5" w:rsidR="00D10D81">
        <w:rPr>
          <w:color w:val="000000" w:themeColor="text1"/>
          <w:szCs w:val="24"/>
        </w:rPr>
        <w:t>here</w:t>
      </w:r>
      <w:r w:rsidRPr="00C206C5" w:rsidR="0063141B">
        <w:rPr>
          <w:color w:val="000000" w:themeColor="text1"/>
          <w:szCs w:val="24"/>
        </w:rPr>
        <w:t xml:space="preserve"> </w:t>
      </w:r>
      <w:r w:rsidRPr="00C206C5" w:rsidR="007F2DEF">
        <w:rPr>
          <w:color w:val="000000" w:themeColor="text1"/>
          <w:szCs w:val="24"/>
        </w:rPr>
        <w:t>are</w:t>
      </w:r>
      <w:r w:rsidRPr="00C206C5" w:rsidR="0063141B">
        <w:rPr>
          <w:color w:val="000000" w:themeColor="text1"/>
          <w:szCs w:val="24"/>
        </w:rPr>
        <w:t xml:space="preserve"> </w:t>
      </w:r>
      <w:r w:rsidRPr="00C206C5" w:rsidR="002E6394">
        <w:rPr>
          <w:color w:val="000000" w:themeColor="text1"/>
          <w:szCs w:val="24"/>
        </w:rPr>
        <w:t>no</w:t>
      </w:r>
      <w:r w:rsidR="00E00068">
        <w:rPr>
          <w:color w:val="000000" w:themeColor="text1"/>
          <w:szCs w:val="24"/>
        </w:rPr>
        <w:t xml:space="preserve"> other</w:t>
      </w:r>
      <w:r w:rsidRPr="00C206C5" w:rsidR="002E6394">
        <w:rPr>
          <w:color w:val="000000" w:themeColor="text1"/>
          <w:szCs w:val="24"/>
        </w:rPr>
        <w:t xml:space="preserve"> </w:t>
      </w:r>
      <w:r w:rsidRPr="00C206C5" w:rsidR="00066E66">
        <w:rPr>
          <w:color w:val="000000" w:themeColor="text1"/>
          <w:szCs w:val="24"/>
        </w:rPr>
        <w:t>e</w:t>
      </w:r>
      <w:r w:rsidRPr="00C206C5" w:rsidR="0063141B">
        <w:rPr>
          <w:color w:val="000000" w:themeColor="text1"/>
          <w:szCs w:val="24"/>
        </w:rPr>
        <w:t>xception</w:t>
      </w:r>
      <w:r w:rsidRPr="00C206C5" w:rsidR="007F2DEF">
        <w:rPr>
          <w:color w:val="000000" w:themeColor="text1"/>
          <w:szCs w:val="24"/>
        </w:rPr>
        <w:t>s</w:t>
      </w:r>
      <w:r w:rsidRPr="00C206C5" w:rsidR="00975F79">
        <w:rPr>
          <w:color w:val="000000" w:themeColor="text1"/>
          <w:szCs w:val="24"/>
        </w:rPr>
        <w:t xml:space="preserve"> </w:t>
      </w:r>
      <w:r w:rsidRPr="00C206C5" w:rsidR="0063141B">
        <w:rPr>
          <w:color w:val="000000" w:themeColor="text1"/>
          <w:szCs w:val="24"/>
        </w:rPr>
        <w:t xml:space="preserve">to the </w:t>
      </w:r>
      <w:r w:rsidRPr="00C206C5" w:rsidR="00B76B92">
        <w:rPr>
          <w:color w:val="000000" w:themeColor="text1"/>
          <w:szCs w:val="24"/>
        </w:rPr>
        <w:t>“</w:t>
      </w:r>
      <w:r w:rsidRPr="00C206C5" w:rsidR="00634E9B">
        <w:rPr>
          <w:color w:val="000000" w:themeColor="text1"/>
          <w:szCs w:val="24"/>
        </w:rPr>
        <w:t>C</w:t>
      </w:r>
      <w:r w:rsidRPr="00C206C5" w:rsidR="0063141B">
        <w:rPr>
          <w:color w:val="000000" w:themeColor="text1"/>
          <w:szCs w:val="24"/>
        </w:rPr>
        <w:t xml:space="preserve">ertification </w:t>
      </w:r>
      <w:r w:rsidRPr="00C206C5" w:rsidR="00634E9B">
        <w:rPr>
          <w:color w:val="000000" w:themeColor="text1"/>
          <w:szCs w:val="24"/>
        </w:rPr>
        <w:t>S</w:t>
      </w:r>
      <w:r w:rsidRPr="00C206C5" w:rsidR="0063141B">
        <w:rPr>
          <w:color w:val="000000" w:themeColor="text1"/>
          <w:szCs w:val="24"/>
        </w:rPr>
        <w:t>tatement</w:t>
      </w:r>
      <w:r w:rsidRPr="00C206C5" w:rsidR="00066E66">
        <w:rPr>
          <w:color w:val="000000" w:themeColor="text1"/>
          <w:szCs w:val="24"/>
        </w:rPr>
        <w:t>.</w:t>
      </w:r>
      <w:r w:rsidRPr="00C206C5" w:rsidR="00B76B92">
        <w:rPr>
          <w:color w:val="000000" w:themeColor="text1"/>
          <w:szCs w:val="24"/>
        </w:rPr>
        <w:t>”</w:t>
      </w:r>
      <w:r w:rsidRPr="00C206C5" w:rsidR="00634E9B">
        <w:rPr>
          <w:color w:val="000000" w:themeColor="text1"/>
          <w:szCs w:val="24"/>
        </w:rPr>
        <w:t xml:space="preserve"> </w:t>
      </w:r>
    </w:p>
    <w:p w:rsidRPr="00C206C5" w:rsidR="0063141B" w:rsidP="00CD36BA" w:rsidRDefault="0063141B" w14:paraId="1B89A001" w14:textId="77777777">
      <w:pPr>
        <w:tabs>
          <w:tab w:val="left" w:pos="90"/>
          <w:tab w:val="left" w:pos="9360"/>
        </w:tabs>
        <w:suppressAutoHyphens/>
        <w:ind w:left="-360"/>
        <w:jc w:val="both"/>
        <w:rPr>
          <w:color w:val="000000" w:themeColor="text1"/>
          <w:szCs w:val="24"/>
        </w:rPr>
      </w:pPr>
    </w:p>
    <w:p w:rsidRPr="00C206C5" w:rsidR="0063141B" w:rsidP="00CD36BA" w:rsidRDefault="0063141B" w14:paraId="09CC0981" w14:textId="77777777">
      <w:pPr>
        <w:numPr>
          <w:ilvl w:val="0"/>
          <w:numId w:val="12"/>
        </w:numPr>
        <w:tabs>
          <w:tab w:val="clear" w:pos="360"/>
          <w:tab w:val="left" w:pos="-720"/>
          <w:tab w:val="num" w:pos="-360"/>
          <w:tab w:val="left" w:pos="9360"/>
        </w:tabs>
        <w:suppressAutoHyphens/>
        <w:ind w:left="-360"/>
        <w:jc w:val="both"/>
        <w:rPr>
          <w:b/>
          <w:color w:val="000000" w:themeColor="text1"/>
          <w:szCs w:val="24"/>
          <w:u w:val="single"/>
        </w:rPr>
      </w:pPr>
      <w:r w:rsidRPr="00C206C5">
        <w:rPr>
          <w:b/>
          <w:color w:val="000000" w:themeColor="text1"/>
          <w:szCs w:val="24"/>
          <w:u w:val="single"/>
        </w:rPr>
        <w:t>Collections of Information Employing Statistical Methods:</w:t>
      </w:r>
    </w:p>
    <w:p w:rsidRPr="00C206C5" w:rsidR="00E414E1" w:rsidP="00E414E1" w:rsidRDefault="00E414E1" w14:paraId="739543BF" w14:textId="77777777">
      <w:pPr>
        <w:tabs>
          <w:tab w:val="left" w:pos="-720"/>
          <w:tab w:val="left" w:pos="9360"/>
        </w:tabs>
        <w:suppressAutoHyphens/>
        <w:ind w:left="-360"/>
        <w:jc w:val="both"/>
        <w:rPr>
          <w:b/>
          <w:color w:val="000000" w:themeColor="text1"/>
          <w:szCs w:val="24"/>
          <w:u w:val="single"/>
        </w:rPr>
      </w:pPr>
    </w:p>
    <w:p w:rsidRPr="00C206C5" w:rsidR="0063141B" w:rsidP="00CD36BA" w:rsidRDefault="00BE1617" w14:paraId="4054E4D5" w14:textId="77777777">
      <w:pPr>
        <w:tabs>
          <w:tab w:val="left" w:pos="90"/>
          <w:tab w:val="left" w:pos="180"/>
          <w:tab w:val="left" w:pos="9360"/>
        </w:tabs>
        <w:suppressAutoHyphens/>
        <w:ind w:left="-360"/>
        <w:jc w:val="both"/>
        <w:rPr>
          <w:color w:val="000000" w:themeColor="text1"/>
          <w:szCs w:val="24"/>
        </w:rPr>
      </w:pPr>
      <w:bookmarkStart w:name="_GoBack" w:id="9"/>
      <w:bookmarkEnd w:id="9"/>
      <w:r w:rsidRPr="00C206C5">
        <w:rPr>
          <w:color w:val="000000" w:themeColor="text1"/>
          <w:szCs w:val="24"/>
        </w:rPr>
        <w:t xml:space="preserve">This information collection does not use any </w:t>
      </w:r>
      <w:r w:rsidRPr="00C206C5" w:rsidR="0063141B">
        <w:rPr>
          <w:color w:val="000000" w:themeColor="text1"/>
          <w:szCs w:val="24"/>
        </w:rPr>
        <w:t>statistical methods.</w:t>
      </w:r>
    </w:p>
    <w:sectPr w:rsidRPr="00C206C5" w:rsidR="0063141B" w:rsidSect="00374522">
      <w:headerReference w:type="default" r:id="rId9"/>
      <w:footerReference w:type="even" r:id="rId10"/>
      <w:footerReference w:type="default" r:id="rId11"/>
      <w:headerReference w:type="first" r:id="rId12"/>
      <w:endnotePr>
        <w:numFmt w:val="decimal"/>
      </w:endnotePr>
      <w:pgSz w:w="12240" w:h="15840" w:code="1"/>
      <w:pgMar w:top="1440" w:right="1440" w:bottom="1440" w:left="1440" w:header="1440" w:footer="1440" w:gutter="0"/>
      <w:pgNumType w:fmt="numberInDash"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FC8A2" w14:textId="77777777" w:rsidR="00117C00" w:rsidRDefault="00117C00">
      <w:pPr>
        <w:spacing w:line="20" w:lineRule="exact"/>
      </w:pPr>
    </w:p>
  </w:endnote>
  <w:endnote w:type="continuationSeparator" w:id="0">
    <w:p w14:paraId="63AD4FF0" w14:textId="77777777" w:rsidR="00117C00" w:rsidRDefault="00117C00">
      <w:r>
        <w:t xml:space="preserve"> </w:t>
      </w:r>
    </w:p>
  </w:endnote>
  <w:endnote w:type="continuationNotice" w:id="1">
    <w:p w14:paraId="63696460" w14:textId="77777777" w:rsidR="00117C00" w:rsidRDefault="00117C0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3B227" w14:textId="77777777"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66411C" w14:textId="77777777" w:rsidR="00AA4201" w:rsidRDefault="00AA4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C5B1" w14:textId="77777777"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774B">
      <w:rPr>
        <w:rStyle w:val="PageNumber"/>
        <w:noProof/>
      </w:rPr>
      <w:t>- 2 -</w:t>
    </w:r>
    <w:r>
      <w:rPr>
        <w:rStyle w:val="PageNumber"/>
      </w:rPr>
      <w:fldChar w:fldCharType="end"/>
    </w:r>
  </w:p>
  <w:p w14:paraId="47B01ED9" w14:textId="77777777" w:rsidR="00AA4201" w:rsidRDefault="00AA4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E1192" w14:textId="77777777" w:rsidR="00117C00" w:rsidRDefault="00117C00">
      <w:r>
        <w:separator/>
      </w:r>
    </w:p>
  </w:footnote>
  <w:footnote w:type="continuationSeparator" w:id="0">
    <w:p w14:paraId="12CA4D19" w14:textId="77777777" w:rsidR="00117C00" w:rsidRDefault="00117C00">
      <w:r>
        <w:continuationSeparator/>
      </w:r>
    </w:p>
  </w:footnote>
  <w:footnote w:id="1">
    <w:p w14:paraId="5415368D" w14:textId="4A34C430" w:rsidR="00D6773A" w:rsidRPr="00D6773A" w:rsidRDefault="00D6773A">
      <w:pPr>
        <w:pStyle w:val="FootnoteText"/>
        <w:rPr>
          <w:sz w:val="22"/>
          <w:szCs w:val="22"/>
        </w:rPr>
      </w:pPr>
      <w:r w:rsidRPr="00D6773A">
        <w:rPr>
          <w:rStyle w:val="FootnoteReference"/>
          <w:sz w:val="22"/>
          <w:szCs w:val="22"/>
        </w:rPr>
        <w:footnoteRef/>
      </w:r>
      <w:r w:rsidRPr="00D6773A">
        <w:rPr>
          <w:sz w:val="22"/>
          <w:szCs w:val="22"/>
        </w:rPr>
        <w:t xml:space="preserve"> The rule sections </w:t>
      </w:r>
      <w:r w:rsidR="00783643">
        <w:rPr>
          <w:sz w:val="22"/>
          <w:szCs w:val="22"/>
        </w:rPr>
        <w:t>that</w:t>
      </w:r>
      <w:r w:rsidR="00783643" w:rsidRPr="00D6773A">
        <w:rPr>
          <w:sz w:val="22"/>
          <w:szCs w:val="22"/>
        </w:rPr>
        <w:t xml:space="preserve"> </w:t>
      </w:r>
      <w:r w:rsidRPr="00D6773A">
        <w:rPr>
          <w:sz w:val="22"/>
          <w:szCs w:val="22"/>
        </w:rPr>
        <w:t>are associated with FCC Form 601 in FCC 17-105 are Sections 1.949 and 1.953.</w:t>
      </w:r>
    </w:p>
  </w:footnote>
  <w:footnote w:id="2">
    <w:p w14:paraId="4CD289CA" w14:textId="2219B7A1" w:rsidR="00553652" w:rsidRPr="00553652" w:rsidRDefault="00553652">
      <w:pPr>
        <w:pStyle w:val="FootnoteText"/>
        <w:rPr>
          <w:sz w:val="22"/>
          <w:szCs w:val="22"/>
        </w:rPr>
      </w:pPr>
      <w:r w:rsidRPr="00553652">
        <w:rPr>
          <w:rStyle w:val="FootnoteReference"/>
          <w:sz w:val="22"/>
          <w:szCs w:val="22"/>
        </w:rPr>
        <w:footnoteRef/>
      </w:r>
      <w:r w:rsidRPr="00553652">
        <w:rPr>
          <w:sz w:val="22"/>
          <w:szCs w:val="22"/>
        </w:rPr>
        <w:t xml:space="preserve"> Joint Comments at 3.</w:t>
      </w:r>
    </w:p>
  </w:footnote>
  <w:footnote w:id="3">
    <w:p w14:paraId="64B42D25" w14:textId="60AEE7E7" w:rsidR="00553652" w:rsidRPr="00501CAC" w:rsidRDefault="00553652" w:rsidP="00553652">
      <w:pPr>
        <w:pStyle w:val="FootnoteText"/>
        <w:rPr>
          <w:sz w:val="22"/>
          <w:szCs w:val="22"/>
        </w:rPr>
      </w:pPr>
      <w:r w:rsidRPr="00501CAC">
        <w:rPr>
          <w:rStyle w:val="FootnoteReference"/>
          <w:sz w:val="22"/>
          <w:szCs w:val="22"/>
        </w:rPr>
        <w:footnoteRef/>
      </w:r>
      <w:r w:rsidRPr="00501CAC">
        <w:rPr>
          <w:sz w:val="22"/>
          <w:szCs w:val="22"/>
        </w:rPr>
        <w:t xml:space="preserve"> </w:t>
      </w:r>
      <w:r w:rsidRPr="00501CAC">
        <w:rPr>
          <w:color w:val="000000" w:themeColor="text1"/>
          <w:sz w:val="22"/>
          <w:szCs w:val="22"/>
        </w:rPr>
        <w:t>Joint Comments at 5.</w:t>
      </w:r>
    </w:p>
  </w:footnote>
  <w:footnote w:id="4">
    <w:p w14:paraId="6B0471BB" w14:textId="668129B5" w:rsidR="00553652" w:rsidRPr="00501CAC" w:rsidRDefault="00553652">
      <w:pPr>
        <w:pStyle w:val="FootnoteText"/>
        <w:rPr>
          <w:sz w:val="22"/>
          <w:szCs w:val="22"/>
        </w:rPr>
      </w:pPr>
      <w:r w:rsidRPr="00501CAC">
        <w:rPr>
          <w:rStyle w:val="FootnoteReference"/>
          <w:sz w:val="22"/>
          <w:szCs w:val="22"/>
        </w:rPr>
        <w:footnoteRef/>
      </w:r>
      <w:r w:rsidRPr="00501CAC">
        <w:rPr>
          <w:sz w:val="22"/>
          <w:szCs w:val="22"/>
        </w:rPr>
        <w:t xml:space="preserve"> Joint Comments at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EBAF" w14:textId="77777777" w:rsidR="00AA4201" w:rsidRDefault="00AA4201" w:rsidP="0064374B">
    <w:pPr>
      <w:pStyle w:val="Header"/>
      <w:jc w:val="center"/>
      <w:rPr>
        <w:b/>
      </w:rPr>
    </w:pPr>
  </w:p>
  <w:p w14:paraId="09D75858" w14:textId="77777777" w:rsidR="00AA4201" w:rsidRDefault="00AA4201" w:rsidP="004C7CEC">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7A750" w14:textId="77777777" w:rsidR="00B9738D" w:rsidRDefault="00B9738D" w:rsidP="00556D0B">
    <w:pPr>
      <w:pStyle w:val="Header"/>
      <w:ind w:left="-720"/>
      <w:rPr>
        <w:b/>
      </w:rPr>
    </w:pPr>
  </w:p>
  <w:p w14:paraId="6BCA96E1" w14:textId="3BDE1C4B" w:rsidR="00556D0B" w:rsidRPr="00556D0B" w:rsidRDefault="00556D0B" w:rsidP="00556D0B">
    <w:pPr>
      <w:pStyle w:val="Header"/>
      <w:ind w:left="-720"/>
      <w:rPr>
        <w:b/>
      </w:rPr>
    </w:pPr>
    <w:r>
      <w:rPr>
        <w:b/>
      </w:rPr>
      <w:t>FCC Application for Radio Service Authorization</w:t>
    </w:r>
    <w:r w:rsidR="00AA4201">
      <w:rPr>
        <w:b/>
      </w:rPr>
      <w:t xml:space="preserve">                                   </w:t>
    </w:r>
    <w:r>
      <w:rPr>
        <w:b/>
      </w:rPr>
      <w:t xml:space="preserve">                  </w:t>
    </w:r>
    <w:r w:rsidRPr="00556D0B">
      <w:rPr>
        <w:b/>
      </w:rPr>
      <w:t>3060-0798</w:t>
    </w:r>
    <w:r w:rsidR="00AA4201">
      <w:rPr>
        <w:b/>
      </w:rPr>
      <w:t xml:space="preserve">    </w:t>
    </w:r>
    <w:r w:rsidR="00AA4201" w:rsidRPr="00D13080">
      <w:rPr>
        <w:b/>
      </w:rPr>
      <w:tab/>
    </w:r>
    <w:r w:rsidR="00AA4201">
      <w:rPr>
        <w:b/>
      </w:rPr>
      <w:t xml:space="preserve"> </w:t>
    </w:r>
    <w:r>
      <w:rPr>
        <w:b/>
      </w:rPr>
      <w:t>Wireless Tel</w:t>
    </w:r>
    <w:r w:rsidR="00332683">
      <w:rPr>
        <w:b/>
      </w:rPr>
      <w:t>ecommunications Bureau; Public</w:t>
    </w:r>
    <w:r w:rsidR="00332683">
      <w:rPr>
        <w:b/>
      </w:rPr>
      <w:tab/>
    </w:r>
    <w:r w:rsidR="00A74AAC">
      <w:rPr>
        <w:b/>
      </w:rPr>
      <w:tab/>
      <w:t>June</w:t>
    </w:r>
    <w:r w:rsidR="00F63BBB">
      <w:rPr>
        <w:b/>
      </w:rPr>
      <w:t xml:space="preserve"> 2020</w:t>
    </w:r>
    <w:r w:rsidR="00641E34">
      <w:rPr>
        <w:b/>
      </w:rPr>
      <w:t xml:space="preserve"> </w:t>
    </w:r>
  </w:p>
  <w:p w14:paraId="560B2861" w14:textId="77777777" w:rsidR="00C51EEE" w:rsidRDefault="00556D0B" w:rsidP="00556D0B">
    <w:pPr>
      <w:pStyle w:val="Header"/>
      <w:ind w:left="-720"/>
      <w:rPr>
        <w:b/>
      </w:rPr>
    </w:pPr>
    <w:r>
      <w:rPr>
        <w:b/>
      </w:rPr>
      <w:t>Safety and Homeland Security Bureau</w:t>
    </w:r>
    <w:r w:rsidR="00AA4201">
      <w:rPr>
        <w:b/>
      </w:rPr>
      <w:t xml:space="preserve">                                                                          </w:t>
    </w:r>
  </w:p>
  <w:p w14:paraId="0518E7C9" w14:textId="77777777" w:rsidR="00AA4201" w:rsidRPr="00D13080" w:rsidRDefault="00AA4201" w:rsidP="00374522">
    <w:pPr>
      <w:pStyle w:val="Header"/>
      <w:ind w:left="-720"/>
      <w:jc w:val="right"/>
      <w:rPr>
        <w:b/>
      </w:rPr>
    </w:pPr>
  </w:p>
  <w:p w14:paraId="2780B5A1" w14:textId="77777777" w:rsidR="00AA4201" w:rsidRPr="004C3D55" w:rsidRDefault="004C3D55" w:rsidP="0024653B">
    <w:pPr>
      <w:pStyle w:val="Header"/>
      <w:ind w:left="720"/>
      <w:jc w:val="center"/>
    </w:pPr>
    <w:r>
      <w:t>SUPPORTING STATMENT</w:t>
    </w:r>
  </w:p>
  <w:p w14:paraId="0FC4B064" w14:textId="77777777" w:rsidR="004C3D55" w:rsidRDefault="004C3D55" w:rsidP="0024653B">
    <w:pPr>
      <w:pStyle w:val="Header"/>
      <w:ind w:left="720"/>
      <w:jc w:val="center"/>
      <w:rPr>
        <w:b/>
      </w:rPr>
    </w:pPr>
  </w:p>
  <w:p w14:paraId="07AFAA13" w14:textId="77777777" w:rsidR="00AA4201" w:rsidRDefault="00AA4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6132B7E"/>
    <w:multiLevelType w:val="singleLevel"/>
    <w:tmpl w:val="96220498"/>
    <w:lvl w:ilvl="0">
      <w:start w:val="1"/>
      <w:numFmt w:val="decimal"/>
      <w:lvlText w:val="%1)"/>
      <w:lvlJc w:val="left"/>
      <w:pPr>
        <w:tabs>
          <w:tab w:val="num" w:pos="1080"/>
        </w:tabs>
        <w:ind w:left="1080" w:hanging="360"/>
      </w:pPr>
      <w:rPr>
        <w:rFonts w:hint="default"/>
      </w:rPr>
    </w:lvl>
  </w:abstractNum>
  <w:abstractNum w:abstractNumId="2" w15:restartNumberingAfterBreak="0">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3" w15:restartNumberingAfterBreak="0">
    <w:nsid w:val="09B10A51"/>
    <w:multiLevelType w:val="hybridMultilevel"/>
    <w:tmpl w:val="CD0E1CB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0C3A84"/>
    <w:multiLevelType w:val="hybridMultilevel"/>
    <w:tmpl w:val="455891D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27423EB4"/>
    <w:multiLevelType w:val="hybridMultilevel"/>
    <w:tmpl w:val="928C93D2"/>
    <w:lvl w:ilvl="0" w:tplc="C70CC8E2">
      <w:start w:val="1"/>
      <w:numFmt w:val="lowerLetter"/>
      <w:lvlText w:val="%1."/>
      <w:lvlJc w:val="left"/>
      <w:pPr>
        <w:ind w:left="720" w:hanging="360"/>
      </w:pPr>
      <w:rPr>
        <w:rFonts w:hint="default"/>
        <w:i w:val="0"/>
      </w:rPr>
    </w:lvl>
    <w:lvl w:ilvl="1" w:tplc="88DE0C84">
      <w:start w:val="1"/>
      <w:numFmt w:val="lowerLetter"/>
      <w:lvlText w:val="%2."/>
      <w:lvlJc w:val="left"/>
      <w:pPr>
        <w:ind w:left="1440" w:hanging="360"/>
      </w:pPr>
      <w:rPr>
        <w:b w:val="0"/>
      </w:rPr>
    </w:lvl>
    <w:lvl w:ilvl="2" w:tplc="324CDA5E">
      <w:start w:val="50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7" w15:restartNumberingAfterBreak="0">
    <w:nsid w:val="2901540C"/>
    <w:multiLevelType w:val="hybridMultilevel"/>
    <w:tmpl w:val="866662DC"/>
    <w:lvl w:ilvl="0" w:tplc="26F62D10">
      <w:start w:val="1"/>
      <w:numFmt w:val="lowerLetter"/>
      <w:lvlText w:val="%1)"/>
      <w:lvlJc w:val="left"/>
      <w:pPr>
        <w:ind w:left="0" w:hanging="360"/>
      </w:pPr>
      <w:rPr>
        <w:rFonts w:hint="default"/>
        <w:i w:val="0"/>
        <w:u w:val="singl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C2F3882"/>
    <w:multiLevelType w:val="multilevel"/>
    <w:tmpl w:val="21D2CC72"/>
    <w:lvl w:ilvl="0">
      <w:start w:val="3060"/>
      <w:numFmt w:val="decimal"/>
      <w:lvlText w:val="%1"/>
      <w:lvlJc w:val="left"/>
      <w:pPr>
        <w:tabs>
          <w:tab w:val="num" w:pos="7485"/>
        </w:tabs>
        <w:ind w:left="7485" w:hanging="7485"/>
      </w:pPr>
      <w:rPr>
        <w:rFonts w:hint="default"/>
      </w:rPr>
    </w:lvl>
    <w:lvl w:ilvl="1">
      <w:start w:val="798"/>
      <w:numFmt w:val="decimalZero"/>
      <w:lvlText w:val="%1-%2"/>
      <w:lvlJc w:val="left"/>
      <w:pPr>
        <w:tabs>
          <w:tab w:val="num" w:pos="7485"/>
        </w:tabs>
        <w:ind w:left="7485" w:hanging="7485"/>
      </w:pPr>
      <w:rPr>
        <w:rFonts w:hint="default"/>
      </w:rPr>
    </w:lvl>
    <w:lvl w:ilvl="2">
      <w:start w:val="1"/>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9105"/>
        </w:tabs>
        <w:ind w:left="9105" w:hanging="7485"/>
      </w:pPr>
      <w:rPr>
        <w:rFonts w:hint="default"/>
      </w:rPr>
    </w:lvl>
  </w:abstractNum>
  <w:abstractNum w:abstractNumId="9"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10" w15:restartNumberingAfterBreak="0">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1" w15:restartNumberingAfterBreak="0">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F8B753B"/>
    <w:multiLevelType w:val="singleLevel"/>
    <w:tmpl w:val="0409000F"/>
    <w:lvl w:ilvl="0">
      <w:start w:val="10"/>
      <w:numFmt w:val="decimal"/>
      <w:lvlText w:val="%1."/>
      <w:lvlJc w:val="left"/>
      <w:pPr>
        <w:tabs>
          <w:tab w:val="num" w:pos="360"/>
        </w:tabs>
        <w:ind w:left="360" w:hanging="360"/>
      </w:pPr>
      <w:rPr>
        <w:rFonts w:hint="default"/>
      </w:rPr>
    </w:lvl>
  </w:abstractNum>
  <w:abstractNum w:abstractNumId="13" w15:restartNumberingAfterBreak="0">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A349E5"/>
    <w:multiLevelType w:val="hybridMultilevel"/>
    <w:tmpl w:val="45A42B0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9525DD"/>
    <w:multiLevelType w:val="hybridMultilevel"/>
    <w:tmpl w:val="8EE4333C"/>
    <w:lvl w:ilvl="0" w:tplc="F8A8F584">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EFB28FF"/>
    <w:multiLevelType w:val="hybridMultilevel"/>
    <w:tmpl w:val="3D7AEDC6"/>
    <w:lvl w:ilvl="0" w:tplc="3522D746">
      <w:start w:val="1"/>
      <w:numFmt w:val="lowerLetter"/>
      <w:lvlText w:val="(%1)"/>
      <w:lvlJc w:val="left"/>
      <w:pPr>
        <w:tabs>
          <w:tab w:val="num" w:pos="465"/>
        </w:tabs>
        <w:ind w:left="465" w:hanging="37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8" w15:restartNumberingAfterBreak="0">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19" w15:restartNumberingAfterBreak="0">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20" w15:restartNumberingAfterBreak="0">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21" w15:restartNumberingAfterBreak="0">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2" w15:restartNumberingAfterBreak="0">
    <w:nsid w:val="76614746"/>
    <w:multiLevelType w:val="singleLevel"/>
    <w:tmpl w:val="0C9E4742"/>
    <w:lvl w:ilvl="0">
      <w:start w:val="2"/>
      <w:numFmt w:val="upperLetter"/>
      <w:lvlText w:val="%1."/>
      <w:lvlJc w:val="left"/>
      <w:pPr>
        <w:tabs>
          <w:tab w:val="num" w:pos="360"/>
        </w:tabs>
        <w:ind w:left="360" w:hanging="360"/>
      </w:pPr>
      <w:rPr>
        <w:rFonts w:hint="default"/>
        <w:u w:val="single"/>
      </w:rPr>
    </w:lvl>
  </w:abstractNum>
  <w:abstractNum w:abstractNumId="23" w15:restartNumberingAfterBreak="0">
    <w:nsid w:val="79D70D74"/>
    <w:multiLevelType w:val="singleLevel"/>
    <w:tmpl w:val="04090015"/>
    <w:lvl w:ilvl="0">
      <w:start w:val="2"/>
      <w:numFmt w:val="upperLetter"/>
      <w:lvlText w:val="%1."/>
      <w:lvlJc w:val="left"/>
      <w:pPr>
        <w:tabs>
          <w:tab w:val="num" w:pos="360"/>
        </w:tabs>
        <w:ind w:left="360" w:hanging="360"/>
      </w:pPr>
      <w:rPr>
        <w:rFonts w:hint="default"/>
      </w:rPr>
    </w:lvl>
  </w:abstractNum>
  <w:abstractNum w:abstractNumId="24" w15:restartNumberingAfterBreak="0">
    <w:nsid w:val="7CE12097"/>
    <w:multiLevelType w:val="hybridMultilevel"/>
    <w:tmpl w:val="1B32AB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DF60D1"/>
    <w:multiLevelType w:val="hybridMultilevel"/>
    <w:tmpl w:val="DE98F4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20"/>
  </w:num>
  <w:num w:numId="3">
    <w:abstractNumId w:val="19"/>
  </w:num>
  <w:num w:numId="4">
    <w:abstractNumId w:val="21"/>
  </w:num>
  <w:num w:numId="5">
    <w:abstractNumId w:val="18"/>
  </w:num>
  <w:num w:numId="6">
    <w:abstractNumId w:val="10"/>
  </w:num>
  <w:num w:numId="7">
    <w:abstractNumId w:val="6"/>
  </w:num>
  <w:num w:numId="8">
    <w:abstractNumId w:val="2"/>
  </w:num>
  <w:num w:numId="9">
    <w:abstractNumId w:val="1"/>
  </w:num>
  <w:num w:numId="10">
    <w:abstractNumId w:val="23"/>
  </w:num>
  <w:num w:numId="11">
    <w:abstractNumId w:val="17"/>
  </w:num>
  <w:num w:numId="12">
    <w:abstractNumId w:val="22"/>
  </w:num>
  <w:num w:numId="13">
    <w:abstractNumId w:val="12"/>
  </w:num>
  <w:num w:numId="14">
    <w:abstractNumId w:val="8"/>
  </w:num>
  <w:num w:numId="15">
    <w:abstractNumId w:val="24"/>
  </w:num>
  <w:num w:numId="16">
    <w:abstractNumId w:val="14"/>
  </w:num>
  <w:num w:numId="17">
    <w:abstractNumId w:val="9"/>
  </w:num>
  <w:num w:numId="18">
    <w:abstractNumId w:val="4"/>
  </w:num>
  <w:num w:numId="19">
    <w:abstractNumId w:val="25"/>
  </w:num>
  <w:num w:numId="20">
    <w:abstractNumId w:val="15"/>
  </w:num>
  <w:num w:numId="21">
    <w:abstractNumId w:val="0"/>
  </w:num>
  <w:num w:numId="22">
    <w:abstractNumId w:val="13"/>
  </w:num>
  <w:num w:numId="23">
    <w:abstractNumId w:val="3"/>
  </w:num>
  <w:num w:numId="24">
    <w:abstractNumId w:val="16"/>
  </w:num>
  <w:num w:numId="25">
    <w:abstractNumId w:val="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B2"/>
    <w:rsid w:val="00003D9E"/>
    <w:rsid w:val="00005E3B"/>
    <w:rsid w:val="00006ABC"/>
    <w:rsid w:val="000147DE"/>
    <w:rsid w:val="00025553"/>
    <w:rsid w:val="000258AB"/>
    <w:rsid w:val="00031251"/>
    <w:rsid w:val="0003137F"/>
    <w:rsid w:val="000315A0"/>
    <w:rsid w:val="00036681"/>
    <w:rsid w:val="00043C78"/>
    <w:rsid w:val="00046925"/>
    <w:rsid w:val="000548F1"/>
    <w:rsid w:val="00054F08"/>
    <w:rsid w:val="00057906"/>
    <w:rsid w:val="00062C21"/>
    <w:rsid w:val="00064E56"/>
    <w:rsid w:val="0006610C"/>
    <w:rsid w:val="00066672"/>
    <w:rsid w:val="00066E66"/>
    <w:rsid w:val="0007045E"/>
    <w:rsid w:val="00075C47"/>
    <w:rsid w:val="0007641F"/>
    <w:rsid w:val="000765B8"/>
    <w:rsid w:val="00076D92"/>
    <w:rsid w:val="0008106C"/>
    <w:rsid w:val="00082E94"/>
    <w:rsid w:val="00083AFD"/>
    <w:rsid w:val="00085470"/>
    <w:rsid w:val="00086FF3"/>
    <w:rsid w:val="000907AB"/>
    <w:rsid w:val="00092566"/>
    <w:rsid w:val="00097D5B"/>
    <w:rsid w:val="00097F86"/>
    <w:rsid w:val="000A3007"/>
    <w:rsid w:val="000B56BC"/>
    <w:rsid w:val="000C0D47"/>
    <w:rsid w:val="000C1B81"/>
    <w:rsid w:val="000C4E9D"/>
    <w:rsid w:val="000C575B"/>
    <w:rsid w:val="000E219B"/>
    <w:rsid w:val="000E557C"/>
    <w:rsid w:val="000E5954"/>
    <w:rsid w:val="000F1760"/>
    <w:rsid w:val="000F58A6"/>
    <w:rsid w:val="000F638A"/>
    <w:rsid w:val="000F741F"/>
    <w:rsid w:val="00103F21"/>
    <w:rsid w:val="0010518F"/>
    <w:rsid w:val="00105B74"/>
    <w:rsid w:val="00110087"/>
    <w:rsid w:val="00111FFD"/>
    <w:rsid w:val="00117ACB"/>
    <w:rsid w:val="00117C00"/>
    <w:rsid w:val="00123A5E"/>
    <w:rsid w:val="0012477E"/>
    <w:rsid w:val="00125F9E"/>
    <w:rsid w:val="00130795"/>
    <w:rsid w:val="00131174"/>
    <w:rsid w:val="00131EE7"/>
    <w:rsid w:val="00135CE9"/>
    <w:rsid w:val="00136064"/>
    <w:rsid w:val="00136982"/>
    <w:rsid w:val="001439FE"/>
    <w:rsid w:val="00143EE8"/>
    <w:rsid w:val="001446AA"/>
    <w:rsid w:val="001448F8"/>
    <w:rsid w:val="00146535"/>
    <w:rsid w:val="001522C2"/>
    <w:rsid w:val="00153839"/>
    <w:rsid w:val="00154267"/>
    <w:rsid w:val="00161837"/>
    <w:rsid w:val="00162096"/>
    <w:rsid w:val="00163382"/>
    <w:rsid w:val="00164248"/>
    <w:rsid w:val="0016686A"/>
    <w:rsid w:val="00171051"/>
    <w:rsid w:val="00171C54"/>
    <w:rsid w:val="00171F9E"/>
    <w:rsid w:val="001722B6"/>
    <w:rsid w:val="001737F1"/>
    <w:rsid w:val="001766D1"/>
    <w:rsid w:val="00177007"/>
    <w:rsid w:val="00177B4E"/>
    <w:rsid w:val="0018112B"/>
    <w:rsid w:val="0018188D"/>
    <w:rsid w:val="001864BD"/>
    <w:rsid w:val="00186D8E"/>
    <w:rsid w:val="001901AB"/>
    <w:rsid w:val="00192189"/>
    <w:rsid w:val="001945A1"/>
    <w:rsid w:val="0019727D"/>
    <w:rsid w:val="001A00F4"/>
    <w:rsid w:val="001A250C"/>
    <w:rsid w:val="001A75FE"/>
    <w:rsid w:val="001B2D24"/>
    <w:rsid w:val="001B4062"/>
    <w:rsid w:val="001B50B2"/>
    <w:rsid w:val="001C0D70"/>
    <w:rsid w:val="001C0F75"/>
    <w:rsid w:val="001D0A1E"/>
    <w:rsid w:val="001D2FAD"/>
    <w:rsid w:val="001D4301"/>
    <w:rsid w:val="001D715B"/>
    <w:rsid w:val="001E3CA7"/>
    <w:rsid w:val="001E4542"/>
    <w:rsid w:val="001E51FD"/>
    <w:rsid w:val="001E65BA"/>
    <w:rsid w:val="001E7BBF"/>
    <w:rsid w:val="001F1C25"/>
    <w:rsid w:val="001F30C0"/>
    <w:rsid w:val="001F351F"/>
    <w:rsid w:val="001F590D"/>
    <w:rsid w:val="001F702D"/>
    <w:rsid w:val="001F7ADB"/>
    <w:rsid w:val="00201250"/>
    <w:rsid w:val="0020634D"/>
    <w:rsid w:val="002066AC"/>
    <w:rsid w:val="00210FBC"/>
    <w:rsid w:val="00213A32"/>
    <w:rsid w:val="00220B51"/>
    <w:rsid w:val="00223321"/>
    <w:rsid w:val="00226C7A"/>
    <w:rsid w:val="00231994"/>
    <w:rsid w:val="00232317"/>
    <w:rsid w:val="0023343B"/>
    <w:rsid w:val="00237495"/>
    <w:rsid w:val="002402EE"/>
    <w:rsid w:val="00245C66"/>
    <w:rsid w:val="002460F0"/>
    <w:rsid w:val="0024653B"/>
    <w:rsid w:val="00253491"/>
    <w:rsid w:val="00256035"/>
    <w:rsid w:val="002560B8"/>
    <w:rsid w:val="00256CB6"/>
    <w:rsid w:val="002570F8"/>
    <w:rsid w:val="00263D6B"/>
    <w:rsid w:val="002645C6"/>
    <w:rsid w:val="00264BEC"/>
    <w:rsid w:val="00265E4C"/>
    <w:rsid w:val="00266B3F"/>
    <w:rsid w:val="00267A69"/>
    <w:rsid w:val="0027049D"/>
    <w:rsid w:val="00272B34"/>
    <w:rsid w:val="00275DAC"/>
    <w:rsid w:val="00277782"/>
    <w:rsid w:val="00287FE6"/>
    <w:rsid w:val="00297F9B"/>
    <w:rsid w:val="002A1E87"/>
    <w:rsid w:val="002A33F2"/>
    <w:rsid w:val="002A3E1A"/>
    <w:rsid w:val="002A429B"/>
    <w:rsid w:val="002A700C"/>
    <w:rsid w:val="002B0E95"/>
    <w:rsid w:val="002B2527"/>
    <w:rsid w:val="002B4D9B"/>
    <w:rsid w:val="002B53A4"/>
    <w:rsid w:val="002B5E57"/>
    <w:rsid w:val="002B61E4"/>
    <w:rsid w:val="002D2714"/>
    <w:rsid w:val="002D55D1"/>
    <w:rsid w:val="002D6EC0"/>
    <w:rsid w:val="002E1C08"/>
    <w:rsid w:val="002E28D1"/>
    <w:rsid w:val="002E6394"/>
    <w:rsid w:val="002E7400"/>
    <w:rsid w:val="002F0788"/>
    <w:rsid w:val="002F12F0"/>
    <w:rsid w:val="002F5D0D"/>
    <w:rsid w:val="00300241"/>
    <w:rsid w:val="003050E7"/>
    <w:rsid w:val="003063E0"/>
    <w:rsid w:val="00306823"/>
    <w:rsid w:val="00306C66"/>
    <w:rsid w:val="003116EE"/>
    <w:rsid w:val="00314878"/>
    <w:rsid w:val="00315CE0"/>
    <w:rsid w:val="00315D14"/>
    <w:rsid w:val="00315F23"/>
    <w:rsid w:val="00317470"/>
    <w:rsid w:val="003212D7"/>
    <w:rsid w:val="00331185"/>
    <w:rsid w:val="00331D39"/>
    <w:rsid w:val="003322D2"/>
    <w:rsid w:val="00332683"/>
    <w:rsid w:val="00333980"/>
    <w:rsid w:val="00334752"/>
    <w:rsid w:val="00337A91"/>
    <w:rsid w:val="00343617"/>
    <w:rsid w:val="00344008"/>
    <w:rsid w:val="0034401E"/>
    <w:rsid w:val="00344DFD"/>
    <w:rsid w:val="00344E95"/>
    <w:rsid w:val="0034694D"/>
    <w:rsid w:val="003516B2"/>
    <w:rsid w:val="003537DA"/>
    <w:rsid w:val="00354419"/>
    <w:rsid w:val="00361BCB"/>
    <w:rsid w:val="00362B3B"/>
    <w:rsid w:val="0036620A"/>
    <w:rsid w:val="003678D7"/>
    <w:rsid w:val="00374522"/>
    <w:rsid w:val="003761CB"/>
    <w:rsid w:val="00377DD2"/>
    <w:rsid w:val="003800AF"/>
    <w:rsid w:val="00380C53"/>
    <w:rsid w:val="00381CD7"/>
    <w:rsid w:val="00381E00"/>
    <w:rsid w:val="00381E2F"/>
    <w:rsid w:val="0038339A"/>
    <w:rsid w:val="0038470D"/>
    <w:rsid w:val="00384DC9"/>
    <w:rsid w:val="00386589"/>
    <w:rsid w:val="0039081A"/>
    <w:rsid w:val="00391ABD"/>
    <w:rsid w:val="0039274D"/>
    <w:rsid w:val="00392F0B"/>
    <w:rsid w:val="00393934"/>
    <w:rsid w:val="00394984"/>
    <w:rsid w:val="00397E78"/>
    <w:rsid w:val="003A0D6E"/>
    <w:rsid w:val="003A2FA4"/>
    <w:rsid w:val="003A309D"/>
    <w:rsid w:val="003B1E01"/>
    <w:rsid w:val="003B54FA"/>
    <w:rsid w:val="003B6C1C"/>
    <w:rsid w:val="003B7669"/>
    <w:rsid w:val="003C3C9D"/>
    <w:rsid w:val="003C7811"/>
    <w:rsid w:val="003D0839"/>
    <w:rsid w:val="003D4042"/>
    <w:rsid w:val="003D4427"/>
    <w:rsid w:val="003D531C"/>
    <w:rsid w:val="003D63FF"/>
    <w:rsid w:val="003E2E73"/>
    <w:rsid w:val="003E2F25"/>
    <w:rsid w:val="003E4F7C"/>
    <w:rsid w:val="003E6C33"/>
    <w:rsid w:val="003F17AA"/>
    <w:rsid w:val="003F20D3"/>
    <w:rsid w:val="003F62F4"/>
    <w:rsid w:val="00401483"/>
    <w:rsid w:val="00405C89"/>
    <w:rsid w:val="0041098E"/>
    <w:rsid w:val="00411EC4"/>
    <w:rsid w:val="004124DD"/>
    <w:rsid w:val="00412926"/>
    <w:rsid w:val="00413379"/>
    <w:rsid w:val="00414C9A"/>
    <w:rsid w:val="00415016"/>
    <w:rsid w:val="00417AF2"/>
    <w:rsid w:val="00421A25"/>
    <w:rsid w:val="0042553A"/>
    <w:rsid w:val="004267D3"/>
    <w:rsid w:val="004306DE"/>
    <w:rsid w:val="004318D2"/>
    <w:rsid w:val="0043202F"/>
    <w:rsid w:val="00435B84"/>
    <w:rsid w:val="00442356"/>
    <w:rsid w:val="00445A75"/>
    <w:rsid w:val="004510F8"/>
    <w:rsid w:val="00454FDD"/>
    <w:rsid w:val="00460E98"/>
    <w:rsid w:val="00461576"/>
    <w:rsid w:val="004660A2"/>
    <w:rsid w:val="00467E2A"/>
    <w:rsid w:val="00481BFB"/>
    <w:rsid w:val="004829E0"/>
    <w:rsid w:val="00484B48"/>
    <w:rsid w:val="00485B71"/>
    <w:rsid w:val="00496550"/>
    <w:rsid w:val="004A0288"/>
    <w:rsid w:val="004A0E1B"/>
    <w:rsid w:val="004A34D8"/>
    <w:rsid w:val="004A6AB7"/>
    <w:rsid w:val="004B1041"/>
    <w:rsid w:val="004B1BAE"/>
    <w:rsid w:val="004B2B66"/>
    <w:rsid w:val="004B2D89"/>
    <w:rsid w:val="004B4D56"/>
    <w:rsid w:val="004B6DFC"/>
    <w:rsid w:val="004B7B7F"/>
    <w:rsid w:val="004B7C3A"/>
    <w:rsid w:val="004B7CEF"/>
    <w:rsid w:val="004C0506"/>
    <w:rsid w:val="004C1088"/>
    <w:rsid w:val="004C3D55"/>
    <w:rsid w:val="004C6B1D"/>
    <w:rsid w:val="004C7168"/>
    <w:rsid w:val="004C7B1B"/>
    <w:rsid w:val="004C7BB3"/>
    <w:rsid w:val="004C7CEC"/>
    <w:rsid w:val="004C7D0C"/>
    <w:rsid w:val="004D2150"/>
    <w:rsid w:val="004D5819"/>
    <w:rsid w:val="004D7598"/>
    <w:rsid w:val="004E2590"/>
    <w:rsid w:val="004E64C2"/>
    <w:rsid w:val="004F0A0B"/>
    <w:rsid w:val="004F0BF5"/>
    <w:rsid w:val="004F2162"/>
    <w:rsid w:val="004F7439"/>
    <w:rsid w:val="004F7B4B"/>
    <w:rsid w:val="00501CAC"/>
    <w:rsid w:val="00505D09"/>
    <w:rsid w:val="00506E75"/>
    <w:rsid w:val="005122EF"/>
    <w:rsid w:val="00512A77"/>
    <w:rsid w:val="005171E5"/>
    <w:rsid w:val="00522322"/>
    <w:rsid w:val="00522EB2"/>
    <w:rsid w:val="00523E7D"/>
    <w:rsid w:val="00525FEA"/>
    <w:rsid w:val="0053000C"/>
    <w:rsid w:val="00531CE3"/>
    <w:rsid w:val="005320BA"/>
    <w:rsid w:val="0053216D"/>
    <w:rsid w:val="00535869"/>
    <w:rsid w:val="005459FA"/>
    <w:rsid w:val="00550B8A"/>
    <w:rsid w:val="005527C4"/>
    <w:rsid w:val="00552D2D"/>
    <w:rsid w:val="0055334F"/>
    <w:rsid w:val="00553652"/>
    <w:rsid w:val="005536EF"/>
    <w:rsid w:val="005554A5"/>
    <w:rsid w:val="00556D0B"/>
    <w:rsid w:val="00557094"/>
    <w:rsid w:val="0056136F"/>
    <w:rsid w:val="005665F0"/>
    <w:rsid w:val="00567618"/>
    <w:rsid w:val="00571CB9"/>
    <w:rsid w:val="0058104F"/>
    <w:rsid w:val="0058296F"/>
    <w:rsid w:val="0058486F"/>
    <w:rsid w:val="00584B70"/>
    <w:rsid w:val="005855FA"/>
    <w:rsid w:val="00587307"/>
    <w:rsid w:val="005903D6"/>
    <w:rsid w:val="0059047A"/>
    <w:rsid w:val="005964A0"/>
    <w:rsid w:val="005A44E4"/>
    <w:rsid w:val="005A5292"/>
    <w:rsid w:val="005A63E9"/>
    <w:rsid w:val="005A73FD"/>
    <w:rsid w:val="005B4FBF"/>
    <w:rsid w:val="005C0424"/>
    <w:rsid w:val="005C0F85"/>
    <w:rsid w:val="005C303B"/>
    <w:rsid w:val="005C3269"/>
    <w:rsid w:val="005C5AFF"/>
    <w:rsid w:val="005C619A"/>
    <w:rsid w:val="005C6CD3"/>
    <w:rsid w:val="005D1F25"/>
    <w:rsid w:val="005D534E"/>
    <w:rsid w:val="005E0388"/>
    <w:rsid w:val="005E48F3"/>
    <w:rsid w:val="005E5138"/>
    <w:rsid w:val="005E58A6"/>
    <w:rsid w:val="005E6B0E"/>
    <w:rsid w:val="005F0164"/>
    <w:rsid w:val="005F1184"/>
    <w:rsid w:val="005F3928"/>
    <w:rsid w:val="005F5781"/>
    <w:rsid w:val="005F595A"/>
    <w:rsid w:val="005F5D35"/>
    <w:rsid w:val="005F635F"/>
    <w:rsid w:val="005F7E0F"/>
    <w:rsid w:val="00600A40"/>
    <w:rsid w:val="00603307"/>
    <w:rsid w:val="0060560E"/>
    <w:rsid w:val="00606940"/>
    <w:rsid w:val="006144DD"/>
    <w:rsid w:val="0062053A"/>
    <w:rsid w:val="00620999"/>
    <w:rsid w:val="00621FAB"/>
    <w:rsid w:val="00625659"/>
    <w:rsid w:val="00626327"/>
    <w:rsid w:val="0063141B"/>
    <w:rsid w:val="00633F84"/>
    <w:rsid w:val="00634AB0"/>
    <w:rsid w:val="00634E9B"/>
    <w:rsid w:val="00635AEF"/>
    <w:rsid w:val="0064016D"/>
    <w:rsid w:val="006414D9"/>
    <w:rsid w:val="00641C20"/>
    <w:rsid w:val="00641E34"/>
    <w:rsid w:val="0064374B"/>
    <w:rsid w:val="006474B3"/>
    <w:rsid w:val="00654AB7"/>
    <w:rsid w:val="00654F1D"/>
    <w:rsid w:val="00655645"/>
    <w:rsid w:val="00657828"/>
    <w:rsid w:val="006621F3"/>
    <w:rsid w:val="00662A51"/>
    <w:rsid w:val="0066310E"/>
    <w:rsid w:val="00663A64"/>
    <w:rsid w:val="00665526"/>
    <w:rsid w:val="006655B3"/>
    <w:rsid w:val="00667178"/>
    <w:rsid w:val="00667950"/>
    <w:rsid w:val="00667FF3"/>
    <w:rsid w:val="00674F8B"/>
    <w:rsid w:val="0067560F"/>
    <w:rsid w:val="00675F16"/>
    <w:rsid w:val="0067679E"/>
    <w:rsid w:val="006776B4"/>
    <w:rsid w:val="00680A62"/>
    <w:rsid w:val="00681D3F"/>
    <w:rsid w:val="00682B0C"/>
    <w:rsid w:val="006839CF"/>
    <w:rsid w:val="00684E96"/>
    <w:rsid w:val="00687D8A"/>
    <w:rsid w:val="00691402"/>
    <w:rsid w:val="0069518B"/>
    <w:rsid w:val="00695477"/>
    <w:rsid w:val="006A0296"/>
    <w:rsid w:val="006A1B12"/>
    <w:rsid w:val="006A49B8"/>
    <w:rsid w:val="006A72C5"/>
    <w:rsid w:val="006B0E84"/>
    <w:rsid w:val="006B1339"/>
    <w:rsid w:val="006B7A3D"/>
    <w:rsid w:val="006C127E"/>
    <w:rsid w:val="006C2295"/>
    <w:rsid w:val="006C3062"/>
    <w:rsid w:val="006C3C73"/>
    <w:rsid w:val="006C460B"/>
    <w:rsid w:val="006C64A9"/>
    <w:rsid w:val="006C7343"/>
    <w:rsid w:val="006D195E"/>
    <w:rsid w:val="006D3F8E"/>
    <w:rsid w:val="006D5835"/>
    <w:rsid w:val="006D7955"/>
    <w:rsid w:val="006E1323"/>
    <w:rsid w:val="006E3DA5"/>
    <w:rsid w:val="006E7D96"/>
    <w:rsid w:val="006F0597"/>
    <w:rsid w:val="006F0ACC"/>
    <w:rsid w:val="006F19BF"/>
    <w:rsid w:val="006F48F0"/>
    <w:rsid w:val="006F4E88"/>
    <w:rsid w:val="006F6E17"/>
    <w:rsid w:val="00701787"/>
    <w:rsid w:val="007031C8"/>
    <w:rsid w:val="00704617"/>
    <w:rsid w:val="00705312"/>
    <w:rsid w:val="00705487"/>
    <w:rsid w:val="00707BFB"/>
    <w:rsid w:val="00714285"/>
    <w:rsid w:val="00714A87"/>
    <w:rsid w:val="00714D87"/>
    <w:rsid w:val="0071697C"/>
    <w:rsid w:val="007231C4"/>
    <w:rsid w:val="0072321F"/>
    <w:rsid w:val="00724804"/>
    <w:rsid w:val="00724FC7"/>
    <w:rsid w:val="0072750E"/>
    <w:rsid w:val="0072774C"/>
    <w:rsid w:val="00730BD6"/>
    <w:rsid w:val="00736103"/>
    <w:rsid w:val="00737064"/>
    <w:rsid w:val="0074085D"/>
    <w:rsid w:val="00741A40"/>
    <w:rsid w:val="0074417F"/>
    <w:rsid w:val="00753E32"/>
    <w:rsid w:val="007553CF"/>
    <w:rsid w:val="00756990"/>
    <w:rsid w:val="00761A58"/>
    <w:rsid w:val="007661F2"/>
    <w:rsid w:val="00770B25"/>
    <w:rsid w:val="00771111"/>
    <w:rsid w:val="0077209D"/>
    <w:rsid w:val="007728FF"/>
    <w:rsid w:val="00773D95"/>
    <w:rsid w:val="0077476D"/>
    <w:rsid w:val="00777439"/>
    <w:rsid w:val="00781A23"/>
    <w:rsid w:val="00781AEB"/>
    <w:rsid w:val="00781C09"/>
    <w:rsid w:val="00783643"/>
    <w:rsid w:val="0078434C"/>
    <w:rsid w:val="00785499"/>
    <w:rsid w:val="00787D22"/>
    <w:rsid w:val="00792A2E"/>
    <w:rsid w:val="007961F8"/>
    <w:rsid w:val="0079721B"/>
    <w:rsid w:val="0079785F"/>
    <w:rsid w:val="00797863"/>
    <w:rsid w:val="007A5697"/>
    <w:rsid w:val="007B0708"/>
    <w:rsid w:val="007B5358"/>
    <w:rsid w:val="007C0AD0"/>
    <w:rsid w:val="007C1EBA"/>
    <w:rsid w:val="007D1C82"/>
    <w:rsid w:val="007D3B0D"/>
    <w:rsid w:val="007E280C"/>
    <w:rsid w:val="007F147B"/>
    <w:rsid w:val="007F2DEF"/>
    <w:rsid w:val="007F5F87"/>
    <w:rsid w:val="007F73D2"/>
    <w:rsid w:val="00800AF4"/>
    <w:rsid w:val="00801DEA"/>
    <w:rsid w:val="00803C6B"/>
    <w:rsid w:val="0080790D"/>
    <w:rsid w:val="00811885"/>
    <w:rsid w:val="008170F2"/>
    <w:rsid w:val="008173A6"/>
    <w:rsid w:val="008217C1"/>
    <w:rsid w:val="00822E07"/>
    <w:rsid w:val="00824AC3"/>
    <w:rsid w:val="00832748"/>
    <w:rsid w:val="008349FF"/>
    <w:rsid w:val="0083537E"/>
    <w:rsid w:val="00835D1D"/>
    <w:rsid w:val="008439C5"/>
    <w:rsid w:val="0084497A"/>
    <w:rsid w:val="0084689F"/>
    <w:rsid w:val="00847170"/>
    <w:rsid w:val="008511B4"/>
    <w:rsid w:val="0085226E"/>
    <w:rsid w:val="008523E0"/>
    <w:rsid w:val="00853712"/>
    <w:rsid w:val="008613D1"/>
    <w:rsid w:val="0086357D"/>
    <w:rsid w:val="008642CA"/>
    <w:rsid w:val="00867AC2"/>
    <w:rsid w:val="0087219E"/>
    <w:rsid w:val="008724C2"/>
    <w:rsid w:val="0088172C"/>
    <w:rsid w:val="00881CBA"/>
    <w:rsid w:val="008830D0"/>
    <w:rsid w:val="00886014"/>
    <w:rsid w:val="00890077"/>
    <w:rsid w:val="00891027"/>
    <w:rsid w:val="008945CE"/>
    <w:rsid w:val="00895098"/>
    <w:rsid w:val="008950C4"/>
    <w:rsid w:val="00895ACF"/>
    <w:rsid w:val="008A14FB"/>
    <w:rsid w:val="008B0BB6"/>
    <w:rsid w:val="008B20D1"/>
    <w:rsid w:val="008B46AA"/>
    <w:rsid w:val="008B6879"/>
    <w:rsid w:val="008C17F8"/>
    <w:rsid w:val="008C2539"/>
    <w:rsid w:val="008C2AAA"/>
    <w:rsid w:val="008C3B53"/>
    <w:rsid w:val="008C5D45"/>
    <w:rsid w:val="008C774B"/>
    <w:rsid w:val="008D47AE"/>
    <w:rsid w:val="008D60E1"/>
    <w:rsid w:val="008E453F"/>
    <w:rsid w:val="008F02F5"/>
    <w:rsid w:val="008F08B5"/>
    <w:rsid w:val="008F0D4D"/>
    <w:rsid w:val="00900351"/>
    <w:rsid w:val="00907729"/>
    <w:rsid w:val="00915047"/>
    <w:rsid w:val="00916FE0"/>
    <w:rsid w:val="00925ECB"/>
    <w:rsid w:val="00925FD6"/>
    <w:rsid w:val="00927588"/>
    <w:rsid w:val="00927E14"/>
    <w:rsid w:val="00936EE5"/>
    <w:rsid w:val="00937F89"/>
    <w:rsid w:val="00940A30"/>
    <w:rsid w:val="009448CC"/>
    <w:rsid w:val="009450D8"/>
    <w:rsid w:val="0094514D"/>
    <w:rsid w:val="00945FD9"/>
    <w:rsid w:val="00952917"/>
    <w:rsid w:val="00953E49"/>
    <w:rsid w:val="00954C48"/>
    <w:rsid w:val="00954CA7"/>
    <w:rsid w:val="00957CD8"/>
    <w:rsid w:val="009610AD"/>
    <w:rsid w:val="00961AF5"/>
    <w:rsid w:val="009643D6"/>
    <w:rsid w:val="00964F4D"/>
    <w:rsid w:val="009658DF"/>
    <w:rsid w:val="00965D12"/>
    <w:rsid w:val="00971298"/>
    <w:rsid w:val="00972BFB"/>
    <w:rsid w:val="00975EE3"/>
    <w:rsid w:val="00975F79"/>
    <w:rsid w:val="00976CEA"/>
    <w:rsid w:val="00977C31"/>
    <w:rsid w:val="00981489"/>
    <w:rsid w:val="00982657"/>
    <w:rsid w:val="0098290F"/>
    <w:rsid w:val="00990D1F"/>
    <w:rsid w:val="0099417F"/>
    <w:rsid w:val="0099628B"/>
    <w:rsid w:val="00996DF9"/>
    <w:rsid w:val="009A5CDE"/>
    <w:rsid w:val="009B1DD2"/>
    <w:rsid w:val="009B3A3D"/>
    <w:rsid w:val="009B4B36"/>
    <w:rsid w:val="009B6D1B"/>
    <w:rsid w:val="009C07F3"/>
    <w:rsid w:val="009C0F08"/>
    <w:rsid w:val="009C5D43"/>
    <w:rsid w:val="009C67C8"/>
    <w:rsid w:val="009D117A"/>
    <w:rsid w:val="009D17F5"/>
    <w:rsid w:val="009D1BC9"/>
    <w:rsid w:val="009D3D41"/>
    <w:rsid w:val="009D4F83"/>
    <w:rsid w:val="009E270B"/>
    <w:rsid w:val="009E2F62"/>
    <w:rsid w:val="009E5072"/>
    <w:rsid w:val="009E6821"/>
    <w:rsid w:val="009F09B4"/>
    <w:rsid w:val="009F2260"/>
    <w:rsid w:val="009F244F"/>
    <w:rsid w:val="009F3313"/>
    <w:rsid w:val="009F365B"/>
    <w:rsid w:val="009F3C23"/>
    <w:rsid w:val="009F4965"/>
    <w:rsid w:val="009F66A1"/>
    <w:rsid w:val="009F6B3C"/>
    <w:rsid w:val="009F7AAF"/>
    <w:rsid w:val="00A02E87"/>
    <w:rsid w:val="00A032AC"/>
    <w:rsid w:val="00A07A12"/>
    <w:rsid w:val="00A10EA6"/>
    <w:rsid w:val="00A14C0D"/>
    <w:rsid w:val="00A16D67"/>
    <w:rsid w:val="00A17611"/>
    <w:rsid w:val="00A235F9"/>
    <w:rsid w:val="00A2462F"/>
    <w:rsid w:val="00A2660B"/>
    <w:rsid w:val="00A31D99"/>
    <w:rsid w:val="00A33C6F"/>
    <w:rsid w:val="00A37EFD"/>
    <w:rsid w:val="00A4370C"/>
    <w:rsid w:val="00A441F3"/>
    <w:rsid w:val="00A456B3"/>
    <w:rsid w:val="00A47D4B"/>
    <w:rsid w:val="00A516A4"/>
    <w:rsid w:val="00A51BFC"/>
    <w:rsid w:val="00A53DF3"/>
    <w:rsid w:val="00A54880"/>
    <w:rsid w:val="00A54E69"/>
    <w:rsid w:val="00A573DF"/>
    <w:rsid w:val="00A63A92"/>
    <w:rsid w:val="00A662FA"/>
    <w:rsid w:val="00A665D6"/>
    <w:rsid w:val="00A72253"/>
    <w:rsid w:val="00A74AAC"/>
    <w:rsid w:val="00A75965"/>
    <w:rsid w:val="00A92991"/>
    <w:rsid w:val="00A92F06"/>
    <w:rsid w:val="00A976A0"/>
    <w:rsid w:val="00AA021F"/>
    <w:rsid w:val="00AA218B"/>
    <w:rsid w:val="00AA4201"/>
    <w:rsid w:val="00AA6003"/>
    <w:rsid w:val="00AB141D"/>
    <w:rsid w:val="00AB2B9A"/>
    <w:rsid w:val="00AB3B7D"/>
    <w:rsid w:val="00AC2DFF"/>
    <w:rsid w:val="00AC3D19"/>
    <w:rsid w:val="00AC4CC7"/>
    <w:rsid w:val="00AC67AE"/>
    <w:rsid w:val="00AD2E4C"/>
    <w:rsid w:val="00AD48ED"/>
    <w:rsid w:val="00AD6B3C"/>
    <w:rsid w:val="00AE468D"/>
    <w:rsid w:val="00AE5A81"/>
    <w:rsid w:val="00AF0262"/>
    <w:rsid w:val="00AF3A18"/>
    <w:rsid w:val="00AF6275"/>
    <w:rsid w:val="00B015BA"/>
    <w:rsid w:val="00B01D50"/>
    <w:rsid w:val="00B02D5A"/>
    <w:rsid w:val="00B05FA3"/>
    <w:rsid w:val="00B06BE5"/>
    <w:rsid w:val="00B12BAA"/>
    <w:rsid w:val="00B14905"/>
    <w:rsid w:val="00B20FCA"/>
    <w:rsid w:val="00B24422"/>
    <w:rsid w:val="00B24EC7"/>
    <w:rsid w:val="00B25578"/>
    <w:rsid w:val="00B30A4B"/>
    <w:rsid w:val="00B32D69"/>
    <w:rsid w:val="00B3727E"/>
    <w:rsid w:val="00B408DA"/>
    <w:rsid w:val="00B40B55"/>
    <w:rsid w:val="00B433AC"/>
    <w:rsid w:val="00B45F3E"/>
    <w:rsid w:val="00B472FB"/>
    <w:rsid w:val="00B62422"/>
    <w:rsid w:val="00B62D12"/>
    <w:rsid w:val="00B63472"/>
    <w:rsid w:val="00B65BDD"/>
    <w:rsid w:val="00B7087E"/>
    <w:rsid w:val="00B74962"/>
    <w:rsid w:val="00B76B92"/>
    <w:rsid w:val="00B86955"/>
    <w:rsid w:val="00B90D2F"/>
    <w:rsid w:val="00B93751"/>
    <w:rsid w:val="00B94B26"/>
    <w:rsid w:val="00B9633D"/>
    <w:rsid w:val="00B9738D"/>
    <w:rsid w:val="00BA185D"/>
    <w:rsid w:val="00BB29F9"/>
    <w:rsid w:val="00BB4F7C"/>
    <w:rsid w:val="00BB52D0"/>
    <w:rsid w:val="00BC6BFD"/>
    <w:rsid w:val="00BD2211"/>
    <w:rsid w:val="00BD2931"/>
    <w:rsid w:val="00BE0A97"/>
    <w:rsid w:val="00BE1617"/>
    <w:rsid w:val="00BE313B"/>
    <w:rsid w:val="00BE36EC"/>
    <w:rsid w:val="00BE5C4C"/>
    <w:rsid w:val="00BF1C81"/>
    <w:rsid w:val="00BF4E84"/>
    <w:rsid w:val="00BF65C3"/>
    <w:rsid w:val="00C0159D"/>
    <w:rsid w:val="00C03336"/>
    <w:rsid w:val="00C06399"/>
    <w:rsid w:val="00C10DF0"/>
    <w:rsid w:val="00C1546E"/>
    <w:rsid w:val="00C206C5"/>
    <w:rsid w:val="00C2441A"/>
    <w:rsid w:val="00C24A73"/>
    <w:rsid w:val="00C24E6F"/>
    <w:rsid w:val="00C25FF7"/>
    <w:rsid w:val="00C265E2"/>
    <w:rsid w:val="00C27529"/>
    <w:rsid w:val="00C27662"/>
    <w:rsid w:val="00C30107"/>
    <w:rsid w:val="00C3037A"/>
    <w:rsid w:val="00C32AF2"/>
    <w:rsid w:val="00C365B9"/>
    <w:rsid w:val="00C41487"/>
    <w:rsid w:val="00C43716"/>
    <w:rsid w:val="00C469F8"/>
    <w:rsid w:val="00C50F38"/>
    <w:rsid w:val="00C514FC"/>
    <w:rsid w:val="00C51EEE"/>
    <w:rsid w:val="00C57DB4"/>
    <w:rsid w:val="00C61658"/>
    <w:rsid w:val="00C6317D"/>
    <w:rsid w:val="00C6526E"/>
    <w:rsid w:val="00C675B6"/>
    <w:rsid w:val="00C71FE4"/>
    <w:rsid w:val="00C736D8"/>
    <w:rsid w:val="00C82E49"/>
    <w:rsid w:val="00C84558"/>
    <w:rsid w:val="00C85003"/>
    <w:rsid w:val="00C85FF9"/>
    <w:rsid w:val="00C86E68"/>
    <w:rsid w:val="00C87BD7"/>
    <w:rsid w:val="00C87D0E"/>
    <w:rsid w:val="00C92AD4"/>
    <w:rsid w:val="00C937CB"/>
    <w:rsid w:val="00C93FA7"/>
    <w:rsid w:val="00C95995"/>
    <w:rsid w:val="00CA3F1F"/>
    <w:rsid w:val="00CA6136"/>
    <w:rsid w:val="00CA7ADF"/>
    <w:rsid w:val="00CB1B7F"/>
    <w:rsid w:val="00CB3F56"/>
    <w:rsid w:val="00CC0CB6"/>
    <w:rsid w:val="00CC68DC"/>
    <w:rsid w:val="00CD0BFE"/>
    <w:rsid w:val="00CD1847"/>
    <w:rsid w:val="00CD1F97"/>
    <w:rsid w:val="00CD36BA"/>
    <w:rsid w:val="00CD64CB"/>
    <w:rsid w:val="00CE0F16"/>
    <w:rsid w:val="00CE2C3C"/>
    <w:rsid w:val="00CE3BB1"/>
    <w:rsid w:val="00CE4A01"/>
    <w:rsid w:val="00CE764E"/>
    <w:rsid w:val="00CF1910"/>
    <w:rsid w:val="00CF2771"/>
    <w:rsid w:val="00CF343A"/>
    <w:rsid w:val="00CF6D26"/>
    <w:rsid w:val="00D00E15"/>
    <w:rsid w:val="00D02C3B"/>
    <w:rsid w:val="00D04214"/>
    <w:rsid w:val="00D04721"/>
    <w:rsid w:val="00D10D81"/>
    <w:rsid w:val="00D13080"/>
    <w:rsid w:val="00D168E8"/>
    <w:rsid w:val="00D17A3F"/>
    <w:rsid w:val="00D217F4"/>
    <w:rsid w:val="00D24086"/>
    <w:rsid w:val="00D254E5"/>
    <w:rsid w:val="00D3077E"/>
    <w:rsid w:val="00D322D2"/>
    <w:rsid w:val="00D3381D"/>
    <w:rsid w:val="00D34E94"/>
    <w:rsid w:val="00D41BBD"/>
    <w:rsid w:val="00D41E0B"/>
    <w:rsid w:val="00D44574"/>
    <w:rsid w:val="00D50FF6"/>
    <w:rsid w:val="00D53284"/>
    <w:rsid w:val="00D54C41"/>
    <w:rsid w:val="00D5663C"/>
    <w:rsid w:val="00D60012"/>
    <w:rsid w:val="00D61F8A"/>
    <w:rsid w:val="00D62CE6"/>
    <w:rsid w:val="00D6773A"/>
    <w:rsid w:val="00D7019F"/>
    <w:rsid w:val="00D70639"/>
    <w:rsid w:val="00D73296"/>
    <w:rsid w:val="00D735EC"/>
    <w:rsid w:val="00D74D9A"/>
    <w:rsid w:val="00D7682B"/>
    <w:rsid w:val="00D823F3"/>
    <w:rsid w:val="00D835E1"/>
    <w:rsid w:val="00D85A63"/>
    <w:rsid w:val="00D87517"/>
    <w:rsid w:val="00D90E11"/>
    <w:rsid w:val="00D92689"/>
    <w:rsid w:val="00D93185"/>
    <w:rsid w:val="00D96EEE"/>
    <w:rsid w:val="00D97DA4"/>
    <w:rsid w:val="00DA3949"/>
    <w:rsid w:val="00DA524C"/>
    <w:rsid w:val="00DA6676"/>
    <w:rsid w:val="00DA71E9"/>
    <w:rsid w:val="00DB6BD9"/>
    <w:rsid w:val="00DC66C5"/>
    <w:rsid w:val="00DD0F19"/>
    <w:rsid w:val="00DD1CB3"/>
    <w:rsid w:val="00DD40A2"/>
    <w:rsid w:val="00DD5CCC"/>
    <w:rsid w:val="00DD5D07"/>
    <w:rsid w:val="00DD66AF"/>
    <w:rsid w:val="00DE15DE"/>
    <w:rsid w:val="00DE2E25"/>
    <w:rsid w:val="00DF057A"/>
    <w:rsid w:val="00DF1FED"/>
    <w:rsid w:val="00E00068"/>
    <w:rsid w:val="00E00B9D"/>
    <w:rsid w:val="00E03B38"/>
    <w:rsid w:val="00E05339"/>
    <w:rsid w:val="00E05393"/>
    <w:rsid w:val="00E06BDE"/>
    <w:rsid w:val="00E12229"/>
    <w:rsid w:val="00E15597"/>
    <w:rsid w:val="00E25383"/>
    <w:rsid w:val="00E25E1A"/>
    <w:rsid w:val="00E26344"/>
    <w:rsid w:val="00E32F1D"/>
    <w:rsid w:val="00E40C00"/>
    <w:rsid w:val="00E410BA"/>
    <w:rsid w:val="00E414A0"/>
    <w:rsid w:val="00E414E1"/>
    <w:rsid w:val="00E42DA8"/>
    <w:rsid w:val="00E52534"/>
    <w:rsid w:val="00E5605E"/>
    <w:rsid w:val="00E602D6"/>
    <w:rsid w:val="00E60B6A"/>
    <w:rsid w:val="00E6643C"/>
    <w:rsid w:val="00E66D2B"/>
    <w:rsid w:val="00E706FA"/>
    <w:rsid w:val="00E727D0"/>
    <w:rsid w:val="00E76B17"/>
    <w:rsid w:val="00E82064"/>
    <w:rsid w:val="00E83B3B"/>
    <w:rsid w:val="00E87A2E"/>
    <w:rsid w:val="00E90313"/>
    <w:rsid w:val="00E912C4"/>
    <w:rsid w:val="00E91917"/>
    <w:rsid w:val="00E938DF"/>
    <w:rsid w:val="00EA1E41"/>
    <w:rsid w:val="00EA2149"/>
    <w:rsid w:val="00EA5335"/>
    <w:rsid w:val="00EA57B3"/>
    <w:rsid w:val="00EA5F2C"/>
    <w:rsid w:val="00EA6233"/>
    <w:rsid w:val="00EA652F"/>
    <w:rsid w:val="00EA6DAC"/>
    <w:rsid w:val="00EB03D4"/>
    <w:rsid w:val="00EB211E"/>
    <w:rsid w:val="00EB4777"/>
    <w:rsid w:val="00EB6FCE"/>
    <w:rsid w:val="00EC35B1"/>
    <w:rsid w:val="00EC74EF"/>
    <w:rsid w:val="00ED0F2F"/>
    <w:rsid w:val="00ED492C"/>
    <w:rsid w:val="00EE3C78"/>
    <w:rsid w:val="00EE3CE1"/>
    <w:rsid w:val="00EF2824"/>
    <w:rsid w:val="00EF3490"/>
    <w:rsid w:val="00EF506A"/>
    <w:rsid w:val="00EF6DEE"/>
    <w:rsid w:val="00EF7591"/>
    <w:rsid w:val="00EF7A52"/>
    <w:rsid w:val="00F00FFF"/>
    <w:rsid w:val="00F03B4E"/>
    <w:rsid w:val="00F05707"/>
    <w:rsid w:val="00F11FCF"/>
    <w:rsid w:val="00F140B1"/>
    <w:rsid w:val="00F16DBE"/>
    <w:rsid w:val="00F1787C"/>
    <w:rsid w:val="00F226D5"/>
    <w:rsid w:val="00F27BE2"/>
    <w:rsid w:val="00F30052"/>
    <w:rsid w:val="00F3269C"/>
    <w:rsid w:val="00F340AD"/>
    <w:rsid w:val="00F347D6"/>
    <w:rsid w:val="00F35AD6"/>
    <w:rsid w:val="00F36E19"/>
    <w:rsid w:val="00F454A0"/>
    <w:rsid w:val="00F46933"/>
    <w:rsid w:val="00F526FF"/>
    <w:rsid w:val="00F547C0"/>
    <w:rsid w:val="00F63BBB"/>
    <w:rsid w:val="00F66EC3"/>
    <w:rsid w:val="00F7265A"/>
    <w:rsid w:val="00F727DA"/>
    <w:rsid w:val="00F72885"/>
    <w:rsid w:val="00F73768"/>
    <w:rsid w:val="00F77DBD"/>
    <w:rsid w:val="00F85779"/>
    <w:rsid w:val="00F87565"/>
    <w:rsid w:val="00F907BD"/>
    <w:rsid w:val="00F963D9"/>
    <w:rsid w:val="00F96D4B"/>
    <w:rsid w:val="00F96D83"/>
    <w:rsid w:val="00FA0776"/>
    <w:rsid w:val="00FA185A"/>
    <w:rsid w:val="00FA1B7A"/>
    <w:rsid w:val="00FA2B8A"/>
    <w:rsid w:val="00FA6C4F"/>
    <w:rsid w:val="00FA6ED6"/>
    <w:rsid w:val="00FB2384"/>
    <w:rsid w:val="00FB2D7D"/>
    <w:rsid w:val="00FB682C"/>
    <w:rsid w:val="00FC1EE2"/>
    <w:rsid w:val="00FC3800"/>
    <w:rsid w:val="00FC51ED"/>
    <w:rsid w:val="00FC5C61"/>
    <w:rsid w:val="00FC6D90"/>
    <w:rsid w:val="00FD10FA"/>
    <w:rsid w:val="00FD1C42"/>
    <w:rsid w:val="00FD21CC"/>
    <w:rsid w:val="00FD3062"/>
    <w:rsid w:val="00FD40A4"/>
    <w:rsid w:val="00FD4F01"/>
    <w:rsid w:val="00FD5BE6"/>
    <w:rsid w:val="00FE0A01"/>
    <w:rsid w:val="00FE1682"/>
    <w:rsid w:val="00FE19F7"/>
    <w:rsid w:val="00FE4A6B"/>
    <w:rsid w:val="00FE6F9A"/>
    <w:rsid w:val="00FE7DE5"/>
    <w:rsid w:val="00FF2A5E"/>
    <w:rsid w:val="00FF5095"/>
    <w:rsid w:val="00FF5764"/>
    <w:rsid w:val="00FF62CB"/>
    <w:rsid w:val="00FF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8CC17C4"/>
  <w15:docId w15:val="{2D730DF7-DF37-45A8-BC73-D335CC6C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ootnote Text Char1,f,fn,ALTS FOOTNOT"/>
    <w:basedOn w:val="Normal"/>
    <w:link w:val="FootnoteTextChar"/>
  </w:style>
  <w:style w:type="character" w:styleId="FootnoteReference">
    <w:name w:val="footnote reference"/>
    <w:aliases w:val="Appel note de bas de p,Style 12,(NECG) Footnote Reference,Style 124,o,fr,Style 3,Style 17,FR,Style 13,Footnote Reference/,Style 6,Style 4,Style 7,Footnote Reference1"/>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BB52D0"/>
  </w:style>
  <w:style w:type="paragraph" w:customStyle="1" w:styleId="ReferenceLine">
    <w:name w:val="Reference Line"/>
    <w:basedOn w:val="BodyText"/>
    <w:rsid w:val="002A3E1A"/>
    <w:rPr>
      <w:rFonts w:ascii="Verdana" w:hAnsi="Verdana"/>
      <w:b w:val="0"/>
    </w:rPr>
  </w:style>
  <w:style w:type="paragraph" w:styleId="List">
    <w:name w:val="List"/>
    <w:basedOn w:val="Normal"/>
    <w:rsid w:val="002A3E1A"/>
    <w:pPr>
      <w:widowControl/>
      <w:ind w:left="360" w:hanging="360"/>
    </w:pPr>
    <w:rPr>
      <w:snapToGrid/>
      <w:sz w:val="22"/>
    </w:rPr>
  </w:style>
  <w:style w:type="paragraph" w:styleId="CommentText">
    <w:name w:val="annotation text"/>
    <w:basedOn w:val="Normal"/>
    <w:link w:val="CommentTextChar"/>
    <w:uiPriority w:val="99"/>
    <w:semiHidden/>
    <w:unhideWhenUsed/>
    <w:rsid w:val="00CC0CB6"/>
    <w:pPr>
      <w:widowControl/>
    </w:pPr>
    <w:rPr>
      <w:rFonts w:eastAsiaTheme="minorHAnsi"/>
      <w:snapToGrid/>
      <w:sz w:val="20"/>
    </w:rPr>
  </w:style>
  <w:style w:type="character" w:customStyle="1" w:styleId="CommentTextChar">
    <w:name w:val="Comment Text Char"/>
    <w:basedOn w:val="DefaultParagraphFont"/>
    <w:link w:val="CommentText"/>
    <w:uiPriority w:val="99"/>
    <w:semiHidden/>
    <w:rsid w:val="00CC0CB6"/>
    <w:rPr>
      <w:rFonts w:eastAsiaTheme="minorHAnsi"/>
    </w:rPr>
  </w:style>
  <w:style w:type="character" w:styleId="CommentReference">
    <w:name w:val="annotation reference"/>
    <w:basedOn w:val="DefaultParagraphFont"/>
    <w:uiPriority w:val="99"/>
    <w:semiHidden/>
    <w:unhideWhenUsed/>
    <w:rsid w:val="00CC0CB6"/>
  </w:style>
  <w:style w:type="paragraph" w:styleId="ListParagraph">
    <w:name w:val="List Paragraph"/>
    <w:basedOn w:val="Normal"/>
    <w:uiPriority w:val="34"/>
    <w:qFormat/>
    <w:rsid w:val="004B1041"/>
    <w:pPr>
      <w:ind w:left="720"/>
      <w:contextualSpacing/>
    </w:pPr>
  </w:style>
  <w:style w:type="paragraph" w:styleId="CommentSubject">
    <w:name w:val="annotation subject"/>
    <w:basedOn w:val="CommentText"/>
    <w:next w:val="CommentText"/>
    <w:link w:val="CommentSubjectChar"/>
    <w:semiHidden/>
    <w:unhideWhenUsed/>
    <w:rsid w:val="00730BD6"/>
    <w:pPr>
      <w:widowControl w:val="0"/>
    </w:pPr>
    <w:rPr>
      <w:rFonts w:eastAsia="Times New Roman"/>
      <w:b/>
      <w:bCs/>
      <w:snapToGrid w:val="0"/>
    </w:rPr>
  </w:style>
  <w:style w:type="character" w:customStyle="1" w:styleId="CommentSubjectChar">
    <w:name w:val="Comment Subject Char"/>
    <w:basedOn w:val="CommentTextChar"/>
    <w:link w:val="CommentSubject"/>
    <w:semiHidden/>
    <w:rsid w:val="00730BD6"/>
    <w:rPr>
      <w:rFonts w:eastAsiaTheme="minorHAnsi"/>
      <w:b/>
      <w:bCs/>
      <w:snapToGrid w:val="0"/>
    </w:rPr>
  </w:style>
  <w:style w:type="character" w:customStyle="1" w:styleId="FootnoteTextChar">
    <w:name w:val="Footnote Text Char"/>
    <w:aliases w:val="Footnote Text Char2 Char,Footnote Text Char Char Char,Footnote Text Char1 Char1 Char Char,Footnote Text Char4 Char Char Char Char,Footnote Text Char3 Char1 Char Char Char Char,Footnote Text Char Char3 Char Char Char Char Char,f Char"/>
    <w:link w:val="FootnoteText"/>
    <w:rsid w:val="00792A2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703840">
      <w:bodyDiv w:val="1"/>
      <w:marLeft w:val="0"/>
      <w:marRight w:val="0"/>
      <w:marTop w:val="0"/>
      <w:marBottom w:val="0"/>
      <w:divBdr>
        <w:top w:val="none" w:sz="0" w:space="0" w:color="auto"/>
        <w:left w:val="none" w:sz="0" w:space="0" w:color="auto"/>
        <w:bottom w:val="none" w:sz="0" w:space="0" w:color="auto"/>
        <w:right w:val="none" w:sz="0" w:space="0" w:color="auto"/>
      </w:divBdr>
      <w:divsChild>
        <w:div w:id="221261686">
          <w:marLeft w:val="0"/>
          <w:marRight w:val="0"/>
          <w:marTop w:val="0"/>
          <w:marBottom w:val="0"/>
          <w:divBdr>
            <w:top w:val="none" w:sz="0" w:space="0" w:color="auto"/>
            <w:left w:val="none" w:sz="0" w:space="0" w:color="auto"/>
            <w:bottom w:val="none" w:sz="0" w:space="0" w:color="auto"/>
            <w:right w:val="none" w:sz="0" w:space="0" w:color="auto"/>
          </w:divBdr>
          <w:divsChild>
            <w:div w:id="2037660199">
              <w:marLeft w:val="0"/>
              <w:marRight w:val="0"/>
              <w:marTop w:val="0"/>
              <w:marBottom w:val="0"/>
              <w:divBdr>
                <w:top w:val="none" w:sz="0" w:space="0" w:color="auto"/>
                <w:left w:val="none" w:sz="0" w:space="0" w:color="auto"/>
                <w:bottom w:val="none" w:sz="0" w:space="0" w:color="auto"/>
                <w:right w:val="none" w:sz="0" w:space="0" w:color="auto"/>
              </w:divBdr>
            </w:div>
          </w:divsChild>
        </w:div>
        <w:div w:id="618684285">
          <w:marLeft w:val="0"/>
          <w:marRight w:val="0"/>
          <w:marTop w:val="0"/>
          <w:marBottom w:val="0"/>
          <w:divBdr>
            <w:top w:val="none" w:sz="0" w:space="0" w:color="auto"/>
            <w:left w:val="none" w:sz="0" w:space="0" w:color="auto"/>
            <w:bottom w:val="none" w:sz="0" w:space="0" w:color="auto"/>
            <w:right w:val="none" w:sz="0" w:space="0" w:color="auto"/>
          </w:divBdr>
          <w:divsChild>
            <w:div w:id="348334304">
              <w:marLeft w:val="0"/>
              <w:marRight w:val="0"/>
              <w:marTop w:val="0"/>
              <w:marBottom w:val="0"/>
              <w:divBdr>
                <w:top w:val="none" w:sz="0" w:space="0" w:color="auto"/>
                <w:left w:val="none" w:sz="0" w:space="0" w:color="auto"/>
                <w:bottom w:val="none" w:sz="0" w:space="0" w:color="auto"/>
                <w:right w:val="none" w:sz="0" w:space="0" w:color="auto"/>
              </w:divBdr>
              <w:divsChild>
                <w:div w:id="13619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09094">
          <w:marLeft w:val="0"/>
          <w:marRight w:val="0"/>
          <w:marTop w:val="0"/>
          <w:marBottom w:val="0"/>
          <w:divBdr>
            <w:top w:val="none" w:sz="0" w:space="0" w:color="auto"/>
            <w:left w:val="none" w:sz="0" w:space="0" w:color="auto"/>
            <w:bottom w:val="none" w:sz="0" w:space="0" w:color="auto"/>
            <w:right w:val="none" w:sz="0" w:space="0" w:color="auto"/>
          </w:divBdr>
          <w:divsChild>
            <w:div w:id="1920865960">
              <w:marLeft w:val="0"/>
              <w:marRight w:val="0"/>
              <w:marTop w:val="0"/>
              <w:marBottom w:val="0"/>
              <w:divBdr>
                <w:top w:val="none" w:sz="0" w:space="0" w:color="auto"/>
                <w:left w:val="none" w:sz="0" w:space="0" w:color="auto"/>
                <w:bottom w:val="none" w:sz="0" w:space="0" w:color="auto"/>
                <w:right w:val="none" w:sz="0" w:space="0" w:color="auto"/>
              </w:divBdr>
            </w:div>
          </w:divsChild>
        </w:div>
        <w:div w:id="1448425320">
          <w:marLeft w:val="0"/>
          <w:marRight w:val="0"/>
          <w:marTop w:val="0"/>
          <w:marBottom w:val="0"/>
          <w:divBdr>
            <w:top w:val="none" w:sz="0" w:space="0" w:color="auto"/>
            <w:left w:val="none" w:sz="0" w:space="0" w:color="auto"/>
            <w:bottom w:val="none" w:sz="0" w:space="0" w:color="auto"/>
            <w:right w:val="none" w:sz="0" w:space="0" w:color="auto"/>
          </w:divBdr>
          <w:divsChild>
            <w:div w:id="201096927">
              <w:marLeft w:val="0"/>
              <w:marRight w:val="0"/>
              <w:marTop w:val="0"/>
              <w:marBottom w:val="0"/>
              <w:divBdr>
                <w:top w:val="none" w:sz="0" w:space="0" w:color="auto"/>
                <w:left w:val="none" w:sz="0" w:space="0" w:color="auto"/>
                <w:bottom w:val="none" w:sz="0" w:space="0" w:color="auto"/>
                <w:right w:val="none" w:sz="0" w:space="0" w:color="auto"/>
              </w:divBdr>
            </w:div>
          </w:divsChild>
        </w:div>
        <w:div w:id="854928837">
          <w:marLeft w:val="0"/>
          <w:marRight w:val="0"/>
          <w:marTop w:val="0"/>
          <w:marBottom w:val="0"/>
          <w:divBdr>
            <w:top w:val="none" w:sz="0" w:space="0" w:color="auto"/>
            <w:left w:val="none" w:sz="0" w:space="0" w:color="auto"/>
            <w:bottom w:val="none" w:sz="0" w:space="0" w:color="auto"/>
            <w:right w:val="none" w:sz="0" w:space="0" w:color="auto"/>
          </w:divBdr>
          <w:divsChild>
            <w:div w:id="6324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81294">
      <w:bodyDiv w:val="1"/>
      <w:marLeft w:val="0"/>
      <w:marRight w:val="0"/>
      <w:marTop w:val="0"/>
      <w:marBottom w:val="0"/>
      <w:divBdr>
        <w:top w:val="none" w:sz="0" w:space="0" w:color="auto"/>
        <w:left w:val="none" w:sz="0" w:space="0" w:color="auto"/>
        <w:bottom w:val="none" w:sz="0" w:space="0" w:color="auto"/>
        <w:right w:val="none" w:sz="0" w:space="0" w:color="auto"/>
      </w:divBdr>
    </w:div>
    <w:div w:id="171507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2042319117&amp;pubNum=0001016&amp;originatingDoc=IFE8B963048B611EA98809EEA4A2A0EBC&amp;refType=CA&amp;originationContext=document&amp;transitionType=DocumentItem&amp;contextData=(sc.Sear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ED74F-1F0E-4ABD-B030-6173F5D1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5529</Words>
  <Characters>31439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36895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creator>Laurel L Wilkinson</dc:creator>
  <cp:lastModifiedBy>Cathy Williams</cp:lastModifiedBy>
  <cp:revision>4</cp:revision>
  <cp:lastPrinted>2017-05-10T18:37:00Z</cp:lastPrinted>
  <dcterms:created xsi:type="dcterms:W3CDTF">2020-06-02T18:59:00Z</dcterms:created>
  <dcterms:modified xsi:type="dcterms:W3CDTF">2020-06-02T19:01:00Z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840460680</vt:i4>
  </property>
  <property fmtid="{D5CDD505-2E9C-101B-9397-08002B2CF9AE}" pid="3" name="_EmailEntryID">
    <vt:lpwstr>00000000D3E47BBA5FBDF04B834CA7A964169ECD0700BF17D4F30776D441B05165F92C68ACD10000006957A100004F0FAB3BD80F9C4EA82FA2CBE141953B000000D5DF320000</vt:lpwstr>
  </property>
  <property fmtid="{D5CDD505-2E9C-101B-9397-08002B2CF9AE}" pid="4" name="_EmailStoreID0">
    <vt:lpwstr>0000000038A1BB1005E5101AA1BB08002B2A56C20000454D534D44422E444C4C00000000000000001B55FA20AA6611CD9BC800AA002FC45A0C0000005032505843415356312E6663636E65742E77696E2E6663632E676F76002F6F3D4643432F6F753D46697273742041646D696E6973747261746976652047726F75702F636</vt:lpwstr>
  </property>
  <property fmtid="{D5CDD505-2E9C-101B-9397-08002B2CF9AE}" pid="5" name="_EmailStoreID1">
    <vt:lpwstr>E3D526563697069656E74732F636E3D43617468792E57696C6C69616D7300</vt:lpwstr>
  </property>
  <property fmtid="{D5CDD505-2E9C-101B-9397-08002B2CF9AE}" pid="6" name="_ReviewingToolsShownOnce">
    <vt:lpwstr/>
  </property>
</Properties>
</file>