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4A29" w:rsidRDefault="00A44A29" w14:paraId="1DEB9159" w14:textId="77777777">
      <w:pPr>
        <w:suppressAutoHyphens/>
        <w:jc w:val="center"/>
        <w:rPr>
          <w:rFonts w:ascii="Times New Roman" w:hAnsi="Times New Roman"/>
          <w:b/>
          <w:spacing w:val="-3"/>
        </w:rPr>
      </w:pPr>
      <w:bookmarkStart w:name="_GoBack" w:id="0"/>
      <w:bookmarkEnd w:id="0"/>
    </w:p>
    <w:p w:rsidR="0079396B" w:rsidRDefault="0079396B" w14:paraId="7133D2AE" w14:textId="77777777">
      <w:pPr>
        <w:suppressAutoHyphens/>
        <w:jc w:val="center"/>
        <w:rPr>
          <w:rFonts w:ascii="Times New Roman" w:hAnsi="Times New Roman"/>
          <w:b/>
          <w:spacing w:val="-3"/>
        </w:rPr>
      </w:pPr>
      <w:r>
        <w:rPr>
          <w:rFonts w:ascii="Times New Roman" w:hAnsi="Times New Roman"/>
          <w:b/>
          <w:spacing w:val="-3"/>
        </w:rPr>
        <w:t>SUPPORTING STATEMENT</w:t>
      </w:r>
    </w:p>
    <w:p w:rsidR="00A44A29" w:rsidRDefault="00A44A29" w14:paraId="6C2644C2" w14:textId="77777777">
      <w:pPr>
        <w:suppressAutoHyphens/>
        <w:jc w:val="center"/>
        <w:rPr>
          <w:rFonts w:ascii="Times New Roman" w:hAnsi="Times New Roman"/>
          <w:b/>
          <w:spacing w:val="-3"/>
        </w:rPr>
      </w:pPr>
    </w:p>
    <w:p w:rsidR="0079396B" w:rsidP="00F711B6" w:rsidRDefault="0079396B" w14:paraId="1328C7E1" w14:textId="77777777">
      <w:pPr>
        <w:numPr>
          <w:ilvl w:val="0"/>
          <w:numId w:val="5"/>
        </w:numPr>
        <w:suppressAutoHyphens/>
        <w:rPr>
          <w:rFonts w:ascii="Times New Roman" w:hAnsi="Times New Roman"/>
          <w:b/>
          <w:spacing w:val="-3"/>
        </w:rPr>
      </w:pPr>
      <w:r>
        <w:rPr>
          <w:rFonts w:ascii="Times New Roman" w:hAnsi="Times New Roman"/>
          <w:b/>
          <w:spacing w:val="-3"/>
        </w:rPr>
        <w:t>Justification:</w:t>
      </w:r>
    </w:p>
    <w:p w:rsidR="0079396B" w:rsidRDefault="0079396B" w14:paraId="1E88D0E4" w14:textId="77777777">
      <w:pPr>
        <w:suppressAutoHyphens/>
        <w:rPr>
          <w:rFonts w:ascii="Times New Roman" w:hAnsi="Times New Roman"/>
          <w:spacing w:val="-3"/>
        </w:rPr>
      </w:pPr>
      <w:r>
        <w:rPr>
          <w:rFonts w:ascii="Times New Roman" w:hAnsi="Times New Roman"/>
          <w:spacing w:val="-3"/>
        </w:rPr>
        <w:t xml:space="preserve"> </w:t>
      </w:r>
    </w:p>
    <w:p w:rsidR="00AF6572" w:rsidP="00F711B6" w:rsidRDefault="0079396B" w14:paraId="01C27F9E" w14:textId="77777777">
      <w:pPr>
        <w:suppressAutoHyphens/>
        <w:rPr>
          <w:rFonts w:ascii="Times New Roman" w:hAnsi="Times New Roman"/>
          <w:spacing w:val="-3"/>
        </w:rPr>
      </w:pPr>
      <w:r>
        <w:rPr>
          <w:rFonts w:ascii="Times New Roman" w:hAnsi="Times New Roman"/>
          <w:spacing w:val="-3"/>
        </w:rPr>
        <w:t xml:space="preserve">The FCC Form </w:t>
      </w:r>
      <w:r w:rsidR="00515B09">
        <w:rPr>
          <w:rFonts w:ascii="Times New Roman" w:hAnsi="Times New Roman"/>
          <w:spacing w:val="-3"/>
        </w:rPr>
        <w:t>2100, Schedule F</w:t>
      </w:r>
      <w:r>
        <w:rPr>
          <w:rFonts w:ascii="Times New Roman" w:hAnsi="Times New Roman"/>
          <w:spacing w:val="-3"/>
        </w:rPr>
        <w:t xml:space="preserve"> is used by L</w:t>
      </w:r>
      <w:r w:rsidR="00D44216">
        <w:rPr>
          <w:rFonts w:ascii="Times New Roman" w:hAnsi="Times New Roman"/>
          <w:spacing w:val="-3"/>
        </w:rPr>
        <w:t xml:space="preserve">ow </w:t>
      </w:r>
      <w:r>
        <w:rPr>
          <w:rFonts w:ascii="Times New Roman" w:hAnsi="Times New Roman"/>
          <w:spacing w:val="-3"/>
        </w:rPr>
        <w:t>P</w:t>
      </w:r>
      <w:r w:rsidR="00D44216">
        <w:rPr>
          <w:rFonts w:ascii="Times New Roman" w:hAnsi="Times New Roman"/>
          <w:spacing w:val="-3"/>
        </w:rPr>
        <w:t xml:space="preserve">ower </w:t>
      </w:r>
      <w:r>
        <w:rPr>
          <w:rFonts w:ascii="Times New Roman" w:hAnsi="Times New Roman"/>
          <w:spacing w:val="-3"/>
        </w:rPr>
        <w:t xml:space="preserve">TV </w:t>
      </w:r>
      <w:r w:rsidR="00D44216">
        <w:rPr>
          <w:rFonts w:ascii="Times New Roman" w:hAnsi="Times New Roman"/>
          <w:spacing w:val="-3"/>
        </w:rPr>
        <w:t xml:space="preserve">(LPTV) </w:t>
      </w:r>
      <w:r>
        <w:rPr>
          <w:rFonts w:ascii="Times New Roman" w:hAnsi="Times New Roman"/>
          <w:spacing w:val="-3"/>
        </w:rPr>
        <w:t xml:space="preserve">stations that seek to </w:t>
      </w:r>
    </w:p>
    <w:p w:rsidR="00AF6572" w:rsidP="00AF6572" w:rsidRDefault="0079396B" w14:paraId="1DA67A23" w14:textId="77777777">
      <w:pPr>
        <w:suppressAutoHyphens/>
        <w:rPr>
          <w:rFonts w:ascii="Times New Roman" w:hAnsi="Times New Roman"/>
          <w:spacing w:val="-3"/>
        </w:rPr>
      </w:pPr>
      <w:r>
        <w:rPr>
          <w:rFonts w:ascii="Times New Roman" w:hAnsi="Times New Roman"/>
          <w:spacing w:val="-3"/>
        </w:rPr>
        <w:t>convert to Class A status</w:t>
      </w:r>
      <w:r w:rsidR="00900ABE">
        <w:rPr>
          <w:rFonts w:ascii="Times New Roman" w:hAnsi="Times New Roman"/>
          <w:spacing w:val="-3"/>
        </w:rPr>
        <w:t xml:space="preserve">; </w:t>
      </w:r>
      <w:r>
        <w:rPr>
          <w:rFonts w:ascii="Times New Roman" w:hAnsi="Times New Roman"/>
          <w:spacing w:val="-3"/>
        </w:rPr>
        <w:t xml:space="preserve">existing Class A stations </w:t>
      </w:r>
      <w:r w:rsidR="009B5C8A">
        <w:rPr>
          <w:rFonts w:ascii="Times New Roman" w:hAnsi="Times New Roman"/>
          <w:spacing w:val="-3"/>
        </w:rPr>
        <w:t>seeking a</w:t>
      </w:r>
      <w:r>
        <w:rPr>
          <w:rFonts w:ascii="Times New Roman" w:hAnsi="Times New Roman"/>
          <w:spacing w:val="-3"/>
        </w:rPr>
        <w:t xml:space="preserve"> license to cover </w:t>
      </w:r>
      <w:r w:rsidR="00AF6572">
        <w:rPr>
          <w:rFonts w:ascii="Times New Roman" w:hAnsi="Times New Roman"/>
          <w:spacing w:val="-3"/>
        </w:rPr>
        <w:t>their authorized</w:t>
      </w:r>
    </w:p>
    <w:p w:rsidR="00AF6572" w:rsidP="00AF6572" w:rsidRDefault="0079396B" w14:paraId="16A84ADD" w14:textId="77777777">
      <w:pPr>
        <w:suppressAutoHyphens/>
        <w:rPr>
          <w:rFonts w:ascii="Times New Roman" w:hAnsi="Times New Roman"/>
          <w:spacing w:val="-3"/>
        </w:rPr>
      </w:pPr>
      <w:r>
        <w:rPr>
          <w:rFonts w:ascii="Times New Roman" w:hAnsi="Times New Roman"/>
          <w:spacing w:val="-3"/>
        </w:rPr>
        <w:t>construction permit</w:t>
      </w:r>
      <w:r w:rsidR="009B5C8A">
        <w:rPr>
          <w:rFonts w:ascii="Times New Roman" w:hAnsi="Times New Roman"/>
          <w:spacing w:val="-3"/>
        </w:rPr>
        <w:t xml:space="preserve"> facilities</w:t>
      </w:r>
      <w:r w:rsidR="00900ABE">
        <w:rPr>
          <w:rFonts w:ascii="Times New Roman" w:hAnsi="Times New Roman"/>
          <w:spacing w:val="-3"/>
        </w:rPr>
        <w:t>; and Class A stations entering into a channel sharing agreement</w:t>
      </w:r>
      <w:r>
        <w:rPr>
          <w:rFonts w:ascii="Times New Roman" w:hAnsi="Times New Roman"/>
          <w:spacing w:val="-3"/>
        </w:rPr>
        <w:t xml:space="preserve">.  </w:t>
      </w:r>
      <w:r w:rsidR="00AF6572">
        <w:rPr>
          <w:rFonts w:ascii="Times New Roman" w:hAnsi="Times New Roman"/>
          <w:spacing w:val="-3"/>
        </w:rPr>
        <w:t xml:space="preserve">The FCC Form 2100, Schedule F requires a series of certifications by the Class A applicant as prescribed by the </w:t>
      </w:r>
      <w:r w:rsidR="00AF6572">
        <w:rPr>
          <w:rFonts w:ascii="Times New Roman" w:hAnsi="Times New Roman"/>
        </w:rPr>
        <w:t>Community Broadcasters Protection Act of 1999 (</w:t>
      </w:r>
      <w:r w:rsidR="00AF6572">
        <w:rPr>
          <w:rFonts w:ascii="Times New Roman" w:hAnsi="Times New Roman"/>
          <w:spacing w:val="-3"/>
        </w:rPr>
        <w:t xml:space="preserve">CBPA).  Licensees will be required to provide weekly announcements to their listeners: (1) informing them that the applicant has applied for a Class A license and (2) announcing the public’s opportunity to comment on the application prior to Commission action.  </w:t>
      </w:r>
    </w:p>
    <w:p w:rsidR="00AF6572" w:rsidP="00AF6572" w:rsidRDefault="00AF6572" w14:paraId="514CC8F7" w14:textId="77777777">
      <w:pPr>
        <w:suppressAutoHyphens/>
        <w:rPr>
          <w:rFonts w:ascii="Times New Roman" w:hAnsi="Times New Roman"/>
          <w:spacing w:val="-3"/>
        </w:rPr>
      </w:pPr>
    </w:p>
    <w:p w:rsidR="00D163A2" w:rsidP="002A5AF3" w:rsidRDefault="00437D32" w14:paraId="09C68CEB" w14:textId="77777777">
      <w:pPr>
        <w:suppressAutoHyphens/>
        <w:rPr>
          <w:rFonts w:ascii="Times New Roman" w:hAnsi="Times New Roman"/>
          <w:spacing w:val="-3"/>
        </w:rPr>
      </w:pPr>
      <w:r w:rsidRPr="00437D32">
        <w:rPr>
          <w:rFonts w:ascii="Times New Roman" w:hAnsi="Times New Roman"/>
          <w:b/>
          <w:bCs/>
          <w:spacing w:val="-3"/>
          <w:u w:val="single"/>
        </w:rPr>
        <w:t>Information Collection Requirements</w:t>
      </w:r>
      <w:r>
        <w:rPr>
          <w:rFonts w:ascii="Times New Roman" w:hAnsi="Times New Roman"/>
          <w:spacing w:val="-3"/>
        </w:rPr>
        <w:t>:</w:t>
      </w:r>
    </w:p>
    <w:p w:rsidR="00437D32" w:rsidP="002A5AF3" w:rsidRDefault="00437D32" w14:paraId="2118B70A" w14:textId="77777777">
      <w:pPr>
        <w:suppressAutoHyphens/>
        <w:rPr>
          <w:rFonts w:ascii="Times New Roman" w:hAnsi="Times New Roman"/>
          <w:spacing w:val="-3"/>
        </w:rPr>
      </w:pPr>
    </w:p>
    <w:p w:rsidRPr="00B21BC8" w:rsidR="00D163A2" w:rsidP="002A5AF3" w:rsidRDefault="00D163A2" w14:paraId="4C32BFCB" w14:textId="77777777">
      <w:pPr>
        <w:suppressAutoHyphens/>
        <w:rPr>
          <w:rFonts w:ascii="Times New Roman" w:hAnsi="Times New Roman"/>
          <w:spacing w:val="-3"/>
        </w:rPr>
      </w:pPr>
      <w:r>
        <w:rPr>
          <w:rFonts w:ascii="Times New Roman" w:hAnsi="Times New Roman"/>
          <w:b/>
          <w:spacing w:val="-3"/>
        </w:rPr>
        <w:t xml:space="preserve">Section </w:t>
      </w:r>
      <w:r w:rsidRPr="00D163A2">
        <w:rPr>
          <w:rFonts w:ascii="Times New Roman" w:hAnsi="Times New Roman"/>
          <w:b/>
          <w:spacing w:val="-3"/>
        </w:rPr>
        <w:t xml:space="preserve">73.6028 </w:t>
      </w:r>
      <w:r w:rsidRPr="00B21BC8">
        <w:rPr>
          <w:rFonts w:ascii="Times New Roman" w:hAnsi="Times New Roman"/>
          <w:spacing w:val="-3"/>
        </w:rPr>
        <w:t xml:space="preserve">permits </w:t>
      </w:r>
      <w:r>
        <w:rPr>
          <w:rFonts w:ascii="Times New Roman" w:hAnsi="Times New Roman"/>
          <w:spacing w:val="-3"/>
        </w:rPr>
        <w:t xml:space="preserve">Class A </w:t>
      </w:r>
      <w:r w:rsidRPr="00B21BC8">
        <w:rPr>
          <w:rFonts w:ascii="Times New Roman" w:hAnsi="Times New Roman"/>
          <w:spacing w:val="-3"/>
        </w:rPr>
        <w:t>stations to seek approval to share a single television channel with LPTV</w:t>
      </w:r>
      <w:r>
        <w:rPr>
          <w:rFonts w:ascii="Times New Roman" w:hAnsi="Times New Roman"/>
          <w:spacing w:val="-3"/>
        </w:rPr>
        <w:t xml:space="preserve">, </w:t>
      </w:r>
      <w:r w:rsidRPr="00B21BC8">
        <w:rPr>
          <w:rFonts w:ascii="Times New Roman" w:hAnsi="Times New Roman"/>
          <w:spacing w:val="-3"/>
        </w:rPr>
        <w:t>TV translator</w:t>
      </w:r>
      <w:r>
        <w:rPr>
          <w:rFonts w:ascii="Times New Roman" w:hAnsi="Times New Roman"/>
          <w:spacing w:val="-3"/>
        </w:rPr>
        <w:t xml:space="preserve">, </w:t>
      </w:r>
      <w:r w:rsidRPr="00B21BC8">
        <w:rPr>
          <w:rFonts w:ascii="Times New Roman" w:hAnsi="Times New Roman"/>
          <w:spacing w:val="-3"/>
        </w:rPr>
        <w:t xml:space="preserve">full power and Class A </w:t>
      </w:r>
      <w:r>
        <w:rPr>
          <w:rFonts w:ascii="Times New Roman" w:hAnsi="Times New Roman"/>
          <w:spacing w:val="-3"/>
        </w:rPr>
        <w:t xml:space="preserve">television </w:t>
      </w:r>
      <w:r w:rsidRPr="00B21BC8">
        <w:rPr>
          <w:rFonts w:ascii="Times New Roman" w:hAnsi="Times New Roman"/>
          <w:spacing w:val="-3"/>
        </w:rPr>
        <w:t xml:space="preserve">stations.  </w:t>
      </w:r>
      <w:r>
        <w:rPr>
          <w:rFonts w:ascii="Times New Roman" w:hAnsi="Times New Roman"/>
          <w:spacing w:val="-3"/>
        </w:rPr>
        <w:t>Class A s</w:t>
      </w:r>
      <w:r w:rsidRPr="00B21BC8">
        <w:rPr>
          <w:rFonts w:ascii="Times New Roman" w:hAnsi="Times New Roman"/>
          <w:spacing w:val="-3"/>
        </w:rPr>
        <w:t>tations interested in terminating operations and sharing another station’s channel must submit FCC Form 2100 Schedule F in order to complete the licensing of their channel sharing arrangement.</w:t>
      </w:r>
    </w:p>
    <w:p w:rsidR="00C1479E" w:rsidP="002A5AF3" w:rsidRDefault="00C1479E" w14:paraId="51F49B52" w14:textId="77777777">
      <w:pPr>
        <w:suppressAutoHyphens/>
        <w:rPr>
          <w:rFonts w:ascii="Times New Roman" w:hAnsi="Times New Roman"/>
          <w:spacing w:val="-3"/>
        </w:rPr>
      </w:pPr>
    </w:p>
    <w:p w:rsidR="00D163A2" w:rsidP="00D163A2" w:rsidRDefault="00D163A2" w14:paraId="2FF78B0E" w14:textId="77777777">
      <w:pPr>
        <w:suppressAutoHyphens/>
        <w:rPr>
          <w:rFonts w:ascii="Times New Roman" w:hAnsi="Times New Roman"/>
          <w:spacing w:val="-3"/>
        </w:rPr>
      </w:pPr>
      <w:r w:rsidRPr="002A5AF3">
        <w:rPr>
          <w:rFonts w:ascii="Times New Roman" w:hAnsi="Times New Roman"/>
          <w:b/>
          <w:spacing w:val="-3"/>
        </w:rPr>
        <w:t>Section 73.3700(b)(3)</w:t>
      </w:r>
      <w:r w:rsidRPr="00AF6572">
        <w:rPr>
          <w:rFonts w:ascii="Times New Roman" w:hAnsi="Times New Roman"/>
          <w:spacing w:val="-3"/>
        </w:rPr>
        <w:t xml:space="preserve"> requires the licensee of each channel sharee station and channel sharer station to file an application for a license for the shared channel using FCC Form 2100 Schedule B (for a full power station) or F (for a Class A station) within </w:t>
      </w:r>
      <w:r>
        <w:rPr>
          <w:rFonts w:ascii="Times New Roman" w:hAnsi="Times New Roman"/>
          <w:spacing w:val="-3"/>
        </w:rPr>
        <w:t>six</w:t>
      </w:r>
      <w:r w:rsidRPr="00AF6572">
        <w:rPr>
          <w:rFonts w:ascii="Times New Roman" w:hAnsi="Times New Roman"/>
          <w:spacing w:val="-3"/>
        </w:rPr>
        <w:t xml:space="preserve"> months of the date that the channel sharee station licensee receives its incentive payment pursuant to section 6403(a)(1) of </w:t>
      </w:r>
      <w:r w:rsidRPr="00AF6572">
        <w:rPr>
          <w:rFonts w:ascii="Times New Roman" w:hAnsi="Times New Roman"/>
          <w:iCs/>
          <w:spacing w:val="-3"/>
        </w:rPr>
        <w:t xml:space="preserve">the </w:t>
      </w:r>
      <w:r w:rsidRPr="00AF6572">
        <w:rPr>
          <w:rFonts w:ascii="Times New Roman" w:hAnsi="Times New Roman"/>
          <w:iCs/>
          <w:spacing w:val="-3"/>
          <w:u w:val="single"/>
        </w:rPr>
        <w:t>Spectrum Act</w:t>
      </w:r>
      <w:r w:rsidRPr="00AF6572">
        <w:rPr>
          <w:rFonts w:ascii="Times New Roman" w:hAnsi="Times New Roman"/>
          <w:i/>
          <w:spacing w:val="-3"/>
        </w:rPr>
        <w:t>.</w:t>
      </w:r>
    </w:p>
    <w:p w:rsidRPr="002A5AF3" w:rsidR="00D163A2" w:rsidP="00D163A2" w:rsidRDefault="00D163A2" w14:paraId="469E7200" w14:textId="77777777">
      <w:pPr>
        <w:suppressAutoHyphens/>
        <w:rPr>
          <w:rFonts w:ascii="Times New Roman" w:hAnsi="Times New Roman"/>
          <w:spacing w:val="-3"/>
        </w:rPr>
      </w:pPr>
    </w:p>
    <w:p w:rsidRPr="00AF6572" w:rsidR="00D163A2" w:rsidP="00D163A2" w:rsidRDefault="00D163A2" w14:paraId="478842A4" w14:textId="77777777">
      <w:pPr>
        <w:suppressAutoHyphens/>
        <w:rPr>
          <w:rFonts w:ascii="Times New Roman" w:hAnsi="Times New Roman"/>
          <w:spacing w:val="-3"/>
        </w:rPr>
      </w:pPr>
      <w:r w:rsidRPr="002A5AF3">
        <w:rPr>
          <w:rFonts w:ascii="Times New Roman" w:hAnsi="Times New Roman"/>
          <w:b/>
          <w:spacing w:val="-3"/>
        </w:rPr>
        <w:t>Section 73.3700(h)(2)</w:t>
      </w:r>
      <w:r w:rsidRPr="00AF6572">
        <w:rPr>
          <w:rFonts w:ascii="Times New Roman" w:hAnsi="Times New Roman"/>
          <w:spacing w:val="-3"/>
        </w:rPr>
        <w:t xml:space="preserve"> states that, upon termination of the license of a party to </w:t>
      </w:r>
      <w:r w:rsidRPr="00D17E35">
        <w:rPr>
          <w:rFonts w:ascii="Times New Roman" w:hAnsi="Times New Roman"/>
          <w:spacing w:val="-3"/>
          <w:szCs w:val="24"/>
        </w:rPr>
        <w:t xml:space="preserve">a </w:t>
      </w:r>
      <w:r>
        <w:rPr>
          <w:rFonts w:ascii="Times New Roman" w:hAnsi="Times New Roman"/>
          <w:spacing w:val="-3"/>
          <w:szCs w:val="24"/>
        </w:rPr>
        <w:t>c</w:t>
      </w:r>
      <w:r w:rsidRPr="00D17E35">
        <w:rPr>
          <w:rFonts w:ascii="Times New Roman" w:hAnsi="Times New Roman"/>
          <w:snapToGrid/>
          <w:szCs w:val="24"/>
        </w:rPr>
        <w:t>hannel sharing assignees (</w:t>
      </w:r>
      <w:r w:rsidRPr="00D17E35">
        <w:rPr>
          <w:rFonts w:ascii="Times New Roman" w:hAnsi="Times New Roman"/>
          <w:spacing w:val="-3"/>
          <w:szCs w:val="24"/>
        </w:rPr>
        <w:t>CSA), the spectrum usage rights covered by that license may revert t</w:t>
      </w:r>
      <w:r w:rsidRPr="00AF6572">
        <w:rPr>
          <w:rFonts w:ascii="Times New Roman" w:hAnsi="Times New Roman"/>
          <w:spacing w:val="-3"/>
        </w:rPr>
        <w:t xml:space="preserve">o the remaining parties to the CSA.  Such reversion shall be governed by the terms of the CSA in accordance with </w:t>
      </w:r>
      <w:r>
        <w:rPr>
          <w:rFonts w:ascii="Times New Roman" w:hAnsi="Times New Roman"/>
          <w:spacing w:val="-3"/>
        </w:rPr>
        <w:t>47 C.F.R. § 73.3700</w:t>
      </w:r>
      <w:r w:rsidRPr="00AF6572">
        <w:rPr>
          <w:rFonts w:ascii="Times New Roman" w:hAnsi="Times New Roman"/>
          <w:spacing w:val="-3"/>
        </w:rPr>
        <w:t xml:space="preserve">(h)(4)(E).  If upon termination of the license of a party to a CSA only one party to the CSA remains, the remaining licensee may file an application to change its license to non-shared status using FCC Form 2100, Schedule B (for a full power licensee) or F (for a Class A licensee).  </w:t>
      </w:r>
    </w:p>
    <w:p w:rsidR="00D163A2" w:rsidP="00D163A2" w:rsidRDefault="00D163A2" w14:paraId="517162D9" w14:textId="77777777">
      <w:pPr>
        <w:suppressAutoHyphens/>
        <w:rPr>
          <w:rFonts w:ascii="Times New Roman" w:hAnsi="Times New Roman"/>
          <w:spacing w:val="-3"/>
        </w:rPr>
      </w:pPr>
    </w:p>
    <w:p w:rsidRPr="00974ADD" w:rsidR="00974ADD" w:rsidP="002D7FFA" w:rsidRDefault="00974ADD" w14:paraId="05E9ED70" w14:textId="77777777">
      <w:pPr>
        <w:autoSpaceDE w:val="0"/>
        <w:autoSpaceDN w:val="0"/>
        <w:adjustRightInd w:val="0"/>
        <w:rPr>
          <w:rFonts w:ascii="Times New Roman" w:hAnsi="Times New Roman"/>
          <w:color w:val="000000"/>
          <w:szCs w:val="24"/>
        </w:rPr>
      </w:pPr>
      <w:r w:rsidRPr="00DC18EE">
        <w:rPr>
          <w:rFonts w:ascii="Times New Roman" w:hAnsi="Times New Roman"/>
          <w:b/>
          <w:bCs/>
          <w:color w:val="000000"/>
          <w:szCs w:val="24"/>
        </w:rPr>
        <w:t>Section 73.3572(h)</w:t>
      </w:r>
      <w:r w:rsidRPr="002D7FFA">
        <w:rPr>
          <w:rFonts w:ascii="Times New Roman" w:hAnsi="Times New Roman"/>
          <w:color w:val="000000"/>
          <w:szCs w:val="24"/>
        </w:rPr>
        <w:t xml:space="preserve"> - Class A TV station licensees shall file a license application for either the flash cut channel or the digital companion channel they choose to retain for post-transition digital operations. Class A TV stations will retain primary, protected regulatory status on their desired post-transition digital channel. Class A TV applicants must certify that their proposed post-transition digital facilities meet all Class A TV interference protection requirements.</w:t>
      </w:r>
    </w:p>
    <w:p w:rsidR="00974ADD" w:rsidP="002D7FFA" w:rsidRDefault="00974ADD" w14:paraId="7A46838D" w14:textId="77777777">
      <w:pPr>
        <w:suppressAutoHyphens/>
        <w:jc w:val="both"/>
        <w:rPr>
          <w:rFonts w:ascii="Times New Roman" w:hAnsi="Times New Roman"/>
          <w:szCs w:val="24"/>
        </w:rPr>
      </w:pPr>
    </w:p>
    <w:p w:rsidR="00437D32" w:rsidP="002D7FFA" w:rsidRDefault="00437D32" w14:paraId="7E31BC51" w14:textId="77777777">
      <w:pPr>
        <w:suppressAutoHyphens/>
        <w:jc w:val="both"/>
        <w:rPr>
          <w:rFonts w:ascii="Times New Roman" w:hAnsi="Times New Roman"/>
          <w:szCs w:val="24"/>
        </w:rPr>
      </w:pPr>
    </w:p>
    <w:p w:rsidRPr="008A7728" w:rsidR="00437D32" w:rsidP="002D7FFA" w:rsidRDefault="00437D32" w14:paraId="5512789E" w14:textId="77777777">
      <w:pPr>
        <w:suppressAutoHyphens/>
        <w:jc w:val="both"/>
        <w:rPr>
          <w:rFonts w:ascii="Times New Roman" w:hAnsi="Times New Roman"/>
          <w:szCs w:val="24"/>
        </w:rPr>
      </w:pPr>
    </w:p>
    <w:p w:rsidRPr="006F6BE4" w:rsidR="00766E5F" w:rsidP="00766E5F" w:rsidRDefault="00F73EE2" w14:paraId="40AA35B7" w14:textId="77777777">
      <w:pPr>
        <w:shd w:val="clear" w:color="auto" w:fill="FFFFFF"/>
        <w:suppressAutoHyphens/>
        <w:rPr>
          <w:rFonts w:ascii="Times New Roman" w:hAnsi="Times New Roman"/>
          <w:spacing w:val="-3"/>
          <w:shd w:val="clear" w:color="auto" w:fill="FFFFFF"/>
        </w:rPr>
      </w:pPr>
      <w:r>
        <w:rPr>
          <w:rFonts w:ascii="Times New Roman" w:hAnsi="Times New Roman"/>
          <w:spacing w:val="-3"/>
          <w:shd w:val="clear" w:color="auto" w:fill="FFFFFF"/>
        </w:rPr>
        <w:t>T</w:t>
      </w:r>
      <w:r w:rsidRPr="006F6BE4" w:rsidR="00766E5F">
        <w:rPr>
          <w:rFonts w:ascii="Times New Roman" w:hAnsi="Times New Roman"/>
          <w:spacing w:val="-3"/>
          <w:shd w:val="clear" w:color="auto" w:fill="FFFFFF"/>
        </w:rPr>
        <w:t>his information collection does not affect individuals, thus there are no impacts under the Privacy Act.</w:t>
      </w:r>
    </w:p>
    <w:p w:rsidR="00515B09" w:rsidRDefault="00515B09" w14:paraId="5CDB9208" w14:textId="77777777">
      <w:pPr>
        <w:suppressAutoHyphens/>
        <w:rPr>
          <w:rFonts w:ascii="Times New Roman" w:hAnsi="Times New Roman"/>
          <w:spacing w:val="-3"/>
          <w:shd w:val="clear" w:color="auto" w:fill="FFFFFF"/>
        </w:rPr>
      </w:pPr>
    </w:p>
    <w:p w:rsidR="0079396B" w:rsidRDefault="0079396B" w14:paraId="6E7E33F7" w14:textId="77777777">
      <w:pPr>
        <w:suppressAutoHyphens/>
        <w:rPr>
          <w:rFonts w:ascii="Times New Roman" w:hAnsi="Times New Roman"/>
          <w:spacing w:val="-3"/>
        </w:rPr>
      </w:pPr>
      <w:r>
        <w:rPr>
          <w:rFonts w:ascii="Times New Roman" w:hAnsi="Times New Roman"/>
          <w:spacing w:val="-3"/>
        </w:rPr>
        <w:t>Statutory authority for this collection of information is contained in Sections 154(i), 307, 308, 309,</w:t>
      </w:r>
      <w:r w:rsidR="00437D32">
        <w:rPr>
          <w:rFonts w:ascii="Times New Roman" w:hAnsi="Times New Roman"/>
          <w:spacing w:val="-3"/>
        </w:rPr>
        <w:t xml:space="preserve"> </w:t>
      </w:r>
      <w:r w:rsidR="00515B09">
        <w:rPr>
          <w:rFonts w:ascii="Times New Roman" w:hAnsi="Times New Roman"/>
          <w:spacing w:val="-3"/>
        </w:rPr>
        <w:t>a</w:t>
      </w:r>
      <w:r>
        <w:rPr>
          <w:rFonts w:ascii="Times New Roman" w:hAnsi="Times New Roman"/>
          <w:spacing w:val="-3"/>
        </w:rPr>
        <w:t>nd</w:t>
      </w:r>
      <w:r w:rsidR="00515B09">
        <w:rPr>
          <w:rFonts w:ascii="Times New Roman" w:hAnsi="Times New Roman"/>
          <w:spacing w:val="-3"/>
        </w:rPr>
        <w:t xml:space="preserve"> </w:t>
      </w:r>
      <w:r>
        <w:rPr>
          <w:rFonts w:ascii="Times New Roman" w:hAnsi="Times New Roman"/>
          <w:spacing w:val="-3"/>
        </w:rPr>
        <w:t>319 of the Communications Act of 1934, as amended</w:t>
      </w:r>
      <w:r w:rsidR="005A41CA">
        <w:rPr>
          <w:rFonts w:ascii="Times New Roman" w:hAnsi="Times New Roman"/>
          <w:spacing w:val="-3"/>
          <w:szCs w:val="24"/>
        </w:rPr>
        <w:t xml:space="preserve">, </w:t>
      </w:r>
      <w:r w:rsidR="00C1479E">
        <w:rPr>
          <w:rFonts w:ascii="Times New Roman" w:hAnsi="Times New Roman"/>
          <w:spacing w:val="-3"/>
          <w:szCs w:val="24"/>
        </w:rPr>
        <w:t xml:space="preserve">the Community Broadcasters Protection Act of 1999, </w:t>
      </w:r>
      <w:r w:rsidR="005A41CA">
        <w:rPr>
          <w:rFonts w:ascii="Times New Roman" w:hAnsi="Times New Roman"/>
          <w:spacing w:val="-3"/>
          <w:szCs w:val="24"/>
        </w:rPr>
        <w:t xml:space="preserve">and </w:t>
      </w:r>
      <w:r w:rsidRPr="00DD0E43" w:rsidR="005A41CA">
        <w:rPr>
          <w:rFonts w:ascii="Times New Roman" w:hAnsi="Times New Roman"/>
          <w:spacing w:val="-3"/>
          <w:szCs w:val="24"/>
        </w:rPr>
        <w:t xml:space="preserve">the </w:t>
      </w:r>
      <w:proofErr w:type="gramStart"/>
      <w:r w:rsidRPr="00DD0E43" w:rsidR="005A41CA">
        <w:rPr>
          <w:rFonts w:ascii="Times New Roman" w:hAnsi="Times New Roman"/>
          <w:spacing w:val="-3"/>
          <w:szCs w:val="24"/>
        </w:rPr>
        <w:t>Middle</w:t>
      </w:r>
      <w:r w:rsidR="00437D32">
        <w:rPr>
          <w:rFonts w:ascii="Times New Roman" w:hAnsi="Times New Roman"/>
          <w:spacing w:val="-3"/>
          <w:szCs w:val="24"/>
        </w:rPr>
        <w:t xml:space="preserve"> </w:t>
      </w:r>
      <w:r w:rsidRPr="00DD0E43" w:rsidR="005A41CA">
        <w:rPr>
          <w:rFonts w:ascii="Times New Roman" w:hAnsi="Times New Roman"/>
          <w:spacing w:val="-3"/>
          <w:szCs w:val="24"/>
        </w:rPr>
        <w:t>Class</w:t>
      </w:r>
      <w:proofErr w:type="gramEnd"/>
      <w:r w:rsidRPr="00DD0E43" w:rsidR="005A41CA">
        <w:rPr>
          <w:rFonts w:ascii="Times New Roman" w:hAnsi="Times New Roman"/>
          <w:spacing w:val="-3"/>
          <w:szCs w:val="24"/>
        </w:rPr>
        <w:t xml:space="preserve"> Tax Relief and Job Creation Act of 2012</w:t>
      </w:r>
      <w:r w:rsidR="00974ADD">
        <w:rPr>
          <w:rFonts w:ascii="Times New Roman" w:hAnsi="Times New Roman"/>
          <w:spacing w:val="-3"/>
        </w:rPr>
        <w:t>.</w:t>
      </w:r>
      <w:r>
        <w:rPr>
          <w:rFonts w:ascii="Times New Roman" w:hAnsi="Times New Roman"/>
          <w:spacing w:val="-3"/>
        </w:rPr>
        <w:t xml:space="preserve">  </w:t>
      </w:r>
    </w:p>
    <w:p w:rsidR="0079396B" w:rsidP="006F6BE4" w:rsidRDefault="0079396B" w14:paraId="7A9C7C9E" w14:textId="77777777">
      <w:pPr>
        <w:shd w:val="clear" w:color="auto" w:fill="FFFFFF"/>
        <w:suppressAutoHyphens/>
        <w:rPr>
          <w:rFonts w:ascii="Times New Roman" w:hAnsi="Times New Roman"/>
          <w:spacing w:val="-3"/>
        </w:rPr>
      </w:pPr>
    </w:p>
    <w:p w:rsidR="0079396B" w:rsidRDefault="0090799E" w14:paraId="6065BD32" w14:textId="77777777">
      <w:pPr>
        <w:suppressAutoHyphens/>
        <w:rPr>
          <w:rFonts w:ascii="Times New Roman" w:hAnsi="Times New Roman"/>
          <w:spacing w:val="-3"/>
        </w:rPr>
      </w:pPr>
      <w:r>
        <w:rPr>
          <w:rFonts w:ascii="Times New Roman" w:hAnsi="Times New Roman"/>
          <w:spacing w:val="-3"/>
        </w:rPr>
        <w:t>2.  The FCC staff use</w:t>
      </w:r>
      <w:r w:rsidR="0079396B">
        <w:rPr>
          <w:rFonts w:ascii="Times New Roman" w:hAnsi="Times New Roman"/>
          <w:spacing w:val="-3"/>
        </w:rPr>
        <w:t xml:space="preserve"> the data to confirm that the station </w:t>
      </w:r>
      <w:r>
        <w:rPr>
          <w:rFonts w:ascii="Times New Roman" w:hAnsi="Times New Roman"/>
          <w:spacing w:val="-3"/>
        </w:rPr>
        <w:t>meets</w:t>
      </w:r>
      <w:r w:rsidR="0079396B">
        <w:rPr>
          <w:rFonts w:ascii="Times New Roman" w:hAnsi="Times New Roman"/>
          <w:spacing w:val="-3"/>
        </w:rPr>
        <w:t xml:space="preserve"> the eligibility standards to convert their licenses to Class A status.  Data </w:t>
      </w:r>
      <w:r>
        <w:rPr>
          <w:rFonts w:ascii="Times New Roman" w:hAnsi="Times New Roman"/>
          <w:spacing w:val="-3"/>
          <w:shd w:val="clear" w:color="auto" w:fill="FFFFFF"/>
        </w:rPr>
        <w:t>is</w:t>
      </w:r>
      <w:r w:rsidR="0079396B">
        <w:rPr>
          <w:rFonts w:ascii="Times New Roman" w:hAnsi="Times New Roman"/>
          <w:spacing w:val="-3"/>
        </w:rPr>
        <w:t xml:space="preserve"> then extracted from FCC Form </w:t>
      </w:r>
      <w:r w:rsidR="00515B09">
        <w:rPr>
          <w:rFonts w:ascii="Times New Roman" w:hAnsi="Times New Roman"/>
          <w:spacing w:val="-3"/>
        </w:rPr>
        <w:t>2100, Schedule F</w:t>
      </w:r>
      <w:r w:rsidR="0079396B">
        <w:rPr>
          <w:rFonts w:ascii="Times New Roman" w:hAnsi="Times New Roman"/>
          <w:spacing w:val="-3"/>
        </w:rPr>
        <w:t xml:space="preserve"> for inclusion in the subsequent license to operate the station. </w:t>
      </w:r>
    </w:p>
    <w:p w:rsidR="0079396B" w:rsidRDefault="0079396B" w14:paraId="3A18147C" w14:textId="77777777">
      <w:pPr>
        <w:suppressAutoHyphens/>
        <w:rPr>
          <w:rFonts w:ascii="Times New Roman" w:hAnsi="Times New Roman"/>
          <w:spacing w:val="-3"/>
        </w:rPr>
      </w:pPr>
      <w:r>
        <w:rPr>
          <w:rFonts w:ascii="Times New Roman" w:hAnsi="Times New Roman"/>
          <w:spacing w:val="-3"/>
        </w:rPr>
        <w:t xml:space="preserve"> </w:t>
      </w:r>
    </w:p>
    <w:p w:rsidR="0079396B" w:rsidRDefault="0079396B" w14:paraId="48D6B369" w14:textId="77777777">
      <w:pPr>
        <w:suppressAutoHyphens/>
        <w:rPr>
          <w:rFonts w:ascii="Times New Roman" w:hAnsi="Times New Roman"/>
          <w:shd w:val="clear" w:color="auto" w:fill="FFFFFF"/>
        </w:rPr>
      </w:pPr>
      <w:r>
        <w:rPr>
          <w:rFonts w:ascii="Times New Roman" w:hAnsi="Times New Roman"/>
          <w:spacing w:val="-3"/>
        </w:rPr>
        <w:t xml:space="preserve">3.  </w:t>
      </w:r>
      <w:r w:rsidR="009B5F4F">
        <w:rPr>
          <w:rFonts w:ascii="Times New Roman" w:hAnsi="Times New Roman"/>
          <w:spacing w:val="-3"/>
        </w:rPr>
        <w:t xml:space="preserve">Form </w:t>
      </w:r>
      <w:r w:rsidR="00515B09">
        <w:rPr>
          <w:rFonts w:ascii="Times New Roman" w:hAnsi="Times New Roman"/>
          <w:spacing w:val="-3"/>
        </w:rPr>
        <w:t>2100, Schedule F</w:t>
      </w:r>
      <w:r w:rsidR="009B5F4F">
        <w:rPr>
          <w:rFonts w:ascii="Times New Roman" w:hAnsi="Times New Roman"/>
          <w:spacing w:val="-3"/>
        </w:rPr>
        <w:t xml:space="preserve"> must be filed electronically.</w:t>
      </w:r>
      <w:r w:rsidRPr="006F6BE4" w:rsidR="00303D50">
        <w:rPr>
          <w:rFonts w:ascii="Times New Roman" w:hAnsi="Times New Roman"/>
          <w:shd w:val="clear" w:color="auto" w:fill="FFFFFF"/>
        </w:rPr>
        <w:t xml:space="preserve"> </w:t>
      </w:r>
    </w:p>
    <w:p w:rsidR="00D44216" w:rsidRDefault="00D44216" w14:paraId="6FAD9F3B" w14:textId="77777777">
      <w:pPr>
        <w:suppressAutoHyphens/>
      </w:pPr>
    </w:p>
    <w:p w:rsidR="0079396B" w:rsidRDefault="0079396B" w14:paraId="72C27D56" w14:textId="77777777">
      <w:pPr>
        <w:suppressAutoHyphens/>
        <w:rPr>
          <w:rFonts w:ascii="Times New Roman" w:hAnsi="Times New Roman"/>
          <w:spacing w:val="-3"/>
        </w:rPr>
      </w:pPr>
      <w:r>
        <w:rPr>
          <w:rFonts w:ascii="Times New Roman" w:hAnsi="Times New Roman"/>
          <w:spacing w:val="-3"/>
        </w:rPr>
        <w:t xml:space="preserve"> 4.  No other agency imposes a similar information collection on the respondents. There is no similar data available.</w:t>
      </w:r>
    </w:p>
    <w:p w:rsidR="0079396B" w:rsidRDefault="0079396B" w14:paraId="2A4F4374" w14:textId="77777777">
      <w:pPr>
        <w:suppressAutoHyphens/>
        <w:rPr>
          <w:rFonts w:ascii="Times New Roman" w:hAnsi="Times New Roman"/>
          <w:spacing w:val="-3"/>
        </w:rPr>
      </w:pPr>
    </w:p>
    <w:p w:rsidR="0079396B" w:rsidRDefault="0079396B" w14:paraId="3DDB92AE" w14:textId="77777777">
      <w:pPr>
        <w:suppressAutoHyphens/>
        <w:rPr>
          <w:rFonts w:ascii="Times New Roman" w:hAnsi="Times New Roman"/>
          <w:spacing w:val="-3"/>
        </w:rPr>
      </w:pPr>
      <w:r>
        <w:rPr>
          <w:rFonts w:ascii="Times New Roman" w:hAnsi="Times New Roman"/>
          <w:spacing w:val="-3"/>
        </w:rPr>
        <w:t xml:space="preserve">5.  In conformance with the Paperwork Reduction Act of 1995, the Commission is </w:t>
      </w:r>
      <w:proofErr w:type="gramStart"/>
      <w:r>
        <w:rPr>
          <w:rFonts w:ascii="Times New Roman" w:hAnsi="Times New Roman"/>
          <w:spacing w:val="-3"/>
        </w:rPr>
        <w:t>making an effort</w:t>
      </w:r>
      <w:proofErr w:type="gramEnd"/>
      <w:r>
        <w:rPr>
          <w:rFonts w:ascii="Times New Roman" w:hAnsi="Times New Roman"/>
          <w:spacing w:val="-3"/>
        </w:rPr>
        <w:t xml:space="preserve"> to minimize the burden on all respondents.</w:t>
      </w:r>
      <w:r w:rsidR="00F73EE2">
        <w:rPr>
          <w:rFonts w:ascii="Times New Roman" w:hAnsi="Times New Roman"/>
          <w:spacing w:val="-3"/>
        </w:rPr>
        <w:t xml:space="preserve">  Therefore, this collection of information will not have a significant economic impact on a substantial number of small entities/businesses.</w:t>
      </w:r>
    </w:p>
    <w:p w:rsidR="0079396B" w:rsidRDefault="0079396B" w14:paraId="2B96F960" w14:textId="77777777">
      <w:pPr>
        <w:suppressAutoHyphens/>
        <w:rPr>
          <w:rFonts w:ascii="Times New Roman" w:hAnsi="Times New Roman"/>
          <w:spacing w:val="-3"/>
        </w:rPr>
      </w:pPr>
    </w:p>
    <w:p w:rsidR="00B21BC8" w:rsidRDefault="0079396B" w14:paraId="59E99B62" w14:textId="77777777">
      <w:pPr>
        <w:suppressAutoHyphens/>
        <w:rPr>
          <w:rFonts w:ascii="Times New Roman" w:hAnsi="Times New Roman"/>
          <w:spacing w:val="-3"/>
        </w:rPr>
      </w:pPr>
      <w:r>
        <w:rPr>
          <w:rFonts w:ascii="Times New Roman" w:hAnsi="Times New Roman"/>
          <w:spacing w:val="-3"/>
        </w:rPr>
        <w:t xml:space="preserve">6.  </w:t>
      </w:r>
      <w:r w:rsidR="00C1479E">
        <w:rPr>
          <w:rFonts w:ascii="Times New Roman" w:hAnsi="Times New Roman"/>
          <w:spacing w:val="-3"/>
        </w:rPr>
        <w:t>Each licensee of a Class A station</w:t>
      </w:r>
      <w:r w:rsidRPr="00C1479E" w:rsidR="00C1479E">
        <w:rPr>
          <w:rFonts w:ascii="Times New Roman" w:hAnsi="Times New Roman"/>
          <w:spacing w:val="-3"/>
        </w:rPr>
        <w:t xml:space="preserve"> that is reassigned to a new channel following the Incentive Aucti</w:t>
      </w:r>
      <w:r w:rsidR="00C1479E">
        <w:rPr>
          <w:rFonts w:ascii="Times New Roman" w:hAnsi="Times New Roman"/>
          <w:spacing w:val="-3"/>
        </w:rPr>
        <w:t>on, or those Class A</w:t>
      </w:r>
      <w:r w:rsidRPr="00C1479E" w:rsidR="00C1479E">
        <w:rPr>
          <w:rFonts w:ascii="Times New Roman" w:hAnsi="Times New Roman"/>
          <w:spacing w:val="-3"/>
        </w:rPr>
        <w:t xml:space="preserve"> stations that are winning bidders that move from UHF-to-VHF or from High-VHF-</w:t>
      </w:r>
      <w:r w:rsidR="00C1479E">
        <w:rPr>
          <w:rFonts w:ascii="Times New Roman" w:hAnsi="Times New Roman"/>
          <w:spacing w:val="-3"/>
        </w:rPr>
        <w:t>to-Low-VHF, and those Class A</w:t>
      </w:r>
      <w:r w:rsidRPr="00C1479E" w:rsidR="00C1479E">
        <w:rPr>
          <w:rFonts w:ascii="Times New Roman" w:hAnsi="Times New Roman"/>
          <w:spacing w:val="-3"/>
        </w:rPr>
        <w:t xml:space="preserve"> channel sharee and sharer stations entering a channel sharing arrangement must file this form to obtain a new or modified station license and/or to notify the Commission of certain changes in the licensed facilities of those stations.  For all other </w:t>
      </w:r>
    </w:p>
    <w:p w:rsidR="00B21BC8" w:rsidRDefault="00B21BC8" w14:paraId="71FAF1B0" w14:textId="77777777">
      <w:pPr>
        <w:suppressAutoHyphens/>
        <w:rPr>
          <w:rFonts w:ascii="Times New Roman" w:hAnsi="Times New Roman"/>
          <w:spacing w:val="-3"/>
        </w:rPr>
      </w:pPr>
    </w:p>
    <w:p w:rsidR="0079396B" w:rsidRDefault="00C1479E" w14:paraId="4316ED24" w14:textId="77777777">
      <w:pPr>
        <w:suppressAutoHyphens/>
        <w:rPr>
          <w:rFonts w:ascii="Times New Roman" w:hAnsi="Times New Roman"/>
          <w:spacing w:val="-3"/>
        </w:rPr>
      </w:pPr>
      <w:r w:rsidRPr="00C1479E">
        <w:rPr>
          <w:rFonts w:ascii="Times New Roman" w:hAnsi="Times New Roman"/>
          <w:spacing w:val="-3"/>
        </w:rPr>
        <w:t>uses, the frequency of filing is determined by the respondents.  However, no new or modified TV or DTV facilities can be license</w:t>
      </w:r>
      <w:r>
        <w:rPr>
          <w:rFonts w:ascii="Times New Roman" w:hAnsi="Times New Roman"/>
          <w:spacing w:val="-3"/>
        </w:rPr>
        <w:t>d by a Class A</w:t>
      </w:r>
      <w:r w:rsidRPr="00C1479E">
        <w:rPr>
          <w:rFonts w:ascii="Times New Roman" w:hAnsi="Times New Roman"/>
          <w:spacing w:val="-3"/>
        </w:rPr>
        <w:t xml:space="preserve"> station without</w:t>
      </w:r>
      <w:r>
        <w:rPr>
          <w:rFonts w:ascii="Times New Roman" w:hAnsi="Times New Roman"/>
          <w:spacing w:val="-3"/>
        </w:rPr>
        <w:t xml:space="preserve"> using FCC Form 2100, Schedule F</w:t>
      </w:r>
      <w:r w:rsidRPr="00C1479E">
        <w:rPr>
          <w:rFonts w:ascii="Times New Roman" w:hAnsi="Times New Roman"/>
          <w:spacing w:val="-3"/>
        </w:rPr>
        <w:t>.</w:t>
      </w:r>
      <w:r w:rsidR="00413333">
        <w:rPr>
          <w:rFonts w:ascii="Times New Roman" w:hAnsi="Times New Roman"/>
          <w:spacing w:val="-3"/>
        </w:rPr>
        <w:tab/>
      </w:r>
    </w:p>
    <w:p w:rsidR="0079396B" w:rsidRDefault="0079396B" w14:paraId="61944FD3" w14:textId="77777777">
      <w:pPr>
        <w:suppressAutoHyphens/>
        <w:rPr>
          <w:rFonts w:ascii="Times New Roman" w:hAnsi="Times New Roman"/>
          <w:spacing w:val="-3"/>
        </w:rPr>
      </w:pPr>
    </w:p>
    <w:p w:rsidR="0079396B" w:rsidRDefault="0079396B" w14:paraId="11C73203" w14:textId="77777777">
      <w:pPr>
        <w:suppressAutoHyphens/>
        <w:rPr>
          <w:rFonts w:ascii="Times New Roman" w:hAnsi="Times New Roman"/>
          <w:spacing w:val="-3"/>
        </w:rPr>
      </w:pPr>
      <w:r>
        <w:rPr>
          <w:rFonts w:ascii="Times New Roman" w:hAnsi="Times New Roman"/>
          <w:spacing w:val="-3"/>
        </w:rPr>
        <w:t xml:space="preserve">7.  This collection of information is consistent with the guidelines in 5 CFR </w:t>
      </w:r>
      <w:r w:rsidRPr="00FD4CA4" w:rsidR="00972308">
        <w:rPr>
          <w:rFonts w:ascii="Times New Roman" w:hAnsi="Times New Roman"/>
          <w:spacing w:val="-3"/>
          <w:shd w:val="clear" w:color="auto" w:fill="FFFFFF"/>
        </w:rPr>
        <w:t>§</w:t>
      </w:r>
      <w:r w:rsidR="00972308">
        <w:rPr>
          <w:rFonts w:ascii="Times New Roman" w:hAnsi="Times New Roman"/>
          <w:spacing w:val="-3"/>
        </w:rPr>
        <w:t xml:space="preserve"> </w:t>
      </w:r>
      <w:r>
        <w:rPr>
          <w:rFonts w:ascii="Times New Roman" w:hAnsi="Times New Roman"/>
          <w:spacing w:val="-3"/>
        </w:rPr>
        <w:t>1320.5(d)(2).</w:t>
      </w:r>
    </w:p>
    <w:p w:rsidR="0079396B" w:rsidRDefault="0079396B" w14:paraId="21D66732" w14:textId="77777777">
      <w:pPr>
        <w:suppressAutoHyphens/>
        <w:rPr>
          <w:rFonts w:ascii="Times New Roman" w:hAnsi="Times New Roman"/>
          <w:spacing w:val="-3"/>
        </w:rPr>
      </w:pPr>
    </w:p>
    <w:p w:rsidR="0079396B" w:rsidRDefault="0079396B" w14:paraId="3941B54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r w:rsidRPr="005050CD">
        <w:rPr>
          <w:rFonts w:ascii="Times New Roman" w:hAnsi="Times New Roman"/>
          <w:spacing w:val="-3"/>
        </w:rPr>
        <w:t xml:space="preserve">8. The Commission published a Notice in the </w:t>
      </w:r>
      <w:r w:rsidRPr="005050CD">
        <w:rPr>
          <w:rFonts w:ascii="Times New Roman" w:hAnsi="Times New Roman"/>
          <w:i/>
          <w:spacing w:val="-3"/>
        </w:rPr>
        <w:t>Federal Register</w:t>
      </w:r>
      <w:r w:rsidRPr="005050CD">
        <w:rPr>
          <w:rFonts w:ascii="Times New Roman" w:hAnsi="Times New Roman"/>
          <w:spacing w:val="-3"/>
        </w:rPr>
        <w:t xml:space="preserve"> on</w:t>
      </w:r>
      <w:r w:rsidRPr="005050CD" w:rsidR="00766E5F">
        <w:rPr>
          <w:rFonts w:ascii="Times New Roman" w:hAnsi="Times New Roman"/>
          <w:spacing w:val="-3"/>
        </w:rPr>
        <w:t xml:space="preserve"> </w:t>
      </w:r>
      <w:r w:rsidR="00437D32">
        <w:rPr>
          <w:rFonts w:ascii="Times New Roman" w:hAnsi="Times New Roman"/>
          <w:spacing w:val="-3"/>
        </w:rPr>
        <w:t>February</w:t>
      </w:r>
      <w:r w:rsidR="00FE4EB5">
        <w:rPr>
          <w:rFonts w:ascii="Times New Roman" w:hAnsi="Times New Roman"/>
          <w:spacing w:val="-3"/>
        </w:rPr>
        <w:t xml:space="preserve"> 18</w:t>
      </w:r>
      <w:r w:rsidR="00437D32">
        <w:rPr>
          <w:rFonts w:ascii="Times New Roman" w:hAnsi="Times New Roman"/>
          <w:spacing w:val="-3"/>
        </w:rPr>
        <w:t>,</w:t>
      </w:r>
      <w:r w:rsidR="00FE4EB5">
        <w:rPr>
          <w:rFonts w:ascii="Times New Roman" w:hAnsi="Times New Roman"/>
          <w:spacing w:val="-3"/>
        </w:rPr>
        <w:t xml:space="preserve"> </w:t>
      </w:r>
      <w:r w:rsidR="00437D32">
        <w:rPr>
          <w:rFonts w:ascii="Times New Roman" w:hAnsi="Times New Roman"/>
          <w:spacing w:val="-3"/>
        </w:rPr>
        <w:t>2020</w:t>
      </w:r>
      <w:r w:rsidRPr="005050CD" w:rsidR="00B21BC8">
        <w:rPr>
          <w:rFonts w:ascii="Times New Roman" w:hAnsi="Times New Roman"/>
          <w:spacing w:val="-3"/>
        </w:rPr>
        <w:t xml:space="preserve"> (8</w:t>
      </w:r>
      <w:r w:rsidR="00437D32">
        <w:rPr>
          <w:rFonts w:ascii="Times New Roman" w:hAnsi="Times New Roman"/>
          <w:spacing w:val="-3"/>
        </w:rPr>
        <w:t>5</w:t>
      </w:r>
      <w:r w:rsidRPr="005050CD" w:rsidR="00934C89">
        <w:rPr>
          <w:rFonts w:ascii="Times New Roman" w:hAnsi="Times New Roman"/>
          <w:spacing w:val="-3"/>
        </w:rPr>
        <w:t xml:space="preserve"> FR</w:t>
      </w:r>
      <w:r w:rsidRPr="005050CD" w:rsidR="005050CD">
        <w:rPr>
          <w:rFonts w:ascii="Times New Roman" w:hAnsi="Times New Roman"/>
          <w:spacing w:val="-3"/>
        </w:rPr>
        <w:t xml:space="preserve"> </w:t>
      </w:r>
      <w:r w:rsidR="00FE4EB5">
        <w:rPr>
          <w:rFonts w:ascii="Times New Roman" w:hAnsi="Times New Roman"/>
          <w:spacing w:val="-3"/>
        </w:rPr>
        <w:t>8870</w:t>
      </w:r>
      <w:r w:rsidRPr="005050CD" w:rsidR="00934C89">
        <w:rPr>
          <w:rFonts w:ascii="Times New Roman" w:hAnsi="Times New Roman"/>
          <w:spacing w:val="-3"/>
        </w:rPr>
        <w:t>)</w:t>
      </w:r>
      <w:r w:rsidRPr="005050CD" w:rsidR="00A43182">
        <w:rPr>
          <w:rFonts w:ascii="Times New Roman" w:hAnsi="Times New Roman"/>
          <w:spacing w:val="-3"/>
        </w:rPr>
        <w:t xml:space="preserve"> </w:t>
      </w:r>
      <w:r w:rsidRPr="005050CD" w:rsidR="0078219F">
        <w:rPr>
          <w:rFonts w:ascii="Times New Roman" w:hAnsi="Times New Roman"/>
          <w:spacing w:val="-3"/>
        </w:rPr>
        <w:t>seeking comments on the information collection contained in this collection</w:t>
      </w:r>
      <w:r w:rsidRPr="005050CD" w:rsidR="00902813">
        <w:rPr>
          <w:rFonts w:ascii="Times New Roman" w:hAnsi="Times New Roman"/>
          <w:spacing w:val="-3"/>
        </w:rPr>
        <w:t xml:space="preserve">.  </w:t>
      </w:r>
      <w:r w:rsidRPr="005050CD">
        <w:rPr>
          <w:rFonts w:ascii="Times New Roman" w:hAnsi="Times New Roman"/>
          <w:spacing w:val="-3"/>
        </w:rPr>
        <w:t xml:space="preserve"> </w:t>
      </w:r>
      <w:r w:rsidRPr="005050CD" w:rsidR="00FB720F">
        <w:rPr>
          <w:rFonts w:ascii="Times New Roman" w:hAnsi="Times New Roman"/>
          <w:spacing w:val="-3"/>
        </w:rPr>
        <w:t>No</w:t>
      </w:r>
      <w:r w:rsidRPr="005050CD">
        <w:rPr>
          <w:rFonts w:ascii="Times New Roman" w:hAnsi="Times New Roman"/>
          <w:spacing w:val="-3"/>
        </w:rPr>
        <w:t xml:space="preserve"> comments were </w:t>
      </w:r>
      <w:r w:rsidRPr="005050CD" w:rsidR="0078219F">
        <w:rPr>
          <w:rFonts w:ascii="Times New Roman" w:hAnsi="Times New Roman"/>
          <w:spacing w:val="-3"/>
        </w:rPr>
        <w:t>received from the public</w:t>
      </w:r>
      <w:r w:rsidRPr="005050CD">
        <w:rPr>
          <w:rFonts w:ascii="Times New Roman" w:hAnsi="Times New Roman"/>
          <w:spacing w:val="-3"/>
        </w:rPr>
        <w:t xml:space="preserve"> as a result of the Notice.</w:t>
      </w:r>
      <w:r>
        <w:rPr>
          <w:rFonts w:ascii="Times New Roman" w:hAnsi="Times New Roman"/>
          <w:spacing w:val="-3"/>
        </w:rPr>
        <w:t xml:space="preserve">     </w:t>
      </w:r>
    </w:p>
    <w:p w:rsidR="0079396B" w:rsidRDefault="0079396B" w14:paraId="28D4C6B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rPr>
      </w:pPr>
    </w:p>
    <w:p w:rsidR="0079396B" w:rsidRDefault="0079396B" w14:paraId="05D7B3AC" w14:textId="77777777">
      <w:pPr>
        <w:suppressAutoHyphens/>
        <w:rPr>
          <w:rFonts w:ascii="Times New Roman" w:hAnsi="Times New Roman"/>
          <w:spacing w:val="-3"/>
        </w:rPr>
      </w:pPr>
      <w:r>
        <w:rPr>
          <w:rFonts w:ascii="Times New Roman" w:hAnsi="Times New Roman"/>
          <w:spacing w:val="-3"/>
        </w:rPr>
        <w:t>9.  No payment or gift was provided to the respondents.</w:t>
      </w:r>
    </w:p>
    <w:p w:rsidR="0079396B" w:rsidRDefault="0079396B" w14:paraId="3F147D84" w14:textId="77777777">
      <w:pPr>
        <w:suppressAutoHyphens/>
        <w:rPr>
          <w:rFonts w:ascii="Times New Roman" w:hAnsi="Times New Roman"/>
          <w:spacing w:val="-3"/>
        </w:rPr>
      </w:pPr>
    </w:p>
    <w:p w:rsidR="0079396B" w:rsidRDefault="0079396B" w14:paraId="101FF4FE" w14:textId="77777777">
      <w:pPr>
        <w:suppressAutoHyphens/>
        <w:rPr>
          <w:rFonts w:ascii="Times New Roman" w:hAnsi="Times New Roman"/>
          <w:spacing w:val="-3"/>
        </w:rPr>
      </w:pPr>
      <w:r>
        <w:rPr>
          <w:rFonts w:ascii="Times New Roman" w:hAnsi="Times New Roman"/>
          <w:spacing w:val="-3"/>
        </w:rPr>
        <w:t>10.  There is no need for confidentiality</w:t>
      </w:r>
      <w:r w:rsidR="00F73EE2">
        <w:rPr>
          <w:rFonts w:ascii="Times New Roman" w:hAnsi="Times New Roman"/>
          <w:spacing w:val="-3"/>
        </w:rPr>
        <w:t xml:space="preserve"> with this collection of information</w:t>
      </w:r>
      <w:r>
        <w:rPr>
          <w:rFonts w:ascii="Times New Roman" w:hAnsi="Times New Roman"/>
          <w:spacing w:val="-3"/>
        </w:rPr>
        <w:t>.</w:t>
      </w:r>
    </w:p>
    <w:p w:rsidR="0079396B" w:rsidRDefault="0079396B" w14:paraId="3506650E" w14:textId="77777777">
      <w:pPr>
        <w:suppressAutoHyphens/>
        <w:rPr>
          <w:rFonts w:ascii="Times New Roman" w:hAnsi="Times New Roman"/>
          <w:spacing w:val="-3"/>
        </w:rPr>
      </w:pPr>
    </w:p>
    <w:p w:rsidR="0079396B" w:rsidRDefault="0079396B" w14:paraId="515F8714" w14:textId="77777777">
      <w:pPr>
        <w:suppressAutoHyphens/>
        <w:rPr>
          <w:rFonts w:ascii="Times New Roman" w:hAnsi="Times New Roman"/>
          <w:spacing w:val="-3"/>
        </w:rPr>
      </w:pPr>
      <w:r>
        <w:rPr>
          <w:rFonts w:ascii="Times New Roman" w:hAnsi="Times New Roman"/>
          <w:spacing w:val="-3"/>
        </w:rPr>
        <w:lastRenderedPageBreak/>
        <w:t xml:space="preserve">11.  This </w:t>
      </w:r>
      <w:r w:rsidR="00D44216">
        <w:rPr>
          <w:rFonts w:ascii="Times New Roman" w:hAnsi="Times New Roman"/>
          <w:spacing w:val="-3"/>
        </w:rPr>
        <w:t xml:space="preserve">collection of information </w:t>
      </w:r>
      <w:r>
        <w:rPr>
          <w:rFonts w:ascii="Times New Roman" w:hAnsi="Times New Roman"/>
          <w:spacing w:val="-3"/>
        </w:rPr>
        <w:t>does not address any private matters of a sensitive nature.</w:t>
      </w:r>
    </w:p>
    <w:p w:rsidR="0079396B" w:rsidRDefault="0079396B" w14:paraId="58CDDE8F" w14:textId="77777777">
      <w:pPr>
        <w:suppressAutoHyphens/>
        <w:rPr>
          <w:rFonts w:ascii="Times New Roman" w:hAnsi="Times New Roman"/>
          <w:spacing w:val="-3"/>
        </w:rPr>
      </w:pPr>
    </w:p>
    <w:p w:rsidR="00437D32" w:rsidRDefault="00437D32" w14:paraId="6CDFFB0C" w14:textId="77777777">
      <w:pPr>
        <w:suppressAutoHyphens/>
        <w:rPr>
          <w:rFonts w:ascii="Times New Roman" w:hAnsi="Times New Roman"/>
          <w:spacing w:val="-3"/>
        </w:rPr>
      </w:pPr>
    </w:p>
    <w:p w:rsidR="00A43182" w:rsidRDefault="0079396B" w14:paraId="67AEF929" w14:textId="77777777">
      <w:pPr>
        <w:suppressAutoHyphens/>
        <w:rPr>
          <w:rFonts w:ascii="Times New Roman" w:hAnsi="Times New Roman"/>
          <w:spacing w:val="-3"/>
        </w:rPr>
      </w:pPr>
      <w:r>
        <w:rPr>
          <w:rFonts w:ascii="Times New Roman" w:hAnsi="Times New Roman"/>
          <w:spacing w:val="-3"/>
        </w:rPr>
        <w:t xml:space="preserve">12.  </w:t>
      </w:r>
      <w:r w:rsidR="00C97969">
        <w:rPr>
          <w:rFonts w:ascii="Times New Roman" w:hAnsi="Times New Roman"/>
          <w:spacing w:val="-3"/>
        </w:rPr>
        <w:t>The burden for this collection is as follows:</w:t>
      </w:r>
    </w:p>
    <w:p w:rsidR="003B7509" w:rsidRDefault="003B7509" w14:paraId="3E999933" w14:textId="77777777">
      <w:pPr>
        <w:suppressAutoHyphens/>
        <w:rPr>
          <w:rFonts w:ascii="Times New Roman" w:hAnsi="Times New Roman"/>
          <w:spacing w:val="-3"/>
        </w:rPr>
      </w:pPr>
    </w:p>
    <w:p w:rsidR="00B21BC8" w:rsidP="00395F2C" w:rsidRDefault="00395F2C" w14:paraId="2597044F" w14:textId="77777777">
      <w:pPr>
        <w:snapToGrid w:val="0"/>
        <w:spacing w:after="100" w:afterAutospacing="1"/>
        <w:rPr>
          <w:rFonts w:ascii="Times New Roman" w:hAnsi="Times New Roman"/>
          <w:snapToGrid/>
          <w:szCs w:val="24"/>
        </w:rPr>
      </w:pPr>
      <w:r w:rsidRPr="00395F2C">
        <w:rPr>
          <w:rFonts w:ascii="Times New Roman" w:hAnsi="Times New Roman"/>
          <w:b/>
          <w:snapToGrid/>
          <w:szCs w:val="24"/>
          <w:u w:val="single"/>
        </w:rPr>
        <w:t xml:space="preserve">FCC Form 2100, Schedule </w:t>
      </w:r>
      <w:r>
        <w:rPr>
          <w:rFonts w:ascii="Times New Roman" w:hAnsi="Times New Roman"/>
          <w:b/>
          <w:snapToGrid/>
          <w:szCs w:val="24"/>
          <w:u w:val="single"/>
        </w:rPr>
        <w:t>F</w:t>
      </w:r>
      <w:r w:rsidRPr="00395F2C">
        <w:rPr>
          <w:rFonts w:ascii="Times New Roman" w:hAnsi="Times New Roman"/>
          <w:b/>
          <w:snapToGrid/>
          <w:szCs w:val="24"/>
        </w:rPr>
        <w:t xml:space="preserve">:  </w:t>
      </w:r>
      <w:r w:rsidRPr="00395F2C">
        <w:rPr>
          <w:rFonts w:ascii="Times New Roman" w:hAnsi="Times New Roman"/>
          <w:snapToGrid/>
          <w:szCs w:val="24"/>
        </w:rPr>
        <w:t>The Commission estimates that between 500 and 1,300 broadcast stations could be reassigned to a new channel in their pre-auction band via the repacking process following the Incentive Auction;</w:t>
      </w:r>
      <w:r w:rsidRPr="00395F2C">
        <w:rPr>
          <w:rFonts w:ascii="Times New Roman" w:hAnsi="Times New Roman"/>
          <w:snapToGrid/>
          <w:szCs w:val="24"/>
          <w:vertAlign w:val="superscript"/>
        </w:rPr>
        <w:footnoteReference w:id="1"/>
      </w:r>
      <w:r w:rsidRPr="00395F2C">
        <w:rPr>
          <w:rFonts w:ascii="Times New Roman" w:hAnsi="Times New Roman"/>
          <w:snapToGrid/>
          <w:szCs w:val="24"/>
        </w:rPr>
        <w:t xml:space="preserve"> that an additional 50 to 100 stations that submit winning bids will enter channel sharing agreements (and move to the channel of the station they are sharing with); that 15 to 50 stations that submit winning bids will move from high-VHF to low-VHF channels or from UHF to high-VHF or low-VHF; and that all licensees will comply with all applicable rules.  The actual number in each of these categories cannot be known in advance of the auction, including the level of broadcaster participation in the reverse auction, which in turn will impact how much spectrum is repurposed and how many stations need to be assigned new channels.  Sim</w:t>
      </w:r>
      <w:r>
        <w:rPr>
          <w:rFonts w:ascii="Times New Roman" w:hAnsi="Times New Roman"/>
          <w:snapToGrid/>
          <w:szCs w:val="24"/>
        </w:rPr>
        <w:t>ilarly, the number of Class A</w:t>
      </w:r>
      <w:r w:rsidRPr="00395F2C">
        <w:rPr>
          <w:rFonts w:ascii="Times New Roman" w:hAnsi="Times New Roman"/>
          <w:snapToGrid/>
          <w:szCs w:val="24"/>
        </w:rPr>
        <w:t xml:space="preserve"> s</w:t>
      </w:r>
      <w:r>
        <w:rPr>
          <w:rFonts w:ascii="Times New Roman" w:hAnsi="Times New Roman"/>
          <w:snapToGrid/>
          <w:szCs w:val="24"/>
        </w:rPr>
        <w:t>tations, as opposed to full-power</w:t>
      </w:r>
      <w:r w:rsidRPr="00395F2C">
        <w:rPr>
          <w:rFonts w:ascii="Times New Roman" w:hAnsi="Times New Roman"/>
          <w:snapToGrid/>
          <w:szCs w:val="24"/>
        </w:rPr>
        <w:t xml:space="preserve"> stations, that are reassigned or submit winning bids to move from high-VHF to low-VHF channels or from UHF to high-VHF or low-VHF cannot be estimated, and, thus, in order not to underestimate the burden in this submission, we will assume half </w:t>
      </w:r>
      <w:r>
        <w:rPr>
          <w:rFonts w:ascii="Times New Roman" w:hAnsi="Times New Roman"/>
          <w:snapToGrid/>
          <w:szCs w:val="24"/>
        </w:rPr>
        <w:t>of these stations are Class A</w:t>
      </w:r>
      <w:r w:rsidRPr="00395F2C">
        <w:rPr>
          <w:rFonts w:ascii="Times New Roman" w:hAnsi="Times New Roman"/>
          <w:snapToGrid/>
          <w:szCs w:val="24"/>
        </w:rPr>
        <w:t xml:space="preserve"> stations.  Solely for purposes of preparing the estimated data collection burden, we will use the </w:t>
      </w:r>
    </w:p>
    <w:p w:rsidR="00B21BC8" w:rsidP="00395F2C" w:rsidRDefault="00B21BC8" w14:paraId="2D8D08D1" w14:textId="77777777">
      <w:pPr>
        <w:snapToGrid w:val="0"/>
        <w:spacing w:after="100" w:afterAutospacing="1"/>
        <w:rPr>
          <w:rFonts w:ascii="Times New Roman" w:hAnsi="Times New Roman"/>
          <w:snapToGrid/>
          <w:szCs w:val="24"/>
        </w:rPr>
      </w:pPr>
    </w:p>
    <w:p w:rsidR="00437D32" w:rsidP="00395F2C" w:rsidRDefault="00395F2C" w14:paraId="169803A8" w14:textId="77777777">
      <w:pPr>
        <w:snapToGrid w:val="0"/>
        <w:spacing w:after="100" w:afterAutospacing="1"/>
        <w:rPr>
          <w:rFonts w:ascii="Times New Roman" w:hAnsi="Times New Roman"/>
          <w:snapToGrid/>
          <w:spacing w:val="-3"/>
          <w:szCs w:val="24"/>
        </w:rPr>
      </w:pPr>
      <w:r w:rsidRPr="00395F2C">
        <w:rPr>
          <w:rFonts w:ascii="Times New Roman" w:hAnsi="Times New Roman"/>
          <w:snapToGrid/>
          <w:szCs w:val="24"/>
        </w:rPr>
        <w:t>upper end of these ranges.  Therefore, we estimate that 725 (one-half of 1,450 potential channel-changing stations</w:t>
      </w:r>
      <w:r>
        <w:rPr>
          <w:rFonts w:ascii="Times New Roman" w:hAnsi="Times New Roman"/>
          <w:snapToGrid/>
          <w:szCs w:val="24"/>
        </w:rPr>
        <w:t>) FCC Forms 2100, Schedule F</w:t>
      </w:r>
      <w:r w:rsidR="00CB6BF8">
        <w:rPr>
          <w:rFonts w:ascii="Times New Roman" w:hAnsi="Times New Roman"/>
          <w:snapToGrid/>
          <w:szCs w:val="24"/>
        </w:rPr>
        <w:t xml:space="preserve"> </w:t>
      </w:r>
      <w:r w:rsidRPr="00395F2C">
        <w:rPr>
          <w:rFonts w:ascii="Times New Roman" w:hAnsi="Times New Roman"/>
          <w:snapToGrid/>
          <w:szCs w:val="24"/>
        </w:rPr>
        <w:t xml:space="preserve"> applications for a license to cover a construction permit (“license applications”) and 100 applications to modify an existing license (“modifications”) will be filed by DTV stations with the Commission annually.</w:t>
      </w:r>
      <w:r w:rsidRPr="00395F2C">
        <w:rPr>
          <w:rFonts w:ascii="Times New Roman" w:hAnsi="Times New Roman"/>
          <w:snapToGrid/>
          <w:spacing w:val="-3"/>
          <w:szCs w:val="24"/>
          <w:vertAlign w:val="superscript"/>
        </w:rPr>
        <w:footnoteReference w:id="2"/>
      </w:r>
      <w:r w:rsidRPr="00395F2C">
        <w:rPr>
          <w:rFonts w:ascii="Times New Roman" w:hAnsi="Times New Roman"/>
          <w:snapToGrid/>
          <w:szCs w:val="24"/>
        </w:rPr>
        <w:t xml:space="preserve">  In addition, we estimate that 100 channel sharer stations and 100 channel sharee stations will file applications for a license to cover a construction permit (“license applications”) </w:t>
      </w:r>
      <w:r w:rsidRPr="00072D44" w:rsidR="00072D44">
        <w:rPr>
          <w:rFonts w:ascii="Times New Roman" w:hAnsi="Times New Roman"/>
          <w:snapToGrid/>
          <w:szCs w:val="24"/>
        </w:rPr>
        <w:t xml:space="preserve">in conjunction with auction-related channel sharing (“auction channel sharing”). </w:t>
      </w:r>
      <w:r w:rsidR="00072D44">
        <w:rPr>
          <w:rFonts w:ascii="Times New Roman" w:hAnsi="Times New Roman"/>
          <w:snapToGrid/>
          <w:szCs w:val="24"/>
        </w:rPr>
        <w:t xml:space="preserve"> </w:t>
      </w:r>
      <w:r w:rsidR="00D163A2">
        <w:rPr>
          <w:rFonts w:ascii="Times New Roman" w:hAnsi="Times New Roman"/>
          <w:snapToGrid/>
          <w:szCs w:val="24"/>
        </w:rPr>
        <w:t>Finally,</w:t>
      </w:r>
      <w:r w:rsidRPr="00D163A2" w:rsidR="00D163A2">
        <w:rPr>
          <w:rFonts w:ascii="Times New Roman" w:hAnsi="Times New Roman"/>
          <w:snapToGrid/>
          <w:szCs w:val="24"/>
        </w:rPr>
        <w:t xml:space="preserve"> we estimate that 20 channel sharing stations will file applications (“license applications”) to implement their shared channel outside of the auction context (“non-auction channel sharing”). </w:t>
      </w:r>
      <w:r w:rsidRPr="00395F2C">
        <w:rPr>
          <w:rFonts w:ascii="Times New Roman" w:hAnsi="Times New Roman"/>
          <w:snapToGrid/>
          <w:szCs w:val="24"/>
        </w:rPr>
        <w:t xml:space="preserve">We </w:t>
      </w:r>
      <w:r w:rsidRPr="00395F2C">
        <w:rPr>
          <w:rFonts w:ascii="Times New Roman" w:hAnsi="Times New Roman"/>
          <w:snapToGrid/>
          <w:spacing w:val="-3"/>
          <w:szCs w:val="24"/>
        </w:rPr>
        <w:t xml:space="preserve">assume that the respondent (station licensee/permittee) </w:t>
      </w:r>
      <w:r w:rsidR="0057211D">
        <w:rPr>
          <w:rFonts w:ascii="Times New Roman" w:hAnsi="Times New Roman"/>
          <w:snapToGrid/>
          <w:spacing w:val="-3"/>
          <w:szCs w:val="24"/>
        </w:rPr>
        <w:t xml:space="preserve"> </w:t>
      </w:r>
      <w:r w:rsidRPr="00395F2C">
        <w:rPr>
          <w:rFonts w:ascii="Times New Roman" w:hAnsi="Times New Roman"/>
          <w:snapToGrid/>
          <w:spacing w:val="-3"/>
          <w:szCs w:val="24"/>
        </w:rPr>
        <w:t xml:space="preserve">will file this form.  We estimate that the respondent will take two (2) hours to </w:t>
      </w:r>
      <w:r w:rsidRPr="00395F2C">
        <w:rPr>
          <w:rFonts w:ascii="Times New Roman" w:hAnsi="Times New Roman"/>
          <w:snapToGrid/>
          <w:spacing w:val="-3"/>
          <w:szCs w:val="24"/>
        </w:rPr>
        <w:lastRenderedPageBreak/>
        <w:t xml:space="preserve">complete each application and file it.  We assume that this time period of 2 hours for the completion and filing of each application will also include approximately 0.5 hours for the respondent to consult with a consulting engineer and 0.5 hours to consult with an outside attorney to assist the station in </w:t>
      </w:r>
    </w:p>
    <w:p w:rsidR="00437D32" w:rsidP="00395F2C" w:rsidRDefault="00437D32" w14:paraId="60D113AE" w14:textId="77777777">
      <w:pPr>
        <w:snapToGrid w:val="0"/>
        <w:spacing w:after="100" w:afterAutospacing="1"/>
        <w:rPr>
          <w:rFonts w:ascii="Times New Roman" w:hAnsi="Times New Roman"/>
          <w:snapToGrid/>
          <w:spacing w:val="-3"/>
          <w:szCs w:val="24"/>
        </w:rPr>
      </w:pPr>
    </w:p>
    <w:p w:rsidR="00395F2C" w:rsidP="00395F2C" w:rsidRDefault="00395F2C" w14:paraId="4FECD745" w14:textId="77777777">
      <w:pPr>
        <w:snapToGrid w:val="0"/>
        <w:spacing w:after="100" w:afterAutospacing="1"/>
        <w:rPr>
          <w:rFonts w:ascii="Times New Roman" w:hAnsi="Times New Roman"/>
          <w:snapToGrid/>
          <w:spacing w:val="-3"/>
          <w:szCs w:val="24"/>
        </w:rPr>
      </w:pPr>
      <w:r w:rsidRPr="00395F2C">
        <w:rPr>
          <w:rFonts w:ascii="Times New Roman" w:hAnsi="Times New Roman"/>
          <w:snapToGrid/>
          <w:spacing w:val="-3"/>
          <w:szCs w:val="24"/>
        </w:rPr>
        <w:t>its preparation of the application’s engineering and legal sections, respectively.</w:t>
      </w:r>
      <w:r w:rsidRPr="00395F2C">
        <w:rPr>
          <w:rFonts w:ascii="Times New Roman" w:hAnsi="Times New Roman"/>
          <w:snapToGrid/>
          <w:spacing w:val="-3"/>
          <w:szCs w:val="24"/>
          <w:vertAlign w:val="superscript"/>
        </w:rPr>
        <w:footnoteReference w:id="3"/>
      </w:r>
      <w:r w:rsidRPr="00395F2C">
        <w:rPr>
          <w:rFonts w:ascii="Times New Roman" w:hAnsi="Times New Roman"/>
          <w:snapToGrid/>
          <w:spacing w:val="-3"/>
          <w:szCs w:val="24"/>
        </w:rPr>
        <w:t xml:space="preserve">  We estimate that the respondent will have an average salary of $100,000/year ($48.08/hour).</w:t>
      </w:r>
      <w:r w:rsidRPr="00395F2C">
        <w:rPr>
          <w:rFonts w:ascii="Times New Roman" w:hAnsi="Times New Roman"/>
          <w:bCs/>
          <w:snapToGrid/>
          <w:szCs w:val="24"/>
          <w:vertAlign w:val="superscript"/>
        </w:rPr>
        <w:footnoteReference w:id="4"/>
      </w:r>
    </w:p>
    <w:p w:rsidR="00437D32" w:rsidP="00395F2C" w:rsidRDefault="00437D32" w14:paraId="4C0B62D5" w14:textId="77777777">
      <w:pPr>
        <w:snapToGrid w:val="0"/>
        <w:spacing w:after="100" w:afterAutospacing="1"/>
        <w:rPr>
          <w:rFonts w:ascii="Times New Roman" w:hAnsi="Times New Roman"/>
          <w:snapToGrid/>
          <w:spacing w:val="-3"/>
          <w:szCs w:val="24"/>
        </w:rPr>
      </w:pPr>
    </w:p>
    <w:tbl>
      <w:tblPr>
        <w:tblW w:w="10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620"/>
        <w:gridCol w:w="1350"/>
        <w:gridCol w:w="1620"/>
        <w:gridCol w:w="990"/>
        <w:gridCol w:w="1620"/>
        <w:gridCol w:w="1350"/>
      </w:tblGrid>
      <w:tr w:rsidRPr="00886C32" w:rsidR="00886C32" w:rsidTr="0057211D" w14:paraId="2C4A3260" w14:textId="77777777">
        <w:trPr>
          <w:tblHeader/>
        </w:trPr>
        <w:tc>
          <w:tcPr>
            <w:tcW w:w="1530" w:type="dxa"/>
          </w:tcPr>
          <w:p w:rsidRPr="00886C32" w:rsidR="00886C32" w:rsidP="00886C32" w:rsidRDefault="00886C32" w14:paraId="6BDB6D61" w14:textId="77777777">
            <w:pPr>
              <w:snapToGrid w:val="0"/>
              <w:rPr>
                <w:rFonts w:ascii="Times New Roman" w:hAnsi="Times New Roman"/>
                <w:b/>
                <w:bCs/>
                <w:snapToGrid/>
                <w:szCs w:val="24"/>
              </w:rPr>
            </w:pPr>
            <w:r w:rsidRPr="00886C32">
              <w:rPr>
                <w:rFonts w:ascii="Times New Roman" w:hAnsi="Times New Roman"/>
                <w:b/>
                <w:bCs/>
                <w:snapToGrid/>
                <w:szCs w:val="24"/>
              </w:rPr>
              <w:t>Type of Filing</w:t>
            </w:r>
          </w:p>
        </w:tc>
        <w:tc>
          <w:tcPr>
            <w:tcW w:w="1620" w:type="dxa"/>
          </w:tcPr>
          <w:p w:rsidRPr="00886C32" w:rsidR="00886C32" w:rsidP="00886C32" w:rsidRDefault="00886C32" w14:paraId="5C000092" w14:textId="77777777">
            <w:pPr>
              <w:snapToGrid w:val="0"/>
              <w:rPr>
                <w:rFonts w:ascii="Times New Roman" w:hAnsi="Times New Roman"/>
                <w:b/>
                <w:bCs/>
                <w:snapToGrid/>
                <w:szCs w:val="24"/>
              </w:rPr>
            </w:pPr>
            <w:r w:rsidRPr="00886C32">
              <w:rPr>
                <w:rFonts w:ascii="Times New Roman" w:hAnsi="Times New Roman"/>
                <w:b/>
                <w:bCs/>
                <w:snapToGrid/>
                <w:szCs w:val="24"/>
              </w:rPr>
              <w:t># of Respondents</w:t>
            </w:r>
          </w:p>
        </w:tc>
        <w:tc>
          <w:tcPr>
            <w:tcW w:w="1350" w:type="dxa"/>
          </w:tcPr>
          <w:p w:rsidRPr="00886C32" w:rsidR="00886C32" w:rsidP="00886C32" w:rsidRDefault="00886C32" w14:paraId="0722D542" w14:textId="77777777">
            <w:pPr>
              <w:snapToGrid w:val="0"/>
              <w:rPr>
                <w:rFonts w:ascii="Times New Roman" w:hAnsi="Times New Roman"/>
                <w:b/>
                <w:bCs/>
                <w:snapToGrid/>
                <w:szCs w:val="24"/>
              </w:rPr>
            </w:pPr>
            <w:r w:rsidRPr="00886C32">
              <w:rPr>
                <w:rFonts w:ascii="Times New Roman" w:hAnsi="Times New Roman"/>
                <w:b/>
                <w:bCs/>
                <w:snapToGrid/>
                <w:szCs w:val="24"/>
              </w:rPr>
              <w:t># of Responses</w:t>
            </w:r>
          </w:p>
        </w:tc>
        <w:tc>
          <w:tcPr>
            <w:tcW w:w="1620" w:type="dxa"/>
          </w:tcPr>
          <w:p w:rsidRPr="00886C32" w:rsidR="00886C32" w:rsidP="00886C32" w:rsidRDefault="00886C32" w14:paraId="5E5BEDE3" w14:textId="77777777">
            <w:pPr>
              <w:snapToGrid w:val="0"/>
              <w:rPr>
                <w:rFonts w:ascii="Times New Roman" w:hAnsi="Times New Roman"/>
                <w:b/>
                <w:bCs/>
                <w:snapToGrid/>
                <w:szCs w:val="24"/>
              </w:rPr>
            </w:pPr>
            <w:r w:rsidRPr="00886C32">
              <w:rPr>
                <w:rFonts w:ascii="Times New Roman" w:hAnsi="Times New Roman"/>
                <w:b/>
                <w:bCs/>
                <w:snapToGrid/>
                <w:szCs w:val="24"/>
              </w:rPr>
              <w:t>Burden Hours of Respondents</w:t>
            </w:r>
          </w:p>
        </w:tc>
        <w:tc>
          <w:tcPr>
            <w:tcW w:w="990" w:type="dxa"/>
          </w:tcPr>
          <w:p w:rsidRPr="00886C32" w:rsidR="00886C32" w:rsidP="00886C32" w:rsidRDefault="00886C32" w14:paraId="07C1FE0D" w14:textId="77777777">
            <w:pPr>
              <w:snapToGrid w:val="0"/>
              <w:rPr>
                <w:rFonts w:ascii="Times New Roman" w:hAnsi="Times New Roman"/>
                <w:b/>
                <w:bCs/>
                <w:snapToGrid/>
                <w:szCs w:val="24"/>
              </w:rPr>
            </w:pPr>
            <w:r w:rsidRPr="00886C32">
              <w:rPr>
                <w:rFonts w:ascii="Times New Roman" w:hAnsi="Times New Roman"/>
                <w:b/>
                <w:bCs/>
                <w:snapToGrid/>
                <w:szCs w:val="24"/>
              </w:rPr>
              <w:t>Annual Burden Hours</w:t>
            </w:r>
          </w:p>
        </w:tc>
        <w:tc>
          <w:tcPr>
            <w:tcW w:w="1620" w:type="dxa"/>
          </w:tcPr>
          <w:p w:rsidRPr="00886C32" w:rsidR="00886C32" w:rsidP="00886C32" w:rsidRDefault="00886C32" w14:paraId="383BF15F" w14:textId="77777777">
            <w:pPr>
              <w:snapToGrid w:val="0"/>
              <w:rPr>
                <w:rFonts w:ascii="Times New Roman" w:hAnsi="Times New Roman"/>
                <w:b/>
                <w:bCs/>
                <w:snapToGrid/>
                <w:szCs w:val="24"/>
              </w:rPr>
            </w:pPr>
            <w:r w:rsidRPr="00886C32">
              <w:rPr>
                <w:rFonts w:ascii="Times New Roman" w:hAnsi="Times New Roman"/>
                <w:b/>
                <w:bCs/>
                <w:snapToGrid/>
                <w:szCs w:val="24"/>
              </w:rPr>
              <w:t>Hourly Salary of Respondents</w:t>
            </w:r>
          </w:p>
        </w:tc>
        <w:tc>
          <w:tcPr>
            <w:tcW w:w="1350" w:type="dxa"/>
          </w:tcPr>
          <w:p w:rsidRPr="00886C32" w:rsidR="00886C32" w:rsidP="00886C32" w:rsidRDefault="00886C32" w14:paraId="6EA78946" w14:textId="77777777">
            <w:pPr>
              <w:snapToGrid w:val="0"/>
              <w:rPr>
                <w:rFonts w:ascii="Times New Roman" w:hAnsi="Times New Roman"/>
                <w:b/>
                <w:bCs/>
                <w:snapToGrid/>
                <w:szCs w:val="24"/>
              </w:rPr>
            </w:pPr>
            <w:r w:rsidRPr="00886C32">
              <w:rPr>
                <w:rFonts w:ascii="Times New Roman" w:hAnsi="Times New Roman"/>
                <w:b/>
                <w:bCs/>
                <w:snapToGrid/>
                <w:szCs w:val="24"/>
              </w:rPr>
              <w:t>Annual In-House Cost</w:t>
            </w:r>
          </w:p>
        </w:tc>
      </w:tr>
      <w:tr w:rsidRPr="00886C32" w:rsidR="00886C32" w:rsidTr="0057211D" w14:paraId="56887589" w14:textId="77777777">
        <w:trPr>
          <w:cantSplit/>
        </w:trPr>
        <w:tc>
          <w:tcPr>
            <w:tcW w:w="10080" w:type="dxa"/>
            <w:gridSpan w:val="7"/>
          </w:tcPr>
          <w:p w:rsidRPr="00886C32" w:rsidR="00886C32" w:rsidP="00886C32" w:rsidRDefault="00886C32" w14:paraId="357B4EBD" w14:textId="77777777">
            <w:pPr>
              <w:snapToGrid w:val="0"/>
              <w:rPr>
                <w:rFonts w:ascii="Times New Roman" w:hAnsi="Times New Roman"/>
                <w:b/>
                <w:bCs/>
                <w:snapToGrid/>
                <w:szCs w:val="24"/>
              </w:rPr>
            </w:pPr>
            <w:r w:rsidRPr="00886C32">
              <w:rPr>
                <w:rFonts w:ascii="Times New Roman" w:hAnsi="Times New Roman"/>
                <w:b/>
                <w:bCs/>
                <w:snapToGrid/>
                <w:szCs w:val="24"/>
              </w:rPr>
              <w:t>Form 2100</w:t>
            </w:r>
            <w:r>
              <w:rPr>
                <w:rFonts w:ascii="Times New Roman" w:hAnsi="Times New Roman"/>
                <w:b/>
                <w:bCs/>
                <w:snapToGrid/>
                <w:szCs w:val="24"/>
              </w:rPr>
              <w:t>, Schedule F</w:t>
            </w:r>
            <w:r w:rsidRPr="00886C32">
              <w:rPr>
                <w:rFonts w:ascii="Times New Roman" w:hAnsi="Times New Roman"/>
                <w:b/>
                <w:bCs/>
                <w:snapToGrid/>
                <w:szCs w:val="24"/>
              </w:rPr>
              <w:t xml:space="preserve"> </w:t>
            </w:r>
          </w:p>
        </w:tc>
      </w:tr>
      <w:tr w:rsidRPr="00886C32" w:rsidR="00886C32" w:rsidTr="0057211D" w14:paraId="2E2D6835" w14:textId="77777777">
        <w:tc>
          <w:tcPr>
            <w:tcW w:w="1530" w:type="dxa"/>
          </w:tcPr>
          <w:p w:rsidRPr="00886C32" w:rsidR="00886C32" w:rsidP="00886C32" w:rsidRDefault="00886C32" w14:paraId="4C11F08B" w14:textId="77777777">
            <w:pPr>
              <w:snapToGrid w:val="0"/>
              <w:rPr>
                <w:rFonts w:ascii="Times New Roman" w:hAnsi="Times New Roman"/>
                <w:snapToGrid/>
                <w:szCs w:val="24"/>
              </w:rPr>
            </w:pPr>
            <w:r w:rsidRPr="00886C32">
              <w:rPr>
                <w:rFonts w:ascii="Times New Roman" w:hAnsi="Times New Roman"/>
                <w:snapToGrid/>
                <w:szCs w:val="24"/>
              </w:rPr>
              <w:t>Relocating station license application</w:t>
            </w:r>
          </w:p>
        </w:tc>
        <w:tc>
          <w:tcPr>
            <w:tcW w:w="1620" w:type="dxa"/>
          </w:tcPr>
          <w:p w:rsidRPr="00886C32" w:rsidR="00886C32" w:rsidP="00886C32" w:rsidRDefault="00886C32" w14:paraId="6745F449" w14:textId="77777777">
            <w:pPr>
              <w:snapToGrid w:val="0"/>
              <w:rPr>
                <w:rFonts w:ascii="Times New Roman" w:hAnsi="Times New Roman"/>
                <w:snapToGrid/>
                <w:szCs w:val="24"/>
              </w:rPr>
            </w:pPr>
            <w:r w:rsidRPr="00886C32">
              <w:rPr>
                <w:rFonts w:ascii="Times New Roman" w:hAnsi="Times New Roman"/>
                <w:snapToGrid/>
                <w:szCs w:val="24"/>
              </w:rPr>
              <w:t>725</w:t>
            </w:r>
          </w:p>
        </w:tc>
        <w:tc>
          <w:tcPr>
            <w:tcW w:w="1350" w:type="dxa"/>
          </w:tcPr>
          <w:p w:rsidRPr="00886C32" w:rsidR="00886C32" w:rsidP="00886C32" w:rsidRDefault="00886C32" w14:paraId="01B99507" w14:textId="77777777">
            <w:pPr>
              <w:snapToGrid w:val="0"/>
              <w:rPr>
                <w:rFonts w:ascii="Times New Roman" w:hAnsi="Times New Roman"/>
                <w:snapToGrid/>
                <w:szCs w:val="24"/>
              </w:rPr>
            </w:pPr>
            <w:r w:rsidRPr="00886C32">
              <w:rPr>
                <w:rFonts w:ascii="Times New Roman" w:hAnsi="Times New Roman"/>
                <w:snapToGrid/>
                <w:szCs w:val="24"/>
              </w:rPr>
              <w:t>725</w:t>
            </w:r>
          </w:p>
        </w:tc>
        <w:tc>
          <w:tcPr>
            <w:tcW w:w="1620" w:type="dxa"/>
          </w:tcPr>
          <w:p w:rsidRPr="00886C32" w:rsidR="00886C32" w:rsidP="00886C32" w:rsidRDefault="00886C32" w14:paraId="4796CE5D" w14:textId="77777777">
            <w:pPr>
              <w:snapToGrid w:val="0"/>
              <w:rPr>
                <w:rFonts w:ascii="Times New Roman" w:hAnsi="Times New Roman"/>
                <w:snapToGrid/>
                <w:szCs w:val="24"/>
              </w:rPr>
            </w:pPr>
            <w:r w:rsidRPr="00886C32">
              <w:rPr>
                <w:rFonts w:ascii="Times New Roman" w:hAnsi="Times New Roman"/>
                <w:snapToGrid/>
                <w:szCs w:val="24"/>
              </w:rPr>
              <w:t>2 hrs</w:t>
            </w:r>
          </w:p>
        </w:tc>
        <w:tc>
          <w:tcPr>
            <w:tcW w:w="990" w:type="dxa"/>
          </w:tcPr>
          <w:p w:rsidRPr="00886C32" w:rsidR="00886C32" w:rsidP="00886C32" w:rsidRDefault="00886C32" w14:paraId="7F778EB0" w14:textId="77777777">
            <w:pPr>
              <w:snapToGrid w:val="0"/>
              <w:rPr>
                <w:rFonts w:ascii="Times New Roman" w:hAnsi="Times New Roman"/>
                <w:snapToGrid/>
                <w:szCs w:val="24"/>
              </w:rPr>
            </w:pPr>
            <w:r w:rsidRPr="00886C32">
              <w:rPr>
                <w:rFonts w:ascii="Times New Roman" w:hAnsi="Times New Roman"/>
                <w:snapToGrid/>
                <w:szCs w:val="24"/>
              </w:rPr>
              <w:t>1,450</w:t>
            </w:r>
          </w:p>
        </w:tc>
        <w:tc>
          <w:tcPr>
            <w:tcW w:w="1620" w:type="dxa"/>
          </w:tcPr>
          <w:p w:rsidRPr="00886C32" w:rsidR="00886C32" w:rsidP="00886C32" w:rsidRDefault="00886C32" w14:paraId="28AA0307"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Pr="00886C32" w:rsidR="00886C32" w:rsidP="00886C32" w:rsidRDefault="00886C32" w14:paraId="1D42FE95" w14:textId="77777777">
            <w:pPr>
              <w:snapToGrid w:val="0"/>
              <w:rPr>
                <w:rFonts w:ascii="Times New Roman" w:hAnsi="Times New Roman"/>
                <w:snapToGrid/>
                <w:szCs w:val="24"/>
              </w:rPr>
            </w:pPr>
            <w:r w:rsidRPr="00886C32">
              <w:rPr>
                <w:rFonts w:ascii="Times New Roman" w:hAnsi="Times New Roman"/>
                <w:snapToGrid/>
                <w:szCs w:val="24"/>
              </w:rPr>
              <w:t>$69,716.00</w:t>
            </w:r>
          </w:p>
        </w:tc>
      </w:tr>
      <w:tr w:rsidRPr="00886C32" w:rsidR="00886C32" w:rsidTr="0057211D" w14:paraId="4151A58A" w14:textId="77777777">
        <w:tc>
          <w:tcPr>
            <w:tcW w:w="1530" w:type="dxa"/>
          </w:tcPr>
          <w:p w:rsidRPr="00886C32" w:rsidR="00886C32" w:rsidP="00886C32" w:rsidRDefault="00886C32" w14:paraId="1F037712" w14:textId="77777777">
            <w:pPr>
              <w:snapToGrid w:val="0"/>
              <w:rPr>
                <w:rFonts w:ascii="Times New Roman" w:hAnsi="Times New Roman"/>
                <w:snapToGrid/>
                <w:szCs w:val="24"/>
              </w:rPr>
            </w:pPr>
            <w:r w:rsidRPr="00886C32">
              <w:rPr>
                <w:rFonts w:ascii="Times New Roman" w:hAnsi="Times New Roman"/>
                <w:snapToGrid/>
                <w:szCs w:val="24"/>
              </w:rPr>
              <w:t>Channel sharer/sharee license Applications</w:t>
            </w:r>
          </w:p>
        </w:tc>
        <w:tc>
          <w:tcPr>
            <w:tcW w:w="1620" w:type="dxa"/>
          </w:tcPr>
          <w:p w:rsidRPr="00886C32" w:rsidR="00886C32" w:rsidP="00886C32" w:rsidRDefault="00886C32" w14:paraId="62FBC1C2" w14:textId="77777777">
            <w:pPr>
              <w:snapToGrid w:val="0"/>
              <w:rPr>
                <w:rFonts w:ascii="Times New Roman" w:hAnsi="Times New Roman"/>
                <w:snapToGrid/>
                <w:szCs w:val="24"/>
              </w:rPr>
            </w:pPr>
            <w:r w:rsidRPr="00886C32">
              <w:rPr>
                <w:rFonts w:ascii="Times New Roman" w:hAnsi="Times New Roman"/>
                <w:snapToGrid/>
                <w:szCs w:val="24"/>
              </w:rPr>
              <w:t>200</w:t>
            </w:r>
          </w:p>
        </w:tc>
        <w:tc>
          <w:tcPr>
            <w:tcW w:w="1350" w:type="dxa"/>
          </w:tcPr>
          <w:p w:rsidRPr="00886C32" w:rsidR="00886C32" w:rsidP="00886C32" w:rsidRDefault="00886C32" w14:paraId="6F450F9B" w14:textId="77777777">
            <w:pPr>
              <w:snapToGrid w:val="0"/>
              <w:rPr>
                <w:rFonts w:ascii="Times New Roman" w:hAnsi="Times New Roman"/>
                <w:snapToGrid/>
                <w:szCs w:val="24"/>
              </w:rPr>
            </w:pPr>
            <w:r w:rsidRPr="00886C32">
              <w:rPr>
                <w:rFonts w:ascii="Times New Roman" w:hAnsi="Times New Roman"/>
                <w:snapToGrid/>
                <w:szCs w:val="24"/>
              </w:rPr>
              <w:t>200</w:t>
            </w:r>
          </w:p>
        </w:tc>
        <w:tc>
          <w:tcPr>
            <w:tcW w:w="1620" w:type="dxa"/>
          </w:tcPr>
          <w:p w:rsidRPr="00886C32" w:rsidR="00886C32" w:rsidP="00886C32" w:rsidRDefault="00886C32" w14:paraId="4774AF3C" w14:textId="77777777">
            <w:pPr>
              <w:snapToGrid w:val="0"/>
              <w:rPr>
                <w:rFonts w:ascii="Times New Roman" w:hAnsi="Times New Roman"/>
                <w:snapToGrid/>
                <w:szCs w:val="24"/>
              </w:rPr>
            </w:pPr>
            <w:r w:rsidRPr="00886C32">
              <w:rPr>
                <w:rFonts w:ascii="Times New Roman" w:hAnsi="Times New Roman"/>
                <w:snapToGrid/>
                <w:szCs w:val="24"/>
              </w:rPr>
              <w:t xml:space="preserve">2 hrs </w:t>
            </w:r>
          </w:p>
        </w:tc>
        <w:tc>
          <w:tcPr>
            <w:tcW w:w="990" w:type="dxa"/>
          </w:tcPr>
          <w:p w:rsidRPr="00886C32" w:rsidR="00886C32" w:rsidP="00886C32" w:rsidRDefault="00886C32" w14:paraId="6273696F" w14:textId="77777777">
            <w:pPr>
              <w:snapToGrid w:val="0"/>
              <w:rPr>
                <w:rFonts w:ascii="Times New Roman" w:hAnsi="Times New Roman"/>
                <w:snapToGrid/>
                <w:szCs w:val="24"/>
              </w:rPr>
            </w:pPr>
            <w:r w:rsidRPr="00886C32">
              <w:rPr>
                <w:rFonts w:ascii="Times New Roman" w:hAnsi="Times New Roman"/>
                <w:snapToGrid/>
                <w:szCs w:val="24"/>
              </w:rPr>
              <w:t>400 hrs</w:t>
            </w:r>
          </w:p>
        </w:tc>
        <w:tc>
          <w:tcPr>
            <w:tcW w:w="1620" w:type="dxa"/>
          </w:tcPr>
          <w:p w:rsidRPr="00886C32" w:rsidR="00886C32" w:rsidP="00886C32" w:rsidRDefault="00886C32" w14:paraId="00A0C2F6"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Pr="00886C32" w:rsidR="00886C32" w:rsidP="00886C32" w:rsidRDefault="00886C32" w14:paraId="3263FF9B" w14:textId="77777777">
            <w:pPr>
              <w:snapToGrid w:val="0"/>
              <w:rPr>
                <w:rFonts w:ascii="Times New Roman" w:hAnsi="Times New Roman"/>
                <w:snapToGrid/>
                <w:szCs w:val="24"/>
              </w:rPr>
            </w:pPr>
            <w:r w:rsidRPr="00886C32">
              <w:rPr>
                <w:rFonts w:ascii="Times New Roman" w:hAnsi="Times New Roman"/>
                <w:snapToGrid/>
                <w:szCs w:val="24"/>
              </w:rPr>
              <w:t>$19,232.00</w:t>
            </w:r>
          </w:p>
        </w:tc>
      </w:tr>
      <w:tr w:rsidRPr="00886C32" w:rsidR="0057211D" w:rsidTr="0057211D" w14:paraId="6E23266B" w14:textId="77777777">
        <w:tc>
          <w:tcPr>
            <w:tcW w:w="1530" w:type="dxa"/>
          </w:tcPr>
          <w:p w:rsidRPr="00886C32" w:rsidR="0057211D" w:rsidP="0057211D" w:rsidRDefault="0057211D" w14:paraId="7448885E" w14:textId="77777777">
            <w:pPr>
              <w:snapToGrid w:val="0"/>
              <w:rPr>
                <w:rFonts w:ascii="Times New Roman" w:hAnsi="Times New Roman"/>
                <w:snapToGrid/>
                <w:szCs w:val="24"/>
              </w:rPr>
            </w:pPr>
            <w:r w:rsidRPr="00886C32">
              <w:rPr>
                <w:rFonts w:ascii="Times New Roman" w:hAnsi="Times New Roman"/>
                <w:snapToGrid/>
                <w:szCs w:val="24"/>
              </w:rPr>
              <w:t>Notification of dissolution of channel sharing agreement</w:t>
            </w:r>
          </w:p>
        </w:tc>
        <w:tc>
          <w:tcPr>
            <w:tcW w:w="1620" w:type="dxa"/>
          </w:tcPr>
          <w:p w:rsidRPr="00886C32" w:rsidR="0057211D" w:rsidP="0057211D" w:rsidRDefault="0057211D" w14:paraId="1DA46F98" w14:textId="77777777">
            <w:pPr>
              <w:snapToGrid w:val="0"/>
              <w:rPr>
                <w:rFonts w:ascii="Times New Roman" w:hAnsi="Times New Roman"/>
                <w:snapToGrid/>
                <w:szCs w:val="24"/>
              </w:rPr>
            </w:pPr>
            <w:r w:rsidRPr="00886C32">
              <w:rPr>
                <w:rFonts w:ascii="Times New Roman" w:hAnsi="Times New Roman"/>
                <w:snapToGrid/>
                <w:szCs w:val="24"/>
              </w:rPr>
              <w:t>30</w:t>
            </w:r>
          </w:p>
        </w:tc>
        <w:tc>
          <w:tcPr>
            <w:tcW w:w="1350" w:type="dxa"/>
          </w:tcPr>
          <w:p w:rsidRPr="00886C32" w:rsidR="0057211D" w:rsidP="0057211D" w:rsidRDefault="0057211D" w14:paraId="4859CDFE" w14:textId="77777777">
            <w:pPr>
              <w:snapToGrid w:val="0"/>
              <w:rPr>
                <w:rFonts w:ascii="Times New Roman" w:hAnsi="Times New Roman"/>
                <w:snapToGrid/>
                <w:szCs w:val="24"/>
              </w:rPr>
            </w:pPr>
            <w:r w:rsidRPr="00886C32">
              <w:rPr>
                <w:rFonts w:ascii="Times New Roman" w:hAnsi="Times New Roman"/>
                <w:snapToGrid/>
                <w:szCs w:val="24"/>
              </w:rPr>
              <w:t>30</w:t>
            </w:r>
          </w:p>
        </w:tc>
        <w:tc>
          <w:tcPr>
            <w:tcW w:w="1620" w:type="dxa"/>
          </w:tcPr>
          <w:p w:rsidRPr="00886C32" w:rsidR="0057211D" w:rsidP="0057211D" w:rsidRDefault="0057211D" w14:paraId="384076D2" w14:textId="77777777">
            <w:pPr>
              <w:snapToGrid w:val="0"/>
              <w:rPr>
                <w:rFonts w:ascii="Times New Roman" w:hAnsi="Times New Roman"/>
                <w:snapToGrid/>
                <w:szCs w:val="24"/>
              </w:rPr>
            </w:pPr>
            <w:r w:rsidRPr="00886C32">
              <w:rPr>
                <w:rFonts w:ascii="Times New Roman" w:hAnsi="Times New Roman"/>
                <w:snapToGrid/>
                <w:szCs w:val="24"/>
              </w:rPr>
              <w:t xml:space="preserve">2 hrs </w:t>
            </w:r>
          </w:p>
        </w:tc>
        <w:tc>
          <w:tcPr>
            <w:tcW w:w="990" w:type="dxa"/>
          </w:tcPr>
          <w:p w:rsidRPr="00886C32" w:rsidR="0057211D" w:rsidP="0057211D" w:rsidRDefault="0057211D" w14:paraId="1C1B1F32" w14:textId="77777777">
            <w:pPr>
              <w:snapToGrid w:val="0"/>
              <w:rPr>
                <w:rFonts w:ascii="Times New Roman" w:hAnsi="Times New Roman"/>
                <w:snapToGrid/>
                <w:szCs w:val="24"/>
              </w:rPr>
            </w:pPr>
            <w:r w:rsidRPr="00886C32">
              <w:rPr>
                <w:rFonts w:ascii="Times New Roman" w:hAnsi="Times New Roman"/>
                <w:snapToGrid/>
                <w:szCs w:val="24"/>
              </w:rPr>
              <w:t>60 hrs</w:t>
            </w:r>
          </w:p>
        </w:tc>
        <w:tc>
          <w:tcPr>
            <w:tcW w:w="1620" w:type="dxa"/>
          </w:tcPr>
          <w:p w:rsidRPr="00886C32" w:rsidR="0057211D" w:rsidP="0057211D" w:rsidRDefault="0057211D" w14:paraId="578890E3"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Pr="00886C32" w:rsidR="0057211D" w:rsidP="0057211D" w:rsidRDefault="0057211D" w14:paraId="2D2B387F" w14:textId="77777777">
            <w:pPr>
              <w:snapToGrid w:val="0"/>
              <w:rPr>
                <w:rFonts w:ascii="Times New Roman" w:hAnsi="Times New Roman"/>
                <w:snapToGrid/>
                <w:szCs w:val="24"/>
              </w:rPr>
            </w:pPr>
            <w:r>
              <w:rPr>
                <w:rFonts w:ascii="Times New Roman" w:hAnsi="Times New Roman"/>
                <w:snapToGrid/>
                <w:szCs w:val="24"/>
              </w:rPr>
              <w:t xml:space="preserve">$2,884.80 </w:t>
            </w:r>
          </w:p>
        </w:tc>
      </w:tr>
      <w:tr w:rsidRPr="00886C32" w:rsidR="0057211D" w:rsidTr="0057211D" w14:paraId="7D65A192" w14:textId="77777777">
        <w:tc>
          <w:tcPr>
            <w:tcW w:w="1530" w:type="dxa"/>
          </w:tcPr>
          <w:p w:rsidRPr="00886C32" w:rsidR="0057211D" w:rsidP="0057211D" w:rsidRDefault="0057211D" w14:paraId="5585BF3F" w14:textId="77777777">
            <w:pPr>
              <w:snapToGrid w:val="0"/>
              <w:rPr>
                <w:rFonts w:ascii="Times New Roman" w:hAnsi="Times New Roman"/>
                <w:snapToGrid/>
                <w:szCs w:val="24"/>
              </w:rPr>
            </w:pPr>
            <w:r>
              <w:rPr>
                <w:rFonts w:ascii="Times New Roman" w:hAnsi="Times New Roman"/>
                <w:snapToGrid/>
                <w:szCs w:val="24"/>
              </w:rPr>
              <w:t>Non-auction channel sharing license applications</w:t>
            </w:r>
          </w:p>
        </w:tc>
        <w:tc>
          <w:tcPr>
            <w:tcW w:w="1620" w:type="dxa"/>
          </w:tcPr>
          <w:p w:rsidRPr="00886C32" w:rsidR="0057211D" w:rsidP="0057211D" w:rsidRDefault="0057211D" w14:paraId="0706AEC7" w14:textId="77777777">
            <w:pPr>
              <w:snapToGrid w:val="0"/>
              <w:rPr>
                <w:rFonts w:ascii="Times New Roman" w:hAnsi="Times New Roman"/>
                <w:snapToGrid/>
                <w:szCs w:val="24"/>
              </w:rPr>
            </w:pPr>
            <w:r>
              <w:rPr>
                <w:rFonts w:ascii="Times New Roman" w:hAnsi="Times New Roman"/>
                <w:snapToGrid/>
                <w:szCs w:val="24"/>
              </w:rPr>
              <w:t>20</w:t>
            </w:r>
          </w:p>
        </w:tc>
        <w:tc>
          <w:tcPr>
            <w:tcW w:w="1350" w:type="dxa"/>
          </w:tcPr>
          <w:p w:rsidRPr="00886C32" w:rsidR="0057211D" w:rsidP="0057211D" w:rsidRDefault="0057211D" w14:paraId="266BC86F" w14:textId="77777777">
            <w:pPr>
              <w:snapToGrid w:val="0"/>
              <w:rPr>
                <w:rFonts w:ascii="Times New Roman" w:hAnsi="Times New Roman"/>
                <w:snapToGrid/>
                <w:szCs w:val="24"/>
              </w:rPr>
            </w:pPr>
            <w:r>
              <w:rPr>
                <w:rFonts w:ascii="Times New Roman" w:hAnsi="Times New Roman"/>
                <w:snapToGrid/>
                <w:szCs w:val="24"/>
              </w:rPr>
              <w:t>20</w:t>
            </w:r>
          </w:p>
        </w:tc>
        <w:tc>
          <w:tcPr>
            <w:tcW w:w="1620" w:type="dxa"/>
          </w:tcPr>
          <w:p w:rsidRPr="00886C32" w:rsidR="0057211D" w:rsidP="0057211D" w:rsidRDefault="0057211D" w14:paraId="0FF51063" w14:textId="77777777">
            <w:pPr>
              <w:snapToGrid w:val="0"/>
              <w:rPr>
                <w:rFonts w:ascii="Times New Roman" w:hAnsi="Times New Roman"/>
                <w:snapToGrid/>
                <w:szCs w:val="24"/>
              </w:rPr>
            </w:pPr>
            <w:r w:rsidRPr="00886C32">
              <w:rPr>
                <w:rFonts w:ascii="Times New Roman" w:hAnsi="Times New Roman"/>
                <w:snapToGrid/>
                <w:szCs w:val="24"/>
              </w:rPr>
              <w:t xml:space="preserve">2 hrs </w:t>
            </w:r>
          </w:p>
        </w:tc>
        <w:tc>
          <w:tcPr>
            <w:tcW w:w="990" w:type="dxa"/>
          </w:tcPr>
          <w:p w:rsidRPr="00886C32" w:rsidR="0057211D" w:rsidP="0057211D" w:rsidRDefault="0057211D" w14:paraId="47825312" w14:textId="77777777">
            <w:pPr>
              <w:snapToGrid w:val="0"/>
              <w:rPr>
                <w:rFonts w:ascii="Times New Roman" w:hAnsi="Times New Roman"/>
                <w:snapToGrid/>
                <w:szCs w:val="24"/>
              </w:rPr>
            </w:pPr>
            <w:r>
              <w:rPr>
                <w:rFonts w:ascii="Times New Roman" w:hAnsi="Times New Roman"/>
                <w:snapToGrid/>
                <w:szCs w:val="24"/>
              </w:rPr>
              <w:t>4</w:t>
            </w:r>
            <w:r w:rsidRPr="00886C32">
              <w:rPr>
                <w:rFonts w:ascii="Times New Roman" w:hAnsi="Times New Roman"/>
                <w:snapToGrid/>
                <w:szCs w:val="24"/>
              </w:rPr>
              <w:t>0 hrs</w:t>
            </w:r>
          </w:p>
        </w:tc>
        <w:tc>
          <w:tcPr>
            <w:tcW w:w="1620" w:type="dxa"/>
          </w:tcPr>
          <w:p w:rsidRPr="00886C32" w:rsidR="0057211D" w:rsidP="0057211D" w:rsidRDefault="0057211D" w14:paraId="6DB9C0B6" w14:textId="77777777">
            <w:pPr>
              <w:snapToGrid w:val="0"/>
              <w:rPr>
                <w:rFonts w:ascii="Times New Roman" w:hAnsi="Times New Roman"/>
                <w:snapToGrid/>
                <w:szCs w:val="24"/>
              </w:rPr>
            </w:pPr>
            <w:r w:rsidRPr="00886C32">
              <w:rPr>
                <w:rFonts w:ascii="Times New Roman" w:hAnsi="Times New Roman"/>
                <w:snapToGrid/>
                <w:szCs w:val="24"/>
              </w:rPr>
              <w:t>$48.08</w:t>
            </w:r>
          </w:p>
        </w:tc>
        <w:tc>
          <w:tcPr>
            <w:tcW w:w="1350" w:type="dxa"/>
          </w:tcPr>
          <w:p w:rsidRPr="00886C32" w:rsidR="0057211D" w:rsidP="0057211D" w:rsidRDefault="0057211D" w14:paraId="0A230AE5" w14:textId="77777777">
            <w:pPr>
              <w:snapToGrid w:val="0"/>
              <w:rPr>
                <w:rFonts w:ascii="Times New Roman" w:hAnsi="Times New Roman"/>
                <w:snapToGrid/>
                <w:szCs w:val="24"/>
              </w:rPr>
            </w:pPr>
            <w:r w:rsidRPr="00886C32">
              <w:rPr>
                <w:rFonts w:ascii="Times New Roman" w:hAnsi="Times New Roman"/>
                <w:snapToGrid/>
                <w:szCs w:val="24"/>
              </w:rPr>
              <w:t>$</w:t>
            </w:r>
            <w:r>
              <w:rPr>
                <w:rFonts w:ascii="Times New Roman" w:hAnsi="Times New Roman"/>
                <w:snapToGrid/>
                <w:szCs w:val="24"/>
              </w:rPr>
              <w:t xml:space="preserve">1,923.20 </w:t>
            </w:r>
          </w:p>
        </w:tc>
      </w:tr>
      <w:tr w:rsidRPr="00886C32" w:rsidR="0057211D" w:rsidTr="0057211D" w14:paraId="3C9187B9" w14:textId="77777777">
        <w:tc>
          <w:tcPr>
            <w:tcW w:w="10080" w:type="dxa"/>
            <w:gridSpan w:val="7"/>
          </w:tcPr>
          <w:p w:rsidRPr="00886C32" w:rsidR="0057211D" w:rsidP="0057211D" w:rsidRDefault="0057211D" w14:paraId="3EF44896" w14:textId="77777777">
            <w:pPr>
              <w:keepNext/>
              <w:snapToGrid w:val="0"/>
              <w:rPr>
                <w:rFonts w:ascii="Times New Roman" w:hAnsi="Times New Roman"/>
                <w:snapToGrid/>
                <w:szCs w:val="24"/>
              </w:rPr>
            </w:pPr>
          </w:p>
        </w:tc>
      </w:tr>
      <w:tr w:rsidRPr="00886C32" w:rsidR="0057211D" w:rsidTr="0057211D" w14:paraId="42271F27" w14:textId="77777777">
        <w:tc>
          <w:tcPr>
            <w:tcW w:w="1530" w:type="dxa"/>
          </w:tcPr>
          <w:p w:rsidRPr="00886C32" w:rsidR="0057211D" w:rsidP="0057211D" w:rsidRDefault="0057211D" w14:paraId="361086E5" w14:textId="77777777">
            <w:pPr>
              <w:snapToGrid w:val="0"/>
              <w:rPr>
                <w:rFonts w:ascii="Times New Roman" w:hAnsi="Times New Roman"/>
                <w:b/>
                <w:snapToGrid/>
                <w:szCs w:val="24"/>
              </w:rPr>
            </w:pPr>
            <w:r w:rsidRPr="00886C32">
              <w:rPr>
                <w:rFonts w:ascii="Times New Roman" w:hAnsi="Times New Roman"/>
                <w:b/>
                <w:snapToGrid/>
                <w:szCs w:val="24"/>
              </w:rPr>
              <w:t>Total</w:t>
            </w:r>
          </w:p>
        </w:tc>
        <w:tc>
          <w:tcPr>
            <w:tcW w:w="1620" w:type="dxa"/>
          </w:tcPr>
          <w:p w:rsidRPr="00886C32" w:rsidR="0057211D" w:rsidP="0057211D" w:rsidRDefault="0057211D" w14:paraId="3313CBFE" w14:textId="77777777">
            <w:pPr>
              <w:snapToGrid w:val="0"/>
              <w:rPr>
                <w:rFonts w:ascii="Times New Roman" w:hAnsi="Times New Roman"/>
                <w:b/>
                <w:snapToGrid/>
                <w:szCs w:val="24"/>
              </w:rPr>
            </w:pPr>
            <w:r w:rsidRPr="00886C32">
              <w:rPr>
                <w:rFonts w:ascii="Times New Roman" w:hAnsi="Times New Roman"/>
                <w:b/>
                <w:snapToGrid/>
                <w:szCs w:val="24"/>
              </w:rPr>
              <w:t>9</w:t>
            </w:r>
            <w:r>
              <w:rPr>
                <w:rFonts w:ascii="Times New Roman" w:hAnsi="Times New Roman"/>
                <w:b/>
                <w:snapToGrid/>
                <w:szCs w:val="24"/>
              </w:rPr>
              <w:t>7</w:t>
            </w:r>
            <w:r w:rsidRPr="00886C32">
              <w:rPr>
                <w:rFonts w:ascii="Times New Roman" w:hAnsi="Times New Roman"/>
                <w:b/>
                <w:snapToGrid/>
                <w:szCs w:val="24"/>
              </w:rPr>
              <w:t>5</w:t>
            </w:r>
          </w:p>
        </w:tc>
        <w:tc>
          <w:tcPr>
            <w:tcW w:w="1350" w:type="dxa"/>
          </w:tcPr>
          <w:p w:rsidRPr="00886C32" w:rsidR="0057211D" w:rsidP="0057211D" w:rsidRDefault="0057211D" w14:paraId="1985B015" w14:textId="77777777">
            <w:pPr>
              <w:snapToGrid w:val="0"/>
              <w:rPr>
                <w:rFonts w:ascii="Times New Roman" w:hAnsi="Times New Roman"/>
                <w:b/>
                <w:snapToGrid/>
                <w:szCs w:val="24"/>
              </w:rPr>
            </w:pPr>
            <w:r w:rsidRPr="00886C32">
              <w:rPr>
                <w:rFonts w:ascii="Times New Roman" w:hAnsi="Times New Roman"/>
                <w:b/>
                <w:snapToGrid/>
                <w:szCs w:val="24"/>
              </w:rPr>
              <w:t>9</w:t>
            </w:r>
            <w:r>
              <w:rPr>
                <w:rFonts w:ascii="Times New Roman" w:hAnsi="Times New Roman"/>
                <w:b/>
                <w:snapToGrid/>
                <w:szCs w:val="24"/>
              </w:rPr>
              <w:t>7</w:t>
            </w:r>
            <w:r w:rsidRPr="00886C32">
              <w:rPr>
                <w:rFonts w:ascii="Times New Roman" w:hAnsi="Times New Roman"/>
                <w:b/>
                <w:snapToGrid/>
                <w:szCs w:val="24"/>
              </w:rPr>
              <w:t>5</w:t>
            </w:r>
          </w:p>
        </w:tc>
        <w:tc>
          <w:tcPr>
            <w:tcW w:w="1620" w:type="dxa"/>
          </w:tcPr>
          <w:p w:rsidRPr="00886C32" w:rsidR="0057211D" w:rsidP="0057211D" w:rsidRDefault="0057211D" w14:paraId="38C0E32E" w14:textId="77777777">
            <w:pPr>
              <w:snapToGrid w:val="0"/>
              <w:rPr>
                <w:rFonts w:ascii="Times New Roman" w:hAnsi="Times New Roman"/>
                <w:b/>
                <w:snapToGrid/>
                <w:szCs w:val="24"/>
              </w:rPr>
            </w:pPr>
            <w:r w:rsidRPr="00886C32">
              <w:rPr>
                <w:rFonts w:ascii="Times New Roman" w:hAnsi="Times New Roman"/>
                <w:b/>
                <w:snapToGrid/>
                <w:szCs w:val="24"/>
              </w:rPr>
              <w:t>2 hours each</w:t>
            </w:r>
          </w:p>
        </w:tc>
        <w:tc>
          <w:tcPr>
            <w:tcW w:w="990" w:type="dxa"/>
          </w:tcPr>
          <w:p w:rsidRPr="00886C32" w:rsidR="0057211D" w:rsidP="0057211D" w:rsidRDefault="0057211D" w14:paraId="5AD83579" w14:textId="77777777">
            <w:pPr>
              <w:snapToGrid w:val="0"/>
              <w:rPr>
                <w:rFonts w:ascii="Times New Roman" w:hAnsi="Times New Roman"/>
                <w:b/>
                <w:snapToGrid/>
                <w:szCs w:val="24"/>
              </w:rPr>
            </w:pPr>
            <w:r w:rsidRPr="00886C32">
              <w:rPr>
                <w:rFonts w:ascii="Times New Roman" w:hAnsi="Times New Roman"/>
                <w:b/>
                <w:snapToGrid/>
                <w:szCs w:val="24"/>
              </w:rPr>
              <w:t xml:space="preserve"> 1,</w:t>
            </w:r>
            <w:r>
              <w:rPr>
                <w:rFonts w:ascii="Times New Roman" w:hAnsi="Times New Roman"/>
                <w:b/>
                <w:snapToGrid/>
                <w:szCs w:val="24"/>
              </w:rPr>
              <w:t>950</w:t>
            </w:r>
            <w:r w:rsidRPr="00886C32">
              <w:rPr>
                <w:rFonts w:ascii="Times New Roman" w:hAnsi="Times New Roman"/>
                <w:b/>
                <w:snapToGrid/>
                <w:szCs w:val="24"/>
              </w:rPr>
              <w:t xml:space="preserve"> h</w:t>
            </w:r>
            <w:r>
              <w:rPr>
                <w:rFonts w:ascii="Times New Roman" w:hAnsi="Times New Roman"/>
                <w:b/>
                <w:snapToGrid/>
                <w:szCs w:val="24"/>
              </w:rPr>
              <w:t>ours</w:t>
            </w:r>
          </w:p>
        </w:tc>
        <w:tc>
          <w:tcPr>
            <w:tcW w:w="1620" w:type="dxa"/>
          </w:tcPr>
          <w:p w:rsidRPr="00886C32" w:rsidR="0057211D" w:rsidP="0057211D" w:rsidRDefault="0057211D" w14:paraId="33885406" w14:textId="77777777">
            <w:pPr>
              <w:snapToGrid w:val="0"/>
              <w:rPr>
                <w:rFonts w:ascii="Times New Roman" w:hAnsi="Times New Roman"/>
                <w:b/>
                <w:snapToGrid/>
                <w:szCs w:val="24"/>
              </w:rPr>
            </w:pPr>
            <w:r w:rsidRPr="00886C32">
              <w:rPr>
                <w:rFonts w:ascii="Times New Roman" w:hAnsi="Times New Roman"/>
                <w:b/>
                <w:snapToGrid/>
                <w:szCs w:val="24"/>
              </w:rPr>
              <w:t>$48.08</w:t>
            </w:r>
          </w:p>
        </w:tc>
        <w:tc>
          <w:tcPr>
            <w:tcW w:w="1350" w:type="dxa"/>
          </w:tcPr>
          <w:p w:rsidRPr="00886C32" w:rsidR="0057211D" w:rsidP="0057211D" w:rsidRDefault="0057211D" w14:paraId="100C47B2" w14:textId="77777777">
            <w:pPr>
              <w:snapToGrid w:val="0"/>
              <w:rPr>
                <w:rFonts w:ascii="Times New Roman" w:hAnsi="Times New Roman"/>
                <w:b/>
                <w:snapToGrid/>
                <w:szCs w:val="24"/>
              </w:rPr>
            </w:pPr>
            <w:r>
              <w:rPr>
                <w:rFonts w:ascii="Times New Roman" w:hAnsi="Times New Roman"/>
                <w:b/>
                <w:snapToGrid/>
                <w:szCs w:val="24"/>
              </w:rPr>
              <w:t>$95,679.00</w:t>
            </w:r>
          </w:p>
        </w:tc>
      </w:tr>
      <w:tr w:rsidRPr="00886C32" w:rsidR="0057211D" w:rsidTr="0057211D" w14:paraId="2948D1A3" w14:textId="77777777">
        <w:trPr>
          <w:cantSplit/>
        </w:trPr>
        <w:tc>
          <w:tcPr>
            <w:tcW w:w="10080" w:type="dxa"/>
            <w:gridSpan w:val="7"/>
          </w:tcPr>
          <w:p w:rsidRPr="00886C32" w:rsidR="0057211D" w:rsidP="0057211D" w:rsidRDefault="0057211D" w14:paraId="71E2EA70" w14:textId="77777777">
            <w:pPr>
              <w:snapToGrid w:val="0"/>
              <w:rPr>
                <w:rFonts w:ascii="Times New Roman" w:hAnsi="Times New Roman"/>
                <w:snapToGrid/>
                <w:szCs w:val="24"/>
              </w:rPr>
            </w:pPr>
          </w:p>
        </w:tc>
      </w:tr>
    </w:tbl>
    <w:p w:rsidR="00395F2C" w:rsidRDefault="00395F2C" w14:paraId="699F12EF" w14:textId="77777777">
      <w:pPr>
        <w:suppressAutoHyphens/>
        <w:rPr>
          <w:rFonts w:ascii="Times New Roman" w:hAnsi="Times New Roman"/>
          <w:spacing w:val="-3"/>
        </w:rPr>
      </w:pPr>
    </w:p>
    <w:p w:rsidR="00C97969" w:rsidRDefault="00C97969" w14:paraId="16A647EC" w14:textId="77777777">
      <w:pPr>
        <w:suppressAutoHyphens/>
        <w:rPr>
          <w:rFonts w:ascii="Times New Roman" w:hAnsi="Times New Roman"/>
          <w:spacing w:val="-3"/>
        </w:rPr>
      </w:pPr>
    </w:p>
    <w:p w:rsidR="00437D32" w:rsidRDefault="00437D32" w14:paraId="0421EE32" w14:textId="77777777">
      <w:pPr>
        <w:suppressAutoHyphens/>
        <w:rPr>
          <w:rFonts w:ascii="Times New Roman" w:hAnsi="Times New Roman"/>
          <w:spacing w:val="-3"/>
        </w:rPr>
      </w:pPr>
    </w:p>
    <w:p w:rsidR="00437D32" w:rsidRDefault="00437D32" w14:paraId="24BBB641" w14:textId="77777777">
      <w:pPr>
        <w:suppressAutoHyphens/>
        <w:rPr>
          <w:rFonts w:ascii="Times New Roman" w:hAnsi="Times New Roman"/>
          <w:spacing w:val="-3"/>
        </w:rPr>
      </w:pPr>
    </w:p>
    <w:p w:rsidR="00437D32" w:rsidRDefault="00437D32" w14:paraId="504B9708" w14:textId="77777777">
      <w:pPr>
        <w:suppressAutoHyphens/>
        <w:rPr>
          <w:rFonts w:ascii="Times New Roman" w:hAnsi="Times New Roman"/>
          <w:spacing w:val="-3"/>
        </w:rPr>
      </w:pPr>
    </w:p>
    <w:p w:rsidR="00437D32" w:rsidRDefault="00437D32" w14:paraId="7EEDE951" w14:textId="77777777">
      <w:pPr>
        <w:suppressAutoHyphens/>
        <w:rPr>
          <w:rFonts w:ascii="Times New Roman" w:hAnsi="Times New Roman"/>
          <w:spacing w:val="-3"/>
        </w:rPr>
      </w:pPr>
    </w:p>
    <w:p w:rsidR="00437D32" w:rsidRDefault="00437D32" w14:paraId="081CB959" w14:textId="77777777">
      <w:pPr>
        <w:suppressAutoHyphens/>
        <w:rPr>
          <w:rFonts w:ascii="Times New Roman" w:hAnsi="Times New Roman"/>
          <w:spacing w:val="-3"/>
        </w:rPr>
      </w:pPr>
    </w:p>
    <w:p w:rsidRPr="00807CC2" w:rsidR="00886C32" w:rsidP="00886C32" w:rsidRDefault="00886C32" w14:paraId="50FF349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r w:rsidRPr="00807CC2">
        <w:rPr>
          <w:rFonts w:ascii="Times New Roman" w:hAnsi="Times New Roman"/>
          <w:snapToGrid/>
          <w:spacing w:val="-3"/>
          <w:szCs w:val="24"/>
        </w:rPr>
        <w:t>13. Annual Cost Burden to Respondents:</w:t>
      </w:r>
    </w:p>
    <w:p w:rsidRPr="00886C32" w:rsidR="00886C32" w:rsidP="00886C32" w:rsidRDefault="00886C32" w14:paraId="69926E7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rFonts w:ascii="Times New Roman" w:hAnsi="Times New Roman"/>
          <w:snapToGrid/>
          <w:spacing w:val="-3"/>
          <w:szCs w:val="24"/>
        </w:rPr>
      </w:pPr>
    </w:p>
    <w:p w:rsidR="00410329" w:rsidP="000B6886" w:rsidRDefault="00AE2834" w14:paraId="31A46F46" w14:textId="77777777">
      <w:pPr>
        <w:suppressAutoHyphens/>
        <w:rPr>
          <w:rFonts w:ascii="Times New Roman" w:hAnsi="Times New Roman"/>
          <w:spacing w:val="-3"/>
        </w:rPr>
      </w:pPr>
      <w:r w:rsidRPr="003B7509">
        <w:rPr>
          <w:rFonts w:ascii="Times New Roman" w:hAnsi="Times New Roman"/>
          <w:snapToGrid/>
          <w:szCs w:val="24"/>
        </w:rPr>
        <w:t>An application fee must be submitted with</w:t>
      </w:r>
      <w:r w:rsidR="00807CC2">
        <w:rPr>
          <w:rFonts w:ascii="Times New Roman" w:hAnsi="Times New Roman"/>
          <w:snapToGrid/>
          <w:szCs w:val="24"/>
        </w:rPr>
        <w:t xml:space="preserve"> filing of the application ($315</w:t>
      </w:r>
      <w:r w:rsidRPr="003B7509">
        <w:rPr>
          <w:rFonts w:ascii="Times New Roman" w:hAnsi="Times New Roman"/>
          <w:snapToGrid/>
          <w:szCs w:val="24"/>
        </w:rPr>
        <w:t>/application).</w:t>
      </w:r>
      <w:r w:rsidRPr="003B7509" w:rsidR="000B6886">
        <w:rPr>
          <w:rFonts w:ascii="Times New Roman" w:hAnsi="Times New Roman"/>
          <w:spacing w:val="-3"/>
        </w:rPr>
        <w:t xml:space="preserve"> </w:t>
      </w:r>
    </w:p>
    <w:p w:rsidRPr="003B7509" w:rsidR="003B7509" w:rsidP="000B6886" w:rsidRDefault="003B7509" w14:paraId="0C4D9212" w14:textId="77777777">
      <w:pPr>
        <w:suppressAutoHyphens/>
        <w:rPr>
          <w:rFonts w:ascii="Times New Roman" w:hAnsi="Times New Roman"/>
          <w:spacing w:val="-3"/>
        </w:rPr>
      </w:pPr>
    </w:p>
    <w:p w:rsidR="000B6886" w:rsidP="000B6886" w:rsidRDefault="00410329" w14:paraId="16E97483" w14:textId="77777777">
      <w:pPr>
        <w:suppressAutoHyphens/>
        <w:rPr>
          <w:rFonts w:ascii="Times New Roman" w:hAnsi="Times New Roman"/>
          <w:b/>
          <w:snapToGrid/>
          <w:szCs w:val="24"/>
        </w:rPr>
      </w:pPr>
      <w:r w:rsidRPr="003B7509">
        <w:rPr>
          <w:rFonts w:ascii="Times New Roman" w:hAnsi="Times New Roman"/>
          <w:snapToGrid/>
          <w:szCs w:val="24"/>
        </w:rPr>
        <w:t>Total Annual Cost Burden: 9</w:t>
      </w:r>
      <w:r w:rsidR="0057211D">
        <w:rPr>
          <w:rFonts w:ascii="Times New Roman" w:hAnsi="Times New Roman"/>
          <w:snapToGrid/>
          <w:szCs w:val="24"/>
        </w:rPr>
        <w:t>7</w:t>
      </w:r>
      <w:r w:rsidRPr="003B7509">
        <w:rPr>
          <w:rFonts w:ascii="Times New Roman" w:hAnsi="Times New Roman"/>
          <w:snapToGrid/>
          <w:szCs w:val="24"/>
        </w:rPr>
        <w:t xml:space="preserve">5 applications x $315/application = </w:t>
      </w:r>
      <w:r w:rsidRPr="003B7509">
        <w:rPr>
          <w:rFonts w:ascii="Times New Roman" w:hAnsi="Times New Roman"/>
          <w:b/>
          <w:snapToGrid/>
          <w:szCs w:val="24"/>
        </w:rPr>
        <w:t>$</w:t>
      </w:r>
      <w:r w:rsidR="0057211D">
        <w:rPr>
          <w:rFonts w:ascii="Times New Roman" w:hAnsi="Times New Roman"/>
          <w:b/>
          <w:snapToGrid/>
          <w:szCs w:val="24"/>
        </w:rPr>
        <w:t>307,125.00</w:t>
      </w:r>
    </w:p>
    <w:p w:rsidR="00A65E17" w:rsidP="000B6886" w:rsidRDefault="00A65E17" w14:paraId="1527935E" w14:textId="77777777">
      <w:pPr>
        <w:suppressAutoHyphens/>
        <w:rPr>
          <w:rFonts w:ascii="Times New Roman" w:hAnsi="Times New Roman"/>
          <w:b/>
          <w:snapToGrid/>
          <w:szCs w:val="24"/>
        </w:rPr>
      </w:pPr>
    </w:p>
    <w:p w:rsidR="000B6886" w:rsidP="000B6886" w:rsidRDefault="000B6886" w14:paraId="2A4D4575" w14:textId="77777777">
      <w:pPr>
        <w:suppressAutoHyphens/>
        <w:rPr>
          <w:rFonts w:ascii="Times New Roman" w:hAnsi="Times New Roman"/>
          <w:spacing w:val="-3"/>
        </w:rPr>
      </w:pPr>
      <w:r>
        <w:rPr>
          <w:rFonts w:ascii="Times New Roman" w:hAnsi="Times New Roman"/>
          <w:spacing w:val="-3"/>
        </w:rPr>
        <w:t>14.  Cost to the Federal Government:  The Commission will use professionals at the GS-13, step 5 level ($</w:t>
      </w:r>
      <w:r w:rsidR="0057211D">
        <w:rPr>
          <w:rFonts w:ascii="Times New Roman" w:hAnsi="Times New Roman"/>
          <w:spacing w:val="-3"/>
        </w:rPr>
        <w:t>5</w:t>
      </w:r>
      <w:r w:rsidR="00437D32">
        <w:rPr>
          <w:rFonts w:ascii="Times New Roman" w:hAnsi="Times New Roman"/>
          <w:spacing w:val="-3"/>
        </w:rPr>
        <w:t>5.75</w:t>
      </w:r>
      <w:r>
        <w:rPr>
          <w:rFonts w:ascii="Times New Roman" w:hAnsi="Times New Roman"/>
          <w:spacing w:val="-3"/>
        </w:rPr>
        <w:t>/hour) and clerical personnel at the GS-5, step 5 level ($</w:t>
      </w:r>
      <w:r w:rsidR="00437D32">
        <w:rPr>
          <w:rFonts w:ascii="Times New Roman" w:hAnsi="Times New Roman"/>
          <w:spacing w:val="-3"/>
        </w:rPr>
        <w:t>21.34</w:t>
      </w:r>
      <w:r>
        <w:rPr>
          <w:rFonts w:ascii="Times New Roman" w:hAnsi="Times New Roman"/>
          <w:spacing w:val="-3"/>
        </w:rPr>
        <w:t>hour) to process the FCC Form 2100, Schedule F applications.</w:t>
      </w:r>
    </w:p>
    <w:p w:rsidR="000B6886" w:rsidP="000B6886" w:rsidRDefault="000B6886" w14:paraId="716E57D7" w14:textId="77777777">
      <w:pPr>
        <w:suppressAutoHyphens/>
        <w:rPr>
          <w:rFonts w:ascii="Times New Roman" w:hAnsi="Times New Roman"/>
          <w:spacing w:val="-3"/>
        </w:rPr>
      </w:pPr>
    </w:p>
    <w:p w:rsidR="000B6886" w:rsidP="000B6886" w:rsidRDefault="000B6886" w14:paraId="312CD81B" w14:textId="77777777">
      <w:pPr>
        <w:suppressAutoHyphens/>
        <w:ind w:firstLine="720"/>
        <w:outlineLvl w:val="0"/>
        <w:rPr>
          <w:rFonts w:ascii="Times New Roman" w:hAnsi="Times New Roman"/>
          <w:spacing w:val="-3"/>
        </w:rPr>
      </w:pPr>
      <w:r>
        <w:rPr>
          <w:rFonts w:ascii="Times New Roman" w:hAnsi="Times New Roman"/>
          <w:spacing w:val="-3"/>
        </w:rPr>
        <w:t>Professional:  2.5 hours x $</w:t>
      </w:r>
      <w:r w:rsidR="0057211D">
        <w:rPr>
          <w:rFonts w:ascii="Times New Roman" w:hAnsi="Times New Roman"/>
          <w:spacing w:val="-3"/>
        </w:rPr>
        <w:t>5</w:t>
      </w:r>
      <w:r w:rsidR="00437D32">
        <w:rPr>
          <w:rFonts w:ascii="Times New Roman" w:hAnsi="Times New Roman"/>
          <w:spacing w:val="-3"/>
        </w:rPr>
        <w:t>5.75</w:t>
      </w:r>
      <w:r>
        <w:rPr>
          <w:rFonts w:ascii="Times New Roman" w:hAnsi="Times New Roman"/>
          <w:spacing w:val="-3"/>
        </w:rPr>
        <w:t>/h</w:t>
      </w:r>
      <w:r w:rsidR="00742468">
        <w:rPr>
          <w:rFonts w:ascii="Times New Roman" w:hAnsi="Times New Roman"/>
          <w:spacing w:val="-3"/>
        </w:rPr>
        <w:t>our x 9</w:t>
      </w:r>
      <w:r w:rsidR="0057211D">
        <w:rPr>
          <w:rFonts w:ascii="Times New Roman" w:hAnsi="Times New Roman"/>
          <w:spacing w:val="-3"/>
        </w:rPr>
        <w:t>75 applications = $1</w:t>
      </w:r>
      <w:r w:rsidR="00437D32">
        <w:rPr>
          <w:rFonts w:ascii="Times New Roman" w:hAnsi="Times New Roman"/>
          <w:spacing w:val="-3"/>
        </w:rPr>
        <w:t>35,890.63</w:t>
      </w:r>
    </w:p>
    <w:p w:rsidR="000B6886" w:rsidP="000B6886" w:rsidRDefault="0057211D" w14:paraId="206B472C" w14:textId="77777777">
      <w:pPr>
        <w:suppressAutoHyphens/>
        <w:ind w:firstLine="720"/>
        <w:rPr>
          <w:rFonts w:ascii="Times New Roman" w:hAnsi="Times New Roman"/>
          <w:spacing w:val="-3"/>
        </w:rPr>
      </w:pPr>
      <w:r>
        <w:rPr>
          <w:rFonts w:ascii="Times New Roman" w:hAnsi="Times New Roman"/>
          <w:spacing w:val="-3"/>
        </w:rPr>
        <w:t xml:space="preserve">Clerical:  </w:t>
      </w:r>
      <w:proofErr w:type="gramStart"/>
      <w:r>
        <w:rPr>
          <w:rFonts w:ascii="Times New Roman" w:hAnsi="Times New Roman"/>
          <w:spacing w:val="-3"/>
        </w:rPr>
        <w:t>1 hour</w:t>
      </w:r>
      <w:proofErr w:type="gramEnd"/>
      <w:r>
        <w:rPr>
          <w:rFonts w:ascii="Times New Roman" w:hAnsi="Times New Roman"/>
          <w:spacing w:val="-3"/>
        </w:rPr>
        <w:t xml:space="preserve"> x $</w:t>
      </w:r>
      <w:r w:rsidR="00437D32">
        <w:rPr>
          <w:rFonts w:ascii="Times New Roman" w:hAnsi="Times New Roman"/>
          <w:spacing w:val="-3"/>
        </w:rPr>
        <w:t>21.34</w:t>
      </w:r>
      <w:r w:rsidR="000B6886">
        <w:rPr>
          <w:rFonts w:ascii="Times New Roman" w:hAnsi="Times New Roman"/>
          <w:spacing w:val="-3"/>
        </w:rPr>
        <w:t xml:space="preserve"> x 9</w:t>
      </w:r>
      <w:r>
        <w:rPr>
          <w:rFonts w:ascii="Times New Roman" w:hAnsi="Times New Roman"/>
          <w:spacing w:val="-3"/>
        </w:rPr>
        <w:t>7</w:t>
      </w:r>
      <w:r w:rsidR="000B6886">
        <w:rPr>
          <w:rFonts w:ascii="Times New Roman" w:hAnsi="Times New Roman"/>
          <w:spacing w:val="-3"/>
        </w:rPr>
        <w:t xml:space="preserve">5 applications                      </w:t>
      </w:r>
      <w:r w:rsidR="00742468">
        <w:rPr>
          <w:rFonts w:ascii="Times New Roman" w:hAnsi="Times New Roman"/>
          <w:spacing w:val="-3"/>
          <w:u w:val="single"/>
        </w:rPr>
        <w:t xml:space="preserve">= $  </w:t>
      </w:r>
      <w:r w:rsidR="00437D32">
        <w:rPr>
          <w:rFonts w:ascii="Times New Roman" w:hAnsi="Times New Roman"/>
          <w:spacing w:val="-3"/>
          <w:u w:val="single"/>
        </w:rPr>
        <w:t>20,806.50</w:t>
      </w:r>
      <w:r w:rsidR="000B6886">
        <w:rPr>
          <w:rFonts w:ascii="Times New Roman" w:hAnsi="Times New Roman"/>
          <w:spacing w:val="-3"/>
          <w:u w:val="single"/>
        </w:rPr>
        <w:t xml:space="preserve">       </w:t>
      </w:r>
    </w:p>
    <w:p w:rsidRPr="00A65E17" w:rsidR="00A65E17" w:rsidP="00A65E17" w:rsidRDefault="000B6886" w14:paraId="4E9621C6" w14:textId="77777777">
      <w:pPr>
        <w:suppressAutoHyphens/>
        <w:ind w:firstLine="720"/>
        <w:rPr>
          <w:rFonts w:ascii="Times New Roman" w:hAnsi="Times New Roman"/>
          <w:b/>
          <w:spacing w:val="-3"/>
          <w:u w:val="single"/>
        </w:rPr>
      </w:pPr>
      <w:r>
        <w:rPr>
          <w:rFonts w:ascii="Times New Roman" w:hAnsi="Times New Roman"/>
          <w:spacing w:val="-3"/>
        </w:rPr>
        <w:t xml:space="preserve">                           </w:t>
      </w:r>
      <w:r w:rsidRPr="00A65E17" w:rsidR="00A65E17">
        <w:rPr>
          <w:rFonts w:ascii="Times New Roman" w:hAnsi="Times New Roman"/>
          <w:b/>
          <w:spacing w:val="-3"/>
        </w:rPr>
        <w:t xml:space="preserve">Total Cost to the Federal Government: </w:t>
      </w:r>
      <w:r w:rsidR="00742468">
        <w:rPr>
          <w:rFonts w:ascii="Times New Roman" w:hAnsi="Times New Roman"/>
          <w:spacing w:val="-3"/>
        </w:rPr>
        <w:t xml:space="preserve">  </w:t>
      </w:r>
      <w:r w:rsidRPr="00437D32" w:rsidR="00742468">
        <w:rPr>
          <w:rFonts w:ascii="Times New Roman" w:hAnsi="Times New Roman"/>
          <w:b/>
          <w:bCs/>
          <w:spacing w:val="-3"/>
        </w:rPr>
        <w:t>$</w:t>
      </w:r>
      <w:r w:rsidRPr="00437D32" w:rsidR="00437D32">
        <w:rPr>
          <w:rFonts w:ascii="Times New Roman" w:hAnsi="Times New Roman"/>
          <w:b/>
          <w:bCs/>
          <w:spacing w:val="-3"/>
        </w:rPr>
        <w:t>156,697.13</w:t>
      </w:r>
    </w:p>
    <w:p w:rsidRPr="002D7FFA" w:rsidR="00083E2C" w:rsidP="00A65E17" w:rsidRDefault="000B6886" w14:paraId="709A8B02" w14:textId="77777777">
      <w:pPr>
        <w:suppressAutoHyphens/>
        <w:ind w:firstLine="720"/>
        <w:rPr>
          <w:rFonts w:ascii="Times New Roman" w:hAnsi="Times New Roman"/>
          <w:spacing w:val="-3"/>
        </w:rPr>
      </w:pPr>
      <w:r>
        <w:rPr>
          <w:rFonts w:ascii="Times New Roman" w:hAnsi="Times New Roman"/>
          <w:spacing w:val="-3"/>
        </w:rPr>
        <w:t xml:space="preserve">                                                                                     </w:t>
      </w:r>
      <w:r w:rsidRPr="002D7FFA" w:rsidR="0079396B">
        <w:rPr>
          <w:rFonts w:ascii="Times New Roman" w:hAnsi="Times New Roman"/>
          <w:spacing w:val="-3"/>
        </w:rPr>
        <w:t xml:space="preserve">                                                        </w:t>
      </w:r>
    </w:p>
    <w:p w:rsidRPr="00807CC2" w:rsidR="002A5F56" w:rsidP="00307CCA" w:rsidRDefault="0079396B" w14:paraId="73D3C302" w14:textId="77777777">
      <w:pPr>
        <w:suppressAutoHyphens/>
        <w:rPr>
          <w:rFonts w:ascii="Times New Roman" w:hAnsi="Times New Roman"/>
          <w:spacing w:val="-3"/>
          <w:szCs w:val="24"/>
        </w:rPr>
      </w:pPr>
      <w:r w:rsidRPr="00807CC2">
        <w:rPr>
          <w:rFonts w:ascii="Times New Roman" w:hAnsi="Times New Roman"/>
          <w:spacing w:val="-3"/>
          <w:szCs w:val="24"/>
        </w:rPr>
        <w:t xml:space="preserve">15.  </w:t>
      </w:r>
      <w:r w:rsidR="00437D32">
        <w:rPr>
          <w:rFonts w:ascii="Times New Roman" w:hAnsi="Times New Roman"/>
          <w:spacing w:val="-3"/>
          <w:szCs w:val="24"/>
        </w:rPr>
        <w:t>There are no program changes or adjustments to this collection.</w:t>
      </w:r>
    </w:p>
    <w:p w:rsidR="003E0ACD" w:rsidP="00307CCA" w:rsidRDefault="003E0ACD" w14:paraId="1DED2A86" w14:textId="77777777">
      <w:pPr>
        <w:suppressAutoHyphens/>
        <w:rPr>
          <w:rFonts w:ascii="Times New Roman" w:hAnsi="Times New Roman"/>
          <w:spacing w:val="-3"/>
        </w:rPr>
      </w:pPr>
    </w:p>
    <w:p w:rsidR="0079396B" w:rsidP="00307CCA" w:rsidRDefault="0079396B" w14:paraId="2E8527D4" w14:textId="77777777">
      <w:pPr>
        <w:suppressAutoHyphens/>
        <w:rPr>
          <w:rFonts w:ascii="Times New Roman" w:hAnsi="Times New Roman"/>
          <w:spacing w:val="-3"/>
        </w:rPr>
      </w:pPr>
      <w:r>
        <w:rPr>
          <w:rFonts w:ascii="Times New Roman" w:hAnsi="Times New Roman"/>
          <w:spacing w:val="-3"/>
        </w:rPr>
        <w:t xml:space="preserve">16.  The data will not be published.  </w:t>
      </w:r>
    </w:p>
    <w:p w:rsidR="0079396B" w:rsidP="00307CCA" w:rsidRDefault="0079396B" w14:paraId="4555BEFD" w14:textId="77777777">
      <w:pPr>
        <w:suppressAutoHyphens/>
        <w:rPr>
          <w:rFonts w:ascii="Times New Roman" w:hAnsi="Times New Roman"/>
          <w:spacing w:val="-3"/>
        </w:rPr>
      </w:pPr>
    </w:p>
    <w:p w:rsidR="0079396B" w:rsidP="000D1AC8" w:rsidRDefault="0079396B" w14:paraId="058CDAFD"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spacing w:val="-3"/>
        </w:rPr>
      </w:pPr>
      <w:r>
        <w:rPr>
          <w:rFonts w:ascii="Times New Roman" w:hAnsi="Times New Roman"/>
          <w:spacing w:val="-3"/>
        </w:rPr>
        <w:t>17. An extension of the waiver not to publish the expiration date on the form is requested.  This will obviate the need for the Commission to update electronic forms upon t</w:t>
      </w:r>
      <w:r w:rsidR="00807CC2">
        <w:rPr>
          <w:rFonts w:ascii="Times New Roman" w:hAnsi="Times New Roman"/>
          <w:spacing w:val="-3"/>
        </w:rPr>
        <w:t>he expiration of the clearance.</w:t>
      </w:r>
      <w:r>
        <w:rPr>
          <w:rFonts w:ascii="Times New Roman" w:hAnsi="Times New Roman"/>
          <w:spacing w:val="-3"/>
        </w:rPr>
        <w:t xml:space="preserve">  OMB approval of the expiration date of the information collection will be displayed at 47 CFR Section 0.408.</w:t>
      </w:r>
    </w:p>
    <w:p w:rsidR="0079396B" w:rsidP="000D1AC8" w:rsidRDefault="0079396B" w14:paraId="07B9BEAE" w14:textId="77777777">
      <w:pPr>
        <w:suppressAutoHyphens/>
        <w:rPr>
          <w:rFonts w:ascii="Times New Roman" w:hAnsi="Times New Roman"/>
          <w:spacing w:val="-3"/>
        </w:rPr>
      </w:pPr>
    </w:p>
    <w:p w:rsidR="0079396B" w:rsidP="000D1AC8" w:rsidRDefault="0079396B" w14:paraId="7BD4D779" w14:textId="77777777">
      <w:pPr>
        <w:suppressAutoHyphens/>
        <w:rPr>
          <w:rFonts w:ascii="Times New Roman" w:hAnsi="Times New Roman"/>
          <w:spacing w:val="-3"/>
        </w:rPr>
      </w:pPr>
      <w:r>
        <w:rPr>
          <w:rFonts w:ascii="Times New Roman" w:hAnsi="Times New Roman"/>
          <w:spacing w:val="-3"/>
        </w:rPr>
        <w:t>18</w:t>
      </w:r>
      <w:r>
        <w:rPr>
          <w:rFonts w:ascii="Times New Roman" w:hAnsi="Times New Roman"/>
        </w:rPr>
        <w:t xml:space="preserve"> There are no exceptions to </w:t>
      </w:r>
      <w:r w:rsidR="00C67B26">
        <w:rPr>
          <w:rFonts w:ascii="Times New Roman" w:hAnsi="Times New Roman"/>
        </w:rPr>
        <w:t xml:space="preserve">the </w:t>
      </w:r>
      <w:r>
        <w:rPr>
          <w:rFonts w:ascii="Times New Roman" w:hAnsi="Times New Roman"/>
        </w:rPr>
        <w:t xml:space="preserve">Certification </w:t>
      </w:r>
      <w:r w:rsidR="00C67B26">
        <w:rPr>
          <w:rFonts w:ascii="Times New Roman" w:hAnsi="Times New Roman"/>
        </w:rPr>
        <w:t xml:space="preserve">Statement. </w:t>
      </w:r>
    </w:p>
    <w:p w:rsidR="0082605D" w:rsidP="000D1AC8" w:rsidRDefault="0082605D" w14:paraId="2F5B3AFD" w14:textId="77777777">
      <w:pPr>
        <w:suppressAutoHyphens/>
        <w:rPr>
          <w:rFonts w:ascii="Times New Roman" w:hAnsi="Times New Roman"/>
          <w:spacing w:val="-3"/>
        </w:rPr>
      </w:pPr>
    </w:p>
    <w:p w:rsidR="00B21BC8" w:rsidP="000D1AC8" w:rsidRDefault="00B21BC8" w14:paraId="59F2C377" w14:textId="77777777">
      <w:pPr>
        <w:suppressAutoHyphens/>
        <w:outlineLvl w:val="0"/>
        <w:rPr>
          <w:rFonts w:ascii="Times New Roman" w:hAnsi="Times New Roman"/>
          <w:b/>
          <w:spacing w:val="-3"/>
        </w:rPr>
      </w:pPr>
    </w:p>
    <w:p w:rsidR="00B21BC8" w:rsidP="000D1AC8" w:rsidRDefault="00B21BC8" w14:paraId="514197FA" w14:textId="77777777">
      <w:pPr>
        <w:suppressAutoHyphens/>
        <w:outlineLvl w:val="0"/>
        <w:rPr>
          <w:rFonts w:ascii="Times New Roman" w:hAnsi="Times New Roman"/>
          <w:b/>
          <w:spacing w:val="-3"/>
        </w:rPr>
      </w:pPr>
    </w:p>
    <w:p w:rsidR="0079396B" w:rsidP="000D1AC8" w:rsidRDefault="0079396B" w14:paraId="5C70334D" w14:textId="77777777">
      <w:pPr>
        <w:suppressAutoHyphens/>
        <w:outlineLvl w:val="0"/>
        <w:rPr>
          <w:rFonts w:ascii="Times New Roman" w:hAnsi="Times New Roman"/>
          <w:b/>
          <w:spacing w:val="-3"/>
        </w:rPr>
      </w:pPr>
      <w:r>
        <w:rPr>
          <w:rFonts w:ascii="Times New Roman" w:hAnsi="Times New Roman"/>
          <w:b/>
          <w:spacing w:val="-3"/>
        </w:rPr>
        <w:t>B.  Collections of Information Employing Statistical Methods:</w:t>
      </w:r>
    </w:p>
    <w:p w:rsidR="0079396B" w:rsidRDefault="0079396B" w14:paraId="576CF6E0" w14:textId="77777777">
      <w:pPr>
        <w:suppressAutoHyphens/>
        <w:rPr>
          <w:rFonts w:ascii="Times New Roman" w:hAnsi="Times New Roman"/>
          <w:spacing w:val="-3"/>
        </w:rPr>
      </w:pPr>
    </w:p>
    <w:p w:rsidR="0079396B" w:rsidRDefault="0082605D" w14:paraId="0A47CA6B" w14:textId="77777777">
      <w:pPr>
        <w:suppressAutoHyphens/>
        <w:rPr>
          <w:spacing w:val="-3"/>
        </w:rPr>
      </w:pPr>
      <w:r>
        <w:rPr>
          <w:rFonts w:ascii="Times New Roman" w:hAnsi="Times New Roman"/>
          <w:spacing w:val="-3"/>
        </w:rPr>
        <w:t xml:space="preserve">This information collection does not employ any </w:t>
      </w:r>
      <w:r w:rsidR="0079396B">
        <w:rPr>
          <w:rFonts w:ascii="Times New Roman" w:hAnsi="Times New Roman"/>
          <w:spacing w:val="-3"/>
        </w:rPr>
        <w:t>statistical methods</w:t>
      </w:r>
      <w:r>
        <w:rPr>
          <w:rFonts w:ascii="Times New Roman" w:hAnsi="Times New Roman"/>
          <w:spacing w:val="-3"/>
        </w:rPr>
        <w:t>.</w:t>
      </w:r>
    </w:p>
    <w:sectPr w:rsidR="0079396B">
      <w:headerReference w:type="default" r:id="rId8"/>
      <w:footerReference w:type="even" r:id="rId9"/>
      <w:footerReference w:type="default" r:id="rId10"/>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51930" w14:textId="77777777" w:rsidR="00F931C1" w:rsidRDefault="00F931C1">
      <w:pPr>
        <w:spacing w:line="20" w:lineRule="exact"/>
      </w:pPr>
    </w:p>
  </w:endnote>
  <w:endnote w:type="continuationSeparator" w:id="0">
    <w:p w14:paraId="7E539E41" w14:textId="77777777" w:rsidR="00F931C1" w:rsidRDefault="00F931C1">
      <w:r>
        <w:t xml:space="preserve"> </w:t>
      </w:r>
    </w:p>
  </w:endnote>
  <w:endnote w:type="continuationNotice" w:id="1">
    <w:p w14:paraId="217912D1" w14:textId="77777777" w:rsidR="00F931C1" w:rsidRDefault="00F931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7153" w14:textId="77777777" w:rsidR="0078219F" w:rsidRDefault="00782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8746F4" w14:textId="77777777" w:rsidR="0078219F" w:rsidRDefault="00782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6DBB4" w14:textId="77777777" w:rsidR="0078219F" w:rsidRDefault="00782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0CD">
      <w:rPr>
        <w:rStyle w:val="PageNumber"/>
        <w:noProof/>
      </w:rPr>
      <w:t>3</w:t>
    </w:r>
    <w:r>
      <w:rPr>
        <w:rStyle w:val="PageNumber"/>
      </w:rPr>
      <w:fldChar w:fldCharType="end"/>
    </w:r>
  </w:p>
  <w:p w14:paraId="7157532B" w14:textId="77777777" w:rsidR="0078219F" w:rsidRDefault="00782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D1294" w14:textId="77777777" w:rsidR="00F931C1" w:rsidRDefault="00F931C1">
      <w:r>
        <w:separator/>
      </w:r>
    </w:p>
  </w:footnote>
  <w:footnote w:type="continuationSeparator" w:id="0">
    <w:p w14:paraId="3FE124FE" w14:textId="77777777" w:rsidR="00F931C1" w:rsidRDefault="00F931C1">
      <w:r>
        <w:continuationSeparator/>
      </w:r>
    </w:p>
  </w:footnote>
  <w:footnote w:id="1">
    <w:p w14:paraId="755925DD" w14:textId="77777777" w:rsidR="00395F2C" w:rsidRPr="00DF2330" w:rsidRDefault="00395F2C" w:rsidP="00395F2C">
      <w:pPr>
        <w:pStyle w:val="FootnoteText"/>
        <w:rPr>
          <w:rFonts w:ascii="Times New Roman" w:hAnsi="Times New Roman"/>
          <w:sz w:val="20"/>
        </w:rPr>
      </w:pPr>
      <w:r w:rsidRPr="00DF2330">
        <w:rPr>
          <w:rStyle w:val="FootnoteReference"/>
          <w:rFonts w:ascii="Times New Roman" w:hAnsi="Times New Roman"/>
          <w:sz w:val="20"/>
        </w:rPr>
        <w:footnoteRef/>
      </w:r>
      <w:r w:rsidRPr="00DF2330">
        <w:rPr>
          <w:rFonts w:ascii="Times New Roman" w:hAnsi="Times New Roman"/>
          <w:sz w:val="20"/>
        </w:rPr>
        <w:t xml:space="preserve"> We note that this estimate does not take into consideration the results of the optimization process, which will be used to determine the final television channel assignment plan.  The Commission has determined that maximizing the number of stations assigned to their pre-auction channels is the first objective of its optimization plan.  </w:t>
      </w:r>
      <w:r w:rsidRPr="00DF2330">
        <w:rPr>
          <w:rFonts w:ascii="Times New Roman" w:hAnsi="Times New Roman"/>
          <w:i/>
          <w:sz w:val="20"/>
        </w:rPr>
        <w:t>See Broadcast Incentive Auction to Begin on March 29, 2016, Procedures for Competitive Bidding in Auction 1000, Including Initial Clearing Target Determination, Qualifying to Bid, and Bidding in Auctions 1001 (Reverse) and 1002 (Forward)</w:t>
      </w:r>
      <w:r w:rsidRPr="00DF2330">
        <w:rPr>
          <w:rFonts w:ascii="Times New Roman" w:hAnsi="Times New Roman"/>
          <w:sz w:val="20"/>
        </w:rPr>
        <w:t xml:space="preserve">, AU Docket No. 14-252, GN Docket 12-268, WT Docket No. 12-269, MB Docket No. 15-146, FCC 15-78, Public Notice, at para. 274 (rel. Aug. 11, 2015). Accordingly, the number of stations reassigned to new channels may be lower than the estimate contained in this submission. We have erred on the side of caution so as not to underestimate the potential burden.  </w:t>
      </w:r>
    </w:p>
  </w:footnote>
  <w:footnote w:id="2">
    <w:p w14:paraId="780E8E96" w14:textId="77777777" w:rsidR="00395F2C" w:rsidRPr="00357209" w:rsidRDefault="00395F2C" w:rsidP="00395F2C">
      <w:pPr>
        <w:pStyle w:val="FootnoteText"/>
        <w:spacing w:before="100" w:beforeAutospacing="1" w:after="100" w:afterAutospacing="1"/>
        <w:rPr>
          <w:rFonts w:ascii="Times New Roman" w:hAnsi="Times New Roman"/>
          <w:sz w:val="20"/>
        </w:rPr>
      </w:pPr>
      <w:r w:rsidRPr="00357209">
        <w:rPr>
          <w:rStyle w:val="FootnoteReference"/>
          <w:rFonts w:ascii="Times New Roman" w:hAnsi="Times New Roman"/>
          <w:sz w:val="20"/>
        </w:rPr>
        <w:footnoteRef/>
      </w:r>
      <w:r w:rsidRPr="00357209">
        <w:rPr>
          <w:rFonts w:ascii="Times New Roman" w:hAnsi="Times New Roman"/>
          <w:sz w:val="20"/>
        </w:rPr>
        <w:t xml:space="preserve"> </w:t>
      </w:r>
      <w:r>
        <w:rPr>
          <w:rFonts w:ascii="Times New Roman" w:hAnsi="Times New Roman"/>
          <w:sz w:val="20"/>
        </w:rPr>
        <w:t>We note that t</w:t>
      </w:r>
      <w:r w:rsidRPr="00786595">
        <w:rPr>
          <w:rFonts w:ascii="Times New Roman" w:hAnsi="Times New Roman"/>
          <w:sz w:val="20"/>
        </w:rPr>
        <w:t>his estimate includes the filing of amendments to these applications.</w:t>
      </w:r>
    </w:p>
  </w:footnote>
  <w:footnote w:id="3">
    <w:p w14:paraId="618101B5" w14:textId="77777777" w:rsidR="00395F2C" w:rsidRDefault="00395F2C" w:rsidP="00395F2C">
      <w:pPr>
        <w:pStyle w:val="FootnoteText"/>
        <w:spacing w:before="100" w:beforeAutospacing="1" w:after="100" w:afterAutospacing="1"/>
      </w:pPr>
      <w:r w:rsidRPr="00617A45">
        <w:rPr>
          <w:rStyle w:val="FootnoteReference"/>
          <w:rFonts w:ascii="Times New Roman" w:hAnsi="Times New Roman"/>
          <w:sz w:val="20"/>
        </w:rPr>
        <w:footnoteRef/>
      </w:r>
      <w:r w:rsidRPr="00617A45">
        <w:rPr>
          <w:sz w:val="20"/>
        </w:rPr>
        <w:t xml:space="preserve"> </w:t>
      </w:r>
      <w:r w:rsidRPr="00BD05CA">
        <w:rPr>
          <w:rFonts w:ascii="Times New Roman" w:hAnsi="Times New Roman"/>
          <w:sz w:val="20"/>
        </w:rPr>
        <w:t xml:space="preserve">The respondent’s time to consult with the outside engineer and outside attorney is </w:t>
      </w:r>
      <w:r>
        <w:rPr>
          <w:rFonts w:ascii="Times New Roman" w:hAnsi="Times New Roman"/>
          <w:sz w:val="20"/>
        </w:rPr>
        <w:t xml:space="preserve">included in the </w:t>
      </w:r>
      <w:r w:rsidRPr="00BD05CA">
        <w:rPr>
          <w:rFonts w:ascii="Times New Roman" w:hAnsi="Times New Roman"/>
          <w:sz w:val="20"/>
        </w:rPr>
        <w:t>2 hours.</w:t>
      </w:r>
    </w:p>
  </w:footnote>
  <w:footnote w:id="4">
    <w:p w14:paraId="2D2B6847" w14:textId="77777777" w:rsidR="00395F2C" w:rsidRPr="00617A45" w:rsidRDefault="00395F2C" w:rsidP="00395F2C">
      <w:pPr>
        <w:pStyle w:val="FootnoteText"/>
        <w:spacing w:before="100" w:beforeAutospacing="1" w:after="100" w:afterAutospacing="1"/>
        <w:rPr>
          <w:rFonts w:ascii="Times New Roman" w:hAnsi="Times New Roman"/>
          <w:sz w:val="20"/>
        </w:rPr>
      </w:pPr>
      <w:r w:rsidRPr="00617A45">
        <w:rPr>
          <w:rStyle w:val="FootnoteReference"/>
          <w:rFonts w:ascii="Times New Roman" w:hAnsi="Times New Roman"/>
          <w:sz w:val="20"/>
        </w:rPr>
        <w:footnoteRef/>
      </w:r>
      <w:r w:rsidRPr="00617A45">
        <w:rPr>
          <w:rFonts w:ascii="Times New Roman" w:hAnsi="Times New Roman"/>
          <w:sz w:val="20"/>
        </w:rPr>
        <w:t xml:space="preserve"> The Commission estimates that the average hourly salary for in-house personnel which includes station manager, engineer and attorney to be $100,000/year or $48.08/hour.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5227" w14:textId="77777777" w:rsidR="0078219F" w:rsidRPr="008E5979" w:rsidRDefault="0078219F">
    <w:pPr>
      <w:suppressAutoHyphens/>
      <w:jc w:val="both"/>
      <w:rPr>
        <w:rFonts w:ascii="Times New Roman" w:hAnsi="Times New Roman"/>
        <w:b/>
        <w:spacing w:val="-3"/>
      </w:rPr>
    </w:pPr>
    <w:r w:rsidRPr="008E5979">
      <w:rPr>
        <w:rFonts w:ascii="Times New Roman" w:hAnsi="Times New Roman"/>
        <w:b/>
        <w:spacing w:val="-3"/>
      </w:rPr>
      <w:t xml:space="preserve">OMB Control Number: 3060-0928 </w:t>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r>
    <w:r w:rsidRPr="008E5979">
      <w:rPr>
        <w:rFonts w:ascii="Times New Roman" w:hAnsi="Times New Roman"/>
        <w:b/>
        <w:spacing w:val="-3"/>
      </w:rPr>
      <w:tab/>
      <w:t xml:space="preserve">             </w:t>
    </w:r>
    <w:r w:rsidR="003C18F3">
      <w:rPr>
        <w:rFonts w:ascii="Times New Roman" w:hAnsi="Times New Roman"/>
        <w:b/>
        <w:spacing w:val="-3"/>
      </w:rPr>
      <w:t xml:space="preserve"> </w:t>
    </w:r>
    <w:r w:rsidR="00437D32">
      <w:rPr>
        <w:rFonts w:ascii="Times New Roman" w:hAnsi="Times New Roman"/>
        <w:b/>
        <w:spacing w:val="-3"/>
      </w:rPr>
      <w:t>April 2020</w:t>
    </w:r>
  </w:p>
  <w:p w14:paraId="3FC8641B" w14:textId="77777777" w:rsidR="0078219F" w:rsidRDefault="0078219F" w:rsidP="00B21BC8">
    <w:pPr>
      <w:suppressAutoHyphens/>
      <w:jc w:val="both"/>
    </w:pPr>
    <w:r w:rsidRPr="008E5979">
      <w:rPr>
        <w:rFonts w:ascii="Times New Roman" w:hAnsi="Times New Roman"/>
        <w:b/>
        <w:spacing w:val="-3"/>
      </w:rPr>
      <w:t xml:space="preserve">Title: </w:t>
    </w:r>
    <w:r w:rsidR="002848D3">
      <w:rPr>
        <w:rFonts w:ascii="Times New Roman" w:hAnsi="Times New Roman"/>
        <w:b/>
        <w:spacing w:val="-3"/>
        <w:szCs w:val="24"/>
      </w:rPr>
      <w:t>FCC Form 2100, Application for Media Bureau Audio and Video Service Authorization</w:t>
    </w:r>
    <w:r w:rsidR="002848D3" w:rsidRPr="00C10716">
      <w:rPr>
        <w:rFonts w:ascii="Times New Roman" w:hAnsi="Times New Roman"/>
        <w:b/>
        <w:spacing w:val="-3"/>
        <w:szCs w:val="24"/>
      </w:rPr>
      <w:t xml:space="preserve">, </w:t>
    </w:r>
    <w:r w:rsidR="002848D3">
      <w:rPr>
        <w:rFonts w:ascii="Times New Roman" w:hAnsi="Times New Roman"/>
        <w:b/>
        <w:spacing w:val="-3"/>
        <w:szCs w:val="24"/>
      </w:rPr>
      <w:t>Schedule F (Formerly FCC 302-CA); 47 CFR 73.</w:t>
    </w:r>
    <w:r w:rsidR="00AA33D8">
      <w:rPr>
        <w:rFonts w:ascii="Times New Roman" w:hAnsi="Times New Roman"/>
        <w:b/>
        <w:spacing w:val="-3"/>
        <w:szCs w:val="24"/>
      </w:rPr>
      <w:t>6028</w:t>
    </w:r>
    <w:r w:rsidR="00DC18EE">
      <w:rPr>
        <w:rFonts w:ascii="Times New Roman" w:hAnsi="Times New Roman"/>
        <w:b/>
        <w:spacing w:val="-3"/>
        <w:szCs w:val="24"/>
      </w:rPr>
      <w:t>; Section 73.3700(b)(3); Section 73.3700(h)(2) and Section 73.3572(h)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80061"/>
    <w:multiLevelType w:val="hybridMultilevel"/>
    <w:tmpl w:val="7910EE6C"/>
    <w:lvl w:ilvl="0" w:tplc="2AEE77D4">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CDD475E"/>
    <w:multiLevelType w:val="hybridMultilevel"/>
    <w:tmpl w:val="C9EE5820"/>
    <w:lvl w:ilvl="0" w:tplc="16C4A3B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725377"/>
    <w:multiLevelType w:val="hybridMultilevel"/>
    <w:tmpl w:val="97065D42"/>
    <w:lvl w:ilvl="0" w:tplc="65E8ECB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430494"/>
    <w:multiLevelType w:val="hybridMultilevel"/>
    <w:tmpl w:val="873C73C4"/>
    <w:lvl w:ilvl="0" w:tplc="4C28E86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20D61"/>
    <w:multiLevelType w:val="hybridMultilevel"/>
    <w:tmpl w:val="088C4AC6"/>
    <w:lvl w:ilvl="0" w:tplc="5E7637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lvlOverride w:ilvl="0"/>
    <w:lvlOverride w:ilvl="1"/>
    <w:lvlOverride w:ilvl="2"/>
    <w:lvlOverride w:ilvl="3"/>
    <w:lvlOverride w:ilvl="4"/>
    <w:lvlOverride w:ilvl="5"/>
    <w:lvlOverride w:ilvl="6"/>
    <w:lvlOverride w:ilvl="7"/>
    <w:lvlOverride w:ilvl="8"/>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C8A"/>
    <w:rsid w:val="00007D31"/>
    <w:rsid w:val="00020020"/>
    <w:rsid w:val="000404FB"/>
    <w:rsid w:val="0004570E"/>
    <w:rsid w:val="00066EE1"/>
    <w:rsid w:val="00072D44"/>
    <w:rsid w:val="00081C8D"/>
    <w:rsid w:val="00083E2C"/>
    <w:rsid w:val="00086C6F"/>
    <w:rsid w:val="000A0A4F"/>
    <w:rsid w:val="000B6886"/>
    <w:rsid w:val="000D1AC8"/>
    <w:rsid w:val="00102EFE"/>
    <w:rsid w:val="00107839"/>
    <w:rsid w:val="00121C72"/>
    <w:rsid w:val="0012280E"/>
    <w:rsid w:val="00136C27"/>
    <w:rsid w:val="001503F8"/>
    <w:rsid w:val="00165E78"/>
    <w:rsid w:val="001B619D"/>
    <w:rsid w:val="001C47DB"/>
    <w:rsid w:val="001D2DEB"/>
    <w:rsid w:val="001E7A5F"/>
    <w:rsid w:val="0020104B"/>
    <w:rsid w:val="00205BCC"/>
    <w:rsid w:val="00223E6A"/>
    <w:rsid w:val="00263CAA"/>
    <w:rsid w:val="00270BF0"/>
    <w:rsid w:val="002745E1"/>
    <w:rsid w:val="002769C3"/>
    <w:rsid w:val="00277BFD"/>
    <w:rsid w:val="002848D3"/>
    <w:rsid w:val="00293793"/>
    <w:rsid w:val="002A5AF3"/>
    <w:rsid w:val="002A5F56"/>
    <w:rsid w:val="002B0743"/>
    <w:rsid w:val="002B6BE7"/>
    <w:rsid w:val="002D1D5A"/>
    <w:rsid w:val="002D2EBB"/>
    <w:rsid w:val="002D7FFA"/>
    <w:rsid w:val="00303D50"/>
    <w:rsid w:val="00307CCA"/>
    <w:rsid w:val="003144FB"/>
    <w:rsid w:val="00314F6E"/>
    <w:rsid w:val="00351685"/>
    <w:rsid w:val="00353437"/>
    <w:rsid w:val="00395DB4"/>
    <w:rsid w:val="00395F2C"/>
    <w:rsid w:val="003A00DC"/>
    <w:rsid w:val="003A43C1"/>
    <w:rsid w:val="003B7509"/>
    <w:rsid w:val="003C18F3"/>
    <w:rsid w:val="003E0ACD"/>
    <w:rsid w:val="0040258D"/>
    <w:rsid w:val="004030CC"/>
    <w:rsid w:val="00410329"/>
    <w:rsid w:val="00413333"/>
    <w:rsid w:val="00413819"/>
    <w:rsid w:val="004149E5"/>
    <w:rsid w:val="00431BAC"/>
    <w:rsid w:val="00437D32"/>
    <w:rsid w:val="0044122F"/>
    <w:rsid w:val="00457A8A"/>
    <w:rsid w:val="00466CA8"/>
    <w:rsid w:val="00467018"/>
    <w:rsid w:val="004768F5"/>
    <w:rsid w:val="004809C5"/>
    <w:rsid w:val="004874F4"/>
    <w:rsid w:val="004A0F74"/>
    <w:rsid w:val="004A31B6"/>
    <w:rsid w:val="004B1695"/>
    <w:rsid w:val="004B4D15"/>
    <w:rsid w:val="004F4F84"/>
    <w:rsid w:val="004F71F8"/>
    <w:rsid w:val="005050CD"/>
    <w:rsid w:val="005076E9"/>
    <w:rsid w:val="00515B09"/>
    <w:rsid w:val="00531083"/>
    <w:rsid w:val="00537097"/>
    <w:rsid w:val="005466C7"/>
    <w:rsid w:val="0057211D"/>
    <w:rsid w:val="00577F60"/>
    <w:rsid w:val="00590DAC"/>
    <w:rsid w:val="005A2D14"/>
    <w:rsid w:val="005A41CA"/>
    <w:rsid w:val="005C2D09"/>
    <w:rsid w:val="005C6A77"/>
    <w:rsid w:val="005D0F62"/>
    <w:rsid w:val="006019D8"/>
    <w:rsid w:val="00641E55"/>
    <w:rsid w:val="00643656"/>
    <w:rsid w:val="0067490B"/>
    <w:rsid w:val="00675CA7"/>
    <w:rsid w:val="006B432B"/>
    <w:rsid w:val="006C012C"/>
    <w:rsid w:val="006F0627"/>
    <w:rsid w:val="006F6BE4"/>
    <w:rsid w:val="00706E8E"/>
    <w:rsid w:val="00731CD3"/>
    <w:rsid w:val="00742468"/>
    <w:rsid w:val="00746F1D"/>
    <w:rsid w:val="00762C66"/>
    <w:rsid w:val="00764F75"/>
    <w:rsid w:val="00766E5F"/>
    <w:rsid w:val="0078219F"/>
    <w:rsid w:val="00783C3F"/>
    <w:rsid w:val="0079224B"/>
    <w:rsid w:val="00792414"/>
    <w:rsid w:val="0079311D"/>
    <w:rsid w:val="0079396B"/>
    <w:rsid w:val="007949C4"/>
    <w:rsid w:val="007960D9"/>
    <w:rsid w:val="007A66D6"/>
    <w:rsid w:val="007B2B43"/>
    <w:rsid w:val="007C12D9"/>
    <w:rsid w:val="007C2BFF"/>
    <w:rsid w:val="007F074D"/>
    <w:rsid w:val="007F47EB"/>
    <w:rsid w:val="00803518"/>
    <w:rsid w:val="00806BC9"/>
    <w:rsid w:val="00807CC2"/>
    <w:rsid w:val="0082605D"/>
    <w:rsid w:val="00834383"/>
    <w:rsid w:val="00847694"/>
    <w:rsid w:val="00863E43"/>
    <w:rsid w:val="00874FAD"/>
    <w:rsid w:val="00886C32"/>
    <w:rsid w:val="00894443"/>
    <w:rsid w:val="008A7728"/>
    <w:rsid w:val="008C2D60"/>
    <w:rsid w:val="008C65F3"/>
    <w:rsid w:val="008D30DB"/>
    <w:rsid w:val="008E5979"/>
    <w:rsid w:val="00900ABE"/>
    <w:rsid w:val="00900F67"/>
    <w:rsid w:val="00902813"/>
    <w:rsid w:val="0090799E"/>
    <w:rsid w:val="00915A5E"/>
    <w:rsid w:val="00926E4E"/>
    <w:rsid w:val="00934C89"/>
    <w:rsid w:val="009354DD"/>
    <w:rsid w:val="009408DF"/>
    <w:rsid w:val="00945918"/>
    <w:rsid w:val="0095582F"/>
    <w:rsid w:val="0096426B"/>
    <w:rsid w:val="009679BA"/>
    <w:rsid w:val="009700AA"/>
    <w:rsid w:val="00972308"/>
    <w:rsid w:val="00974ADD"/>
    <w:rsid w:val="00987507"/>
    <w:rsid w:val="009B5C8A"/>
    <w:rsid w:val="009B5F4F"/>
    <w:rsid w:val="009D6B58"/>
    <w:rsid w:val="009F3C8F"/>
    <w:rsid w:val="00A02097"/>
    <w:rsid w:val="00A04073"/>
    <w:rsid w:val="00A057D3"/>
    <w:rsid w:val="00A06C24"/>
    <w:rsid w:val="00A2144D"/>
    <w:rsid w:val="00A2432A"/>
    <w:rsid w:val="00A36789"/>
    <w:rsid w:val="00A43182"/>
    <w:rsid w:val="00A44A29"/>
    <w:rsid w:val="00A63899"/>
    <w:rsid w:val="00A65E17"/>
    <w:rsid w:val="00A85ED8"/>
    <w:rsid w:val="00A978A6"/>
    <w:rsid w:val="00AA33D8"/>
    <w:rsid w:val="00AC1851"/>
    <w:rsid w:val="00AE2834"/>
    <w:rsid w:val="00AF4588"/>
    <w:rsid w:val="00AF6572"/>
    <w:rsid w:val="00B108DE"/>
    <w:rsid w:val="00B153D7"/>
    <w:rsid w:val="00B21BC8"/>
    <w:rsid w:val="00B4253C"/>
    <w:rsid w:val="00B8696D"/>
    <w:rsid w:val="00B91C85"/>
    <w:rsid w:val="00BC2F4C"/>
    <w:rsid w:val="00BC4E6C"/>
    <w:rsid w:val="00BC7CAA"/>
    <w:rsid w:val="00BD1A9C"/>
    <w:rsid w:val="00BD3E91"/>
    <w:rsid w:val="00BD560A"/>
    <w:rsid w:val="00BD6F7B"/>
    <w:rsid w:val="00BF6E88"/>
    <w:rsid w:val="00C142D2"/>
    <w:rsid w:val="00C1479E"/>
    <w:rsid w:val="00C31B23"/>
    <w:rsid w:val="00C3743B"/>
    <w:rsid w:val="00C67B26"/>
    <w:rsid w:val="00C707BB"/>
    <w:rsid w:val="00C97969"/>
    <w:rsid w:val="00CA2967"/>
    <w:rsid w:val="00CA4B71"/>
    <w:rsid w:val="00CA631C"/>
    <w:rsid w:val="00CB11EE"/>
    <w:rsid w:val="00CB6BF8"/>
    <w:rsid w:val="00CC4328"/>
    <w:rsid w:val="00CC4F91"/>
    <w:rsid w:val="00CD5C61"/>
    <w:rsid w:val="00CE7C19"/>
    <w:rsid w:val="00D126C0"/>
    <w:rsid w:val="00D163A2"/>
    <w:rsid w:val="00D17E35"/>
    <w:rsid w:val="00D2226D"/>
    <w:rsid w:val="00D44216"/>
    <w:rsid w:val="00D45F61"/>
    <w:rsid w:val="00D54F59"/>
    <w:rsid w:val="00D56B27"/>
    <w:rsid w:val="00D5731E"/>
    <w:rsid w:val="00D57FB1"/>
    <w:rsid w:val="00D62BDC"/>
    <w:rsid w:val="00D8508D"/>
    <w:rsid w:val="00D8683F"/>
    <w:rsid w:val="00DC18EE"/>
    <w:rsid w:val="00DC7D1A"/>
    <w:rsid w:val="00E06829"/>
    <w:rsid w:val="00E128A4"/>
    <w:rsid w:val="00E17C56"/>
    <w:rsid w:val="00E514FD"/>
    <w:rsid w:val="00E5394D"/>
    <w:rsid w:val="00E55E48"/>
    <w:rsid w:val="00E57B8E"/>
    <w:rsid w:val="00E61967"/>
    <w:rsid w:val="00EA3387"/>
    <w:rsid w:val="00ED2269"/>
    <w:rsid w:val="00ED7800"/>
    <w:rsid w:val="00EE6A5F"/>
    <w:rsid w:val="00EF1149"/>
    <w:rsid w:val="00F02C1E"/>
    <w:rsid w:val="00F12A7D"/>
    <w:rsid w:val="00F249DD"/>
    <w:rsid w:val="00F36C3E"/>
    <w:rsid w:val="00F521C6"/>
    <w:rsid w:val="00F61317"/>
    <w:rsid w:val="00F67AC0"/>
    <w:rsid w:val="00F711B6"/>
    <w:rsid w:val="00F73EE2"/>
    <w:rsid w:val="00F8220F"/>
    <w:rsid w:val="00F931C1"/>
    <w:rsid w:val="00FA2607"/>
    <w:rsid w:val="00FB18D6"/>
    <w:rsid w:val="00FB720F"/>
    <w:rsid w:val="00FC3C95"/>
    <w:rsid w:val="00FD4CA4"/>
    <w:rsid w:val="00FE4EB5"/>
    <w:rsid w:val="00FE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D4E9C80"/>
  <w15:chartTrackingRefBased/>
  <w15:docId w15:val="{1A458CAD-1128-4702-B5F7-4F0822ED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G Omega" w:hAnsi="CG Omeg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G Omega" w:hAnsi="CG Omega"/>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G Omega" w:hAnsi="CG Omeg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Pr>
      <w:rFonts w:ascii="Courier New" w:hAnsi="Courier New"/>
      <w:sz w:val="22"/>
    </w:rPr>
  </w:style>
  <w:style w:type="character" w:customStyle="1" w:styleId="Unnamed1">
    <w:name w:val="Unnamed 1"/>
    <w:rPr>
      <w:rFonts w:ascii="CG Omega" w:hAnsi="CG Omega"/>
      <w:noProof w:val="0"/>
      <w:sz w:val="24"/>
      <w:lang w:val="en-US"/>
    </w:rPr>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pPr>
      <w:widowControl w:val="0"/>
      <w:tabs>
        <w:tab w:val="left" w:pos="-720"/>
      </w:tabs>
      <w:suppressAutoHyphens/>
    </w:pPr>
    <w:rPr>
      <w:rFonts w:ascii="CG Omega" w:hAnsi="CG Omeg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pPr>
      <w:keepNext/>
      <w:keepLines/>
      <w:widowControl w:val="0"/>
      <w:tabs>
        <w:tab w:val="left" w:pos="-720"/>
      </w:tabs>
      <w:suppressAutoHyphens/>
    </w:pPr>
    <w:rPr>
      <w:rFonts w:ascii="CG Omega" w:hAnsi="CG Omega"/>
      <w:snapToGrid w:val="0"/>
      <w:sz w:val="24"/>
    </w:rPr>
  </w:style>
  <w:style w:type="paragraph" w:customStyle="1" w:styleId="Technical5a">
    <w:name w:val="Technical 5a"/>
    <w:pPr>
      <w:widowControl w:val="0"/>
      <w:tabs>
        <w:tab w:val="left" w:pos="-720"/>
      </w:tabs>
      <w:suppressAutoHyphens/>
    </w:pPr>
    <w:rPr>
      <w:rFonts w:ascii="CG Omega" w:hAnsi="CG Omega"/>
      <w:b/>
      <w:snapToGrid w:val="0"/>
      <w:sz w:val="24"/>
    </w:rPr>
  </w:style>
  <w:style w:type="paragraph" w:customStyle="1" w:styleId="Technical6a">
    <w:name w:val="Technical 6a"/>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G Omega" w:hAnsi="CG Omega"/>
      <w:b/>
      <w:snapToGrid w:val="0"/>
      <w:sz w:val="24"/>
    </w:rPr>
  </w:style>
  <w:style w:type="paragraph" w:customStyle="1" w:styleId="Technical8a">
    <w:name w:val="Technical 8a"/>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G Omega" w:hAnsi="CG Omeg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G Omega" w:hAnsi="CG Omeg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G Omega" w:hAnsi="CG Omega"/>
      <w:noProof w:val="0"/>
      <w:sz w:val="24"/>
      <w:lang w:val="en-US"/>
    </w:rPr>
  </w:style>
  <w:style w:type="character" w:customStyle="1" w:styleId="Technical30">
    <w:name w:val="Technical[3]"/>
    <w:rPr>
      <w:rFonts w:ascii="CG Omega" w:hAnsi="CG Omega"/>
      <w:noProof w:val="0"/>
      <w:sz w:val="24"/>
      <w:lang w:val="en-US"/>
    </w:rPr>
  </w:style>
  <w:style w:type="character" w:customStyle="1" w:styleId="Technical40">
    <w:name w:val="Technical[4]"/>
    <w:basedOn w:val="DefaultParagraphFont"/>
  </w:style>
  <w:style w:type="character" w:customStyle="1" w:styleId="Technical10">
    <w:name w:val="Technical[1]"/>
    <w:rPr>
      <w:rFonts w:ascii="CG Omega" w:hAnsi="CG Omeg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G Omega" w:hAnsi="CG Omega"/>
      <w:b/>
      <w:i/>
      <w:noProof w:val="0"/>
      <w:sz w:val="24"/>
      <w:lang w:val="en-US"/>
    </w:rPr>
  </w:style>
  <w:style w:type="character" w:customStyle="1" w:styleId="LETTERLAND">
    <w:name w:val="LETTER LAND"/>
    <w:rPr>
      <w:rFonts w:ascii="CG Omega" w:hAnsi="CG Omega"/>
      <w:noProof w:val="0"/>
      <w:sz w:val="24"/>
      <w:lang w:val="en-US"/>
    </w:rPr>
  </w:style>
  <w:style w:type="character" w:customStyle="1" w:styleId="LEGALLAND">
    <w:name w:val="LEGAL LAND"/>
    <w:rPr>
      <w:rFonts w:ascii="CG Omega" w:hAnsi="CG Omega"/>
      <w:noProof w:val="0"/>
      <w:sz w:val="24"/>
      <w:lang w:val="en-US"/>
    </w:rPr>
  </w:style>
  <w:style w:type="character" w:customStyle="1" w:styleId="LETTERPORT">
    <w:name w:val="LETTER PORT"/>
    <w:rPr>
      <w:rFonts w:ascii="CG Omega" w:hAnsi="CG Omega"/>
      <w:noProof w:val="0"/>
      <w:sz w:val="24"/>
      <w:lang w:val="en-US"/>
    </w:rPr>
  </w:style>
  <w:style w:type="character" w:customStyle="1" w:styleId="LEGALPORT">
    <w:name w:val="LEGAL PORT"/>
    <w:rPr>
      <w:rFonts w:ascii="CG Omega" w:hAnsi="CG Omega"/>
      <w:noProof w:val="0"/>
      <w:sz w:val="24"/>
      <w:lang w:val="en-US"/>
    </w:rPr>
  </w:style>
  <w:style w:type="character" w:customStyle="1" w:styleId="TITLE">
    <w:name w:val="TITLE"/>
    <w:rPr>
      <w:b/>
      <w:sz w:val="36"/>
    </w:rPr>
  </w:style>
  <w:style w:type="character" w:customStyle="1" w:styleId="BLOCKQUOTE">
    <w:name w:val="BLOCK QUOTE"/>
    <w:basedOn w:val="DefaultParagraphFont"/>
  </w:style>
  <w:style w:type="character" w:customStyle="1" w:styleId="HIGHLIGHT2">
    <w:name w:val="HIGHLIGHT 2"/>
    <w:rPr>
      <w:rFonts w:ascii="CG Omega" w:hAnsi="CG Omega"/>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pPr>
      <w:widowControl w:val="0"/>
      <w:tabs>
        <w:tab w:val="left" w:pos="-6912"/>
        <w:tab w:val="left" w:pos="-5328"/>
        <w:tab w:val="decimal" w:pos="4104"/>
      </w:tabs>
      <w:suppressAutoHyphens/>
    </w:pPr>
    <w:rPr>
      <w:rFonts w:ascii="CG Omega" w:hAnsi="CG Omega"/>
      <w:snapToGrid w:val="0"/>
      <w:sz w:val="24"/>
    </w:rPr>
  </w:style>
  <w:style w:type="character" w:customStyle="1" w:styleId="NORMAL0">
    <w:name w:val="NORMAL"/>
    <w:rPr>
      <w:rFonts w:ascii="CG Omega" w:hAnsi="CG Omega"/>
      <w:noProof w:val="0"/>
      <w:sz w:val="24"/>
      <w:lang w:val="en-US"/>
    </w:rPr>
  </w:style>
  <w:style w:type="character" w:customStyle="1" w:styleId="SMALL">
    <w:name w:val="SMALL"/>
    <w:rPr>
      <w:rFonts w:ascii="CG Omega" w:hAnsi="CG Omega"/>
      <w:noProof w:val="0"/>
      <w:sz w:val="19"/>
      <w:lang w:val="en-US"/>
    </w:rPr>
  </w:style>
  <w:style w:type="character" w:customStyle="1" w:styleId="FINE">
    <w:name w:val="FINE"/>
    <w:rPr>
      <w:rFonts w:ascii="CG Omega" w:hAnsi="CG Omega"/>
      <w:noProof w:val="0"/>
      <w:sz w:val="14"/>
      <w:lang w:val="en-US"/>
    </w:rPr>
  </w:style>
  <w:style w:type="character" w:customStyle="1" w:styleId="LARGE">
    <w:name w:val="LARGE"/>
    <w:rPr>
      <w:rFonts w:ascii="CG Omega" w:hAnsi="CG Omega"/>
      <w:noProof w:val="0"/>
      <w:sz w:val="29"/>
      <w:lang w:val="en-US"/>
    </w:rPr>
  </w:style>
  <w:style w:type="character" w:customStyle="1" w:styleId="EXTRALARGE">
    <w:name w:val="EXTRA LARGE"/>
    <w:rPr>
      <w:rFonts w:ascii="CG Omega" w:hAnsi="CG Omega"/>
      <w:noProof w:val="0"/>
      <w:sz w:val="48"/>
      <w:lang w:val="en-US"/>
    </w:rPr>
  </w:style>
  <w:style w:type="character" w:customStyle="1" w:styleId="VERYLARGE">
    <w:name w:val="VERY LARGE"/>
    <w:rPr>
      <w:rFonts w:ascii="CG Omega" w:hAnsi="CG Omega"/>
      <w:noProof w:val="0"/>
      <w:sz w:val="36"/>
      <w:lang w:val="en-US"/>
    </w:rPr>
  </w:style>
  <w:style w:type="character" w:customStyle="1" w:styleId="FormatDownload">
    <w:name w:val="Format Download"/>
    <w:rPr>
      <w:rFonts w:ascii="Courier New" w:hAnsi="Courier New"/>
      <w:noProof w:val="0"/>
      <w:sz w:val="20"/>
      <w:lang w:val="en-US"/>
    </w:rPr>
  </w:style>
  <w:style w:type="character" w:customStyle="1" w:styleId="Agenda2">
    <w:name w:val="Agenda 2"/>
    <w:basedOn w:val="DefaultParagraphFont"/>
  </w:style>
  <w:style w:type="character" w:customStyle="1" w:styleId="Agenda1">
    <w:name w:val="Agenda 1"/>
    <w:basedOn w:val="DefaultParagraphFont"/>
  </w:style>
  <w:style w:type="character" w:customStyle="1" w:styleId="Agenda3">
    <w:name w:val="Agenda 3"/>
    <w:basedOn w:val="DefaultParagraphFont"/>
  </w:style>
  <w:style w:type="character" w:styleId="PageNumber">
    <w:name w:val="page number"/>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paragraph" w:customStyle="1" w:styleId="toa">
    <w:name w:val="toa"/>
    <w:pPr>
      <w:widowControl w:val="0"/>
      <w:tabs>
        <w:tab w:val="left" w:pos="0"/>
        <w:tab w:val="left" w:pos="9000"/>
        <w:tab w:val="right" w:pos="9360"/>
      </w:tabs>
      <w:suppressAutoHyphens/>
    </w:pPr>
    <w:rPr>
      <w:rFonts w:ascii="CG Omega" w:hAnsi="CG Omega"/>
      <w:snapToGrid w:val="0"/>
      <w:sz w:val="24"/>
    </w:rPr>
  </w:style>
  <w:style w:type="character" w:customStyle="1" w:styleId="1">
    <w:name w:val="1"/>
    <w:rPr>
      <w:rFonts w:ascii="CG Omega" w:hAnsi="CG Omega"/>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Order1">
    <w:name w:val="Order 1"/>
    <w:basedOn w:val="DefaultParagraphFont"/>
  </w:style>
  <w:style w:type="character" w:customStyle="1" w:styleId="Order2">
    <w:name w:val="Order 2"/>
    <w:basedOn w:val="DefaultParagraphFont"/>
  </w:style>
  <w:style w:type="character" w:customStyle="1" w:styleId="Order3">
    <w:name w:val="Order 3"/>
    <w:basedOn w:val="DefaultParagraphFont"/>
  </w:style>
  <w:style w:type="character" w:customStyle="1" w:styleId="Order4">
    <w:name w:val="Order 4"/>
    <w:basedOn w:val="DefaultParagraphFont"/>
  </w:style>
  <w:style w:type="paragraph" w:customStyle="1" w:styleId="MACDocument">
    <w:name w:val="MACDocument"/>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Pr>
      <w:rFonts w:ascii="CG Omega" w:hAnsi="CG Omega"/>
      <w:noProof w:val="0"/>
      <w:sz w:val="24"/>
      <w:lang w:val="en-US"/>
    </w:rPr>
  </w:style>
  <w:style w:type="character" w:customStyle="1" w:styleId="110">
    <w:name w:val="110"/>
    <w:aliases w:val="2,3"/>
    <w:basedOn w:val="DefaultParagraphFont"/>
  </w:style>
  <w:style w:type="character" w:customStyle="1" w:styleId="A">
    <w:name w:val="A"/>
    <w:aliases w:val="B"/>
    <w:basedOn w:val="DefaultParagraphFont"/>
  </w:style>
  <w:style w:type="character" w:customStyle="1" w:styleId="footnoteref">
    <w:name w:val="footnote ref"/>
    <w:rPr>
      <w:rFonts w:ascii="CG Omega" w:hAnsi="CG Omega"/>
      <w:noProof w:val="0"/>
      <w:sz w:val="24"/>
      <w:vertAlign w:val="superscript"/>
      <w:lang w:val="en-US"/>
    </w:rPr>
  </w:style>
  <w:style w:type="character" w:customStyle="1" w:styleId="DefaultPara">
    <w:name w:val="Default Para"/>
    <w:basedOn w:val="DefaultParagraphFont"/>
  </w:style>
  <w:style w:type="character" w:customStyle="1" w:styleId="endnoterefe">
    <w:name w:val="endnote refe"/>
    <w:rPr>
      <w:rFonts w:ascii="CG Omega" w:hAnsi="CG Omega"/>
      <w:noProof w:val="0"/>
      <w:sz w:val="24"/>
      <w:vertAlign w:val="superscript"/>
      <w:lang w:val="en-US"/>
    </w:rPr>
  </w:style>
  <w:style w:type="character" w:customStyle="1" w:styleId="annotationr">
    <w:name w:val="annotation r"/>
    <w:basedOn w:val="DefaultParagraphFont"/>
  </w:style>
  <w:style w:type="character" w:customStyle="1" w:styleId="21">
    <w:name w:val="21"/>
    <w:basedOn w:val="DefaultParagraphFont"/>
  </w:style>
  <w:style w:type="character" w:customStyle="1" w:styleId="31">
    <w:name w:val="31"/>
    <w:basedOn w:val="DefaultParagraphFont"/>
  </w:style>
  <w:style w:type="character" w:customStyle="1" w:styleId="4">
    <w:name w:val="4"/>
    <w:basedOn w:val="DefaultParagraphFont"/>
  </w:style>
  <w:style w:type="character" w:customStyle="1" w:styleId="5">
    <w:name w:val="5"/>
    <w:basedOn w:val="DefaultParagraphFont"/>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basedOn w:val="DefaultParagraphFont"/>
  </w:style>
  <w:style w:type="character" w:customStyle="1" w:styleId="10">
    <w:name w:val="10"/>
    <w:basedOn w:val="DefaultParagraphFont"/>
  </w:style>
  <w:style w:type="character" w:customStyle="1" w:styleId="11">
    <w:name w:val="11"/>
    <w:rPr>
      <w:rFonts w:ascii="CG Omega" w:hAnsi="CG Omega"/>
      <w:noProof w:val="0"/>
      <w:sz w:val="24"/>
      <w:lang w:val="en-US"/>
    </w:rPr>
  </w:style>
  <w:style w:type="character" w:customStyle="1" w:styleId="12">
    <w:name w:val="12"/>
    <w:rPr>
      <w:rFonts w:ascii="CG Omega" w:hAnsi="CG Omega"/>
      <w:noProof w:val="0"/>
      <w:sz w:val="24"/>
      <w:lang w:val="en-US"/>
    </w:rPr>
  </w:style>
  <w:style w:type="character" w:customStyle="1" w:styleId="13">
    <w:name w:val="13"/>
    <w:rPr>
      <w:rFonts w:ascii="CG Omega" w:hAnsi="CG Omega"/>
      <w:noProof w:val="0"/>
      <w:sz w:val="24"/>
      <w:lang w:val="en-US"/>
    </w:rPr>
  </w:style>
  <w:style w:type="character" w:customStyle="1" w:styleId="14">
    <w:name w:val="14"/>
    <w:basedOn w:val="DefaultParagraphFont"/>
  </w:style>
  <w:style w:type="character" w:customStyle="1" w:styleId="15">
    <w:name w:val="15"/>
    <w:basedOn w:val="DefaultParagraphFont"/>
  </w:style>
  <w:style w:type="character" w:customStyle="1" w:styleId="16">
    <w:name w:val="16"/>
    <w:basedOn w:val="DefaultParagraphFont"/>
  </w:style>
  <w:style w:type="character" w:customStyle="1" w:styleId="17">
    <w:name w:val="17"/>
    <w:basedOn w:val="DefaultParagraphFont"/>
  </w:style>
  <w:style w:type="character" w:customStyle="1" w:styleId="18">
    <w:name w:val="18"/>
    <w:basedOn w:val="DefaultParagraphFont"/>
  </w:style>
  <w:style w:type="character" w:customStyle="1" w:styleId="19">
    <w:name w:val="19"/>
    <w:basedOn w:val="DefaultParagraphFont"/>
  </w:style>
  <w:style w:type="character" w:customStyle="1" w:styleId="20a">
    <w:name w:val="20a"/>
    <w:rPr>
      <w:rFonts w:ascii="CG Omega" w:hAnsi="CG Omega"/>
      <w:noProof w:val="0"/>
      <w:sz w:val="24"/>
      <w:lang w:val="en-US"/>
    </w:rPr>
  </w:style>
  <w:style w:type="character" w:customStyle="1" w:styleId="21a">
    <w:name w:val="21a"/>
    <w:basedOn w:val="DefaultParagraphFont"/>
  </w:style>
  <w:style w:type="character" w:customStyle="1" w:styleId="22a">
    <w:name w:val="22a"/>
    <w:basedOn w:val="DefaultParagraphFont"/>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33b">
    <w:name w:val="33b"/>
    <w:basedOn w:val="DefaultParagraphFont"/>
  </w:style>
  <w:style w:type="character" w:customStyle="1" w:styleId="34b">
    <w:name w:val="34b"/>
    <w:rPr>
      <w:rFonts w:ascii="CG Omega" w:hAnsi="CG Omega"/>
      <w:noProof w:val="0"/>
      <w:sz w:val="24"/>
      <w:lang w:val="en-US"/>
    </w:rPr>
  </w:style>
  <w:style w:type="character" w:customStyle="1" w:styleId="35b">
    <w:name w:val="35b"/>
    <w:rPr>
      <w:rFonts w:ascii="CG Omega" w:hAnsi="CG Omega"/>
      <w:noProof w:val="0"/>
      <w:sz w:val="24"/>
      <w:lang w:val="en-US"/>
    </w:rPr>
  </w:style>
  <w:style w:type="character" w:customStyle="1" w:styleId="36b">
    <w:name w:val="36b"/>
    <w:rPr>
      <w:rFonts w:ascii="CG Omega" w:hAnsi="CG Omega"/>
      <w:noProof w:val="0"/>
      <w:sz w:val="24"/>
      <w:lang w:val="en-US"/>
    </w:rPr>
  </w:style>
  <w:style w:type="character" w:customStyle="1" w:styleId="37b">
    <w:name w:val="37b"/>
    <w:basedOn w:val="DefaultParagraphFont"/>
  </w:style>
  <w:style w:type="character" w:customStyle="1" w:styleId="38">
    <w:name w:val="38"/>
    <w:basedOn w:val="DefaultParagraphFont"/>
  </w:style>
  <w:style w:type="character" w:customStyle="1" w:styleId="39">
    <w:name w:val="39"/>
    <w:basedOn w:val="DefaultParagraphFont"/>
  </w:style>
  <w:style w:type="character" w:customStyle="1" w:styleId="40">
    <w:name w:val="40"/>
    <w:basedOn w:val="DefaultParagraphFont"/>
  </w:style>
  <w:style w:type="character" w:customStyle="1" w:styleId="41">
    <w:name w:val="41"/>
    <w:basedOn w:val="DefaultParagraphFont"/>
  </w:style>
  <w:style w:type="character" w:customStyle="1" w:styleId="42a">
    <w:name w:val="42a"/>
    <w:basedOn w:val="DefaultParagraphFont"/>
  </w:style>
  <w:style w:type="character" w:customStyle="1" w:styleId="43a">
    <w:name w:val="43a"/>
    <w:basedOn w:val="DefaultParagraphFont"/>
  </w:style>
  <w:style w:type="character" w:customStyle="1" w:styleId="44a">
    <w:name w:val="44a"/>
    <w:basedOn w:val="DefaultParagraphFont"/>
  </w:style>
  <w:style w:type="character" w:customStyle="1" w:styleId="45a">
    <w:name w:val="45a"/>
    <w:basedOn w:val="DefaultParagraphFont"/>
  </w:style>
  <w:style w:type="character" w:customStyle="1" w:styleId="46a">
    <w:name w:val="46a"/>
    <w:basedOn w:val="DefaultParagraphFont"/>
  </w:style>
  <w:style w:type="character" w:customStyle="1" w:styleId="47a">
    <w:name w:val="47a"/>
    <w:basedOn w:val="DefaultParagraphFont"/>
  </w:style>
  <w:style w:type="character" w:customStyle="1" w:styleId="48p">
    <w:name w:val="48p"/>
    <w:basedOn w:val="DefaultParagraphFont"/>
  </w:style>
  <w:style w:type="character" w:customStyle="1" w:styleId="49p">
    <w:name w:val="49p"/>
    <w:basedOn w:val="DefaultParagraphFont"/>
  </w:style>
  <w:style w:type="paragraph" w:customStyle="1" w:styleId="50b">
    <w:name w:val="50b"/>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style>
  <w:style w:type="character" w:customStyle="1" w:styleId="52a">
    <w:name w:val="52a"/>
    <w:rPr>
      <w:rFonts w:ascii="CG Omega" w:hAnsi="CG Omega"/>
      <w:noProof w:val="0"/>
      <w:sz w:val="24"/>
      <w:lang w:val="en-US"/>
    </w:rPr>
  </w:style>
  <w:style w:type="character" w:customStyle="1" w:styleId="53a">
    <w:name w:val="53a"/>
    <w:basedOn w:val="DefaultParagraphFont"/>
  </w:style>
  <w:style w:type="character" w:customStyle="1" w:styleId="54b">
    <w:name w:val="54b"/>
    <w:basedOn w:val="DefaultParagraphFont"/>
  </w:style>
  <w:style w:type="character" w:customStyle="1" w:styleId="55b">
    <w:name w:val="55b"/>
    <w:basedOn w:val="DefaultParagraphFont"/>
  </w:style>
  <w:style w:type="character" w:customStyle="1" w:styleId="56b">
    <w:name w:val="56b"/>
    <w:basedOn w:val="DefaultParagraphFont"/>
  </w:style>
  <w:style w:type="character" w:customStyle="1" w:styleId="57b">
    <w:name w:val="57b"/>
    <w:basedOn w:val="DefaultParagraphFont"/>
  </w:style>
  <w:style w:type="character" w:customStyle="1" w:styleId="58aa">
    <w:name w:val="58aa"/>
    <w:rPr>
      <w:rFonts w:ascii="CG Omega" w:hAnsi="CG Omega"/>
      <w:noProof w:val="0"/>
      <w:sz w:val="24"/>
      <w:lang w:val="en-US"/>
    </w:rPr>
  </w:style>
  <w:style w:type="character" w:customStyle="1" w:styleId="59aa">
    <w:name w:val="59aa"/>
    <w:rPr>
      <w:rFonts w:ascii="CG Omega" w:hAnsi="CG Omega"/>
      <w:noProof w:val="0"/>
      <w:sz w:val="24"/>
      <w:lang w:val="en-US"/>
    </w:rPr>
  </w:style>
  <w:style w:type="character" w:customStyle="1" w:styleId="60aa">
    <w:name w:val="60aa"/>
    <w:rPr>
      <w:rFonts w:ascii="CG Omega" w:hAnsi="CG Omega"/>
      <w:noProof w:val="0"/>
      <w:sz w:val="24"/>
      <w:lang w:val="en-US"/>
    </w:rPr>
  </w:style>
  <w:style w:type="character" w:customStyle="1" w:styleId="61aa">
    <w:name w:val="61aa"/>
    <w:basedOn w:val="DefaultParagraphFont"/>
  </w:style>
  <w:style w:type="character" w:customStyle="1" w:styleId="62aa">
    <w:name w:val="62aa"/>
    <w:basedOn w:val="DefaultParagraphFont"/>
  </w:style>
  <w:style w:type="character" w:customStyle="1" w:styleId="63aa">
    <w:name w:val="63aa"/>
    <w:basedOn w:val="DefaultParagraphFont"/>
  </w:style>
  <w:style w:type="character" w:customStyle="1" w:styleId="64aa">
    <w:name w:val="64aa"/>
    <w:basedOn w:val="DefaultParagraphFont"/>
  </w:style>
  <w:style w:type="character" w:customStyle="1" w:styleId="65aa">
    <w:name w:val="65aa"/>
    <w:basedOn w:val="DefaultParagraphFont"/>
  </w:style>
  <w:style w:type="character" w:customStyle="1" w:styleId="66aa">
    <w:name w:val="66aa"/>
    <w:basedOn w:val="DefaultParagraphFont"/>
  </w:style>
  <w:style w:type="character" w:customStyle="1" w:styleId="67aa">
    <w:name w:val="67aa"/>
    <w:basedOn w:val="DefaultParagraphFont"/>
  </w:style>
  <w:style w:type="character" w:customStyle="1" w:styleId="68aa">
    <w:name w:val="68aa"/>
    <w:basedOn w:val="DefaultParagraphFont"/>
  </w:style>
  <w:style w:type="character" w:customStyle="1" w:styleId="69aa">
    <w:name w:val="69aa"/>
    <w:basedOn w:val="DefaultParagraphFont"/>
  </w:style>
  <w:style w:type="character" w:customStyle="1" w:styleId="70bb">
    <w:name w:val="70bb"/>
    <w:basedOn w:val="DefaultParagraphFont"/>
  </w:style>
  <w:style w:type="character" w:customStyle="1" w:styleId="71bb">
    <w:name w:val="71bb"/>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C97969"/>
    <w:pPr>
      <w:ind w:left="720"/>
    </w:pPr>
  </w:style>
  <w:style w:type="character" w:styleId="CommentReference">
    <w:name w:val="annotation reference"/>
    <w:rsid w:val="00A36789"/>
    <w:rPr>
      <w:sz w:val="16"/>
      <w:szCs w:val="16"/>
    </w:rPr>
  </w:style>
  <w:style w:type="paragraph" w:styleId="CommentText">
    <w:name w:val="annotation text"/>
    <w:basedOn w:val="Normal"/>
    <w:link w:val="CommentTextChar"/>
    <w:rsid w:val="00A36789"/>
    <w:rPr>
      <w:sz w:val="20"/>
    </w:rPr>
  </w:style>
  <w:style w:type="character" w:customStyle="1" w:styleId="CommentTextChar">
    <w:name w:val="Comment Text Char"/>
    <w:link w:val="CommentText"/>
    <w:rsid w:val="00A36789"/>
    <w:rPr>
      <w:rFonts w:ascii="CG Omega" w:hAnsi="CG Omega"/>
      <w:snapToGrid w:val="0"/>
    </w:rPr>
  </w:style>
  <w:style w:type="paragraph" w:styleId="CommentSubject">
    <w:name w:val="annotation subject"/>
    <w:basedOn w:val="CommentText"/>
    <w:next w:val="CommentText"/>
    <w:link w:val="CommentSubjectChar"/>
    <w:rsid w:val="00A36789"/>
    <w:rPr>
      <w:b/>
      <w:bCs/>
    </w:rPr>
  </w:style>
  <w:style w:type="character" w:customStyle="1" w:styleId="CommentSubjectChar">
    <w:name w:val="Comment Subject Char"/>
    <w:link w:val="CommentSubject"/>
    <w:rsid w:val="00A36789"/>
    <w:rPr>
      <w:rFonts w:ascii="CG Omega" w:hAnsi="CG Omega"/>
      <w:b/>
      <w:bCs/>
      <w:snapToGrid w:val="0"/>
    </w:rPr>
  </w:style>
  <w:style w:type="paragraph" w:styleId="BalloonText">
    <w:name w:val="Balloon Text"/>
    <w:basedOn w:val="Normal"/>
    <w:link w:val="BalloonTextChar"/>
    <w:rsid w:val="00A36789"/>
    <w:rPr>
      <w:rFonts w:ascii="Segoe UI" w:hAnsi="Segoe UI" w:cs="Segoe UI"/>
      <w:sz w:val="18"/>
      <w:szCs w:val="18"/>
    </w:rPr>
  </w:style>
  <w:style w:type="character" w:customStyle="1" w:styleId="BalloonTextChar">
    <w:name w:val="Balloon Text Char"/>
    <w:link w:val="BalloonText"/>
    <w:rsid w:val="00A36789"/>
    <w:rPr>
      <w:rFonts w:ascii="Segoe UI" w:hAnsi="Segoe UI" w:cs="Segoe UI"/>
      <w:snapToGrid w:val="0"/>
      <w:sz w:val="18"/>
      <w:szCs w:val="18"/>
    </w:rPr>
  </w:style>
  <w:style w:type="character" w:styleId="Hyperlink">
    <w:name w:val="Hyperlink"/>
    <w:rsid w:val="004030CC"/>
    <w:rPr>
      <w:color w:val="0563C1"/>
      <w:u w:val="single"/>
    </w:rPr>
  </w:style>
  <w:style w:type="character" w:styleId="FollowedHyperlink">
    <w:name w:val="FollowedHyperlink"/>
    <w:rsid w:val="004030C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5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6F4C-9521-4976-9040-69F490B6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JSWANK</dc:creator>
  <cp:keywords/>
  <cp:lastModifiedBy>Cathy Williams</cp:lastModifiedBy>
  <cp:revision>2</cp:revision>
  <cp:lastPrinted>2015-11-17T19:41:00Z</cp:lastPrinted>
  <dcterms:created xsi:type="dcterms:W3CDTF">2020-04-21T20:21:00Z</dcterms:created>
  <dcterms:modified xsi:type="dcterms:W3CDTF">2020-04-21T20:21:00Z</dcterms:modified>
</cp:coreProperties>
</file>