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C5602" w:rsidR="00975D09" w:rsidP="00975D09" w:rsidRDefault="00975D09" w14:paraId="751E662B" w14:textId="77777777">
      <w:pPr>
        <w:jc w:val="center"/>
        <w:rPr>
          <w:b/>
          <w:sz w:val="22"/>
          <w:szCs w:val="22"/>
        </w:rPr>
      </w:pPr>
      <w:r w:rsidRPr="005C5602">
        <w:rPr>
          <w:b/>
          <w:sz w:val="22"/>
          <w:szCs w:val="22"/>
        </w:rPr>
        <w:t xml:space="preserve">SUPPORTING STATEMENT </w:t>
      </w:r>
    </w:p>
    <w:p w:rsidRPr="005C5602" w:rsidR="00975D09" w:rsidP="00975D09" w:rsidRDefault="00975D09" w14:paraId="2A427C61" w14:textId="77777777">
      <w:pPr>
        <w:rPr>
          <w:sz w:val="22"/>
          <w:szCs w:val="22"/>
        </w:rPr>
      </w:pPr>
    </w:p>
    <w:p w:rsidRPr="005C5602" w:rsidR="00975D09" w:rsidP="00975D09" w:rsidRDefault="00975D09" w14:paraId="53AA5959" w14:textId="77777777">
      <w:pPr>
        <w:rPr>
          <w:b/>
          <w:sz w:val="22"/>
          <w:szCs w:val="22"/>
          <w:u w:val="single"/>
        </w:rPr>
      </w:pPr>
      <w:r w:rsidRPr="005C5602">
        <w:rPr>
          <w:b/>
          <w:sz w:val="22"/>
          <w:szCs w:val="22"/>
        </w:rPr>
        <w:t xml:space="preserve">A.  </w:t>
      </w:r>
      <w:r w:rsidRPr="005C5602">
        <w:rPr>
          <w:b/>
          <w:sz w:val="22"/>
          <w:szCs w:val="22"/>
          <w:u w:val="single"/>
        </w:rPr>
        <w:t>Justification</w:t>
      </w:r>
    </w:p>
    <w:p w:rsidRPr="005C5602" w:rsidR="00975D09" w:rsidP="00975D09" w:rsidRDefault="00975D09" w14:paraId="49328971" w14:textId="77777777">
      <w:pPr>
        <w:rPr>
          <w:sz w:val="22"/>
          <w:szCs w:val="22"/>
          <w:u w:val="single"/>
        </w:rPr>
      </w:pPr>
    </w:p>
    <w:p w:rsidR="00975D09" w:rsidP="00975D09" w:rsidRDefault="00975D09" w14:paraId="32CF9349" w14:textId="77777777">
      <w:pPr>
        <w:rPr>
          <w:sz w:val="22"/>
          <w:szCs w:val="22"/>
        </w:rPr>
      </w:pPr>
      <w:r w:rsidRPr="005C5602">
        <w:rPr>
          <w:sz w:val="22"/>
          <w:szCs w:val="22"/>
        </w:rPr>
        <w:t xml:space="preserve">1.  </w:t>
      </w:r>
      <w:r>
        <w:rPr>
          <w:sz w:val="22"/>
          <w:szCs w:val="22"/>
        </w:rPr>
        <w:t xml:space="preserve">This information collection is necessary to facilitate the creation and use of a database to help address the problem of unwanted calls to reassigned numbers.  </w:t>
      </w:r>
      <w:r w:rsidRPr="00E16D94">
        <w:rPr>
          <w:sz w:val="22"/>
          <w:szCs w:val="22"/>
        </w:rPr>
        <w:t xml:space="preserve">The database will </w:t>
      </w:r>
      <w:bookmarkStart w:name="_Hlk17107179" w:id="0"/>
      <w:r w:rsidRPr="00E16D94">
        <w:rPr>
          <w:sz w:val="22"/>
          <w:szCs w:val="22"/>
        </w:rPr>
        <w:t xml:space="preserve">enable any caller to verify whether a number has been </w:t>
      </w:r>
      <w:r>
        <w:rPr>
          <w:sz w:val="22"/>
          <w:szCs w:val="22"/>
        </w:rPr>
        <w:t>reassigned</w:t>
      </w:r>
      <w:r w:rsidRPr="00E16D94">
        <w:rPr>
          <w:sz w:val="22"/>
          <w:szCs w:val="22"/>
        </w:rPr>
        <w:t xml:space="preserve"> before calling that number, and it will help consumers avoid unwanted calls intended for others.</w:t>
      </w:r>
      <w:bookmarkEnd w:id="0"/>
      <w:r w:rsidRPr="00E16D94">
        <w:rPr>
          <w:sz w:val="22"/>
          <w:szCs w:val="22"/>
        </w:rPr>
        <w:t xml:space="preserve">  </w:t>
      </w:r>
      <w:r>
        <w:rPr>
          <w:sz w:val="22"/>
          <w:szCs w:val="22"/>
        </w:rPr>
        <w:t xml:space="preserve">Therefore, </w:t>
      </w:r>
      <w:r w:rsidRPr="00DC5900">
        <w:rPr>
          <w:sz w:val="22"/>
          <w:szCs w:val="22"/>
        </w:rPr>
        <w:t xml:space="preserve">the Commission is seeking OMB approval for a new collection and requests a new OMB Control Number for the information burdens associated with the </w:t>
      </w:r>
      <w:r>
        <w:rPr>
          <w:sz w:val="22"/>
          <w:szCs w:val="22"/>
        </w:rPr>
        <w:t>Reassigned Numbers Database.</w:t>
      </w:r>
    </w:p>
    <w:p w:rsidR="00975D09" w:rsidP="00975D09" w:rsidRDefault="00975D09" w14:paraId="60522C30" w14:textId="77777777">
      <w:pPr>
        <w:rPr>
          <w:sz w:val="22"/>
          <w:szCs w:val="22"/>
        </w:rPr>
      </w:pPr>
    </w:p>
    <w:p w:rsidR="00975D09" w:rsidP="00975D09" w:rsidRDefault="00975D09" w14:paraId="4B761104" w14:textId="77777777">
      <w:pPr>
        <w:rPr>
          <w:sz w:val="22"/>
          <w:szCs w:val="22"/>
        </w:rPr>
      </w:pPr>
      <w:r w:rsidRPr="00927795">
        <w:rPr>
          <w:sz w:val="22"/>
          <w:szCs w:val="22"/>
        </w:rPr>
        <w:t xml:space="preserve">In the </w:t>
      </w:r>
      <w:r w:rsidRPr="00927795">
        <w:rPr>
          <w:i/>
          <w:sz w:val="22"/>
          <w:szCs w:val="22"/>
        </w:rPr>
        <w:t>1992 TCPA Order</w:t>
      </w:r>
      <w:r w:rsidRPr="00927795">
        <w:rPr>
          <w:sz w:val="22"/>
          <w:szCs w:val="22"/>
        </w:rPr>
        <w:t>, the Federal Communications Commission (Commission) implemented final rules pursuant to the requirements of the Telephone Consumer Protection Act of 1991</w:t>
      </w:r>
      <w:r>
        <w:rPr>
          <w:sz w:val="22"/>
          <w:szCs w:val="22"/>
        </w:rPr>
        <w:t xml:space="preserve"> (TCPA)</w:t>
      </w:r>
      <w:r w:rsidRPr="00927795">
        <w:rPr>
          <w:sz w:val="22"/>
          <w:szCs w:val="22"/>
        </w:rPr>
        <w:t>, Pub. L. No. 102-243, Dec. 20, 1991.</w:t>
      </w:r>
      <w:r w:rsidRPr="00927795">
        <w:rPr>
          <w:sz w:val="22"/>
          <w:szCs w:val="22"/>
          <w:vertAlign w:val="superscript"/>
        </w:rPr>
        <w:footnoteReference w:id="2"/>
      </w:r>
      <w:r w:rsidRPr="00927795">
        <w:rPr>
          <w:sz w:val="22"/>
          <w:szCs w:val="22"/>
        </w:rPr>
        <w:t xml:space="preserve">  The TCPA added Section 227 to the Communications Act of 1934, as amended, to restrict the use of automatic telephone dialing systems (autodialers), artificial or prerecorded messages, facsimile machines, or other devices to send unsolicited transmissions.</w:t>
      </w:r>
      <w:r w:rsidRPr="00927795">
        <w:rPr>
          <w:sz w:val="22"/>
          <w:szCs w:val="22"/>
          <w:vertAlign w:val="superscript"/>
        </w:rPr>
        <w:footnoteReference w:id="3"/>
      </w:r>
      <w:r w:rsidRPr="00927795">
        <w:rPr>
          <w:sz w:val="22"/>
          <w:szCs w:val="22"/>
        </w:rPr>
        <w:t xml:space="preserve">  </w:t>
      </w:r>
    </w:p>
    <w:p w:rsidR="00975D09" w:rsidP="00975D09" w:rsidRDefault="00975D09" w14:paraId="0B77AFA8" w14:textId="77777777">
      <w:pPr>
        <w:rPr>
          <w:sz w:val="22"/>
          <w:szCs w:val="22"/>
        </w:rPr>
      </w:pPr>
    </w:p>
    <w:p w:rsidRPr="006A2DB5" w:rsidR="00975D09" w:rsidP="00975D09" w:rsidRDefault="00975D09" w14:paraId="099A7469" w14:textId="77777777">
      <w:pPr>
        <w:rPr>
          <w:sz w:val="22"/>
          <w:szCs w:val="22"/>
        </w:rPr>
      </w:pPr>
      <w:r w:rsidRPr="00927795">
        <w:rPr>
          <w:sz w:val="22"/>
          <w:szCs w:val="22"/>
        </w:rPr>
        <w:t xml:space="preserve">The </w:t>
      </w:r>
      <w:r>
        <w:rPr>
          <w:sz w:val="22"/>
          <w:szCs w:val="22"/>
        </w:rPr>
        <w:t xml:space="preserve">Commission’s TCPA </w:t>
      </w:r>
      <w:r w:rsidRPr="00927795">
        <w:rPr>
          <w:sz w:val="22"/>
          <w:szCs w:val="22"/>
        </w:rPr>
        <w:t>rules prohibit prerecorded message calls to residential lines absent an emergency or the prior express consent of the called party.  Exceptions to this prohibition originally applied if the call:  (a) is not made for a commercial purpose; (b) does not transmit an unsolicited advertisement; (c) is made by a calling party with whom the called party has an established business relationship; or (d) is made by a tax-exempt nonprofit organization.</w:t>
      </w:r>
      <w:r w:rsidRPr="00927795">
        <w:rPr>
          <w:sz w:val="22"/>
          <w:szCs w:val="22"/>
          <w:vertAlign w:val="superscript"/>
        </w:rPr>
        <w:footnoteReference w:id="4"/>
      </w:r>
      <w:r w:rsidRPr="00927795">
        <w:rPr>
          <w:sz w:val="22"/>
          <w:szCs w:val="22"/>
        </w:rPr>
        <w:t xml:space="preserve">  In 2012, the Commission eliminated the established business relationship exemption </w:t>
      </w:r>
      <w:r w:rsidRPr="00927795">
        <w:rPr>
          <w:color w:val="000000"/>
          <w:sz w:val="22"/>
          <w:szCs w:val="22"/>
        </w:rPr>
        <w:t xml:space="preserve">for calls to a wireless telephone number or prerecorded telemarketing calls </w:t>
      </w:r>
      <w:r>
        <w:rPr>
          <w:color w:val="000000"/>
          <w:sz w:val="22"/>
          <w:szCs w:val="22"/>
        </w:rPr>
        <w:t xml:space="preserve">to </w:t>
      </w:r>
      <w:r w:rsidRPr="00927795">
        <w:rPr>
          <w:color w:val="000000"/>
          <w:sz w:val="22"/>
          <w:szCs w:val="22"/>
        </w:rPr>
        <w:t>a residential line,</w:t>
      </w:r>
      <w:r w:rsidRPr="00927795">
        <w:rPr>
          <w:sz w:val="22"/>
          <w:szCs w:val="22"/>
        </w:rPr>
        <w:t xml:space="preserve"> and the elimination of the exemption became effective at the end of 2013.</w:t>
      </w:r>
      <w:r w:rsidRPr="00B06CF0">
        <w:rPr>
          <w:sz w:val="22"/>
          <w:szCs w:val="22"/>
          <w:vertAlign w:val="superscript"/>
        </w:rPr>
        <w:t xml:space="preserve"> </w:t>
      </w:r>
      <w:r w:rsidRPr="00927795">
        <w:rPr>
          <w:sz w:val="22"/>
          <w:szCs w:val="22"/>
          <w:vertAlign w:val="superscript"/>
        </w:rPr>
        <w:footnoteReference w:id="5"/>
      </w:r>
      <w:r w:rsidRPr="00927795">
        <w:rPr>
          <w:sz w:val="22"/>
          <w:szCs w:val="22"/>
        </w:rPr>
        <w:t xml:space="preserve">  However, the other exceptions remain in place.</w:t>
      </w:r>
      <w:r w:rsidRPr="006A2DB5">
        <w:rPr>
          <w:sz w:val="22"/>
          <w:szCs w:val="22"/>
        </w:rPr>
        <w:t xml:space="preserve"> </w:t>
      </w:r>
      <w:r>
        <w:rPr>
          <w:sz w:val="22"/>
          <w:szCs w:val="22"/>
        </w:rPr>
        <w:t xml:space="preserve"> </w:t>
      </w:r>
      <w:r w:rsidRPr="006A2DB5">
        <w:rPr>
          <w:sz w:val="22"/>
          <w:szCs w:val="22"/>
        </w:rPr>
        <w:t xml:space="preserve">In addition to the remaining exceptions, the rules prohibit any call other than a call solely to collect a debt owed to or guaranteed by the United States, absent an emergency or the prior express consent of the called party, using an automatic telephone dialing system or a prerecorded voice when calling any emergency telephone line (including any “911” line and any emergency line of a hospital, medical physician or service office, health care facility, poison control center, or fire protection or law enforcement agency), any telephone line of any guest room or patient room of a hospital, health care facility, elderly home, or similar establishment, or any telephone numbers assigned to a paging service, cellular telephone service, </w:t>
      </w:r>
      <w:r w:rsidRPr="006A2DB5">
        <w:rPr>
          <w:sz w:val="22"/>
          <w:szCs w:val="22"/>
        </w:rPr>
        <w:lastRenderedPageBreak/>
        <w:t>specialized mobile radio service, or other common carrier service or any service for which the called party is charged for the call.</w:t>
      </w:r>
      <w:r w:rsidRPr="006A2DB5">
        <w:rPr>
          <w:sz w:val="22"/>
          <w:szCs w:val="22"/>
          <w:vertAlign w:val="superscript"/>
        </w:rPr>
        <w:footnoteReference w:id="6"/>
      </w:r>
      <w:r w:rsidRPr="006A2DB5">
        <w:rPr>
          <w:sz w:val="22"/>
          <w:szCs w:val="22"/>
        </w:rPr>
        <w:t xml:space="preserve">  </w:t>
      </w:r>
    </w:p>
    <w:p w:rsidR="00975D09" w:rsidP="00975D09" w:rsidRDefault="00975D09" w14:paraId="0570925A" w14:textId="77777777">
      <w:pPr>
        <w:rPr>
          <w:sz w:val="22"/>
          <w:szCs w:val="22"/>
        </w:rPr>
      </w:pPr>
    </w:p>
    <w:p w:rsidR="00975D09" w:rsidP="00975D09" w:rsidRDefault="00975D09" w14:paraId="4AAB2EA2" w14:textId="77777777">
      <w:pPr>
        <w:rPr>
          <w:sz w:val="22"/>
          <w:szCs w:val="22"/>
        </w:rPr>
      </w:pPr>
      <w:r w:rsidRPr="00F91EDF">
        <w:rPr>
          <w:sz w:val="22"/>
          <w:szCs w:val="22"/>
        </w:rPr>
        <w:t xml:space="preserve">The </w:t>
      </w:r>
      <w:r>
        <w:rPr>
          <w:sz w:val="22"/>
          <w:szCs w:val="22"/>
        </w:rPr>
        <w:t xml:space="preserve">Commission’s </w:t>
      </w:r>
      <w:r w:rsidRPr="00F91EDF">
        <w:rPr>
          <w:sz w:val="22"/>
          <w:szCs w:val="22"/>
        </w:rPr>
        <w:t>rules require providers to ensure the efficient use of telephone numbers by reassigning a telephone number to a new consumer after the previous consumer disconnects it.</w:t>
      </w:r>
      <w:r w:rsidRPr="00F91EDF">
        <w:rPr>
          <w:sz w:val="22"/>
          <w:szCs w:val="22"/>
          <w:vertAlign w:val="superscript"/>
        </w:rPr>
        <w:footnoteReference w:id="7"/>
      </w:r>
      <w:r w:rsidRPr="00F91EDF">
        <w:rPr>
          <w:sz w:val="22"/>
          <w:szCs w:val="22"/>
        </w:rPr>
        <w:t xml:space="preserve">  Once a consumer disconnects a number, he or she might not update all parties who have called in the past.  When the old number is eventually reassigned, callers may inadvertently reach the new consumer who now has the reassigned number.</w:t>
      </w:r>
      <w:r>
        <w:rPr>
          <w:sz w:val="22"/>
          <w:szCs w:val="22"/>
        </w:rPr>
        <w:t xml:space="preserve">  </w:t>
      </w:r>
      <w:r w:rsidRPr="0041243F">
        <w:rPr>
          <w:sz w:val="22"/>
          <w:szCs w:val="22"/>
        </w:rPr>
        <w:t>As a result, the previous consumer is deprived of expected calls.  In addition, unwanted calls reduce callers’ operational efficiency and effectiveness, while subjecting them to potential liability for alleged violations of the TCPA</w:t>
      </w:r>
      <w:r>
        <w:rPr>
          <w:sz w:val="22"/>
          <w:szCs w:val="22"/>
        </w:rPr>
        <w:t>.</w:t>
      </w:r>
    </w:p>
    <w:p w:rsidR="00975D09" w:rsidP="00975D09" w:rsidRDefault="00975D09" w14:paraId="2428CF93" w14:textId="77777777">
      <w:pPr>
        <w:rPr>
          <w:sz w:val="22"/>
          <w:szCs w:val="22"/>
        </w:rPr>
      </w:pPr>
    </w:p>
    <w:p w:rsidR="00975D09" w:rsidP="00975D09" w:rsidRDefault="00975D09" w14:paraId="4CB00242" w14:textId="77777777">
      <w:pPr>
        <w:rPr>
          <w:sz w:val="22"/>
          <w:szCs w:val="22"/>
        </w:rPr>
      </w:pPr>
      <w:r w:rsidRPr="00F91EDF">
        <w:rPr>
          <w:sz w:val="22"/>
          <w:szCs w:val="22"/>
        </w:rPr>
        <w:t>Approximately 35 million numbers are disconnected and made available for reassignment to new consumers each year</w:t>
      </w:r>
      <w:r>
        <w:rPr>
          <w:sz w:val="22"/>
          <w:szCs w:val="22"/>
        </w:rPr>
        <w:t>.</w:t>
      </w:r>
      <w:r w:rsidRPr="00F91EDF">
        <w:rPr>
          <w:sz w:val="22"/>
          <w:szCs w:val="22"/>
          <w:vertAlign w:val="superscript"/>
        </w:rPr>
        <w:footnoteReference w:id="8"/>
      </w:r>
      <w:r w:rsidRPr="00F91EDF">
        <w:rPr>
          <w:sz w:val="22"/>
          <w:szCs w:val="22"/>
        </w:rPr>
        <w:t xml:space="preserve"> </w:t>
      </w:r>
      <w:r>
        <w:rPr>
          <w:sz w:val="22"/>
          <w:szCs w:val="22"/>
        </w:rPr>
        <w:t xml:space="preserve"> </w:t>
      </w:r>
      <w:r w:rsidRPr="00F91EDF">
        <w:rPr>
          <w:sz w:val="22"/>
          <w:szCs w:val="22"/>
        </w:rPr>
        <w:t>Indeed, concern about calling reassigned numbers has caused some callers to stop making calls.  The problem has become significant enough that commercial databases now exist to aid callers.  However, these databases are not comprehensive, and thus callers and consumers alike continue to be frustrated by unwanted calls to reassigned numbers.</w:t>
      </w:r>
    </w:p>
    <w:p w:rsidR="00975D09" w:rsidP="00975D09" w:rsidRDefault="00975D09" w14:paraId="17537F3C" w14:textId="77777777">
      <w:pPr>
        <w:rPr>
          <w:sz w:val="22"/>
          <w:szCs w:val="22"/>
        </w:rPr>
      </w:pPr>
    </w:p>
    <w:p w:rsidRPr="00F91EDF" w:rsidR="00975D09" w:rsidP="00975D09" w:rsidRDefault="00975D09" w14:paraId="7944F1CB" w14:textId="77777777">
      <w:pPr>
        <w:rPr>
          <w:sz w:val="22"/>
          <w:szCs w:val="22"/>
        </w:rPr>
      </w:pPr>
      <w:r w:rsidRPr="00F91EDF">
        <w:rPr>
          <w:sz w:val="22"/>
          <w:szCs w:val="22"/>
        </w:rPr>
        <w:t>The Commission took the first step toward addressing the problem by launching a broad inquiry in July 2017.</w:t>
      </w:r>
      <w:r w:rsidRPr="00F91EDF">
        <w:rPr>
          <w:sz w:val="22"/>
          <w:szCs w:val="22"/>
          <w:vertAlign w:val="superscript"/>
        </w:rPr>
        <w:footnoteReference w:id="9"/>
      </w:r>
      <w:r w:rsidRPr="00F91EDF">
        <w:rPr>
          <w:sz w:val="22"/>
          <w:szCs w:val="22"/>
        </w:rPr>
        <w:t xml:space="preserve">  In March 2018, the Commission adopted a </w:t>
      </w:r>
      <w:r w:rsidRPr="00F91EDF">
        <w:rPr>
          <w:i/>
          <w:sz w:val="22"/>
          <w:szCs w:val="22"/>
        </w:rPr>
        <w:t>Second Further Notice</w:t>
      </w:r>
      <w:r w:rsidRPr="00F91EDF">
        <w:rPr>
          <w:sz w:val="22"/>
          <w:szCs w:val="22"/>
        </w:rPr>
        <w:t xml:space="preserve"> proposing to establish a reassigned numbers database and seeking comment on the mechanics and policies associated with the database.</w:t>
      </w:r>
      <w:r w:rsidRPr="00F91EDF">
        <w:rPr>
          <w:sz w:val="22"/>
          <w:szCs w:val="22"/>
          <w:vertAlign w:val="superscript"/>
        </w:rPr>
        <w:footnoteReference w:id="10"/>
      </w:r>
      <w:r w:rsidRPr="00F91EDF">
        <w:rPr>
          <w:sz w:val="22"/>
          <w:szCs w:val="22"/>
        </w:rPr>
        <w:t xml:space="preserve">  A broad range of commenters, including callers and associated trade organizations, consumer groups, state government, and one cable and interconnected VoIP service provider</w:t>
      </w:r>
      <w:r>
        <w:rPr>
          <w:sz w:val="22"/>
          <w:szCs w:val="22"/>
        </w:rPr>
        <w:t>, supported the creation of</w:t>
      </w:r>
      <w:r w:rsidRPr="00F91EDF">
        <w:rPr>
          <w:sz w:val="22"/>
          <w:szCs w:val="22"/>
        </w:rPr>
        <w:t xml:space="preserve"> </w:t>
      </w:r>
      <w:r>
        <w:rPr>
          <w:sz w:val="22"/>
          <w:szCs w:val="22"/>
        </w:rPr>
        <w:t>a</w:t>
      </w:r>
      <w:r w:rsidRPr="00F91EDF">
        <w:rPr>
          <w:sz w:val="22"/>
          <w:szCs w:val="22"/>
        </w:rPr>
        <w:t xml:space="preserve"> comprehensive reassigned numbers database. </w:t>
      </w:r>
      <w:r>
        <w:rPr>
          <w:sz w:val="22"/>
          <w:szCs w:val="22"/>
        </w:rPr>
        <w:t xml:space="preserve"> </w:t>
      </w:r>
      <w:r w:rsidRPr="00F91EDF">
        <w:rPr>
          <w:sz w:val="22"/>
          <w:szCs w:val="22"/>
        </w:rPr>
        <w:t xml:space="preserve">Legislators </w:t>
      </w:r>
      <w:r>
        <w:rPr>
          <w:sz w:val="22"/>
          <w:szCs w:val="22"/>
        </w:rPr>
        <w:t xml:space="preserve">also </w:t>
      </w:r>
      <w:r w:rsidRPr="00F91EDF">
        <w:rPr>
          <w:sz w:val="22"/>
          <w:szCs w:val="22"/>
        </w:rPr>
        <w:t>urge</w:t>
      </w:r>
      <w:r>
        <w:rPr>
          <w:sz w:val="22"/>
          <w:szCs w:val="22"/>
        </w:rPr>
        <w:t>d</w:t>
      </w:r>
      <w:r w:rsidRPr="00F91EDF">
        <w:rPr>
          <w:sz w:val="22"/>
          <w:szCs w:val="22"/>
        </w:rPr>
        <w:t xml:space="preserve"> the </w:t>
      </w:r>
      <w:r>
        <w:rPr>
          <w:sz w:val="22"/>
          <w:szCs w:val="22"/>
        </w:rPr>
        <w:t>Commission</w:t>
      </w:r>
      <w:r w:rsidRPr="00F91EDF">
        <w:rPr>
          <w:sz w:val="22"/>
          <w:szCs w:val="22"/>
        </w:rPr>
        <w:t xml:space="preserve"> to establish a comprehensive reassigned numbers resource,</w:t>
      </w:r>
      <w:r w:rsidRPr="00F91EDF">
        <w:rPr>
          <w:sz w:val="22"/>
          <w:szCs w:val="22"/>
          <w:vertAlign w:val="superscript"/>
        </w:rPr>
        <w:footnoteReference w:id="11"/>
      </w:r>
      <w:r w:rsidRPr="00F91EDF">
        <w:rPr>
          <w:sz w:val="22"/>
          <w:szCs w:val="22"/>
        </w:rPr>
        <w:t xml:space="preserve"> and the </w:t>
      </w:r>
      <w:bookmarkStart w:name="_Hlk525131458" w:id="1"/>
      <w:r w:rsidRPr="00F91EDF">
        <w:rPr>
          <w:sz w:val="22"/>
          <w:szCs w:val="22"/>
        </w:rPr>
        <w:t>U.S. Court of Appeals for the D.C. Circuit</w:t>
      </w:r>
      <w:r>
        <w:rPr>
          <w:sz w:val="22"/>
          <w:szCs w:val="22"/>
        </w:rPr>
        <w:t xml:space="preserve"> </w:t>
      </w:r>
      <w:r w:rsidRPr="00F91EDF">
        <w:rPr>
          <w:sz w:val="22"/>
          <w:szCs w:val="22"/>
        </w:rPr>
        <w:t>favorably noted the Commission’s efforts toward creation of such a database.</w:t>
      </w:r>
      <w:r w:rsidRPr="00F91EDF">
        <w:rPr>
          <w:sz w:val="22"/>
          <w:szCs w:val="22"/>
          <w:vertAlign w:val="superscript"/>
        </w:rPr>
        <w:footnoteReference w:id="12"/>
      </w:r>
      <w:bookmarkEnd w:id="1"/>
      <w:r w:rsidRPr="00F91EDF">
        <w:rPr>
          <w:sz w:val="22"/>
          <w:szCs w:val="22"/>
        </w:rPr>
        <w:t xml:space="preserve">  </w:t>
      </w:r>
    </w:p>
    <w:p w:rsidRPr="00F91EDF" w:rsidR="00975D09" w:rsidP="00975D09" w:rsidRDefault="00975D09" w14:paraId="64FCE025" w14:textId="77777777">
      <w:pPr>
        <w:rPr>
          <w:sz w:val="22"/>
          <w:szCs w:val="22"/>
        </w:rPr>
      </w:pPr>
    </w:p>
    <w:p w:rsidR="00975D09" w:rsidP="00975D09" w:rsidRDefault="00975D09" w14:paraId="542FDEC1" w14:textId="77777777">
      <w:pPr>
        <w:rPr>
          <w:sz w:val="22"/>
          <w:szCs w:val="22"/>
        </w:rPr>
      </w:pPr>
      <w:r w:rsidRPr="005C5602">
        <w:rPr>
          <w:sz w:val="22"/>
          <w:szCs w:val="22"/>
        </w:rPr>
        <w:t xml:space="preserve">On </w:t>
      </w:r>
      <w:r>
        <w:rPr>
          <w:sz w:val="22"/>
          <w:szCs w:val="22"/>
        </w:rPr>
        <w:t>December 13</w:t>
      </w:r>
      <w:r w:rsidRPr="005C5602">
        <w:rPr>
          <w:sz w:val="22"/>
          <w:szCs w:val="22"/>
        </w:rPr>
        <w:t>, 20</w:t>
      </w:r>
      <w:r>
        <w:rPr>
          <w:sz w:val="22"/>
          <w:szCs w:val="22"/>
        </w:rPr>
        <w:t>18</w:t>
      </w:r>
      <w:r w:rsidRPr="005C5602">
        <w:rPr>
          <w:sz w:val="22"/>
          <w:szCs w:val="22"/>
        </w:rPr>
        <w:t xml:space="preserve">, the Commission released a </w:t>
      </w:r>
      <w:r>
        <w:rPr>
          <w:i/>
          <w:sz w:val="22"/>
          <w:szCs w:val="22"/>
        </w:rPr>
        <w:t>Second Re</w:t>
      </w:r>
      <w:r w:rsidRPr="005C5602">
        <w:rPr>
          <w:i/>
          <w:sz w:val="22"/>
          <w:szCs w:val="22"/>
        </w:rPr>
        <w:t>port and Order</w:t>
      </w:r>
      <w:r w:rsidRPr="005C5602">
        <w:rPr>
          <w:sz w:val="22"/>
          <w:szCs w:val="22"/>
        </w:rPr>
        <w:t xml:space="preserve"> </w:t>
      </w:r>
      <w:r w:rsidRPr="006D080D">
        <w:rPr>
          <w:sz w:val="22"/>
          <w:szCs w:val="22"/>
        </w:rPr>
        <w:t>authoriz</w:t>
      </w:r>
      <w:r>
        <w:rPr>
          <w:sz w:val="22"/>
          <w:szCs w:val="22"/>
        </w:rPr>
        <w:t>ing</w:t>
      </w:r>
      <w:r w:rsidRPr="006D080D">
        <w:rPr>
          <w:sz w:val="22"/>
          <w:szCs w:val="22"/>
        </w:rPr>
        <w:t xml:space="preserve"> the creation of a reassigned numbers database to enable callers to verify whether a telephone number has been permanently disconnected, and is therefore eligible for reassignment, before calling that </w:t>
      </w:r>
      <w:r w:rsidRPr="006D080D">
        <w:rPr>
          <w:sz w:val="22"/>
          <w:szCs w:val="22"/>
        </w:rPr>
        <w:lastRenderedPageBreak/>
        <w:t>number, thereby helping to protect consumers with reassigned numbers from receiving unwanted robocalls.</w:t>
      </w:r>
      <w:r w:rsidRPr="005C5602">
        <w:rPr>
          <w:rStyle w:val="FootnoteReference"/>
          <w:sz w:val="22"/>
          <w:szCs w:val="22"/>
        </w:rPr>
        <w:footnoteReference w:id="13"/>
      </w:r>
      <w:r w:rsidRPr="005C5602">
        <w:rPr>
          <w:sz w:val="22"/>
          <w:szCs w:val="22"/>
        </w:rPr>
        <w:t xml:space="preserve">  </w:t>
      </w:r>
      <w:r>
        <w:rPr>
          <w:sz w:val="22"/>
          <w:szCs w:val="22"/>
        </w:rPr>
        <w:t xml:space="preserve">Specifically, the </w:t>
      </w:r>
      <w:r>
        <w:rPr>
          <w:i/>
          <w:sz w:val="22"/>
          <w:szCs w:val="22"/>
        </w:rPr>
        <w:t>Second Report and Order</w:t>
      </w:r>
      <w:r>
        <w:rPr>
          <w:sz w:val="22"/>
          <w:szCs w:val="22"/>
        </w:rPr>
        <w:t>:</w:t>
      </w:r>
    </w:p>
    <w:p w:rsidR="00975D09" w:rsidP="00975D09" w:rsidRDefault="00975D09" w14:paraId="4B8180DB" w14:textId="77777777">
      <w:pPr>
        <w:rPr>
          <w:sz w:val="22"/>
          <w:szCs w:val="22"/>
        </w:rPr>
      </w:pPr>
    </w:p>
    <w:p w:rsidR="00975D09" w:rsidP="00975D09" w:rsidRDefault="00975D09" w14:paraId="42393D3B" w14:textId="77777777">
      <w:pPr>
        <w:numPr>
          <w:ilvl w:val="0"/>
          <w:numId w:val="1"/>
        </w:numPr>
        <w:rPr>
          <w:sz w:val="22"/>
          <w:szCs w:val="22"/>
        </w:rPr>
      </w:pPr>
      <w:r w:rsidRPr="0041243F">
        <w:rPr>
          <w:sz w:val="22"/>
          <w:szCs w:val="22"/>
        </w:rPr>
        <w:t>Establish</w:t>
      </w:r>
      <w:r>
        <w:rPr>
          <w:sz w:val="22"/>
          <w:szCs w:val="22"/>
        </w:rPr>
        <w:t>ed</w:t>
      </w:r>
      <w:r w:rsidRPr="0041243F">
        <w:rPr>
          <w:sz w:val="22"/>
          <w:szCs w:val="22"/>
        </w:rPr>
        <w:t xml:space="preserve"> a single, comprehensive reassigned numbers database that will enable callers to verify whether a telephone number has been permanently disconnected, and is therefore eligible for reassignment, before calling that number.</w:t>
      </w:r>
    </w:p>
    <w:p w:rsidR="00975D09" w:rsidP="00975D09" w:rsidRDefault="00975D09" w14:paraId="28EEDAF3" w14:textId="77777777">
      <w:pPr>
        <w:numPr>
          <w:ilvl w:val="0"/>
          <w:numId w:val="1"/>
        </w:numPr>
        <w:rPr>
          <w:sz w:val="22"/>
          <w:szCs w:val="22"/>
        </w:rPr>
      </w:pPr>
      <w:r w:rsidRPr="0041243F">
        <w:rPr>
          <w:sz w:val="22"/>
          <w:szCs w:val="22"/>
        </w:rPr>
        <w:t>Require</w:t>
      </w:r>
      <w:r>
        <w:rPr>
          <w:sz w:val="22"/>
          <w:szCs w:val="22"/>
        </w:rPr>
        <w:t>d</w:t>
      </w:r>
      <w:r w:rsidRPr="0041243F">
        <w:rPr>
          <w:sz w:val="22"/>
          <w:szCs w:val="22"/>
        </w:rPr>
        <w:t xml:space="preserve"> a minimum aging period of 45 days before permanently disconnected telephone numbers can be reassigned.</w:t>
      </w:r>
    </w:p>
    <w:p w:rsidR="00975D09" w:rsidP="00975D09" w:rsidRDefault="00975D09" w14:paraId="6E525FEF" w14:textId="77777777">
      <w:pPr>
        <w:numPr>
          <w:ilvl w:val="0"/>
          <w:numId w:val="1"/>
        </w:numPr>
        <w:rPr>
          <w:sz w:val="22"/>
          <w:szCs w:val="22"/>
        </w:rPr>
      </w:pPr>
      <w:r>
        <w:rPr>
          <w:sz w:val="22"/>
          <w:szCs w:val="22"/>
        </w:rPr>
        <w:t>Required</w:t>
      </w:r>
      <w:r w:rsidRPr="0041243F">
        <w:rPr>
          <w:sz w:val="22"/>
          <w:szCs w:val="22"/>
        </w:rPr>
        <w:t xml:space="preserve"> an independent third-party administrator, using a competitive bidding process, to manage the reassigned numbers database</w:t>
      </w:r>
      <w:r>
        <w:rPr>
          <w:sz w:val="22"/>
          <w:szCs w:val="22"/>
        </w:rPr>
        <w:t>.</w:t>
      </w:r>
    </w:p>
    <w:p w:rsidR="00975D09" w:rsidP="00975D09" w:rsidRDefault="00975D09" w14:paraId="693754D9" w14:textId="77777777">
      <w:pPr>
        <w:numPr>
          <w:ilvl w:val="0"/>
          <w:numId w:val="1"/>
        </w:numPr>
        <w:rPr>
          <w:sz w:val="22"/>
          <w:szCs w:val="22"/>
        </w:rPr>
      </w:pPr>
      <w:r w:rsidRPr="005964B0">
        <w:rPr>
          <w:sz w:val="22"/>
          <w:szCs w:val="22"/>
        </w:rPr>
        <w:t>Authorize</w:t>
      </w:r>
      <w:r>
        <w:rPr>
          <w:sz w:val="22"/>
          <w:szCs w:val="22"/>
        </w:rPr>
        <w:t>d</w:t>
      </w:r>
      <w:r w:rsidRPr="005964B0">
        <w:rPr>
          <w:sz w:val="22"/>
          <w:szCs w:val="22"/>
        </w:rPr>
        <w:t xml:space="preserve"> the </w:t>
      </w:r>
      <w:r>
        <w:rPr>
          <w:sz w:val="22"/>
          <w:szCs w:val="22"/>
        </w:rPr>
        <w:t>database a</w:t>
      </w:r>
      <w:r w:rsidRPr="005964B0">
        <w:rPr>
          <w:sz w:val="22"/>
          <w:szCs w:val="22"/>
        </w:rPr>
        <w:t>dministrator to establish the database by collecting start-up costs from providers using the same type of mechanism as other numbering administration costs.</w:t>
      </w:r>
    </w:p>
    <w:p w:rsidR="00975D09" w:rsidP="00975D09" w:rsidRDefault="00975D09" w14:paraId="0ABF00F2" w14:textId="77777777">
      <w:pPr>
        <w:numPr>
          <w:ilvl w:val="0"/>
          <w:numId w:val="1"/>
        </w:numPr>
        <w:rPr>
          <w:sz w:val="22"/>
          <w:szCs w:val="22"/>
        </w:rPr>
      </w:pPr>
      <w:r w:rsidRPr="005964B0">
        <w:rPr>
          <w:sz w:val="22"/>
          <w:szCs w:val="22"/>
        </w:rPr>
        <w:t>Authorize</w:t>
      </w:r>
      <w:r>
        <w:rPr>
          <w:sz w:val="22"/>
          <w:szCs w:val="22"/>
        </w:rPr>
        <w:t>d</w:t>
      </w:r>
      <w:r w:rsidRPr="005964B0">
        <w:rPr>
          <w:sz w:val="22"/>
          <w:szCs w:val="22"/>
        </w:rPr>
        <w:t xml:space="preserve"> the </w:t>
      </w:r>
      <w:r>
        <w:rPr>
          <w:sz w:val="22"/>
          <w:szCs w:val="22"/>
        </w:rPr>
        <w:t>database a</w:t>
      </w:r>
      <w:r w:rsidRPr="005964B0">
        <w:rPr>
          <w:sz w:val="22"/>
          <w:szCs w:val="22"/>
        </w:rPr>
        <w:t>dministrator to fund operating costs through database usage charges</w:t>
      </w:r>
      <w:r>
        <w:rPr>
          <w:sz w:val="22"/>
          <w:szCs w:val="22"/>
        </w:rPr>
        <w:t>,</w:t>
      </w:r>
      <w:r w:rsidRPr="005964B0">
        <w:rPr>
          <w:sz w:val="22"/>
          <w:szCs w:val="22"/>
        </w:rPr>
        <w:t xml:space="preserve"> and to recoup start-up costs and return them to providers through offsets to future number administration charges.</w:t>
      </w:r>
    </w:p>
    <w:p w:rsidR="00975D09" w:rsidP="00975D09" w:rsidRDefault="00975D09" w14:paraId="5C93FDE8" w14:textId="77777777">
      <w:pPr>
        <w:numPr>
          <w:ilvl w:val="0"/>
          <w:numId w:val="1"/>
        </w:numPr>
        <w:rPr>
          <w:sz w:val="22"/>
          <w:szCs w:val="22"/>
        </w:rPr>
      </w:pPr>
      <w:r w:rsidRPr="005964B0">
        <w:rPr>
          <w:sz w:val="22"/>
          <w:szCs w:val="22"/>
        </w:rPr>
        <w:t>T</w:t>
      </w:r>
      <w:r>
        <w:rPr>
          <w:sz w:val="22"/>
          <w:szCs w:val="22"/>
        </w:rPr>
        <w:t>ook</w:t>
      </w:r>
      <w:r w:rsidRPr="005964B0">
        <w:rPr>
          <w:sz w:val="22"/>
          <w:szCs w:val="22"/>
        </w:rPr>
        <w:t xml:space="preserve"> steps to ensure that the data contained in the database are used appropriately and accessible to the widest possible array of users.</w:t>
      </w:r>
    </w:p>
    <w:p w:rsidR="00975D09" w:rsidP="00975D09" w:rsidRDefault="00975D09" w14:paraId="34809DC0" w14:textId="77777777">
      <w:pPr>
        <w:numPr>
          <w:ilvl w:val="0"/>
          <w:numId w:val="1"/>
        </w:numPr>
        <w:rPr>
          <w:sz w:val="22"/>
          <w:szCs w:val="22"/>
        </w:rPr>
      </w:pPr>
      <w:r w:rsidRPr="005964B0">
        <w:rPr>
          <w:sz w:val="22"/>
          <w:szCs w:val="22"/>
        </w:rPr>
        <w:t>Allow</w:t>
      </w:r>
      <w:r>
        <w:rPr>
          <w:sz w:val="22"/>
          <w:szCs w:val="22"/>
        </w:rPr>
        <w:t>ed</w:t>
      </w:r>
      <w:r w:rsidRPr="005964B0">
        <w:rPr>
          <w:sz w:val="22"/>
          <w:szCs w:val="22"/>
        </w:rPr>
        <w:t xml:space="preserve"> small voice providers additional time to begin maintaining and reporting data to the database. </w:t>
      </w:r>
    </w:p>
    <w:p w:rsidR="00975D09" w:rsidP="00975D09" w:rsidRDefault="00975D09" w14:paraId="45309AE1" w14:textId="77777777">
      <w:pPr>
        <w:numPr>
          <w:ilvl w:val="0"/>
          <w:numId w:val="1"/>
        </w:numPr>
        <w:rPr>
          <w:sz w:val="22"/>
          <w:szCs w:val="22"/>
        </w:rPr>
      </w:pPr>
      <w:r w:rsidRPr="005964B0">
        <w:rPr>
          <w:sz w:val="22"/>
          <w:szCs w:val="22"/>
        </w:rPr>
        <w:t>Direct</w:t>
      </w:r>
      <w:r>
        <w:rPr>
          <w:sz w:val="22"/>
          <w:szCs w:val="22"/>
        </w:rPr>
        <w:t>ed</w:t>
      </w:r>
      <w:r w:rsidRPr="005964B0">
        <w:rPr>
          <w:sz w:val="22"/>
          <w:szCs w:val="22"/>
        </w:rPr>
        <w:t xml:space="preserve"> the </w:t>
      </w:r>
      <w:bookmarkStart w:name="_Hlk17116935" w:id="3"/>
      <w:r w:rsidRPr="005964B0">
        <w:rPr>
          <w:sz w:val="22"/>
          <w:szCs w:val="22"/>
        </w:rPr>
        <w:t>North American Numbering Council to make recommendations on technical and operational issues affecting the database, including usage fees</w:t>
      </w:r>
      <w:bookmarkEnd w:id="3"/>
      <w:r w:rsidRPr="005964B0">
        <w:rPr>
          <w:sz w:val="22"/>
          <w:szCs w:val="22"/>
        </w:rPr>
        <w:t>.</w:t>
      </w:r>
    </w:p>
    <w:p w:rsidR="00975D09" w:rsidP="00975D09" w:rsidRDefault="00975D09" w14:paraId="74B27231" w14:textId="77777777">
      <w:pPr>
        <w:numPr>
          <w:ilvl w:val="0"/>
          <w:numId w:val="1"/>
        </w:numPr>
        <w:rPr>
          <w:sz w:val="22"/>
          <w:szCs w:val="22"/>
        </w:rPr>
      </w:pPr>
      <w:r>
        <w:rPr>
          <w:sz w:val="22"/>
          <w:szCs w:val="22"/>
        </w:rPr>
        <w:t xml:space="preserve">Established a </w:t>
      </w:r>
      <w:r w:rsidRPr="005964B0">
        <w:rPr>
          <w:sz w:val="22"/>
          <w:szCs w:val="22"/>
        </w:rPr>
        <w:t>limited safe harbor from liability for any caller that relies upon inaccurate information provided by the database</w:t>
      </w:r>
      <w:r>
        <w:rPr>
          <w:sz w:val="22"/>
          <w:szCs w:val="22"/>
        </w:rPr>
        <w:t>.</w:t>
      </w:r>
    </w:p>
    <w:p w:rsidR="00975D09" w:rsidP="00975D09" w:rsidRDefault="00975D09" w14:paraId="7CD3B470" w14:textId="77777777">
      <w:pPr>
        <w:rPr>
          <w:sz w:val="22"/>
          <w:szCs w:val="22"/>
        </w:rPr>
      </w:pPr>
    </w:p>
    <w:p w:rsidR="00975D09" w:rsidP="00975D09" w:rsidRDefault="00975D09" w14:paraId="60BE2997" w14:textId="77777777">
      <w:pPr>
        <w:rPr>
          <w:sz w:val="22"/>
          <w:szCs w:val="22"/>
        </w:rPr>
      </w:pPr>
      <w:r>
        <w:rPr>
          <w:sz w:val="22"/>
          <w:szCs w:val="22"/>
        </w:rPr>
        <w:t xml:space="preserve">The Commission also adopted rules in the </w:t>
      </w:r>
      <w:r>
        <w:rPr>
          <w:i/>
          <w:sz w:val="22"/>
          <w:szCs w:val="22"/>
        </w:rPr>
        <w:t>Second Report and Order</w:t>
      </w:r>
      <w:r w:rsidRPr="005964B0">
        <w:rPr>
          <w:sz w:val="22"/>
          <w:szCs w:val="22"/>
        </w:rPr>
        <w:t xml:space="preserve"> which contain new information collection requirements</w:t>
      </w:r>
      <w:r>
        <w:rPr>
          <w:sz w:val="22"/>
          <w:szCs w:val="22"/>
        </w:rPr>
        <w:t xml:space="preserve">.  Specifically, the Commission concluded that </w:t>
      </w:r>
      <w:r w:rsidRPr="00C5752C">
        <w:rPr>
          <w:sz w:val="22"/>
          <w:szCs w:val="22"/>
        </w:rPr>
        <w:t xml:space="preserve">the obligation to provide </w:t>
      </w:r>
      <w:r>
        <w:rPr>
          <w:sz w:val="22"/>
          <w:szCs w:val="22"/>
        </w:rPr>
        <w:t>permanent disconnect</w:t>
      </w:r>
      <w:r w:rsidRPr="00C5752C">
        <w:rPr>
          <w:sz w:val="22"/>
          <w:szCs w:val="22"/>
        </w:rPr>
        <w:t xml:space="preserve"> information will </w:t>
      </w:r>
      <w:r>
        <w:rPr>
          <w:sz w:val="22"/>
          <w:szCs w:val="22"/>
        </w:rPr>
        <w:t>apply to</w:t>
      </w:r>
      <w:r w:rsidRPr="00C5752C">
        <w:rPr>
          <w:sz w:val="22"/>
          <w:szCs w:val="22"/>
        </w:rPr>
        <w:t xml:space="preserve"> all </w:t>
      </w:r>
      <w:r>
        <w:rPr>
          <w:sz w:val="22"/>
          <w:szCs w:val="22"/>
        </w:rPr>
        <w:t>reporting carrier</w:t>
      </w:r>
      <w:r w:rsidRPr="00C5752C">
        <w:rPr>
          <w:sz w:val="22"/>
          <w:szCs w:val="22"/>
        </w:rPr>
        <w:t xml:space="preserve">s as defined in </w:t>
      </w:r>
      <w:r>
        <w:rPr>
          <w:sz w:val="22"/>
          <w:szCs w:val="22"/>
        </w:rPr>
        <w:t>the Commission’s</w:t>
      </w:r>
      <w:r w:rsidRPr="00C5752C">
        <w:rPr>
          <w:sz w:val="22"/>
          <w:szCs w:val="22"/>
        </w:rPr>
        <w:t xml:space="preserve"> numbering rules,</w:t>
      </w:r>
      <w:r w:rsidRPr="00C5752C">
        <w:rPr>
          <w:sz w:val="22"/>
          <w:szCs w:val="22"/>
          <w:vertAlign w:val="superscript"/>
        </w:rPr>
        <w:footnoteReference w:id="14"/>
      </w:r>
      <w:r w:rsidRPr="00C5752C">
        <w:rPr>
          <w:sz w:val="22"/>
          <w:szCs w:val="22"/>
        </w:rPr>
        <w:t xml:space="preserve"> which include </w:t>
      </w:r>
      <w:bookmarkStart w:name="_Hlk526511848" w:id="4"/>
      <w:r w:rsidRPr="00C5752C">
        <w:rPr>
          <w:sz w:val="22"/>
          <w:szCs w:val="22"/>
        </w:rPr>
        <w:t>wireless, wireline, and interconnected VoIP providers that obtain numbers from the North American Numbering Plan Administrator (NANPA).</w:t>
      </w:r>
      <w:r w:rsidRPr="00C5752C">
        <w:rPr>
          <w:sz w:val="22"/>
          <w:szCs w:val="22"/>
          <w:vertAlign w:val="superscript"/>
        </w:rPr>
        <w:footnoteReference w:id="15"/>
      </w:r>
      <w:r w:rsidRPr="00C5752C">
        <w:rPr>
          <w:sz w:val="22"/>
          <w:szCs w:val="22"/>
        </w:rPr>
        <w:t xml:space="preserve">  </w:t>
      </w:r>
      <w:bookmarkEnd w:id="4"/>
      <w:r w:rsidRPr="006351A0">
        <w:rPr>
          <w:sz w:val="22"/>
          <w:szCs w:val="22"/>
        </w:rPr>
        <w:t xml:space="preserve">As part of the Commission </w:t>
      </w:r>
      <w:r>
        <w:rPr>
          <w:sz w:val="22"/>
          <w:szCs w:val="22"/>
        </w:rPr>
        <w:t>reporting requirements</w:t>
      </w:r>
      <w:r w:rsidRPr="006351A0">
        <w:rPr>
          <w:sz w:val="22"/>
          <w:szCs w:val="22"/>
        </w:rPr>
        <w:t xml:space="preserve">, </w:t>
      </w:r>
      <w:r>
        <w:rPr>
          <w:sz w:val="22"/>
          <w:szCs w:val="22"/>
        </w:rPr>
        <w:t>reporting carriers</w:t>
      </w:r>
      <w:r w:rsidRPr="006351A0">
        <w:rPr>
          <w:sz w:val="22"/>
          <w:szCs w:val="22"/>
        </w:rPr>
        <w:t xml:space="preserve"> must</w:t>
      </w:r>
      <w:r>
        <w:rPr>
          <w:sz w:val="22"/>
          <w:szCs w:val="22"/>
        </w:rPr>
        <w:t xml:space="preserve"> provide, among other things, the </w:t>
      </w:r>
      <w:r w:rsidRPr="00130F2C">
        <w:rPr>
          <w:sz w:val="22"/>
          <w:szCs w:val="22"/>
        </w:rPr>
        <w:t xml:space="preserve">most recent date each North American Numbering Plan (NANP) telephone number allocated or ported to the </w:t>
      </w:r>
      <w:r>
        <w:rPr>
          <w:sz w:val="22"/>
          <w:szCs w:val="22"/>
        </w:rPr>
        <w:t>reporting carrier</w:t>
      </w:r>
      <w:r w:rsidRPr="00130F2C">
        <w:rPr>
          <w:sz w:val="22"/>
          <w:szCs w:val="22"/>
        </w:rPr>
        <w:t xml:space="preserve"> was permanently disconnected.</w:t>
      </w:r>
      <w:r>
        <w:rPr>
          <w:rStyle w:val="FootnoteReference"/>
          <w:sz w:val="22"/>
          <w:szCs w:val="22"/>
        </w:rPr>
        <w:footnoteReference w:id="16"/>
      </w:r>
      <w:r>
        <w:rPr>
          <w:sz w:val="22"/>
          <w:szCs w:val="22"/>
        </w:rPr>
        <w:t xml:space="preserve">  </w:t>
      </w:r>
      <w:r>
        <w:rPr>
          <w:sz w:val="22"/>
          <w:szCs w:val="22"/>
        </w:rPr>
        <w:lastRenderedPageBreak/>
        <w:t>The telephone number and date of permanent disconnection will allow voluntary users of the database to determine whether a number has been permanently disconnected prior to calling that number, thereby protecting against unwanted calls to consumers and potential TCPA liability for callers.  Reporting carriers and voluntary users of the reassigned numbers database may also need to provide contact information, including names, address, and telephone number, to enable the database administrator to contact the reporting carrier in case there are any issues with their submission.</w:t>
      </w:r>
    </w:p>
    <w:p w:rsidRPr="003741C8" w:rsidR="00975D09" w:rsidP="00975D09" w:rsidRDefault="00975D09" w14:paraId="7A4E7E43" w14:textId="77777777">
      <w:pPr>
        <w:rPr>
          <w:sz w:val="22"/>
          <w:szCs w:val="22"/>
        </w:rPr>
      </w:pPr>
    </w:p>
    <w:p w:rsidR="00975D09" w:rsidP="00975D09" w:rsidRDefault="00975D09" w14:paraId="304ECC92" w14:textId="77777777">
      <w:pPr>
        <w:rPr>
          <w:sz w:val="22"/>
          <w:szCs w:val="22"/>
        </w:rPr>
      </w:pPr>
      <w:r>
        <w:rPr>
          <w:sz w:val="22"/>
          <w:szCs w:val="22"/>
        </w:rPr>
        <w:t xml:space="preserve">The Commission has referred to the North American Numbering Council (NANC) the development of a technical requirements document for the reassigned numbers database for review by the Commission.  The technical requirements document will contain </w:t>
      </w:r>
      <w:r w:rsidRPr="000B69DF">
        <w:rPr>
          <w:sz w:val="22"/>
          <w:szCs w:val="22"/>
        </w:rPr>
        <w:t>a single, unified set of functional and interface requirements for technical interoperability and operational standards; the user interface specifications and data format for service providers to report to the Administrator; the user interfaces and other means by which callers may submit queries, including providing callers the abilities for high-volume and batch processing or to submit individual queries; appropriate safeguards to protect the privacy and security of subscribers, protect the database from unauthorized access, and ensure the security and integrity of the data; and keeping records of service providers</w:t>
      </w:r>
      <w:r>
        <w:rPr>
          <w:sz w:val="22"/>
          <w:szCs w:val="22"/>
        </w:rPr>
        <w:t>’</w:t>
      </w:r>
      <w:r w:rsidRPr="000B69DF">
        <w:rPr>
          <w:sz w:val="22"/>
          <w:szCs w:val="22"/>
        </w:rPr>
        <w:t xml:space="preserve"> reporting and accounting.</w:t>
      </w:r>
      <w:r>
        <w:rPr>
          <w:sz w:val="22"/>
          <w:szCs w:val="22"/>
        </w:rPr>
        <w:t xml:space="preserve">  The final technical requirements may impact minor aspects of the data collection and the supporting statement will be amended as necessary.</w:t>
      </w:r>
    </w:p>
    <w:p w:rsidR="00975D09" w:rsidP="00975D09" w:rsidRDefault="00975D09" w14:paraId="5A0ADD2C" w14:textId="77777777">
      <w:pPr>
        <w:rPr>
          <w:sz w:val="22"/>
          <w:szCs w:val="22"/>
          <w:lang w:val="x-none"/>
        </w:rPr>
      </w:pPr>
    </w:p>
    <w:p w:rsidR="00975D09" w:rsidP="00975D09" w:rsidRDefault="00975D09" w14:paraId="6DD3BC8B" w14:textId="77777777">
      <w:pPr>
        <w:rPr>
          <w:sz w:val="22"/>
          <w:szCs w:val="22"/>
        </w:rPr>
      </w:pPr>
      <w:r w:rsidRPr="00EB53CA">
        <w:rPr>
          <w:sz w:val="22"/>
          <w:szCs w:val="22"/>
          <w:lang w:val="x-none"/>
        </w:rPr>
        <w:t>This information collection does not affect individuals or households; thus, there are no impacts under the Privacy Act</w:t>
      </w:r>
      <w:r>
        <w:rPr>
          <w:sz w:val="22"/>
          <w:szCs w:val="22"/>
        </w:rPr>
        <w:t>.</w:t>
      </w:r>
    </w:p>
    <w:p w:rsidRPr="005B079A" w:rsidR="00975D09" w:rsidP="00975D09" w:rsidRDefault="00975D09" w14:paraId="6EF51F59" w14:textId="77777777">
      <w:pPr>
        <w:rPr>
          <w:sz w:val="22"/>
          <w:szCs w:val="22"/>
        </w:rPr>
      </w:pPr>
    </w:p>
    <w:p w:rsidRPr="003741C8" w:rsidR="00975D09" w:rsidP="00975D09" w:rsidRDefault="00975D09" w14:paraId="4CC0871A" w14:textId="77777777">
      <w:pPr>
        <w:rPr>
          <w:sz w:val="22"/>
          <w:szCs w:val="22"/>
          <w:lang w:val="x-none"/>
        </w:rPr>
      </w:pPr>
      <w:r w:rsidRPr="003741C8">
        <w:rPr>
          <w:sz w:val="22"/>
          <w:szCs w:val="22"/>
          <w:lang w:val="x-none"/>
        </w:rPr>
        <w:t>The Commission’s statutory authority for th</w:t>
      </w:r>
      <w:r w:rsidRPr="003741C8">
        <w:rPr>
          <w:sz w:val="22"/>
          <w:szCs w:val="22"/>
        </w:rPr>
        <w:t xml:space="preserve">is information </w:t>
      </w:r>
      <w:r w:rsidRPr="003741C8">
        <w:rPr>
          <w:sz w:val="22"/>
          <w:szCs w:val="22"/>
          <w:lang w:val="x-none"/>
        </w:rPr>
        <w:t xml:space="preserve">collection </w:t>
      </w:r>
      <w:r w:rsidRPr="003741C8">
        <w:rPr>
          <w:sz w:val="22"/>
          <w:szCs w:val="22"/>
        </w:rPr>
        <w:t>is contained in se</w:t>
      </w:r>
      <w:proofErr w:type="spellStart"/>
      <w:r w:rsidRPr="003741C8">
        <w:rPr>
          <w:sz w:val="22"/>
          <w:szCs w:val="22"/>
          <w:lang w:val="x-none"/>
        </w:rPr>
        <w:t>ct</w:t>
      </w:r>
      <w:r w:rsidRPr="003741C8">
        <w:rPr>
          <w:sz w:val="22"/>
          <w:szCs w:val="22"/>
        </w:rPr>
        <w:t>ion</w:t>
      </w:r>
      <w:r>
        <w:rPr>
          <w:sz w:val="22"/>
          <w:szCs w:val="22"/>
        </w:rPr>
        <w:t>s</w:t>
      </w:r>
      <w:proofErr w:type="spellEnd"/>
      <w:r>
        <w:rPr>
          <w:sz w:val="22"/>
          <w:szCs w:val="22"/>
        </w:rPr>
        <w:t xml:space="preserve"> 227 and</w:t>
      </w:r>
      <w:r w:rsidRPr="003741C8">
        <w:rPr>
          <w:sz w:val="22"/>
          <w:szCs w:val="22"/>
          <w:lang w:val="x-none"/>
        </w:rPr>
        <w:t xml:space="preserve"> 251(e)(1) of the </w:t>
      </w:r>
      <w:r w:rsidRPr="003741C8">
        <w:rPr>
          <w:sz w:val="22"/>
          <w:szCs w:val="22"/>
        </w:rPr>
        <w:t>Telecommunications Act of 1996 (1996 Act)</w:t>
      </w:r>
      <w:r w:rsidRPr="003741C8">
        <w:rPr>
          <w:sz w:val="22"/>
          <w:szCs w:val="22"/>
          <w:lang w:val="x-none"/>
        </w:rPr>
        <w:t>.</w:t>
      </w:r>
    </w:p>
    <w:p w:rsidRPr="00C80E2B" w:rsidR="00975D09" w:rsidP="00975D09" w:rsidRDefault="00975D09" w14:paraId="110BCE55" w14:textId="77777777">
      <w:pPr>
        <w:ind w:left="360"/>
        <w:rPr>
          <w:color w:val="000000"/>
          <w:sz w:val="22"/>
          <w:szCs w:val="22"/>
        </w:rPr>
      </w:pPr>
    </w:p>
    <w:p w:rsidR="00975D09" w:rsidP="00975D09" w:rsidRDefault="00975D09" w14:paraId="0CF75D36" w14:textId="77777777">
      <w:pPr>
        <w:rPr>
          <w:color w:val="000000"/>
          <w:sz w:val="22"/>
          <w:szCs w:val="22"/>
        </w:rPr>
      </w:pPr>
      <w:r w:rsidRPr="001D3ABF">
        <w:rPr>
          <w:color w:val="000000"/>
          <w:sz w:val="22"/>
          <w:szCs w:val="22"/>
        </w:rPr>
        <w:t xml:space="preserve">2.  </w:t>
      </w:r>
      <w:r w:rsidRPr="009B74DA">
        <w:rPr>
          <w:color w:val="000000"/>
          <w:sz w:val="22"/>
          <w:szCs w:val="22"/>
        </w:rPr>
        <w:t xml:space="preserve">The information collected will be </w:t>
      </w:r>
      <w:r>
        <w:rPr>
          <w:color w:val="000000"/>
          <w:sz w:val="22"/>
          <w:szCs w:val="22"/>
        </w:rPr>
        <w:t xml:space="preserve">used to establish a </w:t>
      </w:r>
      <w:r w:rsidRPr="00272157">
        <w:rPr>
          <w:color w:val="000000"/>
          <w:sz w:val="22"/>
          <w:szCs w:val="22"/>
        </w:rPr>
        <w:t>single database</w:t>
      </w:r>
      <w:r>
        <w:rPr>
          <w:color w:val="000000"/>
          <w:sz w:val="22"/>
          <w:szCs w:val="22"/>
        </w:rPr>
        <w:t>.  The database will have two types of users: (1) reporting carriers, who will upload permanent disconnect</w:t>
      </w:r>
      <w:r w:rsidRPr="00272157">
        <w:rPr>
          <w:color w:val="000000"/>
          <w:sz w:val="22"/>
          <w:szCs w:val="22"/>
        </w:rPr>
        <w:t xml:space="preserve"> information </w:t>
      </w:r>
      <w:r>
        <w:rPr>
          <w:color w:val="000000"/>
          <w:sz w:val="22"/>
          <w:szCs w:val="22"/>
        </w:rPr>
        <w:t>associated with each of its NANP</w:t>
      </w:r>
      <w:r w:rsidRPr="00272157">
        <w:rPr>
          <w:color w:val="000000"/>
          <w:sz w:val="22"/>
          <w:szCs w:val="22"/>
        </w:rPr>
        <w:t xml:space="preserve"> U.S. geographic numbers</w:t>
      </w:r>
      <w:r>
        <w:rPr>
          <w:color w:val="000000"/>
          <w:sz w:val="22"/>
          <w:szCs w:val="22"/>
        </w:rPr>
        <w:t xml:space="preserve"> and toll free numbers; and (2) callers, who will be able to voluntarily use the database </w:t>
      </w:r>
      <w:r w:rsidRPr="00272157">
        <w:rPr>
          <w:color w:val="000000"/>
          <w:sz w:val="22"/>
          <w:szCs w:val="22"/>
        </w:rPr>
        <w:t>t</w:t>
      </w:r>
      <w:r>
        <w:rPr>
          <w:color w:val="000000"/>
          <w:sz w:val="22"/>
          <w:szCs w:val="22"/>
        </w:rPr>
        <w:t xml:space="preserve">o </w:t>
      </w:r>
      <w:r w:rsidRPr="00272157">
        <w:rPr>
          <w:color w:val="000000"/>
          <w:sz w:val="22"/>
          <w:szCs w:val="22"/>
        </w:rPr>
        <w:t xml:space="preserve">verify whether a telephone number has been </w:t>
      </w:r>
      <w:r>
        <w:rPr>
          <w:color w:val="000000"/>
          <w:sz w:val="22"/>
          <w:szCs w:val="22"/>
        </w:rPr>
        <w:t>permanently disconnected</w:t>
      </w:r>
      <w:r w:rsidRPr="00272157">
        <w:rPr>
          <w:color w:val="000000"/>
          <w:sz w:val="22"/>
          <w:szCs w:val="22"/>
        </w:rPr>
        <w:t xml:space="preserve"> </w:t>
      </w:r>
      <w:r>
        <w:rPr>
          <w:color w:val="000000"/>
          <w:sz w:val="22"/>
          <w:szCs w:val="22"/>
        </w:rPr>
        <w:t xml:space="preserve">since the date the caller previously obtained prior express consent from the consumer associated with the telephone number. </w:t>
      </w:r>
    </w:p>
    <w:p w:rsidR="00975D09" w:rsidP="00975D09" w:rsidRDefault="00975D09" w14:paraId="08BF9B4A" w14:textId="77777777">
      <w:pPr>
        <w:rPr>
          <w:color w:val="000000"/>
          <w:sz w:val="22"/>
          <w:szCs w:val="22"/>
        </w:rPr>
      </w:pPr>
    </w:p>
    <w:p w:rsidR="00975D09" w:rsidP="00975D09" w:rsidRDefault="00975D09" w14:paraId="39B521FA" w14:textId="77777777">
      <w:pPr>
        <w:rPr>
          <w:sz w:val="22"/>
          <w:szCs w:val="22"/>
        </w:rPr>
      </w:pPr>
      <w:r w:rsidRPr="001D3ABF">
        <w:rPr>
          <w:color w:val="000000"/>
          <w:sz w:val="22"/>
          <w:szCs w:val="22"/>
        </w:rPr>
        <w:t xml:space="preserve">3.  </w:t>
      </w:r>
      <w:r>
        <w:rPr>
          <w:sz w:val="22"/>
          <w:szCs w:val="22"/>
        </w:rPr>
        <w:t xml:space="preserve">The Commission expects that most reporting carriers will access and submit the date of permanent disconnect information electronically through a web interface, system-to-system interface, or similar.  </w:t>
      </w:r>
      <w:r w:rsidRPr="001F24D9">
        <w:rPr>
          <w:sz w:val="22"/>
          <w:szCs w:val="22"/>
        </w:rPr>
        <w:t>Electronic filing substantially reduces the cost of the data collection process and reduces filing efforts</w:t>
      </w:r>
      <w:r>
        <w:rPr>
          <w:sz w:val="22"/>
          <w:szCs w:val="22"/>
        </w:rPr>
        <w:t>.</w:t>
      </w:r>
    </w:p>
    <w:p w:rsidR="00975D09" w:rsidP="00975D09" w:rsidRDefault="00975D09" w14:paraId="74E54138" w14:textId="77777777">
      <w:pPr>
        <w:rPr>
          <w:color w:val="000000"/>
          <w:sz w:val="22"/>
          <w:szCs w:val="22"/>
        </w:rPr>
      </w:pPr>
    </w:p>
    <w:p w:rsidR="00975D09" w:rsidP="00975D09" w:rsidRDefault="00975D09" w14:paraId="1A03F389" w14:textId="77777777">
      <w:pPr>
        <w:rPr>
          <w:color w:val="000000"/>
          <w:sz w:val="22"/>
          <w:szCs w:val="22"/>
        </w:rPr>
      </w:pPr>
      <w:r w:rsidRPr="001D3ABF">
        <w:rPr>
          <w:color w:val="000000"/>
          <w:sz w:val="22"/>
          <w:szCs w:val="22"/>
        </w:rPr>
        <w:t>4.  The current information collection requirements are not duplicative of any currently existing federal regulatory obligation.</w:t>
      </w:r>
    </w:p>
    <w:p w:rsidRPr="006C12B4" w:rsidR="00975D09" w:rsidP="00975D09" w:rsidRDefault="00975D09" w14:paraId="24A2A1B8" w14:textId="77777777">
      <w:pPr>
        <w:rPr>
          <w:sz w:val="22"/>
          <w:szCs w:val="22"/>
        </w:rPr>
      </w:pPr>
    </w:p>
    <w:p w:rsidR="00975D09" w:rsidP="00975D09" w:rsidRDefault="00975D09" w14:paraId="0E22C63F" w14:textId="77777777">
      <w:pPr>
        <w:rPr>
          <w:sz w:val="22"/>
          <w:szCs w:val="22"/>
        </w:rPr>
      </w:pPr>
      <w:r w:rsidRPr="006C12B4">
        <w:rPr>
          <w:sz w:val="22"/>
          <w:szCs w:val="22"/>
        </w:rPr>
        <w:t xml:space="preserve">5.  </w:t>
      </w:r>
      <w:r w:rsidRPr="001F24D9">
        <w:rPr>
          <w:sz w:val="22"/>
          <w:szCs w:val="22"/>
        </w:rPr>
        <w:t>The Commission has implemented a number of procedures to reduce the burden on small carriers.</w:t>
      </w:r>
      <w:r>
        <w:rPr>
          <w:sz w:val="22"/>
          <w:szCs w:val="22"/>
        </w:rPr>
        <w:t xml:space="preserve">  For example, the Commission will permit reporting any carrier</w:t>
      </w:r>
      <w:r w:rsidRPr="00372E65">
        <w:rPr>
          <w:sz w:val="22"/>
          <w:szCs w:val="22"/>
        </w:rPr>
        <w:t xml:space="preserve"> with 100,000 or fewer subscriber lines as reported on </w:t>
      </w:r>
      <w:r>
        <w:rPr>
          <w:sz w:val="22"/>
          <w:szCs w:val="22"/>
        </w:rPr>
        <w:t>its</w:t>
      </w:r>
      <w:r w:rsidRPr="00372E65">
        <w:rPr>
          <w:sz w:val="22"/>
          <w:szCs w:val="22"/>
        </w:rPr>
        <w:t xml:space="preserve"> most recent Form 477, aggregated over all the providers’ affiliates, six additional months to begin maintaining and reporting data to the</w:t>
      </w:r>
      <w:r>
        <w:rPr>
          <w:sz w:val="22"/>
          <w:szCs w:val="22"/>
        </w:rPr>
        <w:t xml:space="preserve"> database administrator. </w:t>
      </w:r>
      <w:r w:rsidRPr="00372E65">
        <w:rPr>
          <w:sz w:val="22"/>
          <w:szCs w:val="22"/>
        </w:rPr>
        <w:t xml:space="preserve"> </w:t>
      </w:r>
      <w:r>
        <w:rPr>
          <w:sz w:val="22"/>
          <w:szCs w:val="22"/>
        </w:rPr>
        <w:t xml:space="preserve">In addition, the Commission limited reporting frequency to once a month to </w:t>
      </w:r>
      <w:r w:rsidRPr="0016772F">
        <w:rPr>
          <w:sz w:val="22"/>
          <w:szCs w:val="22"/>
        </w:rPr>
        <w:t xml:space="preserve">properly balance the burden placed on providers with the need for </w:t>
      </w:r>
      <w:r>
        <w:rPr>
          <w:sz w:val="22"/>
          <w:szCs w:val="22"/>
        </w:rPr>
        <w:t>users of the database</w:t>
      </w:r>
      <w:r w:rsidRPr="0016772F">
        <w:rPr>
          <w:sz w:val="22"/>
          <w:szCs w:val="22"/>
        </w:rPr>
        <w:t xml:space="preserve"> to obtain timely information.  </w:t>
      </w:r>
      <w:r>
        <w:rPr>
          <w:sz w:val="22"/>
          <w:szCs w:val="22"/>
        </w:rPr>
        <w:t>The Commission</w:t>
      </w:r>
      <w:r w:rsidRPr="0016772F">
        <w:rPr>
          <w:sz w:val="22"/>
          <w:szCs w:val="22"/>
        </w:rPr>
        <w:t xml:space="preserve"> concluded that alternatives, such as requiring real-time </w:t>
      </w:r>
      <w:r w:rsidRPr="0016772F">
        <w:rPr>
          <w:sz w:val="22"/>
          <w:szCs w:val="22"/>
        </w:rPr>
        <w:lastRenderedPageBreak/>
        <w:t>reporting, could impose disproportionate costs on small businesses and could be technically difficult to accomplish</w:t>
      </w:r>
      <w:r>
        <w:rPr>
          <w:sz w:val="22"/>
          <w:szCs w:val="22"/>
        </w:rPr>
        <w:t xml:space="preserve">.  Moreover, </w:t>
      </w:r>
      <w:r w:rsidRPr="0016772F">
        <w:rPr>
          <w:sz w:val="22"/>
          <w:szCs w:val="22"/>
        </w:rPr>
        <w:t xml:space="preserve">the burden of compiling and reporting the date of permanent disconnection for </w:t>
      </w:r>
      <w:r>
        <w:rPr>
          <w:sz w:val="22"/>
          <w:szCs w:val="22"/>
        </w:rPr>
        <w:t>NANP</w:t>
      </w:r>
      <w:r w:rsidRPr="0016772F">
        <w:rPr>
          <w:sz w:val="22"/>
          <w:szCs w:val="22"/>
        </w:rPr>
        <w:t xml:space="preserve"> numbers each month is incremental and small compared to the overall reporting requirements.  We do not believe that this incremental burden is so significant as to outweigh the need for accurate and comprehensive data, nor do we believe that the monthly reporting is overly onerous, as it is not likely to </w:t>
      </w:r>
      <w:r>
        <w:rPr>
          <w:sz w:val="22"/>
          <w:szCs w:val="22"/>
        </w:rPr>
        <w:t>a</w:t>
      </w:r>
      <w:r w:rsidRPr="0016772F">
        <w:rPr>
          <w:sz w:val="22"/>
          <w:szCs w:val="22"/>
        </w:rPr>
        <w:t>ffect small providers.</w:t>
      </w:r>
    </w:p>
    <w:p w:rsidR="00975D09" w:rsidP="00975D09" w:rsidRDefault="00975D09" w14:paraId="671C0D6A" w14:textId="77777777">
      <w:pPr>
        <w:rPr>
          <w:sz w:val="22"/>
          <w:szCs w:val="22"/>
        </w:rPr>
      </w:pPr>
    </w:p>
    <w:p w:rsidR="00975D09" w:rsidP="00975D09" w:rsidRDefault="00975D09" w14:paraId="3A3B93FE" w14:textId="77777777">
      <w:pPr>
        <w:rPr>
          <w:sz w:val="22"/>
          <w:szCs w:val="22"/>
        </w:rPr>
      </w:pPr>
      <w:r w:rsidRPr="006C12B4">
        <w:rPr>
          <w:sz w:val="22"/>
          <w:szCs w:val="22"/>
        </w:rPr>
        <w:t xml:space="preserve">6.  The </w:t>
      </w:r>
      <w:r>
        <w:rPr>
          <w:sz w:val="22"/>
          <w:szCs w:val="22"/>
        </w:rPr>
        <w:t>reassigned numbers database is</w:t>
      </w:r>
      <w:r w:rsidRPr="006C12B4">
        <w:rPr>
          <w:sz w:val="22"/>
          <w:szCs w:val="22"/>
        </w:rPr>
        <w:t xml:space="preserve"> necessary to </w:t>
      </w:r>
      <w:r>
        <w:rPr>
          <w:sz w:val="22"/>
          <w:szCs w:val="22"/>
        </w:rPr>
        <w:t>provide callers with a way to</w:t>
      </w:r>
      <w:r w:rsidRPr="005D027C">
        <w:rPr>
          <w:sz w:val="22"/>
          <w:szCs w:val="22"/>
        </w:rPr>
        <w:t xml:space="preserve"> verify whether a number has been reassigned before calling that number</w:t>
      </w:r>
      <w:r>
        <w:rPr>
          <w:sz w:val="22"/>
          <w:szCs w:val="22"/>
        </w:rPr>
        <w:t xml:space="preserve">.  </w:t>
      </w:r>
      <w:r w:rsidRPr="006C12B4">
        <w:rPr>
          <w:sz w:val="22"/>
          <w:szCs w:val="22"/>
        </w:rPr>
        <w:t>Without th</w:t>
      </w:r>
      <w:r>
        <w:rPr>
          <w:sz w:val="22"/>
          <w:szCs w:val="22"/>
        </w:rPr>
        <w:t>is information collection, there would not be sufficient information available to make the database viable and</w:t>
      </w:r>
      <w:r w:rsidRPr="006C12B4">
        <w:rPr>
          <w:sz w:val="22"/>
          <w:szCs w:val="22"/>
        </w:rPr>
        <w:t xml:space="preserve"> consumers would likely </w:t>
      </w:r>
      <w:r>
        <w:rPr>
          <w:sz w:val="22"/>
          <w:szCs w:val="22"/>
        </w:rPr>
        <w:t xml:space="preserve">continue to </w:t>
      </w:r>
      <w:r w:rsidRPr="006C12B4">
        <w:rPr>
          <w:sz w:val="22"/>
          <w:szCs w:val="22"/>
        </w:rPr>
        <w:t xml:space="preserve">receive unwanted </w:t>
      </w:r>
      <w:r>
        <w:rPr>
          <w:sz w:val="22"/>
          <w:szCs w:val="22"/>
        </w:rPr>
        <w:t xml:space="preserve">calls.  This </w:t>
      </w:r>
      <w:r w:rsidRPr="006C12B4">
        <w:rPr>
          <w:sz w:val="22"/>
          <w:szCs w:val="22"/>
        </w:rPr>
        <w:t>information collection also</w:t>
      </w:r>
      <w:r>
        <w:rPr>
          <w:sz w:val="22"/>
          <w:szCs w:val="22"/>
        </w:rPr>
        <w:t xml:space="preserve"> </w:t>
      </w:r>
      <w:r w:rsidRPr="006C12B4">
        <w:rPr>
          <w:sz w:val="22"/>
          <w:szCs w:val="22"/>
        </w:rPr>
        <w:t>benefit</w:t>
      </w:r>
      <w:r>
        <w:rPr>
          <w:sz w:val="22"/>
          <w:szCs w:val="22"/>
        </w:rPr>
        <w:t>s</w:t>
      </w:r>
      <w:r w:rsidRPr="006C12B4">
        <w:rPr>
          <w:sz w:val="22"/>
          <w:szCs w:val="22"/>
        </w:rPr>
        <w:t xml:space="preserve"> </w:t>
      </w:r>
      <w:r>
        <w:rPr>
          <w:sz w:val="22"/>
          <w:szCs w:val="22"/>
        </w:rPr>
        <w:t>callers</w:t>
      </w:r>
      <w:r w:rsidRPr="006C12B4">
        <w:rPr>
          <w:sz w:val="22"/>
          <w:szCs w:val="22"/>
        </w:rPr>
        <w:t xml:space="preserve"> </w:t>
      </w:r>
      <w:r>
        <w:rPr>
          <w:sz w:val="22"/>
          <w:szCs w:val="22"/>
        </w:rPr>
        <w:t>by increasing their</w:t>
      </w:r>
      <w:r w:rsidRPr="005D027C">
        <w:rPr>
          <w:sz w:val="22"/>
          <w:szCs w:val="22"/>
        </w:rPr>
        <w:t xml:space="preserve"> operational efficiency and effectiveness, while </w:t>
      </w:r>
      <w:r>
        <w:rPr>
          <w:sz w:val="22"/>
          <w:szCs w:val="22"/>
        </w:rPr>
        <w:t>helping them avoid</w:t>
      </w:r>
      <w:r w:rsidRPr="005D027C">
        <w:rPr>
          <w:sz w:val="22"/>
          <w:szCs w:val="22"/>
        </w:rPr>
        <w:t xml:space="preserve"> potential liability for alleged violations of the </w:t>
      </w:r>
      <w:r>
        <w:rPr>
          <w:sz w:val="22"/>
          <w:szCs w:val="22"/>
        </w:rPr>
        <w:t>TCPA.</w:t>
      </w:r>
    </w:p>
    <w:p w:rsidRPr="006C12B4" w:rsidR="00975D09" w:rsidP="00975D09" w:rsidRDefault="00975D09" w14:paraId="1AA9541D" w14:textId="77777777">
      <w:pPr>
        <w:rPr>
          <w:sz w:val="22"/>
          <w:szCs w:val="22"/>
        </w:rPr>
      </w:pPr>
    </w:p>
    <w:p w:rsidRPr="006C12B4" w:rsidR="00975D09" w:rsidP="00975D09" w:rsidRDefault="00975D09" w14:paraId="6D0C9208" w14:textId="77777777">
      <w:pPr>
        <w:rPr>
          <w:sz w:val="22"/>
          <w:szCs w:val="22"/>
        </w:rPr>
      </w:pPr>
      <w:r w:rsidRPr="006C12B4">
        <w:rPr>
          <w:sz w:val="22"/>
          <w:szCs w:val="22"/>
        </w:rPr>
        <w:t xml:space="preserve">7.  The collection </w:t>
      </w:r>
      <w:r>
        <w:rPr>
          <w:sz w:val="22"/>
          <w:szCs w:val="22"/>
        </w:rPr>
        <w:t>requires reporting carriers to report on a monthly basis t</w:t>
      </w:r>
      <w:r w:rsidRPr="00964053">
        <w:rPr>
          <w:sz w:val="22"/>
          <w:szCs w:val="22"/>
        </w:rPr>
        <w:t xml:space="preserve">he most recent date each </w:t>
      </w:r>
      <w:r>
        <w:rPr>
          <w:sz w:val="22"/>
          <w:szCs w:val="22"/>
        </w:rPr>
        <w:t>NANP</w:t>
      </w:r>
      <w:r w:rsidRPr="00964053">
        <w:rPr>
          <w:sz w:val="22"/>
          <w:szCs w:val="22"/>
        </w:rPr>
        <w:t xml:space="preserve"> telephone number allocated or ported to the </w:t>
      </w:r>
      <w:r>
        <w:rPr>
          <w:sz w:val="22"/>
          <w:szCs w:val="22"/>
        </w:rPr>
        <w:t xml:space="preserve">reporting carriers </w:t>
      </w:r>
      <w:r w:rsidRPr="00964053">
        <w:rPr>
          <w:sz w:val="22"/>
          <w:szCs w:val="22"/>
        </w:rPr>
        <w:t xml:space="preserve">was permanently disconnected.  </w:t>
      </w:r>
      <w:r>
        <w:rPr>
          <w:sz w:val="22"/>
          <w:szCs w:val="22"/>
        </w:rPr>
        <w:t xml:space="preserve">The Commission looked into less-frequent reporting but determined that monthly reporting is necessary in order for the database to be effective.  Moreover, </w:t>
      </w:r>
      <w:r w:rsidRPr="00964053">
        <w:rPr>
          <w:sz w:val="22"/>
          <w:szCs w:val="22"/>
        </w:rPr>
        <w:t>monthly reporting properly balances the burden placed on providers with the need for callers to obtain timely information.</w:t>
      </w:r>
    </w:p>
    <w:p w:rsidRPr="006C12B4" w:rsidR="00975D09" w:rsidP="00975D09" w:rsidRDefault="00975D09" w14:paraId="164B3146" w14:textId="77777777">
      <w:pPr>
        <w:rPr>
          <w:sz w:val="22"/>
          <w:szCs w:val="22"/>
        </w:rPr>
      </w:pPr>
    </w:p>
    <w:p w:rsidRPr="006C12B4" w:rsidR="00975D09" w:rsidP="00975D09" w:rsidRDefault="00975D09" w14:paraId="5DAE015A" w14:textId="432F4065">
      <w:pPr>
        <w:rPr>
          <w:sz w:val="22"/>
          <w:szCs w:val="22"/>
        </w:rPr>
      </w:pPr>
      <w:r w:rsidRPr="006C12B4">
        <w:rPr>
          <w:sz w:val="22"/>
          <w:szCs w:val="22"/>
        </w:rPr>
        <w:t xml:space="preserve">8.  Pursuant to 5 CFR 1320.8(d), the Commission published a notice in the </w:t>
      </w:r>
      <w:r w:rsidRPr="006C12B4">
        <w:rPr>
          <w:i/>
          <w:sz w:val="22"/>
          <w:szCs w:val="22"/>
        </w:rPr>
        <w:t>Federal Register</w:t>
      </w:r>
      <w:r w:rsidRPr="006C12B4">
        <w:rPr>
          <w:sz w:val="22"/>
          <w:szCs w:val="22"/>
        </w:rPr>
        <w:t xml:space="preserve"> on</w:t>
      </w:r>
      <w:r>
        <w:rPr>
          <w:sz w:val="22"/>
          <w:szCs w:val="22"/>
        </w:rPr>
        <w:t xml:space="preserve"> </w:t>
      </w:r>
      <w:r w:rsidRPr="003538B8" w:rsidR="00934B2B">
        <w:rPr>
          <w:sz w:val="22"/>
          <w:szCs w:val="22"/>
        </w:rPr>
        <w:t xml:space="preserve">February </w:t>
      </w:r>
      <w:r w:rsidRPr="003538B8" w:rsidR="003538B8">
        <w:rPr>
          <w:sz w:val="22"/>
          <w:szCs w:val="22"/>
        </w:rPr>
        <w:t>20</w:t>
      </w:r>
      <w:r w:rsidRPr="003538B8">
        <w:rPr>
          <w:sz w:val="22"/>
          <w:szCs w:val="22"/>
        </w:rPr>
        <w:t>, 20</w:t>
      </w:r>
      <w:r w:rsidRPr="003538B8" w:rsidR="00934B2B">
        <w:rPr>
          <w:sz w:val="22"/>
          <w:szCs w:val="22"/>
        </w:rPr>
        <w:t>20</w:t>
      </w:r>
      <w:r w:rsidRPr="003538B8">
        <w:rPr>
          <w:sz w:val="22"/>
          <w:szCs w:val="22"/>
        </w:rPr>
        <w:t xml:space="preserve"> (</w:t>
      </w:r>
      <w:r w:rsidRPr="003538B8">
        <w:rPr>
          <w:i/>
          <w:sz w:val="22"/>
          <w:szCs w:val="22"/>
        </w:rPr>
        <w:t>see</w:t>
      </w:r>
      <w:r w:rsidRPr="003538B8">
        <w:rPr>
          <w:sz w:val="22"/>
          <w:szCs w:val="22"/>
        </w:rPr>
        <w:t xml:space="preserve"> </w:t>
      </w:r>
      <w:r w:rsidRPr="003538B8" w:rsidR="003538B8">
        <w:rPr>
          <w:sz w:val="22"/>
          <w:szCs w:val="22"/>
        </w:rPr>
        <w:t>85</w:t>
      </w:r>
      <w:r w:rsidRPr="003538B8">
        <w:rPr>
          <w:sz w:val="22"/>
          <w:szCs w:val="22"/>
        </w:rPr>
        <w:t xml:space="preserve"> FR </w:t>
      </w:r>
      <w:r w:rsidRPr="003538B8" w:rsidR="003538B8">
        <w:rPr>
          <w:sz w:val="22"/>
          <w:szCs w:val="22"/>
        </w:rPr>
        <w:t>9769</w:t>
      </w:r>
      <w:r w:rsidRPr="003538B8">
        <w:rPr>
          <w:sz w:val="22"/>
          <w:szCs w:val="22"/>
        </w:rPr>
        <w:t xml:space="preserve">), </w:t>
      </w:r>
      <w:r w:rsidRPr="003538B8">
        <w:rPr>
          <w:sz w:val="22"/>
          <w:szCs w:val="22"/>
          <w:shd w:val="clear" w:color="auto" w:fill="FFFFFF"/>
        </w:rPr>
        <w:t>seeking comments from the public on the information collection requirements contained in this supporting statement</w:t>
      </w:r>
      <w:r w:rsidRPr="003538B8">
        <w:rPr>
          <w:sz w:val="22"/>
          <w:szCs w:val="22"/>
        </w:rPr>
        <w:t>.   The Commission did not receive any comments in response to the notice.</w:t>
      </w:r>
    </w:p>
    <w:p w:rsidRPr="006C12B4" w:rsidR="00975D09" w:rsidP="00975D09" w:rsidRDefault="00975D09" w14:paraId="7776B900" w14:textId="77777777">
      <w:pPr>
        <w:rPr>
          <w:sz w:val="22"/>
          <w:szCs w:val="22"/>
        </w:rPr>
      </w:pPr>
    </w:p>
    <w:p w:rsidRPr="006C12B4" w:rsidR="00975D09" w:rsidP="00975D09" w:rsidRDefault="00975D09" w14:paraId="20A43701" w14:textId="77777777">
      <w:pPr>
        <w:rPr>
          <w:sz w:val="22"/>
          <w:szCs w:val="22"/>
        </w:rPr>
      </w:pPr>
      <w:r w:rsidRPr="006C12B4">
        <w:rPr>
          <w:sz w:val="22"/>
          <w:szCs w:val="22"/>
        </w:rPr>
        <w:t xml:space="preserve">9.  The Commission does not anticipate providing any payment or gift to respondents.  </w:t>
      </w:r>
    </w:p>
    <w:p w:rsidRPr="006C12B4" w:rsidR="00975D09" w:rsidP="00975D09" w:rsidRDefault="00975D09" w14:paraId="56DEDA88" w14:textId="77777777">
      <w:pPr>
        <w:rPr>
          <w:sz w:val="22"/>
          <w:szCs w:val="22"/>
        </w:rPr>
      </w:pPr>
    </w:p>
    <w:p w:rsidR="00975D09" w:rsidP="00975D09" w:rsidRDefault="00975D09" w14:paraId="3E7283F3" w14:textId="77777777">
      <w:pPr>
        <w:rPr>
          <w:sz w:val="22"/>
          <w:szCs w:val="22"/>
        </w:rPr>
      </w:pPr>
      <w:r>
        <w:rPr>
          <w:sz w:val="22"/>
          <w:szCs w:val="22"/>
        </w:rPr>
        <w:t xml:space="preserve">10.  </w:t>
      </w:r>
      <w:r w:rsidRPr="00EC2E81">
        <w:rPr>
          <w:sz w:val="22"/>
          <w:szCs w:val="22"/>
        </w:rPr>
        <w:t xml:space="preserve">If respondents submit information which respondents believe is confidential, respondents may request confidential treatment of such information pursuant to section 0.459 of the </w:t>
      </w:r>
      <w:r>
        <w:rPr>
          <w:sz w:val="22"/>
          <w:szCs w:val="22"/>
        </w:rPr>
        <w:t>Commission</w:t>
      </w:r>
      <w:r w:rsidRPr="00EC2E81">
        <w:rPr>
          <w:sz w:val="22"/>
          <w:szCs w:val="22"/>
        </w:rPr>
        <w:t>’s rules, 47 CFR § 0.459.</w:t>
      </w:r>
    </w:p>
    <w:p w:rsidRPr="006C12B4" w:rsidR="00975D09" w:rsidP="00975D09" w:rsidRDefault="00975D09" w14:paraId="4A3CD45F" w14:textId="77777777">
      <w:pPr>
        <w:rPr>
          <w:sz w:val="22"/>
          <w:szCs w:val="22"/>
        </w:rPr>
      </w:pPr>
    </w:p>
    <w:p w:rsidRPr="006C12B4" w:rsidR="00975D09" w:rsidP="00975D09" w:rsidRDefault="00975D09" w14:paraId="1AAC2B36" w14:textId="77777777">
      <w:pPr>
        <w:rPr>
          <w:sz w:val="22"/>
          <w:szCs w:val="22"/>
        </w:rPr>
      </w:pPr>
      <w:r w:rsidRPr="006C12B4">
        <w:rPr>
          <w:sz w:val="22"/>
          <w:szCs w:val="22"/>
        </w:rPr>
        <w:t xml:space="preserve">11.  </w:t>
      </w:r>
      <w:r>
        <w:rPr>
          <w:sz w:val="22"/>
          <w:szCs w:val="22"/>
        </w:rPr>
        <w:t xml:space="preserve">The </w:t>
      </w:r>
      <w:r w:rsidRPr="006C12B4">
        <w:rPr>
          <w:sz w:val="22"/>
          <w:szCs w:val="22"/>
        </w:rPr>
        <w:t xml:space="preserve">information collection requirements </w:t>
      </w:r>
      <w:r>
        <w:rPr>
          <w:sz w:val="22"/>
          <w:szCs w:val="22"/>
        </w:rPr>
        <w:t xml:space="preserve">do not </w:t>
      </w:r>
      <w:r w:rsidRPr="006C12B4">
        <w:rPr>
          <w:sz w:val="22"/>
          <w:szCs w:val="22"/>
        </w:rPr>
        <w:t xml:space="preserve">raise any questions or issues of a sensitive nature.  </w:t>
      </w:r>
    </w:p>
    <w:p w:rsidRPr="006C12B4" w:rsidR="00975D09" w:rsidP="00975D09" w:rsidRDefault="00975D09" w14:paraId="5A028344" w14:textId="77777777">
      <w:pPr>
        <w:ind w:left="720" w:hanging="360"/>
        <w:rPr>
          <w:sz w:val="22"/>
          <w:szCs w:val="22"/>
        </w:rPr>
      </w:pPr>
    </w:p>
    <w:p w:rsidRPr="006C12B4" w:rsidR="00975D09" w:rsidP="00975D09" w:rsidRDefault="00975D09" w14:paraId="2D72C0F0" w14:textId="77777777">
      <w:pPr>
        <w:rPr>
          <w:sz w:val="22"/>
          <w:szCs w:val="22"/>
        </w:rPr>
      </w:pPr>
      <w:r w:rsidRPr="006C12B4">
        <w:rPr>
          <w:sz w:val="22"/>
          <w:szCs w:val="22"/>
        </w:rPr>
        <w:t xml:space="preserve">12.  Estimates of the burden hours for the collection of information are as follows:  </w:t>
      </w:r>
    </w:p>
    <w:p w:rsidRPr="006C12B4" w:rsidR="00975D09" w:rsidP="00975D09" w:rsidRDefault="00975D09" w14:paraId="26608CFB" w14:textId="77777777">
      <w:pPr>
        <w:rPr>
          <w:sz w:val="22"/>
          <w:szCs w:val="22"/>
        </w:rPr>
      </w:pPr>
    </w:p>
    <w:p w:rsidRPr="006C12B4" w:rsidR="00975D09" w:rsidP="00975D09" w:rsidRDefault="00975D09" w14:paraId="610D5232" w14:textId="77777777">
      <w:pPr>
        <w:rPr>
          <w:b/>
          <w:sz w:val="22"/>
          <w:szCs w:val="22"/>
        </w:rPr>
      </w:pPr>
      <w:r>
        <w:rPr>
          <w:b/>
          <w:i/>
          <w:sz w:val="22"/>
          <w:szCs w:val="22"/>
        </w:rPr>
        <w:t>I</w:t>
      </w:r>
      <w:r w:rsidRPr="006C12B4">
        <w:rPr>
          <w:b/>
          <w:i/>
          <w:sz w:val="22"/>
          <w:szCs w:val="22"/>
        </w:rPr>
        <w:t xml:space="preserve">nformation </w:t>
      </w:r>
      <w:r>
        <w:rPr>
          <w:b/>
          <w:i/>
          <w:sz w:val="22"/>
          <w:szCs w:val="22"/>
        </w:rPr>
        <w:t>C</w:t>
      </w:r>
      <w:r w:rsidRPr="006C12B4">
        <w:rPr>
          <w:b/>
          <w:i/>
          <w:sz w:val="22"/>
          <w:szCs w:val="22"/>
        </w:rPr>
        <w:t xml:space="preserve">ollection </w:t>
      </w:r>
      <w:r>
        <w:rPr>
          <w:b/>
          <w:i/>
          <w:sz w:val="22"/>
          <w:szCs w:val="22"/>
        </w:rPr>
        <w:t>R</w:t>
      </w:r>
      <w:r w:rsidRPr="006C12B4">
        <w:rPr>
          <w:b/>
          <w:i/>
          <w:sz w:val="22"/>
          <w:szCs w:val="22"/>
        </w:rPr>
        <w:t>equirements</w:t>
      </w:r>
      <w:r w:rsidRPr="006C12B4">
        <w:rPr>
          <w:sz w:val="22"/>
          <w:szCs w:val="22"/>
        </w:rPr>
        <w:t>:</w:t>
      </w:r>
    </w:p>
    <w:p w:rsidR="00975D09" w:rsidP="00975D09" w:rsidRDefault="00975D09" w14:paraId="57174046" w14:textId="77777777">
      <w:pPr>
        <w:rPr>
          <w:b/>
          <w:sz w:val="22"/>
          <w:szCs w:val="22"/>
        </w:rPr>
      </w:pPr>
    </w:p>
    <w:p w:rsidRPr="00E74F17" w:rsidR="00975D09" w:rsidP="00975D09" w:rsidRDefault="00975D09" w14:paraId="32099DCA" w14:textId="77777777">
      <w:pPr>
        <w:rPr>
          <w:b/>
          <w:sz w:val="22"/>
          <w:szCs w:val="22"/>
          <w:u w:val="single"/>
        </w:rPr>
      </w:pPr>
      <w:r>
        <w:rPr>
          <w:b/>
          <w:sz w:val="22"/>
          <w:szCs w:val="22"/>
          <w:u w:val="single"/>
        </w:rPr>
        <w:t>Reporting Carrier</w:t>
      </w:r>
      <w:r w:rsidRPr="00E74F17">
        <w:rPr>
          <w:b/>
          <w:sz w:val="22"/>
          <w:szCs w:val="22"/>
          <w:u w:val="single"/>
        </w:rPr>
        <w:t>s</w:t>
      </w:r>
      <w:r>
        <w:rPr>
          <w:b/>
          <w:sz w:val="22"/>
          <w:szCs w:val="22"/>
          <w:u w:val="single"/>
        </w:rPr>
        <w:t xml:space="preserve"> – Permanent Disconnect Information</w:t>
      </w:r>
    </w:p>
    <w:p w:rsidRPr="00E74F17" w:rsidR="00975D09" w:rsidP="00975D09" w:rsidRDefault="00975D09" w14:paraId="35F7187D" w14:textId="77777777">
      <w:pPr>
        <w:rPr>
          <w:b/>
          <w:sz w:val="22"/>
          <w:szCs w:val="22"/>
        </w:rPr>
      </w:pPr>
    </w:p>
    <w:p w:rsidRPr="005C5602" w:rsidR="00975D09" w:rsidP="00975D09" w:rsidRDefault="00975D09" w14:paraId="63733F89" w14:textId="42CE83BF">
      <w:pPr>
        <w:rPr>
          <w:sz w:val="22"/>
          <w:szCs w:val="22"/>
        </w:rPr>
      </w:pPr>
      <w:r>
        <w:rPr>
          <w:b/>
          <w:sz w:val="22"/>
          <w:szCs w:val="22"/>
        </w:rPr>
        <w:t xml:space="preserve">Annual </w:t>
      </w:r>
      <w:r w:rsidRPr="00EF4F1D">
        <w:rPr>
          <w:b/>
          <w:sz w:val="22"/>
          <w:szCs w:val="22"/>
        </w:rPr>
        <w:t>Number of Respondents:</w:t>
      </w:r>
      <w:r w:rsidRPr="00EF4F1D">
        <w:rPr>
          <w:sz w:val="22"/>
          <w:szCs w:val="22"/>
        </w:rPr>
        <w:t xml:space="preserve">  </w:t>
      </w:r>
      <w:r>
        <w:rPr>
          <w:b/>
          <w:sz w:val="22"/>
          <w:szCs w:val="22"/>
        </w:rPr>
        <w:t>2,800</w:t>
      </w:r>
      <w:r w:rsidRPr="005C5602">
        <w:rPr>
          <w:sz w:val="22"/>
          <w:szCs w:val="22"/>
        </w:rPr>
        <w:t xml:space="preserve"> </w:t>
      </w:r>
      <w:r>
        <w:rPr>
          <w:sz w:val="22"/>
          <w:szCs w:val="22"/>
        </w:rPr>
        <w:t xml:space="preserve"> </w:t>
      </w:r>
    </w:p>
    <w:p w:rsidR="00975D09" w:rsidP="00975D09" w:rsidRDefault="00975D09" w14:paraId="57595996" w14:textId="77777777">
      <w:pPr>
        <w:rPr>
          <w:sz w:val="22"/>
          <w:szCs w:val="22"/>
        </w:rPr>
      </w:pPr>
    </w:p>
    <w:p w:rsidRPr="00154DE0" w:rsidR="00975D09" w:rsidP="00975D09" w:rsidRDefault="00975D09" w14:paraId="19CEC223" w14:textId="77777777">
      <w:pPr>
        <w:rPr>
          <w:sz w:val="22"/>
          <w:szCs w:val="22"/>
        </w:rPr>
      </w:pPr>
      <w:r>
        <w:rPr>
          <w:sz w:val="22"/>
          <w:szCs w:val="22"/>
        </w:rPr>
        <w:t>Estimates the h</w:t>
      </w:r>
      <w:r w:rsidRPr="00154DE0">
        <w:rPr>
          <w:sz w:val="22"/>
          <w:szCs w:val="22"/>
        </w:rPr>
        <w:t xml:space="preserve">our burden for </w:t>
      </w:r>
      <w:r>
        <w:rPr>
          <w:sz w:val="22"/>
          <w:szCs w:val="22"/>
        </w:rPr>
        <w:t>collection of telephone number and date of permanent disconnect.</w:t>
      </w:r>
    </w:p>
    <w:p w:rsidRPr="00154DE0" w:rsidR="00975D09" w:rsidP="00975D09" w:rsidRDefault="00975D09" w14:paraId="2BFA68BF" w14:textId="77777777">
      <w:pPr>
        <w:rPr>
          <w:sz w:val="22"/>
          <w:szCs w:val="22"/>
        </w:rPr>
      </w:pPr>
    </w:p>
    <w:p w:rsidRPr="00154DE0" w:rsidR="00975D09" w:rsidP="00975D09" w:rsidRDefault="00975D09" w14:paraId="40912B6C" w14:textId="77777777">
      <w:pPr>
        <w:rPr>
          <w:sz w:val="22"/>
          <w:szCs w:val="22"/>
        </w:rPr>
      </w:pPr>
      <w:r w:rsidRPr="00154DE0">
        <w:rPr>
          <w:sz w:val="22"/>
          <w:szCs w:val="22"/>
        </w:rPr>
        <w:lastRenderedPageBreak/>
        <w:t xml:space="preserve">The Commission estimates that approximately </w:t>
      </w:r>
      <w:r>
        <w:rPr>
          <w:sz w:val="22"/>
          <w:szCs w:val="22"/>
        </w:rPr>
        <w:t>2,800 reporting carriers</w:t>
      </w:r>
      <w:r w:rsidRPr="00154DE0">
        <w:rPr>
          <w:sz w:val="22"/>
          <w:szCs w:val="22"/>
        </w:rPr>
        <w:t xml:space="preserve"> will maintain </w:t>
      </w:r>
      <w:r>
        <w:rPr>
          <w:sz w:val="22"/>
          <w:szCs w:val="22"/>
        </w:rPr>
        <w:t>permanent disconnect records</w:t>
      </w:r>
      <w:r>
        <w:rPr>
          <w:rStyle w:val="FootnoteReference"/>
          <w:sz w:val="22"/>
          <w:szCs w:val="22"/>
        </w:rPr>
        <w:footnoteReference w:id="17"/>
      </w:r>
      <w:r>
        <w:rPr>
          <w:sz w:val="22"/>
          <w:szCs w:val="22"/>
        </w:rPr>
        <w:t xml:space="preserve"> and report monthly.</w:t>
      </w:r>
      <w:r>
        <w:rPr>
          <w:rStyle w:val="FootnoteReference"/>
          <w:sz w:val="22"/>
          <w:szCs w:val="22"/>
        </w:rPr>
        <w:footnoteReference w:id="18"/>
      </w:r>
      <w:r>
        <w:rPr>
          <w:sz w:val="22"/>
          <w:szCs w:val="22"/>
        </w:rPr>
        <w:t xml:space="preserve">  </w:t>
      </w:r>
      <w:r w:rsidRPr="00154DE0">
        <w:rPr>
          <w:sz w:val="22"/>
          <w:szCs w:val="22"/>
        </w:rPr>
        <w:t xml:space="preserve">The Commission assumes that </w:t>
      </w:r>
      <w:r>
        <w:rPr>
          <w:sz w:val="22"/>
          <w:szCs w:val="22"/>
        </w:rPr>
        <w:t>there are approximately 35 million permanent disconnects per year</w:t>
      </w:r>
      <w:r w:rsidRPr="00154DE0">
        <w:rPr>
          <w:sz w:val="22"/>
          <w:szCs w:val="22"/>
        </w:rPr>
        <w:t xml:space="preserve"> requiring 15 seconds (.004 hours) per </w:t>
      </w:r>
      <w:r>
        <w:rPr>
          <w:sz w:val="22"/>
          <w:szCs w:val="22"/>
        </w:rPr>
        <w:t>permanent disconnect</w:t>
      </w:r>
      <w:r w:rsidRPr="00154DE0">
        <w:rPr>
          <w:sz w:val="22"/>
          <w:szCs w:val="22"/>
        </w:rPr>
        <w:t xml:space="preserve"> to process.  This process will be done “on-occasion”; thus, the Commission assumes that most recordkeeping will be kept in computer form.</w:t>
      </w:r>
      <w:r w:rsidRPr="00154DE0">
        <w:rPr>
          <w:i/>
          <w:sz w:val="22"/>
          <w:szCs w:val="22"/>
        </w:rPr>
        <w:t xml:space="preserve"> </w:t>
      </w:r>
    </w:p>
    <w:p w:rsidRPr="00154DE0" w:rsidR="00975D09" w:rsidP="00975D09" w:rsidRDefault="00975D09" w14:paraId="1C3BA561" w14:textId="77777777">
      <w:pPr>
        <w:rPr>
          <w:sz w:val="22"/>
          <w:szCs w:val="22"/>
        </w:rPr>
      </w:pPr>
    </w:p>
    <w:p w:rsidRPr="00154DE0" w:rsidR="00975D09" w:rsidP="00975D09" w:rsidRDefault="00975D09" w14:paraId="3744373B" w14:textId="77777777">
      <w:pPr>
        <w:rPr>
          <w:b/>
          <w:sz w:val="22"/>
          <w:szCs w:val="22"/>
        </w:rPr>
      </w:pPr>
    </w:p>
    <w:p w:rsidRPr="00154DE0" w:rsidR="00975D09" w:rsidP="00975D09" w:rsidRDefault="00975D09" w14:paraId="4F07A6BA" w14:textId="77777777">
      <w:pPr>
        <w:rPr>
          <w:b/>
          <w:sz w:val="22"/>
          <w:szCs w:val="22"/>
        </w:rPr>
      </w:pPr>
      <w:r w:rsidRPr="00154DE0">
        <w:rPr>
          <w:b/>
          <w:sz w:val="22"/>
          <w:szCs w:val="22"/>
        </w:rPr>
        <w:t>Annual Burden Hours:</w:t>
      </w:r>
      <w:r w:rsidRPr="00154DE0">
        <w:rPr>
          <w:sz w:val="22"/>
          <w:szCs w:val="22"/>
        </w:rPr>
        <w:t xml:space="preserve">  </w:t>
      </w:r>
      <w:r w:rsidRPr="00BB64BD">
        <w:rPr>
          <w:sz w:val="22"/>
          <w:szCs w:val="22"/>
        </w:rPr>
        <w:t>35,000,000 responses/year</w:t>
      </w:r>
      <w:r>
        <w:rPr>
          <w:sz w:val="22"/>
          <w:szCs w:val="22"/>
        </w:rPr>
        <w:t xml:space="preserve"> </w:t>
      </w:r>
      <w:r w:rsidRPr="00154DE0">
        <w:rPr>
          <w:sz w:val="22"/>
          <w:szCs w:val="22"/>
        </w:rPr>
        <w:t xml:space="preserve">x .004 hours (15 seconds) = </w:t>
      </w:r>
      <w:r w:rsidRPr="00154DE0">
        <w:rPr>
          <w:b/>
          <w:sz w:val="22"/>
          <w:szCs w:val="22"/>
        </w:rPr>
        <w:t>1</w:t>
      </w:r>
      <w:r>
        <w:rPr>
          <w:b/>
          <w:sz w:val="22"/>
          <w:szCs w:val="22"/>
        </w:rPr>
        <w:t>40</w:t>
      </w:r>
      <w:r w:rsidRPr="00154DE0">
        <w:rPr>
          <w:b/>
          <w:sz w:val="22"/>
          <w:szCs w:val="22"/>
        </w:rPr>
        <w:t>,</w:t>
      </w:r>
      <w:r>
        <w:rPr>
          <w:b/>
          <w:sz w:val="22"/>
          <w:szCs w:val="22"/>
        </w:rPr>
        <w:t>00</w:t>
      </w:r>
      <w:r w:rsidRPr="00154DE0">
        <w:rPr>
          <w:b/>
          <w:sz w:val="22"/>
          <w:szCs w:val="22"/>
        </w:rPr>
        <w:t>0 hours</w:t>
      </w:r>
      <w:r w:rsidRPr="00154DE0">
        <w:rPr>
          <w:sz w:val="22"/>
          <w:szCs w:val="22"/>
        </w:rPr>
        <w:t xml:space="preserve">  </w:t>
      </w:r>
    </w:p>
    <w:p w:rsidRPr="00154DE0" w:rsidR="00975D09" w:rsidP="00975D09" w:rsidRDefault="00975D09" w14:paraId="739414AB" w14:textId="77777777">
      <w:pPr>
        <w:rPr>
          <w:sz w:val="22"/>
          <w:szCs w:val="22"/>
        </w:rPr>
      </w:pPr>
    </w:p>
    <w:p w:rsidRPr="00154DE0" w:rsidR="00975D09" w:rsidP="00975D09" w:rsidRDefault="00975D09" w14:paraId="12E9E1EE" w14:textId="213254B1">
      <w:pPr>
        <w:rPr>
          <w:sz w:val="22"/>
          <w:szCs w:val="22"/>
        </w:rPr>
      </w:pPr>
      <w:r w:rsidRPr="00154DE0">
        <w:rPr>
          <w:b/>
          <w:sz w:val="22"/>
          <w:szCs w:val="22"/>
        </w:rPr>
        <w:t>Annual “In-House” Cost:</w:t>
      </w:r>
      <w:r w:rsidRPr="00154DE0">
        <w:rPr>
          <w:sz w:val="22"/>
          <w:szCs w:val="22"/>
        </w:rPr>
        <w:t xml:space="preserve">  The Commission assumes that respondents use “in-house” personnel whose pay is comparable to a federal employee </w:t>
      </w:r>
      <w:r>
        <w:rPr>
          <w:sz w:val="22"/>
          <w:szCs w:val="22"/>
        </w:rPr>
        <w:t xml:space="preserve">average of a </w:t>
      </w:r>
      <w:r w:rsidRPr="00154DE0">
        <w:rPr>
          <w:sz w:val="22"/>
          <w:szCs w:val="22"/>
        </w:rPr>
        <w:t>GS-5</w:t>
      </w:r>
      <w:r>
        <w:rPr>
          <w:sz w:val="22"/>
          <w:szCs w:val="22"/>
        </w:rPr>
        <w:t>, step 5</w:t>
      </w:r>
      <w:r w:rsidRPr="00C156CD">
        <w:rPr>
          <w:rFonts w:cs="ArialNarrow,Bold"/>
        </w:rPr>
        <w:t xml:space="preserve"> </w:t>
      </w:r>
      <w:r>
        <w:rPr>
          <w:rFonts w:cs="ArialNarrow,Bold"/>
        </w:rPr>
        <w:t>to record</w:t>
      </w:r>
      <w:r w:rsidRPr="004C3E6B">
        <w:t xml:space="preserve"> the </w:t>
      </w:r>
      <w:r>
        <w:rPr>
          <w:rFonts w:cs="ArialNarrow,Bold"/>
        </w:rPr>
        <w:t>permanent disconnect information</w:t>
      </w:r>
      <w:r w:rsidRPr="004C3E6B">
        <w:t xml:space="preserve">.  </w:t>
      </w:r>
      <w:r w:rsidRPr="00154DE0">
        <w:rPr>
          <w:sz w:val="22"/>
          <w:szCs w:val="22"/>
        </w:rPr>
        <w:t>Thus, the Commission estimates respondents</w:t>
      </w:r>
      <w:r>
        <w:rPr>
          <w:sz w:val="22"/>
          <w:szCs w:val="22"/>
        </w:rPr>
        <w:t>’</w:t>
      </w:r>
      <w:r w:rsidRPr="00154DE0">
        <w:rPr>
          <w:sz w:val="22"/>
          <w:szCs w:val="22"/>
        </w:rPr>
        <w:t xml:space="preserve"> cost to be about $</w:t>
      </w:r>
      <w:r>
        <w:rPr>
          <w:sz w:val="22"/>
          <w:szCs w:val="22"/>
        </w:rPr>
        <w:t>2</w:t>
      </w:r>
      <w:r w:rsidR="00601FE2">
        <w:rPr>
          <w:sz w:val="22"/>
          <w:szCs w:val="22"/>
        </w:rPr>
        <w:t>1.34</w:t>
      </w:r>
      <w:r w:rsidRPr="00154DE0">
        <w:rPr>
          <w:sz w:val="22"/>
          <w:szCs w:val="22"/>
        </w:rPr>
        <w:t xml:space="preserve"> per hour to comply with the requirement: </w:t>
      </w:r>
    </w:p>
    <w:p w:rsidRPr="00154DE0" w:rsidR="00975D09" w:rsidP="00975D09" w:rsidRDefault="00975D09" w14:paraId="318D1A0A" w14:textId="77777777">
      <w:pPr>
        <w:rPr>
          <w:sz w:val="22"/>
          <w:szCs w:val="22"/>
        </w:rPr>
      </w:pPr>
    </w:p>
    <w:p w:rsidR="00975D09" w:rsidP="00975D09" w:rsidRDefault="00975D09" w14:paraId="0D2CBC6A" w14:textId="4F0021CC">
      <w:pPr>
        <w:rPr>
          <w:b/>
          <w:sz w:val="22"/>
          <w:szCs w:val="22"/>
        </w:rPr>
      </w:pPr>
      <w:r>
        <w:rPr>
          <w:sz w:val="22"/>
          <w:szCs w:val="22"/>
        </w:rPr>
        <w:t>140,000</w:t>
      </w:r>
      <w:r w:rsidRPr="00154DE0">
        <w:rPr>
          <w:sz w:val="22"/>
          <w:szCs w:val="22"/>
        </w:rPr>
        <w:t xml:space="preserve"> </w:t>
      </w:r>
      <w:r>
        <w:rPr>
          <w:sz w:val="22"/>
          <w:szCs w:val="22"/>
        </w:rPr>
        <w:t>hours</w:t>
      </w:r>
      <w:r w:rsidRPr="00154DE0">
        <w:rPr>
          <w:sz w:val="22"/>
          <w:szCs w:val="22"/>
        </w:rPr>
        <w:t xml:space="preserve"> x $</w:t>
      </w:r>
      <w:r>
        <w:rPr>
          <w:sz w:val="22"/>
          <w:szCs w:val="22"/>
        </w:rPr>
        <w:t>2</w:t>
      </w:r>
      <w:r w:rsidR="00601FE2">
        <w:rPr>
          <w:sz w:val="22"/>
          <w:szCs w:val="22"/>
        </w:rPr>
        <w:t>1.34</w:t>
      </w:r>
      <w:r w:rsidRPr="00154DE0">
        <w:rPr>
          <w:sz w:val="22"/>
          <w:szCs w:val="22"/>
        </w:rPr>
        <w:t xml:space="preserve"> per hour = </w:t>
      </w:r>
      <w:r w:rsidRPr="00154DE0">
        <w:rPr>
          <w:b/>
          <w:sz w:val="22"/>
          <w:szCs w:val="22"/>
        </w:rPr>
        <w:t>$</w:t>
      </w:r>
      <w:r w:rsidR="00934B2B">
        <w:rPr>
          <w:b/>
          <w:sz w:val="22"/>
          <w:szCs w:val="22"/>
        </w:rPr>
        <w:t>2,987,600</w:t>
      </w:r>
    </w:p>
    <w:p w:rsidR="00975D09" w:rsidP="00975D09" w:rsidRDefault="00975D09" w14:paraId="0844ECA1" w14:textId="77777777">
      <w:pPr>
        <w:rPr>
          <w:b/>
          <w:sz w:val="22"/>
          <w:szCs w:val="22"/>
        </w:rPr>
      </w:pPr>
    </w:p>
    <w:p w:rsidRPr="005B079A" w:rsidR="00975D09" w:rsidP="00975D09" w:rsidRDefault="00975D09" w14:paraId="57367FDA" w14:textId="77777777">
      <w:pPr>
        <w:rPr>
          <w:b/>
          <w:sz w:val="22"/>
          <w:szCs w:val="22"/>
        </w:rPr>
      </w:pPr>
      <w:r w:rsidRPr="005B079A">
        <w:rPr>
          <w:b/>
          <w:sz w:val="22"/>
          <w:szCs w:val="22"/>
        </w:rPr>
        <w:t>Annual Burden Hours:  22,400 hours</w:t>
      </w:r>
    </w:p>
    <w:p w:rsidRPr="005B079A" w:rsidR="00975D09" w:rsidP="00975D09" w:rsidRDefault="00975D09" w14:paraId="60D3C435" w14:textId="77777777">
      <w:pPr>
        <w:rPr>
          <w:b/>
          <w:sz w:val="22"/>
          <w:szCs w:val="22"/>
        </w:rPr>
      </w:pPr>
    </w:p>
    <w:p w:rsidRPr="005B079A" w:rsidR="00975D09" w:rsidP="00975D09" w:rsidRDefault="00975D09" w14:paraId="371B0251" w14:textId="77777777">
      <w:pPr>
        <w:rPr>
          <w:sz w:val="22"/>
          <w:szCs w:val="22"/>
        </w:rPr>
      </w:pPr>
      <w:r w:rsidRPr="005B079A">
        <w:rPr>
          <w:sz w:val="22"/>
          <w:szCs w:val="22"/>
        </w:rPr>
        <w:t xml:space="preserve">In addition, the Commission assumes it will take 8 hours per reporting carrier to make the necessary changes to their internal database system to enable the reporting carrier’s system to have the functionality to record the permanent disconnect date associated with a phone number.  This is a one-time requirement for respondents that will be met within the first year. </w:t>
      </w:r>
    </w:p>
    <w:p w:rsidRPr="005B079A" w:rsidR="00975D09" w:rsidP="00975D09" w:rsidRDefault="00975D09" w14:paraId="2234A7D5" w14:textId="77777777">
      <w:pPr>
        <w:rPr>
          <w:sz w:val="22"/>
          <w:szCs w:val="22"/>
        </w:rPr>
      </w:pPr>
    </w:p>
    <w:p w:rsidRPr="005B079A" w:rsidR="00975D09" w:rsidP="00975D09" w:rsidRDefault="00975D09" w14:paraId="59175804" w14:textId="77777777">
      <w:pPr>
        <w:rPr>
          <w:sz w:val="22"/>
          <w:szCs w:val="22"/>
        </w:rPr>
      </w:pPr>
      <w:r w:rsidRPr="005B079A">
        <w:rPr>
          <w:sz w:val="22"/>
          <w:szCs w:val="22"/>
        </w:rPr>
        <w:t xml:space="preserve">2,800 respondents x 8 hours/changes to internal database = </w:t>
      </w:r>
      <w:r w:rsidRPr="005B079A">
        <w:rPr>
          <w:b/>
          <w:sz w:val="22"/>
          <w:szCs w:val="22"/>
        </w:rPr>
        <w:t>22,400 hours</w:t>
      </w:r>
    </w:p>
    <w:p w:rsidRPr="005B079A" w:rsidR="00975D09" w:rsidP="00975D09" w:rsidRDefault="00975D09" w14:paraId="6F986FC9" w14:textId="77777777">
      <w:pPr>
        <w:rPr>
          <w:sz w:val="22"/>
          <w:szCs w:val="22"/>
        </w:rPr>
      </w:pPr>
    </w:p>
    <w:p w:rsidRPr="00202448" w:rsidR="00975D09" w:rsidP="00975D09" w:rsidRDefault="00975D09" w14:paraId="50B377F9" w14:textId="4B3D4718">
      <w:pPr>
        <w:rPr>
          <w:b/>
          <w:sz w:val="22"/>
          <w:szCs w:val="22"/>
        </w:rPr>
      </w:pPr>
      <w:r w:rsidRPr="005B079A">
        <w:rPr>
          <w:b/>
          <w:sz w:val="22"/>
          <w:szCs w:val="22"/>
        </w:rPr>
        <w:t>Annual “In-House” Cost:</w:t>
      </w:r>
      <w:r w:rsidR="00202448">
        <w:rPr>
          <w:b/>
          <w:sz w:val="22"/>
          <w:szCs w:val="22"/>
        </w:rPr>
        <w:t xml:space="preserve">  </w:t>
      </w:r>
      <w:r w:rsidRPr="005B079A">
        <w:rPr>
          <w:sz w:val="22"/>
          <w:szCs w:val="22"/>
        </w:rPr>
        <w:t>The Commission assumes that respondents use “in-house” personnel whose pay is comparable to a federal employee average of a GS-14, step 5.  Thus, the Commission estimates respondents’ cost to be about $6</w:t>
      </w:r>
      <w:r w:rsidR="00601FE2">
        <w:rPr>
          <w:sz w:val="22"/>
          <w:szCs w:val="22"/>
        </w:rPr>
        <w:t>5.88</w:t>
      </w:r>
      <w:r w:rsidRPr="005B079A">
        <w:rPr>
          <w:sz w:val="22"/>
          <w:szCs w:val="22"/>
        </w:rPr>
        <w:t xml:space="preserve"> per hour to comply with the requirement:</w:t>
      </w:r>
    </w:p>
    <w:p w:rsidRPr="005B079A" w:rsidR="00975D09" w:rsidP="00975D09" w:rsidRDefault="00975D09" w14:paraId="100E61DA" w14:textId="77777777">
      <w:pPr>
        <w:rPr>
          <w:sz w:val="22"/>
          <w:szCs w:val="22"/>
        </w:rPr>
      </w:pPr>
    </w:p>
    <w:p w:rsidRPr="009815AB" w:rsidR="00975D09" w:rsidP="00975D09" w:rsidRDefault="00975D09" w14:paraId="12CCAC3C" w14:textId="68787E84">
      <w:pPr>
        <w:rPr>
          <w:b/>
          <w:sz w:val="22"/>
          <w:szCs w:val="22"/>
        </w:rPr>
      </w:pPr>
      <w:r w:rsidRPr="009A460E">
        <w:rPr>
          <w:bCs/>
          <w:sz w:val="22"/>
          <w:szCs w:val="22"/>
        </w:rPr>
        <w:t xml:space="preserve">22,400 hours x </w:t>
      </w:r>
      <w:r w:rsidRPr="009A460E" w:rsidR="00821E19">
        <w:rPr>
          <w:bCs/>
          <w:sz w:val="22"/>
          <w:szCs w:val="22"/>
        </w:rPr>
        <w:t>$</w:t>
      </w:r>
      <w:r w:rsidRPr="009A460E" w:rsidR="00126B34">
        <w:rPr>
          <w:bCs/>
          <w:sz w:val="22"/>
          <w:szCs w:val="22"/>
        </w:rPr>
        <w:t>65.88</w:t>
      </w:r>
      <w:r w:rsidRPr="005B079A">
        <w:rPr>
          <w:b/>
          <w:sz w:val="22"/>
          <w:szCs w:val="22"/>
        </w:rPr>
        <w:t xml:space="preserve"> = $1,4</w:t>
      </w:r>
      <w:r w:rsidR="00126B34">
        <w:rPr>
          <w:b/>
          <w:sz w:val="22"/>
          <w:szCs w:val="22"/>
        </w:rPr>
        <w:t>75,712</w:t>
      </w:r>
    </w:p>
    <w:p w:rsidR="00975D09" w:rsidP="00975D09" w:rsidRDefault="00975D09" w14:paraId="50F82A93" w14:textId="77777777">
      <w:pPr>
        <w:rPr>
          <w:sz w:val="22"/>
          <w:szCs w:val="22"/>
        </w:rPr>
      </w:pPr>
    </w:p>
    <w:p w:rsidR="00975D09" w:rsidP="00975D09" w:rsidRDefault="00975D09" w14:paraId="5B862CC2" w14:textId="69FA5F80">
      <w:pPr>
        <w:rPr>
          <w:b/>
          <w:sz w:val="22"/>
          <w:szCs w:val="22"/>
          <w:u w:val="single"/>
        </w:rPr>
      </w:pPr>
      <w:r>
        <w:rPr>
          <w:b/>
          <w:sz w:val="22"/>
          <w:szCs w:val="22"/>
          <w:u w:val="single"/>
        </w:rPr>
        <w:t>Reporting Carrier</w:t>
      </w:r>
      <w:r w:rsidRPr="00E74F17">
        <w:rPr>
          <w:b/>
          <w:sz w:val="22"/>
          <w:szCs w:val="22"/>
          <w:u w:val="single"/>
        </w:rPr>
        <w:t>s</w:t>
      </w:r>
      <w:r>
        <w:rPr>
          <w:b/>
          <w:sz w:val="22"/>
          <w:szCs w:val="22"/>
          <w:u w:val="single"/>
        </w:rPr>
        <w:t xml:space="preserve"> – Monthly Filing</w:t>
      </w:r>
    </w:p>
    <w:p w:rsidRPr="00E74F17" w:rsidR="00975D09" w:rsidP="00975D09" w:rsidRDefault="00975D09" w14:paraId="456FE2C5" w14:textId="77777777">
      <w:pPr>
        <w:rPr>
          <w:b/>
          <w:sz w:val="22"/>
          <w:szCs w:val="22"/>
          <w:u w:val="single"/>
        </w:rPr>
      </w:pPr>
    </w:p>
    <w:p w:rsidRPr="002A7A20" w:rsidR="00975D09" w:rsidP="00975D09" w:rsidRDefault="00975D09" w14:paraId="705B86AA" w14:textId="77777777">
      <w:pPr>
        <w:rPr>
          <w:sz w:val="22"/>
          <w:szCs w:val="22"/>
        </w:rPr>
      </w:pPr>
      <w:r>
        <w:rPr>
          <w:sz w:val="22"/>
          <w:szCs w:val="22"/>
        </w:rPr>
        <w:t xml:space="preserve">Each reporting carrier will need to file electronically, on a monthly basis, the recorded permanent disconnect information associated with each phone number assigned to it.  In its initial filing, the reporting carrier will need to provide its contact information. </w:t>
      </w:r>
      <w:r w:rsidRPr="002A7A20">
        <w:rPr>
          <w:sz w:val="22"/>
          <w:szCs w:val="22"/>
        </w:rPr>
        <w:t xml:space="preserve"> </w:t>
      </w:r>
      <w:r>
        <w:rPr>
          <w:sz w:val="22"/>
          <w:szCs w:val="22"/>
        </w:rPr>
        <w:t xml:space="preserve">This information will then be saved to the reporting carrier’s account and will not need to be entered the next time it files its monthly report unless it needs to be updated.  </w:t>
      </w:r>
      <w:r w:rsidRPr="002A7A20">
        <w:rPr>
          <w:sz w:val="22"/>
          <w:szCs w:val="22"/>
        </w:rPr>
        <w:t>To meet this condition, several professionals at the carrier, including attorneys and a compliance officer, may participate in the production and/or review of the filing.</w:t>
      </w:r>
    </w:p>
    <w:p w:rsidRPr="002A7A20" w:rsidR="00975D09" w:rsidP="00975D09" w:rsidRDefault="00975D09" w14:paraId="024A2591" w14:textId="77777777">
      <w:pPr>
        <w:rPr>
          <w:sz w:val="22"/>
          <w:szCs w:val="22"/>
        </w:rPr>
      </w:pPr>
    </w:p>
    <w:p w:rsidRPr="002A7A20" w:rsidR="00975D09" w:rsidP="00975D09" w:rsidRDefault="00975D09" w14:paraId="718FDE40" w14:textId="77777777">
      <w:pPr>
        <w:rPr>
          <w:sz w:val="22"/>
          <w:szCs w:val="22"/>
        </w:rPr>
      </w:pPr>
      <w:r w:rsidRPr="002A7A20">
        <w:rPr>
          <w:sz w:val="22"/>
          <w:szCs w:val="22"/>
        </w:rPr>
        <w:lastRenderedPageBreak/>
        <w:t xml:space="preserve">We estimate it will take no more </w:t>
      </w:r>
      <w:r w:rsidRPr="00821092">
        <w:rPr>
          <w:sz w:val="22"/>
          <w:szCs w:val="22"/>
        </w:rPr>
        <w:t>than one hour</w:t>
      </w:r>
      <w:r>
        <w:rPr>
          <w:sz w:val="22"/>
          <w:szCs w:val="22"/>
        </w:rPr>
        <w:t xml:space="preserve"> per month </w:t>
      </w:r>
      <w:r w:rsidRPr="002A7A20">
        <w:rPr>
          <w:sz w:val="22"/>
          <w:szCs w:val="22"/>
        </w:rPr>
        <w:t>to produce the filing per respondent</w:t>
      </w:r>
      <w:r>
        <w:rPr>
          <w:sz w:val="22"/>
          <w:szCs w:val="22"/>
        </w:rPr>
        <w:t>.</w:t>
      </w:r>
      <w:r w:rsidRPr="002A7A20">
        <w:rPr>
          <w:sz w:val="22"/>
          <w:szCs w:val="22"/>
        </w:rPr>
        <w:t xml:space="preserve"> </w:t>
      </w:r>
    </w:p>
    <w:p w:rsidR="00975D09" w:rsidP="00975D09" w:rsidRDefault="00975D09" w14:paraId="374E2E65" w14:textId="77777777">
      <w:pPr>
        <w:rPr>
          <w:b/>
          <w:sz w:val="22"/>
          <w:szCs w:val="22"/>
        </w:rPr>
      </w:pPr>
    </w:p>
    <w:p w:rsidR="00975D09" w:rsidP="00975D09" w:rsidRDefault="00975D09" w14:paraId="4D56ADE2" w14:textId="77777777">
      <w:pPr>
        <w:rPr>
          <w:b/>
          <w:sz w:val="22"/>
          <w:szCs w:val="22"/>
        </w:rPr>
      </w:pPr>
      <w:r>
        <w:rPr>
          <w:b/>
          <w:sz w:val="22"/>
          <w:szCs w:val="22"/>
        </w:rPr>
        <w:t>Annual Number of Responses:  33,600</w:t>
      </w:r>
    </w:p>
    <w:p w:rsidR="00975D09" w:rsidP="00975D09" w:rsidRDefault="00975D09" w14:paraId="1159A519" w14:textId="77777777">
      <w:pPr>
        <w:rPr>
          <w:b/>
          <w:sz w:val="22"/>
          <w:szCs w:val="22"/>
        </w:rPr>
      </w:pPr>
    </w:p>
    <w:p w:rsidRPr="00154DE0" w:rsidR="00975D09" w:rsidP="00975D09" w:rsidRDefault="00975D09" w14:paraId="371F7C6F" w14:textId="77777777">
      <w:pPr>
        <w:rPr>
          <w:b/>
          <w:sz w:val="22"/>
          <w:szCs w:val="22"/>
        </w:rPr>
      </w:pPr>
      <w:r w:rsidRPr="00154DE0">
        <w:rPr>
          <w:b/>
          <w:sz w:val="22"/>
          <w:szCs w:val="22"/>
        </w:rPr>
        <w:t>Annual Burden Hours:</w:t>
      </w:r>
      <w:r w:rsidRPr="00154DE0">
        <w:rPr>
          <w:sz w:val="22"/>
          <w:szCs w:val="22"/>
        </w:rPr>
        <w:t xml:space="preserve">  </w:t>
      </w:r>
      <w:r>
        <w:rPr>
          <w:sz w:val="22"/>
          <w:szCs w:val="22"/>
        </w:rPr>
        <w:t xml:space="preserve">2,800 respondents x 12 months x </w:t>
      </w:r>
      <w:r w:rsidRPr="00821092">
        <w:rPr>
          <w:sz w:val="22"/>
          <w:szCs w:val="22"/>
        </w:rPr>
        <w:t>1 hour</w:t>
      </w:r>
      <w:r>
        <w:rPr>
          <w:sz w:val="22"/>
          <w:szCs w:val="22"/>
        </w:rPr>
        <w:t xml:space="preserve"> = </w:t>
      </w:r>
      <w:r>
        <w:rPr>
          <w:b/>
          <w:sz w:val="22"/>
          <w:szCs w:val="22"/>
        </w:rPr>
        <w:t>33,600</w:t>
      </w:r>
      <w:r w:rsidRPr="00154DE0">
        <w:rPr>
          <w:b/>
          <w:sz w:val="22"/>
          <w:szCs w:val="22"/>
        </w:rPr>
        <w:t xml:space="preserve"> hours</w:t>
      </w:r>
      <w:r w:rsidRPr="00154DE0">
        <w:rPr>
          <w:sz w:val="22"/>
          <w:szCs w:val="22"/>
        </w:rPr>
        <w:t xml:space="preserve">  </w:t>
      </w:r>
    </w:p>
    <w:p w:rsidRPr="00154DE0" w:rsidR="00975D09" w:rsidP="00975D09" w:rsidRDefault="00975D09" w14:paraId="4DF58BAF" w14:textId="77777777">
      <w:pPr>
        <w:rPr>
          <w:sz w:val="22"/>
          <w:szCs w:val="22"/>
        </w:rPr>
      </w:pPr>
      <w:r w:rsidRPr="002A7A20">
        <w:rPr>
          <w:sz w:val="22"/>
          <w:szCs w:val="22"/>
        </w:rPr>
        <w:t xml:space="preserve">  </w:t>
      </w:r>
    </w:p>
    <w:p w:rsidRPr="002A7A20" w:rsidR="00975D09" w:rsidP="00975D09" w:rsidRDefault="00975D09" w14:paraId="5FFC9EDA" w14:textId="0BDB1128">
      <w:pPr>
        <w:rPr>
          <w:sz w:val="22"/>
          <w:szCs w:val="22"/>
        </w:rPr>
      </w:pPr>
      <w:r w:rsidRPr="00154DE0">
        <w:rPr>
          <w:b/>
          <w:sz w:val="22"/>
          <w:szCs w:val="22"/>
        </w:rPr>
        <w:t>Annual “In-House” Cost:</w:t>
      </w:r>
      <w:r w:rsidRPr="00154DE0">
        <w:rPr>
          <w:sz w:val="22"/>
          <w:szCs w:val="22"/>
        </w:rPr>
        <w:t xml:space="preserve">  </w:t>
      </w:r>
      <w:r w:rsidRPr="002A7A20">
        <w:rPr>
          <w:sz w:val="22"/>
          <w:szCs w:val="22"/>
        </w:rPr>
        <w:t>The Commission estimates a weighted average for the compensation of these professionals will be at a level comparable in pay to a GS</w:t>
      </w:r>
      <w:r>
        <w:rPr>
          <w:sz w:val="22"/>
          <w:szCs w:val="22"/>
        </w:rPr>
        <w:t>-</w:t>
      </w:r>
      <w:r w:rsidRPr="002A7A20">
        <w:rPr>
          <w:sz w:val="22"/>
          <w:szCs w:val="22"/>
        </w:rPr>
        <w:t>14</w:t>
      </w:r>
      <w:r>
        <w:rPr>
          <w:sz w:val="22"/>
          <w:szCs w:val="22"/>
        </w:rPr>
        <w:t>,</w:t>
      </w:r>
      <w:r w:rsidRPr="002A7A20">
        <w:rPr>
          <w:sz w:val="22"/>
          <w:szCs w:val="22"/>
        </w:rPr>
        <w:t xml:space="preserve"> step 5</w:t>
      </w:r>
      <w:r>
        <w:rPr>
          <w:sz w:val="22"/>
          <w:szCs w:val="22"/>
        </w:rPr>
        <w:t xml:space="preserve">.  Thus, the Commission estimates respondents’ cost to be about </w:t>
      </w:r>
      <w:r w:rsidRPr="002A7A20">
        <w:rPr>
          <w:sz w:val="22"/>
          <w:szCs w:val="22"/>
        </w:rPr>
        <w:t>$</w:t>
      </w:r>
      <w:r>
        <w:rPr>
          <w:sz w:val="22"/>
          <w:szCs w:val="22"/>
        </w:rPr>
        <w:t>6</w:t>
      </w:r>
      <w:r w:rsidR="00126B34">
        <w:rPr>
          <w:sz w:val="22"/>
          <w:szCs w:val="22"/>
        </w:rPr>
        <w:t>5.88</w:t>
      </w:r>
      <w:r>
        <w:rPr>
          <w:sz w:val="22"/>
          <w:szCs w:val="22"/>
        </w:rPr>
        <w:t xml:space="preserve"> per </w:t>
      </w:r>
      <w:r w:rsidRPr="002A7A20">
        <w:rPr>
          <w:sz w:val="22"/>
          <w:szCs w:val="22"/>
        </w:rPr>
        <w:t>hour</w:t>
      </w:r>
      <w:r>
        <w:rPr>
          <w:sz w:val="22"/>
          <w:szCs w:val="22"/>
        </w:rPr>
        <w:t xml:space="preserve"> to comply with the requirement.</w:t>
      </w:r>
      <w:r w:rsidRPr="002A7A20">
        <w:rPr>
          <w:sz w:val="22"/>
          <w:szCs w:val="22"/>
        </w:rPr>
        <w:t xml:space="preserve">  </w:t>
      </w:r>
    </w:p>
    <w:p w:rsidR="00975D09" w:rsidP="00975D09" w:rsidRDefault="00975D09" w14:paraId="7966E8B5" w14:textId="77777777">
      <w:pPr>
        <w:rPr>
          <w:sz w:val="22"/>
          <w:szCs w:val="22"/>
        </w:rPr>
      </w:pPr>
    </w:p>
    <w:p w:rsidRPr="00F87400" w:rsidR="00975D09" w:rsidP="00975D09" w:rsidRDefault="00975D09" w14:paraId="7BFA6DF2" w14:textId="3D5646FB">
      <w:pPr>
        <w:rPr>
          <w:sz w:val="22"/>
          <w:szCs w:val="22"/>
        </w:rPr>
      </w:pPr>
      <w:r>
        <w:rPr>
          <w:sz w:val="22"/>
          <w:szCs w:val="22"/>
        </w:rPr>
        <w:t>33,600</w:t>
      </w:r>
      <w:r w:rsidRPr="00154DE0">
        <w:rPr>
          <w:sz w:val="22"/>
          <w:szCs w:val="22"/>
        </w:rPr>
        <w:t xml:space="preserve"> </w:t>
      </w:r>
      <w:r>
        <w:rPr>
          <w:sz w:val="22"/>
          <w:szCs w:val="22"/>
        </w:rPr>
        <w:t>hours</w:t>
      </w:r>
      <w:r w:rsidRPr="00154DE0">
        <w:rPr>
          <w:sz w:val="22"/>
          <w:szCs w:val="22"/>
        </w:rPr>
        <w:t xml:space="preserve"> x $</w:t>
      </w:r>
      <w:r>
        <w:rPr>
          <w:sz w:val="22"/>
          <w:szCs w:val="22"/>
        </w:rPr>
        <w:t>6</w:t>
      </w:r>
      <w:r w:rsidR="00126B34">
        <w:rPr>
          <w:sz w:val="22"/>
          <w:szCs w:val="22"/>
        </w:rPr>
        <w:t>5.88</w:t>
      </w:r>
      <w:r w:rsidRPr="00154DE0">
        <w:rPr>
          <w:sz w:val="22"/>
          <w:szCs w:val="22"/>
        </w:rPr>
        <w:t xml:space="preserve"> per hour = </w:t>
      </w:r>
      <w:r w:rsidRPr="00154DE0">
        <w:rPr>
          <w:b/>
          <w:sz w:val="22"/>
          <w:szCs w:val="22"/>
        </w:rPr>
        <w:t>$</w:t>
      </w:r>
      <w:r>
        <w:rPr>
          <w:b/>
          <w:sz w:val="22"/>
          <w:szCs w:val="22"/>
        </w:rPr>
        <w:t>2,</w:t>
      </w:r>
      <w:r w:rsidR="00AE243C">
        <w:rPr>
          <w:b/>
          <w:sz w:val="22"/>
          <w:szCs w:val="22"/>
        </w:rPr>
        <w:t>213,568</w:t>
      </w:r>
    </w:p>
    <w:p w:rsidR="00975D09" w:rsidP="00975D09" w:rsidRDefault="00975D09" w14:paraId="5158E967" w14:textId="77777777">
      <w:pPr>
        <w:rPr>
          <w:sz w:val="22"/>
          <w:szCs w:val="22"/>
        </w:rPr>
      </w:pPr>
    </w:p>
    <w:p w:rsidRPr="002A7A20" w:rsidR="00975D09" w:rsidP="00975D09" w:rsidRDefault="00975D09" w14:paraId="5AFF046F" w14:textId="77777777">
      <w:pPr>
        <w:rPr>
          <w:sz w:val="22"/>
          <w:szCs w:val="22"/>
        </w:rPr>
      </w:pPr>
    </w:p>
    <w:p w:rsidR="00975D09" w:rsidP="00975D09" w:rsidRDefault="00975D09" w14:paraId="045A055F" w14:textId="77777777">
      <w:pPr>
        <w:rPr>
          <w:b/>
          <w:sz w:val="22"/>
          <w:szCs w:val="22"/>
          <w:u w:val="single"/>
        </w:rPr>
      </w:pPr>
      <w:r>
        <w:rPr>
          <w:b/>
          <w:sz w:val="22"/>
          <w:szCs w:val="22"/>
          <w:u w:val="single"/>
        </w:rPr>
        <w:t>Callers – Querying the Reassigned Numbers Database</w:t>
      </w:r>
    </w:p>
    <w:p w:rsidR="00975D09" w:rsidP="00975D09" w:rsidRDefault="00975D09" w14:paraId="0C8CC855" w14:textId="77777777">
      <w:pPr>
        <w:rPr>
          <w:b/>
          <w:sz w:val="22"/>
          <w:szCs w:val="22"/>
          <w:u w:val="single"/>
        </w:rPr>
      </w:pPr>
    </w:p>
    <w:p w:rsidR="00975D09" w:rsidP="00975D09" w:rsidRDefault="00975D09" w14:paraId="0FEE2EE9" w14:textId="18A3978C">
      <w:pPr>
        <w:rPr>
          <w:sz w:val="22"/>
          <w:szCs w:val="22"/>
        </w:rPr>
      </w:pPr>
      <w:r>
        <w:rPr>
          <w:sz w:val="22"/>
          <w:szCs w:val="22"/>
        </w:rPr>
        <w:t xml:space="preserve">Callers, which we anticipate will almost exclusively be business callers, that voluntarily choose to use the reassigned numbers database </w:t>
      </w:r>
      <w:r w:rsidRPr="00E16D94">
        <w:rPr>
          <w:sz w:val="22"/>
          <w:szCs w:val="22"/>
        </w:rPr>
        <w:t xml:space="preserve">to verify whether a number has been </w:t>
      </w:r>
      <w:r>
        <w:rPr>
          <w:sz w:val="22"/>
          <w:szCs w:val="22"/>
        </w:rPr>
        <w:t>reassigned</w:t>
      </w:r>
      <w:r w:rsidRPr="00E16D94">
        <w:rPr>
          <w:sz w:val="22"/>
          <w:szCs w:val="22"/>
        </w:rPr>
        <w:t xml:space="preserve"> before calling that number</w:t>
      </w:r>
      <w:r>
        <w:rPr>
          <w:sz w:val="22"/>
          <w:szCs w:val="22"/>
        </w:rPr>
        <w:t xml:space="preserve"> will need to provide two pieces of information:  (1) the telephone number they intend to call; and (2) the date prior express consent to call the intended recipient was obtained.  In addition, i</w:t>
      </w:r>
      <w:r w:rsidRPr="00CA35C6">
        <w:rPr>
          <w:sz w:val="22"/>
          <w:szCs w:val="22"/>
        </w:rPr>
        <w:t xml:space="preserve">n its initial filing, the </w:t>
      </w:r>
      <w:r>
        <w:rPr>
          <w:sz w:val="22"/>
          <w:szCs w:val="22"/>
        </w:rPr>
        <w:t>caller</w:t>
      </w:r>
      <w:r w:rsidRPr="00CA35C6">
        <w:rPr>
          <w:sz w:val="22"/>
          <w:szCs w:val="22"/>
        </w:rPr>
        <w:t xml:space="preserve"> will need to provide its contact information</w:t>
      </w:r>
      <w:r>
        <w:rPr>
          <w:sz w:val="22"/>
          <w:szCs w:val="22"/>
        </w:rPr>
        <w:t xml:space="preserve"> to create an account</w:t>
      </w:r>
      <w:r w:rsidRPr="00CA35C6">
        <w:rPr>
          <w:sz w:val="22"/>
          <w:szCs w:val="22"/>
        </w:rPr>
        <w:t xml:space="preserve">. </w:t>
      </w:r>
      <w:r w:rsidRPr="002A7A20">
        <w:rPr>
          <w:sz w:val="22"/>
          <w:szCs w:val="22"/>
        </w:rPr>
        <w:t xml:space="preserve"> </w:t>
      </w:r>
      <w:r w:rsidRPr="00CA35C6">
        <w:rPr>
          <w:sz w:val="22"/>
          <w:szCs w:val="22"/>
        </w:rPr>
        <w:t xml:space="preserve">This information will then be saved to the account and will not need to be entered the next time </w:t>
      </w:r>
      <w:r>
        <w:rPr>
          <w:sz w:val="22"/>
          <w:szCs w:val="22"/>
        </w:rPr>
        <w:t>the caller</w:t>
      </w:r>
      <w:r w:rsidRPr="00CA35C6">
        <w:rPr>
          <w:sz w:val="22"/>
          <w:szCs w:val="22"/>
        </w:rPr>
        <w:t xml:space="preserve"> </w:t>
      </w:r>
      <w:r>
        <w:rPr>
          <w:sz w:val="22"/>
          <w:szCs w:val="22"/>
        </w:rPr>
        <w:t>queries the database.</w:t>
      </w:r>
    </w:p>
    <w:p w:rsidR="00975D09" w:rsidP="00975D09" w:rsidRDefault="00975D09" w14:paraId="3F8A65CE" w14:textId="77777777">
      <w:pPr>
        <w:rPr>
          <w:sz w:val="22"/>
          <w:szCs w:val="22"/>
        </w:rPr>
      </w:pPr>
    </w:p>
    <w:p w:rsidR="00975D09" w:rsidP="00975D09" w:rsidRDefault="00975D09" w14:paraId="3B705C6A" w14:textId="77777777">
      <w:pPr>
        <w:rPr>
          <w:sz w:val="22"/>
          <w:szCs w:val="22"/>
        </w:rPr>
      </w:pPr>
      <w:r>
        <w:rPr>
          <w:sz w:val="22"/>
          <w:szCs w:val="22"/>
        </w:rPr>
        <w:t>The Commission does not have any existing internal data on how many database queries callers will make per year.  Based on publicly available call data, we estimate that there are approximately 30,662,668,400 lawful robocalls made per year.</w:t>
      </w:r>
      <w:r>
        <w:rPr>
          <w:rStyle w:val="FootnoteReference"/>
          <w:sz w:val="22"/>
          <w:szCs w:val="22"/>
        </w:rPr>
        <w:footnoteReference w:id="19"/>
      </w:r>
      <w:r>
        <w:rPr>
          <w:sz w:val="22"/>
          <w:szCs w:val="22"/>
        </w:rPr>
        <w:t xml:space="preserve">  We further estimate that approximately 10% of these calls will be verified using the reassigned numbers database, equating to approximately 3,066,266,840 queries per year.  </w:t>
      </w:r>
    </w:p>
    <w:p w:rsidR="00975D09" w:rsidP="00975D09" w:rsidRDefault="00975D09" w14:paraId="60961A69" w14:textId="77777777">
      <w:pPr>
        <w:rPr>
          <w:sz w:val="22"/>
          <w:szCs w:val="22"/>
        </w:rPr>
      </w:pPr>
    </w:p>
    <w:p w:rsidR="00975D09" w:rsidP="00975D09" w:rsidRDefault="00975D09" w14:paraId="7980080E" w14:textId="77777777">
      <w:pPr>
        <w:rPr>
          <w:sz w:val="22"/>
          <w:szCs w:val="22"/>
        </w:rPr>
      </w:pPr>
      <w:r>
        <w:rPr>
          <w:sz w:val="22"/>
          <w:szCs w:val="22"/>
        </w:rPr>
        <w:t>The specific technical requirements for the database have not been finalized, but w</w:t>
      </w:r>
      <w:r w:rsidRPr="002A7A20">
        <w:rPr>
          <w:sz w:val="22"/>
          <w:szCs w:val="22"/>
        </w:rPr>
        <w:t xml:space="preserve">e </w:t>
      </w:r>
      <w:r>
        <w:rPr>
          <w:sz w:val="22"/>
          <w:szCs w:val="22"/>
        </w:rPr>
        <w:t xml:space="preserve">anticipate 99.5% of queries will be batch processed and will not require manual entry through the web interface.  As we indicated in the </w:t>
      </w:r>
      <w:r>
        <w:rPr>
          <w:i/>
          <w:sz w:val="22"/>
          <w:szCs w:val="22"/>
        </w:rPr>
        <w:t xml:space="preserve">Second Report and </w:t>
      </w:r>
      <w:r w:rsidRPr="008D678A">
        <w:rPr>
          <w:i/>
          <w:sz w:val="22"/>
          <w:szCs w:val="22"/>
        </w:rPr>
        <w:t>Order</w:t>
      </w:r>
      <w:r>
        <w:rPr>
          <w:sz w:val="22"/>
          <w:szCs w:val="22"/>
        </w:rPr>
        <w:t>,</w:t>
      </w:r>
      <w:r>
        <w:rPr>
          <w:rStyle w:val="FootnoteReference"/>
          <w:sz w:val="22"/>
          <w:szCs w:val="22"/>
        </w:rPr>
        <w:footnoteReference w:id="20"/>
      </w:r>
      <w:r>
        <w:rPr>
          <w:sz w:val="22"/>
          <w:szCs w:val="22"/>
        </w:rPr>
        <w:t xml:space="preserve"> we estimate that</w:t>
      </w:r>
      <w:r w:rsidRPr="008D678A">
        <w:rPr>
          <w:sz w:val="22"/>
          <w:szCs w:val="22"/>
        </w:rPr>
        <w:t xml:space="preserve"> companies larger than 100 employees will invest </w:t>
      </w:r>
      <w:r>
        <w:rPr>
          <w:sz w:val="22"/>
          <w:szCs w:val="22"/>
        </w:rPr>
        <w:t xml:space="preserve">in </w:t>
      </w:r>
      <w:r w:rsidRPr="008D678A">
        <w:rPr>
          <w:sz w:val="22"/>
          <w:szCs w:val="22"/>
        </w:rPr>
        <w:t xml:space="preserve">the information technology resources to integrate with the reassigned numbers database. </w:t>
      </w:r>
      <w:r>
        <w:rPr>
          <w:sz w:val="22"/>
          <w:szCs w:val="22"/>
        </w:rPr>
        <w:t xml:space="preserve"> </w:t>
      </w:r>
      <w:r w:rsidRPr="008D678A">
        <w:rPr>
          <w:sz w:val="22"/>
          <w:szCs w:val="22"/>
        </w:rPr>
        <w:t xml:space="preserve">Presuming every telemarketing bureau (North American Industry Classification System (NAICS) Code 561422, 611 companies) and collection agency (NAICS Code 56144, 255 companies) implements these checks, </w:t>
      </w:r>
      <w:r>
        <w:rPr>
          <w:sz w:val="22"/>
          <w:szCs w:val="22"/>
        </w:rPr>
        <w:t xml:space="preserve">we estimate 866 companies will conduct batch queries on a monthly basis.  We further estimate that it will take each of these 866 companies, on average, 30 minutes per monthly query to facilitate the batch query process. </w:t>
      </w:r>
    </w:p>
    <w:p w:rsidR="00975D09" w:rsidP="00975D09" w:rsidRDefault="00975D09" w14:paraId="3FC20017" w14:textId="77777777">
      <w:pPr>
        <w:rPr>
          <w:sz w:val="22"/>
          <w:szCs w:val="22"/>
        </w:rPr>
      </w:pPr>
    </w:p>
    <w:p w:rsidR="00975D09" w:rsidP="00975D09" w:rsidRDefault="00975D09" w14:paraId="108A47B4" w14:textId="77777777">
      <w:pPr>
        <w:rPr>
          <w:sz w:val="22"/>
          <w:szCs w:val="22"/>
        </w:rPr>
      </w:pPr>
      <w:r w:rsidRPr="005B079A">
        <w:rPr>
          <w:b/>
          <w:sz w:val="22"/>
          <w:szCs w:val="22"/>
        </w:rPr>
        <w:t>Annual Number of Responses:</w:t>
      </w:r>
      <w:r>
        <w:rPr>
          <w:sz w:val="22"/>
          <w:szCs w:val="22"/>
        </w:rPr>
        <w:t xml:space="preserve"> 866 companies x 1 batch query x 12 months = </w:t>
      </w:r>
      <w:r w:rsidRPr="005B079A">
        <w:rPr>
          <w:b/>
          <w:sz w:val="22"/>
          <w:szCs w:val="22"/>
        </w:rPr>
        <w:t>10,392</w:t>
      </w:r>
      <w:r>
        <w:rPr>
          <w:b/>
          <w:sz w:val="22"/>
          <w:szCs w:val="22"/>
        </w:rPr>
        <w:t xml:space="preserve"> responses</w:t>
      </w:r>
    </w:p>
    <w:p w:rsidR="00975D09" w:rsidP="00975D09" w:rsidRDefault="00975D09" w14:paraId="23ED7399" w14:textId="77777777">
      <w:pPr>
        <w:rPr>
          <w:sz w:val="22"/>
          <w:szCs w:val="22"/>
        </w:rPr>
      </w:pPr>
    </w:p>
    <w:p w:rsidR="00975D09" w:rsidP="00975D09" w:rsidRDefault="00975D09" w14:paraId="677878B1" w14:textId="77777777">
      <w:pPr>
        <w:rPr>
          <w:b/>
          <w:sz w:val="22"/>
          <w:szCs w:val="22"/>
        </w:rPr>
      </w:pPr>
      <w:r w:rsidRPr="00154DE0">
        <w:rPr>
          <w:b/>
          <w:sz w:val="22"/>
          <w:szCs w:val="22"/>
        </w:rPr>
        <w:lastRenderedPageBreak/>
        <w:t>Annual Burden Hours</w:t>
      </w:r>
      <w:r>
        <w:rPr>
          <w:b/>
          <w:sz w:val="22"/>
          <w:szCs w:val="22"/>
        </w:rPr>
        <w:t xml:space="preserve"> for Callers Transacting Via System-to-System Interface:  </w:t>
      </w:r>
      <w:r>
        <w:rPr>
          <w:sz w:val="22"/>
          <w:szCs w:val="22"/>
        </w:rPr>
        <w:t xml:space="preserve">866 companies x 12 months </w:t>
      </w:r>
      <w:r w:rsidRPr="00160E38">
        <w:rPr>
          <w:sz w:val="22"/>
          <w:szCs w:val="22"/>
        </w:rPr>
        <w:t>x .</w:t>
      </w:r>
      <w:r>
        <w:rPr>
          <w:sz w:val="22"/>
          <w:szCs w:val="22"/>
        </w:rPr>
        <w:t>50</w:t>
      </w:r>
      <w:r w:rsidRPr="00160E38">
        <w:rPr>
          <w:sz w:val="22"/>
          <w:szCs w:val="22"/>
        </w:rPr>
        <w:t xml:space="preserve"> hours</w:t>
      </w:r>
      <w:r>
        <w:rPr>
          <w:sz w:val="22"/>
          <w:szCs w:val="22"/>
        </w:rPr>
        <w:t xml:space="preserve"> = </w:t>
      </w:r>
      <w:r>
        <w:rPr>
          <w:b/>
          <w:sz w:val="22"/>
          <w:szCs w:val="22"/>
        </w:rPr>
        <w:t>5,196</w:t>
      </w:r>
      <w:r w:rsidRPr="00160E38">
        <w:rPr>
          <w:b/>
          <w:sz w:val="22"/>
          <w:szCs w:val="22"/>
        </w:rPr>
        <w:t xml:space="preserve"> hours</w:t>
      </w:r>
    </w:p>
    <w:p w:rsidR="00975D09" w:rsidP="00975D09" w:rsidRDefault="00975D09" w14:paraId="13BAFC6A" w14:textId="77777777">
      <w:pPr>
        <w:rPr>
          <w:sz w:val="22"/>
          <w:szCs w:val="22"/>
        </w:rPr>
      </w:pPr>
    </w:p>
    <w:p w:rsidR="00975D09" w:rsidP="00975D09" w:rsidRDefault="00975D09" w14:paraId="3C5A0FDD" w14:textId="29F42F9B">
      <w:pPr>
        <w:rPr>
          <w:b/>
          <w:sz w:val="22"/>
          <w:szCs w:val="22"/>
        </w:rPr>
      </w:pPr>
      <w:r w:rsidRPr="00CF6DCD">
        <w:rPr>
          <w:b/>
          <w:sz w:val="22"/>
          <w:szCs w:val="22"/>
        </w:rPr>
        <w:t xml:space="preserve">Annual “In-House” Cost:  </w:t>
      </w:r>
      <w:r w:rsidRPr="002A7A20">
        <w:rPr>
          <w:sz w:val="22"/>
          <w:szCs w:val="22"/>
        </w:rPr>
        <w:t xml:space="preserve">The Commission estimates the compensation of </w:t>
      </w:r>
      <w:r>
        <w:rPr>
          <w:sz w:val="22"/>
          <w:szCs w:val="22"/>
        </w:rPr>
        <w:t>those querying the database</w:t>
      </w:r>
      <w:r w:rsidRPr="002A7A20">
        <w:rPr>
          <w:sz w:val="22"/>
          <w:szCs w:val="22"/>
        </w:rPr>
        <w:t xml:space="preserve"> will be at a level comparable in pay to a GS</w:t>
      </w:r>
      <w:r w:rsidR="00AB55B9">
        <w:rPr>
          <w:sz w:val="22"/>
          <w:szCs w:val="22"/>
        </w:rPr>
        <w:t>-</w:t>
      </w:r>
      <w:r>
        <w:rPr>
          <w:sz w:val="22"/>
          <w:szCs w:val="22"/>
        </w:rPr>
        <w:t>5,</w:t>
      </w:r>
      <w:r w:rsidRPr="002A7A20">
        <w:rPr>
          <w:sz w:val="22"/>
          <w:szCs w:val="22"/>
        </w:rPr>
        <w:t xml:space="preserve"> step 5</w:t>
      </w:r>
      <w:r>
        <w:rPr>
          <w:sz w:val="22"/>
          <w:szCs w:val="22"/>
        </w:rPr>
        <w:t>.  Thus, the Commission estimates respondents’ cost to be about</w:t>
      </w:r>
      <w:r w:rsidRPr="002A7A20">
        <w:rPr>
          <w:sz w:val="22"/>
          <w:szCs w:val="22"/>
        </w:rPr>
        <w:t xml:space="preserve"> $</w:t>
      </w:r>
      <w:r>
        <w:rPr>
          <w:sz w:val="22"/>
          <w:szCs w:val="22"/>
        </w:rPr>
        <w:t>2</w:t>
      </w:r>
      <w:r w:rsidR="00AE243C">
        <w:rPr>
          <w:sz w:val="22"/>
          <w:szCs w:val="22"/>
        </w:rPr>
        <w:t>1.34</w:t>
      </w:r>
      <w:r>
        <w:rPr>
          <w:sz w:val="22"/>
          <w:szCs w:val="22"/>
        </w:rPr>
        <w:t xml:space="preserve"> per </w:t>
      </w:r>
      <w:r w:rsidRPr="002A7A20">
        <w:rPr>
          <w:sz w:val="22"/>
          <w:szCs w:val="22"/>
        </w:rPr>
        <w:t>hour</w:t>
      </w:r>
      <w:r>
        <w:rPr>
          <w:sz w:val="22"/>
          <w:szCs w:val="22"/>
        </w:rPr>
        <w:t xml:space="preserve"> to comply with the requirements</w:t>
      </w:r>
    </w:p>
    <w:p w:rsidRPr="004C3E6B" w:rsidR="00975D09" w:rsidP="00975D09" w:rsidRDefault="00975D09" w14:paraId="661F541F" w14:textId="77777777">
      <w:pPr>
        <w:rPr>
          <w:b/>
          <w:sz w:val="22"/>
        </w:rPr>
      </w:pPr>
    </w:p>
    <w:p w:rsidRPr="004C3E6B" w:rsidR="00975D09" w:rsidP="00975D09" w:rsidRDefault="00975D09" w14:paraId="5AEB0400" w14:textId="54844C9D">
      <w:pPr>
        <w:rPr>
          <w:b/>
          <w:sz w:val="22"/>
        </w:rPr>
      </w:pPr>
      <w:r>
        <w:rPr>
          <w:b/>
          <w:sz w:val="22"/>
          <w:szCs w:val="22"/>
        </w:rPr>
        <w:t xml:space="preserve">System-to-System Interface: </w:t>
      </w:r>
      <w:r>
        <w:rPr>
          <w:sz w:val="22"/>
          <w:szCs w:val="22"/>
        </w:rPr>
        <w:t>5,196 hours x $2</w:t>
      </w:r>
      <w:r w:rsidR="00AE243C">
        <w:rPr>
          <w:sz w:val="22"/>
          <w:szCs w:val="22"/>
        </w:rPr>
        <w:t>1.34</w:t>
      </w:r>
      <w:r>
        <w:rPr>
          <w:sz w:val="22"/>
          <w:szCs w:val="22"/>
        </w:rPr>
        <w:t xml:space="preserve"> per hour = </w:t>
      </w:r>
      <w:r w:rsidRPr="00BB64BD">
        <w:rPr>
          <w:b/>
          <w:sz w:val="22"/>
          <w:szCs w:val="22"/>
        </w:rPr>
        <w:t>$</w:t>
      </w:r>
      <w:r w:rsidR="00AE243C">
        <w:rPr>
          <w:b/>
          <w:sz w:val="22"/>
          <w:szCs w:val="22"/>
        </w:rPr>
        <w:t>1</w:t>
      </w:r>
      <w:r w:rsidRPr="00BB64BD">
        <w:rPr>
          <w:b/>
          <w:sz w:val="22"/>
          <w:szCs w:val="22"/>
        </w:rPr>
        <w:t>10</w:t>
      </w:r>
      <w:r w:rsidR="002C62F5">
        <w:rPr>
          <w:b/>
          <w:sz w:val="22"/>
          <w:szCs w:val="22"/>
        </w:rPr>
        <w:t>,882.64</w:t>
      </w:r>
    </w:p>
    <w:p w:rsidRPr="004C3E6B" w:rsidR="00975D09" w:rsidP="00975D09" w:rsidRDefault="00975D09" w14:paraId="05054C92" w14:textId="77777777">
      <w:pPr>
        <w:rPr>
          <w:b/>
          <w:sz w:val="22"/>
        </w:rPr>
      </w:pPr>
    </w:p>
    <w:p w:rsidRPr="005B079A" w:rsidR="00975D09" w:rsidP="00975D09" w:rsidRDefault="00975D09" w14:paraId="183B655B" w14:textId="78BDE411">
      <w:pPr>
        <w:rPr>
          <w:sz w:val="22"/>
          <w:szCs w:val="22"/>
        </w:rPr>
      </w:pPr>
      <w:r w:rsidRPr="005B079A">
        <w:rPr>
          <w:b/>
          <w:sz w:val="22"/>
          <w:szCs w:val="22"/>
        </w:rPr>
        <w:t xml:space="preserve">Annual Burden Hours:  </w:t>
      </w:r>
      <w:r w:rsidRPr="005B079A">
        <w:rPr>
          <w:sz w:val="22"/>
          <w:szCs w:val="22"/>
        </w:rPr>
        <w:t xml:space="preserve">In addition, the Commission assumes that 866 companies will require 8 hours for one day </w:t>
      </w:r>
      <w:r w:rsidR="00AB55B9">
        <w:rPr>
          <w:sz w:val="22"/>
          <w:szCs w:val="22"/>
        </w:rPr>
        <w:t xml:space="preserve">of </w:t>
      </w:r>
      <w:r w:rsidRPr="005B079A">
        <w:rPr>
          <w:sz w:val="22"/>
          <w:szCs w:val="22"/>
        </w:rPr>
        <w:t>development and 24 hours for three days of testing (32 hours).  This is a one-time requirement for respondents that will be met within the first year.</w:t>
      </w:r>
    </w:p>
    <w:p w:rsidRPr="005B079A" w:rsidR="00975D09" w:rsidP="00975D09" w:rsidRDefault="00975D09" w14:paraId="39AC0EF4" w14:textId="77777777">
      <w:pPr>
        <w:rPr>
          <w:sz w:val="22"/>
          <w:szCs w:val="22"/>
        </w:rPr>
      </w:pPr>
    </w:p>
    <w:p w:rsidRPr="005B079A" w:rsidR="00975D09" w:rsidP="00975D09" w:rsidRDefault="00975D09" w14:paraId="18C677A4" w14:textId="77777777">
      <w:pPr>
        <w:rPr>
          <w:sz w:val="22"/>
          <w:szCs w:val="22"/>
        </w:rPr>
      </w:pPr>
      <w:r w:rsidRPr="005B079A">
        <w:rPr>
          <w:sz w:val="22"/>
          <w:szCs w:val="22"/>
        </w:rPr>
        <w:t xml:space="preserve">866 x 32 hours = </w:t>
      </w:r>
      <w:r w:rsidRPr="005B079A">
        <w:rPr>
          <w:b/>
          <w:sz w:val="22"/>
          <w:szCs w:val="22"/>
        </w:rPr>
        <w:t>27,712 hours</w:t>
      </w:r>
    </w:p>
    <w:p w:rsidRPr="005B079A" w:rsidR="00975D09" w:rsidP="00975D09" w:rsidRDefault="00975D09" w14:paraId="10E88F9E" w14:textId="77777777">
      <w:pPr>
        <w:rPr>
          <w:sz w:val="22"/>
          <w:szCs w:val="22"/>
        </w:rPr>
      </w:pPr>
    </w:p>
    <w:p w:rsidRPr="005B079A" w:rsidR="00975D09" w:rsidP="00975D09" w:rsidRDefault="00975D09" w14:paraId="7ED16A92" w14:textId="57C768A3">
      <w:pPr>
        <w:rPr>
          <w:sz w:val="22"/>
          <w:szCs w:val="22"/>
        </w:rPr>
      </w:pPr>
      <w:r w:rsidRPr="005B079A">
        <w:rPr>
          <w:b/>
          <w:sz w:val="22"/>
          <w:szCs w:val="22"/>
        </w:rPr>
        <w:t xml:space="preserve">Annual “In-House” Cost:  </w:t>
      </w:r>
      <w:r w:rsidRPr="005B079A">
        <w:rPr>
          <w:sz w:val="22"/>
          <w:szCs w:val="22"/>
        </w:rPr>
        <w:t xml:space="preserve">The Commission assumes that 866 companies will use “in-house” personnel whose pay is comparable to a federal employee average of a GS-14, </w:t>
      </w:r>
      <w:r w:rsidR="00AB55B9">
        <w:rPr>
          <w:sz w:val="22"/>
          <w:szCs w:val="22"/>
        </w:rPr>
        <w:t>s</w:t>
      </w:r>
      <w:r w:rsidRPr="005B079A">
        <w:rPr>
          <w:sz w:val="22"/>
          <w:szCs w:val="22"/>
        </w:rPr>
        <w:t>tep 5.  Thus, the Commission estimates respondents’ cost to be about $6</w:t>
      </w:r>
      <w:r w:rsidR="00D4642E">
        <w:rPr>
          <w:sz w:val="22"/>
          <w:szCs w:val="22"/>
        </w:rPr>
        <w:t>5.88</w:t>
      </w:r>
      <w:r w:rsidRPr="005B079A">
        <w:rPr>
          <w:sz w:val="22"/>
          <w:szCs w:val="22"/>
        </w:rPr>
        <w:t xml:space="preserve"> per hour to comply with the requirement: </w:t>
      </w:r>
    </w:p>
    <w:p w:rsidRPr="005B079A" w:rsidR="00975D09" w:rsidP="00975D09" w:rsidRDefault="00975D09" w14:paraId="42F263EA" w14:textId="77777777">
      <w:pPr>
        <w:rPr>
          <w:sz w:val="22"/>
          <w:szCs w:val="22"/>
        </w:rPr>
      </w:pPr>
    </w:p>
    <w:p w:rsidR="00975D09" w:rsidP="00975D09" w:rsidRDefault="00975D09" w14:paraId="67EFF207" w14:textId="553BC234">
      <w:pPr>
        <w:rPr>
          <w:sz w:val="22"/>
          <w:szCs w:val="22"/>
        </w:rPr>
      </w:pPr>
      <w:r w:rsidRPr="005B079A">
        <w:rPr>
          <w:sz w:val="22"/>
          <w:szCs w:val="22"/>
        </w:rPr>
        <w:t>27,712 hours x $6</w:t>
      </w:r>
      <w:r w:rsidR="00D4642E">
        <w:rPr>
          <w:sz w:val="22"/>
          <w:szCs w:val="22"/>
        </w:rPr>
        <w:t>5.88</w:t>
      </w:r>
      <w:r w:rsidRPr="005B079A">
        <w:rPr>
          <w:sz w:val="22"/>
          <w:szCs w:val="22"/>
        </w:rPr>
        <w:t xml:space="preserve"> = </w:t>
      </w:r>
      <w:r w:rsidRPr="005B079A">
        <w:rPr>
          <w:b/>
          <w:sz w:val="22"/>
          <w:szCs w:val="22"/>
        </w:rPr>
        <w:t>$</w:t>
      </w:r>
      <w:r w:rsidR="00D4642E">
        <w:rPr>
          <w:b/>
          <w:sz w:val="22"/>
          <w:szCs w:val="22"/>
        </w:rPr>
        <w:t>1,82</w:t>
      </w:r>
      <w:r w:rsidR="008C68AD">
        <w:rPr>
          <w:b/>
          <w:sz w:val="22"/>
          <w:szCs w:val="22"/>
        </w:rPr>
        <w:t>5,666.56</w:t>
      </w:r>
    </w:p>
    <w:p w:rsidR="00975D09" w:rsidP="00975D09" w:rsidRDefault="00975D09" w14:paraId="7B24F791" w14:textId="77777777">
      <w:pPr>
        <w:rPr>
          <w:sz w:val="22"/>
          <w:szCs w:val="22"/>
        </w:rPr>
      </w:pPr>
    </w:p>
    <w:p w:rsidR="00975D09" w:rsidP="00975D09" w:rsidRDefault="00975D09" w14:paraId="543A6DA3" w14:textId="77777777">
      <w:pPr>
        <w:rPr>
          <w:sz w:val="22"/>
          <w:szCs w:val="22"/>
        </w:rPr>
      </w:pPr>
      <w:r>
        <w:rPr>
          <w:sz w:val="22"/>
          <w:szCs w:val="22"/>
        </w:rPr>
        <w:t xml:space="preserve">For the remaining .5% of annual queries (15,331,334), we </w:t>
      </w:r>
      <w:r w:rsidRPr="002A7A20">
        <w:rPr>
          <w:sz w:val="22"/>
          <w:szCs w:val="22"/>
        </w:rPr>
        <w:t>estimate it will take no more than</w:t>
      </w:r>
      <w:r>
        <w:rPr>
          <w:sz w:val="22"/>
          <w:szCs w:val="22"/>
        </w:rPr>
        <w:t xml:space="preserve"> 15 seconds per query for a caller to provide the telephone number and date that the calling party received consent from the intended recipient.</w:t>
      </w:r>
    </w:p>
    <w:p w:rsidRPr="004C3E6B" w:rsidR="00975D09" w:rsidP="00975D09" w:rsidRDefault="00975D09" w14:paraId="608CD8B6" w14:textId="77777777">
      <w:pPr>
        <w:rPr>
          <w:sz w:val="22"/>
        </w:rPr>
      </w:pPr>
    </w:p>
    <w:p w:rsidRPr="005B079A" w:rsidR="00975D09" w:rsidP="00975D09" w:rsidRDefault="00975D09" w14:paraId="1662976F" w14:textId="77777777">
      <w:pPr>
        <w:rPr>
          <w:b/>
          <w:sz w:val="22"/>
          <w:szCs w:val="22"/>
        </w:rPr>
      </w:pPr>
      <w:r w:rsidRPr="005B079A">
        <w:rPr>
          <w:b/>
          <w:sz w:val="22"/>
          <w:szCs w:val="22"/>
        </w:rPr>
        <w:t>Annual Number of Responses:  15,331,334</w:t>
      </w:r>
    </w:p>
    <w:p w:rsidR="00975D09" w:rsidP="00975D09" w:rsidRDefault="00975D09" w14:paraId="5F584494" w14:textId="77777777">
      <w:pPr>
        <w:rPr>
          <w:b/>
          <w:sz w:val="22"/>
          <w:szCs w:val="22"/>
        </w:rPr>
      </w:pPr>
    </w:p>
    <w:p w:rsidRPr="00154DE0" w:rsidR="00975D09" w:rsidP="00975D09" w:rsidRDefault="00975D09" w14:paraId="584BD800" w14:textId="19F4D072">
      <w:pPr>
        <w:rPr>
          <w:b/>
          <w:sz w:val="22"/>
          <w:szCs w:val="22"/>
        </w:rPr>
      </w:pPr>
      <w:r w:rsidRPr="00154DE0">
        <w:rPr>
          <w:b/>
          <w:sz w:val="22"/>
          <w:szCs w:val="22"/>
        </w:rPr>
        <w:t>Annual Burden Hours</w:t>
      </w:r>
      <w:r>
        <w:rPr>
          <w:b/>
          <w:sz w:val="22"/>
          <w:szCs w:val="22"/>
        </w:rPr>
        <w:t xml:space="preserve"> for Callers Transacting Via Web Interface</w:t>
      </w:r>
      <w:r w:rsidRPr="00154DE0">
        <w:rPr>
          <w:b/>
          <w:sz w:val="22"/>
          <w:szCs w:val="22"/>
        </w:rPr>
        <w:t>:</w:t>
      </w:r>
      <w:r>
        <w:rPr>
          <w:sz w:val="22"/>
          <w:szCs w:val="22"/>
        </w:rPr>
        <w:t xml:space="preserve"> </w:t>
      </w:r>
      <w:r w:rsidRPr="00154DE0">
        <w:rPr>
          <w:sz w:val="22"/>
          <w:szCs w:val="22"/>
        </w:rPr>
        <w:t xml:space="preserve"> </w:t>
      </w:r>
      <w:r>
        <w:rPr>
          <w:sz w:val="22"/>
          <w:szCs w:val="22"/>
        </w:rPr>
        <w:t xml:space="preserve">(3,066,266,840 x .5%) x .004 hours = </w:t>
      </w:r>
      <w:r>
        <w:rPr>
          <w:b/>
          <w:sz w:val="22"/>
          <w:szCs w:val="22"/>
        </w:rPr>
        <w:t>61,325</w:t>
      </w:r>
      <w:r w:rsidRPr="00154DE0">
        <w:rPr>
          <w:b/>
          <w:sz w:val="22"/>
          <w:szCs w:val="22"/>
        </w:rPr>
        <w:t xml:space="preserve"> hours</w:t>
      </w:r>
    </w:p>
    <w:p w:rsidRPr="00154DE0" w:rsidR="00975D09" w:rsidP="00975D09" w:rsidRDefault="00975D09" w14:paraId="70AA69F7" w14:textId="77777777">
      <w:pPr>
        <w:rPr>
          <w:sz w:val="22"/>
          <w:szCs w:val="22"/>
        </w:rPr>
      </w:pPr>
      <w:r w:rsidRPr="002A7A20">
        <w:rPr>
          <w:sz w:val="22"/>
          <w:szCs w:val="22"/>
        </w:rPr>
        <w:t xml:space="preserve">  </w:t>
      </w:r>
    </w:p>
    <w:p w:rsidRPr="002A7A20" w:rsidR="00975D09" w:rsidP="00975D09" w:rsidRDefault="00975D09" w14:paraId="54B00D22" w14:textId="5386073C">
      <w:pPr>
        <w:rPr>
          <w:sz w:val="22"/>
          <w:szCs w:val="22"/>
        </w:rPr>
      </w:pPr>
      <w:r w:rsidRPr="00154DE0">
        <w:rPr>
          <w:b/>
          <w:sz w:val="22"/>
          <w:szCs w:val="22"/>
        </w:rPr>
        <w:t>Annual “In-House” Cost</w:t>
      </w:r>
      <w:r>
        <w:rPr>
          <w:b/>
          <w:sz w:val="22"/>
          <w:szCs w:val="22"/>
        </w:rPr>
        <w:t xml:space="preserve"> for Callers</w:t>
      </w:r>
      <w:r w:rsidRPr="00154DE0">
        <w:rPr>
          <w:b/>
          <w:sz w:val="22"/>
          <w:szCs w:val="22"/>
        </w:rPr>
        <w:t>:</w:t>
      </w:r>
      <w:r w:rsidRPr="00154DE0">
        <w:rPr>
          <w:sz w:val="22"/>
          <w:szCs w:val="22"/>
        </w:rPr>
        <w:t xml:space="preserve">  </w:t>
      </w:r>
      <w:r w:rsidRPr="002A7A20">
        <w:rPr>
          <w:sz w:val="22"/>
          <w:szCs w:val="22"/>
        </w:rPr>
        <w:t xml:space="preserve">The Commission estimates the compensation of </w:t>
      </w:r>
      <w:r>
        <w:rPr>
          <w:sz w:val="22"/>
          <w:szCs w:val="22"/>
        </w:rPr>
        <w:t>those querying the database</w:t>
      </w:r>
      <w:r w:rsidRPr="002A7A20">
        <w:rPr>
          <w:sz w:val="22"/>
          <w:szCs w:val="22"/>
        </w:rPr>
        <w:t xml:space="preserve"> will be at a level comparable in pay to a </w:t>
      </w:r>
      <w:r w:rsidRPr="002A7A20" w:rsidR="00AB55B9">
        <w:rPr>
          <w:sz w:val="22"/>
          <w:szCs w:val="22"/>
        </w:rPr>
        <w:t>GS</w:t>
      </w:r>
      <w:r w:rsidR="00AB55B9">
        <w:rPr>
          <w:sz w:val="22"/>
          <w:szCs w:val="22"/>
        </w:rPr>
        <w:t>-</w:t>
      </w:r>
      <w:r>
        <w:rPr>
          <w:sz w:val="22"/>
          <w:szCs w:val="22"/>
        </w:rPr>
        <w:t>5,</w:t>
      </w:r>
      <w:r w:rsidRPr="002A7A20">
        <w:rPr>
          <w:sz w:val="22"/>
          <w:szCs w:val="22"/>
        </w:rPr>
        <w:t xml:space="preserve"> step 5</w:t>
      </w:r>
      <w:r>
        <w:rPr>
          <w:sz w:val="22"/>
          <w:szCs w:val="22"/>
        </w:rPr>
        <w:t>.  Thus, the Commission estimates respondents’ cost to be about</w:t>
      </w:r>
      <w:r w:rsidRPr="002A7A20">
        <w:rPr>
          <w:sz w:val="22"/>
          <w:szCs w:val="22"/>
        </w:rPr>
        <w:t xml:space="preserve"> $</w:t>
      </w:r>
      <w:r>
        <w:rPr>
          <w:sz w:val="22"/>
          <w:szCs w:val="22"/>
        </w:rPr>
        <w:t>2</w:t>
      </w:r>
      <w:r w:rsidR="008C68AD">
        <w:rPr>
          <w:sz w:val="22"/>
          <w:szCs w:val="22"/>
        </w:rPr>
        <w:t>1.34</w:t>
      </w:r>
      <w:r>
        <w:rPr>
          <w:sz w:val="22"/>
          <w:szCs w:val="22"/>
        </w:rPr>
        <w:t xml:space="preserve"> per </w:t>
      </w:r>
      <w:r w:rsidRPr="002A7A20">
        <w:rPr>
          <w:sz w:val="22"/>
          <w:szCs w:val="22"/>
        </w:rPr>
        <w:t>hour</w:t>
      </w:r>
      <w:r>
        <w:rPr>
          <w:sz w:val="22"/>
          <w:szCs w:val="22"/>
        </w:rPr>
        <w:t xml:space="preserve"> to comply with the requirements</w:t>
      </w:r>
      <w:r w:rsidR="00AB55B9">
        <w:rPr>
          <w:sz w:val="22"/>
          <w:szCs w:val="22"/>
        </w:rPr>
        <w:t>.</w:t>
      </w:r>
      <w:r w:rsidRPr="002A7A20">
        <w:rPr>
          <w:sz w:val="22"/>
          <w:szCs w:val="22"/>
        </w:rPr>
        <w:t xml:space="preserve">  </w:t>
      </w:r>
    </w:p>
    <w:p w:rsidR="00975D09" w:rsidP="00975D09" w:rsidRDefault="00975D09" w14:paraId="00F4BA7B" w14:textId="77777777">
      <w:pPr>
        <w:rPr>
          <w:sz w:val="22"/>
          <w:szCs w:val="22"/>
        </w:rPr>
      </w:pPr>
    </w:p>
    <w:p w:rsidR="00975D09" w:rsidP="00975D09" w:rsidRDefault="00975D09" w14:paraId="47A2AE17" w14:textId="72CEDD14">
      <w:pPr>
        <w:rPr>
          <w:sz w:val="22"/>
          <w:szCs w:val="22"/>
        </w:rPr>
      </w:pPr>
      <w:r>
        <w:rPr>
          <w:b/>
          <w:sz w:val="22"/>
          <w:szCs w:val="22"/>
        </w:rPr>
        <w:t xml:space="preserve">Web </w:t>
      </w:r>
      <w:r w:rsidRPr="00AA3FD5">
        <w:rPr>
          <w:b/>
          <w:sz w:val="22"/>
          <w:szCs w:val="22"/>
        </w:rPr>
        <w:t>Interface</w:t>
      </w:r>
      <w:r>
        <w:rPr>
          <w:b/>
          <w:sz w:val="22"/>
          <w:szCs w:val="22"/>
        </w:rPr>
        <w:t xml:space="preserve">: </w:t>
      </w:r>
      <w:r w:rsidRPr="00AA3FD5">
        <w:rPr>
          <w:sz w:val="22"/>
          <w:szCs w:val="22"/>
        </w:rPr>
        <w:t>61</w:t>
      </w:r>
      <w:r>
        <w:rPr>
          <w:sz w:val="22"/>
          <w:szCs w:val="22"/>
        </w:rPr>
        <w:t xml:space="preserve">,325 hours x </w:t>
      </w:r>
      <w:r w:rsidRPr="00154DE0">
        <w:rPr>
          <w:sz w:val="22"/>
          <w:szCs w:val="22"/>
        </w:rPr>
        <w:t>$</w:t>
      </w:r>
      <w:r>
        <w:rPr>
          <w:sz w:val="22"/>
          <w:szCs w:val="22"/>
        </w:rPr>
        <w:t>2</w:t>
      </w:r>
      <w:r w:rsidR="008C68AD">
        <w:rPr>
          <w:sz w:val="22"/>
          <w:szCs w:val="22"/>
        </w:rPr>
        <w:t>1.34</w:t>
      </w:r>
      <w:r w:rsidRPr="00154DE0">
        <w:rPr>
          <w:sz w:val="22"/>
          <w:szCs w:val="22"/>
        </w:rPr>
        <w:t xml:space="preserve"> per hour = </w:t>
      </w:r>
      <w:r w:rsidRPr="00154DE0">
        <w:rPr>
          <w:b/>
          <w:sz w:val="22"/>
          <w:szCs w:val="22"/>
        </w:rPr>
        <w:t>$</w:t>
      </w:r>
      <w:r>
        <w:rPr>
          <w:b/>
          <w:sz w:val="22"/>
          <w:szCs w:val="22"/>
        </w:rPr>
        <w:t>1,</w:t>
      </w:r>
      <w:r w:rsidR="008C68AD">
        <w:rPr>
          <w:b/>
          <w:sz w:val="22"/>
          <w:szCs w:val="22"/>
        </w:rPr>
        <w:t>308</w:t>
      </w:r>
      <w:r w:rsidR="00141A6A">
        <w:rPr>
          <w:b/>
          <w:sz w:val="22"/>
          <w:szCs w:val="22"/>
        </w:rPr>
        <w:t>,675.50</w:t>
      </w:r>
      <w:r>
        <w:rPr>
          <w:b/>
          <w:sz w:val="22"/>
          <w:szCs w:val="22"/>
        </w:rPr>
        <w:t xml:space="preserve"> </w:t>
      </w:r>
      <w:r w:rsidRPr="00BB64BD">
        <w:rPr>
          <w:sz w:val="22"/>
          <w:szCs w:val="22"/>
        </w:rPr>
        <w:t>for callers transacting via the web interface</w:t>
      </w:r>
    </w:p>
    <w:p w:rsidR="00975D09" w:rsidP="00975D09" w:rsidRDefault="00975D09" w14:paraId="46FD850B" w14:textId="1877592E">
      <w:pPr>
        <w:rPr>
          <w:sz w:val="22"/>
          <w:szCs w:val="22"/>
        </w:rPr>
      </w:pPr>
    </w:p>
    <w:p w:rsidRPr="00734510" w:rsidR="00975D09" w:rsidP="00975D09" w:rsidRDefault="00975D09" w14:paraId="06E5D064" w14:textId="77777777">
      <w:pPr>
        <w:rPr>
          <w:b/>
          <w:sz w:val="22"/>
          <w:szCs w:val="22"/>
        </w:rPr>
      </w:pPr>
      <w:r w:rsidRPr="00734510">
        <w:rPr>
          <w:b/>
          <w:sz w:val="22"/>
          <w:szCs w:val="22"/>
        </w:rPr>
        <w:t>Cumulative Totals for Information Collection Requirements:</w:t>
      </w:r>
    </w:p>
    <w:p w:rsidRPr="00734510" w:rsidR="00975D09" w:rsidP="00975D09" w:rsidRDefault="00975D09" w14:paraId="39783431" w14:textId="77777777">
      <w:pPr>
        <w:rPr>
          <w:b/>
          <w:sz w:val="22"/>
          <w:szCs w:val="22"/>
        </w:rPr>
      </w:pPr>
    </w:p>
    <w:p w:rsidRPr="00E338A8" w:rsidR="00975D09" w:rsidP="00975D09" w:rsidRDefault="00975D09" w14:paraId="5377078D" w14:textId="7620C7F0">
      <w:pPr>
        <w:rPr>
          <w:b/>
          <w:sz w:val="22"/>
          <w:szCs w:val="22"/>
        </w:rPr>
      </w:pPr>
      <w:r w:rsidRPr="00734510">
        <w:rPr>
          <w:b/>
          <w:sz w:val="22"/>
          <w:szCs w:val="22"/>
        </w:rPr>
        <w:t>Total Annual Number of Respondents:  3,666</w:t>
      </w:r>
      <w:r w:rsidR="00C20615">
        <w:rPr>
          <w:rStyle w:val="FootnoteReference"/>
          <w:b/>
          <w:sz w:val="22"/>
          <w:szCs w:val="22"/>
        </w:rPr>
        <w:footnoteReference w:id="21"/>
      </w:r>
    </w:p>
    <w:p w:rsidRPr="00E338A8" w:rsidR="00975D09" w:rsidP="00975D09" w:rsidRDefault="00975D09" w14:paraId="18699E91" w14:textId="77777777">
      <w:pPr>
        <w:rPr>
          <w:b/>
          <w:sz w:val="22"/>
          <w:szCs w:val="22"/>
        </w:rPr>
      </w:pPr>
    </w:p>
    <w:p w:rsidRPr="006144A5" w:rsidR="00975D09" w:rsidP="00975D09" w:rsidRDefault="00975D09" w14:paraId="26F4DB32" w14:textId="77777777">
      <w:pPr>
        <w:rPr>
          <w:b/>
          <w:sz w:val="22"/>
          <w:szCs w:val="22"/>
        </w:rPr>
      </w:pPr>
      <w:r w:rsidRPr="00E338A8">
        <w:rPr>
          <w:b/>
          <w:sz w:val="22"/>
          <w:szCs w:val="22"/>
        </w:rPr>
        <w:t xml:space="preserve">Total Annual Number of Responses: </w:t>
      </w:r>
      <w:r>
        <w:rPr>
          <w:b/>
          <w:sz w:val="22"/>
          <w:szCs w:val="22"/>
        </w:rPr>
        <w:t xml:space="preserve"> 15,375,326</w:t>
      </w:r>
    </w:p>
    <w:p w:rsidR="00975D09" w:rsidP="00975D09" w:rsidRDefault="00975D09" w14:paraId="1A89E1B0" w14:textId="77777777">
      <w:pPr>
        <w:rPr>
          <w:b/>
          <w:sz w:val="22"/>
          <w:szCs w:val="22"/>
        </w:rPr>
      </w:pPr>
    </w:p>
    <w:p w:rsidRPr="006144A5" w:rsidR="00975D09" w:rsidP="00975D09" w:rsidRDefault="00975D09" w14:paraId="36A3CC38" w14:textId="1DDBBF03">
      <w:pPr>
        <w:rPr>
          <w:b/>
          <w:sz w:val="22"/>
          <w:szCs w:val="22"/>
        </w:rPr>
      </w:pPr>
      <w:r w:rsidRPr="006144A5">
        <w:rPr>
          <w:b/>
          <w:sz w:val="22"/>
          <w:szCs w:val="22"/>
        </w:rPr>
        <w:t>Total Annual</w:t>
      </w:r>
      <w:r w:rsidRPr="004C3E6B">
        <w:rPr>
          <w:b/>
          <w:sz w:val="22"/>
        </w:rPr>
        <w:t xml:space="preserve"> Burden </w:t>
      </w:r>
      <w:r w:rsidRPr="006144A5">
        <w:rPr>
          <w:b/>
          <w:sz w:val="22"/>
          <w:szCs w:val="22"/>
        </w:rPr>
        <w:t>Hours:  2</w:t>
      </w:r>
      <w:r>
        <w:rPr>
          <w:b/>
          <w:sz w:val="22"/>
          <w:szCs w:val="22"/>
        </w:rPr>
        <w:t>90,233</w:t>
      </w:r>
    </w:p>
    <w:p w:rsidRPr="006144A5" w:rsidR="00975D09" w:rsidP="00975D09" w:rsidRDefault="00975D09" w14:paraId="44DE4B6C" w14:textId="77777777">
      <w:pPr>
        <w:rPr>
          <w:b/>
          <w:sz w:val="22"/>
          <w:szCs w:val="22"/>
        </w:rPr>
      </w:pPr>
    </w:p>
    <w:p w:rsidRPr="004C3E6B" w:rsidR="00975D09" w:rsidP="00975D09" w:rsidRDefault="00975D09" w14:paraId="1F00483A" w14:textId="63BFC586">
      <w:pPr>
        <w:rPr>
          <w:sz w:val="22"/>
        </w:rPr>
      </w:pPr>
      <w:r w:rsidRPr="006144A5">
        <w:rPr>
          <w:b/>
          <w:sz w:val="22"/>
          <w:szCs w:val="22"/>
        </w:rPr>
        <w:t>Total Annual “</w:t>
      </w:r>
      <w:r w:rsidRPr="004C3E6B">
        <w:rPr>
          <w:b/>
          <w:sz w:val="22"/>
        </w:rPr>
        <w:t>In-House</w:t>
      </w:r>
      <w:r w:rsidRPr="006144A5">
        <w:rPr>
          <w:b/>
          <w:sz w:val="22"/>
          <w:szCs w:val="22"/>
        </w:rPr>
        <w:t>” Costs:  $</w:t>
      </w:r>
      <w:r>
        <w:rPr>
          <w:b/>
          <w:sz w:val="22"/>
          <w:szCs w:val="22"/>
        </w:rPr>
        <w:t>9,</w:t>
      </w:r>
      <w:r w:rsidR="003D3C0E">
        <w:rPr>
          <w:b/>
          <w:sz w:val="22"/>
          <w:szCs w:val="22"/>
        </w:rPr>
        <w:t>922,104.70</w:t>
      </w:r>
    </w:p>
    <w:p w:rsidR="00975D09" w:rsidP="00975D09" w:rsidRDefault="00975D09" w14:paraId="68DF9250" w14:textId="24825313">
      <w:pPr>
        <w:rPr>
          <w:sz w:val="22"/>
          <w:szCs w:val="22"/>
        </w:rPr>
      </w:pPr>
    </w:p>
    <w:p w:rsidR="00975D09" w:rsidP="00975D09" w:rsidRDefault="00975D09" w14:paraId="63FCFE92" w14:textId="2551B7CA">
      <w:pPr>
        <w:rPr>
          <w:sz w:val="22"/>
          <w:szCs w:val="22"/>
        </w:rPr>
      </w:pPr>
      <w:r w:rsidRPr="00BE0143">
        <w:rPr>
          <w:sz w:val="22"/>
          <w:szCs w:val="22"/>
        </w:rPr>
        <w:t xml:space="preserve">13.  </w:t>
      </w:r>
      <w:r>
        <w:rPr>
          <w:sz w:val="22"/>
          <w:szCs w:val="22"/>
        </w:rPr>
        <w:t>There are no outside costs associated with this information collection as all of the work can be done “in-house” and those costs are accounted for in question 12.</w:t>
      </w:r>
    </w:p>
    <w:p w:rsidR="00975D09" w:rsidP="00975D09" w:rsidRDefault="00975D09" w14:paraId="7BBF1C60" w14:textId="77777777">
      <w:pPr>
        <w:rPr>
          <w:sz w:val="22"/>
          <w:szCs w:val="22"/>
        </w:rPr>
      </w:pPr>
    </w:p>
    <w:p w:rsidR="00975D09" w:rsidP="004C3E6B" w:rsidRDefault="00975D09" w14:paraId="6DB079F2" w14:textId="77777777">
      <w:pPr>
        <w:rPr>
          <w:sz w:val="22"/>
          <w:szCs w:val="22"/>
          <w:highlight w:val="yellow"/>
        </w:rPr>
      </w:pPr>
      <w:r w:rsidRPr="00BE0143">
        <w:rPr>
          <w:sz w:val="22"/>
          <w:szCs w:val="22"/>
        </w:rPr>
        <w:t xml:space="preserve">14.  </w:t>
      </w:r>
      <w:r w:rsidRPr="000127AE">
        <w:rPr>
          <w:sz w:val="22"/>
          <w:szCs w:val="22"/>
        </w:rPr>
        <w:t>The cost to the Federal Government will be minimal because</w:t>
      </w:r>
      <w:r>
        <w:rPr>
          <w:sz w:val="22"/>
          <w:szCs w:val="22"/>
        </w:rPr>
        <w:t xml:space="preserve"> startup costs will initially be covered by reporting carriers, and continued funding for the administration of the database will come from fees paid by users of the database.</w:t>
      </w:r>
    </w:p>
    <w:p w:rsidR="00975D09" w:rsidP="00975D09" w:rsidRDefault="00975D09" w14:paraId="2643287C" w14:textId="77777777">
      <w:pPr>
        <w:tabs>
          <w:tab w:val="left" w:pos="0"/>
        </w:tabs>
        <w:rPr>
          <w:sz w:val="22"/>
          <w:szCs w:val="22"/>
          <w:highlight w:val="yellow"/>
        </w:rPr>
      </w:pPr>
    </w:p>
    <w:p w:rsidR="00975D09" w:rsidP="00975D09" w:rsidRDefault="00975D09" w14:paraId="7974E25A" w14:textId="7FE8604C">
      <w:pPr>
        <w:rPr>
          <w:sz w:val="22"/>
          <w:szCs w:val="22"/>
        </w:rPr>
      </w:pPr>
      <w:r w:rsidRPr="00F64044">
        <w:rPr>
          <w:sz w:val="22"/>
          <w:szCs w:val="22"/>
        </w:rPr>
        <w:t xml:space="preserve">15.  </w:t>
      </w:r>
      <w:r>
        <w:rPr>
          <w:sz w:val="22"/>
          <w:szCs w:val="22"/>
        </w:rPr>
        <w:t xml:space="preserve">This is a new information collection.  </w:t>
      </w:r>
      <w:r w:rsidRPr="00DC5900">
        <w:rPr>
          <w:sz w:val="22"/>
          <w:szCs w:val="22"/>
          <w:shd w:val="clear" w:color="auto" w:fill="FFFFFF"/>
        </w:rPr>
        <w:t>The</w:t>
      </w:r>
      <w:r w:rsidRPr="004C3E6B">
        <w:rPr>
          <w:sz w:val="22"/>
          <w:shd w:val="clear" w:color="auto" w:fill="FFFFFF"/>
        </w:rPr>
        <w:t xml:space="preserve"> program changes</w:t>
      </w:r>
      <w:r w:rsidRPr="00DC5900">
        <w:rPr>
          <w:sz w:val="22"/>
          <w:szCs w:val="22"/>
          <w:shd w:val="clear" w:color="auto" w:fill="FFFFFF"/>
        </w:rPr>
        <w:t xml:space="preserve">/increases added to OMB’s inventory as a result of the information collection requirements contained in the </w:t>
      </w:r>
      <w:r w:rsidRPr="005B079A">
        <w:rPr>
          <w:i/>
          <w:sz w:val="22"/>
          <w:szCs w:val="22"/>
          <w:shd w:val="clear" w:color="auto" w:fill="FFFFFF"/>
        </w:rPr>
        <w:t>Reassigned Numbers Database Order</w:t>
      </w:r>
      <w:r>
        <w:rPr>
          <w:sz w:val="22"/>
          <w:szCs w:val="22"/>
          <w:shd w:val="clear" w:color="auto" w:fill="FFFFFF"/>
        </w:rPr>
        <w:t xml:space="preserve">, </w:t>
      </w:r>
      <w:r w:rsidRPr="002E1128">
        <w:rPr>
          <w:sz w:val="22"/>
          <w:szCs w:val="22"/>
          <w:shd w:val="clear" w:color="auto" w:fill="FFFFFF"/>
        </w:rPr>
        <w:t xml:space="preserve">FCC </w:t>
      </w:r>
      <w:r>
        <w:rPr>
          <w:sz w:val="22"/>
          <w:szCs w:val="22"/>
          <w:shd w:val="clear" w:color="auto" w:fill="FFFFFF"/>
        </w:rPr>
        <w:t>18-177</w:t>
      </w:r>
      <w:r w:rsidRPr="002E1128">
        <w:rPr>
          <w:sz w:val="22"/>
          <w:szCs w:val="22"/>
          <w:shd w:val="clear" w:color="auto" w:fill="FFFFFF"/>
        </w:rPr>
        <w:t xml:space="preserve">, are as follows:  </w:t>
      </w:r>
      <w:r w:rsidRPr="005B079A">
        <w:rPr>
          <w:b/>
          <w:sz w:val="22"/>
          <w:szCs w:val="22"/>
          <w:shd w:val="clear" w:color="auto" w:fill="FFFFFF"/>
        </w:rPr>
        <w:t>3,666</w:t>
      </w:r>
      <w:r>
        <w:rPr>
          <w:sz w:val="22"/>
          <w:szCs w:val="22"/>
          <w:shd w:val="clear" w:color="auto" w:fill="FFFFFF"/>
        </w:rPr>
        <w:t xml:space="preserve"> annual </w:t>
      </w:r>
      <w:r w:rsidRPr="002E1128">
        <w:rPr>
          <w:sz w:val="22"/>
          <w:szCs w:val="22"/>
          <w:shd w:val="clear" w:color="auto" w:fill="FFFFFF"/>
        </w:rPr>
        <w:t xml:space="preserve">respondents; </w:t>
      </w:r>
      <w:r w:rsidRPr="0071793D">
        <w:rPr>
          <w:b/>
          <w:sz w:val="22"/>
          <w:szCs w:val="22"/>
          <w:shd w:val="clear" w:color="auto" w:fill="FFFFFF"/>
        </w:rPr>
        <w:t>15,375,326</w:t>
      </w:r>
      <w:r>
        <w:rPr>
          <w:sz w:val="22"/>
          <w:szCs w:val="22"/>
          <w:shd w:val="clear" w:color="auto" w:fill="FFFFFF"/>
        </w:rPr>
        <w:t xml:space="preserve"> annual </w:t>
      </w:r>
      <w:r w:rsidRPr="002E1128">
        <w:rPr>
          <w:sz w:val="22"/>
          <w:szCs w:val="22"/>
          <w:shd w:val="clear" w:color="auto" w:fill="FFFFFF"/>
        </w:rPr>
        <w:t xml:space="preserve">responses; </w:t>
      </w:r>
      <w:r>
        <w:rPr>
          <w:sz w:val="22"/>
          <w:szCs w:val="22"/>
          <w:shd w:val="clear" w:color="auto" w:fill="FFFFFF"/>
        </w:rPr>
        <w:t xml:space="preserve">and </w:t>
      </w:r>
      <w:r w:rsidRPr="005B079A">
        <w:rPr>
          <w:b/>
          <w:sz w:val="22"/>
          <w:szCs w:val="22"/>
          <w:shd w:val="clear" w:color="auto" w:fill="FFFFFF"/>
        </w:rPr>
        <w:t>290,233</w:t>
      </w:r>
      <w:r>
        <w:rPr>
          <w:b/>
          <w:sz w:val="22"/>
          <w:szCs w:val="22"/>
          <w:shd w:val="clear" w:color="auto" w:fill="FFFFFF"/>
        </w:rPr>
        <w:t xml:space="preserve"> </w:t>
      </w:r>
      <w:r>
        <w:rPr>
          <w:sz w:val="22"/>
          <w:szCs w:val="22"/>
          <w:shd w:val="clear" w:color="auto" w:fill="FFFFFF"/>
        </w:rPr>
        <w:t>annual burden hours</w:t>
      </w:r>
      <w:r w:rsidRPr="004C3E6B">
        <w:rPr>
          <w:b/>
          <w:sz w:val="22"/>
          <w:shd w:val="clear" w:color="auto" w:fill="FFFFFF"/>
        </w:rPr>
        <w:t>.</w:t>
      </w:r>
    </w:p>
    <w:p w:rsidR="00975D09" w:rsidP="00975D09" w:rsidRDefault="00975D09" w14:paraId="141C9793" w14:textId="77777777">
      <w:pPr>
        <w:rPr>
          <w:sz w:val="22"/>
          <w:szCs w:val="22"/>
        </w:rPr>
      </w:pPr>
    </w:p>
    <w:p w:rsidR="00975D09" w:rsidP="00975D09" w:rsidRDefault="00975D09" w14:paraId="27EFA610" w14:textId="77777777">
      <w:pPr>
        <w:rPr>
          <w:sz w:val="22"/>
          <w:szCs w:val="22"/>
        </w:rPr>
      </w:pPr>
      <w:r w:rsidRPr="006C12B4">
        <w:rPr>
          <w:sz w:val="22"/>
          <w:szCs w:val="22"/>
        </w:rPr>
        <w:t xml:space="preserve">16.  </w:t>
      </w:r>
      <w:r>
        <w:rPr>
          <w:sz w:val="22"/>
          <w:szCs w:val="22"/>
        </w:rPr>
        <w:t>The NANC</w:t>
      </w:r>
      <w:r w:rsidRPr="009F7B0B">
        <w:rPr>
          <w:sz w:val="22"/>
          <w:szCs w:val="22"/>
        </w:rPr>
        <w:t xml:space="preserve"> </w:t>
      </w:r>
      <w:r>
        <w:rPr>
          <w:sz w:val="22"/>
          <w:szCs w:val="22"/>
        </w:rPr>
        <w:t>is in the process of compiling</w:t>
      </w:r>
      <w:r w:rsidRPr="009F7B0B">
        <w:rPr>
          <w:sz w:val="22"/>
          <w:szCs w:val="22"/>
        </w:rPr>
        <w:t xml:space="preserve"> recommendations on technical and operational issues affecting the database, including usage fees</w:t>
      </w:r>
      <w:r>
        <w:rPr>
          <w:sz w:val="22"/>
          <w:szCs w:val="22"/>
        </w:rPr>
        <w:t>.  Once the Commission adopts technical requirements, it will select a database administrator through a procurement process.  The Commission will announce when the database is operational.</w:t>
      </w:r>
    </w:p>
    <w:p w:rsidR="00975D09" w:rsidP="00975D09" w:rsidRDefault="00975D09" w14:paraId="2FC28E7A" w14:textId="77777777">
      <w:pPr>
        <w:rPr>
          <w:sz w:val="22"/>
          <w:szCs w:val="22"/>
        </w:rPr>
      </w:pPr>
      <w:bookmarkStart w:name="_GoBack" w:id="5"/>
      <w:bookmarkEnd w:id="5"/>
    </w:p>
    <w:p w:rsidR="00975D09" w:rsidP="00975D09" w:rsidRDefault="00975D09" w14:paraId="55E0AFEB" w14:textId="77777777">
      <w:pPr>
        <w:rPr>
          <w:sz w:val="22"/>
          <w:szCs w:val="22"/>
        </w:rPr>
      </w:pPr>
      <w:r>
        <w:rPr>
          <w:sz w:val="22"/>
          <w:szCs w:val="22"/>
        </w:rPr>
        <w:t xml:space="preserve">The reported information will be collected and contained within a reassigned numbers database that is accessible through the Internet.  The information can be accessed to identify whether a phone number has been permanently disconnected.  Specifically, the Commission </w:t>
      </w:r>
      <w:r w:rsidRPr="00A05425">
        <w:rPr>
          <w:sz w:val="22"/>
          <w:szCs w:val="22"/>
        </w:rPr>
        <w:t>take</w:t>
      </w:r>
      <w:r>
        <w:rPr>
          <w:sz w:val="22"/>
          <w:szCs w:val="22"/>
        </w:rPr>
        <w:t>s</w:t>
      </w:r>
      <w:r w:rsidRPr="00A05425">
        <w:rPr>
          <w:sz w:val="22"/>
          <w:szCs w:val="22"/>
        </w:rPr>
        <w:t xml:space="preserve"> three steps to ensure that the data contained in the Reassigned Numbers Database </w:t>
      </w:r>
      <w:r>
        <w:rPr>
          <w:sz w:val="22"/>
          <w:szCs w:val="22"/>
        </w:rPr>
        <w:t>is</w:t>
      </w:r>
      <w:r w:rsidRPr="00A05425">
        <w:rPr>
          <w:sz w:val="22"/>
          <w:szCs w:val="22"/>
        </w:rPr>
        <w:t xml:space="preserve"> used appropriately and accessible to the widest array of users. </w:t>
      </w:r>
      <w:r>
        <w:rPr>
          <w:sz w:val="22"/>
          <w:szCs w:val="22"/>
        </w:rPr>
        <w:t xml:space="preserve"> </w:t>
      </w:r>
      <w:r w:rsidRPr="00A05425">
        <w:rPr>
          <w:sz w:val="22"/>
          <w:szCs w:val="22"/>
        </w:rPr>
        <w:t xml:space="preserve">First, the database will not contain information about </w:t>
      </w:r>
      <w:r>
        <w:rPr>
          <w:sz w:val="22"/>
          <w:szCs w:val="22"/>
        </w:rPr>
        <w:t xml:space="preserve">telephone </w:t>
      </w:r>
      <w:r w:rsidRPr="00A05425">
        <w:rPr>
          <w:sz w:val="22"/>
          <w:szCs w:val="22"/>
        </w:rPr>
        <w:t>subscribers other than the most recent date of permanent disconnection.</w:t>
      </w:r>
      <w:r>
        <w:rPr>
          <w:sz w:val="22"/>
          <w:szCs w:val="22"/>
        </w:rPr>
        <w:t xml:space="preserve"> </w:t>
      </w:r>
      <w:r w:rsidRPr="00A05425">
        <w:rPr>
          <w:sz w:val="22"/>
          <w:szCs w:val="22"/>
        </w:rPr>
        <w:t xml:space="preserve"> Second, the data available to any individual </w:t>
      </w:r>
      <w:r>
        <w:rPr>
          <w:sz w:val="22"/>
          <w:szCs w:val="22"/>
        </w:rPr>
        <w:t>user of the database is limited</w:t>
      </w:r>
      <w:r w:rsidRPr="00A05425">
        <w:rPr>
          <w:sz w:val="22"/>
          <w:szCs w:val="22"/>
        </w:rPr>
        <w:t xml:space="preserve"> to “yes</w:t>
      </w:r>
      <w:r>
        <w:rPr>
          <w:sz w:val="22"/>
          <w:szCs w:val="22"/>
        </w:rPr>
        <w:t>,</w:t>
      </w:r>
      <w:r w:rsidRPr="00A05425">
        <w:rPr>
          <w:sz w:val="22"/>
          <w:szCs w:val="22"/>
        </w:rPr>
        <w:t>” “no</w:t>
      </w:r>
      <w:r>
        <w:rPr>
          <w:sz w:val="22"/>
          <w:szCs w:val="22"/>
        </w:rPr>
        <w:t>,</w:t>
      </w:r>
      <w:r w:rsidRPr="00A05425">
        <w:rPr>
          <w:sz w:val="22"/>
          <w:szCs w:val="22"/>
        </w:rPr>
        <w:t xml:space="preserve">” or “no data” in response to a particular query. </w:t>
      </w:r>
      <w:r>
        <w:rPr>
          <w:sz w:val="22"/>
          <w:szCs w:val="22"/>
        </w:rPr>
        <w:t xml:space="preserve"> </w:t>
      </w:r>
      <w:r w:rsidRPr="00A05425">
        <w:rPr>
          <w:sz w:val="22"/>
          <w:szCs w:val="22"/>
        </w:rPr>
        <w:t>And third,</w:t>
      </w:r>
      <w:r>
        <w:rPr>
          <w:sz w:val="22"/>
          <w:szCs w:val="22"/>
        </w:rPr>
        <w:t xml:space="preserve"> </w:t>
      </w:r>
      <w:r w:rsidRPr="00A05425">
        <w:rPr>
          <w:sz w:val="22"/>
          <w:szCs w:val="22"/>
        </w:rPr>
        <w:t xml:space="preserve">callers </w:t>
      </w:r>
      <w:r>
        <w:rPr>
          <w:sz w:val="22"/>
          <w:szCs w:val="22"/>
        </w:rPr>
        <w:t>must</w:t>
      </w:r>
      <w:r w:rsidRPr="00A05425">
        <w:rPr>
          <w:sz w:val="22"/>
          <w:szCs w:val="22"/>
        </w:rPr>
        <w:t xml:space="preserve"> certify the purpose for which they are using the database. </w:t>
      </w:r>
    </w:p>
    <w:p w:rsidRPr="006C12B4" w:rsidR="00975D09" w:rsidP="00975D09" w:rsidRDefault="00975D09" w14:paraId="27C99CCB" w14:textId="77777777">
      <w:pPr>
        <w:rPr>
          <w:sz w:val="22"/>
          <w:szCs w:val="22"/>
        </w:rPr>
      </w:pPr>
    </w:p>
    <w:p w:rsidRPr="006C12B4" w:rsidR="00975D09" w:rsidP="00975D09" w:rsidRDefault="00975D09" w14:paraId="7C90EA17" w14:textId="77777777">
      <w:pPr>
        <w:rPr>
          <w:sz w:val="22"/>
          <w:szCs w:val="22"/>
        </w:rPr>
      </w:pPr>
      <w:r w:rsidRPr="006C12B4">
        <w:rPr>
          <w:sz w:val="22"/>
          <w:szCs w:val="22"/>
        </w:rPr>
        <w:t>17.  The Commission does not intend to seek approval not to display the expiration date for OMB approval of this information.</w:t>
      </w:r>
    </w:p>
    <w:p w:rsidRPr="006C12B4" w:rsidR="00975D09" w:rsidP="00975D09" w:rsidRDefault="00975D09" w14:paraId="5E716618" w14:textId="77777777">
      <w:pPr>
        <w:ind w:left="720" w:hanging="720"/>
        <w:rPr>
          <w:sz w:val="22"/>
          <w:szCs w:val="22"/>
        </w:rPr>
      </w:pPr>
    </w:p>
    <w:p w:rsidRPr="006C12B4" w:rsidR="00975D09" w:rsidP="00975D09" w:rsidRDefault="00975D09" w14:paraId="3F669CBB" w14:textId="77777777">
      <w:pPr>
        <w:tabs>
          <w:tab w:val="left" w:pos="0"/>
        </w:tabs>
        <w:rPr>
          <w:sz w:val="22"/>
          <w:szCs w:val="22"/>
        </w:rPr>
      </w:pPr>
      <w:r w:rsidRPr="006C12B4">
        <w:rPr>
          <w:sz w:val="22"/>
          <w:szCs w:val="22"/>
        </w:rPr>
        <w:t>18.  There are no other exceptions to the Certification Statement.</w:t>
      </w:r>
    </w:p>
    <w:p w:rsidRPr="006C12B4" w:rsidR="00975D09" w:rsidP="00975D09" w:rsidRDefault="00975D09" w14:paraId="5E978EFE" w14:textId="77777777">
      <w:pPr>
        <w:ind w:left="720" w:hanging="720"/>
        <w:rPr>
          <w:b/>
          <w:sz w:val="22"/>
          <w:szCs w:val="22"/>
        </w:rPr>
      </w:pPr>
    </w:p>
    <w:p w:rsidRPr="006C12B4" w:rsidR="00975D09" w:rsidP="00975D09" w:rsidRDefault="00975D09" w14:paraId="7755970A" w14:textId="77777777">
      <w:pPr>
        <w:ind w:left="720" w:hanging="720"/>
        <w:rPr>
          <w:b/>
          <w:sz w:val="22"/>
          <w:szCs w:val="22"/>
        </w:rPr>
      </w:pPr>
      <w:r w:rsidRPr="006C12B4">
        <w:rPr>
          <w:b/>
          <w:sz w:val="22"/>
          <w:szCs w:val="22"/>
        </w:rPr>
        <w:t xml:space="preserve">B.  </w:t>
      </w:r>
      <w:r w:rsidRPr="006C12B4">
        <w:rPr>
          <w:b/>
          <w:sz w:val="22"/>
          <w:szCs w:val="22"/>
          <w:u w:val="single"/>
        </w:rPr>
        <w:t>Collections of Information Employing Statistical Methods</w:t>
      </w:r>
      <w:r w:rsidRPr="006C12B4">
        <w:rPr>
          <w:b/>
          <w:sz w:val="22"/>
          <w:szCs w:val="22"/>
        </w:rPr>
        <w:t>.</w:t>
      </w:r>
    </w:p>
    <w:p w:rsidRPr="006C12B4" w:rsidR="00975D09" w:rsidP="00975D09" w:rsidRDefault="00975D09" w14:paraId="299042A3" w14:textId="77777777">
      <w:pPr>
        <w:ind w:left="720" w:hanging="720"/>
        <w:rPr>
          <w:sz w:val="22"/>
          <w:szCs w:val="22"/>
        </w:rPr>
      </w:pPr>
    </w:p>
    <w:p w:rsidRPr="005C5602" w:rsidR="00975D09" w:rsidP="00975D09" w:rsidRDefault="00975D09" w14:paraId="1E591F30" w14:textId="77777777">
      <w:pPr>
        <w:rPr>
          <w:sz w:val="22"/>
          <w:szCs w:val="22"/>
        </w:rPr>
      </w:pPr>
      <w:r w:rsidRPr="006C12B4">
        <w:rPr>
          <w:sz w:val="22"/>
          <w:szCs w:val="22"/>
        </w:rPr>
        <w:t>The Commission does not anticipate that the collection of information will employ statistical methods.</w:t>
      </w:r>
    </w:p>
    <w:p w:rsidRPr="004C3E6B" w:rsidR="00F72607" w:rsidRDefault="00F72607" w14:paraId="5C0E4236" w14:textId="77777777"/>
    <w:sectPr w:rsidRPr="004C3E6B" w:rsidR="00F72607">
      <w:headerReference w:type="even" r:id="rId8"/>
      <w:headerReference w:type="default" r:id="rId9"/>
      <w:footerReference w:type="even" r:id="rId10"/>
      <w:footerReference w:type="default" r:id="rId11"/>
      <w:head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045BD" w14:textId="77777777" w:rsidR="006C56C2" w:rsidRDefault="006C56C2" w:rsidP="00975D09">
      <w:r>
        <w:separator/>
      </w:r>
    </w:p>
  </w:endnote>
  <w:endnote w:type="continuationSeparator" w:id="0">
    <w:p w14:paraId="495102D6" w14:textId="77777777" w:rsidR="006C56C2" w:rsidRDefault="006C56C2" w:rsidP="00975D09">
      <w:r>
        <w:continuationSeparator/>
      </w:r>
    </w:p>
  </w:endnote>
  <w:endnote w:type="continuationNotice" w:id="1">
    <w:p w14:paraId="00D8A8E9" w14:textId="77777777" w:rsidR="006C56C2" w:rsidRDefault="006C5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Narrow,Bol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CE614" w14:textId="77777777" w:rsidR="00AA1D0E" w:rsidRDefault="00AA1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A38AEB" w14:textId="77777777" w:rsidR="00AA1D0E" w:rsidRDefault="00AA1D0E">
    <w:pPr>
      <w:pStyle w:val="Footer"/>
    </w:pPr>
  </w:p>
  <w:p w14:paraId="08154ABE" w14:textId="77777777" w:rsidR="004E0CC2" w:rsidRDefault="003F0624"/>
  <w:p w14:paraId="33E107AF" w14:textId="77777777" w:rsidR="004E0CC2" w:rsidRDefault="003F0624"/>
  <w:p w14:paraId="5AF081F0" w14:textId="77777777" w:rsidR="004E0CC2" w:rsidRDefault="003F0624"/>
  <w:p w14:paraId="57B5CB53" w14:textId="77777777" w:rsidR="004E0CC2" w:rsidRDefault="003F0624"/>
  <w:p w14:paraId="744601A5" w14:textId="77777777" w:rsidR="004E0CC2" w:rsidRDefault="003F0624"/>
  <w:p w14:paraId="3CBA169F" w14:textId="77777777" w:rsidR="004E0CC2" w:rsidRDefault="003F0624" w:rsidP="004C3E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524B0" w14:textId="77777777" w:rsidR="00AA1D0E" w:rsidRDefault="00AA1D0E">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5B08D6">
      <w:rPr>
        <w:rStyle w:val="PageNumber"/>
        <w:noProof/>
        <w:sz w:val="20"/>
      </w:rPr>
      <w:t>14</w:t>
    </w:r>
    <w:r>
      <w:rPr>
        <w:rStyle w:val="PageNumber"/>
        <w:sz w:val="20"/>
      </w:rPr>
      <w:fldChar w:fldCharType="end"/>
    </w:r>
  </w:p>
  <w:p w14:paraId="204D65E8" w14:textId="77777777" w:rsidR="004E0CC2" w:rsidRDefault="003F0624" w:rsidP="00734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E1639" w14:textId="77777777" w:rsidR="006C56C2" w:rsidRDefault="006C56C2" w:rsidP="00975D09">
      <w:r>
        <w:separator/>
      </w:r>
    </w:p>
  </w:footnote>
  <w:footnote w:type="continuationSeparator" w:id="0">
    <w:p w14:paraId="7F7F0615" w14:textId="77777777" w:rsidR="006C56C2" w:rsidRDefault="006C56C2" w:rsidP="00975D09">
      <w:r>
        <w:continuationSeparator/>
      </w:r>
    </w:p>
  </w:footnote>
  <w:footnote w:type="continuationNotice" w:id="1">
    <w:p w14:paraId="32DCD6AD" w14:textId="77777777" w:rsidR="006C56C2" w:rsidRDefault="006C56C2"/>
  </w:footnote>
  <w:footnote w:id="2">
    <w:p w14:paraId="75C5E2DB" w14:textId="77777777" w:rsidR="00975D09" w:rsidRDefault="00975D09" w:rsidP="00975D09">
      <w:pPr>
        <w:pStyle w:val="FootnoteText"/>
      </w:pPr>
      <w:r>
        <w:rPr>
          <w:rStyle w:val="FootnoteReference"/>
        </w:rPr>
        <w:footnoteRef/>
      </w:r>
      <w:r>
        <w:t xml:space="preserve"> </w:t>
      </w:r>
      <w:r>
        <w:rPr>
          <w:i/>
        </w:rPr>
        <w:t>Rules and Regulations Implementing the Telephone Consumer Protection Act of 1991,</w:t>
      </w:r>
      <w:r>
        <w:t xml:space="preserve"> CC Docket No. 92-90, 7 FCC Rcd 8752 (1992).</w:t>
      </w:r>
    </w:p>
    <w:p w14:paraId="439CF1C1" w14:textId="77777777" w:rsidR="00975D09" w:rsidRDefault="00975D09" w:rsidP="00975D09">
      <w:pPr>
        <w:pStyle w:val="FootnoteText"/>
      </w:pPr>
    </w:p>
  </w:footnote>
  <w:footnote w:id="3">
    <w:p w14:paraId="76F35F3D" w14:textId="77777777" w:rsidR="00975D09" w:rsidRDefault="00975D09" w:rsidP="00975D09">
      <w:pPr>
        <w:pStyle w:val="FootnoteText"/>
      </w:pPr>
      <w:r>
        <w:rPr>
          <w:rStyle w:val="FootnoteReference"/>
        </w:rPr>
        <w:footnoteRef/>
      </w:r>
      <w:r>
        <w:t xml:space="preserve"> </w:t>
      </w:r>
      <w:r>
        <w:rPr>
          <w:i/>
        </w:rPr>
        <w:t>See</w:t>
      </w:r>
      <w:r>
        <w:t xml:space="preserve"> 47 U.S.C. § 227.</w:t>
      </w:r>
    </w:p>
    <w:p w14:paraId="7199971A" w14:textId="77777777" w:rsidR="00975D09" w:rsidRDefault="00975D09" w:rsidP="00975D09">
      <w:pPr>
        <w:pStyle w:val="FootnoteText"/>
      </w:pPr>
    </w:p>
  </w:footnote>
  <w:footnote w:id="4">
    <w:p w14:paraId="2C46A8AC" w14:textId="77777777" w:rsidR="00975D09" w:rsidRDefault="00975D09" w:rsidP="00975D09">
      <w:pPr>
        <w:pStyle w:val="FootnoteText"/>
      </w:pPr>
      <w:r>
        <w:rPr>
          <w:rStyle w:val="FootnoteReference"/>
        </w:rPr>
        <w:footnoteRef/>
      </w:r>
      <w:r>
        <w:t xml:space="preserve"> 47 C.F.R. § 64.1200(a)(2), (c).</w:t>
      </w:r>
    </w:p>
    <w:p w14:paraId="2DC19B70" w14:textId="77777777" w:rsidR="00975D09" w:rsidRDefault="00975D09" w:rsidP="00975D09">
      <w:pPr>
        <w:pStyle w:val="FootnoteText"/>
      </w:pPr>
    </w:p>
  </w:footnote>
  <w:footnote w:id="5">
    <w:p w14:paraId="7774E011" w14:textId="77777777" w:rsidR="00975D09" w:rsidRDefault="00975D09" w:rsidP="00975D09">
      <w:pPr>
        <w:pStyle w:val="FootnoteText"/>
      </w:pPr>
      <w:r>
        <w:rPr>
          <w:rStyle w:val="FootnoteReference"/>
        </w:rPr>
        <w:footnoteRef/>
      </w:r>
      <w:r>
        <w:t xml:space="preserve"> In the </w:t>
      </w:r>
      <w:r>
        <w:rPr>
          <w:i/>
        </w:rPr>
        <w:t>Report and Order</w:t>
      </w:r>
      <w:r>
        <w:t xml:space="preserve"> adopted on February 15, 2012, the Commission eliminated the established business relationship exemption beginning twelve (12) months after the publication of the OMB approval of the prior-express-written-consent rule adopted in the same item.  </w:t>
      </w:r>
      <w:r>
        <w:rPr>
          <w:i/>
        </w:rPr>
        <w:t>Rules and Regulations Implementing the Telephone Consumer Protection Act of 1991,</w:t>
      </w:r>
      <w:r>
        <w:t xml:space="preserve"> CG Docket No. 02-278, 27 FCC Rcd 1830, 1845, para. 35 (2012).</w:t>
      </w:r>
    </w:p>
    <w:p w14:paraId="59C4D7D9" w14:textId="77777777" w:rsidR="00975D09" w:rsidRDefault="00975D09" w:rsidP="00975D09">
      <w:pPr>
        <w:pStyle w:val="FootnoteText"/>
      </w:pPr>
    </w:p>
  </w:footnote>
  <w:footnote w:id="6">
    <w:p w14:paraId="6F997A6B" w14:textId="77777777" w:rsidR="00975D09" w:rsidRDefault="00975D09" w:rsidP="00975D09">
      <w:pPr>
        <w:pStyle w:val="FootnoteText"/>
      </w:pPr>
      <w:r>
        <w:rPr>
          <w:rStyle w:val="FootnoteReference"/>
        </w:rPr>
        <w:footnoteRef/>
      </w:r>
      <w:r>
        <w:t xml:space="preserve"> 47 CFR § 64.1200(a)(1). </w:t>
      </w:r>
    </w:p>
    <w:p w14:paraId="6DFA4BDC" w14:textId="77777777" w:rsidR="00975D09" w:rsidRDefault="00975D09" w:rsidP="00975D09">
      <w:pPr>
        <w:pStyle w:val="FootnoteText"/>
      </w:pPr>
    </w:p>
  </w:footnote>
  <w:footnote w:id="7">
    <w:p w14:paraId="363D33D4" w14:textId="77777777" w:rsidR="00975D09" w:rsidRDefault="00975D09" w:rsidP="00975D09">
      <w:pPr>
        <w:pStyle w:val="FootnoteText"/>
      </w:pPr>
      <w:r w:rsidRPr="00FF48C6">
        <w:rPr>
          <w:rStyle w:val="FootnoteReference"/>
        </w:rPr>
        <w:footnoteRef/>
      </w:r>
      <w:r w:rsidRPr="00FF48C6">
        <w:t xml:space="preserve"> </w:t>
      </w:r>
      <w:r w:rsidRPr="00FF48C6">
        <w:rPr>
          <w:i/>
        </w:rPr>
        <w:t xml:space="preserve">See </w:t>
      </w:r>
      <w:r w:rsidRPr="00FF48C6">
        <w:t>47 CFR § 52.15.</w:t>
      </w:r>
    </w:p>
    <w:p w14:paraId="64FA1E0F" w14:textId="77777777" w:rsidR="00975D09" w:rsidRPr="00FF48C6" w:rsidRDefault="00975D09" w:rsidP="00975D09">
      <w:pPr>
        <w:pStyle w:val="FootnoteText"/>
      </w:pPr>
    </w:p>
  </w:footnote>
  <w:footnote w:id="8">
    <w:p w14:paraId="6A6021AE" w14:textId="77777777" w:rsidR="00975D09" w:rsidRDefault="00975D09" w:rsidP="00975D09">
      <w:pPr>
        <w:pStyle w:val="FootnoteText"/>
      </w:pPr>
      <w:r w:rsidRPr="00FF48C6">
        <w:rPr>
          <w:rStyle w:val="FootnoteReference"/>
        </w:rPr>
        <w:footnoteRef/>
      </w:r>
      <w:r w:rsidRPr="00FF48C6">
        <w:t xml:space="preserve"> </w:t>
      </w:r>
      <w:r w:rsidRPr="00FF48C6">
        <w:rPr>
          <w:i/>
        </w:rPr>
        <w:t>See</w:t>
      </w:r>
      <w:r w:rsidRPr="00FF48C6">
        <w:t xml:space="preserve"> North American Numbering Plan Administrator Number Resource Utilization/Forecast Reports (average of aggregate numbers for the period January 1, 2013</w:t>
      </w:r>
      <w:r>
        <w:t>,</w:t>
      </w:r>
      <w:r w:rsidRPr="00FF48C6">
        <w:t xml:space="preserve"> through December 31, 2016).</w:t>
      </w:r>
    </w:p>
    <w:p w14:paraId="04F8F033" w14:textId="77777777" w:rsidR="00975D09" w:rsidRPr="00FF48C6" w:rsidRDefault="00975D09" w:rsidP="00975D09">
      <w:pPr>
        <w:pStyle w:val="FootnoteText"/>
      </w:pPr>
    </w:p>
  </w:footnote>
  <w:footnote w:id="9">
    <w:p w14:paraId="5D237BCA" w14:textId="77777777" w:rsidR="00975D09" w:rsidRDefault="00975D09" w:rsidP="00975D09">
      <w:pPr>
        <w:pStyle w:val="FootnoteText"/>
      </w:pPr>
      <w:r w:rsidRPr="00FF48C6">
        <w:rPr>
          <w:rStyle w:val="FootnoteReference"/>
        </w:rPr>
        <w:footnoteRef/>
      </w:r>
      <w:r w:rsidRPr="00FF48C6">
        <w:t xml:space="preserve"> </w:t>
      </w:r>
      <w:r w:rsidRPr="00FF48C6">
        <w:rPr>
          <w:i/>
        </w:rPr>
        <w:t xml:space="preserve">See </w:t>
      </w:r>
      <w:r>
        <w:rPr>
          <w:i/>
        </w:rPr>
        <w:t xml:space="preserve">generally </w:t>
      </w:r>
      <w:r w:rsidRPr="00FF48C6">
        <w:rPr>
          <w:i/>
        </w:rPr>
        <w:t>Advanced Methods to Target and Eliminate Unlawful Robocalls</w:t>
      </w:r>
      <w:r w:rsidRPr="00FF48C6">
        <w:t>, Second Notice of Inquiry, 32 FCC Rcd 6007</w:t>
      </w:r>
      <w:r>
        <w:t xml:space="preserve"> (2017).</w:t>
      </w:r>
    </w:p>
    <w:p w14:paraId="3550D51E" w14:textId="77777777" w:rsidR="00975D09" w:rsidRPr="00FF48C6" w:rsidRDefault="00975D09" w:rsidP="00975D09">
      <w:pPr>
        <w:pStyle w:val="FootnoteText"/>
      </w:pPr>
    </w:p>
  </w:footnote>
  <w:footnote w:id="10">
    <w:p w14:paraId="790CA67A" w14:textId="77777777" w:rsidR="00975D09" w:rsidRDefault="00975D09" w:rsidP="00975D09">
      <w:pPr>
        <w:pStyle w:val="FootnoteText"/>
      </w:pPr>
      <w:r w:rsidRPr="00FF48C6">
        <w:rPr>
          <w:rStyle w:val="FootnoteReference"/>
        </w:rPr>
        <w:footnoteRef/>
      </w:r>
      <w:r w:rsidRPr="00FF48C6">
        <w:t xml:space="preserve"> </w:t>
      </w:r>
      <w:r w:rsidRPr="00FF48C6">
        <w:rPr>
          <w:i/>
        </w:rPr>
        <w:t>See Advanced Methods to Target and Eliminate Unlawful Robocalls</w:t>
      </w:r>
      <w:r w:rsidRPr="00FF48C6">
        <w:t xml:space="preserve">, Second Further Notice of Proposed Rulemaking, </w:t>
      </w:r>
      <w:r>
        <w:t xml:space="preserve">33 FCC Rcd 3203 (2018).  </w:t>
      </w:r>
    </w:p>
    <w:p w14:paraId="755B9A91" w14:textId="77777777" w:rsidR="00975D09" w:rsidRPr="00FF48C6" w:rsidRDefault="00975D09" w:rsidP="00975D09">
      <w:pPr>
        <w:pStyle w:val="FootnoteText"/>
      </w:pPr>
    </w:p>
  </w:footnote>
  <w:footnote w:id="11">
    <w:p w14:paraId="56459D71" w14:textId="77777777" w:rsidR="00975D09" w:rsidRDefault="00975D09" w:rsidP="00975D09">
      <w:pPr>
        <w:pStyle w:val="FootnoteText"/>
      </w:pPr>
      <w:r w:rsidRPr="00FF48C6">
        <w:rPr>
          <w:rStyle w:val="FootnoteReference"/>
        </w:rPr>
        <w:footnoteRef/>
      </w:r>
      <w:r w:rsidRPr="00FF48C6">
        <w:rPr>
          <w:i/>
        </w:rPr>
        <w:t xml:space="preserve"> See </w:t>
      </w:r>
      <w:r w:rsidRPr="00FF48C6">
        <w:t>Letter from Sen. John Thune and Sen. Edward J. Markey, U.S. Senate, to FCC Chairman Ajit Pai (July 19, 2018); s</w:t>
      </w:r>
      <w:r w:rsidRPr="00FF48C6">
        <w:rPr>
          <w:i/>
        </w:rPr>
        <w:t xml:space="preserve">ee also </w:t>
      </w:r>
      <w:r w:rsidRPr="00FF48C6">
        <w:t>Letter from Sen. John Thune and Sen. Edward J. Markey, U.S. Senate, to FCC Chairman Ajit Pai (Oct. 3, 2017).</w:t>
      </w:r>
    </w:p>
    <w:p w14:paraId="47B5E020" w14:textId="77777777" w:rsidR="00975D09" w:rsidRPr="00FF48C6" w:rsidRDefault="00975D09" w:rsidP="00975D09">
      <w:pPr>
        <w:pStyle w:val="FootnoteText"/>
      </w:pPr>
    </w:p>
  </w:footnote>
  <w:footnote w:id="12">
    <w:p w14:paraId="276410EE" w14:textId="77777777" w:rsidR="00975D09" w:rsidRPr="00FF48C6" w:rsidRDefault="00975D09" w:rsidP="00975D09">
      <w:pPr>
        <w:pStyle w:val="FootnoteText"/>
      </w:pPr>
      <w:r w:rsidRPr="00FF48C6">
        <w:rPr>
          <w:rStyle w:val="FootnoteReference"/>
        </w:rPr>
        <w:footnoteRef/>
      </w:r>
      <w:r w:rsidRPr="00FF48C6">
        <w:t xml:space="preserve"> S</w:t>
      </w:r>
      <w:r w:rsidRPr="00FF48C6">
        <w:rPr>
          <w:i/>
        </w:rPr>
        <w:t>ee ACA Int’l v. FCC</w:t>
      </w:r>
      <w:r w:rsidRPr="00FF48C6">
        <w:t>, 885 F.3d 687, 709 (D.C. Cir. 2018).</w:t>
      </w:r>
    </w:p>
  </w:footnote>
  <w:footnote w:id="13">
    <w:p w14:paraId="44EA441E" w14:textId="77777777" w:rsidR="00975D09" w:rsidRDefault="00975D09" w:rsidP="00975D09">
      <w:pPr>
        <w:pStyle w:val="FootnoteText"/>
      </w:pPr>
      <w:r>
        <w:rPr>
          <w:rStyle w:val="FootnoteReference"/>
        </w:rPr>
        <w:footnoteRef/>
      </w:r>
      <w:r>
        <w:t xml:space="preserve"> </w:t>
      </w:r>
      <w:r w:rsidRPr="00C5752C">
        <w:rPr>
          <w:i/>
        </w:rPr>
        <w:t>Advanced Methods to Target and Eliminate Unlawful Robocalls</w:t>
      </w:r>
      <w:r w:rsidRPr="00C5752C">
        <w:t xml:space="preserve">, Second Report and Order, </w:t>
      </w:r>
      <w:bookmarkStart w:id="2" w:name="_Hlk8379403"/>
      <w:r w:rsidRPr="00C5752C">
        <w:t>33 FCC Rcd 12024</w:t>
      </w:r>
      <w:bookmarkEnd w:id="2"/>
      <w:r>
        <w:t xml:space="preserve"> </w:t>
      </w:r>
      <w:r w:rsidRPr="00C5752C">
        <w:t>(2018) (</w:t>
      </w:r>
      <w:r w:rsidRPr="00C5752C">
        <w:rPr>
          <w:i/>
        </w:rPr>
        <w:t>Second Report and Order</w:t>
      </w:r>
      <w:r w:rsidRPr="00C5752C">
        <w:t>).</w:t>
      </w:r>
    </w:p>
    <w:p w14:paraId="6A43FB94" w14:textId="77777777" w:rsidR="00975D09" w:rsidRDefault="00975D09" w:rsidP="00975D09">
      <w:pPr>
        <w:pStyle w:val="FootnoteText"/>
      </w:pPr>
    </w:p>
  </w:footnote>
  <w:footnote w:id="14">
    <w:p w14:paraId="4D173DF2" w14:textId="77777777" w:rsidR="00975D09" w:rsidRDefault="00975D09" w:rsidP="00975D09">
      <w:pPr>
        <w:pStyle w:val="FootnoteText"/>
      </w:pPr>
      <w:r w:rsidRPr="00FF48C6">
        <w:rPr>
          <w:rStyle w:val="FootnoteReference"/>
        </w:rPr>
        <w:footnoteRef/>
      </w:r>
      <w:r w:rsidRPr="00FF48C6">
        <w:t xml:space="preserve"> For the purposes of this </w:t>
      </w:r>
      <w:r w:rsidRPr="00FF48C6">
        <w:rPr>
          <w:i/>
        </w:rPr>
        <w:t>Second Report and Order</w:t>
      </w:r>
      <w:r w:rsidRPr="00FF48C6">
        <w:t xml:space="preserve"> “a ‘reporting carrier’ is </w:t>
      </w:r>
      <w:r>
        <w:t>‘</w:t>
      </w:r>
      <w:r w:rsidRPr="00FF48C6">
        <w:t>a telecommunications carrier that receives numbering resources from the NANPA, a Pooling Administrator or another telecommunications carrier,</w:t>
      </w:r>
      <w:r>
        <w:t>’</w:t>
      </w:r>
      <w:r w:rsidRPr="00FF48C6">
        <w:t>” which includes interconnected VoIP providers that directly obtain numbering resources pursuant to Commission authorization.  47 CFR § 52.15(f)(2)</w:t>
      </w:r>
      <w:r>
        <w:t>.</w:t>
      </w:r>
    </w:p>
    <w:p w14:paraId="0FB05D4F" w14:textId="77777777" w:rsidR="00975D09" w:rsidRPr="00FF48C6" w:rsidRDefault="00975D09" w:rsidP="00975D09">
      <w:pPr>
        <w:pStyle w:val="FootnoteText"/>
      </w:pPr>
    </w:p>
  </w:footnote>
  <w:footnote w:id="15">
    <w:p w14:paraId="7BF864DB" w14:textId="77777777" w:rsidR="00975D09" w:rsidRDefault="00975D09" w:rsidP="00975D09">
      <w:pPr>
        <w:pStyle w:val="FootnoteText"/>
      </w:pPr>
      <w:r w:rsidRPr="00FF48C6">
        <w:rPr>
          <w:rStyle w:val="FootnoteReference"/>
        </w:rPr>
        <w:footnoteRef/>
      </w:r>
      <w:r w:rsidRPr="00FF48C6">
        <w:t xml:space="preserve"> </w:t>
      </w:r>
      <w:r w:rsidRPr="00C5752C">
        <w:t xml:space="preserve">The obligation to report the permanent disconnect status of toll free numbers </w:t>
      </w:r>
      <w:r>
        <w:t>is</w:t>
      </w:r>
      <w:r w:rsidRPr="00C5752C">
        <w:t xml:space="preserve"> on the Toll Free Numbering Administrator.</w:t>
      </w:r>
    </w:p>
    <w:p w14:paraId="03421881" w14:textId="77777777" w:rsidR="00975D09" w:rsidRPr="00FF48C6" w:rsidRDefault="00975D09" w:rsidP="00975D09">
      <w:pPr>
        <w:pStyle w:val="FootnoteText"/>
      </w:pPr>
    </w:p>
  </w:footnote>
  <w:footnote w:id="16">
    <w:p w14:paraId="19B2B28E" w14:textId="77777777" w:rsidR="00975D09" w:rsidRDefault="00975D09" w:rsidP="00975D09">
      <w:pPr>
        <w:pStyle w:val="FootnoteText"/>
      </w:pPr>
      <w:r>
        <w:rPr>
          <w:rStyle w:val="FootnoteReference"/>
        </w:rPr>
        <w:footnoteRef/>
      </w:r>
      <w:r>
        <w:t xml:space="preserve"> This information will be due the </w:t>
      </w:r>
      <w:r w:rsidRPr="000D66BF">
        <w:t>15</w:t>
      </w:r>
      <w:r w:rsidRPr="00BB64BD">
        <w:t>th</w:t>
      </w:r>
      <w:r w:rsidRPr="000D66BF">
        <w:t xml:space="preserve"> day of the month after the Consumer and Governmental Affairs Bureau announces that the Administrator is ready to begin accepting these reports and on the 15th day of each month thereafter</w:t>
      </w:r>
      <w:r>
        <w:t xml:space="preserve">. </w:t>
      </w:r>
      <w:r w:rsidRPr="000D66BF">
        <w:t xml:space="preserve"> </w:t>
      </w:r>
      <w:r>
        <w:t>A</w:t>
      </w:r>
      <w:r w:rsidRPr="00130F2C">
        <w:t xml:space="preserve"> NANP telephone number has been permanently disconnected when a subscriber permanently has relinquished the number, or the provider permanently has reversed its assignment of the number to the subscriber such that the number has been disassociated with the subscriber.  A NANP telephone number that is ported to another provider is not permanently disconnected.</w:t>
      </w:r>
    </w:p>
  </w:footnote>
  <w:footnote w:id="17">
    <w:p w14:paraId="7778B313" w14:textId="2F74A491" w:rsidR="00975D09" w:rsidRDefault="00975D09" w:rsidP="00975D09">
      <w:pPr>
        <w:pStyle w:val="FootnoteText"/>
      </w:pPr>
      <w:r>
        <w:rPr>
          <w:rStyle w:val="FootnoteReference"/>
        </w:rPr>
        <w:footnoteRef/>
      </w:r>
      <w:r>
        <w:t xml:space="preserve"> These permanent disconnect records will be reported in the reporting carriers monthly report.  The responses are already encompassed in the </w:t>
      </w:r>
      <w:r w:rsidRPr="005B079A">
        <w:rPr>
          <w:b/>
          <w:i/>
        </w:rPr>
        <w:t>“Reporting Carriers – Monthly Filing”</w:t>
      </w:r>
      <w:r>
        <w:t xml:space="preserve"> burdens assessment noted below and therefore do not generate additional responses for this requirement.</w:t>
      </w:r>
    </w:p>
    <w:p w14:paraId="6C7AC74D" w14:textId="77777777" w:rsidR="00975D09" w:rsidRDefault="00975D09" w:rsidP="00975D09">
      <w:pPr>
        <w:pStyle w:val="FootnoteText"/>
      </w:pPr>
    </w:p>
  </w:footnote>
  <w:footnote w:id="18">
    <w:p w14:paraId="3D3CC84A" w14:textId="77777777" w:rsidR="00975D09" w:rsidRPr="005B2E9F" w:rsidRDefault="00975D09" w:rsidP="00975D09">
      <w:pPr>
        <w:pStyle w:val="FootnoteText"/>
      </w:pPr>
      <w:r>
        <w:rPr>
          <w:rStyle w:val="FootnoteReference"/>
        </w:rPr>
        <w:footnoteRef/>
      </w:r>
      <w:r>
        <w:t xml:space="preserve"> The Commission’s burden assessment for reporting carriers to prepare its monthly reports can be found below in the </w:t>
      </w:r>
      <w:r>
        <w:rPr>
          <w:b/>
          <w:i/>
        </w:rPr>
        <w:t xml:space="preserve">“Reporting Carriers – Monthly Filing” </w:t>
      </w:r>
      <w:r>
        <w:t>section.</w:t>
      </w:r>
    </w:p>
  </w:footnote>
  <w:footnote w:id="19">
    <w:p w14:paraId="5FDC8756" w14:textId="77777777" w:rsidR="00975D09" w:rsidRDefault="00975D09" w:rsidP="00975D09">
      <w:pPr>
        <w:pStyle w:val="FootnoteText"/>
      </w:pPr>
      <w:r>
        <w:rPr>
          <w:rStyle w:val="FootnoteReference"/>
        </w:rPr>
        <w:footnoteRef/>
      </w:r>
      <w:r>
        <w:t xml:space="preserve"> Based on a publicly available data quantifying the number of lawfully made (non-scam) robocalls for the time period from January 1, 2018 until December 31, 2018.  </w:t>
      </w:r>
      <w:proofErr w:type="spellStart"/>
      <w:r w:rsidRPr="00DD47F1">
        <w:t>YouMail</w:t>
      </w:r>
      <w:proofErr w:type="spellEnd"/>
      <w:r>
        <w:t>, Inc.</w:t>
      </w:r>
      <w:r w:rsidRPr="00DD47F1">
        <w:t xml:space="preserve">, </w:t>
      </w:r>
      <w:r w:rsidRPr="00DD47F1">
        <w:rPr>
          <w:i/>
        </w:rPr>
        <w:t>Robocall Index</w:t>
      </w:r>
      <w:r w:rsidRPr="00DD47F1">
        <w:t xml:space="preserve">, </w:t>
      </w:r>
      <w:hyperlink r:id="rId1" w:history="1">
        <w:r w:rsidRPr="00DD47F1">
          <w:rPr>
            <w:rStyle w:val="Hyperlink"/>
          </w:rPr>
          <w:t>https://robocallindex.com/</w:t>
        </w:r>
      </w:hyperlink>
      <w:r w:rsidRPr="00DD47F1">
        <w:t xml:space="preserve"> (last visited </w:t>
      </w:r>
      <w:r>
        <w:t>August 28</w:t>
      </w:r>
      <w:r w:rsidRPr="00DD47F1">
        <w:t>, 2019)</w:t>
      </w:r>
      <w:r>
        <w:t>.</w:t>
      </w:r>
    </w:p>
    <w:p w14:paraId="2A40E0E2" w14:textId="77777777" w:rsidR="00975D09" w:rsidRDefault="00975D09" w:rsidP="00975D09">
      <w:pPr>
        <w:pStyle w:val="FootnoteText"/>
      </w:pPr>
      <w:r>
        <w:t xml:space="preserve"> </w:t>
      </w:r>
    </w:p>
  </w:footnote>
  <w:footnote w:id="20">
    <w:p w14:paraId="1600147F" w14:textId="77777777" w:rsidR="00975D09" w:rsidRDefault="00975D09" w:rsidP="00975D09">
      <w:pPr>
        <w:pStyle w:val="FootnoteText"/>
      </w:pPr>
      <w:r>
        <w:rPr>
          <w:rStyle w:val="FootnoteReference"/>
        </w:rPr>
        <w:footnoteRef/>
      </w:r>
      <w:r>
        <w:t xml:space="preserve"> </w:t>
      </w:r>
      <w:r w:rsidRPr="00FF48C6">
        <w:rPr>
          <w:i/>
        </w:rPr>
        <w:t xml:space="preserve">See Second </w:t>
      </w:r>
      <w:r>
        <w:rPr>
          <w:i/>
        </w:rPr>
        <w:t>Report and Order</w:t>
      </w:r>
      <w:r w:rsidRPr="00FF48C6">
        <w:rPr>
          <w:i/>
        </w:rPr>
        <w:t xml:space="preserve"> </w:t>
      </w:r>
      <w:r w:rsidRPr="00FF48C6">
        <w:t xml:space="preserve">at </w:t>
      </w:r>
      <w:r>
        <w:t>12048</w:t>
      </w:r>
      <w:r w:rsidRPr="00FF48C6">
        <w:t xml:space="preserve">, para. </w:t>
      </w:r>
      <w:r>
        <w:t>69</w:t>
      </w:r>
      <w:r w:rsidRPr="00FF48C6">
        <w:t>.</w:t>
      </w:r>
    </w:p>
    <w:p w14:paraId="1C1F102D" w14:textId="77777777" w:rsidR="00975D09" w:rsidRDefault="00975D09" w:rsidP="00975D09">
      <w:pPr>
        <w:pStyle w:val="FootnoteText"/>
      </w:pPr>
    </w:p>
  </w:footnote>
  <w:footnote w:id="21">
    <w:p w14:paraId="62A34490" w14:textId="56BB0BD9" w:rsidR="00C20615" w:rsidRDefault="00C20615">
      <w:pPr>
        <w:pStyle w:val="FootnoteText"/>
      </w:pPr>
      <w:r>
        <w:rPr>
          <w:rStyle w:val="FootnoteReference"/>
        </w:rPr>
        <w:footnoteRef/>
      </w:r>
      <w:r>
        <w:t xml:space="preserve"> The total number of respondents was calculated as follows:  2,800 reporting carriers + 866 companies = 3,666 respondents.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499E" w14:textId="77777777" w:rsidR="00AA1D0E" w:rsidRDefault="00AA1D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3DF010" w14:textId="77777777" w:rsidR="00AA1D0E" w:rsidRDefault="00AA1D0E">
    <w:pPr>
      <w:pStyle w:val="Header"/>
    </w:pPr>
  </w:p>
  <w:p w14:paraId="652F8275" w14:textId="77777777" w:rsidR="004E0CC2" w:rsidRDefault="003F0624"/>
  <w:p w14:paraId="6AACAAE0" w14:textId="77777777" w:rsidR="004E0CC2" w:rsidRDefault="003F0624"/>
  <w:p w14:paraId="7D24548C" w14:textId="77777777" w:rsidR="004E0CC2" w:rsidRDefault="003F0624"/>
  <w:p w14:paraId="75CC84C1" w14:textId="77777777" w:rsidR="004E0CC2" w:rsidRDefault="003F0624"/>
  <w:p w14:paraId="420DD0BB" w14:textId="77777777" w:rsidR="004E0CC2" w:rsidRDefault="003F0624"/>
  <w:p w14:paraId="270D7013" w14:textId="77777777" w:rsidR="004E0CC2" w:rsidRDefault="003F0624" w:rsidP="004C3E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A24E5" w14:textId="5322CC3E" w:rsidR="00AA1D0E" w:rsidRDefault="00AA1D0E">
    <w:pPr>
      <w:pStyle w:val="Header"/>
      <w:rPr>
        <w:b/>
      </w:rPr>
    </w:pPr>
    <w:r>
      <w:rPr>
        <w:b/>
      </w:rPr>
      <w:t>3060-</w:t>
    </w:r>
    <w:r w:rsidR="00BB0A99">
      <w:rPr>
        <w:b/>
      </w:rPr>
      <w:t>XXX</w:t>
    </w:r>
    <w:r w:rsidR="00E52ECA">
      <w:rPr>
        <w:b/>
      </w:rPr>
      <w:t>X</w:t>
    </w:r>
    <w:r>
      <w:rPr>
        <w:b/>
      </w:rPr>
      <w:tab/>
    </w:r>
    <w:r>
      <w:rPr>
        <w:b/>
      </w:rPr>
      <w:tab/>
    </w:r>
    <w:r w:rsidR="00934B2B">
      <w:rPr>
        <w:b/>
      </w:rPr>
      <w:t>April</w:t>
    </w:r>
    <w:r w:rsidR="00D26AD8">
      <w:rPr>
        <w:b/>
      </w:rPr>
      <w:t xml:space="preserve"> 2020</w:t>
    </w:r>
  </w:p>
  <w:p w14:paraId="0E265B48" w14:textId="77777777" w:rsidR="00BB0A99" w:rsidRDefault="00BB0A99">
    <w:pPr>
      <w:pStyle w:val="Header"/>
      <w:rPr>
        <w:b/>
      </w:rPr>
    </w:pPr>
    <w:r>
      <w:rPr>
        <w:b/>
      </w:rPr>
      <w:t>Advanced Methods to Target and Eliminate Unlawful Robocalls,</w:t>
    </w:r>
  </w:p>
  <w:p w14:paraId="708896D2" w14:textId="77777777" w:rsidR="00AA1D0E" w:rsidRDefault="00AA1D0E">
    <w:pPr>
      <w:pStyle w:val="Header"/>
      <w:rPr>
        <w:b/>
      </w:rPr>
    </w:pPr>
    <w:r>
      <w:rPr>
        <w:b/>
      </w:rPr>
      <w:t xml:space="preserve">CG Docket No. </w:t>
    </w:r>
    <w:r w:rsidR="00BB0A99">
      <w:rPr>
        <w:b/>
      </w:rPr>
      <w:t>17</w:t>
    </w:r>
    <w:r>
      <w:rPr>
        <w:b/>
      </w:rPr>
      <w:t>-</w:t>
    </w:r>
    <w:r w:rsidR="00BB0A99">
      <w:rPr>
        <w:b/>
      </w:rPr>
      <w:t>59</w:t>
    </w:r>
  </w:p>
  <w:p w14:paraId="430EE2EF" w14:textId="77777777" w:rsidR="00AA1D0E" w:rsidRDefault="00AA1D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CB9E9" w14:textId="77777777" w:rsidR="00AA1D0E" w:rsidRDefault="00AA1D0E">
    <w:pPr>
      <w:pStyle w:val="Header"/>
      <w:rPr>
        <w:b/>
      </w:rPr>
    </w:pPr>
    <w:r>
      <w:rPr>
        <w:b/>
      </w:rPr>
      <w:t>3060-0519</w:t>
    </w:r>
    <w:r>
      <w:rPr>
        <w:b/>
      </w:rPr>
      <w:tab/>
    </w:r>
    <w:r>
      <w:rPr>
        <w:b/>
      </w:rPr>
      <w:tab/>
      <w:t>September 2002</w:t>
    </w:r>
  </w:p>
  <w:p w14:paraId="717519C6" w14:textId="77777777" w:rsidR="00AA1D0E" w:rsidRDefault="00AA1D0E">
    <w:pPr>
      <w:pStyle w:val="Header"/>
      <w:rPr>
        <w:b/>
      </w:rPr>
    </w:pPr>
    <w:r>
      <w:rPr>
        <w:b/>
      </w:rPr>
      <w:t>Rules and Regulations Implementing the Telephone Consumer Protect Act (TCPA)</w:t>
    </w:r>
  </w:p>
  <w:p w14:paraId="346AC3FB" w14:textId="77777777" w:rsidR="00AA1D0E" w:rsidRDefault="00AA1D0E">
    <w:pPr>
      <w:pStyle w:val="Header"/>
      <w:rPr>
        <w:b/>
      </w:rPr>
    </w:pPr>
    <w:r>
      <w:rPr>
        <w:b/>
      </w:rPr>
      <w:t>of 1991, CG Docket No. 02-278 and CC Docket No. 92-90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3C2006"/>
    <w:multiLevelType w:val="hybridMultilevel"/>
    <w:tmpl w:val="DF545A8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09"/>
    <w:rsid w:val="00004CFF"/>
    <w:rsid w:val="000068BC"/>
    <w:rsid w:val="00006A08"/>
    <w:rsid w:val="00007688"/>
    <w:rsid w:val="0001153B"/>
    <w:rsid w:val="000127AE"/>
    <w:rsid w:val="00013681"/>
    <w:rsid w:val="000137B3"/>
    <w:rsid w:val="00013D5E"/>
    <w:rsid w:val="00015815"/>
    <w:rsid w:val="000164ED"/>
    <w:rsid w:val="00017DD0"/>
    <w:rsid w:val="0002013F"/>
    <w:rsid w:val="000244D5"/>
    <w:rsid w:val="000253CD"/>
    <w:rsid w:val="00026E45"/>
    <w:rsid w:val="00027E7F"/>
    <w:rsid w:val="00032F48"/>
    <w:rsid w:val="00034A35"/>
    <w:rsid w:val="00034E66"/>
    <w:rsid w:val="000362F5"/>
    <w:rsid w:val="00036C54"/>
    <w:rsid w:val="00043BA8"/>
    <w:rsid w:val="00054F69"/>
    <w:rsid w:val="00060EED"/>
    <w:rsid w:val="000624A7"/>
    <w:rsid w:val="000626B3"/>
    <w:rsid w:val="000639A5"/>
    <w:rsid w:val="0006542D"/>
    <w:rsid w:val="00066B6B"/>
    <w:rsid w:val="00066D02"/>
    <w:rsid w:val="000675E9"/>
    <w:rsid w:val="00067DEA"/>
    <w:rsid w:val="00076093"/>
    <w:rsid w:val="000768CD"/>
    <w:rsid w:val="0008185A"/>
    <w:rsid w:val="000841D7"/>
    <w:rsid w:val="0008567B"/>
    <w:rsid w:val="000863DD"/>
    <w:rsid w:val="00086BC1"/>
    <w:rsid w:val="00086FAE"/>
    <w:rsid w:val="00087E7C"/>
    <w:rsid w:val="00090AAF"/>
    <w:rsid w:val="00090BA3"/>
    <w:rsid w:val="0009386F"/>
    <w:rsid w:val="000952DC"/>
    <w:rsid w:val="00097391"/>
    <w:rsid w:val="000977E4"/>
    <w:rsid w:val="000A0E18"/>
    <w:rsid w:val="000A28F1"/>
    <w:rsid w:val="000A4BFD"/>
    <w:rsid w:val="000A4F1C"/>
    <w:rsid w:val="000A6591"/>
    <w:rsid w:val="000A677A"/>
    <w:rsid w:val="000A6C27"/>
    <w:rsid w:val="000A79E3"/>
    <w:rsid w:val="000B0C04"/>
    <w:rsid w:val="000B3CD7"/>
    <w:rsid w:val="000B56A2"/>
    <w:rsid w:val="000B69DF"/>
    <w:rsid w:val="000B7DDA"/>
    <w:rsid w:val="000C2C7A"/>
    <w:rsid w:val="000C7603"/>
    <w:rsid w:val="000D2ED5"/>
    <w:rsid w:val="000D3E69"/>
    <w:rsid w:val="000D66BF"/>
    <w:rsid w:val="000E034E"/>
    <w:rsid w:val="000E4B32"/>
    <w:rsid w:val="000E5390"/>
    <w:rsid w:val="000E5E88"/>
    <w:rsid w:val="000E68D5"/>
    <w:rsid w:val="000E69E0"/>
    <w:rsid w:val="000E6D28"/>
    <w:rsid w:val="000E7243"/>
    <w:rsid w:val="000F181B"/>
    <w:rsid w:val="001009A1"/>
    <w:rsid w:val="00102279"/>
    <w:rsid w:val="001022B6"/>
    <w:rsid w:val="001034C9"/>
    <w:rsid w:val="001068F7"/>
    <w:rsid w:val="001111C1"/>
    <w:rsid w:val="00113136"/>
    <w:rsid w:val="00113201"/>
    <w:rsid w:val="001135B8"/>
    <w:rsid w:val="001136EB"/>
    <w:rsid w:val="0011397C"/>
    <w:rsid w:val="00115555"/>
    <w:rsid w:val="001163D8"/>
    <w:rsid w:val="0011682A"/>
    <w:rsid w:val="001174F3"/>
    <w:rsid w:val="001235A3"/>
    <w:rsid w:val="001237DE"/>
    <w:rsid w:val="00123B87"/>
    <w:rsid w:val="00123E0F"/>
    <w:rsid w:val="00126B34"/>
    <w:rsid w:val="00127DE9"/>
    <w:rsid w:val="00130F2C"/>
    <w:rsid w:val="001322A9"/>
    <w:rsid w:val="0013763C"/>
    <w:rsid w:val="001408FA"/>
    <w:rsid w:val="00141182"/>
    <w:rsid w:val="0014138E"/>
    <w:rsid w:val="00141A6A"/>
    <w:rsid w:val="00143FFF"/>
    <w:rsid w:val="00145E87"/>
    <w:rsid w:val="00146EB7"/>
    <w:rsid w:val="0015030A"/>
    <w:rsid w:val="00150F11"/>
    <w:rsid w:val="00151B6F"/>
    <w:rsid w:val="00154DE0"/>
    <w:rsid w:val="00155096"/>
    <w:rsid w:val="0015729C"/>
    <w:rsid w:val="00160E38"/>
    <w:rsid w:val="0016772F"/>
    <w:rsid w:val="00170BFA"/>
    <w:rsid w:val="00171099"/>
    <w:rsid w:val="00173328"/>
    <w:rsid w:val="001738B6"/>
    <w:rsid w:val="00173F94"/>
    <w:rsid w:val="001816D9"/>
    <w:rsid w:val="00182064"/>
    <w:rsid w:val="00182731"/>
    <w:rsid w:val="0018620D"/>
    <w:rsid w:val="001879D9"/>
    <w:rsid w:val="00187E9D"/>
    <w:rsid w:val="00190F4E"/>
    <w:rsid w:val="001913B0"/>
    <w:rsid w:val="00192C5D"/>
    <w:rsid w:val="0019332A"/>
    <w:rsid w:val="00195D6C"/>
    <w:rsid w:val="001976A2"/>
    <w:rsid w:val="001A0355"/>
    <w:rsid w:val="001A1077"/>
    <w:rsid w:val="001A474E"/>
    <w:rsid w:val="001A5A47"/>
    <w:rsid w:val="001A6848"/>
    <w:rsid w:val="001A70BF"/>
    <w:rsid w:val="001B1CF0"/>
    <w:rsid w:val="001B3FFC"/>
    <w:rsid w:val="001C0910"/>
    <w:rsid w:val="001C0E93"/>
    <w:rsid w:val="001C37BA"/>
    <w:rsid w:val="001C412F"/>
    <w:rsid w:val="001D229C"/>
    <w:rsid w:val="001D3ABF"/>
    <w:rsid w:val="001D62FE"/>
    <w:rsid w:val="001D7B8D"/>
    <w:rsid w:val="001D7DE7"/>
    <w:rsid w:val="001E3902"/>
    <w:rsid w:val="001E3940"/>
    <w:rsid w:val="001E411D"/>
    <w:rsid w:val="001E4320"/>
    <w:rsid w:val="001E5607"/>
    <w:rsid w:val="001E70B0"/>
    <w:rsid w:val="001E73AD"/>
    <w:rsid w:val="001F0E76"/>
    <w:rsid w:val="001F24D9"/>
    <w:rsid w:val="001F26F1"/>
    <w:rsid w:val="00202448"/>
    <w:rsid w:val="002026E8"/>
    <w:rsid w:val="00210652"/>
    <w:rsid w:val="0021170D"/>
    <w:rsid w:val="002144D7"/>
    <w:rsid w:val="00216354"/>
    <w:rsid w:val="00223598"/>
    <w:rsid w:val="00230046"/>
    <w:rsid w:val="00231751"/>
    <w:rsid w:val="002350E4"/>
    <w:rsid w:val="002373DE"/>
    <w:rsid w:val="00240763"/>
    <w:rsid w:val="0024106B"/>
    <w:rsid w:val="0024611B"/>
    <w:rsid w:val="00246E03"/>
    <w:rsid w:val="0025036E"/>
    <w:rsid w:val="002616D8"/>
    <w:rsid w:val="00262E3D"/>
    <w:rsid w:val="002660A3"/>
    <w:rsid w:val="0026617E"/>
    <w:rsid w:val="00266CCC"/>
    <w:rsid w:val="00271BC1"/>
    <w:rsid w:val="00272157"/>
    <w:rsid w:val="002723A6"/>
    <w:rsid w:val="0027681E"/>
    <w:rsid w:val="002777AB"/>
    <w:rsid w:val="0028244A"/>
    <w:rsid w:val="002841B6"/>
    <w:rsid w:val="002922B2"/>
    <w:rsid w:val="00294284"/>
    <w:rsid w:val="0029548E"/>
    <w:rsid w:val="00295F32"/>
    <w:rsid w:val="00297191"/>
    <w:rsid w:val="00297331"/>
    <w:rsid w:val="002A0207"/>
    <w:rsid w:val="002A683E"/>
    <w:rsid w:val="002A7A20"/>
    <w:rsid w:val="002B45C9"/>
    <w:rsid w:val="002C5164"/>
    <w:rsid w:val="002C62F5"/>
    <w:rsid w:val="002C7055"/>
    <w:rsid w:val="002D0FD2"/>
    <w:rsid w:val="002D2C36"/>
    <w:rsid w:val="002E1177"/>
    <w:rsid w:val="002E1C5E"/>
    <w:rsid w:val="002E4F59"/>
    <w:rsid w:val="002E6B86"/>
    <w:rsid w:val="002E7EA3"/>
    <w:rsid w:val="002F0448"/>
    <w:rsid w:val="002F2DF7"/>
    <w:rsid w:val="003027EA"/>
    <w:rsid w:val="00303072"/>
    <w:rsid w:val="003052C3"/>
    <w:rsid w:val="003070EA"/>
    <w:rsid w:val="0031067F"/>
    <w:rsid w:val="003108E5"/>
    <w:rsid w:val="00311C08"/>
    <w:rsid w:val="003169DC"/>
    <w:rsid w:val="003226FC"/>
    <w:rsid w:val="00323968"/>
    <w:rsid w:val="00325751"/>
    <w:rsid w:val="0032587B"/>
    <w:rsid w:val="003260E7"/>
    <w:rsid w:val="00327160"/>
    <w:rsid w:val="003277E7"/>
    <w:rsid w:val="00327E60"/>
    <w:rsid w:val="003311CC"/>
    <w:rsid w:val="00331D8C"/>
    <w:rsid w:val="00341FD3"/>
    <w:rsid w:val="003431B3"/>
    <w:rsid w:val="00344008"/>
    <w:rsid w:val="00351C69"/>
    <w:rsid w:val="0035236D"/>
    <w:rsid w:val="00352D76"/>
    <w:rsid w:val="003538B8"/>
    <w:rsid w:val="00356D08"/>
    <w:rsid w:val="00357F48"/>
    <w:rsid w:val="00360EB3"/>
    <w:rsid w:val="00361000"/>
    <w:rsid w:val="00362912"/>
    <w:rsid w:val="00362B35"/>
    <w:rsid w:val="00362E0A"/>
    <w:rsid w:val="0036304B"/>
    <w:rsid w:val="00371868"/>
    <w:rsid w:val="00372E65"/>
    <w:rsid w:val="003741C8"/>
    <w:rsid w:val="0038061A"/>
    <w:rsid w:val="00380E33"/>
    <w:rsid w:val="00381187"/>
    <w:rsid w:val="00382C6F"/>
    <w:rsid w:val="00384420"/>
    <w:rsid w:val="0038778F"/>
    <w:rsid w:val="00392E48"/>
    <w:rsid w:val="00393A22"/>
    <w:rsid w:val="003978E1"/>
    <w:rsid w:val="003A4BA8"/>
    <w:rsid w:val="003B05FD"/>
    <w:rsid w:val="003B10C0"/>
    <w:rsid w:val="003B169A"/>
    <w:rsid w:val="003B793F"/>
    <w:rsid w:val="003B79D0"/>
    <w:rsid w:val="003B7BE2"/>
    <w:rsid w:val="003C3F59"/>
    <w:rsid w:val="003C679E"/>
    <w:rsid w:val="003C74B3"/>
    <w:rsid w:val="003D094C"/>
    <w:rsid w:val="003D3BDA"/>
    <w:rsid w:val="003D3C0E"/>
    <w:rsid w:val="003D40D5"/>
    <w:rsid w:val="003D5B4F"/>
    <w:rsid w:val="003E61E1"/>
    <w:rsid w:val="003F08AF"/>
    <w:rsid w:val="003F3C3D"/>
    <w:rsid w:val="003F49F8"/>
    <w:rsid w:val="00401EA8"/>
    <w:rsid w:val="004037C9"/>
    <w:rsid w:val="00403AFD"/>
    <w:rsid w:val="00404EF6"/>
    <w:rsid w:val="004076AE"/>
    <w:rsid w:val="0041243F"/>
    <w:rsid w:val="0041279F"/>
    <w:rsid w:val="00415EB9"/>
    <w:rsid w:val="00416C28"/>
    <w:rsid w:val="0042054E"/>
    <w:rsid w:val="00423691"/>
    <w:rsid w:val="004246B4"/>
    <w:rsid w:val="00426134"/>
    <w:rsid w:val="00426BC3"/>
    <w:rsid w:val="004325F2"/>
    <w:rsid w:val="0043740D"/>
    <w:rsid w:val="004415D4"/>
    <w:rsid w:val="00443F60"/>
    <w:rsid w:val="00444383"/>
    <w:rsid w:val="004472C5"/>
    <w:rsid w:val="00451BDA"/>
    <w:rsid w:val="004529A8"/>
    <w:rsid w:val="00453A2E"/>
    <w:rsid w:val="00453A86"/>
    <w:rsid w:val="004555A7"/>
    <w:rsid w:val="004624C8"/>
    <w:rsid w:val="00462EF5"/>
    <w:rsid w:val="004657E8"/>
    <w:rsid w:val="004712B4"/>
    <w:rsid w:val="00472482"/>
    <w:rsid w:val="004727D0"/>
    <w:rsid w:val="00472B76"/>
    <w:rsid w:val="00482D91"/>
    <w:rsid w:val="0048445C"/>
    <w:rsid w:val="00495814"/>
    <w:rsid w:val="004974F4"/>
    <w:rsid w:val="004A00FE"/>
    <w:rsid w:val="004A05FC"/>
    <w:rsid w:val="004A0CD6"/>
    <w:rsid w:val="004A18F5"/>
    <w:rsid w:val="004A4093"/>
    <w:rsid w:val="004A5707"/>
    <w:rsid w:val="004A6C96"/>
    <w:rsid w:val="004B60DD"/>
    <w:rsid w:val="004B60E3"/>
    <w:rsid w:val="004B686E"/>
    <w:rsid w:val="004C3E6B"/>
    <w:rsid w:val="004C5C4F"/>
    <w:rsid w:val="004C5F5C"/>
    <w:rsid w:val="004C7705"/>
    <w:rsid w:val="004D0E95"/>
    <w:rsid w:val="004D0F1D"/>
    <w:rsid w:val="004D37CB"/>
    <w:rsid w:val="004D3C92"/>
    <w:rsid w:val="004D5B3C"/>
    <w:rsid w:val="004D77A4"/>
    <w:rsid w:val="004E541A"/>
    <w:rsid w:val="004F4341"/>
    <w:rsid w:val="00502B2B"/>
    <w:rsid w:val="005031ED"/>
    <w:rsid w:val="005036F5"/>
    <w:rsid w:val="00504EC4"/>
    <w:rsid w:val="00505E35"/>
    <w:rsid w:val="00513935"/>
    <w:rsid w:val="00514DF7"/>
    <w:rsid w:val="005152F2"/>
    <w:rsid w:val="0051562F"/>
    <w:rsid w:val="00520A8A"/>
    <w:rsid w:val="00522834"/>
    <w:rsid w:val="00523300"/>
    <w:rsid w:val="005237C6"/>
    <w:rsid w:val="00523BBB"/>
    <w:rsid w:val="00523F4B"/>
    <w:rsid w:val="00533620"/>
    <w:rsid w:val="00534C41"/>
    <w:rsid w:val="0054262A"/>
    <w:rsid w:val="00547688"/>
    <w:rsid w:val="005478CD"/>
    <w:rsid w:val="00547CD3"/>
    <w:rsid w:val="00550552"/>
    <w:rsid w:val="00550C81"/>
    <w:rsid w:val="00550E14"/>
    <w:rsid w:val="005517AE"/>
    <w:rsid w:val="00555BB1"/>
    <w:rsid w:val="00557008"/>
    <w:rsid w:val="00564A37"/>
    <w:rsid w:val="005658E0"/>
    <w:rsid w:val="00566AE0"/>
    <w:rsid w:val="0057496B"/>
    <w:rsid w:val="00574EC2"/>
    <w:rsid w:val="0058193A"/>
    <w:rsid w:val="00581AF0"/>
    <w:rsid w:val="005823AF"/>
    <w:rsid w:val="00583FF6"/>
    <w:rsid w:val="005846AD"/>
    <w:rsid w:val="00584A3A"/>
    <w:rsid w:val="00591563"/>
    <w:rsid w:val="00591808"/>
    <w:rsid w:val="00591A0F"/>
    <w:rsid w:val="00593A15"/>
    <w:rsid w:val="005964B0"/>
    <w:rsid w:val="005A50B0"/>
    <w:rsid w:val="005A5525"/>
    <w:rsid w:val="005A5BFA"/>
    <w:rsid w:val="005A68E6"/>
    <w:rsid w:val="005A7B94"/>
    <w:rsid w:val="005B08D6"/>
    <w:rsid w:val="005B23BC"/>
    <w:rsid w:val="005B26EE"/>
    <w:rsid w:val="005B28E6"/>
    <w:rsid w:val="005B6FAB"/>
    <w:rsid w:val="005C0DC5"/>
    <w:rsid w:val="005C525E"/>
    <w:rsid w:val="005C5602"/>
    <w:rsid w:val="005C7641"/>
    <w:rsid w:val="005D027C"/>
    <w:rsid w:val="005D0516"/>
    <w:rsid w:val="005D07EA"/>
    <w:rsid w:val="005D1759"/>
    <w:rsid w:val="005D274A"/>
    <w:rsid w:val="005D6B4E"/>
    <w:rsid w:val="005E0FC0"/>
    <w:rsid w:val="005E25BD"/>
    <w:rsid w:val="005E381A"/>
    <w:rsid w:val="005E41F4"/>
    <w:rsid w:val="005E5243"/>
    <w:rsid w:val="005E5372"/>
    <w:rsid w:val="005E59A6"/>
    <w:rsid w:val="005E6B96"/>
    <w:rsid w:val="005E6FE0"/>
    <w:rsid w:val="005E7E79"/>
    <w:rsid w:val="005F0455"/>
    <w:rsid w:val="005F2667"/>
    <w:rsid w:val="005F3765"/>
    <w:rsid w:val="005F3856"/>
    <w:rsid w:val="005F4935"/>
    <w:rsid w:val="006008C2"/>
    <w:rsid w:val="00601967"/>
    <w:rsid w:val="00601FE2"/>
    <w:rsid w:val="00606235"/>
    <w:rsid w:val="00607520"/>
    <w:rsid w:val="00607D25"/>
    <w:rsid w:val="00611051"/>
    <w:rsid w:val="00612816"/>
    <w:rsid w:val="00613E94"/>
    <w:rsid w:val="00615EDF"/>
    <w:rsid w:val="006215D5"/>
    <w:rsid w:val="00623613"/>
    <w:rsid w:val="00623F77"/>
    <w:rsid w:val="00625519"/>
    <w:rsid w:val="00632DA3"/>
    <w:rsid w:val="00632F8C"/>
    <w:rsid w:val="006333A1"/>
    <w:rsid w:val="006351A0"/>
    <w:rsid w:val="006367D6"/>
    <w:rsid w:val="00636C9A"/>
    <w:rsid w:val="00640EBC"/>
    <w:rsid w:val="00640FCD"/>
    <w:rsid w:val="00643DEE"/>
    <w:rsid w:val="0065404F"/>
    <w:rsid w:val="0065423C"/>
    <w:rsid w:val="0065504D"/>
    <w:rsid w:val="0065656D"/>
    <w:rsid w:val="00661D8D"/>
    <w:rsid w:val="006665C6"/>
    <w:rsid w:val="0067103C"/>
    <w:rsid w:val="00671A58"/>
    <w:rsid w:val="006735EA"/>
    <w:rsid w:val="006753CA"/>
    <w:rsid w:val="0069150C"/>
    <w:rsid w:val="006A1035"/>
    <w:rsid w:val="006A2DB5"/>
    <w:rsid w:val="006A6257"/>
    <w:rsid w:val="006A72E3"/>
    <w:rsid w:val="006B0546"/>
    <w:rsid w:val="006B1541"/>
    <w:rsid w:val="006B165D"/>
    <w:rsid w:val="006B6457"/>
    <w:rsid w:val="006B7FA1"/>
    <w:rsid w:val="006C12B4"/>
    <w:rsid w:val="006C54B0"/>
    <w:rsid w:val="006C56C2"/>
    <w:rsid w:val="006D080D"/>
    <w:rsid w:val="006D1653"/>
    <w:rsid w:val="006D2E33"/>
    <w:rsid w:val="006D329E"/>
    <w:rsid w:val="006D5531"/>
    <w:rsid w:val="006D6A57"/>
    <w:rsid w:val="006E1797"/>
    <w:rsid w:val="006E1DF7"/>
    <w:rsid w:val="006E37CD"/>
    <w:rsid w:val="006F219F"/>
    <w:rsid w:val="006F59FE"/>
    <w:rsid w:val="00700BCC"/>
    <w:rsid w:val="00701D9A"/>
    <w:rsid w:val="007021D5"/>
    <w:rsid w:val="00702B13"/>
    <w:rsid w:val="00702DE0"/>
    <w:rsid w:val="007069AA"/>
    <w:rsid w:val="00707BCD"/>
    <w:rsid w:val="007110C1"/>
    <w:rsid w:val="007115B0"/>
    <w:rsid w:val="00711604"/>
    <w:rsid w:val="00717A54"/>
    <w:rsid w:val="00720B76"/>
    <w:rsid w:val="0072208B"/>
    <w:rsid w:val="00722953"/>
    <w:rsid w:val="00723B8E"/>
    <w:rsid w:val="007338CD"/>
    <w:rsid w:val="00742AE2"/>
    <w:rsid w:val="00745181"/>
    <w:rsid w:val="00745A16"/>
    <w:rsid w:val="00745DA1"/>
    <w:rsid w:val="007543B5"/>
    <w:rsid w:val="00756829"/>
    <w:rsid w:val="00757F3D"/>
    <w:rsid w:val="007617C5"/>
    <w:rsid w:val="007634E4"/>
    <w:rsid w:val="00765569"/>
    <w:rsid w:val="00767F4A"/>
    <w:rsid w:val="00772EC7"/>
    <w:rsid w:val="00790076"/>
    <w:rsid w:val="00792EE9"/>
    <w:rsid w:val="007930C1"/>
    <w:rsid w:val="00793CD3"/>
    <w:rsid w:val="00793F0E"/>
    <w:rsid w:val="007A0A72"/>
    <w:rsid w:val="007A0C7E"/>
    <w:rsid w:val="007A1D90"/>
    <w:rsid w:val="007A4542"/>
    <w:rsid w:val="007A4847"/>
    <w:rsid w:val="007A6660"/>
    <w:rsid w:val="007C0D40"/>
    <w:rsid w:val="007C2AAE"/>
    <w:rsid w:val="007C3035"/>
    <w:rsid w:val="007C5EB9"/>
    <w:rsid w:val="007C69CE"/>
    <w:rsid w:val="007D01F7"/>
    <w:rsid w:val="007D0481"/>
    <w:rsid w:val="007D1B06"/>
    <w:rsid w:val="007D3C71"/>
    <w:rsid w:val="007E2E3A"/>
    <w:rsid w:val="007E4367"/>
    <w:rsid w:val="007E5367"/>
    <w:rsid w:val="007E5C1A"/>
    <w:rsid w:val="007F0692"/>
    <w:rsid w:val="007F0AEC"/>
    <w:rsid w:val="007F250F"/>
    <w:rsid w:val="007F6647"/>
    <w:rsid w:val="00803096"/>
    <w:rsid w:val="00807BA2"/>
    <w:rsid w:val="00815787"/>
    <w:rsid w:val="00817F98"/>
    <w:rsid w:val="00820B7E"/>
    <w:rsid w:val="00820E51"/>
    <w:rsid w:val="00821092"/>
    <w:rsid w:val="008211C5"/>
    <w:rsid w:val="00821DB1"/>
    <w:rsid w:val="00821E19"/>
    <w:rsid w:val="00826175"/>
    <w:rsid w:val="00826AB7"/>
    <w:rsid w:val="00836BB9"/>
    <w:rsid w:val="00844A25"/>
    <w:rsid w:val="00850795"/>
    <w:rsid w:val="008564A6"/>
    <w:rsid w:val="0087239C"/>
    <w:rsid w:val="00872D7D"/>
    <w:rsid w:val="00875C2E"/>
    <w:rsid w:val="00882DC8"/>
    <w:rsid w:val="00883464"/>
    <w:rsid w:val="00883A6D"/>
    <w:rsid w:val="00884640"/>
    <w:rsid w:val="00887BFF"/>
    <w:rsid w:val="00897556"/>
    <w:rsid w:val="00897F39"/>
    <w:rsid w:val="008A2047"/>
    <w:rsid w:val="008A295D"/>
    <w:rsid w:val="008A3736"/>
    <w:rsid w:val="008A5FDB"/>
    <w:rsid w:val="008B00E4"/>
    <w:rsid w:val="008B2200"/>
    <w:rsid w:val="008B398C"/>
    <w:rsid w:val="008B4D49"/>
    <w:rsid w:val="008C1231"/>
    <w:rsid w:val="008C1B94"/>
    <w:rsid w:val="008C1F3B"/>
    <w:rsid w:val="008C3425"/>
    <w:rsid w:val="008C3BEC"/>
    <w:rsid w:val="008C519A"/>
    <w:rsid w:val="008C68AD"/>
    <w:rsid w:val="008D0E7E"/>
    <w:rsid w:val="008D29A5"/>
    <w:rsid w:val="008D37C6"/>
    <w:rsid w:val="008D5245"/>
    <w:rsid w:val="008D62A0"/>
    <w:rsid w:val="008D678A"/>
    <w:rsid w:val="008E2578"/>
    <w:rsid w:val="008E38DF"/>
    <w:rsid w:val="008E398B"/>
    <w:rsid w:val="008E3DE8"/>
    <w:rsid w:val="008E5640"/>
    <w:rsid w:val="008E6A3E"/>
    <w:rsid w:val="008E70B8"/>
    <w:rsid w:val="008F24AB"/>
    <w:rsid w:val="00901DC8"/>
    <w:rsid w:val="00905275"/>
    <w:rsid w:val="00913450"/>
    <w:rsid w:val="00916F82"/>
    <w:rsid w:val="009203D6"/>
    <w:rsid w:val="0092210B"/>
    <w:rsid w:val="0092338D"/>
    <w:rsid w:val="00923853"/>
    <w:rsid w:val="00927795"/>
    <w:rsid w:val="00931063"/>
    <w:rsid w:val="00934252"/>
    <w:rsid w:val="0093489B"/>
    <w:rsid w:val="00934B2B"/>
    <w:rsid w:val="00936203"/>
    <w:rsid w:val="00937359"/>
    <w:rsid w:val="00940DB9"/>
    <w:rsid w:val="00940FBD"/>
    <w:rsid w:val="009442E4"/>
    <w:rsid w:val="00951337"/>
    <w:rsid w:val="00954CFE"/>
    <w:rsid w:val="00955BDC"/>
    <w:rsid w:val="00957CF4"/>
    <w:rsid w:val="00962650"/>
    <w:rsid w:val="00964053"/>
    <w:rsid w:val="0097112D"/>
    <w:rsid w:val="00973FD4"/>
    <w:rsid w:val="00974C29"/>
    <w:rsid w:val="00974D26"/>
    <w:rsid w:val="00975D09"/>
    <w:rsid w:val="00976C5E"/>
    <w:rsid w:val="00981903"/>
    <w:rsid w:val="00981E72"/>
    <w:rsid w:val="00982B22"/>
    <w:rsid w:val="009848BE"/>
    <w:rsid w:val="00985B31"/>
    <w:rsid w:val="0098711B"/>
    <w:rsid w:val="00990299"/>
    <w:rsid w:val="0099172E"/>
    <w:rsid w:val="009947FE"/>
    <w:rsid w:val="00994C61"/>
    <w:rsid w:val="00996D4C"/>
    <w:rsid w:val="009A00FD"/>
    <w:rsid w:val="009A460E"/>
    <w:rsid w:val="009A5A42"/>
    <w:rsid w:val="009A7D33"/>
    <w:rsid w:val="009B33A3"/>
    <w:rsid w:val="009B4925"/>
    <w:rsid w:val="009B6C8E"/>
    <w:rsid w:val="009B74DA"/>
    <w:rsid w:val="009C006D"/>
    <w:rsid w:val="009C57DD"/>
    <w:rsid w:val="009C61CC"/>
    <w:rsid w:val="009C6951"/>
    <w:rsid w:val="009D17F5"/>
    <w:rsid w:val="009D1BCA"/>
    <w:rsid w:val="009D42E4"/>
    <w:rsid w:val="009D47B7"/>
    <w:rsid w:val="009D5DEB"/>
    <w:rsid w:val="009E00A2"/>
    <w:rsid w:val="009E016C"/>
    <w:rsid w:val="009E446F"/>
    <w:rsid w:val="009E7B6D"/>
    <w:rsid w:val="009F1D55"/>
    <w:rsid w:val="009F2637"/>
    <w:rsid w:val="009F358E"/>
    <w:rsid w:val="009F7B0B"/>
    <w:rsid w:val="00A002FA"/>
    <w:rsid w:val="00A05425"/>
    <w:rsid w:val="00A058F0"/>
    <w:rsid w:val="00A06235"/>
    <w:rsid w:val="00A06A67"/>
    <w:rsid w:val="00A073AE"/>
    <w:rsid w:val="00A07EE1"/>
    <w:rsid w:val="00A1022B"/>
    <w:rsid w:val="00A113C6"/>
    <w:rsid w:val="00A12AC0"/>
    <w:rsid w:val="00A12DEF"/>
    <w:rsid w:val="00A16654"/>
    <w:rsid w:val="00A22874"/>
    <w:rsid w:val="00A22E68"/>
    <w:rsid w:val="00A231EC"/>
    <w:rsid w:val="00A24213"/>
    <w:rsid w:val="00A33614"/>
    <w:rsid w:val="00A42747"/>
    <w:rsid w:val="00A43E17"/>
    <w:rsid w:val="00A45A44"/>
    <w:rsid w:val="00A45EAA"/>
    <w:rsid w:val="00A5269F"/>
    <w:rsid w:val="00A53670"/>
    <w:rsid w:val="00A53C57"/>
    <w:rsid w:val="00A57F06"/>
    <w:rsid w:val="00A60E5B"/>
    <w:rsid w:val="00A67E04"/>
    <w:rsid w:val="00A7223C"/>
    <w:rsid w:val="00A73B23"/>
    <w:rsid w:val="00A76678"/>
    <w:rsid w:val="00A76DE4"/>
    <w:rsid w:val="00A82DBC"/>
    <w:rsid w:val="00A84410"/>
    <w:rsid w:val="00A8615C"/>
    <w:rsid w:val="00A86DE4"/>
    <w:rsid w:val="00A87125"/>
    <w:rsid w:val="00A916F4"/>
    <w:rsid w:val="00A94459"/>
    <w:rsid w:val="00A948A1"/>
    <w:rsid w:val="00A9725B"/>
    <w:rsid w:val="00AA03BB"/>
    <w:rsid w:val="00AA1635"/>
    <w:rsid w:val="00AA1D0E"/>
    <w:rsid w:val="00AA3FD5"/>
    <w:rsid w:val="00AA45AD"/>
    <w:rsid w:val="00AA4E0A"/>
    <w:rsid w:val="00AA52B7"/>
    <w:rsid w:val="00AA5690"/>
    <w:rsid w:val="00AA5CFB"/>
    <w:rsid w:val="00AB091E"/>
    <w:rsid w:val="00AB1669"/>
    <w:rsid w:val="00AB55B9"/>
    <w:rsid w:val="00AC37CB"/>
    <w:rsid w:val="00AC5067"/>
    <w:rsid w:val="00AC54AD"/>
    <w:rsid w:val="00AC6B6B"/>
    <w:rsid w:val="00AC6C4B"/>
    <w:rsid w:val="00AC6F1C"/>
    <w:rsid w:val="00AD10F8"/>
    <w:rsid w:val="00AD2306"/>
    <w:rsid w:val="00AD3598"/>
    <w:rsid w:val="00AD786A"/>
    <w:rsid w:val="00AE243C"/>
    <w:rsid w:val="00AE5178"/>
    <w:rsid w:val="00AE7624"/>
    <w:rsid w:val="00AF2C2F"/>
    <w:rsid w:val="00AF319F"/>
    <w:rsid w:val="00B03179"/>
    <w:rsid w:val="00B06CF0"/>
    <w:rsid w:val="00B16BB0"/>
    <w:rsid w:val="00B25AA1"/>
    <w:rsid w:val="00B31CBE"/>
    <w:rsid w:val="00B32A6D"/>
    <w:rsid w:val="00B33519"/>
    <w:rsid w:val="00B40D7E"/>
    <w:rsid w:val="00B41A40"/>
    <w:rsid w:val="00B43434"/>
    <w:rsid w:val="00B44154"/>
    <w:rsid w:val="00B4724D"/>
    <w:rsid w:val="00B51D73"/>
    <w:rsid w:val="00B53ED1"/>
    <w:rsid w:val="00B55559"/>
    <w:rsid w:val="00B566FC"/>
    <w:rsid w:val="00B64BF3"/>
    <w:rsid w:val="00B662BE"/>
    <w:rsid w:val="00B66E38"/>
    <w:rsid w:val="00B673B2"/>
    <w:rsid w:val="00B77268"/>
    <w:rsid w:val="00B8063E"/>
    <w:rsid w:val="00B80E11"/>
    <w:rsid w:val="00B84699"/>
    <w:rsid w:val="00B854FD"/>
    <w:rsid w:val="00B90334"/>
    <w:rsid w:val="00B931B3"/>
    <w:rsid w:val="00B93465"/>
    <w:rsid w:val="00B94992"/>
    <w:rsid w:val="00BA0178"/>
    <w:rsid w:val="00BA6958"/>
    <w:rsid w:val="00BA6E87"/>
    <w:rsid w:val="00BA7D9D"/>
    <w:rsid w:val="00BB0A99"/>
    <w:rsid w:val="00BB269F"/>
    <w:rsid w:val="00BB309C"/>
    <w:rsid w:val="00BB6069"/>
    <w:rsid w:val="00BB64BD"/>
    <w:rsid w:val="00BC03B3"/>
    <w:rsid w:val="00BC1A87"/>
    <w:rsid w:val="00BC616C"/>
    <w:rsid w:val="00BD045A"/>
    <w:rsid w:val="00BD3D36"/>
    <w:rsid w:val="00BD645B"/>
    <w:rsid w:val="00BD7176"/>
    <w:rsid w:val="00BE0143"/>
    <w:rsid w:val="00BE5C49"/>
    <w:rsid w:val="00BF05CD"/>
    <w:rsid w:val="00BF1424"/>
    <w:rsid w:val="00BF2120"/>
    <w:rsid w:val="00BF4455"/>
    <w:rsid w:val="00C00B06"/>
    <w:rsid w:val="00C024B4"/>
    <w:rsid w:val="00C039D0"/>
    <w:rsid w:val="00C03E63"/>
    <w:rsid w:val="00C045A6"/>
    <w:rsid w:val="00C0740B"/>
    <w:rsid w:val="00C074A9"/>
    <w:rsid w:val="00C10451"/>
    <w:rsid w:val="00C1046B"/>
    <w:rsid w:val="00C10A08"/>
    <w:rsid w:val="00C1346E"/>
    <w:rsid w:val="00C13F07"/>
    <w:rsid w:val="00C14074"/>
    <w:rsid w:val="00C156CD"/>
    <w:rsid w:val="00C1707A"/>
    <w:rsid w:val="00C20615"/>
    <w:rsid w:val="00C27401"/>
    <w:rsid w:val="00C301BF"/>
    <w:rsid w:val="00C33408"/>
    <w:rsid w:val="00C33B27"/>
    <w:rsid w:val="00C41231"/>
    <w:rsid w:val="00C413DA"/>
    <w:rsid w:val="00C42EC4"/>
    <w:rsid w:val="00C43A3C"/>
    <w:rsid w:val="00C46967"/>
    <w:rsid w:val="00C51218"/>
    <w:rsid w:val="00C522BD"/>
    <w:rsid w:val="00C5443A"/>
    <w:rsid w:val="00C55DB5"/>
    <w:rsid w:val="00C57330"/>
    <w:rsid w:val="00C5752C"/>
    <w:rsid w:val="00C659F4"/>
    <w:rsid w:val="00C66F14"/>
    <w:rsid w:val="00C6740C"/>
    <w:rsid w:val="00C70B5F"/>
    <w:rsid w:val="00C71CD6"/>
    <w:rsid w:val="00C7254F"/>
    <w:rsid w:val="00C73EC5"/>
    <w:rsid w:val="00C770FF"/>
    <w:rsid w:val="00C77862"/>
    <w:rsid w:val="00C800E2"/>
    <w:rsid w:val="00C802ED"/>
    <w:rsid w:val="00C80E2B"/>
    <w:rsid w:val="00C82BAE"/>
    <w:rsid w:val="00C84A01"/>
    <w:rsid w:val="00C8613A"/>
    <w:rsid w:val="00C87DB8"/>
    <w:rsid w:val="00C92F88"/>
    <w:rsid w:val="00C9521A"/>
    <w:rsid w:val="00C964BC"/>
    <w:rsid w:val="00C97CD0"/>
    <w:rsid w:val="00CA35C6"/>
    <w:rsid w:val="00CA43A1"/>
    <w:rsid w:val="00CB0F35"/>
    <w:rsid w:val="00CB37BB"/>
    <w:rsid w:val="00CB6318"/>
    <w:rsid w:val="00CB6CC4"/>
    <w:rsid w:val="00CC08BA"/>
    <w:rsid w:val="00CC177A"/>
    <w:rsid w:val="00CD08B4"/>
    <w:rsid w:val="00CD2DBF"/>
    <w:rsid w:val="00CD4D3E"/>
    <w:rsid w:val="00CD6A21"/>
    <w:rsid w:val="00CF2B43"/>
    <w:rsid w:val="00D002F4"/>
    <w:rsid w:val="00D004F5"/>
    <w:rsid w:val="00D009B1"/>
    <w:rsid w:val="00D00CB7"/>
    <w:rsid w:val="00D00F76"/>
    <w:rsid w:val="00D02F48"/>
    <w:rsid w:val="00D04571"/>
    <w:rsid w:val="00D05204"/>
    <w:rsid w:val="00D0662A"/>
    <w:rsid w:val="00D06A53"/>
    <w:rsid w:val="00D0799D"/>
    <w:rsid w:val="00D13E77"/>
    <w:rsid w:val="00D15324"/>
    <w:rsid w:val="00D22A63"/>
    <w:rsid w:val="00D237A5"/>
    <w:rsid w:val="00D26AD8"/>
    <w:rsid w:val="00D3244A"/>
    <w:rsid w:val="00D35A6D"/>
    <w:rsid w:val="00D40324"/>
    <w:rsid w:val="00D404E9"/>
    <w:rsid w:val="00D45078"/>
    <w:rsid w:val="00D457C8"/>
    <w:rsid w:val="00D45AF0"/>
    <w:rsid w:val="00D4640B"/>
    <w:rsid w:val="00D4642E"/>
    <w:rsid w:val="00D51C46"/>
    <w:rsid w:val="00D526AF"/>
    <w:rsid w:val="00D55270"/>
    <w:rsid w:val="00D56318"/>
    <w:rsid w:val="00D573B7"/>
    <w:rsid w:val="00D60351"/>
    <w:rsid w:val="00D651E0"/>
    <w:rsid w:val="00D720A7"/>
    <w:rsid w:val="00D72C74"/>
    <w:rsid w:val="00D76E39"/>
    <w:rsid w:val="00D77DB9"/>
    <w:rsid w:val="00D81AC7"/>
    <w:rsid w:val="00D837D8"/>
    <w:rsid w:val="00D8457E"/>
    <w:rsid w:val="00D870E5"/>
    <w:rsid w:val="00DA2137"/>
    <w:rsid w:val="00DA36F5"/>
    <w:rsid w:val="00DA64C8"/>
    <w:rsid w:val="00DB150A"/>
    <w:rsid w:val="00DB2C6F"/>
    <w:rsid w:val="00DB40C9"/>
    <w:rsid w:val="00DB4C4F"/>
    <w:rsid w:val="00DB734B"/>
    <w:rsid w:val="00DB7E11"/>
    <w:rsid w:val="00DC3C15"/>
    <w:rsid w:val="00DC4B2B"/>
    <w:rsid w:val="00DC7304"/>
    <w:rsid w:val="00DD10C1"/>
    <w:rsid w:val="00DD17BB"/>
    <w:rsid w:val="00DD18B0"/>
    <w:rsid w:val="00DD1F84"/>
    <w:rsid w:val="00DD46F5"/>
    <w:rsid w:val="00DD47F1"/>
    <w:rsid w:val="00DE03C6"/>
    <w:rsid w:val="00DE048F"/>
    <w:rsid w:val="00DE24AE"/>
    <w:rsid w:val="00DE3C31"/>
    <w:rsid w:val="00DF0475"/>
    <w:rsid w:val="00DF111D"/>
    <w:rsid w:val="00DF338E"/>
    <w:rsid w:val="00DF3E06"/>
    <w:rsid w:val="00DF4FA9"/>
    <w:rsid w:val="00DF69C9"/>
    <w:rsid w:val="00DF79AD"/>
    <w:rsid w:val="00E02068"/>
    <w:rsid w:val="00E05974"/>
    <w:rsid w:val="00E06206"/>
    <w:rsid w:val="00E12FA3"/>
    <w:rsid w:val="00E1389D"/>
    <w:rsid w:val="00E16D73"/>
    <w:rsid w:val="00E16D94"/>
    <w:rsid w:val="00E1727D"/>
    <w:rsid w:val="00E24097"/>
    <w:rsid w:val="00E2514A"/>
    <w:rsid w:val="00E26917"/>
    <w:rsid w:val="00E3393D"/>
    <w:rsid w:val="00E33AF0"/>
    <w:rsid w:val="00E33DF8"/>
    <w:rsid w:val="00E367F5"/>
    <w:rsid w:val="00E42118"/>
    <w:rsid w:val="00E4237A"/>
    <w:rsid w:val="00E42941"/>
    <w:rsid w:val="00E42D6F"/>
    <w:rsid w:val="00E437C5"/>
    <w:rsid w:val="00E43AF3"/>
    <w:rsid w:val="00E44D96"/>
    <w:rsid w:val="00E45BB9"/>
    <w:rsid w:val="00E505DC"/>
    <w:rsid w:val="00E5081E"/>
    <w:rsid w:val="00E50926"/>
    <w:rsid w:val="00E52ECA"/>
    <w:rsid w:val="00E54E64"/>
    <w:rsid w:val="00E56362"/>
    <w:rsid w:val="00E62922"/>
    <w:rsid w:val="00E65958"/>
    <w:rsid w:val="00E72BC6"/>
    <w:rsid w:val="00E74F17"/>
    <w:rsid w:val="00E80836"/>
    <w:rsid w:val="00E80C21"/>
    <w:rsid w:val="00E81EEC"/>
    <w:rsid w:val="00E82FE8"/>
    <w:rsid w:val="00E85755"/>
    <w:rsid w:val="00E91E79"/>
    <w:rsid w:val="00E938D6"/>
    <w:rsid w:val="00E9421A"/>
    <w:rsid w:val="00E94D2F"/>
    <w:rsid w:val="00E95074"/>
    <w:rsid w:val="00EA25FE"/>
    <w:rsid w:val="00EA2CDA"/>
    <w:rsid w:val="00EA35B0"/>
    <w:rsid w:val="00EA38BA"/>
    <w:rsid w:val="00EA38E5"/>
    <w:rsid w:val="00EA5D8D"/>
    <w:rsid w:val="00EA734D"/>
    <w:rsid w:val="00EB0C4B"/>
    <w:rsid w:val="00EB3155"/>
    <w:rsid w:val="00EB5DFE"/>
    <w:rsid w:val="00EC01CE"/>
    <w:rsid w:val="00EC24D1"/>
    <w:rsid w:val="00EC2CBB"/>
    <w:rsid w:val="00EC2E81"/>
    <w:rsid w:val="00EC51CD"/>
    <w:rsid w:val="00ED0A40"/>
    <w:rsid w:val="00ED75E0"/>
    <w:rsid w:val="00ED79D4"/>
    <w:rsid w:val="00EE0470"/>
    <w:rsid w:val="00EE071F"/>
    <w:rsid w:val="00EE0D21"/>
    <w:rsid w:val="00EE26BE"/>
    <w:rsid w:val="00EE2EBB"/>
    <w:rsid w:val="00EF0148"/>
    <w:rsid w:val="00EF1424"/>
    <w:rsid w:val="00EF4F1D"/>
    <w:rsid w:val="00EF6C9D"/>
    <w:rsid w:val="00F000D3"/>
    <w:rsid w:val="00F0045E"/>
    <w:rsid w:val="00F01CDE"/>
    <w:rsid w:val="00F01D3A"/>
    <w:rsid w:val="00F023E4"/>
    <w:rsid w:val="00F06B16"/>
    <w:rsid w:val="00F07326"/>
    <w:rsid w:val="00F1105A"/>
    <w:rsid w:val="00F12005"/>
    <w:rsid w:val="00F130ED"/>
    <w:rsid w:val="00F139BE"/>
    <w:rsid w:val="00F13F5C"/>
    <w:rsid w:val="00F16764"/>
    <w:rsid w:val="00F21956"/>
    <w:rsid w:val="00F22910"/>
    <w:rsid w:val="00F253CB"/>
    <w:rsid w:val="00F262E7"/>
    <w:rsid w:val="00F268E0"/>
    <w:rsid w:val="00F300FD"/>
    <w:rsid w:val="00F311B2"/>
    <w:rsid w:val="00F319D2"/>
    <w:rsid w:val="00F31E06"/>
    <w:rsid w:val="00F336D8"/>
    <w:rsid w:val="00F34507"/>
    <w:rsid w:val="00F40ED0"/>
    <w:rsid w:val="00F439FD"/>
    <w:rsid w:val="00F44593"/>
    <w:rsid w:val="00F4486D"/>
    <w:rsid w:val="00F44A96"/>
    <w:rsid w:val="00F467A5"/>
    <w:rsid w:val="00F51E62"/>
    <w:rsid w:val="00F51F98"/>
    <w:rsid w:val="00F52272"/>
    <w:rsid w:val="00F56A11"/>
    <w:rsid w:val="00F57CD2"/>
    <w:rsid w:val="00F64044"/>
    <w:rsid w:val="00F640E1"/>
    <w:rsid w:val="00F64EE8"/>
    <w:rsid w:val="00F66077"/>
    <w:rsid w:val="00F66793"/>
    <w:rsid w:val="00F67540"/>
    <w:rsid w:val="00F72607"/>
    <w:rsid w:val="00F730E4"/>
    <w:rsid w:val="00F75A91"/>
    <w:rsid w:val="00F77362"/>
    <w:rsid w:val="00F81767"/>
    <w:rsid w:val="00F82574"/>
    <w:rsid w:val="00F847F3"/>
    <w:rsid w:val="00F87400"/>
    <w:rsid w:val="00F9015B"/>
    <w:rsid w:val="00F91C8F"/>
    <w:rsid w:val="00F91EDF"/>
    <w:rsid w:val="00F938B3"/>
    <w:rsid w:val="00FA0173"/>
    <w:rsid w:val="00FB0F61"/>
    <w:rsid w:val="00FB1966"/>
    <w:rsid w:val="00FC190F"/>
    <w:rsid w:val="00FC19F2"/>
    <w:rsid w:val="00FC1A82"/>
    <w:rsid w:val="00FD00DC"/>
    <w:rsid w:val="00FD74B9"/>
    <w:rsid w:val="00FE5A9F"/>
    <w:rsid w:val="00FE5C32"/>
    <w:rsid w:val="00FF2640"/>
    <w:rsid w:val="00FF6D2E"/>
    <w:rsid w:val="00FF6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57EC"/>
  <w15:chartTrackingRefBased/>
  <w15:docId w15:val="{1330354A-71BC-4238-9672-A582B045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175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2 Char,Footnote Text Char1 Char Char,Footnote Text Char Char Char Char,Footnote Text Char1 Char Char Char Char1,Footnote Text Char Char Char Char Char Char1,Footnote Text Char Char2 Char Char,fn,fn Ch"/>
    <w:basedOn w:val="Normal"/>
    <w:link w:val="FootnoteTextChar"/>
    <w:semiHidden/>
    <w:rsid w:val="00975D09"/>
    <w:rPr>
      <w:sz w:val="20"/>
    </w:rPr>
  </w:style>
  <w:style w:type="character" w:customStyle="1" w:styleId="FootnoteTextChar">
    <w:name w:val="Footnote Text Char"/>
    <w:aliases w:val="Footnote Text Char1 Char,Footnote Text Char2 Char Char,Footnote Text Char1 Char Char Char,Footnote Text Char Char Char Char Char,Footnote Text Char1 Char Char Char Char1 Char,Footnote Text Char Char Char Char Char Char1 Char,fn Char"/>
    <w:basedOn w:val="DefaultParagraphFont"/>
    <w:link w:val="FootnoteText"/>
    <w:semiHidden/>
    <w:rsid w:val="00975D09"/>
    <w:rPr>
      <w:rFonts w:ascii="Times New Roman" w:eastAsia="Times New Roman" w:hAnsi="Times New Roman" w:cs="Times New Roman"/>
      <w:sz w:val="20"/>
      <w:szCs w:val="20"/>
    </w:rPr>
  </w:style>
  <w:style w:type="character" w:styleId="FootnoteReference">
    <w:name w:val="footnote reference"/>
    <w:aliases w:val="Appel note de bas de p,Style 12,(NECG) Footnote Reference,Style 124,o,fr,Style 3"/>
    <w:semiHidden/>
    <w:rsid w:val="00975D09"/>
    <w:rPr>
      <w:vertAlign w:val="superscript"/>
    </w:rPr>
  </w:style>
  <w:style w:type="paragraph" w:styleId="Footer">
    <w:name w:val="footer"/>
    <w:basedOn w:val="Normal"/>
    <w:link w:val="FooterChar"/>
    <w:rsid w:val="00975D09"/>
    <w:pPr>
      <w:tabs>
        <w:tab w:val="center" w:pos="4320"/>
        <w:tab w:val="right" w:pos="8640"/>
      </w:tabs>
    </w:pPr>
  </w:style>
  <w:style w:type="character" w:customStyle="1" w:styleId="FooterChar">
    <w:name w:val="Footer Char"/>
    <w:basedOn w:val="DefaultParagraphFont"/>
    <w:link w:val="Footer"/>
    <w:rsid w:val="00975D09"/>
    <w:rPr>
      <w:rFonts w:ascii="Times New Roman" w:eastAsia="Times New Roman" w:hAnsi="Times New Roman" w:cs="Times New Roman"/>
      <w:sz w:val="24"/>
      <w:szCs w:val="20"/>
    </w:rPr>
  </w:style>
  <w:style w:type="character" w:styleId="PageNumber">
    <w:name w:val="page number"/>
    <w:basedOn w:val="DefaultParagraphFont"/>
    <w:rsid w:val="00975D09"/>
  </w:style>
  <w:style w:type="paragraph" w:styleId="Header">
    <w:name w:val="header"/>
    <w:basedOn w:val="Normal"/>
    <w:link w:val="HeaderChar"/>
    <w:rsid w:val="00975D09"/>
    <w:pPr>
      <w:tabs>
        <w:tab w:val="center" w:pos="4320"/>
        <w:tab w:val="right" w:pos="8640"/>
      </w:tabs>
    </w:pPr>
  </w:style>
  <w:style w:type="character" w:customStyle="1" w:styleId="HeaderChar">
    <w:name w:val="Header Char"/>
    <w:basedOn w:val="DefaultParagraphFont"/>
    <w:link w:val="Header"/>
    <w:rsid w:val="00975D09"/>
    <w:rPr>
      <w:rFonts w:ascii="Times New Roman" w:eastAsia="Times New Roman" w:hAnsi="Times New Roman" w:cs="Times New Roman"/>
      <w:sz w:val="24"/>
      <w:szCs w:val="20"/>
    </w:rPr>
  </w:style>
  <w:style w:type="character" w:styleId="Hyperlink">
    <w:name w:val="Hyperlink"/>
    <w:rsid w:val="00975D09"/>
    <w:rPr>
      <w:color w:val="0000FF"/>
      <w:u w:val="single"/>
    </w:rPr>
  </w:style>
  <w:style w:type="character" w:styleId="CommentReference">
    <w:name w:val="annotation reference"/>
    <w:semiHidden/>
    <w:rsid w:val="00975D09"/>
    <w:rPr>
      <w:sz w:val="16"/>
      <w:szCs w:val="16"/>
    </w:rPr>
  </w:style>
  <w:style w:type="paragraph" w:styleId="CommentText">
    <w:name w:val="annotation text"/>
    <w:basedOn w:val="Normal"/>
    <w:link w:val="CommentTextChar"/>
    <w:semiHidden/>
    <w:rsid w:val="00975D09"/>
    <w:rPr>
      <w:sz w:val="20"/>
    </w:rPr>
  </w:style>
  <w:style w:type="character" w:customStyle="1" w:styleId="CommentTextChar">
    <w:name w:val="Comment Text Char"/>
    <w:basedOn w:val="DefaultParagraphFont"/>
    <w:link w:val="CommentText"/>
    <w:semiHidden/>
    <w:rsid w:val="00975D09"/>
    <w:rPr>
      <w:rFonts w:ascii="Times New Roman" w:eastAsia="Times New Roman" w:hAnsi="Times New Roman" w:cs="Times New Roman"/>
      <w:sz w:val="20"/>
      <w:szCs w:val="20"/>
    </w:rPr>
  </w:style>
  <w:style w:type="paragraph" w:styleId="BalloonText">
    <w:name w:val="Balloon Text"/>
    <w:basedOn w:val="Normal"/>
    <w:link w:val="BalloonTextChar"/>
    <w:semiHidden/>
    <w:unhideWhenUsed/>
    <w:rsid w:val="005D1759"/>
    <w:rPr>
      <w:rFonts w:ascii="Segoe UI" w:hAnsi="Segoe UI" w:cs="Segoe UI"/>
      <w:sz w:val="18"/>
      <w:szCs w:val="18"/>
    </w:rPr>
  </w:style>
  <w:style w:type="character" w:customStyle="1" w:styleId="BalloonTextChar">
    <w:name w:val="Balloon Text Char"/>
    <w:basedOn w:val="DefaultParagraphFont"/>
    <w:link w:val="BalloonText"/>
    <w:semiHidden/>
    <w:rsid w:val="00975D09"/>
    <w:rPr>
      <w:rFonts w:ascii="Segoe UI" w:eastAsia="Times New Roman" w:hAnsi="Segoe UI" w:cs="Segoe UI"/>
      <w:sz w:val="18"/>
      <w:szCs w:val="18"/>
    </w:rPr>
  </w:style>
  <w:style w:type="paragraph" w:styleId="ListParagraph">
    <w:name w:val="List Paragraph"/>
    <w:basedOn w:val="Normal"/>
    <w:uiPriority w:val="34"/>
    <w:qFormat/>
    <w:rsid w:val="005D1759"/>
    <w:pPr>
      <w:ind w:left="720"/>
    </w:pPr>
  </w:style>
  <w:style w:type="paragraph" w:styleId="NormalWeb">
    <w:name w:val="Normal (Web)"/>
    <w:basedOn w:val="Normal"/>
    <w:rsid w:val="005D1759"/>
    <w:pPr>
      <w:spacing w:before="100" w:beforeAutospacing="1" w:after="100" w:afterAutospacing="1"/>
    </w:pPr>
    <w:rPr>
      <w:szCs w:val="24"/>
    </w:rPr>
  </w:style>
  <w:style w:type="paragraph" w:styleId="CommentSubject">
    <w:name w:val="annotation subject"/>
    <w:basedOn w:val="CommentText"/>
    <w:next w:val="CommentText"/>
    <w:link w:val="CommentSubjectChar"/>
    <w:semiHidden/>
    <w:rsid w:val="005D1759"/>
    <w:rPr>
      <w:b/>
      <w:bCs/>
    </w:rPr>
  </w:style>
  <w:style w:type="character" w:customStyle="1" w:styleId="CommentSubjectChar">
    <w:name w:val="Comment Subject Char"/>
    <w:basedOn w:val="CommentTextChar"/>
    <w:link w:val="CommentSubject"/>
    <w:semiHidden/>
    <w:rsid w:val="005D1759"/>
    <w:rPr>
      <w:rFonts w:ascii="Times New Roman" w:eastAsia="Times New Roman" w:hAnsi="Times New Roman" w:cs="Times New Roman"/>
      <w:b/>
      <w:bCs/>
      <w:sz w:val="20"/>
      <w:szCs w:val="20"/>
    </w:rPr>
  </w:style>
  <w:style w:type="character" w:styleId="UnresolvedMention">
    <w:name w:val="Unresolved Mention"/>
    <w:uiPriority w:val="99"/>
    <w:semiHidden/>
    <w:unhideWhenUsed/>
    <w:rsid w:val="005D1759"/>
    <w:rPr>
      <w:color w:val="605E5C"/>
      <w:shd w:val="clear" w:color="auto" w:fill="E1DFDD"/>
    </w:rPr>
  </w:style>
  <w:style w:type="character" w:styleId="FollowedHyperlink">
    <w:name w:val="FollowedHyperlink"/>
    <w:rsid w:val="005D1759"/>
    <w:rPr>
      <w:color w:val="954F72"/>
      <w:u w:val="single"/>
    </w:rPr>
  </w:style>
  <w:style w:type="character" w:styleId="Emphasis">
    <w:name w:val="Emphasis"/>
    <w:uiPriority w:val="20"/>
    <w:qFormat/>
    <w:rsid w:val="005D17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744834">
      <w:bodyDiv w:val="1"/>
      <w:marLeft w:val="0"/>
      <w:marRight w:val="0"/>
      <w:marTop w:val="0"/>
      <w:marBottom w:val="0"/>
      <w:divBdr>
        <w:top w:val="none" w:sz="0" w:space="0" w:color="auto"/>
        <w:left w:val="none" w:sz="0" w:space="0" w:color="auto"/>
        <w:bottom w:val="none" w:sz="0" w:space="0" w:color="auto"/>
        <w:right w:val="none" w:sz="0" w:space="0" w:color="auto"/>
      </w:divBdr>
      <w:divsChild>
        <w:div w:id="1867062621">
          <w:marLeft w:val="0"/>
          <w:marRight w:val="0"/>
          <w:marTop w:val="0"/>
          <w:marBottom w:val="0"/>
          <w:divBdr>
            <w:top w:val="none" w:sz="0" w:space="0" w:color="auto"/>
            <w:left w:val="none" w:sz="0" w:space="0" w:color="auto"/>
            <w:bottom w:val="none" w:sz="0" w:space="0" w:color="auto"/>
            <w:right w:val="none" w:sz="0" w:space="0" w:color="auto"/>
          </w:divBdr>
          <w:divsChild>
            <w:div w:id="1050224573">
              <w:marLeft w:val="0"/>
              <w:marRight w:val="0"/>
              <w:marTop w:val="0"/>
              <w:marBottom w:val="0"/>
              <w:divBdr>
                <w:top w:val="none" w:sz="0" w:space="0" w:color="auto"/>
                <w:left w:val="none" w:sz="0" w:space="0" w:color="auto"/>
                <w:bottom w:val="none" w:sz="0" w:space="0" w:color="auto"/>
                <w:right w:val="none" w:sz="0" w:space="0" w:color="auto"/>
              </w:divBdr>
              <w:divsChild>
                <w:div w:id="7143544">
                  <w:marLeft w:val="0"/>
                  <w:marRight w:val="0"/>
                  <w:marTop w:val="0"/>
                  <w:marBottom w:val="0"/>
                  <w:divBdr>
                    <w:top w:val="none" w:sz="0" w:space="0" w:color="auto"/>
                    <w:left w:val="none" w:sz="0" w:space="0" w:color="auto"/>
                    <w:bottom w:val="none" w:sz="0" w:space="0" w:color="auto"/>
                    <w:right w:val="none" w:sz="0" w:space="0" w:color="auto"/>
                  </w:divBdr>
                </w:div>
                <w:div w:id="1428422933">
                  <w:marLeft w:val="0"/>
                  <w:marRight w:val="0"/>
                  <w:marTop w:val="0"/>
                  <w:marBottom w:val="0"/>
                  <w:divBdr>
                    <w:top w:val="none" w:sz="0" w:space="0" w:color="auto"/>
                    <w:left w:val="none" w:sz="0" w:space="0" w:color="auto"/>
                    <w:bottom w:val="none" w:sz="0" w:space="0" w:color="auto"/>
                    <w:right w:val="none" w:sz="0" w:space="0" w:color="auto"/>
                  </w:divBdr>
                </w:div>
                <w:div w:id="1788113422">
                  <w:marLeft w:val="0"/>
                  <w:marRight w:val="0"/>
                  <w:marTop w:val="0"/>
                  <w:marBottom w:val="0"/>
                  <w:divBdr>
                    <w:top w:val="none" w:sz="0" w:space="0" w:color="auto"/>
                    <w:left w:val="none" w:sz="0" w:space="0" w:color="auto"/>
                    <w:bottom w:val="none" w:sz="0" w:space="0" w:color="auto"/>
                    <w:right w:val="none" w:sz="0" w:space="0" w:color="auto"/>
                  </w:divBdr>
                </w:div>
                <w:div w:id="1967470175">
                  <w:marLeft w:val="0"/>
                  <w:marRight w:val="0"/>
                  <w:marTop w:val="0"/>
                  <w:marBottom w:val="0"/>
                  <w:divBdr>
                    <w:top w:val="none" w:sz="0" w:space="0" w:color="auto"/>
                    <w:left w:val="none" w:sz="0" w:space="0" w:color="auto"/>
                    <w:bottom w:val="none" w:sz="0" w:space="0" w:color="auto"/>
                    <w:right w:val="none" w:sz="0" w:space="0" w:color="auto"/>
                  </w:divBdr>
                </w:div>
                <w:div w:id="2065059574">
                  <w:marLeft w:val="0"/>
                  <w:marRight w:val="0"/>
                  <w:marTop w:val="0"/>
                  <w:marBottom w:val="0"/>
                  <w:divBdr>
                    <w:top w:val="none" w:sz="0" w:space="0" w:color="auto"/>
                    <w:left w:val="none" w:sz="0" w:space="0" w:color="auto"/>
                    <w:bottom w:val="none" w:sz="0" w:space="0" w:color="auto"/>
                    <w:right w:val="none" w:sz="0" w:space="0" w:color="auto"/>
                  </w:divBdr>
                </w:div>
              </w:divsChild>
            </w:div>
            <w:div w:id="229584807">
              <w:marLeft w:val="0"/>
              <w:marRight w:val="0"/>
              <w:marTop w:val="0"/>
              <w:marBottom w:val="0"/>
              <w:divBdr>
                <w:top w:val="none" w:sz="0" w:space="0" w:color="auto"/>
                <w:left w:val="none" w:sz="0" w:space="0" w:color="auto"/>
                <w:bottom w:val="none" w:sz="0" w:space="0" w:color="auto"/>
                <w:right w:val="none" w:sz="0" w:space="0" w:color="auto"/>
              </w:divBdr>
            </w:div>
            <w:div w:id="450823975">
              <w:marLeft w:val="0"/>
              <w:marRight w:val="0"/>
              <w:marTop w:val="0"/>
              <w:marBottom w:val="0"/>
              <w:divBdr>
                <w:top w:val="none" w:sz="0" w:space="0" w:color="auto"/>
                <w:left w:val="none" w:sz="0" w:space="0" w:color="auto"/>
                <w:bottom w:val="none" w:sz="0" w:space="0" w:color="auto"/>
                <w:right w:val="none" w:sz="0" w:space="0" w:color="auto"/>
              </w:divBdr>
            </w:div>
            <w:div w:id="846945463">
              <w:marLeft w:val="0"/>
              <w:marRight w:val="0"/>
              <w:marTop w:val="0"/>
              <w:marBottom w:val="0"/>
              <w:divBdr>
                <w:top w:val="none" w:sz="0" w:space="0" w:color="auto"/>
                <w:left w:val="none" w:sz="0" w:space="0" w:color="auto"/>
                <w:bottom w:val="none" w:sz="0" w:space="0" w:color="auto"/>
                <w:right w:val="none" w:sz="0" w:space="0" w:color="auto"/>
              </w:divBdr>
            </w:div>
            <w:div w:id="890072862">
              <w:marLeft w:val="0"/>
              <w:marRight w:val="0"/>
              <w:marTop w:val="0"/>
              <w:marBottom w:val="0"/>
              <w:divBdr>
                <w:top w:val="none" w:sz="0" w:space="0" w:color="auto"/>
                <w:left w:val="none" w:sz="0" w:space="0" w:color="auto"/>
                <w:bottom w:val="none" w:sz="0" w:space="0" w:color="auto"/>
                <w:right w:val="none" w:sz="0" w:space="0" w:color="auto"/>
              </w:divBdr>
            </w:div>
            <w:div w:id="2002465396">
              <w:marLeft w:val="0"/>
              <w:marRight w:val="0"/>
              <w:marTop w:val="0"/>
              <w:marBottom w:val="0"/>
              <w:divBdr>
                <w:top w:val="none" w:sz="0" w:space="0" w:color="auto"/>
                <w:left w:val="none" w:sz="0" w:space="0" w:color="auto"/>
                <w:bottom w:val="none" w:sz="0" w:space="0" w:color="auto"/>
                <w:right w:val="none" w:sz="0" w:space="0" w:color="auto"/>
              </w:divBdr>
            </w:div>
            <w:div w:id="2037806569">
              <w:marLeft w:val="0"/>
              <w:marRight w:val="0"/>
              <w:marTop w:val="0"/>
              <w:marBottom w:val="0"/>
              <w:divBdr>
                <w:top w:val="none" w:sz="0" w:space="0" w:color="auto"/>
                <w:left w:val="none" w:sz="0" w:space="0" w:color="auto"/>
                <w:bottom w:val="none" w:sz="0" w:space="0" w:color="auto"/>
                <w:right w:val="none" w:sz="0" w:space="0" w:color="auto"/>
              </w:divBdr>
            </w:div>
          </w:divsChild>
        </w:div>
        <w:div w:id="769012582">
          <w:marLeft w:val="0"/>
          <w:marRight w:val="0"/>
          <w:marTop w:val="0"/>
          <w:marBottom w:val="0"/>
          <w:divBdr>
            <w:top w:val="none" w:sz="0" w:space="0" w:color="auto"/>
            <w:left w:val="none" w:sz="0" w:space="0" w:color="auto"/>
            <w:bottom w:val="none" w:sz="0" w:space="0" w:color="auto"/>
            <w:right w:val="none" w:sz="0" w:space="0" w:color="auto"/>
          </w:divBdr>
          <w:divsChild>
            <w:div w:id="248001858">
              <w:marLeft w:val="0"/>
              <w:marRight w:val="0"/>
              <w:marTop w:val="0"/>
              <w:marBottom w:val="0"/>
              <w:divBdr>
                <w:top w:val="none" w:sz="0" w:space="0" w:color="auto"/>
                <w:left w:val="none" w:sz="0" w:space="0" w:color="auto"/>
                <w:bottom w:val="none" w:sz="0" w:space="0" w:color="auto"/>
                <w:right w:val="none" w:sz="0" w:space="0" w:color="auto"/>
              </w:divBdr>
            </w:div>
            <w:div w:id="703990785">
              <w:marLeft w:val="0"/>
              <w:marRight w:val="0"/>
              <w:marTop w:val="0"/>
              <w:marBottom w:val="0"/>
              <w:divBdr>
                <w:top w:val="none" w:sz="0" w:space="0" w:color="auto"/>
                <w:left w:val="none" w:sz="0" w:space="0" w:color="auto"/>
                <w:bottom w:val="none" w:sz="0" w:space="0" w:color="auto"/>
                <w:right w:val="none" w:sz="0" w:space="0" w:color="auto"/>
              </w:divBdr>
            </w:div>
            <w:div w:id="782456402">
              <w:marLeft w:val="0"/>
              <w:marRight w:val="0"/>
              <w:marTop w:val="0"/>
              <w:marBottom w:val="0"/>
              <w:divBdr>
                <w:top w:val="none" w:sz="0" w:space="0" w:color="auto"/>
                <w:left w:val="none" w:sz="0" w:space="0" w:color="auto"/>
                <w:bottom w:val="none" w:sz="0" w:space="0" w:color="auto"/>
                <w:right w:val="none" w:sz="0" w:space="0" w:color="auto"/>
              </w:divBdr>
            </w:div>
          </w:divsChild>
        </w:div>
        <w:div w:id="1963655711">
          <w:marLeft w:val="0"/>
          <w:marRight w:val="0"/>
          <w:marTop w:val="0"/>
          <w:marBottom w:val="0"/>
          <w:divBdr>
            <w:top w:val="none" w:sz="0" w:space="0" w:color="auto"/>
            <w:left w:val="none" w:sz="0" w:space="0" w:color="auto"/>
            <w:bottom w:val="none" w:sz="0" w:space="0" w:color="auto"/>
            <w:right w:val="none" w:sz="0" w:space="0" w:color="auto"/>
          </w:divBdr>
        </w:div>
      </w:divsChild>
    </w:div>
    <w:div w:id="896211406">
      <w:bodyDiv w:val="1"/>
      <w:marLeft w:val="0"/>
      <w:marRight w:val="0"/>
      <w:marTop w:val="0"/>
      <w:marBottom w:val="0"/>
      <w:divBdr>
        <w:top w:val="none" w:sz="0" w:space="0" w:color="auto"/>
        <w:left w:val="none" w:sz="0" w:space="0" w:color="auto"/>
        <w:bottom w:val="none" w:sz="0" w:space="0" w:color="auto"/>
        <w:right w:val="none" w:sz="0" w:space="0" w:color="auto"/>
      </w:divBdr>
    </w:div>
    <w:div w:id="1156798957">
      <w:bodyDiv w:val="1"/>
      <w:marLeft w:val="0"/>
      <w:marRight w:val="0"/>
      <w:marTop w:val="0"/>
      <w:marBottom w:val="0"/>
      <w:divBdr>
        <w:top w:val="none" w:sz="0" w:space="0" w:color="auto"/>
        <w:left w:val="none" w:sz="0" w:space="0" w:color="auto"/>
        <w:bottom w:val="none" w:sz="0" w:space="0" w:color="auto"/>
        <w:right w:val="none" w:sz="0" w:space="0" w:color="auto"/>
      </w:divBdr>
    </w:div>
    <w:div w:id="1491599977">
      <w:bodyDiv w:val="1"/>
      <w:marLeft w:val="0"/>
      <w:marRight w:val="0"/>
      <w:marTop w:val="0"/>
      <w:marBottom w:val="0"/>
      <w:divBdr>
        <w:top w:val="none" w:sz="0" w:space="0" w:color="auto"/>
        <w:left w:val="none" w:sz="0" w:space="0" w:color="auto"/>
        <w:bottom w:val="none" w:sz="0" w:space="0" w:color="auto"/>
        <w:right w:val="none" w:sz="0" w:space="0" w:color="auto"/>
      </w:divBdr>
    </w:div>
    <w:div w:id="1664431214">
      <w:bodyDiv w:val="1"/>
      <w:marLeft w:val="0"/>
      <w:marRight w:val="0"/>
      <w:marTop w:val="0"/>
      <w:marBottom w:val="0"/>
      <w:divBdr>
        <w:top w:val="none" w:sz="0" w:space="0" w:color="auto"/>
        <w:left w:val="none" w:sz="0" w:space="0" w:color="auto"/>
        <w:bottom w:val="none" w:sz="0" w:space="0" w:color="auto"/>
        <w:right w:val="none" w:sz="0" w:space="0" w:color="auto"/>
      </w:divBdr>
    </w:div>
    <w:div w:id="175531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obocallind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09B5F-B1AE-4510-8D57-BA6AC2057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3361</Words>
  <Characters>19163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Zeldis</dc:creator>
  <cp:keywords/>
  <dc:description/>
  <cp:lastModifiedBy>Cathy Williams</cp:lastModifiedBy>
  <cp:revision>2</cp:revision>
  <dcterms:created xsi:type="dcterms:W3CDTF">2020-04-29T16:04:00Z</dcterms:created>
  <dcterms:modified xsi:type="dcterms:W3CDTF">2020-04-29T16:04:00Z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203290958</vt:i4>
  </property>
  <property fmtid="{D5CDD505-2E9C-101B-9397-08002B2CF9AE}" pid="3" name="_EmailEntryID">
    <vt:lpwstr>00000000725BA067238D6F40AA99BA8D24D6C5D307002E6BB9E95FF047419E9F03A22B3F08E70000036F080D0000E0203FC898C8884EB118814C67CAEC210003C0427E8E0000</vt:lpwstr>
  </property>
  <property fmtid="{D5CDD505-2E9C-101B-9397-08002B2CF9AE}" pid="4" name="_NewReviewCycle">
    <vt:lpwstr/>
  </property>
  <property fmtid="{D5CDD505-2E9C-101B-9397-08002B2CF9AE}" pid="5" name="_EmailStoreID0">
    <vt:lpwstr>0000000038A1BB1005E5101AA1BB08002B2A56C20000454D534D44422E444C4C00000000000000001B55FA20AA6611CD9BC800AA002FC45A0C0000004A6F73682E5A656C646973406663632E676F76002F6F3D45786368616E67654C6162732F6F753D45786368616E67652041646D696E6973747261746976652047726F757</vt:lpwstr>
  </property>
  <property fmtid="{D5CDD505-2E9C-101B-9397-08002B2CF9AE}" pid="6" name="_EmailStoreID1">
    <vt:lpwstr>0202846594449424F484632335350444C54292F636E3D526563697069656E74732F636E3D33663266393835336630373134363664383737363663383330653564376365662D5A656C6469732C4A6F736800E94632F43A00000002000000100000004A006F00730068002E005A0065006C006400690073004000660063006300</vt:lpwstr>
  </property>
  <property fmtid="{D5CDD505-2E9C-101B-9397-08002B2CF9AE}" pid="7" name="_EmailStoreID2">
    <vt:lpwstr>2E0067006F00760000000000</vt:lpwstr>
  </property>
  <property fmtid="{D5CDD505-2E9C-101B-9397-08002B2CF9AE}" pid="8" name="_ReviewingToolsShownOnce">
    <vt:lpwstr/>
  </property>
</Properties>
</file>