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D1720C">
      <w:pPr>
        <w:tabs>
          <w:tab w:val="center" w:pos="4680"/>
        </w:tabs>
        <w:jc w:val="center"/>
        <w:rPr>
          <w:rFonts w:ascii="Times New Roman" w:hAnsi="Times New Roman"/>
          <w:b/>
        </w:rPr>
      </w:pPr>
      <w:r w:rsidRPr="00FC41DF">
        <w:rPr>
          <w:rFonts w:ascii="Calibri" w:hAnsi="Calibri" w:cs="Calibri"/>
          <w:b/>
          <w:color w:val="000000"/>
        </w:rPr>
        <w:t>S</w:t>
      </w:r>
      <w:r w:rsidRPr="00FC41DF" w:rsidR="007B6C63">
        <w:rPr>
          <w:rFonts w:ascii="Times New Roman" w:hAnsi="Times New Roman"/>
          <w:b/>
        </w:rPr>
        <w:t>UPPORTING STATEMENT</w:t>
      </w:r>
    </w:p>
    <w:p w:rsidRPr="0071052F" w:rsidR="0071052F" w:rsidP="00A47463" w:rsidRDefault="00A47463">
      <w:pPr>
        <w:ind w:left="2250" w:right="1530"/>
        <w:jc w:val="center"/>
        <w:rPr>
          <w:rFonts w:ascii="Times New Roman" w:hAnsi="Times New Roman"/>
          <w:b/>
          <w:bCs/>
        </w:rPr>
      </w:pPr>
      <w:r>
        <w:rPr>
          <w:rFonts w:ascii="Times New Roman" w:hAnsi="Times New Roman"/>
          <w:b/>
          <w:bCs/>
        </w:rPr>
        <w:t>FOREIGN BANKING AND INVESTMENT BY INSURED STATE NONMEMBER BANKS</w:t>
      </w:r>
    </w:p>
    <w:p w:rsidRPr="004A5959" w:rsidR="004A5959" w:rsidP="0071052F" w:rsidRDefault="0071052F">
      <w:pPr>
        <w:jc w:val="center"/>
        <w:rPr>
          <w:rFonts w:ascii="Times New Roman" w:hAnsi="Times New Roman"/>
          <w:b/>
        </w:rPr>
      </w:pPr>
      <w:r w:rsidRPr="0071052F">
        <w:rPr>
          <w:rFonts w:ascii="Times New Roman" w:hAnsi="Times New Roman"/>
          <w:b/>
          <w:bCs/>
        </w:rPr>
        <w:t>(OMB No. 3064-01</w:t>
      </w:r>
      <w:r w:rsidR="00A47463">
        <w:rPr>
          <w:rFonts w:ascii="Times New Roman" w:hAnsi="Times New Roman"/>
          <w:b/>
          <w:bCs/>
        </w:rPr>
        <w:t>25</w:t>
      </w:r>
      <w:r>
        <w:rPr>
          <w:rFonts w:ascii="Times New Roman" w:hAnsi="Times New Roman"/>
          <w:b/>
          <w:bCs/>
        </w:rPr>
        <w:t>)</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9F3C7D" w:rsidRDefault="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xml:space="preserve">, </w:t>
      </w:r>
      <w:r w:rsidR="00F040F7">
        <w:rPr>
          <w:rFonts w:ascii="Times New Roman" w:hAnsi="Times New Roman"/>
        </w:rPr>
        <w:t>without change</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 xml:space="preserve">entitled </w:t>
      </w:r>
      <w:r w:rsidR="00F040F7">
        <w:rPr>
          <w:rFonts w:ascii="Times New Roman" w:hAnsi="Times New Roman"/>
        </w:rPr>
        <w:t>“</w:t>
      </w:r>
      <w:r w:rsidR="009F3C7D">
        <w:rPr>
          <w:rFonts w:ascii="Times New Roman" w:hAnsi="Times New Roman"/>
        </w:rPr>
        <w:t>Summary of Deposits</w:t>
      </w:r>
      <w:r w:rsidR="00F040F7">
        <w:rPr>
          <w:rFonts w:ascii="Times New Roman" w:hAnsi="Times New Roman"/>
        </w:rPr>
        <w:t>” (OMB Control No. 3064-0</w:t>
      </w:r>
      <w:r w:rsidR="009F3C7D">
        <w:rPr>
          <w:rFonts w:ascii="Times New Roman" w:hAnsi="Times New Roman"/>
        </w:rPr>
        <w:t>061</w:t>
      </w:r>
      <w:r w:rsidR="00F040F7">
        <w:rPr>
          <w:rFonts w:ascii="Times New Roman" w:hAnsi="Times New Roman"/>
        </w:rPr>
        <w:t>)</w:t>
      </w:r>
      <w:r w:rsidR="009F3C7D">
        <w:rPr>
          <w:rFonts w:ascii="Times New Roman" w:hAnsi="Times New Roman"/>
        </w:rPr>
        <w:t>.</w:t>
      </w:r>
    </w:p>
    <w:p w:rsidR="009F3C7D" w:rsidRDefault="009F3C7D">
      <w:pPr>
        <w:rPr>
          <w:rFonts w:ascii="Times New Roman" w:hAnsi="Times New Roman"/>
          <w:spacing w:val="-3"/>
        </w:rPr>
      </w:pPr>
    </w:p>
    <w:p w:rsidR="007B6C63" w:rsidRDefault="009F3C7D">
      <w:pPr>
        <w:rPr>
          <w:rFonts w:ascii="Times New Roman" w:hAnsi="Times New Roman"/>
        </w:rPr>
      </w:pPr>
      <w:r w:rsidRPr="00242596">
        <w:rPr>
          <w:rFonts w:ascii="Times New Roman" w:hAnsi="Times New Roman"/>
        </w:rPr>
        <w:t>The annual S</w:t>
      </w:r>
      <w:r>
        <w:rPr>
          <w:rFonts w:ascii="Times New Roman" w:hAnsi="Times New Roman"/>
        </w:rPr>
        <w:t>ummary of Deposits (SOD)</w:t>
      </w:r>
      <w:r w:rsidRPr="00242596">
        <w:rPr>
          <w:rFonts w:ascii="Times New Roman" w:hAnsi="Times New Roman"/>
        </w:rPr>
        <w:t xml:space="preserve"> survey is completed as of June 30 each year by </w:t>
      </w:r>
      <w:r>
        <w:rPr>
          <w:rFonts w:ascii="Times New Roman" w:hAnsi="Times New Roman"/>
        </w:rPr>
        <w:t xml:space="preserve">all </w:t>
      </w:r>
      <w:r w:rsidRPr="00242596">
        <w:rPr>
          <w:rFonts w:ascii="Times New Roman" w:hAnsi="Times New Roman"/>
        </w:rPr>
        <w:t xml:space="preserve">FDIC-insured </w:t>
      </w:r>
      <w:r>
        <w:rPr>
          <w:rFonts w:ascii="Times New Roman" w:hAnsi="Times New Roman"/>
        </w:rPr>
        <w:t>institutions that operate a main office and one or more branch locations</w:t>
      </w:r>
      <w:r w:rsidRPr="00242596">
        <w:rPr>
          <w:rFonts w:ascii="Times New Roman" w:hAnsi="Times New Roman"/>
        </w:rPr>
        <w:t xml:space="preserve">.  The SOD is a report on the amount of deposits for each authorized office of an insured bank with branches; banks </w:t>
      </w:r>
      <w:r>
        <w:rPr>
          <w:rFonts w:ascii="Times New Roman" w:hAnsi="Times New Roman"/>
        </w:rPr>
        <w:t xml:space="preserve">without branches </w:t>
      </w:r>
      <w:r w:rsidRPr="00242596">
        <w:rPr>
          <w:rFonts w:ascii="Times New Roman" w:hAnsi="Times New Roman"/>
        </w:rPr>
        <w:t>do not report.</w:t>
      </w:r>
      <w:r>
        <w:rPr>
          <w:rFonts w:ascii="Times New Roman" w:hAnsi="Times New Roman"/>
        </w:rPr>
        <w:t xml:space="preserve">  </w:t>
      </w:r>
      <w:r w:rsidRPr="00242596">
        <w:rPr>
          <w:rFonts w:ascii="Times New Roman" w:hAnsi="Times New Roman"/>
        </w:rPr>
        <w:t>All data collected on the SOD submission are available to the public.</w:t>
      </w:r>
      <w:r>
        <w:rPr>
          <w:rFonts w:ascii="Times New Roman" w:hAnsi="Times New Roman"/>
        </w:rPr>
        <w:t xml:space="preserve">  The survey data provides a basis for measuring the competitive impact of bank mergers and has additional use in research in banking. The data is collected electronically or on Form FDIC 8020/05 (7-95), SUMMARY OF DEPOSITS AS OF CLOSE OF BUSINESS JUNE 30.</w:t>
      </w:r>
      <w:r w:rsidRPr="001F4C55">
        <w:rPr>
          <w:rFonts w:ascii="Times New Roman" w:hAnsi="Times New Roman"/>
        </w:rPr>
        <w:t xml:space="preserve">  </w:t>
      </w:r>
      <w:r w:rsidR="00B06BE7">
        <w:rPr>
          <w:rFonts w:ascii="Times New Roman" w:hAnsi="Times New Roman"/>
          <w:spacing w:val="-3"/>
        </w:rPr>
        <w:t xml:space="preserve">There </w:t>
      </w:r>
      <w:r w:rsidR="00182279">
        <w:rPr>
          <w:rFonts w:ascii="Times New Roman" w:hAnsi="Times New Roman"/>
          <w:spacing w:val="-3"/>
        </w:rPr>
        <w:t xml:space="preserve">is no change in the method or substance of the </w:t>
      </w:r>
      <w:r>
        <w:rPr>
          <w:rFonts w:ascii="Times New Roman" w:hAnsi="Times New Roman"/>
          <w:spacing w:val="-3"/>
        </w:rPr>
        <w:t xml:space="preserve">information </w:t>
      </w:r>
      <w:r w:rsidR="00182279">
        <w:rPr>
          <w:rFonts w:ascii="Times New Roman" w:hAnsi="Times New Roman"/>
          <w:spacing w:val="-3"/>
        </w:rPr>
        <w:t>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B06BE7">
        <w:rPr>
          <w:rFonts w:ascii="Times New Roman" w:hAnsi="Times New Roman"/>
        </w:rPr>
        <w:t>ne</w:t>
      </w:r>
      <w:r w:rsidR="00655078">
        <w:rPr>
          <w:rFonts w:ascii="Times New Roman" w:hAnsi="Times New Roman"/>
        </w:rPr>
        <w:t xml:space="preserve"> 3</w:t>
      </w:r>
      <w:r w:rsidR="00B06BE7">
        <w:rPr>
          <w:rFonts w:ascii="Times New Roman" w:hAnsi="Times New Roman"/>
        </w:rPr>
        <w:t>0</w:t>
      </w:r>
      <w:r w:rsidR="00655078">
        <w:rPr>
          <w:rFonts w:ascii="Times New Roman" w:hAnsi="Times New Roman"/>
        </w:rPr>
        <w:t>,</w:t>
      </w:r>
      <w:r w:rsidR="007B6C63">
        <w:rPr>
          <w:rFonts w:ascii="Times New Roman" w:hAnsi="Times New Roman"/>
        </w:rPr>
        <w:t xml:space="preserve"> </w:t>
      </w:r>
      <w:r w:rsidR="00FB759A">
        <w:rPr>
          <w:rFonts w:ascii="Times New Roman" w:hAnsi="Times New Roman"/>
        </w:rPr>
        <w:t>2020.</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Pr="00834179" w:rsidR="00834179" w:rsidP="00834179" w:rsidRDefault="009F3C7D">
      <w:pPr>
        <w:ind w:left="720"/>
        <w:rPr>
          <w:rFonts w:ascii="Times New Roman" w:hAnsi="Times New Roman"/>
          <w:szCs w:val="24"/>
        </w:rPr>
      </w:pPr>
      <w:r>
        <w:rPr>
          <w:rFonts w:ascii="Times New Roman" w:hAnsi="Times New Roman"/>
        </w:rPr>
        <w:t>There is constant and considerable consolidation within the banking and thrift industries, some of which involves very large banks with many branches.  This constant change in banking market structure makes it necessary for the federal bank regulatory agencies to be able to evaluate the effect of the change on bank competition and on the structure of the market itself.  Data on the amount of deposits held by each bank and branch office in the United States provides the banking agencies with the information necessary for delineating banking markets and for evaluating the effects on bank competition and market structure of proposed new banks openings or mergers.  The FDIC is authorized to collect this data under section 9 (Eighth) of the Federal Deposit Insurance Act (12 U.S.C. 1819) which gives the Corporation the power to require information and reports from banks to carry out its statutory responsibilities regarding bank supervision.  The survey has been conducted on a yearly basis since 1972.</w:t>
      </w:r>
    </w:p>
    <w:p w:rsidRPr="00834179" w:rsidR="00834179" w:rsidP="00834179" w:rsidRDefault="00834179">
      <w:pPr>
        <w:ind w:left="720"/>
        <w:rPr>
          <w:rFonts w:ascii="Times New Roman" w:hAnsi="Times New Roman"/>
          <w:szCs w:val="24"/>
        </w:rPr>
      </w:pP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5F2F35" w:rsidP="005F2F35" w:rsidRDefault="005F2F35">
      <w:pPr>
        <w:ind w:left="720"/>
        <w:rPr>
          <w:rFonts w:ascii="Times New Roman" w:hAnsi="Times New Roman"/>
        </w:rPr>
      </w:pPr>
      <w:r>
        <w:rPr>
          <w:rFonts w:ascii="Times New Roman" w:hAnsi="Times New Roman"/>
        </w:rPr>
        <w:t>The primary use of SOD data is to analyze the antitrust implications of proposed bank mergers and acquisitions and for market share analysis.  The major users include the federal banking agencies, the antitrust division of the Department of Justice and the proponents to proposed transactions.  In addition, the data is widely used by banks, consulting firms, law firms and others who are involved in various types of banking and thrift analysis.</w:t>
      </w:r>
    </w:p>
    <w:p w:rsidR="005F2F35" w:rsidP="005F2F35" w:rsidRDefault="005F2F35">
      <w:pPr>
        <w:tabs>
          <w:tab w:val="left" w:pos="576"/>
          <w:tab w:val="left" w:pos="1152"/>
        </w:tabs>
        <w:rPr>
          <w:rFonts w:ascii="Times New Roman" w:hAnsi="Times New Roman"/>
        </w:rPr>
      </w:pPr>
    </w:p>
    <w:p w:rsidR="007B6C63" w:rsidP="005F2F35" w:rsidRDefault="005F2F35">
      <w:pPr>
        <w:ind w:left="720"/>
        <w:rPr>
          <w:rFonts w:ascii="Times New Roman" w:hAnsi="Times New Roman"/>
        </w:rPr>
      </w:pPr>
      <w:r>
        <w:rPr>
          <w:rFonts w:ascii="Times New Roman" w:hAnsi="Times New Roman"/>
        </w:rPr>
        <w:t>The FDIC Library, Division of Insurance and Research and the Public Information Center receive a number of requests from outside the FDIC for SOD information.  The information is also available directly to the public from the FDIC’s website.</w:t>
      </w:r>
    </w:p>
    <w:p w:rsidR="005F2F35" w:rsidP="005F2F35" w:rsidRDefault="005F2F35">
      <w:pPr>
        <w:ind w:left="720"/>
        <w:rPr>
          <w:rFonts w:ascii="Times New Roman" w:hAnsi="Times New Roman"/>
        </w:rPr>
      </w:pPr>
    </w:p>
    <w:p w:rsidR="007B6C63" w:rsidP="00990A9E" w:rsidRDefault="007B6C63">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rsidRDefault="007B6C63">
      <w:pPr>
        <w:keepNext/>
        <w:rPr>
          <w:rFonts w:ascii="Times New Roman" w:hAnsi="Times New Roman"/>
        </w:rPr>
      </w:pPr>
    </w:p>
    <w:p w:rsidR="007B6C63" w:rsidP="007522EF" w:rsidRDefault="006823E7">
      <w:pPr>
        <w:keepNext/>
        <w:ind w:left="720"/>
        <w:rPr>
          <w:rFonts w:ascii="Times New Roman" w:hAnsi="Times New Roman"/>
        </w:rPr>
      </w:pPr>
      <w:r>
        <w:rPr>
          <w:rFonts w:ascii="Times New Roman" w:hAnsi="Times New Roman"/>
        </w:rPr>
        <w:t>Financial institutions submit the survey to the FDIC electronically using the FFIEC’s Central Data Repository web site.  The site enables the institution to print worksheets, submit revised branch structure information, and edit SOD data prior to the survey submission.</w:t>
      </w:r>
      <w:r w:rsidR="00C15DEE">
        <w:rPr>
          <w:rFonts w:ascii="Times New Roman" w:hAnsi="Times New Roman"/>
        </w:rPr>
        <w:t xml:space="preserve"> </w:t>
      </w:r>
      <w:r w:rsidRPr="00C15DEE" w:rsidR="00C15DEE">
        <w:rPr>
          <w:rFonts w:ascii="Times New Roman" w:hAnsi="Times New Roman"/>
          <w:lang w:bidi="en-US"/>
        </w:rPr>
        <w:t>The FDIC continues to implement system enhancements and utilize available tools to ease reporting burden for respondents.  In recent years, the FDIC has integrated address standardization and geocoding tools within the Central Data Repository to enhance data quality at the point of entry and to minimize the number of edit failures.  Technology and system enhancements will continue to be implemented as practicable going forward.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pPr>
        <w:ind w:left="1440"/>
        <w:rPr>
          <w:rFonts w:ascii="Times New Roman" w:hAnsi="Times New Roman"/>
        </w:rPr>
      </w:pPr>
    </w:p>
    <w:p w:rsidR="007B6C63" w:rsidP="000B0581" w:rsidRDefault="006823E7">
      <w:pPr>
        <w:ind w:left="720"/>
        <w:rPr>
          <w:rFonts w:ascii="Times New Roman" w:hAnsi="Times New Roman"/>
        </w:rPr>
      </w:pPr>
      <w:r>
        <w:rPr>
          <w:rFonts w:ascii="Times New Roman" w:hAnsi="Times New Roman"/>
        </w:rPr>
        <w:t>There is no other information system that collects deposit data at the individual bank office level.  The Consolidated Reports of Condition and Income (Call Report) (OMB No. 3064-0052) collects deposit data at the bank system level (head office and branches combined).  Deposit data for banks without branch offices are not collected through the SOD survey and are obtained directly from the Call Report.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007B6C63" w:rsidP="007522EF" w:rsidRDefault="00F568B8">
      <w:pPr>
        <w:ind w:left="720"/>
        <w:rPr>
          <w:rFonts w:ascii="Times New Roman" w:hAnsi="Times New Roman"/>
        </w:rPr>
      </w:pPr>
      <w:r>
        <w:rPr>
          <w:rFonts w:ascii="Times New Roman" w:hAnsi="Times New Roman"/>
        </w:rPr>
        <w:t>T</w:t>
      </w:r>
      <w:r w:rsidRPr="007522EF" w:rsidR="007522EF">
        <w:rPr>
          <w:rFonts w:ascii="Times New Roman" w:hAnsi="Times New Roman"/>
        </w:rPr>
        <w:t>h</w:t>
      </w:r>
      <w:r w:rsidR="007522EF">
        <w:rPr>
          <w:rFonts w:ascii="Times New Roman" w:hAnsi="Times New Roman"/>
        </w:rPr>
        <w:t>is</w:t>
      </w:r>
      <w:r w:rsidRPr="007522EF" w:rsidR="007522EF">
        <w:rPr>
          <w:rFonts w:ascii="Times New Roman" w:hAnsi="Times New Roman"/>
        </w:rPr>
        <w:t xml:space="preserve"> </w:t>
      </w:r>
      <w:r w:rsidR="007522EF">
        <w:rPr>
          <w:rFonts w:ascii="Times New Roman" w:hAnsi="Times New Roman"/>
        </w:rPr>
        <w:t>information collection does not have a significant impact on a substantial number of small entities</w:t>
      </w:r>
      <w:r w:rsidRPr="007522EF" w:rsidR="007522EF">
        <w:rPr>
          <w:rFonts w:ascii="Times New Roman" w:hAnsi="Times New Roman"/>
        </w:rPr>
        <w:t>.</w:t>
      </w:r>
      <w:r>
        <w:rPr>
          <w:rFonts w:ascii="Times New Roman" w:hAnsi="Times New Roman"/>
        </w:rPr>
        <w:t xml:space="preserve"> Institutions with no branches (unit banks) do not have to file the SOD survey. The collected information has to be in the same form from all respondents in order to achieve consistency in market structure measurements.  However, small banks generally have fewer branches than the larger banks, and consequently the number of pages submitted by small banks tends to be much smaller than the number of pages filed by larger institutions.</w:t>
      </w:r>
    </w:p>
    <w:p w:rsidR="007B6C63" w:rsidRDefault="007B6C63">
      <w:pPr>
        <w:rPr>
          <w:rFonts w:ascii="Times New Roman" w:hAnsi="Times New Roman"/>
        </w:rPr>
      </w:pPr>
    </w:p>
    <w:p w:rsidRPr="00FC41DF" w:rsidR="007B6C63" w:rsidP="007522EF" w:rsidRDefault="007B6C63">
      <w:pPr>
        <w:keepNext/>
        <w:keepLines/>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7522EF" w:rsidRDefault="00276213">
      <w:pPr>
        <w:ind w:left="720"/>
        <w:rPr>
          <w:rFonts w:ascii="Times New Roman" w:hAnsi="Times New Roman"/>
        </w:rPr>
      </w:pPr>
      <w:r>
        <w:rPr>
          <w:rFonts w:ascii="Times New Roman" w:hAnsi="Times New Roman"/>
        </w:rPr>
        <w:t>This question was previously considered by the FDIC, and we sought the opinions of the other users of SOD data (the Office of Comptroller of the Currency, the Federal Reserve Board, and the Department of Justice).  Their responses were unanimous in urging that we maintain the survey on an annual basis to ensure the timeliness of the data used in the analyses that are performed on it.  Immediately prior to 1972, SOD data were collected on a biennial basis.  Annual reporting was adopted beginning with the June 30, 1972 survey after it was determined that biennial data was inadequate because it was over 30 months old before data from the next survey was available.  Even with the annual collection of SOD data, by the end of the period before new data is available, we are working with data that is 15 to 16 months old because of the time needed to process and edit the data for public release.  With the current high rate of consolidation in the banking system, often involving mergers of banks with many branches, and the rapid rate of change in the financial industry, the need for current data is greater than ever.  Also, the data is the only source of branch deposit information available and serves for structure verification for branches of banks. After considering the factors of reporting burden, processing cost, and program need, it has been determined that the most favorable frequency for the survey is annually.</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bookmarkStart w:name="_GoBack" w:id="0"/>
      <w:r w:rsidRPr="00015D89" w:rsidR="00DE2D0B">
        <w:rPr>
          <w:rFonts w:ascii="Times New Roman" w:hAnsi="Times New Roman"/>
          <w:i/>
        </w:rPr>
        <w:t>Federal</w:t>
      </w:r>
      <w:bookmarkEnd w:id="0"/>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1305D1">
        <w:rPr>
          <w:rFonts w:ascii="Times New Roman" w:hAnsi="Times New Roman"/>
        </w:rPr>
        <w:t>April 14,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1305D1">
        <w:rPr>
          <w:rFonts w:ascii="Times New Roman" w:hAnsi="Times New Roman"/>
        </w:rPr>
        <w:t>20688</w:t>
      </w:r>
      <w:r w:rsidR="00DE2D0B">
        <w:rPr>
          <w:rFonts w:ascii="Times New Roman" w:hAnsi="Times New Roman"/>
        </w:rPr>
        <w:t>)</w:t>
      </w:r>
      <w:r>
        <w:rPr>
          <w:rFonts w:ascii="Times New Roman" w:hAnsi="Times New Roman"/>
        </w:rPr>
        <w:t xml:space="preserve">.  </w:t>
      </w:r>
      <w:r w:rsidR="005D08E2">
        <w:rPr>
          <w:rFonts w:ascii="Times New Roman" w:hAnsi="Times New Roman"/>
        </w:rPr>
        <w:t>The FDIC received one comment letter from a trade association.  The concerns raised in the letter and the FDIC responses thereto are as follows:</w:t>
      </w:r>
    </w:p>
    <w:p w:rsidR="00AB0163" w:rsidP="00AB0163" w:rsidRDefault="00AB0163">
      <w:pPr>
        <w:rPr>
          <w:rFonts w:ascii="Times New Roman" w:hAnsi="Times New Roman"/>
          <w:lang w:bidi="en-US"/>
        </w:rPr>
      </w:pPr>
    </w:p>
    <w:p w:rsidR="005D08E2" w:rsidP="005D08E2" w:rsidRDefault="00AB0163">
      <w:pPr>
        <w:ind w:left="720"/>
        <w:rPr>
          <w:rFonts w:ascii="Times New Roman" w:hAnsi="Times New Roman"/>
          <w:lang w:bidi="en-US"/>
        </w:rPr>
      </w:pPr>
      <w:r>
        <w:rPr>
          <w:rFonts w:ascii="Times New Roman" w:hAnsi="Times New Roman"/>
          <w:lang w:bidi="en-US"/>
        </w:rPr>
        <w:t xml:space="preserve">The commenter would like the FDIC to extend the due date of its SOD to at least 45 days after the June 30 as-of date. </w:t>
      </w:r>
      <w:r w:rsidRPr="005D08E2" w:rsidR="005D08E2">
        <w:rPr>
          <w:rFonts w:ascii="Times New Roman" w:hAnsi="Times New Roman"/>
          <w:lang w:bidi="en-US"/>
        </w:rPr>
        <w:t xml:space="preserve">The SOD is due annually on July 31 for all FDIC-insured institutions with a June 30 as-of date. </w:t>
      </w:r>
      <w:r w:rsidR="00AF614A">
        <w:rPr>
          <w:rFonts w:ascii="Times New Roman" w:hAnsi="Times New Roman"/>
          <w:lang w:bidi="en-US"/>
        </w:rPr>
        <w:t xml:space="preserve">The commenter </w:t>
      </w:r>
      <w:r w:rsidR="00EC335B">
        <w:rPr>
          <w:rFonts w:ascii="Times New Roman" w:hAnsi="Times New Roman"/>
          <w:lang w:bidi="en-US"/>
        </w:rPr>
        <w:t>points</w:t>
      </w:r>
      <w:r w:rsidR="00AF614A">
        <w:rPr>
          <w:rFonts w:ascii="Times New Roman" w:hAnsi="Times New Roman"/>
          <w:lang w:bidi="en-US"/>
        </w:rPr>
        <w:t xml:space="preserve"> out that </w:t>
      </w:r>
      <w:r w:rsidRPr="005D08E2" w:rsidR="005D08E2">
        <w:rPr>
          <w:rFonts w:ascii="Times New Roman" w:hAnsi="Times New Roman"/>
          <w:lang w:bidi="en-US"/>
        </w:rPr>
        <w:t xml:space="preserve">institutions with more than one foreign office are not required to submit their June 30 Call Report until 35 calendar days after the report date. </w:t>
      </w:r>
      <w:r w:rsidR="00AF614A">
        <w:rPr>
          <w:rFonts w:ascii="Times New Roman" w:hAnsi="Times New Roman"/>
          <w:lang w:bidi="en-US"/>
        </w:rPr>
        <w:t>The commenter states that m</w:t>
      </w:r>
      <w:r w:rsidRPr="005D08E2" w:rsidR="005D08E2">
        <w:rPr>
          <w:rFonts w:ascii="Times New Roman" w:hAnsi="Times New Roman"/>
          <w:lang w:bidi="en-US"/>
        </w:rPr>
        <w:t>any institutions file their Call Reports after submitting their SOD</w:t>
      </w:r>
      <w:r w:rsidR="00AF614A">
        <w:rPr>
          <w:rFonts w:ascii="Times New Roman" w:hAnsi="Times New Roman"/>
          <w:lang w:bidi="en-US"/>
        </w:rPr>
        <w:t xml:space="preserve"> and</w:t>
      </w:r>
      <w:r w:rsidRPr="005D08E2" w:rsidR="005D08E2">
        <w:rPr>
          <w:rFonts w:ascii="Times New Roman" w:hAnsi="Times New Roman"/>
          <w:lang w:bidi="en-US"/>
        </w:rPr>
        <w:t xml:space="preserve"> such firms experience failed validity tests as the SOD is required to tie directly to Schedule RC-E (Deposit Liabilities) of the Call Report.</w:t>
      </w:r>
    </w:p>
    <w:p w:rsidRPr="005D08E2" w:rsidR="00AF614A" w:rsidP="005D08E2" w:rsidRDefault="00AF614A">
      <w:pPr>
        <w:ind w:left="720"/>
        <w:rPr>
          <w:rFonts w:ascii="Times New Roman" w:hAnsi="Times New Roman"/>
          <w:lang w:bidi="en-US"/>
        </w:rPr>
      </w:pPr>
    </w:p>
    <w:p w:rsidRPr="00D14890" w:rsidR="00AF614A" w:rsidP="00AF614A" w:rsidRDefault="00AF614A">
      <w:pPr>
        <w:ind w:left="720"/>
        <w:rPr>
          <w:rFonts w:ascii="Times New Roman" w:hAnsi="Times New Roman"/>
          <w:lang w:bidi="en-US"/>
        </w:rPr>
      </w:pPr>
      <w:r>
        <w:rPr>
          <w:rFonts w:ascii="Times New Roman" w:hAnsi="Times New Roman"/>
          <w:lang w:bidi="en-US"/>
        </w:rPr>
        <w:t>The commenter believes that e</w:t>
      </w:r>
      <w:r w:rsidRPr="005D08E2" w:rsidR="005D08E2">
        <w:rPr>
          <w:rFonts w:ascii="Times New Roman" w:hAnsi="Times New Roman"/>
          <w:lang w:bidi="en-US"/>
        </w:rPr>
        <w:t xml:space="preserve">xtending the due date of the SOD to at least 45 days after the June 30 as-of date would allow firms to use the full time allotted to submit their June 30 Call Reports prior to completing the SOD, which would ultimately decrease the instances of validity check failures and thus limit the burden associated with rectifying such issues. </w:t>
      </w:r>
      <w:r>
        <w:rPr>
          <w:rFonts w:ascii="Times New Roman" w:hAnsi="Times New Roman"/>
          <w:lang w:bidi="en-US"/>
        </w:rPr>
        <w:t>The commenter adds that</w:t>
      </w:r>
      <w:r w:rsidRPr="00D14890">
        <w:rPr>
          <w:rFonts w:ascii="Times New Roman" w:hAnsi="Times New Roman"/>
          <w:lang w:bidi="en-US"/>
        </w:rPr>
        <w:t xml:space="preserve"> the slightly delayed submission date could be beneficial to the FDIC as well by providing FDIC staff additional time on the Call Report before having to focus on SOD submissions.</w:t>
      </w:r>
    </w:p>
    <w:p w:rsidRPr="00AF614A" w:rsidR="00AF614A" w:rsidP="00AF614A" w:rsidRDefault="00AF614A">
      <w:pPr>
        <w:ind w:left="720"/>
        <w:rPr>
          <w:rFonts w:ascii="Times New Roman" w:hAnsi="Times New Roman"/>
          <w:u w:val="single"/>
          <w:lang w:bidi="en-US"/>
        </w:rPr>
      </w:pPr>
    </w:p>
    <w:p w:rsidR="005D08E2" w:rsidP="00AF614A" w:rsidRDefault="00AF614A">
      <w:pPr>
        <w:ind w:left="720"/>
        <w:rPr>
          <w:rFonts w:ascii="Times New Roman" w:hAnsi="Times New Roman"/>
          <w:lang w:bidi="en-US"/>
        </w:rPr>
      </w:pPr>
      <w:r w:rsidRPr="00AF614A">
        <w:rPr>
          <w:rFonts w:ascii="Times New Roman" w:hAnsi="Times New Roman"/>
          <w:noProof/>
        </w:rPr>
        <mc:AlternateContent>
          <mc:Choice Requires="wpg">
            <w:drawing>
              <wp:anchor distT="0" distB="0" distL="114300" distR="114300" simplePos="0" relativeHeight="251661312" behindDoc="1" locked="0" layoutInCell="1" allowOverlap="1" wp14:editId="53E11057" wp14:anchorId="4B1A8805">
                <wp:simplePos x="0" y="0"/>
                <wp:positionH relativeFrom="page">
                  <wp:posOffset>914400</wp:posOffset>
                </wp:positionH>
                <wp:positionV relativeFrom="paragraph">
                  <wp:posOffset>467360</wp:posOffset>
                </wp:positionV>
                <wp:extent cx="5943600" cy="474345"/>
                <wp:effectExtent l="0" t="20320" r="0" b="635"/>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74345"/>
                          <a:chOff x="1440" y="736"/>
                          <a:chExt cx="9360" cy="747"/>
                        </a:xfrm>
                      </wpg:grpSpPr>
                      <wps:wsp>
                        <wps:cNvPr id="15" name="Line 9"/>
                        <wps:cNvCnPr>
                          <a:cxnSpLocks noChangeShapeType="1"/>
                        </wps:cNvCnPr>
                        <wps:spPr bwMode="auto">
                          <a:xfrm>
                            <a:off x="3503" y="736"/>
                            <a:ext cx="0" cy="250"/>
                          </a:xfrm>
                          <a:prstGeom prst="line">
                            <a:avLst/>
                          </a:prstGeom>
                          <a:noFill/>
                          <a:ln w="3200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6" name="Freeform 8"/>
                        <wps:cNvSpPr>
                          <a:spLocks/>
                        </wps:cNvSpPr>
                        <wps:spPr bwMode="auto">
                          <a:xfrm>
                            <a:off x="1440" y="736"/>
                            <a:ext cx="9360" cy="747"/>
                          </a:xfrm>
                          <a:custGeom>
                            <a:avLst/>
                            <a:gdLst>
                              <a:gd name="T0" fmla="+- 0 10800 1440"/>
                              <a:gd name="T1" fmla="*/ T0 w 9360"/>
                              <a:gd name="T2" fmla="+- 0 986 736"/>
                              <a:gd name="T3" fmla="*/ 986 h 747"/>
                              <a:gd name="T4" fmla="+- 0 10500 1440"/>
                              <a:gd name="T5" fmla="*/ T4 w 9360"/>
                              <a:gd name="T6" fmla="+- 0 986 736"/>
                              <a:gd name="T7" fmla="*/ 986 h 747"/>
                              <a:gd name="T8" fmla="+- 0 10500 1440"/>
                              <a:gd name="T9" fmla="*/ T8 w 9360"/>
                              <a:gd name="T10" fmla="+- 0 736 736"/>
                              <a:gd name="T11" fmla="*/ 736 h 747"/>
                              <a:gd name="T12" fmla="+- 0 4834 1440"/>
                              <a:gd name="T13" fmla="*/ T12 w 9360"/>
                              <a:gd name="T14" fmla="+- 0 736 736"/>
                              <a:gd name="T15" fmla="*/ 736 h 747"/>
                              <a:gd name="T16" fmla="+- 0 4834 1440"/>
                              <a:gd name="T17" fmla="*/ T16 w 9360"/>
                              <a:gd name="T18" fmla="+- 0 986 736"/>
                              <a:gd name="T19" fmla="*/ 986 h 747"/>
                              <a:gd name="T20" fmla="+- 0 1440 1440"/>
                              <a:gd name="T21" fmla="*/ T20 w 9360"/>
                              <a:gd name="T22" fmla="+- 0 986 736"/>
                              <a:gd name="T23" fmla="*/ 986 h 747"/>
                              <a:gd name="T24" fmla="+- 0 1440 1440"/>
                              <a:gd name="T25" fmla="*/ T24 w 9360"/>
                              <a:gd name="T26" fmla="+- 0 1235 736"/>
                              <a:gd name="T27" fmla="*/ 1235 h 747"/>
                              <a:gd name="T28" fmla="+- 0 1440 1440"/>
                              <a:gd name="T29" fmla="*/ T28 w 9360"/>
                              <a:gd name="T30" fmla="+- 0 1483 736"/>
                              <a:gd name="T31" fmla="*/ 1483 h 747"/>
                              <a:gd name="T32" fmla="+- 0 9283 1440"/>
                              <a:gd name="T33" fmla="*/ T32 w 9360"/>
                              <a:gd name="T34" fmla="+- 0 1483 736"/>
                              <a:gd name="T35" fmla="*/ 1483 h 747"/>
                              <a:gd name="T36" fmla="+- 0 9283 1440"/>
                              <a:gd name="T37" fmla="*/ T36 w 9360"/>
                              <a:gd name="T38" fmla="+- 0 1235 736"/>
                              <a:gd name="T39" fmla="*/ 1235 h 747"/>
                              <a:gd name="T40" fmla="+- 0 10800 1440"/>
                              <a:gd name="T41" fmla="*/ T40 w 9360"/>
                              <a:gd name="T42" fmla="+- 0 1235 736"/>
                              <a:gd name="T43" fmla="*/ 1235 h 747"/>
                              <a:gd name="T44" fmla="+- 0 10800 1440"/>
                              <a:gd name="T45" fmla="*/ T44 w 9360"/>
                              <a:gd name="T46" fmla="+- 0 986 736"/>
                              <a:gd name="T47" fmla="*/ 986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0" h="747">
                                <a:moveTo>
                                  <a:pt x="9360" y="250"/>
                                </a:moveTo>
                                <a:lnTo>
                                  <a:pt x="9060" y="250"/>
                                </a:lnTo>
                                <a:lnTo>
                                  <a:pt x="9060" y="0"/>
                                </a:lnTo>
                                <a:lnTo>
                                  <a:pt x="3394" y="0"/>
                                </a:lnTo>
                                <a:lnTo>
                                  <a:pt x="3394" y="250"/>
                                </a:lnTo>
                                <a:lnTo>
                                  <a:pt x="0" y="250"/>
                                </a:lnTo>
                                <a:lnTo>
                                  <a:pt x="0" y="499"/>
                                </a:lnTo>
                                <a:lnTo>
                                  <a:pt x="0" y="747"/>
                                </a:lnTo>
                                <a:lnTo>
                                  <a:pt x="7843" y="747"/>
                                </a:lnTo>
                                <a:lnTo>
                                  <a:pt x="7843" y="499"/>
                                </a:lnTo>
                                <a:lnTo>
                                  <a:pt x="9360" y="499"/>
                                </a:lnTo>
                                <a:lnTo>
                                  <a:pt x="9360" y="25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1in;margin-top:36.8pt;width:468pt;height:37.35pt;z-index:-251655168;mso-position-horizontal-relative:page" coordsize="9360,747" coordorigin="1440,736" o:spid="_x0000_s1026" w14:anchorId="78BE1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d6QUAAL0UAAAOAAAAZHJzL2Uyb0RvYy54bWy8WNtu4zYQfS/QfyD02MKxLvRFRpzFrh0H&#10;BdI2wKofQEuyJVQWVUqOky36750hRZvyiomQAs2DJYVHo8M5M0MObz+9HArynIo65+XS8W5ch6Rl&#10;zJO83C+dP6LNaO6QumFlwgpepkvnNa2dT3c//nB7qhapzzNeJKkgYKSsF6dq6WRNUy3G4zrO0gOr&#10;b3iVljC44+LAGngU+3Ei2AmsH4qx77rT8YmLpBI8Tusa/rtWg86dtL/bpXHz+25Xpw0plg5wa+Sv&#10;kL9b/B3f3bLFXrAqy+OWBvsAiwPLS/jo2dSaNYwcRf6dqUMeC17zXXMT88OY73Z5nMo5wGw892o2&#10;D4IfKzmX/eK0r85uAtde+enDZuPfnp8EyRPQjjqkZAfQSH6WzNA3p2q/AMiDqL5WT0JNEG4fefxn&#10;DcPj63F83isw2Z5+5QmYY8eGS9+87MQBTcCsyYuU4PUsQfrSkBj+OQlpMHVBqRjG6IwGdKI0ijMQ&#10;El/zKIVhGJ0FUz10374dwrvq1RmV/Mdsob4qmbbMcFoQbfXFofV/c+jXjFWp1KlGb2mHTrRDH/My&#10;JaHyp0SsSuXM+KVsnUlKvspYuU+lrei1Asd5+AYQN17BhxqUeNe5wcQNul7SHm4d5E9k8J8dxBaV&#10;qJuHlB8I3iydAkhL2djzY90gkwsEVSz5Ji8K+D9bFCU5LZ0A8pHKN2pe5AmO4mAt9ttVIcgzgxTc&#10;yD85LxgxYfjRNaszhZNDSl3IgTKRn8lSlty39w3LC3UPtIoSPwQTBKLtnUq+v0M3vJ/fz+mI+tP7&#10;EXXX69HnzYqOphtvNlkH69Vq7f2DnD26yPIkSUukrQuBR4fFRVuSVAqfS8HZQeOudelJIKuvkrSU&#10;GZVVwbnlyeuT0PJDqP5fMTvVMbsRaYpll8xRhjYIdRGozQogw1ONDA7P75NYh6c9hdkiPqoIRY11&#10;VELJTVrZ90lbwCKI8d2hgEL+84i4xHPnLvxi3ZBxdMF5GvfTmEQuORH59SuQr0HSWDifknPluViC&#10;ZFNfBEsIyUhbgZCfpgUVtkNrYqEFheNsLKIWWqCUYcxCa6ZBb9GCJdqw5Lk2WqHGobfmFlpe1/fg&#10;qj53eabnEdPrL6/rejoPaL+Mpvcjz7dR6/rfRs30vp1a1/12aqYCkTe1UetqYFHTMxWwRpnfVQDj&#10;vtdrvqlB5FvDvyuChZpvSmCn1lXATs3UIPJtKeB3RfD8YNIXbL6pgQT1Rpvf1cBOzlQh8m2JEFzL&#10;MA/6yAWmCh7EUX8qBFcq+ADsq2iBqUMU2FIhuBbCQs7U4Q1yXR1CKzlTiAiyvr/gBldCWGQNTB3s&#10;suJusVPebIsBNZWIIGn62dGuErago6YQb7C7EsK6VME+2FwUbClBr6ToX61gc3wx1slW2E2d11OW&#10;qY0fLLwvZbvGwh2BbSru23EVrniNe/IIXAc78ijABRZMAApHLWCYCYL1Bv1tMIiMYFgwhpj2wOsS&#10;LruGd5l44AcJl5vzd+FYMREOxW4IGb+dKNSfQfB2qlARhsAx05FMMGyqQTtVyJoh1jEZ0DqE8SB4&#10;O9Vz1yVFVQ5tI0dAL37dhQuHQBe+xU9ALLEGA07fYkuhNoMZ9HpgGAcO/DmNuIQ0GHgKAEQv7cwF&#10;UpQdqIu9YQeqAfpaKZsaqBskPayvChYEIeQu2BsIuzDUdvRV2RtGTqFoqFXUNvTVtHXpgfWovirU&#10;bI5FCmYwGPjed89yDAZeewVCBuNAdZs6IDCOjK1/p28c2F6qFtFoyd5qGj2ful/8cLSZzmcjuqGT&#10;UThz5yPXC7+EU5eGdL3pNo2ywVeHWNDrfbRplBE/gaqB8W2fpCv/2rTswN5vlc9tLjLWDai+yuTr&#10;bUSJ4HAiALEHJ31wk3HxzSEnODVbOvVfRyZShxS/lHCKEso9CWnkA53McC8qzJGtOcLKGEwtncaB&#10;NQVvV406mjtWIt9n8CVP+qLkn+EMaZfLUwjsMVV7DLzxQXbHcCfPyORc2vM8PIQznyX+cup49y8A&#10;AAD//wMAUEsDBBQABgAIAAAAIQB6JvQY4AAAAAsBAAAPAAAAZHJzL2Rvd25yZXYueG1sTI9BS8NA&#10;EIXvgv9hGcGb3cTUGmI2pRT1VARbQbxNs9MkNLsbstsk/fdOTnp88x5vvpevJ9OKgXrfOKsgXkQg&#10;yJZON7ZS8HV4e0hB+IBWY+ssKbiSh3Vxe5Njpt1oP2nYh0pwifUZKqhD6DIpfVmTQb9wHVn2Tq43&#10;GFj2ldQ9jlxuWvkYRStpsLH8ocaOtjWV5/3FKHgfcdwk8euwO5+215/D08f3Lial7u+mzQuIQFP4&#10;C8OMz+hQMNPRXaz2omW9XPKWoOA5WYGYA1Ea8eU4W2kCssjl/w3FLwAAAP//AwBQSwECLQAUAAYA&#10;CAAAACEAtoM4kv4AAADhAQAAEwAAAAAAAAAAAAAAAAAAAAAAW0NvbnRlbnRfVHlwZXNdLnhtbFBL&#10;AQItABQABgAIAAAAIQA4/SH/1gAAAJQBAAALAAAAAAAAAAAAAAAAAC8BAABfcmVscy8ucmVsc1BL&#10;AQItABQABgAIAAAAIQA+wPId6QUAAL0UAAAOAAAAAAAAAAAAAAAAAC4CAABkcnMvZTJvRG9jLnht&#10;bFBLAQItABQABgAIAAAAIQB6JvQY4AAAAAsBAAAPAAAAAAAAAAAAAAAAAEMIAABkcnMvZG93bnJl&#10;di54bWxQSwUGAAAAAAQABADzAAAAUAkAAAAA&#10;">
                <v:line id="Line 9" style="position:absolute;visibility:visible;mso-wrap-style:square" o:spid="_x0000_s1027" strokecolor="white" strokeweight="2.52pt" o:connectortype="straight" from="3503,736" to="3503,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5W4vQAAANsAAAAPAAAAZHJzL2Rvd25yZXYueG1sRE/JCsIw&#10;EL0L/kMYwZumCopUo4jgBnpwwfPQTBdsJqWJWv/eCIK3ebx1ZovGlOJJtSssKxj0IxDEidUFZwqu&#10;l3VvAsJ5ZI2lZVLwJgeLebs1w1jbF5/oefaZCCHsYlSQe1/FUrokJ4OubyviwKW2NugDrDOpa3yF&#10;cFPKYRSNpcGCQ0OOFa1ySu7nh1Fgh2n6Hhz39rSZyNshOWx1U2yV6naa5RSEp8b/xT/3Tof5I/j+&#10;Eg6Q8w8AAAD//wMAUEsBAi0AFAAGAAgAAAAhANvh9svuAAAAhQEAABMAAAAAAAAAAAAAAAAAAAAA&#10;AFtDb250ZW50X1R5cGVzXS54bWxQSwECLQAUAAYACAAAACEAWvQsW78AAAAVAQAACwAAAAAAAAAA&#10;AAAAAAAfAQAAX3JlbHMvLnJlbHNQSwECLQAUAAYACAAAACEAt7OVuL0AAADbAAAADwAAAAAAAAAA&#10;AAAAAAAHAgAAZHJzL2Rvd25yZXYueG1sUEsFBgAAAAADAAMAtwAAAPECAAAAAA==&#10;"/>
                <v:shape id="Freeform 8" style="position:absolute;left:1440;top:736;width:9360;height:747;visibility:visible;mso-wrap-style:square;v-text-anchor:top" coordsize="9360,747" o:spid="_x0000_s1028" stroked="f" path="m9360,250r-300,l9060,,3394,r,250l,250,,499,,747r7843,l7843,499r1517,l9360,2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OwwgAAANsAAAAPAAAAZHJzL2Rvd25yZXYueG1sRE9Na8JA&#10;EL0X/A/LCL3VjYJWUlcxgpCihxrF85CdJmmzsyG7xuivd4VCb/N4n7NY9aYWHbWusqxgPIpAEOdW&#10;V1woOB23b3MQziNrrC2Tghs5WC0HLwuMtb3ygbrMFyKEsItRQel9E0vp8pIMupFtiAP3bVuDPsC2&#10;kLrFawg3tZxE0UwarDg0lNjQpqT8N7sYBef0M5k2926c7JP0/WuHPx3bo1Kvw379AcJT7//Ff+5U&#10;h/kzeP4SDpDLBwAAAP//AwBQSwECLQAUAAYACAAAACEA2+H2y+4AAACFAQAAEwAAAAAAAAAAAAAA&#10;AAAAAAAAW0NvbnRlbnRfVHlwZXNdLnhtbFBLAQItABQABgAIAAAAIQBa9CxbvwAAABUBAAALAAAA&#10;AAAAAAAAAAAAAB8BAABfcmVscy8ucmVsc1BLAQItABQABgAIAAAAIQA7wPOwwgAAANsAAAAPAAAA&#10;AAAAAAAAAAAAAAcCAABkcnMvZG93bnJldi54bWxQSwUGAAAAAAMAAwC3AAAA9gIAAAAA&#10;">
                  <v:path arrowok="t" o:connecttype="custom" o:connectlocs="9360,986;9060,986;9060,736;3394,736;3394,986;0,986;0,1235;0,1483;7843,1483;7843,1235;9360,1235;9360,986" o:connectangles="0,0,0,0,0,0,0,0,0,0,0,0"/>
                </v:shape>
                <w10:wrap anchorx="page"/>
              </v:group>
            </w:pict>
          </mc:Fallback>
        </mc:AlternateContent>
      </w:r>
      <w:r>
        <w:rPr>
          <w:rFonts w:ascii="Times New Roman" w:hAnsi="Times New Roman"/>
          <w:lang w:bidi="en-US"/>
        </w:rPr>
        <w:t>The commenter states that p</w:t>
      </w:r>
      <w:r w:rsidRPr="00AF614A">
        <w:rPr>
          <w:rFonts w:ascii="Times New Roman" w:hAnsi="Times New Roman"/>
          <w:lang w:bidi="en-US"/>
        </w:rPr>
        <w:t xml:space="preserve">roviding additional time for the SOD could also help decrease discrepancies between current branch information and the branch information that appears in the FDIC systems. </w:t>
      </w:r>
      <w:r w:rsidR="00717C67">
        <w:rPr>
          <w:rFonts w:ascii="Times New Roman" w:hAnsi="Times New Roman"/>
          <w:lang w:bidi="en-US"/>
        </w:rPr>
        <w:t xml:space="preserve">The commenter </w:t>
      </w:r>
      <w:r w:rsidR="00EC335B">
        <w:rPr>
          <w:rFonts w:ascii="Times New Roman" w:hAnsi="Times New Roman"/>
          <w:lang w:bidi="en-US"/>
        </w:rPr>
        <w:t>points</w:t>
      </w:r>
      <w:r w:rsidR="00717C67">
        <w:rPr>
          <w:rFonts w:ascii="Times New Roman" w:hAnsi="Times New Roman"/>
          <w:lang w:bidi="en-US"/>
        </w:rPr>
        <w:t xml:space="preserve"> out that i</w:t>
      </w:r>
      <w:r w:rsidRPr="00AF614A">
        <w:rPr>
          <w:rFonts w:ascii="Times New Roman" w:hAnsi="Times New Roman"/>
          <w:lang w:bidi="en-US"/>
        </w:rPr>
        <w:t xml:space="preserve">nstitutions submit the Form FR Y-10 </w:t>
      </w:r>
      <w:r w:rsidR="00717C67">
        <w:rPr>
          <w:rFonts w:ascii="Times New Roman" w:hAnsi="Times New Roman"/>
          <w:lang w:bidi="en-US"/>
        </w:rPr>
        <w:t xml:space="preserve">report, </w:t>
      </w:r>
      <w:r w:rsidRPr="00AF614A" w:rsidR="00717C67">
        <w:rPr>
          <w:rFonts w:ascii="Times New Roman" w:hAnsi="Times New Roman"/>
          <w:lang w:bidi="en-US"/>
        </w:rPr>
        <w:t>within 30 days of a change</w:t>
      </w:r>
      <w:r w:rsidR="00717C67">
        <w:rPr>
          <w:rFonts w:ascii="Times New Roman" w:hAnsi="Times New Roman"/>
          <w:lang w:bidi="en-US"/>
        </w:rPr>
        <w:t xml:space="preserve">, </w:t>
      </w:r>
      <w:r w:rsidRPr="00AF614A">
        <w:rPr>
          <w:rFonts w:ascii="Times New Roman" w:hAnsi="Times New Roman"/>
          <w:lang w:bidi="en-US"/>
        </w:rPr>
        <w:t>to provide the agencies with updated branch data as a result organizational structural changes, including changes in both foreign and domestic branches (such as openings and closu</w:t>
      </w:r>
      <w:r w:rsidR="00717C67">
        <w:rPr>
          <w:rFonts w:ascii="Times New Roman" w:hAnsi="Times New Roman"/>
          <w:lang w:bidi="en-US"/>
        </w:rPr>
        <w:t xml:space="preserve">res). The commenter </w:t>
      </w:r>
      <w:r w:rsidR="00EC335B">
        <w:rPr>
          <w:rFonts w:ascii="Times New Roman" w:hAnsi="Times New Roman"/>
          <w:lang w:bidi="en-US"/>
        </w:rPr>
        <w:t>points</w:t>
      </w:r>
      <w:r w:rsidR="00717C67">
        <w:rPr>
          <w:rFonts w:ascii="Times New Roman" w:hAnsi="Times New Roman"/>
          <w:lang w:bidi="en-US"/>
        </w:rPr>
        <w:t xml:space="preserve"> out that F</w:t>
      </w:r>
      <w:r w:rsidRPr="00AF614A">
        <w:rPr>
          <w:rFonts w:ascii="Times New Roman" w:hAnsi="Times New Roman"/>
          <w:lang w:bidi="en-US"/>
        </w:rPr>
        <w:t xml:space="preserve">DIC records for branches are not always updated in a timely manner to reflect said changes, creating a gap in the timing between when firms communicate changes and these changes appear in the FDIC system used for the SOD. In certain cases, like with specialty branches, there could be a significant lag in updates to the FDIC system of up to three to six months. This delay leads to stale information and duplicate branch numbers in FDIC records, which contributes to issues in the SOD reporting process and continued unnecessary burden. </w:t>
      </w:r>
      <w:r w:rsidR="00717C67">
        <w:rPr>
          <w:rFonts w:ascii="Times New Roman" w:hAnsi="Times New Roman"/>
          <w:lang w:bidi="en-US"/>
        </w:rPr>
        <w:t>The commenter indicates that institutions</w:t>
      </w:r>
      <w:r w:rsidRPr="00AF614A">
        <w:rPr>
          <w:rFonts w:ascii="Times New Roman" w:hAnsi="Times New Roman"/>
          <w:lang w:bidi="en-US"/>
        </w:rPr>
        <w:t xml:space="preserve"> currently make an effort to proactively avoid the discrepancies that arise from delayed updates to the FDIC system by working with FDIC analysts on a consistent basis to reconcile and update branch information in the FDIC’s records. However, despite these proactive initiatives, firms often continue to experience branch identification issues and inconsistencies when preparing the SOD.  </w:t>
      </w:r>
      <w:r w:rsidR="00717C67">
        <w:rPr>
          <w:rFonts w:ascii="Times New Roman" w:hAnsi="Times New Roman"/>
          <w:lang w:bidi="en-US"/>
        </w:rPr>
        <w:t>The commenter believes that e</w:t>
      </w:r>
      <w:r w:rsidRPr="00AF614A">
        <w:rPr>
          <w:rFonts w:ascii="Times New Roman" w:hAnsi="Times New Roman"/>
          <w:lang w:bidi="en-US"/>
        </w:rPr>
        <w:t>xtending the submission due date for the SOD would help support improving these issues with branch identification as it would allow more time for the FDIC to appropriately update its branch records prior to firms’ annual SOD submission.</w:t>
      </w:r>
    </w:p>
    <w:p w:rsidR="00717C67" w:rsidP="00AF614A" w:rsidRDefault="00717C67">
      <w:pPr>
        <w:ind w:left="720"/>
        <w:rPr>
          <w:rFonts w:ascii="Times New Roman" w:hAnsi="Times New Roman"/>
          <w:lang w:bidi="en-US"/>
        </w:rPr>
      </w:pPr>
    </w:p>
    <w:p w:rsidRPr="00AF3A4A" w:rsidR="00AF3A4A" w:rsidP="00AF3A4A" w:rsidRDefault="00AF3A4A">
      <w:pPr>
        <w:ind w:left="720"/>
        <w:rPr>
          <w:rFonts w:ascii="Times New Roman" w:hAnsi="Times New Roman"/>
          <w:lang w:bidi="en-US"/>
        </w:rPr>
      </w:pPr>
      <w:r w:rsidRPr="00AF3A4A">
        <w:rPr>
          <w:rFonts w:ascii="Times New Roman" w:hAnsi="Times New Roman"/>
          <w:lang w:bidi="en-US"/>
        </w:rPr>
        <w:t xml:space="preserve">As stated above, the Summary of Deposits data is a valuable resource to the general public, researchers, analysts, banking organizations, and financial regulators. The FDIC has strived to publish the data as early as possible, moving up the publication to as early as possible by implementing system and process enhancements over the last five years.  Because market share analysis resulting from the SOD data collection is dependent on collection of data from all respondent institutions, any extension of the SOD due date would result in delaying publication of all SOD data by an equal number of days, setting back any progress on the FDIC’s goal to publish data more timely.  Further, the number of banks for which the Call Report due date falls after the SOD due date totals less than one percent of all respondents, and those institutions are able to bypass any edits associated with filing the SOD before filing the Call Report. </w:t>
      </w:r>
    </w:p>
    <w:p w:rsidRPr="00AF3A4A" w:rsidR="00AF3A4A" w:rsidP="00AF3A4A" w:rsidRDefault="00AF3A4A">
      <w:pPr>
        <w:ind w:left="720"/>
        <w:rPr>
          <w:rFonts w:ascii="Times New Roman" w:hAnsi="Times New Roman"/>
          <w:lang w:bidi="en-US"/>
        </w:rPr>
      </w:pPr>
    </w:p>
    <w:p w:rsidR="00717C67" w:rsidP="00AF3A4A" w:rsidRDefault="00AF3A4A">
      <w:pPr>
        <w:ind w:left="720"/>
        <w:rPr>
          <w:rFonts w:ascii="Times New Roman" w:hAnsi="Times New Roman"/>
          <w:lang w:bidi="en-US"/>
        </w:rPr>
      </w:pPr>
      <w:r w:rsidRPr="00AF3A4A">
        <w:rPr>
          <w:rFonts w:ascii="Times New Roman" w:hAnsi="Times New Roman"/>
          <w:lang w:bidi="en-US"/>
        </w:rPr>
        <w:t xml:space="preserve">Regarding discrepancies between disparate systems, the FDIC has recently implemented extensive system enhancements to speed the flow of institutional structure data between agencies and systems, reducing the lag time and reconcilement issues encountered previously. </w:t>
      </w:r>
      <w:r>
        <w:rPr>
          <w:rFonts w:ascii="Times New Roman" w:hAnsi="Times New Roman"/>
          <w:lang w:bidi="en-US"/>
        </w:rPr>
        <w:t xml:space="preserve"> FDIC</w:t>
      </w:r>
      <w:r w:rsidRPr="00AF3A4A">
        <w:rPr>
          <w:rFonts w:ascii="Times New Roman" w:hAnsi="Times New Roman"/>
          <w:lang w:bidi="en-US"/>
        </w:rPr>
        <w:t xml:space="preserve"> believe</w:t>
      </w:r>
      <w:r>
        <w:rPr>
          <w:rFonts w:ascii="Times New Roman" w:hAnsi="Times New Roman"/>
          <w:lang w:bidi="en-US"/>
        </w:rPr>
        <w:t>s</w:t>
      </w:r>
      <w:r w:rsidRPr="00AF3A4A">
        <w:rPr>
          <w:rFonts w:ascii="Times New Roman" w:hAnsi="Times New Roman"/>
          <w:lang w:bidi="en-US"/>
        </w:rPr>
        <w:t xml:space="preserve"> these enhancements will greatly reduce the discrepancies between systems and enhance the reporting process going forward.</w:t>
      </w:r>
    </w:p>
    <w:p w:rsidR="00AF3A4A" w:rsidP="00AF3A4A" w:rsidRDefault="00AF3A4A">
      <w:pPr>
        <w:ind w:left="720"/>
        <w:rPr>
          <w:rFonts w:ascii="Times New Roman" w:hAnsi="Times New Roman"/>
          <w:lang w:bidi="en-US"/>
        </w:rPr>
      </w:pPr>
    </w:p>
    <w:p w:rsidRPr="00D14890" w:rsidR="00EC335B" w:rsidP="00470B79" w:rsidRDefault="00470B79">
      <w:pPr>
        <w:ind w:left="720"/>
        <w:rPr>
          <w:rFonts w:ascii="Times New Roman" w:hAnsi="Times New Roman"/>
          <w:szCs w:val="24"/>
          <w:lang w:bidi="en-US"/>
        </w:rPr>
      </w:pPr>
      <w:bookmarkStart w:name="II._The_FDIC_should_publish_the_Annual_S" w:id="1"/>
      <w:bookmarkEnd w:id="1"/>
      <w:r w:rsidRPr="00D14890">
        <w:rPr>
          <w:rFonts w:ascii="Times New Roman" w:hAnsi="Times New Roman"/>
          <w:szCs w:val="24"/>
          <w:lang w:bidi="en-US"/>
        </w:rPr>
        <w:t>The commenter suggests that the FDIC should publish the annual SOD reporting instructions and the related FDIC Financial Institution Letter, by mid-April to allow firms and software vendors adequate time to make necessary changes.</w:t>
      </w:r>
    </w:p>
    <w:p w:rsidRPr="00D14890" w:rsidR="00EC335B" w:rsidP="00470B79" w:rsidRDefault="00EC335B">
      <w:pPr>
        <w:ind w:left="720"/>
        <w:rPr>
          <w:rFonts w:ascii="Times New Roman" w:hAnsi="Times New Roman"/>
          <w:szCs w:val="24"/>
          <w:lang w:bidi="en-US"/>
        </w:rPr>
      </w:pPr>
    </w:p>
    <w:p w:rsidRPr="00D14890" w:rsidR="00470B79" w:rsidP="00470B79" w:rsidRDefault="00EC335B">
      <w:pPr>
        <w:ind w:left="720"/>
        <w:rPr>
          <w:rFonts w:ascii="Times New Roman" w:hAnsi="Times New Roman"/>
          <w:szCs w:val="24"/>
          <w:lang w:bidi="en-US"/>
        </w:rPr>
      </w:pPr>
      <w:r w:rsidRPr="00D14890">
        <w:rPr>
          <w:rFonts w:ascii="Times New Roman" w:hAnsi="Times New Roman"/>
          <w:szCs w:val="24"/>
          <w:lang w:bidi="en-US"/>
        </w:rPr>
        <w:t>F</w:t>
      </w:r>
      <w:r w:rsidRPr="00D14890">
        <w:rPr>
          <w:rFonts w:ascii="Times New Roman" w:hAnsi="Times New Roman" w:eastAsia="Arial Narrow"/>
          <w:snapToGrid/>
          <w:szCs w:val="24"/>
          <w:lang w:bidi="en-US"/>
        </w:rPr>
        <w:t>ew</w:t>
      </w:r>
      <w:r w:rsidRPr="00D14890" w:rsidR="00470B79">
        <w:rPr>
          <w:rFonts w:ascii="Times New Roman" w:hAnsi="Times New Roman"/>
          <w:szCs w:val="24"/>
          <w:lang w:bidi="en-US"/>
        </w:rPr>
        <w:t xml:space="preserve"> changes are made to the Summary of Deposits Financial Institution Letter and instructions from year to year, and changes are generally limited to updating dates and system-specific guidelines for respondents.  Well in advance of the SOD reporting cycle, meetings are held with third-party software vendors to discuss the upcoming reporting cycle and any associated reporting or system changes.  When more significant changes have occurred, requiring more preparation by respondents, guidance has been issued earlier.  For example, when reporting transitioned from a legacy system to the Central Data Repository in 2016, the Financial Institution Letter and instructions were issued on May 1 of that year.  Given the minor changes to reporting guidance in recent years, FDIC believes release of the guidance to financial institutions approximately 30 days in advance of the reporting cycle is sufficient. </w:t>
      </w:r>
    </w:p>
    <w:p w:rsidR="00AF3A4A" w:rsidP="00AF3A4A" w:rsidRDefault="00AF3A4A">
      <w:pPr>
        <w:ind w:left="720"/>
        <w:rPr>
          <w:rFonts w:ascii="Times New Roman" w:hAnsi="Times New Roman"/>
          <w:lang w:bidi="en-US"/>
        </w:rPr>
      </w:pPr>
    </w:p>
    <w:p w:rsidR="00E76A29" w:rsidP="00C15DEE" w:rsidRDefault="00C15DEE">
      <w:pPr>
        <w:ind w:left="720"/>
        <w:rPr>
          <w:rFonts w:ascii="Times New Roman" w:hAnsi="Times New Roman"/>
          <w:lang w:bidi="en-US"/>
        </w:rPr>
      </w:pPr>
      <w:r>
        <w:rPr>
          <w:rFonts w:ascii="Times New Roman" w:hAnsi="Times New Roman"/>
          <w:lang w:bidi="en-US"/>
        </w:rPr>
        <w:t>The commenter suggests that t</w:t>
      </w:r>
      <w:r w:rsidRPr="00C15DEE">
        <w:rPr>
          <w:rFonts w:ascii="Times New Roman" w:hAnsi="Times New Roman"/>
          <w:lang w:bidi="en-US"/>
        </w:rPr>
        <w:t>he FDIC should update the edit check for addresses to ensure that submissions that include branch addresses consistent with those on the United States Postal Services’ website and that meet the</w:t>
      </w:r>
      <w:r>
        <w:rPr>
          <w:rFonts w:ascii="Times New Roman" w:hAnsi="Times New Roman"/>
          <w:lang w:bidi="en-US"/>
        </w:rPr>
        <w:t xml:space="preserve"> </w:t>
      </w:r>
      <w:r w:rsidRPr="00C15DEE">
        <w:rPr>
          <w:rFonts w:ascii="Times New Roman" w:hAnsi="Times New Roman"/>
          <w:lang w:bidi="en-US"/>
        </w:rPr>
        <w:t>standards of the FDIC’s approved vendor software do not produce errors</w:t>
      </w:r>
      <w:r>
        <w:rPr>
          <w:rFonts w:ascii="Times New Roman" w:hAnsi="Times New Roman"/>
          <w:lang w:bidi="en-US"/>
        </w:rPr>
        <w:t xml:space="preserve">.  Additionally, the commenter recommends that the FDIC </w:t>
      </w:r>
      <w:r w:rsidRPr="00C15DEE">
        <w:rPr>
          <w:rFonts w:ascii="Times New Roman" w:hAnsi="Times New Roman"/>
          <w:lang w:bidi="en-US"/>
        </w:rPr>
        <w:t>consider ways to use more automated techniques to enhance SOD processes and related updates to FDIC records.</w:t>
      </w:r>
    </w:p>
    <w:p w:rsidR="00E76A29" w:rsidP="00AF3A4A" w:rsidRDefault="00E76A29">
      <w:pPr>
        <w:ind w:left="720"/>
        <w:rPr>
          <w:rFonts w:ascii="Times New Roman" w:hAnsi="Times New Roman"/>
          <w:lang w:bidi="en-US"/>
        </w:rPr>
      </w:pPr>
    </w:p>
    <w:p w:rsidR="00AF614A" w:rsidP="00AF614A" w:rsidRDefault="00C15DEE">
      <w:pPr>
        <w:ind w:left="720"/>
        <w:rPr>
          <w:rFonts w:ascii="Times New Roman" w:hAnsi="Times New Roman"/>
        </w:rPr>
      </w:pPr>
      <w:r w:rsidRPr="00C15DEE">
        <w:rPr>
          <w:rFonts w:ascii="Times New Roman" w:hAnsi="Times New Roman"/>
          <w:lang w:bidi="en-US"/>
        </w:rPr>
        <w:t>The FDIC continues to implement system enhancements and utilize available tools to ease reporting burden for respondents.  In recent years, the FDIC has integrated address standardization and geocoding tools within the Central Data Repository to enhance data quality at the point of entry and to minimize the number of edit failures.  Technology and system enhancements will continue to be implemented as practicable going forward.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P="00437618" w:rsidRDefault="007B6C63">
      <w:pPr>
        <w:keepNext/>
        <w:ind w:left="720" w:firstLine="720"/>
        <w:rPr>
          <w:rFonts w:ascii="Times New Roman" w:hAnsi="Times New Roman"/>
        </w:rPr>
      </w:pPr>
    </w:p>
    <w:p w:rsidR="007B6C63" w:rsidP="00437618" w:rsidRDefault="007B6C63">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rsidRDefault="007B6C63">
      <w:pPr>
        <w:keepNext/>
        <w:rPr>
          <w:rFonts w:ascii="Times New Roman" w:hAnsi="Times New Roman"/>
        </w:rPr>
      </w:pPr>
    </w:p>
    <w:p w:rsidR="00881712" w:rsidP="00437618" w:rsidRDefault="00276213">
      <w:pPr>
        <w:keepNext/>
        <w:ind w:left="720"/>
        <w:rPr>
          <w:rFonts w:ascii="Times New Roman" w:hAnsi="Times New Roman"/>
        </w:rPr>
      </w:pPr>
      <w:r>
        <w:rPr>
          <w:rFonts w:ascii="Times New Roman" w:hAnsi="Times New Roman"/>
        </w:rPr>
        <w:t>None; all of the collected data are available to the public on request.</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sidR="00881712">
        <w:rPr>
          <w:rFonts w:ascii="Times New Roman" w:hAnsi="Times New Roman"/>
          <w:b/>
          <w:bCs/>
          <w:iCs/>
          <w:u w:val="single"/>
        </w:rPr>
        <w:t>Justification</w:t>
      </w:r>
      <w:r w:rsidRPr="00846A1A" w:rsidR="00881712">
        <w:rPr>
          <w:rFonts w:ascii="Times New Roman" w:hAnsi="Times New Roman"/>
          <w:b/>
          <w:bCs/>
          <w:spacing w:val="-1"/>
          <w:szCs w:val="24"/>
          <w:u w:val="single"/>
        </w:rPr>
        <w:t xml:space="preserve"> </w:t>
      </w:r>
      <w:r w:rsidRPr="00846A1A" w:rsidR="00881712">
        <w:rPr>
          <w:rFonts w:ascii="Times New Roman" w:hAnsi="Times New Roman"/>
          <w:b/>
          <w:u w:val="single"/>
        </w:rPr>
        <w:t>for</w:t>
      </w:r>
      <w:r w:rsidRPr="002A5F6B" w:rsidR="00881712">
        <w:rPr>
          <w:rFonts w:ascii="Times New Roman" w:hAnsi="Times New Roman"/>
          <w:b/>
          <w:bCs/>
          <w:spacing w:val="-1"/>
          <w:szCs w:val="24"/>
          <w:u w:val="single"/>
        </w:rPr>
        <w:t xml:space="preserve"> questions of a sensitive nature:</w:t>
      </w:r>
    </w:p>
    <w:p w:rsidR="007B6C63" w:rsidRDefault="007B6C63">
      <w:pPr>
        <w:tabs>
          <w:tab w:val="left" w:pos="-1440"/>
        </w:tabs>
        <w:ind w:firstLine="720"/>
        <w:rPr>
          <w:rFonts w:ascii="Times New Roman" w:hAnsi="Times New Roman"/>
        </w:rPr>
      </w:pPr>
    </w:p>
    <w:p w:rsidR="007B6C63" w:rsidP="009557A1" w:rsidRDefault="00881712">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rsidRDefault="0099247D">
      <w:pPr>
        <w:rPr>
          <w:rFonts w:ascii="Times New Roman" w:hAnsi="Times New Roman"/>
        </w:rPr>
      </w:pPr>
      <w:r>
        <w:rPr>
          <w:rFonts w:ascii="Times New Roman" w:hAnsi="Times New Roman"/>
        </w:rPr>
        <w:br w:type="page"/>
      </w:r>
    </w:p>
    <w:p w:rsidR="00285D59" w:rsidP="00285D59" w:rsidRDefault="007B6C63">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846A1A" w:rsidP="002668A9" w:rsidRDefault="00846A1A">
      <w:pPr>
        <w:keepNext/>
        <w:rPr>
          <w:rFonts w:ascii="Times New Roman" w:hAnsi="Times New Roman"/>
          <w:snapToGrid/>
          <w:szCs w:val="24"/>
        </w:rPr>
      </w:pPr>
    </w:p>
    <w:p w:rsidR="00FC41DF" w:rsidP="0099247D" w:rsidRDefault="00A249E9">
      <w:pPr>
        <w:ind w:left="720"/>
        <w:rPr>
          <w:rFonts w:ascii="Times New Roman" w:hAnsi="Times New Roman"/>
        </w:rPr>
      </w:pPr>
      <w:r w:rsidRPr="00A249E9">
        <w:rPr>
          <w:rFonts w:ascii="Times New Roman" w:hAnsi="Times New Roman"/>
          <w:snapToGrid/>
          <w:szCs w:val="24"/>
        </w:rPr>
        <w:t xml:space="preserve">The </w:t>
      </w:r>
      <w:r>
        <w:rPr>
          <w:rFonts w:ascii="Times New Roman" w:hAnsi="Times New Roman"/>
          <w:snapToGrid/>
          <w:szCs w:val="24"/>
        </w:rPr>
        <w:t>FDIC</w:t>
      </w:r>
      <w:r w:rsidRPr="00A249E9">
        <w:rPr>
          <w:rFonts w:ascii="Times New Roman" w:hAnsi="Times New Roman"/>
          <w:snapToGrid/>
          <w:szCs w:val="24"/>
        </w:rPr>
        <w:t xml:space="preserve"> revised </w:t>
      </w:r>
      <w:r>
        <w:rPr>
          <w:rFonts w:ascii="Times New Roman" w:hAnsi="Times New Roman"/>
          <w:snapToGrid/>
          <w:szCs w:val="24"/>
        </w:rPr>
        <w:t>its</w:t>
      </w:r>
      <w:r w:rsidRPr="00A249E9">
        <w:rPr>
          <w:rFonts w:ascii="Times New Roman" w:hAnsi="Times New Roman"/>
          <w:snapToGrid/>
          <w:szCs w:val="24"/>
        </w:rPr>
        <w:t xml:space="preserve"> estimates of the number of respondents to this </w:t>
      </w:r>
      <w:r>
        <w:rPr>
          <w:rFonts w:ascii="Times New Roman" w:hAnsi="Times New Roman"/>
          <w:snapToGrid/>
          <w:szCs w:val="24"/>
        </w:rPr>
        <w:t>information collection</w:t>
      </w:r>
      <w:r w:rsidR="00846A1A">
        <w:rPr>
          <w:rFonts w:ascii="Times New Roman" w:hAnsi="Times New Roman"/>
          <w:snapToGrid/>
          <w:szCs w:val="24"/>
        </w:rPr>
        <w:t xml:space="preserve"> based on changes in the estimated number of respondents due to economic conditions.</w:t>
      </w:r>
      <w:r>
        <w:rPr>
          <w:rFonts w:ascii="Times New Roman" w:hAnsi="Times New Roman"/>
          <w:snapToGrid/>
          <w:szCs w:val="24"/>
        </w:rPr>
        <w:t xml:space="preserve"> </w:t>
      </w:r>
      <w:r w:rsidR="00846A1A">
        <w:rPr>
          <w:rFonts w:ascii="Times New Roman" w:hAnsi="Times New Roman"/>
          <w:snapToGrid/>
          <w:szCs w:val="24"/>
        </w:rPr>
        <w:t>T</w:t>
      </w:r>
      <w:r>
        <w:rPr>
          <w:rFonts w:ascii="Times New Roman" w:hAnsi="Times New Roman"/>
          <w:snapToGrid/>
          <w:szCs w:val="24"/>
        </w:rPr>
        <w:t xml:space="preserve">he </w:t>
      </w:r>
      <w:r w:rsidR="00F90EAE">
        <w:rPr>
          <w:rFonts w:ascii="Times New Roman" w:hAnsi="Times New Roman"/>
          <w:snapToGrid/>
          <w:szCs w:val="24"/>
        </w:rPr>
        <w:t>hourly burden per response</w:t>
      </w:r>
      <w:r w:rsidR="00846A1A">
        <w:rPr>
          <w:rFonts w:ascii="Times New Roman" w:hAnsi="Times New Roman"/>
          <w:snapToGrid/>
          <w:szCs w:val="24"/>
        </w:rPr>
        <w:t xml:space="preserve"> remains the sam</w:t>
      </w:r>
      <w:r w:rsidR="00C66621">
        <w:rPr>
          <w:rFonts w:ascii="Times New Roman" w:hAnsi="Times New Roman"/>
          <w:snapToGrid/>
          <w:szCs w:val="24"/>
        </w:rPr>
        <w:t>e</w:t>
      </w:r>
    </w:p>
    <w:tbl>
      <w:tblPr>
        <w:tblpPr w:leftFromText="180" w:rightFromText="180" w:vertAnchor="text" w:horzAnchor="margin" w:tblpXSpec="center" w:tblpY="654"/>
        <w:tblW w:w="9581" w:type="dxa"/>
        <w:tblLayout w:type="fixed"/>
        <w:tblLook w:val="04A0" w:firstRow="1" w:lastRow="0" w:firstColumn="1" w:lastColumn="0" w:noHBand="0" w:noVBand="1"/>
      </w:tblPr>
      <w:tblGrid>
        <w:gridCol w:w="3053"/>
        <w:gridCol w:w="1050"/>
        <w:gridCol w:w="1178"/>
        <w:gridCol w:w="1050"/>
        <w:gridCol w:w="1021"/>
        <w:gridCol w:w="1021"/>
        <w:gridCol w:w="1208"/>
      </w:tblGrid>
      <w:tr w:rsidRPr="0099247D" w:rsidR="0099247D" w:rsidTr="00224F5E">
        <w:trPr>
          <w:trHeight w:val="537"/>
        </w:trPr>
        <w:tc>
          <w:tcPr>
            <w:tcW w:w="9581"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99247D" w:rsidR="0099247D" w:rsidP="0099247D" w:rsidRDefault="0099247D">
            <w:pPr>
              <w:widowControl/>
              <w:jc w:val="center"/>
              <w:rPr>
                <w:rFonts w:ascii="Times New Roman" w:hAnsi="Times New Roman"/>
                <w:b/>
                <w:bCs/>
                <w:snapToGrid/>
                <w:color w:val="000000"/>
                <w:sz w:val="16"/>
                <w:szCs w:val="16"/>
              </w:rPr>
            </w:pPr>
            <w:r w:rsidRPr="0099247D">
              <w:rPr>
                <w:rFonts w:ascii="Times New Roman" w:hAnsi="Times New Roman"/>
                <w:snapToGrid/>
                <w:szCs w:val="24"/>
                <w:u w:val="single"/>
              </w:rPr>
              <w:br w:type="page"/>
            </w:r>
            <w:r w:rsidRPr="0099247D">
              <w:rPr>
                <w:rFonts w:ascii="Times New Roman" w:hAnsi="Times New Roman"/>
                <w:b/>
                <w:bCs/>
                <w:snapToGrid/>
                <w:color w:val="000000"/>
                <w:sz w:val="16"/>
                <w:szCs w:val="16"/>
              </w:rPr>
              <w:t xml:space="preserve">Summary of Annual Burden </w:t>
            </w:r>
          </w:p>
        </w:tc>
      </w:tr>
      <w:tr w:rsidRPr="0099247D" w:rsidR="0099247D" w:rsidTr="00224F5E">
        <w:trPr>
          <w:trHeight w:val="923"/>
        </w:trPr>
        <w:tc>
          <w:tcPr>
            <w:tcW w:w="3053" w:type="dxa"/>
            <w:tcBorders>
              <w:top w:val="nil"/>
              <w:left w:val="single" w:color="auto" w:sz="4" w:space="0"/>
              <w:bottom w:val="single" w:color="auto" w:sz="4" w:space="0"/>
              <w:right w:val="single" w:color="auto" w:sz="4" w:space="0"/>
            </w:tcBorders>
            <w:shd w:val="clear" w:color="auto" w:fill="auto"/>
            <w:noWrap/>
            <w:vAlign w:val="center"/>
            <w:hideMark/>
          </w:tcPr>
          <w:p w:rsidRPr="0099247D" w:rsidR="0099247D" w:rsidP="0099247D" w:rsidRDefault="0099247D">
            <w:pPr>
              <w:widowControl/>
              <w:jc w:val="center"/>
              <w:rPr>
                <w:rFonts w:ascii="Times New Roman" w:hAnsi="Times New Roman"/>
                <w:b/>
                <w:bCs/>
                <w:snapToGrid/>
                <w:color w:val="000000"/>
                <w:sz w:val="16"/>
                <w:szCs w:val="16"/>
              </w:rPr>
            </w:pPr>
            <w:r w:rsidRPr="0099247D">
              <w:rPr>
                <w:rFonts w:ascii="Times New Roman" w:hAnsi="Times New Roman"/>
                <w:b/>
                <w:bCs/>
                <w:snapToGrid/>
                <w:color w:val="000000"/>
                <w:sz w:val="18"/>
                <w:szCs w:val="16"/>
              </w:rPr>
              <w:t>Information Collection  Description</w:t>
            </w:r>
          </w:p>
        </w:tc>
        <w:tc>
          <w:tcPr>
            <w:tcW w:w="1050"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b/>
                <w:snapToGrid/>
                <w:color w:val="000000"/>
                <w:sz w:val="16"/>
                <w:szCs w:val="16"/>
              </w:rPr>
            </w:pPr>
            <w:r w:rsidRPr="0099247D">
              <w:rPr>
                <w:rFonts w:ascii="Times New Roman" w:hAnsi="Times New Roman"/>
                <w:b/>
                <w:snapToGrid/>
                <w:color w:val="000000"/>
                <w:sz w:val="16"/>
                <w:szCs w:val="16"/>
              </w:rPr>
              <w:t>Type of Burden</w:t>
            </w:r>
          </w:p>
        </w:tc>
        <w:tc>
          <w:tcPr>
            <w:tcW w:w="1178"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b/>
                <w:snapToGrid/>
                <w:color w:val="000000"/>
                <w:sz w:val="16"/>
                <w:szCs w:val="16"/>
              </w:rPr>
            </w:pPr>
            <w:r w:rsidRPr="0099247D">
              <w:rPr>
                <w:rFonts w:ascii="Times New Roman" w:hAnsi="Times New Roman"/>
                <w:b/>
                <w:snapToGrid/>
                <w:color w:val="000000"/>
                <w:sz w:val="16"/>
                <w:szCs w:val="16"/>
              </w:rPr>
              <w:t>Obligation to Respond</w:t>
            </w:r>
          </w:p>
        </w:tc>
        <w:tc>
          <w:tcPr>
            <w:tcW w:w="1050"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b/>
                <w:snapToGrid/>
                <w:color w:val="000000"/>
                <w:sz w:val="16"/>
                <w:szCs w:val="16"/>
              </w:rPr>
            </w:pPr>
            <w:r w:rsidRPr="0099247D">
              <w:rPr>
                <w:rFonts w:ascii="Times New Roman" w:hAnsi="Times New Roman"/>
                <w:b/>
                <w:snapToGrid/>
                <w:color w:val="000000"/>
                <w:sz w:val="16"/>
                <w:szCs w:val="16"/>
              </w:rPr>
              <w:t>Estimated Number of Respondents</w:t>
            </w:r>
          </w:p>
        </w:tc>
        <w:tc>
          <w:tcPr>
            <w:tcW w:w="1021"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b/>
                <w:snapToGrid/>
                <w:color w:val="000000"/>
                <w:sz w:val="16"/>
                <w:szCs w:val="16"/>
              </w:rPr>
            </w:pPr>
            <w:r w:rsidRPr="0099247D">
              <w:rPr>
                <w:rFonts w:ascii="Times New Roman" w:hAnsi="Times New Roman"/>
                <w:b/>
                <w:snapToGrid/>
                <w:color w:val="000000"/>
                <w:sz w:val="16"/>
                <w:szCs w:val="16"/>
              </w:rPr>
              <w:t>Estimated Frequency of Responses</w:t>
            </w:r>
          </w:p>
        </w:tc>
        <w:tc>
          <w:tcPr>
            <w:tcW w:w="1021"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b/>
                <w:snapToGrid/>
                <w:color w:val="000000"/>
                <w:sz w:val="16"/>
                <w:szCs w:val="16"/>
              </w:rPr>
            </w:pPr>
            <w:r w:rsidRPr="0099247D">
              <w:rPr>
                <w:rFonts w:ascii="Times New Roman" w:hAnsi="Times New Roman"/>
                <w:b/>
                <w:snapToGrid/>
                <w:color w:val="000000"/>
                <w:sz w:val="16"/>
                <w:szCs w:val="16"/>
              </w:rPr>
              <w:t>Estimated Time per Response (Hours)</w:t>
            </w:r>
          </w:p>
        </w:tc>
        <w:tc>
          <w:tcPr>
            <w:tcW w:w="1208"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b/>
                <w:snapToGrid/>
                <w:color w:val="000000"/>
                <w:sz w:val="16"/>
                <w:szCs w:val="16"/>
              </w:rPr>
            </w:pPr>
            <w:r w:rsidRPr="0099247D">
              <w:rPr>
                <w:rFonts w:ascii="Times New Roman" w:hAnsi="Times New Roman"/>
                <w:b/>
                <w:snapToGrid/>
                <w:color w:val="000000"/>
                <w:sz w:val="16"/>
                <w:szCs w:val="16"/>
              </w:rPr>
              <w:t>Estimated Annual Burden (Hours)</w:t>
            </w:r>
          </w:p>
        </w:tc>
      </w:tr>
      <w:tr w:rsidRPr="0099247D" w:rsidR="0099247D" w:rsidTr="00224F5E">
        <w:trPr>
          <w:trHeight w:val="953"/>
        </w:trPr>
        <w:tc>
          <w:tcPr>
            <w:tcW w:w="3053" w:type="dxa"/>
            <w:tcBorders>
              <w:top w:val="nil"/>
              <w:left w:val="single" w:color="auto" w:sz="4" w:space="0"/>
              <w:bottom w:val="single" w:color="auto" w:sz="4" w:space="0"/>
              <w:right w:val="single" w:color="auto" w:sz="4" w:space="0"/>
            </w:tcBorders>
            <w:shd w:val="clear" w:color="auto" w:fill="auto"/>
            <w:vAlign w:val="center"/>
            <w:hideMark/>
          </w:tcPr>
          <w:p w:rsidRPr="0099247D" w:rsidR="0099247D" w:rsidP="0099247D" w:rsidRDefault="0099247D">
            <w:pPr>
              <w:widowControl/>
              <w:rPr>
                <w:rFonts w:ascii="Times New Roman" w:hAnsi="Times New Roman"/>
                <w:snapToGrid/>
                <w:color w:val="000000"/>
                <w:sz w:val="18"/>
                <w:szCs w:val="18"/>
              </w:rPr>
            </w:pPr>
            <w:r w:rsidRPr="0099247D">
              <w:rPr>
                <w:rFonts w:ascii="Times New Roman" w:hAnsi="Times New Roman"/>
                <w:snapToGrid/>
                <w:color w:val="000000"/>
                <w:sz w:val="18"/>
                <w:szCs w:val="18"/>
              </w:rPr>
              <w:t>Summary of Deposits</w:t>
            </w:r>
          </w:p>
        </w:tc>
        <w:tc>
          <w:tcPr>
            <w:tcW w:w="1050"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snapToGrid/>
                <w:color w:val="000000"/>
                <w:sz w:val="18"/>
                <w:szCs w:val="18"/>
              </w:rPr>
            </w:pPr>
            <w:r w:rsidRPr="0099247D">
              <w:rPr>
                <w:rFonts w:ascii="Times New Roman" w:hAnsi="Times New Roman"/>
                <w:snapToGrid/>
                <w:color w:val="000000"/>
                <w:sz w:val="18"/>
                <w:szCs w:val="18"/>
              </w:rPr>
              <w:t>Reporting</w:t>
            </w:r>
          </w:p>
        </w:tc>
        <w:tc>
          <w:tcPr>
            <w:tcW w:w="1178"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snapToGrid/>
                <w:color w:val="000000"/>
                <w:sz w:val="18"/>
                <w:szCs w:val="18"/>
              </w:rPr>
            </w:pPr>
            <w:r w:rsidRPr="0099247D">
              <w:rPr>
                <w:rFonts w:ascii="Times New Roman" w:hAnsi="Times New Roman"/>
                <w:snapToGrid/>
                <w:color w:val="000000"/>
                <w:sz w:val="18"/>
                <w:szCs w:val="18"/>
              </w:rPr>
              <w:t>Mandatory</w:t>
            </w:r>
          </w:p>
        </w:tc>
        <w:tc>
          <w:tcPr>
            <w:tcW w:w="1050"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snapToGrid/>
                <w:color w:val="000000"/>
                <w:sz w:val="18"/>
                <w:szCs w:val="18"/>
              </w:rPr>
            </w:pPr>
            <w:r w:rsidRPr="0099247D">
              <w:rPr>
                <w:rFonts w:ascii="Times New Roman" w:hAnsi="Times New Roman"/>
                <w:snapToGrid/>
                <w:color w:val="000000"/>
                <w:sz w:val="18"/>
                <w:szCs w:val="18"/>
              </w:rPr>
              <w:t>4,299</w:t>
            </w:r>
          </w:p>
        </w:tc>
        <w:tc>
          <w:tcPr>
            <w:tcW w:w="1021"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snapToGrid/>
                <w:color w:val="000000"/>
                <w:sz w:val="18"/>
                <w:szCs w:val="18"/>
              </w:rPr>
            </w:pPr>
            <w:r w:rsidRPr="0099247D">
              <w:rPr>
                <w:rFonts w:ascii="Times New Roman" w:hAnsi="Times New Roman"/>
                <w:snapToGrid/>
                <w:color w:val="000000"/>
                <w:sz w:val="18"/>
                <w:szCs w:val="18"/>
              </w:rPr>
              <w:t>Annually</w:t>
            </w:r>
          </w:p>
        </w:tc>
        <w:tc>
          <w:tcPr>
            <w:tcW w:w="1021" w:type="dxa"/>
            <w:tcBorders>
              <w:top w:val="nil"/>
              <w:left w:val="nil"/>
              <w:bottom w:val="single" w:color="auto" w:sz="4" w:space="0"/>
              <w:right w:val="single" w:color="auto" w:sz="4" w:space="0"/>
            </w:tcBorders>
            <w:shd w:val="clear" w:color="auto" w:fill="auto"/>
            <w:vAlign w:val="center"/>
            <w:hideMark/>
          </w:tcPr>
          <w:p w:rsidRPr="0099247D" w:rsidR="0099247D" w:rsidP="0099247D" w:rsidRDefault="0099247D">
            <w:pPr>
              <w:widowControl/>
              <w:jc w:val="center"/>
              <w:rPr>
                <w:rFonts w:ascii="Times New Roman" w:hAnsi="Times New Roman"/>
                <w:snapToGrid/>
                <w:color w:val="000000"/>
                <w:sz w:val="18"/>
                <w:szCs w:val="18"/>
              </w:rPr>
            </w:pPr>
            <w:r w:rsidRPr="0099247D">
              <w:rPr>
                <w:rFonts w:ascii="Times New Roman" w:hAnsi="Times New Roman"/>
                <w:snapToGrid/>
                <w:color w:val="000000"/>
                <w:sz w:val="18"/>
                <w:szCs w:val="18"/>
              </w:rPr>
              <w:t>3</w:t>
            </w:r>
          </w:p>
        </w:tc>
        <w:tc>
          <w:tcPr>
            <w:tcW w:w="1208" w:type="dxa"/>
            <w:tcBorders>
              <w:top w:val="nil"/>
              <w:left w:val="nil"/>
              <w:bottom w:val="single" w:color="auto" w:sz="4" w:space="0"/>
              <w:right w:val="single" w:color="auto" w:sz="4" w:space="0"/>
            </w:tcBorders>
            <w:shd w:val="clear" w:color="auto" w:fill="auto"/>
            <w:vAlign w:val="center"/>
          </w:tcPr>
          <w:p w:rsidRPr="0099247D" w:rsidR="0099247D" w:rsidP="0099247D" w:rsidRDefault="0099247D">
            <w:pPr>
              <w:widowControl/>
              <w:jc w:val="center"/>
              <w:rPr>
                <w:rFonts w:ascii="Times New Roman" w:hAnsi="Times New Roman"/>
                <w:snapToGrid/>
                <w:color w:val="000000"/>
                <w:sz w:val="18"/>
                <w:szCs w:val="18"/>
              </w:rPr>
            </w:pPr>
            <w:r w:rsidRPr="0099247D">
              <w:rPr>
                <w:rFonts w:ascii="Times New Roman" w:hAnsi="Times New Roman"/>
                <w:snapToGrid/>
                <w:color w:val="000000"/>
                <w:sz w:val="18"/>
                <w:szCs w:val="18"/>
              </w:rPr>
              <w:t>12,897</w:t>
            </w:r>
          </w:p>
        </w:tc>
      </w:tr>
      <w:tr w:rsidRPr="0099247D" w:rsidR="0099247D" w:rsidTr="00224F5E">
        <w:trPr>
          <w:trHeight w:val="738"/>
        </w:trPr>
        <w:tc>
          <w:tcPr>
            <w:tcW w:w="7352" w:type="dxa"/>
            <w:gridSpan w:val="5"/>
            <w:tcBorders>
              <w:top w:val="single" w:color="auto" w:sz="4" w:space="0"/>
            </w:tcBorders>
            <w:shd w:val="clear" w:color="auto" w:fill="auto"/>
            <w:vAlign w:val="center"/>
            <w:hideMark/>
          </w:tcPr>
          <w:p w:rsidRPr="0099247D" w:rsidR="0099247D" w:rsidP="0099247D" w:rsidRDefault="0099247D">
            <w:pPr>
              <w:widowControl/>
              <w:rPr>
                <w:rFonts w:ascii="Times New Roman" w:hAnsi="Times New Roman"/>
                <w:b/>
                <w:bCs/>
                <w:snapToGrid/>
                <w:color w:val="000000"/>
                <w:sz w:val="18"/>
                <w:szCs w:val="16"/>
              </w:rPr>
            </w:pPr>
            <w:r w:rsidRPr="0099247D">
              <w:rPr>
                <w:rFonts w:ascii="Times New Roman" w:hAnsi="Times New Roman"/>
                <w:b/>
                <w:bCs/>
                <w:snapToGrid/>
                <w:color w:val="000000"/>
                <w:sz w:val="20"/>
                <w:szCs w:val="16"/>
              </w:rPr>
              <w:t>Total Estimated Annual Burden</w:t>
            </w:r>
          </w:p>
          <w:p w:rsidRPr="0099247D" w:rsidR="0099247D" w:rsidP="0099247D" w:rsidRDefault="0099247D">
            <w:pPr>
              <w:widowControl/>
              <w:rPr>
                <w:rFonts w:ascii="Times New Roman" w:hAnsi="Times New Roman"/>
                <w:snapToGrid/>
                <w:color w:val="000000"/>
                <w:sz w:val="16"/>
                <w:szCs w:val="16"/>
              </w:rPr>
            </w:pPr>
            <w:r w:rsidRPr="0099247D">
              <w:rPr>
                <w:rFonts w:ascii="Times New Roman" w:hAnsi="Times New Roman"/>
                <w:snapToGrid/>
                <w:color w:val="000000"/>
                <w:sz w:val="16"/>
                <w:szCs w:val="16"/>
              </w:rPr>
              <w:t> </w:t>
            </w:r>
          </w:p>
        </w:tc>
        <w:tc>
          <w:tcPr>
            <w:tcW w:w="2229" w:type="dxa"/>
            <w:gridSpan w:val="2"/>
            <w:tcBorders>
              <w:top w:val="single" w:color="auto" w:sz="4" w:space="0"/>
            </w:tcBorders>
            <w:shd w:val="clear" w:color="auto" w:fill="auto"/>
            <w:noWrap/>
            <w:vAlign w:val="center"/>
            <w:hideMark/>
          </w:tcPr>
          <w:p w:rsidRPr="0099247D" w:rsidR="0099247D" w:rsidP="0099247D" w:rsidRDefault="0099247D">
            <w:pPr>
              <w:widowControl/>
              <w:jc w:val="right"/>
              <w:rPr>
                <w:rFonts w:ascii="Times New Roman" w:hAnsi="Times New Roman"/>
                <w:b/>
                <w:snapToGrid/>
                <w:color w:val="000000"/>
                <w:sz w:val="16"/>
                <w:szCs w:val="16"/>
              </w:rPr>
            </w:pPr>
            <w:r w:rsidRPr="0099247D">
              <w:rPr>
                <w:rFonts w:ascii="Times New Roman" w:hAnsi="Times New Roman"/>
                <w:b/>
                <w:snapToGrid/>
                <w:color w:val="000000"/>
                <w:sz w:val="20"/>
                <w:szCs w:val="16"/>
              </w:rPr>
              <w:t>12,897 hours</w:t>
            </w:r>
          </w:p>
        </w:tc>
      </w:tr>
    </w:tbl>
    <w:p w:rsidR="00C66621" w:rsidP="002668A9" w:rsidRDefault="00C66621">
      <w:pPr>
        <w:rPr>
          <w:rFonts w:ascii="Times New Roman" w:hAnsi="Times New Roman"/>
        </w:rPr>
      </w:pPr>
    </w:p>
    <w:p w:rsidR="007B6C63" w:rsidRDefault="007B6C63">
      <w:pPr>
        <w:rPr>
          <w:rFonts w:ascii="Times New Roman" w:hAnsi="Times New Roman"/>
        </w:rPr>
      </w:pPr>
    </w:p>
    <w:p w:rsidR="00881712" w:rsidP="00881712" w:rsidRDefault="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pPr>
        <w:rPr>
          <w:rFonts w:ascii="Times New Roman" w:hAnsi="Times New Roman"/>
        </w:rPr>
      </w:pPr>
    </w:p>
    <w:p w:rsidRPr="00856473" w:rsidR="00856473" w:rsidP="004B2F21" w:rsidRDefault="00856473">
      <w:pPr>
        <w:keepNext/>
        <w:ind w:left="720"/>
        <w:rPr>
          <w:rFonts w:ascii="Times New Roman" w:hAnsi="Times New Roman"/>
          <w:snapToGrid/>
          <w:szCs w:val="24"/>
        </w:rPr>
      </w:pPr>
      <w:r w:rsidRPr="00856473">
        <w:rPr>
          <w:rFonts w:ascii="Times New Roman" w:hAnsi="Times New Roman"/>
          <w:snapToGrid/>
          <w:szCs w:val="24"/>
        </w:rPr>
        <w:t xml:space="preserve">To estimate the weighted average hourly cost of compensation, </w:t>
      </w:r>
      <w:r>
        <w:rPr>
          <w:rFonts w:ascii="Times New Roman" w:hAnsi="Times New Roman"/>
          <w:snapToGrid/>
          <w:szCs w:val="24"/>
        </w:rPr>
        <w:t>FDIC</w:t>
      </w:r>
      <w:r w:rsidRPr="00856473">
        <w:rPr>
          <w:rFonts w:ascii="Times New Roman" w:hAnsi="Times New Roman"/>
          <w:snapToGrid/>
          <w:szCs w:val="24"/>
        </w:rPr>
        <w:t xml:space="preserve"> use</w:t>
      </w:r>
      <w:r>
        <w:rPr>
          <w:rFonts w:ascii="Times New Roman" w:hAnsi="Times New Roman"/>
          <w:snapToGrid/>
          <w:szCs w:val="24"/>
        </w:rPr>
        <w:t>s</w:t>
      </w:r>
      <w:r w:rsidRPr="00856473">
        <w:rPr>
          <w:rFonts w:ascii="Times New Roman" w:hAnsi="Times New Roman"/>
          <w:snapToGrid/>
          <w:szCs w:val="24"/>
        </w:rPr>
        <w:t xml:space="preserve"> the 75</w:t>
      </w:r>
      <w:r w:rsidRPr="00856473">
        <w:rPr>
          <w:rFonts w:ascii="Times New Roman" w:hAnsi="Times New Roman"/>
          <w:snapToGrid/>
          <w:szCs w:val="24"/>
          <w:vertAlign w:val="superscript"/>
        </w:rPr>
        <w:t>th</w:t>
      </w:r>
      <w:r w:rsidRPr="00856473">
        <w:rPr>
          <w:rFonts w:ascii="Times New Roman" w:hAnsi="Times New Roman"/>
          <w:snapToGrid/>
          <w:szCs w:val="24"/>
        </w:rPr>
        <w:t xml:space="preserve"> percentile hourly wages reported by the Bureau of Labor Statistics (BLS) National Industry-Specific Occupational </w:t>
      </w:r>
      <w:r w:rsidRPr="004B2F21">
        <w:rPr>
          <w:rFonts w:ascii="Times New Roman" w:hAnsi="Times New Roman"/>
        </w:rPr>
        <w:t>Employment</w:t>
      </w:r>
      <w:r w:rsidRPr="00856473">
        <w:rPr>
          <w:rFonts w:ascii="Times New Roman" w:hAnsi="Times New Roman"/>
          <w:snapToGrid/>
          <w:szCs w:val="24"/>
        </w:rPr>
        <w:t xml:space="preserve"> and Wage Estimates for the relevant occupations in the Depository Credit Intermediation sector, as of December 2019. </w:t>
      </w:r>
    </w:p>
    <w:p w:rsidRPr="00856473" w:rsidR="00856473" w:rsidP="00856473" w:rsidRDefault="00856473">
      <w:pPr>
        <w:widowControl/>
        <w:rPr>
          <w:rFonts w:ascii="Times New Roman" w:hAnsi="Times New Roman"/>
          <w:snapToGrid/>
          <w:szCs w:val="24"/>
        </w:rPr>
      </w:pPr>
    </w:p>
    <w:p w:rsidR="0099247D" w:rsidP="004B2F21" w:rsidRDefault="00856473">
      <w:pPr>
        <w:keepNext/>
        <w:widowControl/>
        <w:ind w:left="720"/>
        <w:rPr>
          <w:rFonts w:ascii="Times New Roman" w:hAnsi="Times New Roman"/>
          <w:snapToGrid/>
          <w:szCs w:val="24"/>
        </w:rPr>
      </w:pPr>
      <w:r w:rsidRPr="00856473">
        <w:rPr>
          <w:rFonts w:ascii="Times New Roman" w:hAnsi="Times New Roman"/>
          <w:snapToGrid/>
          <w:szCs w:val="24"/>
        </w:rPr>
        <w:t xml:space="preserve">The hourly wage rates reported </w:t>
      </w:r>
      <w:r>
        <w:rPr>
          <w:rFonts w:ascii="Times New Roman" w:hAnsi="Times New Roman"/>
          <w:snapToGrid/>
          <w:szCs w:val="24"/>
        </w:rPr>
        <w:t xml:space="preserve">by BLS </w:t>
      </w:r>
      <w:r w:rsidRPr="00856473">
        <w:rPr>
          <w:rFonts w:ascii="Times New Roman" w:hAnsi="Times New Roman"/>
          <w:snapToGrid/>
          <w:szCs w:val="24"/>
        </w:rPr>
        <w:t>do not include non-monetary compensation. According to the December 2019 Employer Cost of Employee Compensation data, compensation rates for health and other benefits are 33.8 percent of total compensation. To account for non-monetary compensation, </w:t>
      </w:r>
      <w:r>
        <w:rPr>
          <w:rFonts w:ascii="Times New Roman" w:hAnsi="Times New Roman"/>
          <w:snapToGrid/>
          <w:szCs w:val="24"/>
        </w:rPr>
        <w:t>FDIC</w:t>
      </w:r>
      <w:r w:rsidRPr="00856473">
        <w:rPr>
          <w:rFonts w:ascii="Times New Roman" w:hAnsi="Times New Roman"/>
          <w:snapToGrid/>
          <w:szCs w:val="24"/>
        </w:rPr>
        <w:t xml:space="preserve"> adjust</w:t>
      </w:r>
      <w:r>
        <w:rPr>
          <w:rFonts w:ascii="Times New Roman" w:hAnsi="Times New Roman"/>
          <w:snapToGrid/>
          <w:szCs w:val="24"/>
        </w:rPr>
        <w:t>ed</w:t>
      </w:r>
      <w:r w:rsidRPr="00856473">
        <w:rPr>
          <w:rFonts w:ascii="Times New Roman" w:hAnsi="Times New Roman"/>
          <w:snapToGrid/>
          <w:szCs w:val="24"/>
        </w:rPr>
        <w:t xml:space="preserve"> the hourly wage rates reported by BLS by that percentage. </w:t>
      </w:r>
      <w:r>
        <w:rPr>
          <w:rFonts w:ascii="Times New Roman" w:hAnsi="Times New Roman"/>
          <w:snapToGrid/>
          <w:szCs w:val="24"/>
        </w:rPr>
        <w:t>FDIC</w:t>
      </w:r>
      <w:r w:rsidRPr="00856473">
        <w:rPr>
          <w:rFonts w:ascii="Times New Roman" w:hAnsi="Times New Roman"/>
          <w:snapToGrid/>
          <w:szCs w:val="24"/>
        </w:rPr>
        <w:t xml:space="preserve"> also adjust</w:t>
      </w:r>
      <w:r>
        <w:rPr>
          <w:rFonts w:ascii="Times New Roman" w:hAnsi="Times New Roman"/>
          <w:snapToGrid/>
          <w:szCs w:val="24"/>
        </w:rPr>
        <w:t>ed</w:t>
      </w:r>
      <w:r w:rsidRPr="00856473">
        <w:rPr>
          <w:rFonts w:ascii="Times New Roman" w:hAnsi="Times New Roman"/>
          <w:snapToGrid/>
          <w:szCs w:val="24"/>
        </w:rPr>
        <w:t xml:space="preserve"> the hourly wage by 3.11 percent based on changes in the Consumer Price Index for Urban Consumers (CPI-U) from May 2018 to December 2019 to account for inflation and ensure that the </w:t>
      </w:r>
      <w:r w:rsidRPr="004B2F21">
        <w:rPr>
          <w:rFonts w:ascii="Times New Roman" w:hAnsi="Times New Roman"/>
        </w:rPr>
        <w:t>wage</w:t>
      </w:r>
      <w:r w:rsidRPr="00856473">
        <w:rPr>
          <w:rFonts w:ascii="Times New Roman" w:hAnsi="Times New Roman"/>
          <w:snapToGrid/>
          <w:szCs w:val="24"/>
        </w:rPr>
        <w:t xml:space="preserve"> information is contemporaneous with the non-monetary compensation statistic. </w:t>
      </w:r>
    </w:p>
    <w:p w:rsidRPr="00856473" w:rsidR="00856473" w:rsidP="004B2F21" w:rsidRDefault="0099247D">
      <w:pPr>
        <w:keepNext/>
        <w:widowControl/>
        <w:ind w:left="720"/>
        <w:rPr>
          <w:rFonts w:ascii="Times New Roman" w:hAnsi="Times New Roman"/>
          <w:snapToGrid/>
          <w:szCs w:val="24"/>
        </w:rPr>
      </w:pPr>
      <w:r>
        <w:rPr>
          <w:rFonts w:ascii="Times New Roman" w:hAnsi="Times New Roman"/>
          <w:snapToGrid/>
          <w:szCs w:val="24"/>
        </w:rPr>
        <w:br w:type="page"/>
      </w:r>
    </w:p>
    <w:p w:rsidRPr="00856473" w:rsidR="00856473" w:rsidP="00856473" w:rsidRDefault="00856473">
      <w:pPr>
        <w:widowControl/>
        <w:rPr>
          <w:rFonts w:ascii="Times New Roman" w:hAnsi="Times New Roman"/>
          <w:snapToGrid/>
          <w:szCs w:val="24"/>
        </w:rPr>
      </w:pPr>
    </w:p>
    <w:p w:rsidRPr="00856473" w:rsidR="00856473" w:rsidP="004B2F21" w:rsidRDefault="00856473">
      <w:pPr>
        <w:keepNext/>
        <w:ind w:left="720"/>
        <w:rPr>
          <w:rFonts w:ascii="Times New Roman" w:hAnsi="Times New Roman"/>
          <w:snapToGrid/>
          <w:szCs w:val="24"/>
        </w:rPr>
      </w:pPr>
      <w:r w:rsidRPr="00856473">
        <w:rPr>
          <w:rFonts w:ascii="Times New Roman" w:hAnsi="Times New Roman"/>
          <w:snapToGrid/>
          <w:szCs w:val="24"/>
        </w:rPr>
        <w:t xml:space="preserve">After calculating these adjustments, </w:t>
      </w:r>
      <w:r>
        <w:rPr>
          <w:rFonts w:ascii="Times New Roman" w:hAnsi="Times New Roman"/>
          <w:snapToGrid/>
          <w:szCs w:val="24"/>
        </w:rPr>
        <w:t>FDIC</w:t>
      </w:r>
      <w:r w:rsidRPr="00856473">
        <w:rPr>
          <w:rFonts w:ascii="Times New Roman" w:hAnsi="Times New Roman"/>
          <w:snapToGrid/>
          <w:szCs w:val="24"/>
        </w:rPr>
        <w:t xml:space="preserve"> then weight</w:t>
      </w:r>
      <w:r>
        <w:rPr>
          <w:rFonts w:ascii="Times New Roman" w:hAnsi="Times New Roman"/>
          <w:snapToGrid/>
          <w:szCs w:val="24"/>
        </w:rPr>
        <w:t>ed</w:t>
      </w:r>
      <w:r w:rsidRPr="00856473">
        <w:rPr>
          <w:rFonts w:ascii="Times New Roman" w:hAnsi="Times New Roman"/>
          <w:snapToGrid/>
          <w:szCs w:val="24"/>
        </w:rPr>
        <w:t xml:space="preserve"> the total hourly compensation </w:t>
      </w:r>
      <w:r>
        <w:rPr>
          <w:rFonts w:ascii="Times New Roman" w:hAnsi="Times New Roman"/>
          <w:snapToGrid/>
          <w:szCs w:val="24"/>
        </w:rPr>
        <w:t>across</w:t>
      </w:r>
      <w:r w:rsidRPr="00856473">
        <w:rPr>
          <w:rFonts w:ascii="Times New Roman" w:hAnsi="Times New Roman"/>
          <w:snapToGrid/>
          <w:szCs w:val="24"/>
        </w:rPr>
        <w:t xml:space="preserve"> the four </w:t>
      </w:r>
      <w:r w:rsidRPr="004B2F21">
        <w:rPr>
          <w:rFonts w:ascii="Times New Roman" w:hAnsi="Times New Roman"/>
        </w:rPr>
        <w:t>occupations</w:t>
      </w:r>
      <w:r w:rsidRPr="00856473">
        <w:rPr>
          <w:rFonts w:ascii="Times New Roman" w:hAnsi="Times New Roman"/>
          <w:snapToGrid/>
          <w:szCs w:val="24"/>
        </w:rPr>
        <w:t xml:space="preserve"> (Executives and Managers, Lawyers, Compliance Officer, and Clerical) </w:t>
      </w:r>
      <w:r>
        <w:rPr>
          <w:rFonts w:ascii="Times New Roman" w:hAnsi="Times New Roman"/>
          <w:snapToGrid/>
          <w:szCs w:val="24"/>
        </w:rPr>
        <w:t xml:space="preserve">FDIC estimates are involved in responding to this information collection </w:t>
      </w:r>
      <w:r w:rsidRPr="00856473">
        <w:rPr>
          <w:rFonts w:ascii="Times New Roman" w:hAnsi="Times New Roman"/>
          <w:snapToGrid/>
          <w:szCs w:val="24"/>
        </w:rPr>
        <w:t xml:space="preserve">as follows: </w:t>
      </w:r>
    </w:p>
    <w:p w:rsidRPr="00856473" w:rsidR="00856473" w:rsidP="00856473" w:rsidRDefault="00856473">
      <w:pPr>
        <w:widowControl/>
        <w:rPr>
          <w:rFonts w:ascii="Times New Roman" w:hAnsi="Times New Roman"/>
          <w:snapToGrid/>
          <w:szCs w:val="24"/>
        </w:rPr>
      </w:pPr>
    </w:p>
    <w:p w:rsidRPr="00856473" w:rsidR="00856473" w:rsidP="00856473" w:rsidRDefault="00856473">
      <w:pPr>
        <w:widowControl/>
        <w:rPr>
          <w:rFonts w:ascii="Times New Roman" w:hAnsi="Times New Roman"/>
          <w:b/>
          <w:snapToGrid/>
          <w:szCs w:val="24"/>
        </w:rPr>
      </w:pPr>
      <w:r w:rsidRPr="00856473">
        <w:rPr>
          <w:rFonts w:ascii="Times New Roman" w:hAnsi="Times New Roman"/>
          <w:b/>
          <w:snapToGrid/>
          <w:szCs w:val="24"/>
        </w:rPr>
        <w:t>Summary of Hourly Burden Cost Estimate (3064-0</w:t>
      </w:r>
      <w:r w:rsidR="009104FE">
        <w:rPr>
          <w:rFonts w:ascii="Times New Roman" w:hAnsi="Times New Roman"/>
          <w:b/>
          <w:snapToGrid/>
          <w:szCs w:val="24"/>
        </w:rPr>
        <w:t>176</w:t>
      </w:r>
      <w:r w:rsidRPr="00856473">
        <w:rPr>
          <w:rFonts w:ascii="Times New Roman" w:hAnsi="Times New Roman"/>
          <w:b/>
          <w:snapToGrid/>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2160"/>
        <w:gridCol w:w="2160"/>
        <w:gridCol w:w="2155"/>
      </w:tblGrid>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Category of Personnel Responsible for Complying with the PRA Burden</w:t>
            </w:r>
          </w:p>
        </w:tc>
        <w:tc>
          <w:tcPr>
            <w:tcW w:w="2160"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Total Estimated Hourly Compensation</w:t>
            </w:r>
          </w:p>
        </w:tc>
        <w:tc>
          <w:tcPr>
            <w:tcW w:w="2160"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Weights</w:t>
            </w:r>
          </w:p>
        </w:tc>
        <w:tc>
          <w:tcPr>
            <w:tcW w:w="215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Weighted Hourly Wage</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Executives &amp; Managers</w:t>
            </w:r>
            <w:r w:rsidRPr="000F7E08">
              <w:rPr>
                <w:rFonts w:ascii="Times New Roman" w:hAnsi="Times New Roman" w:eastAsia="Calibri"/>
                <w:snapToGrid/>
                <w:sz w:val="22"/>
                <w:szCs w:val="24"/>
                <w:vertAlign w:val="superscript"/>
              </w:rPr>
              <w:footnoteReference w:id="1"/>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$121.88</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$6.09</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Lawyers</w:t>
            </w:r>
            <w:r w:rsidRPr="000F7E08">
              <w:rPr>
                <w:rFonts w:ascii="Times New Roman" w:hAnsi="Times New Roman" w:eastAsia="Calibri"/>
                <w:snapToGrid/>
                <w:sz w:val="22"/>
                <w:szCs w:val="24"/>
                <w:vertAlign w:val="superscript"/>
              </w:rPr>
              <w:footnoteReference w:id="2"/>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154.50</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$7.73</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Compliance Officer</w:t>
            </w:r>
            <w:r w:rsidRPr="000F7E08">
              <w:rPr>
                <w:rFonts w:ascii="Times New Roman" w:hAnsi="Times New Roman" w:eastAsia="Calibri"/>
                <w:snapToGrid/>
                <w:sz w:val="22"/>
                <w:szCs w:val="24"/>
                <w:vertAlign w:val="superscript"/>
              </w:rPr>
              <w:footnoteReference w:id="3"/>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$65.42</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85%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$54.76</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Clerical</w:t>
            </w:r>
            <w:r w:rsidRPr="000F7E08">
              <w:rPr>
                <w:rFonts w:ascii="Times New Roman" w:hAnsi="Times New Roman" w:eastAsia="Calibri"/>
                <w:snapToGrid/>
                <w:sz w:val="22"/>
                <w:szCs w:val="24"/>
                <w:vertAlign w:val="superscript"/>
              </w:rPr>
              <w:footnoteReference w:id="4"/>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$32.59</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$1.63</w:t>
            </w:r>
          </w:p>
        </w:tc>
      </w:tr>
      <w:tr w:rsidRPr="000F7E08" w:rsidR="00856473" w:rsidTr="000F7E08">
        <w:tc>
          <w:tcPr>
            <w:tcW w:w="2875" w:type="dxa"/>
            <w:shd w:val="clear" w:color="auto" w:fill="auto"/>
            <w:vAlign w:val="bottom"/>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b/>
                <w:bCs/>
                <w:snapToGrid/>
                <w:sz w:val="22"/>
                <w:szCs w:val="24"/>
              </w:rPr>
              <w:t>Weighted Average</w:t>
            </w:r>
          </w:p>
        </w:tc>
        <w:tc>
          <w:tcPr>
            <w:tcW w:w="2160" w:type="dxa"/>
            <w:shd w:val="clear" w:color="auto" w:fill="auto"/>
            <w:vAlign w:val="bottom"/>
          </w:tcPr>
          <w:p w:rsidRPr="000F7E08" w:rsidR="00856473" w:rsidP="000F7E08" w:rsidRDefault="00856473">
            <w:pPr>
              <w:widowControl/>
              <w:jc w:val="right"/>
              <w:rPr>
                <w:rFonts w:ascii="Times New Roman" w:hAnsi="Times New Roman" w:eastAsia="Calibri"/>
                <w:snapToGrid/>
                <w:sz w:val="22"/>
                <w:szCs w:val="24"/>
              </w:rPr>
            </w:pP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$70.21</w:t>
            </w:r>
          </w:p>
        </w:tc>
      </w:tr>
    </w:tbl>
    <w:p w:rsidRPr="00856473" w:rsidR="00856473" w:rsidP="00856473" w:rsidRDefault="00856473">
      <w:pPr>
        <w:widowControl/>
        <w:rPr>
          <w:rFonts w:ascii="Times New Roman" w:hAnsi="Times New Roman"/>
          <w:snapToGrid/>
          <w:szCs w:val="24"/>
        </w:rPr>
      </w:pPr>
      <w:r w:rsidRPr="00856473">
        <w:rPr>
          <w:rFonts w:ascii="Times New Roman" w:hAnsi="Times New Roman"/>
          <w:snapToGrid/>
          <w:szCs w:val="24"/>
        </w:rPr>
        <w:t>Source: Bureau of Labor Statistics: "National Industry-Specific Occupational Employment and Wage Estimates: Depository Credit Intermediation Sector" (May 2018), Employer Cost of Employee Compensation (December 2019), Consumer Price Index (December 2019).</w:t>
      </w:r>
    </w:p>
    <w:p w:rsidRPr="002A5F6B" w:rsidR="00856473" w:rsidP="002A5F6B" w:rsidRDefault="00856473">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5709AF" w:rsidR="007562B8" w:rsidP="00DB2FBD" w:rsidRDefault="00A26153">
      <w:pPr>
        <w:widowControl/>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276213">
        <w:rPr>
          <w:rFonts w:ascii="Times New Roman" w:hAnsi="Times New Roman"/>
          <w:snapToGrid/>
          <w:szCs w:val="24"/>
        </w:rPr>
        <w:t>12,897</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4B2F21">
        <w:rPr>
          <w:rFonts w:ascii="Times New Roman" w:hAnsi="Times New Roman"/>
          <w:snapToGrid/>
          <w:szCs w:val="24"/>
        </w:rPr>
        <w:t>70.21</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276213">
        <w:rPr>
          <w:rFonts w:ascii="Times New Roman" w:hAnsi="Times New Roman"/>
          <w:snapToGrid/>
          <w:szCs w:val="24"/>
        </w:rPr>
        <w:t>905,498.37</w:t>
      </w:r>
      <w:r w:rsidRPr="002A5F6B" w:rsidR="002A5F6B">
        <w:rPr>
          <w:rFonts w:ascii="Times New Roman" w:hAnsi="Times New Roman"/>
          <w:snapToGrid/>
          <w:szCs w:val="24"/>
        </w:rPr>
        <w:t xml:space="preserve"> per year. </w:t>
      </w: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7B6C63"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 change in burden is due</w:t>
      </w:r>
      <w:r w:rsidR="000B5588">
        <w:rPr>
          <w:rFonts w:ascii="Times New Roman" w:hAnsi="Times New Roman"/>
        </w:rPr>
        <w:t xml:space="preserve"> solely to a </w:t>
      </w:r>
      <w:r w:rsidR="00C06C77">
        <w:rPr>
          <w:rFonts w:ascii="Times New Roman" w:hAnsi="Times New Roman"/>
        </w:rPr>
        <w:t>de</w:t>
      </w:r>
      <w:r w:rsidR="000B5588">
        <w:rPr>
          <w:rFonts w:ascii="Times New Roman" w:hAnsi="Times New Roman"/>
        </w:rPr>
        <w:t xml:space="preserve">crease in the number of </w:t>
      </w:r>
      <w:r w:rsidR="00C06C77">
        <w:rPr>
          <w:rFonts w:ascii="Times New Roman" w:hAnsi="Times New Roman"/>
        </w:rPr>
        <w:t>respondents</w:t>
      </w:r>
      <w:r w:rsidR="000B5588">
        <w:rPr>
          <w:rFonts w:ascii="Times New Roman" w:hAnsi="Times New Roman"/>
        </w:rPr>
        <w:t xml:space="preserve"> which </w:t>
      </w:r>
      <w:r w:rsidR="00DE506D">
        <w:rPr>
          <w:rFonts w:ascii="Times New Roman" w:hAnsi="Times New Roman"/>
        </w:rPr>
        <w:t>de</w:t>
      </w:r>
      <w:r w:rsidR="000B5588">
        <w:rPr>
          <w:rFonts w:ascii="Times New Roman" w:hAnsi="Times New Roman"/>
        </w:rPr>
        <w:t xml:space="preserve">creased from </w:t>
      </w:r>
      <w:r w:rsidR="00276213">
        <w:rPr>
          <w:rFonts w:ascii="Times New Roman" w:hAnsi="Times New Roman"/>
        </w:rPr>
        <w:t>4,843</w:t>
      </w:r>
      <w:r w:rsidR="000B5588">
        <w:rPr>
          <w:rFonts w:ascii="Times New Roman" w:hAnsi="Times New Roman"/>
        </w:rPr>
        <w:t xml:space="preserve"> to </w:t>
      </w:r>
      <w:r w:rsidR="00276213">
        <w:rPr>
          <w:rFonts w:ascii="Times New Roman" w:hAnsi="Times New Roman"/>
        </w:rPr>
        <w:t>4,299</w:t>
      </w:r>
      <w:r w:rsidR="000B5588">
        <w:rPr>
          <w:rFonts w:ascii="Times New Roman" w:hAnsi="Times New Roman"/>
        </w:rPr>
        <w:t xml:space="preserve">. </w:t>
      </w:r>
      <w:r w:rsidR="00125A5D">
        <w:rPr>
          <w:rFonts w:ascii="Times New Roman" w:hAnsi="Times New Roman"/>
          <w:snapToGrid/>
          <w:szCs w:val="24"/>
        </w:rPr>
        <w:t>The hourly burden per response remains the same.</w:t>
      </w:r>
      <w:r w:rsidR="00125A5D">
        <w:rPr>
          <w:rFonts w:ascii="Times New Roman" w:hAnsi="Times New Roman"/>
        </w:rPr>
        <w:t xml:space="preserve"> </w:t>
      </w:r>
      <w:r w:rsidR="00D50321">
        <w:rPr>
          <w:rFonts w:ascii="Times New Roman" w:hAnsi="Times New Roman"/>
        </w:rPr>
        <w:t xml:space="preserve">As a result, total estimated annual burden for this information collection has </w:t>
      </w:r>
      <w:r w:rsidR="00DE506D">
        <w:rPr>
          <w:rFonts w:ascii="Times New Roman" w:hAnsi="Times New Roman"/>
        </w:rPr>
        <w:t>de</w:t>
      </w:r>
      <w:r w:rsidR="00D65C01">
        <w:rPr>
          <w:rFonts w:ascii="Times New Roman" w:hAnsi="Times New Roman"/>
        </w:rPr>
        <w:t>creased</w:t>
      </w:r>
      <w:r w:rsidR="00D50321">
        <w:rPr>
          <w:rFonts w:ascii="Times New Roman" w:hAnsi="Times New Roman"/>
        </w:rPr>
        <w:t xml:space="preserve"> by</w:t>
      </w:r>
      <w:r w:rsidR="00C858DF">
        <w:rPr>
          <w:rFonts w:ascii="Times New Roman" w:hAnsi="Times New Roman"/>
        </w:rPr>
        <w:t xml:space="preserve"> </w:t>
      </w:r>
      <w:r w:rsidR="005119ED">
        <w:rPr>
          <w:rFonts w:ascii="Times New Roman" w:hAnsi="Times New Roman"/>
        </w:rPr>
        <w:t>1,632</w:t>
      </w:r>
      <w:r w:rsidR="00D746BF">
        <w:rPr>
          <w:rFonts w:ascii="Times New Roman" w:hAnsi="Times New Roman"/>
        </w:rPr>
        <w:t xml:space="preserve"> hours</w:t>
      </w:r>
      <w:r w:rsidR="00D65C01">
        <w:rPr>
          <w:rFonts w:ascii="Times New Roman" w:hAnsi="Times New Roman"/>
        </w:rPr>
        <w:t xml:space="preserve"> from </w:t>
      </w:r>
      <w:r w:rsidR="005119ED">
        <w:rPr>
          <w:rFonts w:ascii="Times New Roman" w:hAnsi="Times New Roman"/>
        </w:rPr>
        <w:t>14,529</w:t>
      </w:r>
      <w:r w:rsidR="00D65C01">
        <w:rPr>
          <w:rFonts w:ascii="Times New Roman" w:hAnsi="Times New Roman"/>
        </w:rPr>
        <w:t xml:space="preserve"> hours to </w:t>
      </w:r>
      <w:r w:rsidR="005119ED">
        <w:rPr>
          <w:rFonts w:ascii="Times New Roman" w:hAnsi="Times New Roman"/>
        </w:rPr>
        <w:t>12,897</w:t>
      </w:r>
      <w:r w:rsidR="00D65C01">
        <w:rPr>
          <w:rFonts w:ascii="Times New Roman" w:hAnsi="Times New Roman"/>
        </w:rPr>
        <w:t xml:space="preserve"> hours</w:t>
      </w:r>
      <w:r w:rsidR="00D746BF">
        <w:rPr>
          <w:rFonts w:ascii="Times New Roman" w:hAnsi="Times New Roman"/>
        </w:rPr>
        <w:t>.</w:t>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A1019D" w:rsidRDefault="007B6C63">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pPr>
        <w:rPr>
          <w:rFonts w:ascii="Times New Roman" w:hAnsi="Times New Roman"/>
        </w:rPr>
      </w:pPr>
    </w:p>
    <w:p w:rsidR="007B6C63" w:rsidP="000B0581" w:rsidRDefault="005119ED">
      <w:pPr>
        <w:ind w:left="720"/>
        <w:rPr>
          <w:rFonts w:ascii="Times New Roman" w:hAnsi="Times New Roman"/>
        </w:rPr>
      </w:pPr>
      <w:r>
        <w:rPr>
          <w:rFonts w:ascii="Times New Roman" w:hAnsi="Times New Roman"/>
        </w:rPr>
        <w:t>All SOD data are available to the public on the FDIC’s web site.  Information which is normally published from this survey includes amounts of deposits (on an individual banking office basis) for MSAs, CMSAs, counties, states, and total in the United States.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5119ED" w:rsidRDefault="005119ED">
      <w:pPr>
        <w:ind w:left="720"/>
        <w:rPr>
          <w:rFonts w:ascii="Times New Roman" w:hAnsi="Times New Roman"/>
          <w:szCs w:val="24"/>
        </w:rPr>
      </w:pPr>
      <w:r>
        <w:rPr>
          <w:rFonts w:ascii="Times New Roman" w:hAnsi="Times New Roman"/>
        </w:rPr>
        <w:t>The expiration date is displayed on Form FDIC 8020/05, “Summary of Deposits as of Close of Business June 30.”</w:t>
      </w:r>
    </w:p>
    <w:p w:rsidR="005119ED" w:rsidRDefault="005119ED">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P="00715C41" w:rsidRDefault="007B6C63">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rsidRDefault="007B6C63">
      <w:pPr>
        <w:keepNext/>
        <w:rPr>
          <w:rFonts w:ascii="Times New Roman" w:hAnsi="Times New Roman"/>
        </w:rPr>
      </w:pPr>
    </w:p>
    <w:p w:rsidR="007B6C63" w:rsidP="00715C41" w:rsidRDefault="007B6C63">
      <w:pPr>
        <w:keepNext/>
        <w:ind w:left="720"/>
        <w:rPr>
          <w:rFonts w:ascii="Times New Roman" w:hAnsi="Times New Roman"/>
        </w:rPr>
      </w:pPr>
      <w:r>
        <w:rPr>
          <w:rFonts w:ascii="Times New Roman" w:hAnsi="Times New Roman"/>
        </w:rPr>
        <w:t>Not applicable.</w:t>
      </w:r>
    </w:p>
    <w:p w:rsidR="007B6C63" w:rsidRDefault="007B6C63">
      <w:pPr>
        <w:rPr>
          <w:rFonts w:ascii="Times New Roman" w:hAnsi="Times New Roman"/>
        </w:rPr>
      </w:pPr>
    </w:p>
    <w:p w:rsidR="007B6C63" w:rsidRDefault="007B6C63">
      <w:pPr>
        <w:rPr>
          <w:rFonts w:ascii="Times New Roman" w:hAnsi="Times New Roman"/>
        </w:rPr>
      </w:pPr>
    </w:p>
    <w:sectPr w:rsidR="007B6C6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14" w:rsidRDefault="00C37C14">
      <w:r>
        <w:separator/>
      </w:r>
    </w:p>
  </w:endnote>
  <w:endnote w:type="continuationSeparator" w:id="0">
    <w:p w:rsidR="00C37C14" w:rsidRDefault="00C3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82575F">
      <w:rPr>
        <w:rFonts w:ascii="Times New Roman" w:hAnsi="Times New Roman"/>
        <w:noProof/>
      </w:rPr>
      <w:t>5</w:t>
    </w:r>
    <w:r>
      <w:rPr>
        <w:rFonts w:ascii="Times New Roman" w:hAnsi="Times New Roman"/>
      </w:rP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14" w:rsidRDefault="00C37C14">
      <w:r>
        <w:separator/>
      </w:r>
    </w:p>
  </w:footnote>
  <w:footnote w:type="continuationSeparator" w:id="0">
    <w:p w:rsidR="00C37C14" w:rsidRDefault="00C37C14">
      <w:r>
        <w:continuationSeparator/>
      </w:r>
    </w:p>
  </w:footnote>
  <w:footnote w:id="1">
    <w:p w:rsidR="00856473" w:rsidRPr="00245E41" w:rsidRDefault="00856473" w:rsidP="00856473">
      <w:pPr>
        <w:pStyle w:val="FootnoteText"/>
        <w:rPr>
          <w:rFonts w:ascii="Times New Roman" w:hAnsi="Times New Roman"/>
        </w:rPr>
      </w:pPr>
      <w:r w:rsidRPr="00245E41">
        <w:rPr>
          <w:rStyle w:val="FootnoteReference"/>
          <w:rFonts w:ascii="Times New Roman" w:hAnsi="Times New Roman"/>
          <w:vertAlign w:val="superscript"/>
        </w:rPr>
        <w:footnoteRef/>
      </w:r>
      <w:r w:rsidRPr="00245E41">
        <w:rPr>
          <w:rFonts w:ascii="Times New Roman" w:hAnsi="Times New Roman"/>
        </w:rPr>
        <w:t xml:space="preserve"> Occupation (SOC Code): Management Occupations (110000).</w:t>
      </w:r>
    </w:p>
  </w:footnote>
  <w:footnote w:id="2">
    <w:p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Lawyers, Judges, and Related Workers (231000). </w:t>
      </w:r>
    </w:p>
  </w:footnote>
  <w:footnote w:id="3">
    <w:p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Compliance Officers (131041).</w:t>
      </w:r>
    </w:p>
  </w:footnote>
  <w:footnote w:id="4">
    <w:p w:rsidR="00856473" w:rsidRDefault="00245E41" w:rsidP="00856473">
      <w:pPr>
        <w:pStyle w:val="FootnoteText"/>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Office and Administrative Support Occupations (430000).</w:t>
      </w:r>
      <w:r w:rsidR="008564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5D89"/>
    <w:rsid w:val="000171AA"/>
    <w:rsid w:val="00076A5B"/>
    <w:rsid w:val="000855E4"/>
    <w:rsid w:val="00093D0F"/>
    <w:rsid w:val="000B0581"/>
    <w:rsid w:val="000B5588"/>
    <w:rsid w:val="000F7E08"/>
    <w:rsid w:val="00125A5D"/>
    <w:rsid w:val="001305D1"/>
    <w:rsid w:val="00175893"/>
    <w:rsid w:val="00177720"/>
    <w:rsid w:val="001778A3"/>
    <w:rsid w:val="00182279"/>
    <w:rsid w:val="001D78D3"/>
    <w:rsid w:val="00220586"/>
    <w:rsid w:val="002331BC"/>
    <w:rsid w:val="00234383"/>
    <w:rsid w:val="00234F5A"/>
    <w:rsid w:val="00240097"/>
    <w:rsid w:val="00243D0C"/>
    <w:rsid w:val="00245E41"/>
    <w:rsid w:val="00246351"/>
    <w:rsid w:val="00254B08"/>
    <w:rsid w:val="0025784A"/>
    <w:rsid w:val="002668A9"/>
    <w:rsid w:val="00266C54"/>
    <w:rsid w:val="00273C3A"/>
    <w:rsid w:val="00276213"/>
    <w:rsid w:val="00285D59"/>
    <w:rsid w:val="002A35F4"/>
    <w:rsid w:val="002A5F6B"/>
    <w:rsid w:val="002B1AFA"/>
    <w:rsid w:val="002F26D8"/>
    <w:rsid w:val="00304C3E"/>
    <w:rsid w:val="00371017"/>
    <w:rsid w:val="00386C94"/>
    <w:rsid w:val="003A055C"/>
    <w:rsid w:val="003B3219"/>
    <w:rsid w:val="003E3404"/>
    <w:rsid w:val="003E5901"/>
    <w:rsid w:val="003F0288"/>
    <w:rsid w:val="003F2FF8"/>
    <w:rsid w:val="00414ECF"/>
    <w:rsid w:val="00435A15"/>
    <w:rsid w:val="00437618"/>
    <w:rsid w:val="00454007"/>
    <w:rsid w:val="00470B79"/>
    <w:rsid w:val="0048245A"/>
    <w:rsid w:val="004A5959"/>
    <w:rsid w:val="004B2F21"/>
    <w:rsid w:val="004C5B45"/>
    <w:rsid w:val="005119ED"/>
    <w:rsid w:val="00523B22"/>
    <w:rsid w:val="0054621E"/>
    <w:rsid w:val="00563449"/>
    <w:rsid w:val="005709AF"/>
    <w:rsid w:val="005B79C4"/>
    <w:rsid w:val="005C5B63"/>
    <w:rsid w:val="005D08E2"/>
    <w:rsid w:val="005E62DB"/>
    <w:rsid w:val="005F2F35"/>
    <w:rsid w:val="00615BAD"/>
    <w:rsid w:val="00630C5C"/>
    <w:rsid w:val="0063734B"/>
    <w:rsid w:val="00653821"/>
    <w:rsid w:val="00655078"/>
    <w:rsid w:val="006823E7"/>
    <w:rsid w:val="00686F68"/>
    <w:rsid w:val="006B0048"/>
    <w:rsid w:val="006B3465"/>
    <w:rsid w:val="0071052F"/>
    <w:rsid w:val="00715C41"/>
    <w:rsid w:val="00717C67"/>
    <w:rsid w:val="007522EF"/>
    <w:rsid w:val="007562B8"/>
    <w:rsid w:val="007729D8"/>
    <w:rsid w:val="007B6C63"/>
    <w:rsid w:val="0080546E"/>
    <w:rsid w:val="00820F79"/>
    <w:rsid w:val="0082575F"/>
    <w:rsid w:val="00826F32"/>
    <w:rsid w:val="008332CE"/>
    <w:rsid w:val="00834179"/>
    <w:rsid w:val="00844536"/>
    <w:rsid w:val="00846A1A"/>
    <w:rsid w:val="00856473"/>
    <w:rsid w:val="008565C5"/>
    <w:rsid w:val="00862421"/>
    <w:rsid w:val="00863A45"/>
    <w:rsid w:val="00881712"/>
    <w:rsid w:val="008A7B8F"/>
    <w:rsid w:val="008B2102"/>
    <w:rsid w:val="008C525B"/>
    <w:rsid w:val="009104FE"/>
    <w:rsid w:val="00913902"/>
    <w:rsid w:val="00921EFB"/>
    <w:rsid w:val="00937218"/>
    <w:rsid w:val="009557A1"/>
    <w:rsid w:val="0096157F"/>
    <w:rsid w:val="00990A9E"/>
    <w:rsid w:val="0099247D"/>
    <w:rsid w:val="009A3180"/>
    <w:rsid w:val="009B62D9"/>
    <w:rsid w:val="009B7A15"/>
    <w:rsid w:val="009C2BFF"/>
    <w:rsid w:val="009C759A"/>
    <w:rsid w:val="009F3C7D"/>
    <w:rsid w:val="00A0001C"/>
    <w:rsid w:val="00A1019D"/>
    <w:rsid w:val="00A152B6"/>
    <w:rsid w:val="00A21CE3"/>
    <w:rsid w:val="00A249E9"/>
    <w:rsid w:val="00A26153"/>
    <w:rsid w:val="00A270BF"/>
    <w:rsid w:val="00A47463"/>
    <w:rsid w:val="00A81BD7"/>
    <w:rsid w:val="00AB0163"/>
    <w:rsid w:val="00AF3A4A"/>
    <w:rsid w:val="00AF614A"/>
    <w:rsid w:val="00B06BE7"/>
    <w:rsid w:val="00B13760"/>
    <w:rsid w:val="00B17BBF"/>
    <w:rsid w:val="00B17F71"/>
    <w:rsid w:val="00B36309"/>
    <w:rsid w:val="00B37DD6"/>
    <w:rsid w:val="00B61AD2"/>
    <w:rsid w:val="00B64991"/>
    <w:rsid w:val="00B66881"/>
    <w:rsid w:val="00B76DC2"/>
    <w:rsid w:val="00B977B5"/>
    <w:rsid w:val="00BD64F8"/>
    <w:rsid w:val="00BD7F95"/>
    <w:rsid w:val="00BF3B99"/>
    <w:rsid w:val="00BF7AE1"/>
    <w:rsid w:val="00C06C77"/>
    <w:rsid w:val="00C14D80"/>
    <w:rsid w:val="00C15DEE"/>
    <w:rsid w:val="00C24049"/>
    <w:rsid w:val="00C37C14"/>
    <w:rsid w:val="00C66621"/>
    <w:rsid w:val="00C750AB"/>
    <w:rsid w:val="00C772BC"/>
    <w:rsid w:val="00C8275D"/>
    <w:rsid w:val="00C858DF"/>
    <w:rsid w:val="00CB2ED5"/>
    <w:rsid w:val="00CC7A55"/>
    <w:rsid w:val="00CF2C13"/>
    <w:rsid w:val="00D0274E"/>
    <w:rsid w:val="00D14890"/>
    <w:rsid w:val="00D1720C"/>
    <w:rsid w:val="00D35001"/>
    <w:rsid w:val="00D50321"/>
    <w:rsid w:val="00D50914"/>
    <w:rsid w:val="00D55074"/>
    <w:rsid w:val="00D55987"/>
    <w:rsid w:val="00D5697B"/>
    <w:rsid w:val="00D65C01"/>
    <w:rsid w:val="00D746BF"/>
    <w:rsid w:val="00D765D6"/>
    <w:rsid w:val="00D804A5"/>
    <w:rsid w:val="00DA5092"/>
    <w:rsid w:val="00DB2FBD"/>
    <w:rsid w:val="00DD29EA"/>
    <w:rsid w:val="00DE2D0B"/>
    <w:rsid w:val="00DE506D"/>
    <w:rsid w:val="00E50911"/>
    <w:rsid w:val="00E76A29"/>
    <w:rsid w:val="00EC335B"/>
    <w:rsid w:val="00F01C6F"/>
    <w:rsid w:val="00F040F7"/>
    <w:rsid w:val="00F34CBE"/>
    <w:rsid w:val="00F568B8"/>
    <w:rsid w:val="00F90EAE"/>
    <w:rsid w:val="00F9430B"/>
    <w:rsid w:val="00FB759A"/>
    <w:rsid w:val="00FC0FB9"/>
    <w:rsid w:val="00FC41DF"/>
    <w:rsid w:val="00FC6915"/>
    <w:rsid w:val="00FC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1FE7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8E962-2DA5-4762-81DE-164D1F25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2020-06-17T16:52:00Z</dcterms:created>
  <dcterms:modified xsi:type="dcterms:W3CDTF">2020-06-17T16:55:00Z</dcterms:modified>
</cp:coreProperties>
</file>