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6D28D" w14:textId="37A524F2" w:rsidR="00BB255D" w:rsidRDefault="00BB255D" w:rsidP="00D90EC1">
      <w:pPr>
        <w:jc w:val="center"/>
        <w:rPr>
          <w:rFonts w:ascii="Times New Roman" w:hAnsi="Times New Roman"/>
          <w:b/>
          <w:sz w:val="24"/>
        </w:rPr>
      </w:pPr>
      <w:r>
        <w:rPr>
          <w:rFonts w:ascii="Times New Roman" w:hAnsi="Times New Roman"/>
          <w:b/>
          <w:sz w:val="24"/>
        </w:rPr>
        <w:t>N</w:t>
      </w:r>
      <w:r w:rsidR="00D36B4F">
        <w:rPr>
          <w:rFonts w:ascii="Times New Roman" w:hAnsi="Times New Roman"/>
          <w:b/>
          <w:sz w:val="24"/>
        </w:rPr>
        <w:t>ation</w:t>
      </w:r>
      <w:r>
        <w:rPr>
          <w:rFonts w:ascii="Times New Roman" w:hAnsi="Times New Roman"/>
          <w:b/>
          <w:sz w:val="24"/>
        </w:rPr>
        <w:t>al Credit Union Administration</w:t>
      </w:r>
    </w:p>
    <w:p w14:paraId="1EFBFE78" w14:textId="033DB7EA" w:rsidR="00D90EC1" w:rsidRPr="009A359C" w:rsidRDefault="00D90EC1" w:rsidP="00930273">
      <w:pPr>
        <w:jc w:val="center"/>
        <w:rPr>
          <w:rFonts w:ascii="Times New Roman" w:hAnsi="Times New Roman"/>
          <w:b/>
          <w:sz w:val="24"/>
        </w:rPr>
      </w:pPr>
      <w:r w:rsidRPr="009A359C">
        <w:rPr>
          <w:rFonts w:ascii="Times New Roman" w:hAnsi="Times New Roman"/>
          <w:b/>
          <w:sz w:val="24"/>
        </w:rPr>
        <w:t xml:space="preserve">SUPPORTING STATEMENT </w:t>
      </w:r>
    </w:p>
    <w:p w14:paraId="445DFB97" w14:textId="77777777" w:rsidR="00D90EC1" w:rsidRPr="009A359C" w:rsidRDefault="00D90EC1" w:rsidP="00D90EC1">
      <w:pPr>
        <w:jc w:val="center"/>
        <w:rPr>
          <w:rFonts w:ascii="Times New Roman" w:hAnsi="Times New Roman"/>
          <w:b/>
          <w:sz w:val="24"/>
        </w:rPr>
      </w:pPr>
    </w:p>
    <w:p w14:paraId="648999F5" w14:textId="251EBB46" w:rsidR="00D90EC1" w:rsidRPr="009A359C" w:rsidRDefault="00D90EC1" w:rsidP="00D90EC1">
      <w:pPr>
        <w:jc w:val="center"/>
        <w:rPr>
          <w:rFonts w:ascii="Times New Roman" w:hAnsi="Times New Roman"/>
          <w:b/>
          <w:sz w:val="24"/>
        </w:rPr>
      </w:pPr>
      <w:r w:rsidRPr="009A359C">
        <w:rPr>
          <w:rFonts w:ascii="Times New Roman" w:hAnsi="Times New Roman"/>
          <w:b/>
          <w:sz w:val="24"/>
        </w:rPr>
        <w:t>Truth in Savings</w:t>
      </w:r>
    </w:p>
    <w:p w14:paraId="0DE43E7F" w14:textId="77777777" w:rsidR="00D90EC1" w:rsidRPr="009A359C" w:rsidRDefault="00D90EC1" w:rsidP="00D90EC1">
      <w:pPr>
        <w:jc w:val="center"/>
        <w:rPr>
          <w:rFonts w:ascii="Times New Roman" w:hAnsi="Times New Roman"/>
          <w:b/>
          <w:sz w:val="24"/>
        </w:rPr>
      </w:pPr>
      <w:r w:rsidRPr="009A359C">
        <w:rPr>
          <w:rFonts w:ascii="Times New Roman" w:hAnsi="Times New Roman"/>
          <w:b/>
          <w:sz w:val="24"/>
        </w:rPr>
        <w:t xml:space="preserve">Disclosure and Recordkeeping Requirements under 12 U.S.C. 4301 </w:t>
      </w:r>
      <w:r w:rsidRPr="009A359C">
        <w:rPr>
          <w:rFonts w:ascii="Times New Roman" w:hAnsi="Times New Roman"/>
          <w:b/>
          <w:sz w:val="24"/>
          <w:u w:val="single"/>
        </w:rPr>
        <w:t>et seq.</w:t>
      </w:r>
      <w:r w:rsidRPr="009A359C">
        <w:rPr>
          <w:rFonts w:ascii="Times New Roman" w:hAnsi="Times New Roman"/>
          <w:b/>
          <w:sz w:val="24"/>
        </w:rPr>
        <w:t xml:space="preserve"> and 12 CFR 707</w:t>
      </w:r>
    </w:p>
    <w:p w14:paraId="083E5699" w14:textId="53C78FD8" w:rsidR="00D90EC1" w:rsidRPr="009A359C" w:rsidRDefault="0044274D" w:rsidP="00D90EC1">
      <w:pPr>
        <w:jc w:val="center"/>
        <w:rPr>
          <w:rFonts w:ascii="Times New Roman" w:hAnsi="Times New Roman"/>
          <w:b/>
          <w:sz w:val="24"/>
        </w:rPr>
      </w:pPr>
      <w:r w:rsidRPr="009A359C">
        <w:rPr>
          <w:rFonts w:ascii="Times New Roman" w:hAnsi="Times New Roman"/>
          <w:b/>
          <w:sz w:val="24"/>
        </w:rPr>
        <w:t>OMB Control No. 3133-0134</w:t>
      </w:r>
    </w:p>
    <w:p w14:paraId="5A8CD17F" w14:textId="77777777" w:rsidR="00D90EC1" w:rsidRPr="009A359C" w:rsidRDefault="0044274D" w:rsidP="00D90EC1">
      <w:pPr>
        <w:pStyle w:val="Heading2"/>
        <w:rPr>
          <w:rFonts w:ascii="Times New Roman" w:hAnsi="Times New Roman" w:cs="Times New Roman"/>
        </w:rPr>
      </w:pPr>
      <w:r w:rsidRPr="009A359C">
        <w:rPr>
          <w:rFonts w:ascii="Times New Roman" w:hAnsi="Times New Roman" w:cs="Times New Roman"/>
        </w:rPr>
        <w:t>______________________________________________________________________</w:t>
      </w:r>
    </w:p>
    <w:p w14:paraId="61999A31" w14:textId="77777777" w:rsidR="00524941" w:rsidRDefault="00524941" w:rsidP="00A63CA1">
      <w:pPr>
        <w:widowControl/>
        <w:rPr>
          <w:rFonts w:ascii="Times New Roman" w:hAnsi="Times New Roman"/>
          <w:b/>
          <w:sz w:val="24"/>
        </w:rPr>
      </w:pPr>
    </w:p>
    <w:p w14:paraId="5CBD2D27" w14:textId="77777777" w:rsidR="00524941" w:rsidRDefault="00524941" w:rsidP="00D90EC1">
      <w:pPr>
        <w:rPr>
          <w:rFonts w:ascii="Times New Roman" w:hAnsi="Times New Roman"/>
          <w:b/>
          <w:sz w:val="24"/>
        </w:rPr>
      </w:pPr>
    </w:p>
    <w:p w14:paraId="439F3497" w14:textId="3BF02E26" w:rsidR="00930273" w:rsidRPr="008A1428" w:rsidRDefault="00930273" w:rsidP="00D90EC1">
      <w:pPr>
        <w:rPr>
          <w:rFonts w:ascii="Times New Roman" w:hAnsi="Times New Roman"/>
          <w:sz w:val="24"/>
          <w:u w:val="single"/>
        </w:rPr>
      </w:pPr>
      <w:r w:rsidRPr="008A1428">
        <w:rPr>
          <w:rFonts w:ascii="Times New Roman" w:hAnsi="Times New Roman"/>
          <w:sz w:val="24"/>
          <w:u w:val="single"/>
        </w:rPr>
        <w:t>Summary of Action:</w:t>
      </w:r>
    </w:p>
    <w:p w14:paraId="0827483E" w14:textId="562C914C" w:rsidR="00930273" w:rsidRDefault="00930273" w:rsidP="00D90EC1">
      <w:pPr>
        <w:rPr>
          <w:rFonts w:ascii="Times New Roman" w:hAnsi="Times New Roman"/>
          <w:b/>
          <w:sz w:val="24"/>
        </w:rPr>
      </w:pPr>
    </w:p>
    <w:p w14:paraId="06CF0773" w14:textId="5622BCB5" w:rsidR="00930273" w:rsidRPr="00036320" w:rsidRDefault="00036320" w:rsidP="00D90EC1">
      <w:pPr>
        <w:rPr>
          <w:rFonts w:ascii="Times New Roman" w:hAnsi="Times New Roman"/>
          <w:sz w:val="24"/>
        </w:rPr>
      </w:pPr>
      <w:r w:rsidRPr="00036320">
        <w:rPr>
          <w:rFonts w:ascii="Times New Roman" w:hAnsi="Times New Roman"/>
          <w:sz w:val="24"/>
        </w:rPr>
        <w:t>The National Credit Union</w:t>
      </w:r>
      <w:r>
        <w:rPr>
          <w:rFonts w:ascii="Times New Roman" w:hAnsi="Times New Roman"/>
          <w:sz w:val="24"/>
        </w:rPr>
        <w:t xml:space="preserve"> Administration (NCUA) is requesting approval </w:t>
      </w:r>
      <w:r w:rsidR="008A1428">
        <w:rPr>
          <w:rFonts w:ascii="Times New Roman" w:hAnsi="Times New Roman"/>
          <w:sz w:val="24"/>
        </w:rPr>
        <w:t xml:space="preserve">from the Office of Management and Budget (OMB) for renewal on information collection associated with disclosure and recordkeeping requirements under the Truth in Savings Act, 12 U.S.C. 4301 </w:t>
      </w:r>
      <w:r w:rsidR="008A1428" w:rsidRPr="008A1428">
        <w:rPr>
          <w:rFonts w:ascii="Times New Roman" w:hAnsi="Times New Roman"/>
          <w:sz w:val="24"/>
          <w:u w:val="single"/>
        </w:rPr>
        <w:t>et seq.</w:t>
      </w:r>
      <w:r w:rsidR="008A1428">
        <w:rPr>
          <w:rFonts w:ascii="Times New Roman" w:hAnsi="Times New Roman"/>
          <w:sz w:val="24"/>
        </w:rPr>
        <w:t xml:space="preserve"> and 12 CFR 707.</w:t>
      </w:r>
    </w:p>
    <w:p w14:paraId="2AC81FA5" w14:textId="77777777" w:rsidR="00930273" w:rsidRDefault="00930273" w:rsidP="00D90EC1">
      <w:pPr>
        <w:rPr>
          <w:rFonts w:ascii="Times New Roman" w:hAnsi="Times New Roman"/>
          <w:b/>
          <w:sz w:val="24"/>
        </w:rPr>
      </w:pPr>
    </w:p>
    <w:p w14:paraId="607A2BD3" w14:textId="2FD2217A" w:rsidR="00D90EC1" w:rsidRPr="00101BBE" w:rsidRDefault="00D90EC1" w:rsidP="00101BBE">
      <w:pPr>
        <w:pStyle w:val="ListParagraph"/>
        <w:numPr>
          <w:ilvl w:val="0"/>
          <w:numId w:val="4"/>
        </w:numPr>
        <w:ind w:hanging="720"/>
        <w:rPr>
          <w:rFonts w:ascii="Times New Roman" w:hAnsi="Times New Roman"/>
          <w:sz w:val="24"/>
        </w:rPr>
      </w:pPr>
      <w:r w:rsidRPr="00101BBE">
        <w:rPr>
          <w:rFonts w:ascii="Times New Roman" w:hAnsi="Times New Roman"/>
          <w:b/>
          <w:sz w:val="24"/>
        </w:rPr>
        <w:t>J</w:t>
      </w:r>
      <w:r w:rsidR="0057318A" w:rsidRPr="00101BBE">
        <w:rPr>
          <w:rFonts w:ascii="Times New Roman" w:hAnsi="Times New Roman"/>
          <w:b/>
          <w:sz w:val="24"/>
        </w:rPr>
        <w:t>USTIFICATION</w:t>
      </w:r>
    </w:p>
    <w:p w14:paraId="49F024C1" w14:textId="77777777" w:rsidR="00D90EC1" w:rsidRPr="009A359C" w:rsidRDefault="00D90EC1" w:rsidP="00D90EC1">
      <w:pPr>
        <w:rPr>
          <w:rFonts w:ascii="Times New Roman" w:hAnsi="Times New Roman"/>
          <w:sz w:val="24"/>
        </w:rPr>
      </w:pPr>
    </w:p>
    <w:p w14:paraId="1CBED78F" w14:textId="288424A3" w:rsidR="00D90EC1" w:rsidRPr="00101BBE" w:rsidRDefault="0057318A" w:rsidP="00101BBE">
      <w:pPr>
        <w:pStyle w:val="ListParagraph"/>
        <w:numPr>
          <w:ilvl w:val="0"/>
          <w:numId w:val="5"/>
        </w:numPr>
        <w:ind w:hanging="720"/>
        <w:rPr>
          <w:rFonts w:ascii="Times New Roman" w:hAnsi="Times New Roman"/>
          <w:sz w:val="24"/>
        </w:rPr>
      </w:pPr>
      <w:r w:rsidRPr="00101BBE">
        <w:rPr>
          <w:rFonts w:ascii="Times New Roman" w:hAnsi="Times New Roman"/>
          <w:b/>
          <w:sz w:val="24"/>
        </w:rPr>
        <w:t>C</w:t>
      </w:r>
      <w:r w:rsidR="00271F7D" w:rsidRPr="00101BBE">
        <w:rPr>
          <w:rFonts w:ascii="Times New Roman" w:hAnsi="Times New Roman"/>
          <w:b/>
          <w:sz w:val="24"/>
        </w:rPr>
        <w:t>ircumstances that make the c</w:t>
      </w:r>
      <w:r w:rsidRPr="00101BBE">
        <w:rPr>
          <w:rFonts w:ascii="Times New Roman" w:hAnsi="Times New Roman"/>
          <w:b/>
          <w:sz w:val="24"/>
        </w:rPr>
        <w:t>ollection</w:t>
      </w:r>
      <w:r w:rsidR="00271F7D" w:rsidRPr="00101BBE">
        <w:rPr>
          <w:rFonts w:ascii="Times New Roman" w:hAnsi="Times New Roman"/>
          <w:b/>
          <w:sz w:val="24"/>
        </w:rPr>
        <w:t xml:space="preserve"> of information necessary</w:t>
      </w:r>
      <w:r w:rsidR="00D90EC1" w:rsidRPr="00101BBE">
        <w:rPr>
          <w:rFonts w:ascii="Times New Roman" w:hAnsi="Times New Roman"/>
          <w:b/>
          <w:sz w:val="24"/>
        </w:rPr>
        <w:t>:</w:t>
      </w:r>
    </w:p>
    <w:p w14:paraId="60603B73" w14:textId="77777777" w:rsidR="00D90EC1" w:rsidRPr="009A359C" w:rsidRDefault="00D90EC1" w:rsidP="00D90EC1">
      <w:pPr>
        <w:rPr>
          <w:rFonts w:ascii="Times New Roman" w:hAnsi="Times New Roman"/>
          <w:sz w:val="24"/>
        </w:rPr>
      </w:pPr>
    </w:p>
    <w:p w14:paraId="66D594F3" w14:textId="6B7383E1" w:rsidR="003F5750" w:rsidRPr="009A359C" w:rsidRDefault="00D90EC1" w:rsidP="00101BBE">
      <w:pPr>
        <w:ind w:left="720"/>
        <w:rPr>
          <w:rFonts w:ascii="Times New Roman" w:hAnsi="Times New Roman"/>
          <w:sz w:val="24"/>
        </w:rPr>
      </w:pPr>
      <w:r w:rsidRPr="009A359C">
        <w:rPr>
          <w:rFonts w:ascii="Times New Roman" w:hAnsi="Times New Roman"/>
          <w:sz w:val="24"/>
        </w:rPr>
        <w:t>The Truth in Savings Act</w:t>
      </w:r>
      <w:r w:rsidR="00271F7D">
        <w:rPr>
          <w:rFonts w:ascii="Times New Roman" w:hAnsi="Times New Roman"/>
          <w:sz w:val="24"/>
        </w:rPr>
        <w:t xml:space="preserve"> (TISA)</w:t>
      </w:r>
      <w:r w:rsidRPr="009A359C">
        <w:rPr>
          <w:rFonts w:ascii="Times New Roman" w:hAnsi="Times New Roman"/>
          <w:sz w:val="24"/>
        </w:rPr>
        <w:t xml:space="preserve">, 12 U.S.C. 4301 </w:t>
      </w:r>
      <w:r w:rsidRPr="009A359C">
        <w:rPr>
          <w:rFonts w:ascii="Times New Roman" w:hAnsi="Times New Roman"/>
          <w:sz w:val="24"/>
          <w:u w:val="single"/>
        </w:rPr>
        <w:t>et seq.</w:t>
      </w:r>
      <w:r w:rsidRPr="009A359C">
        <w:rPr>
          <w:rFonts w:ascii="Times New Roman" w:hAnsi="Times New Roman"/>
          <w:sz w:val="24"/>
        </w:rPr>
        <w:t xml:space="preserve">, requires depository institutions to disclose to consumers certain information, including interest rates, dividends, bonuses, and fees associated with their deposit accounts and accompanying services.  </w:t>
      </w:r>
      <w:r w:rsidR="00714FBB" w:rsidRPr="009A359C">
        <w:rPr>
          <w:rFonts w:ascii="Times New Roman" w:hAnsi="Times New Roman"/>
          <w:sz w:val="24"/>
        </w:rPr>
        <w:t xml:space="preserve">TISA directed the Federal Reserve Board </w:t>
      </w:r>
      <w:r w:rsidR="00506CC2" w:rsidRPr="009A359C">
        <w:rPr>
          <w:rFonts w:ascii="Times New Roman" w:hAnsi="Times New Roman"/>
          <w:sz w:val="24"/>
        </w:rPr>
        <w:t xml:space="preserve">(FRB) </w:t>
      </w:r>
      <w:r w:rsidR="00714FBB" w:rsidRPr="009A359C">
        <w:rPr>
          <w:rFonts w:ascii="Times New Roman" w:hAnsi="Times New Roman"/>
          <w:sz w:val="24"/>
        </w:rPr>
        <w:t xml:space="preserve">to issue </w:t>
      </w:r>
      <w:r w:rsidR="00506CC2" w:rsidRPr="009A359C">
        <w:rPr>
          <w:rFonts w:ascii="Times New Roman" w:hAnsi="Times New Roman"/>
          <w:sz w:val="24"/>
        </w:rPr>
        <w:t xml:space="preserve">a </w:t>
      </w:r>
      <w:r w:rsidR="00714FBB" w:rsidRPr="009A359C">
        <w:rPr>
          <w:rFonts w:ascii="Times New Roman" w:hAnsi="Times New Roman"/>
          <w:sz w:val="24"/>
        </w:rPr>
        <w:t>fi</w:t>
      </w:r>
      <w:r w:rsidR="00506CC2" w:rsidRPr="009A359C">
        <w:rPr>
          <w:rFonts w:ascii="Times New Roman" w:hAnsi="Times New Roman"/>
          <w:sz w:val="24"/>
        </w:rPr>
        <w:t>nal regulation</w:t>
      </w:r>
      <w:r w:rsidR="00714FBB" w:rsidRPr="009A359C">
        <w:rPr>
          <w:rFonts w:ascii="Times New Roman" w:hAnsi="Times New Roman"/>
          <w:sz w:val="24"/>
        </w:rPr>
        <w:t xml:space="preserve">, governing depository institutions other than credit unions.  </w:t>
      </w:r>
      <w:r w:rsidR="00271F7D">
        <w:rPr>
          <w:rFonts w:ascii="Times New Roman" w:hAnsi="Times New Roman"/>
          <w:sz w:val="24"/>
        </w:rPr>
        <w:t xml:space="preserve">The </w:t>
      </w:r>
      <w:r w:rsidR="008E1BEB" w:rsidRPr="009A359C">
        <w:rPr>
          <w:rFonts w:ascii="Times New Roman" w:hAnsi="Times New Roman"/>
          <w:sz w:val="24"/>
        </w:rPr>
        <w:t xml:space="preserve">FRB promulgated </w:t>
      </w:r>
      <w:r w:rsidR="00461D0A">
        <w:rPr>
          <w:rFonts w:ascii="Times New Roman" w:hAnsi="Times New Roman"/>
          <w:sz w:val="24"/>
        </w:rPr>
        <w:t xml:space="preserve">the </w:t>
      </w:r>
      <w:r w:rsidR="00506CC2" w:rsidRPr="009A359C">
        <w:rPr>
          <w:rFonts w:ascii="Times New Roman" w:hAnsi="Times New Roman"/>
          <w:sz w:val="24"/>
        </w:rPr>
        <w:t xml:space="preserve">TISA regulation, known as Regulation DD, 12 CFR Part 230.  </w:t>
      </w:r>
      <w:r w:rsidR="003F5750" w:rsidRPr="009A359C">
        <w:rPr>
          <w:rFonts w:ascii="Times New Roman" w:hAnsi="Times New Roman"/>
          <w:sz w:val="24"/>
        </w:rPr>
        <w:t>The Dodd-Frank Wall Street Reform and Consumer</w:t>
      </w:r>
      <w:r w:rsidR="008438DF" w:rsidRPr="009A359C">
        <w:rPr>
          <w:rFonts w:ascii="Times New Roman" w:hAnsi="Times New Roman"/>
          <w:sz w:val="24"/>
        </w:rPr>
        <w:t xml:space="preserve"> Protection Act transferred </w:t>
      </w:r>
      <w:r w:rsidR="00271F7D">
        <w:rPr>
          <w:rFonts w:ascii="Times New Roman" w:hAnsi="Times New Roman"/>
          <w:sz w:val="24"/>
        </w:rPr>
        <w:t xml:space="preserve">the </w:t>
      </w:r>
      <w:r w:rsidR="003F5750" w:rsidRPr="009A359C">
        <w:rPr>
          <w:rFonts w:ascii="Times New Roman" w:hAnsi="Times New Roman"/>
          <w:sz w:val="24"/>
        </w:rPr>
        <w:t>FRB’s rulemaking authori</w:t>
      </w:r>
      <w:r w:rsidR="008E1BEB" w:rsidRPr="009A359C">
        <w:rPr>
          <w:rFonts w:ascii="Times New Roman" w:hAnsi="Times New Roman"/>
          <w:sz w:val="24"/>
        </w:rPr>
        <w:t>ty for</w:t>
      </w:r>
      <w:r w:rsidR="003F5750" w:rsidRPr="009A359C">
        <w:rPr>
          <w:rFonts w:ascii="Times New Roman" w:hAnsi="Times New Roman"/>
          <w:sz w:val="24"/>
        </w:rPr>
        <w:t xml:space="preserve"> TISA to the Consumer Financial Protection Bureau (CFPB).</w:t>
      </w:r>
    </w:p>
    <w:p w14:paraId="2AC016E1" w14:textId="77777777" w:rsidR="003F5750" w:rsidRPr="009A359C" w:rsidRDefault="003F5750" w:rsidP="00101BBE">
      <w:pPr>
        <w:ind w:left="720"/>
        <w:rPr>
          <w:rFonts w:ascii="Times New Roman" w:hAnsi="Times New Roman"/>
          <w:sz w:val="24"/>
        </w:rPr>
      </w:pPr>
    </w:p>
    <w:p w14:paraId="263A7F18" w14:textId="687ED473" w:rsidR="003F5750" w:rsidRPr="009A359C" w:rsidRDefault="00506CC2" w:rsidP="00101BBE">
      <w:pPr>
        <w:ind w:left="720"/>
        <w:rPr>
          <w:rFonts w:ascii="Times New Roman" w:hAnsi="Times New Roman"/>
          <w:sz w:val="24"/>
        </w:rPr>
      </w:pPr>
      <w:r w:rsidRPr="009A359C">
        <w:rPr>
          <w:rFonts w:ascii="Times New Roman" w:hAnsi="Times New Roman"/>
          <w:sz w:val="24"/>
        </w:rPr>
        <w:t>TISA also directed the National Credit Union Admi</w:t>
      </w:r>
      <w:r w:rsidR="008E1BEB" w:rsidRPr="009A359C">
        <w:rPr>
          <w:rFonts w:ascii="Times New Roman" w:hAnsi="Times New Roman"/>
          <w:sz w:val="24"/>
        </w:rPr>
        <w:t>nistration (NCUA) to promulgate</w:t>
      </w:r>
      <w:r w:rsidRPr="009A359C">
        <w:rPr>
          <w:rFonts w:ascii="Times New Roman" w:hAnsi="Times New Roman"/>
          <w:sz w:val="24"/>
        </w:rPr>
        <w:t xml:space="preserve"> </w:t>
      </w:r>
      <w:r w:rsidR="00461D0A">
        <w:rPr>
          <w:rFonts w:ascii="Times New Roman" w:hAnsi="Times New Roman"/>
          <w:sz w:val="24"/>
        </w:rPr>
        <w:t xml:space="preserve">a </w:t>
      </w:r>
      <w:r w:rsidRPr="009A359C">
        <w:rPr>
          <w:rFonts w:ascii="Times New Roman" w:hAnsi="Times New Roman"/>
          <w:sz w:val="24"/>
        </w:rPr>
        <w:t xml:space="preserve">TISA regulation governing credit unions.  </w:t>
      </w:r>
      <w:r w:rsidR="003F5750" w:rsidRPr="009A359C">
        <w:rPr>
          <w:rFonts w:ascii="Times New Roman" w:hAnsi="Times New Roman"/>
          <w:sz w:val="24"/>
        </w:rPr>
        <w:t xml:space="preserve">Section 272(b) of </w:t>
      </w:r>
      <w:r w:rsidR="00BE085E" w:rsidRPr="009A359C">
        <w:rPr>
          <w:rFonts w:ascii="Times New Roman" w:hAnsi="Times New Roman"/>
          <w:sz w:val="24"/>
        </w:rPr>
        <w:t>TISA, 12 U.</w:t>
      </w:r>
      <w:r w:rsidR="00A671FF" w:rsidRPr="009A359C">
        <w:rPr>
          <w:rFonts w:ascii="Times New Roman" w:hAnsi="Times New Roman"/>
          <w:sz w:val="24"/>
        </w:rPr>
        <w:t xml:space="preserve">S.C. 4311(b), mandated that </w:t>
      </w:r>
      <w:r w:rsidR="00271F7D">
        <w:rPr>
          <w:rFonts w:ascii="Times New Roman" w:hAnsi="Times New Roman"/>
          <w:sz w:val="24"/>
        </w:rPr>
        <w:t xml:space="preserve">the </w:t>
      </w:r>
      <w:r w:rsidR="00BE085E" w:rsidRPr="009A359C">
        <w:rPr>
          <w:rFonts w:ascii="Times New Roman" w:hAnsi="Times New Roman"/>
          <w:sz w:val="24"/>
        </w:rPr>
        <w:t xml:space="preserve">NCUA regulation be “substantially </w:t>
      </w:r>
      <w:r w:rsidR="008438DF" w:rsidRPr="009A359C">
        <w:rPr>
          <w:rFonts w:ascii="Times New Roman" w:hAnsi="Times New Roman"/>
          <w:sz w:val="24"/>
        </w:rPr>
        <w:t xml:space="preserve">similar” to those issued by </w:t>
      </w:r>
      <w:r w:rsidR="00271F7D">
        <w:rPr>
          <w:rFonts w:ascii="Times New Roman" w:hAnsi="Times New Roman"/>
          <w:sz w:val="24"/>
        </w:rPr>
        <w:t xml:space="preserve">the </w:t>
      </w:r>
      <w:r w:rsidR="00BE085E" w:rsidRPr="009A359C">
        <w:rPr>
          <w:rFonts w:ascii="Times New Roman" w:hAnsi="Times New Roman"/>
          <w:sz w:val="24"/>
        </w:rPr>
        <w:t>FRB</w:t>
      </w:r>
      <w:r w:rsidR="003D020D" w:rsidRPr="009A359C">
        <w:rPr>
          <w:rFonts w:ascii="Times New Roman" w:hAnsi="Times New Roman"/>
          <w:sz w:val="24"/>
        </w:rPr>
        <w:t xml:space="preserve"> (and now </w:t>
      </w:r>
      <w:r w:rsidR="00271F7D">
        <w:rPr>
          <w:rFonts w:ascii="Times New Roman" w:hAnsi="Times New Roman"/>
          <w:sz w:val="24"/>
        </w:rPr>
        <w:t xml:space="preserve">the </w:t>
      </w:r>
      <w:r w:rsidR="003F5750" w:rsidRPr="009A359C">
        <w:rPr>
          <w:rFonts w:ascii="Times New Roman" w:hAnsi="Times New Roman"/>
          <w:sz w:val="24"/>
        </w:rPr>
        <w:t xml:space="preserve">CFPB), but </w:t>
      </w:r>
      <w:r w:rsidR="00271F7D">
        <w:rPr>
          <w:rFonts w:ascii="Times New Roman" w:hAnsi="Times New Roman"/>
          <w:sz w:val="24"/>
        </w:rPr>
        <w:t xml:space="preserve">the </w:t>
      </w:r>
      <w:r w:rsidR="00BE085E" w:rsidRPr="009A359C">
        <w:rPr>
          <w:rFonts w:ascii="Times New Roman" w:hAnsi="Times New Roman"/>
          <w:sz w:val="24"/>
        </w:rPr>
        <w:t xml:space="preserve">NCUA may take into account the unique nature of credit unions and the limitations under which they may pay dividends.  </w:t>
      </w:r>
    </w:p>
    <w:p w14:paraId="2D2A8EE4" w14:textId="77777777" w:rsidR="003F5750" w:rsidRPr="009A359C" w:rsidRDefault="003F5750" w:rsidP="00EE5597">
      <w:pPr>
        <w:ind w:left="720"/>
        <w:rPr>
          <w:rFonts w:ascii="Times New Roman" w:hAnsi="Times New Roman"/>
          <w:sz w:val="24"/>
        </w:rPr>
      </w:pPr>
    </w:p>
    <w:p w14:paraId="54B88C21" w14:textId="208E1BFB" w:rsidR="00BD3B32" w:rsidRPr="009A359C" w:rsidRDefault="003F5750" w:rsidP="00EE5597">
      <w:pPr>
        <w:ind w:left="720"/>
        <w:rPr>
          <w:rFonts w:ascii="Times New Roman" w:hAnsi="Times New Roman"/>
          <w:sz w:val="24"/>
        </w:rPr>
      </w:pPr>
      <w:r w:rsidRPr="009A359C">
        <w:rPr>
          <w:rFonts w:ascii="Times New Roman" w:hAnsi="Times New Roman"/>
          <w:sz w:val="24"/>
        </w:rPr>
        <w:t xml:space="preserve">To implement TISA, </w:t>
      </w:r>
      <w:r w:rsidR="00271F7D">
        <w:rPr>
          <w:rFonts w:ascii="Times New Roman" w:hAnsi="Times New Roman"/>
          <w:sz w:val="24"/>
        </w:rPr>
        <w:t xml:space="preserve">the </w:t>
      </w:r>
      <w:r w:rsidR="00BE085E" w:rsidRPr="009A359C">
        <w:rPr>
          <w:rFonts w:ascii="Times New Roman" w:hAnsi="Times New Roman"/>
          <w:sz w:val="24"/>
        </w:rPr>
        <w:t>NCUA published its TISA regula</w:t>
      </w:r>
      <w:r w:rsidRPr="009A359C">
        <w:rPr>
          <w:rFonts w:ascii="Times New Roman" w:hAnsi="Times New Roman"/>
          <w:sz w:val="24"/>
        </w:rPr>
        <w:t xml:space="preserve">tion, 12 CFR 707, which applies to all credit unions whose accounts are either insured by, or eligible to be insured by, the National Credit Union Share Insurance Fund, except for any credit union that has been designated as a corporate credit union and any non-automated credit union that has $2 million or less in assets (together, “credit unions”).  In addition, the advertising rules apply to any person who advertises an account offered by a credit union.  </w:t>
      </w:r>
      <w:r w:rsidR="00271F7D">
        <w:rPr>
          <w:rFonts w:ascii="Times New Roman" w:hAnsi="Times New Roman"/>
          <w:sz w:val="24"/>
        </w:rPr>
        <w:t xml:space="preserve">The </w:t>
      </w:r>
      <w:r w:rsidR="009E0D40" w:rsidRPr="009A359C">
        <w:rPr>
          <w:rFonts w:ascii="Times New Roman" w:hAnsi="Times New Roman"/>
          <w:sz w:val="24"/>
        </w:rPr>
        <w:t>NCUA’s TISA regulation requires credit unions to disclose fees, dividend rates and other terms concerning accounts to members or potential members before they open accounts.</w:t>
      </w:r>
    </w:p>
    <w:p w14:paraId="46E4BCE2" w14:textId="77777777" w:rsidR="00B440C0" w:rsidRPr="009A359C" w:rsidRDefault="00B440C0" w:rsidP="00EE5597">
      <w:pPr>
        <w:ind w:left="720"/>
        <w:rPr>
          <w:rFonts w:ascii="Times New Roman" w:hAnsi="Times New Roman"/>
          <w:sz w:val="24"/>
        </w:rPr>
      </w:pPr>
    </w:p>
    <w:p w14:paraId="502EFD59" w14:textId="6EF28A11" w:rsidR="001218D1" w:rsidRPr="009A359C" w:rsidRDefault="00271F7D" w:rsidP="00EE5597">
      <w:pPr>
        <w:ind w:left="720"/>
        <w:rPr>
          <w:rFonts w:ascii="Times New Roman" w:hAnsi="Times New Roman"/>
          <w:sz w:val="24"/>
        </w:rPr>
      </w:pPr>
      <w:r>
        <w:rPr>
          <w:rFonts w:ascii="Times New Roman" w:hAnsi="Times New Roman"/>
          <w:sz w:val="24"/>
        </w:rPr>
        <w:t xml:space="preserve">The </w:t>
      </w:r>
      <w:r w:rsidR="00D90EC1" w:rsidRPr="009A359C">
        <w:rPr>
          <w:rFonts w:ascii="Times New Roman" w:hAnsi="Times New Roman"/>
          <w:sz w:val="24"/>
        </w:rPr>
        <w:t>NCUA</w:t>
      </w:r>
      <w:r w:rsidR="009C6F3F">
        <w:rPr>
          <w:rFonts w:ascii="Times New Roman" w:hAnsi="Times New Roman"/>
          <w:sz w:val="24"/>
        </w:rPr>
        <w:t>’s</w:t>
      </w:r>
      <w:r w:rsidR="00D90EC1" w:rsidRPr="009A359C">
        <w:rPr>
          <w:rFonts w:ascii="Times New Roman" w:hAnsi="Times New Roman"/>
          <w:sz w:val="24"/>
        </w:rPr>
        <w:t xml:space="preserve"> </w:t>
      </w:r>
      <w:r w:rsidR="009E0D40" w:rsidRPr="009A359C">
        <w:rPr>
          <w:rFonts w:ascii="Times New Roman" w:hAnsi="Times New Roman"/>
          <w:sz w:val="24"/>
        </w:rPr>
        <w:t xml:space="preserve">TISA </w:t>
      </w:r>
      <w:r w:rsidR="00D90EC1" w:rsidRPr="009A359C">
        <w:rPr>
          <w:rFonts w:ascii="Times New Roman" w:hAnsi="Times New Roman"/>
          <w:sz w:val="24"/>
        </w:rPr>
        <w:t>regulation require</w:t>
      </w:r>
      <w:r w:rsidR="00824DD2" w:rsidRPr="009A359C">
        <w:rPr>
          <w:rFonts w:ascii="Times New Roman" w:hAnsi="Times New Roman"/>
          <w:sz w:val="24"/>
        </w:rPr>
        <w:t>s</w:t>
      </w:r>
      <w:r w:rsidR="00D90EC1" w:rsidRPr="009A359C">
        <w:rPr>
          <w:rFonts w:ascii="Times New Roman" w:hAnsi="Times New Roman"/>
          <w:sz w:val="24"/>
        </w:rPr>
        <w:t xml:space="preserve"> credit unions to provide specific disclosures when an account is opened, when a disclosed term changes or a term account is close to </w:t>
      </w:r>
      <w:r w:rsidR="00D90EC1" w:rsidRPr="009A359C">
        <w:rPr>
          <w:rFonts w:ascii="Times New Roman" w:hAnsi="Times New Roman"/>
          <w:sz w:val="24"/>
        </w:rPr>
        <w:lastRenderedPageBreak/>
        <w:t>renewal, on periodic statements of account activity, in advertisements, and upon a member</w:t>
      </w:r>
      <w:r w:rsidR="00392C30">
        <w:rPr>
          <w:rFonts w:ascii="Times New Roman" w:hAnsi="Times New Roman"/>
          <w:sz w:val="24"/>
        </w:rPr>
        <w:t>’s</w:t>
      </w:r>
      <w:r w:rsidR="00D90EC1" w:rsidRPr="009A359C">
        <w:rPr>
          <w:rFonts w:ascii="Times New Roman" w:hAnsi="Times New Roman"/>
          <w:sz w:val="24"/>
        </w:rPr>
        <w:t xml:space="preserve"> or potential member’s request</w:t>
      </w:r>
      <w:r w:rsidR="00A800E3">
        <w:rPr>
          <w:rFonts w:ascii="Times New Roman" w:hAnsi="Times New Roman"/>
          <w:sz w:val="24"/>
        </w:rPr>
        <w:t>.</w:t>
      </w:r>
      <w:r w:rsidR="00D90EC1" w:rsidRPr="009A359C">
        <w:rPr>
          <w:rFonts w:ascii="Times New Roman" w:hAnsi="Times New Roman"/>
          <w:sz w:val="24"/>
        </w:rPr>
        <w:t xml:space="preserve">  12 CFR 707.4, 707.5, 707.6, 707.8.  </w:t>
      </w:r>
      <w:r w:rsidR="007248CE" w:rsidRPr="009A359C">
        <w:rPr>
          <w:rFonts w:ascii="Times New Roman" w:hAnsi="Times New Roman"/>
          <w:sz w:val="24"/>
        </w:rPr>
        <w:t>Credit unions that provide periodic statements are required to include information about fee</w:t>
      </w:r>
      <w:r w:rsidR="00FD2412" w:rsidRPr="009A359C">
        <w:rPr>
          <w:rFonts w:ascii="Times New Roman" w:hAnsi="Times New Roman"/>
          <w:sz w:val="24"/>
        </w:rPr>
        <w:t>s imposed</w:t>
      </w:r>
      <w:r w:rsidR="007248CE" w:rsidRPr="009A359C">
        <w:rPr>
          <w:rFonts w:ascii="Times New Roman" w:hAnsi="Times New Roman"/>
          <w:sz w:val="24"/>
        </w:rPr>
        <w:t xml:space="preserve">, the annual percentage yield (APY) earned during those statement periods, and other account terms.  </w:t>
      </w:r>
      <w:r w:rsidR="00B66A4D" w:rsidRPr="009A359C">
        <w:rPr>
          <w:rFonts w:ascii="Times New Roman" w:hAnsi="Times New Roman"/>
          <w:sz w:val="24"/>
        </w:rPr>
        <w:t>The requirements for creating and disseminating account disclosures, change in terms notices, term share renewal notices, statement disclosures, and advertising disclosures are necessary to implement TISA’s purpose of providing the public with information that will permit informed comparisons of ac</w:t>
      </w:r>
      <w:r w:rsidR="00FD2412" w:rsidRPr="009A359C">
        <w:rPr>
          <w:rFonts w:ascii="Times New Roman" w:hAnsi="Times New Roman"/>
          <w:sz w:val="24"/>
        </w:rPr>
        <w:t>counts at financial institutions</w:t>
      </w:r>
      <w:r w:rsidR="00B66A4D" w:rsidRPr="009A359C">
        <w:rPr>
          <w:rFonts w:ascii="Times New Roman" w:hAnsi="Times New Roman"/>
          <w:sz w:val="24"/>
        </w:rPr>
        <w:t>.</w:t>
      </w:r>
    </w:p>
    <w:p w14:paraId="35BA119B" w14:textId="77777777" w:rsidR="001218D1" w:rsidRPr="009A359C" w:rsidRDefault="001218D1" w:rsidP="00EE5597">
      <w:pPr>
        <w:ind w:left="720"/>
        <w:rPr>
          <w:rFonts w:ascii="Times New Roman" w:hAnsi="Times New Roman"/>
          <w:sz w:val="24"/>
        </w:rPr>
      </w:pPr>
    </w:p>
    <w:p w14:paraId="3E422BB8" w14:textId="77777777" w:rsidR="00B66A4D" w:rsidRPr="009A359C" w:rsidRDefault="00824DD2" w:rsidP="00EE5597">
      <w:pPr>
        <w:ind w:left="720"/>
        <w:rPr>
          <w:rFonts w:ascii="Times New Roman" w:hAnsi="Times New Roman"/>
          <w:sz w:val="24"/>
        </w:rPr>
      </w:pPr>
      <w:r w:rsidRPr="009A359C">
        <w:rPr>
          <w:rFonts w:ascii="Times New Roman" w:hAnsi="Times New Roman"/>
          <w:sz w:val="24"/>
        </w:rPr>
        <w:t>The collection of information</w:t>
      </w:r>
      <w:r w:rsidR="00B66A4D" w:rsidRPr="009A359C">
        <w:rPr>
          <w:rFonts w:ascii="Times New Roman" w:hAnsi="Times New Roman"/>
          <w:sz w:val="24"/>
        </w:rPr>
        <w:t xml:space="preserve"> pursuant to Part 707 is triggered by specific events and disclosures and must be provided to consumers within the time periods established under the regulation.  There are no reporting forms associated with TISA.  To ease the compliance cost (particularly for small credit unions), </w:t>
      </w:r>
      <w:r w:rsidR="00B66A4D" w:rsidRPr="00A63CA1">
        <w:rPr>
          <w:rFonts w:ascii="Times New Roman" w:hAnsi="Times New Roman"/>
          <w:sz w:val="24"/>
        </w:rPr>
        <w:t>model clauses and sample forms</w:t>
      </w:r>
      <w:r w:rsidR="00B66A4D" w:rsidRPr="009A359C">
        <w:rPr>
          <w:rFonts w:ascii="Times New Roman" w:hAnsi="Times New Roman"/>
          <w:sz w:val="24"/>
        </w:rPr>
        <w:t xml:space="preserve"> are appended to the regulation.</w:t>
      </w:r>
    </w:p>
    <w:p w14:paraId="0B940578" w14:textId="77777777" w:rsidR="00B66A4D" w:rsidRPr="009A359C" w:rsidRDefault="00B66A4D" w:rsidP="00EE5597">
      <w:pPr>
        <w:ind w:left="720"/>
        <w:rPr>
          <w:rFonts w:ascii="Times New Roman" w:hAnsi="Times New Roman"/>
          <w:sz w:val="24"/>
        </w:rPr>
      </w:pPr>
    </w:p>
    <w:p w14:paraId="7CB12D2F" w14:textId="77777777" w:rsidR="00F65C21" w:rsidRPr="009A359C" w:rsidRDefault="00C9565C" w:rsidP="00EE5597">
      <w:pPr>
        <w:ind w:left="720"/>
        <w:rPr>
          <w:rFonts w:ascii="Times New Roman" w:hAnsi="Times New Roman"/>
          <w:sz w:val="24"/>
        </w:rPr>
      </w:pPr>
      <w:r w:rsidRPr="009A359C">
        <w:rPr>
          <w:rFonts w:ascii="Times New Roman" w:hAnsi="Times New Roman"/>
          <w:b/>
          <w:sz w:val="24"/>
        </w:rPr>
        <w:t>Disclosure:</w:t>
      </w:r>
      <w:r w:rsidRPr="009A359C">
        <w:rPr>
          <w:rFonts w:ascii="Times New Roman" w:hAnsi="Times New Roman"/>
          <w:sz w:val="24"/>
        </w:rPr>
        <w:t xml:space="preserve">  Part 707 covers accounts held by members primarily for personal, family, or household purposes.  The dis</w:t>
      </w:r>
      <w:r w:rsidR="007F062E" w:rsidRPr="009A359C">
        <w:rPr>
          <w:rFonts w:ascii="Times New Roman" w:hAnsi="Times New Roman"/>
          <w:sz w:val="24"/>
        </w:rPr>
        <w:t>closure requirements associated</w:t>
      </w:r>
      <w:r w:rsidRPr="009A359C">
        <w:rPr>
          <w:rFonts w:ascii="Times New Roman" w:hAnsi="Times New Roman"/>
          <w:sz w:val="24"/>
        </w:rPr>
        <w:t xml:space="preserve"> with Part 707 are described below.</w:t>
      </w:r>
    </w:p>
    <w:p w14:paraId="341F6DF1" w14:textId="09BFBA6F" w:rsidR="00C9565C" w:rsidRPr="009A359C" w:rsidRDefault="00C9565C" w:rsidP="00EE5597">
      <w:pPr>
        <w:tabs>
          <w:tab w:val="left" w:pos="6996"/>
        </w:tabs>
        <w:ind w:left="720"/>
        <w:rPr>
          <w:rFonts w:ascii="Times New Roman" w:hAnsi="Times New Roman"/>
          <w:sz w:val="24"/>
        </w:rPr>
      </w:pPr>
    </w:p>
    <w:p w14:paraId="34C998C8" w14:textId="77777777" w:rsidR="00C9565C" w:rsidRPr="009A359C" w:rsidRDefault="00C9565C" w:rsidP="00EE5597">
      <w:pPr>
        <w:ind w:left="720"/>
        <w:rPr>
          <w:rFonts w:ascii="Times New Roman" w:hAnsi="Times New Roman"/>
          <w:sz w:val="24"/>
        </w:rPr>
      </w:pPr>
      <w:r w:rsidRPr="009A359C">
        <w:rPr>
          <w:rFonts w:ascii="Times New Roman" w:hAnsi="Times New Roman"/>
          <w:sz w:val="24"/>
        </w:rPr>
        <w:t>Account Disclosures (Part 707.4):  Credit unions are</w:t>
      </w:r>
      <w:r w:rsidR="00BD4292" w:rsidRPr="009A359C">
        <w:rPr>
          <w:rFonts w:ascii="Times New Roman" w:hAnsi="Times New Roman"/>
          <w:sz w:val="24"/>
        </w:rPr>
        <w:t xml:space="preserve"> required to provide account disclosures containing rate and fee information to a member upon request.  Account disclosures must also be provided prior to opening an account or before services are provided, whichever is earlier.  The purpose of the disclosure requirement is </w:t>
      </w:r>
      <w:r w:rsidR="006774F8" w:rsidRPr="009A359C">
        <w:rPr>
          <w:rFonts w:ascii="Times New Roman" w:hAnsi="Times New Roman"/>
          <w:sz w:val="24"/>
        </w:rPr>
        <w:t xml:space="preserve">to </w:t>
      </w:r>
      <w:r w:rsidR="00BD4292" w:rsidRPr="009A359C">
        <w:rPr>
          <w:rFonts w:ascii="Times New Roman" w:hAnsi="Times New Roman"/>
          <w:sz w:val="24"/>
        </w:rPr>
        <w:t>provide</w:t>
      </w:r>
      <w:r w:rsidR="005A6E50" w:rsidRPr="009A359C">
        <w:rPr>
          <w:rFonts w:ascii="Times New Roman" w:hAnsi="Times New Roman"/>
          <w:sz w:val="24"/>
        </w:rPr>
        <w:t xml:space="preserve"> members and prospective members with the type and amount of any fees t</w:t>
      </w:r>
      <w:r w:rsidR="00FD2412" w:rsidRPr="009A359C">
        <w:rPr>
          <w:rFonts w:ascii="Times New Roman" w:hAnsi="Times New Roman"/>
          <w:sz w:val="24"/>
        </w:rPr>
        <w:t>hat may be imposed, the dividend</w:t>
      </w:r>
      <w:r w:rsidR="005A6E50" w:rsidRPr="009A359C">
        <w:rPr>
          <w:rFonts w:ascii="Times New Roman" w:hAnsi="Times New Roman"/>
          <w:sz w:val="24"/>
        </w:rPr>
        <w:t xml:space="preserve"> rate and the APY that will be paid on the account, and other key terms.</w:t>
      </w:r>
    </w:p>
    <w:p w14:paraId="34F70F84" w14:textId="77777777" w:rsidR="005A6E50" w:rsidRPr="009A359C" w:rsidRDefault="005A6E50" w:rsidP="00EE5597">
      <w:pPr>
        <w:ind w:left="720"/>
        <w:rPr>
          <w:rFonts w:ascii="Times New Roman" w:hAnsi="Times New Roman"/>
          <w:sz w:val="24"/>
        </w:rPr>
      </w:pPr>
    </w:p>
    <w:p w14:paraId="051B1326" w14:textId="77777777" w:rsidR="005A6E50" w:rsidRPr="009A359C" w:rsidRDefault="005A6E50" w:rsidP="00EE5597">
      <w:pPr>
        <w:ind w:left="720"/>
        <w:rPr>
          <w:rFonts w:ascii="Times New Roman" w:hAnsi="Times New Roman"/>
          <w:sz w:val="24"/>
        </w:rPr>
      </w:pPr>
      <w:r w:rsidRPr="009A359C">
        <w:rPr>
          <w:rFonts w:ascii="Times New Roman" w:hAnsi="Times New Roman"/>
          <w:sz w:val="24"/>
        </w:rPr>
        <w:t>Subsequent Disclosures (Part 707.5):</w:t>
      </w:r>
      <w:r w:rsidR="00C002BA" w:rsidRPr="009A359C">
        <w:rPr>
          <w:rFonts w:ascii="Times New Roman" w:hAnsi="Times New Roman"/>
          <w:sz w:val="24"/>
        </w:rPr>
        <w:t xml:space="preserve">  </w:t>
      </w:r>
      <w:r w:rsidR="00C002BA" w:rsidRPr="009A359C">
        <w:rPr>
          <w:rFonts w:ascii="Times New Roman" w:hAnsi="Times New Roman"/>
          <w:sz w:val="24"/>
          <w:u w:val="single"/>
        </w:rPr>
        <w:t>Change-in-terms notice (Part 707.5(a))</w:t>
      </w:r>
      <w:r w:rsidR="00C002BA" w:rsidRPr="009A359C">
        <w:rPr>
          <w:rFonts w:ascii="Times New Roman" w:hAnsi="Times New Roman"/>
          <w:sz w:val="24"/>
        </w:rPr>
        <w:t xml:space="preserve">.  Credit unions are required to provide 30 days’ notice of any change that may reduce the APY or adversely affect members.  </w:t>
      </w:r>
      <w:r w:rsidR="00FD2412" w:rsidRPr="009A359C">
        <w:rPr>
          <w:rFonts w:ascii="Times New Roman" w:hAnsi="Times New Roman"/>
          <w:sz w:val="24"/>
        </w:rPr>
        <w:t>Certain types of event</w:t>
      </w:r>
      <w:r w:rsidR="00CF4211" w:rsidRPr="009A359C">
        <w:rPr>
          <w:rFonts w:ascii="Times New Roman" w:hAnsi="Times New Roman"/>
          <w:sz w:val="24"/>
        </w:rPr>
        <w:t>,</w:t>
      </w:r>
      <w:r w:rsidR="00FD2412" w:rsidRPr="009A359C">
        <w:rPr>
          <w:rFonts w:ascii="Times New Roman" w:hAnsi="Times New Roman"/>
          <w:sz w:val="24"/>
        </w:rPr>
        <w:t xml:space="preserve"> such as changes in the dividend rate</w:t>
      </w:r>
      <w:r w:rsidR="00CF4211" w:rsidRPr="009A359C">
        <w:rPr>
          <w:rFonts w:ascii="Times New Roman" w:hAnsi="Times New Roman"/>
          <w:sz w:val="24"/>
        </w:rPr>
        <w:t xml:space="preserve"> and APY for variable rate accounts, are exempt from this requirement.</w:t>
      </w:r>
    </w:p>
    <w:p w14:paraId="7ABA4443" w14:textId="77777777" w:rsidR="00CF4211" w:rsidRPr="009A359C" w:rsidRDefault="00CF4211" w:rsidP="00EE5597">
      <w:pPr>
        <w:ind w:left="720"/>
        <w:rPr>
          <w:rFonts w:ascii="Times New Roman" w:hAnsi="Times New Roman"/>
          <w:sz w:val="24"/>
        </w:rPr>
      </w:pPr>
    </w:p>
    <w:p w14:paraId="56D9A5AA" w14:textId="14476536" w:rsidR="00CF4211" w:rsidRDefault="00CF4211" w:rsidP="00EE5597">
      <w:pPr>
        <w:ind w:left="720"/>
        <w:rPr>
          <w:rFonts w:ascii="Times New Roman" w:hAnsi="Times New Roman"/>
          <w:sz w:val="24"/>
        </w:rPr>
      </w:pPr>
      <w:r w:rsidRPr="009A359C">
        <w:rPr>
          <w:rFonts w:ascii="Times New Roman" w:hAnsi="Times New Roman"/>
          <w:sz w:val="24"/>
          <w:u w:val="single"/>
        </w:rPr>
        <w:t>Notice prior to maturity (Part 707.5(b))</w:t>
      </w:r>
      <w:r w:rsidRPr="009A359C">
        <w:rPr>
          <w:rFonts w:ascii="Times New Roman" w:hAnsi="Times New Roman"/>
          <w:sz w:val="24"/>
        </w:rPr>
        <w:t>.  Credit unions are required to provide notices prior to maturity for certain term share accounts.  The timing and content requirement of the notice varies depending on the term of the share account and whether it renews automatically:</w:t>
      </w:r>
    </w:p>
    <w:p w14:paraId="120287B6" w14:textId="77777777" w:rsidR="00101BBE" w:rsidRPr="009A359C" w:rsidRDefault="00101BBE" w:rsidP="00EE5597">
      <w:pPr>
        <w:ind w:left="720"/>
        <w:rPr>
          <w:rFonts w:ascii="Times New Roman" w:hAnsi="Times New Roman"/>
          <w:sz w:val="24"/>
        </w:rPr>
      </w:pPr>
    </w:p>
    <w:p w14:paraId="76B5572D" w14:textId="061D0259" w:rsidR="000437DE" w:rsidRDefault="000437DE" w:rsidP="00EE5597">
      <w:pPr>
        <w:pStyle w:val="ListParagraph"/>
        <w:numPr>
          <w:ilvl w:val="0"/>
          <w:numId w:val="1"/>
        </w:numPr>
        <w:ind w:left="1080"/>
        <w:rPr>
          <w:rFonts w:ascii="Times New Roman" w:hAnsi="Times New Roman"/>
          <w:sz w:val="24"/>
        </w:rPr>
      </w:pPr>
      <w:r w:rsidRPr="009A359C">
        <w:rPr>
          <w:rFonts w:ascii="Times New Roman" w:hAnsi="Times New Roman"/>
          <w:sz w:val="24"/>
        </w:rPr>
        <w:t>For term share accounts with a term less than or equal to one month, no advance notice is required.</w:t>
      </w:r>
    </w:p>
    <w:p w14:paraId="21EFD0C6" w14:textId="26ABAC7D" w:rsidR="00101BBE" w:rsidRPr="009A359C" w:rsidRDefault="00101BBE" w:rsidP="00EE5597">
      <w:pPr>
        <w:pStyle w:val="ListParagraph"/>
        <w:ind w:left="1080"/>
        <w:rPr>
          <w:rFonts w:ascii="Times New Roman" w:hAnsi="Times New Roman"/>
          <w:sz w:val="24"/>
        </w:rPr>
      </w:pPr>
    </w:p>
    <w:p w14:paraId="25DE532F" w14:textId="2304F9B9" w:rsidR="000437DE" w:rsidRDefault="000437DE" w:rsidP="00EE5597">
      <w:pPr>
        <w:pStyle w:val="ListParagraph"/>
        <w:numPr>
          <w:ilvl w:val="0"/>
          <w:numId w:val="1"/>
        </w:numPr>
        <w:ind w:left="1080"/>
        <w:rPr>
          <w:rFonts w:ascii="Times New Roman" w:hAnsi="Times New Roman"/>
          <w:sz w:val="24"/>
        </w:rPr>
      </w:pPr>
      <w:r w:rsidRPr="009A359C">
        <w:rPr>
          <w:rFonts w:ascii="Times New Roman" w:hAnsi="Times New Roman"/>
          <w:sz w:val="24"/>
        </w:rPr>
        <w:t>Advance notices for automatically renewable term share accounts with a</w:t>
      </w:r>
      <w:r w:rsidR="00D36AFF" w:rsidRPr="009A359C">
        <w:rPr>
          <w:rFonts w:ascii="Times New Roman" w:hAnsi="Times New Roman"/>
          <w:sz w:val="24"/>
        </w:rPr>
        <w:t xml:space="preserve"> maturity longer than one month</w:t>
      </w:r>
      <w:r w:rsidR="000636BF" w:rsidRPr="009A359C">
        <w:rPr>
          <w:rFonts w:ascii="Times New Roman" w:hAnsi="Times New Roman"/>
          <w:sz w:val="24"/>
        </w:rPr>
        <w:t xml:space="preserve"> may be sent either 30 days before </w:t>
      </w:r>
      <w:r w:rsidR="00D36AFF" w:rsidRPr="009A359C">
        <w:rPr>
          <w:rFonts w:ascii="Times New Roman" w:hAnsi="Times New Roman"/>
          <w:sz w:val="24"/>
        </w:rPr>
        <w:t>maturity</w:t>
      </w:r>
      <w:r w:rsidR="000636BF" w:rsidRPr="009A359C">
        <w:rPr>
          <w:rFonts w:ascii="Times New Roman" w:hAnsi="Times New Roman"/>
          <w:sz w:val="24"/>
        </w:rPr>
        <w:t xml:space="preserve"> or, as an alternative, 20 calendar days before the end of a grace period, so long as the grace period is at least 5 days.</w:t>
      </w:r>
    </w:p>
    <w:p w14:paraId="10ECFE89" w14:textId="533619B8" w:rsidR="00101BBE" w:rsidRPr="00101BBE" w:rsidRDefault="00101BBE" w:rsidP="00EE5597">
      <w:pPr>
        <w:ind w:left="720"/>
        <w:rPr>
          <w:rFonts w:ascii="Times New Roman" w:hAnsi="Times New Roman"/>
          <w:sz w:val="24"/>
        </w:rPr>
      </w:pPr>
    </w:p>
    <w:p w14:paraId="5D29F309" w14:textId="5D85911E" w:rsidR="000636BF" w:rsidRDefault="000636BF" w:rsidP="00EE5597">
      <w:pPr>
        <w:pStyle w:val="ListParagraph"/>
        <w:numPr>
          <w:ilvl w:val="0"/>
          <w:numId w:val="1"/>
        </w:numPr>
        <w:ind w:left="1080"/>
        <w:rPr>
          <w:rFonts w:ascii="Times New Roman" w:hAnsi="Times New Roman"/>
          <w:sz w:val="24"/>
        </w:rPr>
      </w:pPr>
      <w:r w:rsidRPr="009A359C">
        <w:rPr>
          <w:rFonts w:ascii="Times New Roman" w:hAnsi="Times New Roman"/>
          <w:sz w:val="24"/>
        </w:rPr>
        <w:lastRenderedPageBreak/>
        <w:t xml:space="preserve">For </w:t>
      </w:r>
      <w:r w:rsidR="00E12055" w:rsidRPr="009A359C">
        <w:rPr>
          <w:rFonts w:ascii="Times New Roman" w:hAnsi="Times New Roman"/>
          <w:sz w:val="24"/>
        </w:rPr>
        <w:t xml:space="preserve">automatically renewable </w:t>
      </w:r>
      <w:r w:rsidRPr="009A359C">
        <w:rPr>
          <w:rFonts w:ascii="Times New Roman" w:hAnsi="Times New Roman"/>
          <w:sz w:val="24"/>
        </w:rPr>
        <w:t>term share accounts with terms longer than one year, credit un</w:t>
      </w:r>
      <w:r w:rsidR="00E12055" w:rsidRPr="009A359C">
        <w:rPr>
          <w:rFonts w:ascii="Times New Roman" w:hAnsi="Times New Roman"/>
          <w:sz w:val="24"/>
        </w:rPr>
        <w:t>ions must disclose for the renewed account the terms disclosed at account opening, along with the maturity date</w:t>
      </w:r>
      <w:r w:rsidR="00FF76C0" w:rsidRPr="009A359C">
        <w:rPr>
          <w:rFonts w:ascii="Times New Roman" w:hAnsi="Times New Roman"/>
          <w:sz w:val="24"/>
        </w:rPr>
        <w:t>.</w:t>
      </w:r>
    </w:p>
    <w:p w14:paraId="681D0D9A" w14:textId="77B6E45E" w:rsidR="00101BBE" w:rsidRPr="00101BBE" w:rsidRDefault="00101BBE" w:rsidP="00EE5597">
      <w:pPr>
        <w:ind w:left="1080"/>
        <w:rPr>
          <w:rFonts w:ascii="Times New Roman" w:hAnsi="Times New Roman"/>
          <w:sz w:val="24"/>
        </w:rPr>
      </w:pPr>
    </w:p>
    <w:p w14:paraId="2D5D8C9E" w14:textId="5A98975D" w:rsidR="00E12055" w:rsidRDefault="00E12055" w:rsidP="00EE5597">
      <w:pPr>
        <w:pStyle w:val="ListParagraph"/>
        <w:numPr>
          <w:ilvl w:val="0"/>
          <w:numId w:val="1"/>
        </w:numPr>
        <w:ind w:left="1080"/>
        <w:rPr>
          <w:rFonts w:ascii="Times New Roman" w:hAnsi="Times New Roman"/>
          <w:sz w:val="24"/>
        </w:rPr>
      </w:pPr>
      <w:r w:rsidRPr="009A359C">
        <w:rPr>
          <w:rFonts w:ascii="Times New Roman" w:hAnsi="Times New Roman"/>
          <w:sz w:val="24"/>
        </w:rPr>
        <w:t xml:space="preserve">For automatically renewable term share accounts with maturities of one year or less but longer than one month, </w:t>
      </w:r>
      <w:r w:rsidR="006774F8" w:rsidRPr="009A359C">
        <w:rPr>
          <w:rFonts w:ascii="Times New Roman" w:hAnsi="Times New Roman"/>
          <w:sz w:val="24"/>
        </w:rPr>
        <w:t>credit unions must disclose for the renewed account either (1) the terms disclosed at account opening, along with the maturity date, or (2) the date the existing account matures and new maturity date if the account is renewed, the dividend rate and APY for the new account (or the dates when they will be determined and a contact telephone number), and any different in terms between the existing account and the new account.</w:t>
      </w:r>
    </w:p>
    <w:p w14:paraId="2AF3C36C" w14:textId="77777777" w:rsidR="00101BBE" w:rsidRPr="00101BBE" w:rsidRDefault="00101BBE" w:rsidP="00EE5597">
      <w:pPr>
        <w:ind w:left="1080"/>
        <w:rPr>
          <w:rFonts w:ascii="Times New Roman" w:hAnsi="Times New Roman"/>
          <w:sz w:val="24"/>
        </w:rPr>
      </w:pPr>
    </w:p>
    <w:p w14:paraId="78E855E6" w14:textId="631710B5" w:rsidR="00FF76C0" w:rsidRDefault="00FF76C0" w:rsidP="00EE5597">
      <w:pPr>
        <w:pStyle w:val="ListParagraph"/>
        <w:numPr>
          <w:ilvl w:val="0"/>
          <w:numId w:val="1"/>
        </w:numPr>
        <w:ind w:left="1080"/>
        <w:rPr>
          <w:rFonts w:ascii="Times New Roman" w:hAnsi="Times New Roman"/>
          <w:sz w:val="24"/>
        </w:rPr>
      </w:pPr>
      <w:r w:rsidRPr="009A359C">
        <w:rPr>
          <w:rFonts w:ascii="Times New Roman" w:hAnsi="Times New Roman"/>
          <w:sz w:val="24"/>
        </w:rPr>
        <w:t xml:space="preserve">For nonrenewable term </w:t>
      </w:r>
      <w:r w:rsidR="00EA7B85" w:rsidRPr="009A359C">
        <w:rPr>
          <w:rFonts w:ascii="Times New Roman" w:hAnsi="Times New Roman"/>
          <w:sz w:val="24"/>
        </w:rPr>
        <w:t>share accounts with a maturity of less than or equal to one year, no notice is required.</w:t>
      </w:r>
    </w:p>
    <w:p w14:paraId="06E8CA59" w14:textId="112C99DE" w:rsidR="00101BBE" w:rsidRPr="00101BBE" w:rsidRDefault="00101BBE" w:rsidP="00EE5597">
      <w:pPr>
        <w:ind w:left="1080"/>
        <w:rPr>
          <w:rFonts w:ascii="Times New Roman" w:hAnsi="Times New Roman"/>
          <w:sz w:val="24"/>
        </w:rPr>
      </w:pPr>
    </w:p>
    <w:p w14:paraId="043443DB" w14:textId="77777777" w:rsidR="00EA7B85" w:rsidRPr="009A359C" w:rsidRDefault="00EA7B85" w:rsidP="00EE5597">
      <w:pPr>
        <w:pStyle w:val="ListParagraph"/>
        <w:numPr>
          <w:ilvl w:val="0"/>
          <w:numId w:val="1"/>
        </w:numPr>
        <w:ind w:left="1080"/>
        <w:rPr>
          <w:rFonts w:ascii="Times New Roman" w:hAnsi="Times New Roman"/>
          <w:sz w:val="24"/>
        </w:rPr>
      </w:pPr>
      <w:r w:rsidRPr="009A359C">
        <w:rPr>
          <w:rFonts w:ascii="Times New Roman" w:hAnsi="Times New Roman"/>
          <w:sz w:val="24"/>
        </w:rPr>
        <w:t>For nonrenewable term share accounts with a maturity longer than one year, the notice</w:t>
      </w:r>
      <w:r w:rsidR="00BF3DCB" w:rsidRPr="009A359C">
        <w:rPr>
          <w:rFonts w:ascii="Times New Roman" w:hAnsi="Times New Roman"/>
          <w:sz w:val="24"/>
        </w:rPr>
        <w:t xml:space="preserve"> must provide information on the maturity date and whether or not dividends will be paid after maturity</w:t>
      </w:r>
      <w:r w:rsidR="00E12055" w:rsidRPr="009A359C">
        <w:rPr>
          <w:rFonts w:ascii="Times New Roman" w:hAnsi="Times New Roman"/>
          <w:sz w:val="24"/>
        </w:rPr>
        <w:t>, at least 10 days before maturity</w:t>
      </w:r>
      <w:r w:rsidR="00BF3DCB" w:rsidRPr="009A359C">
        <w:rPr>
          <w:rFonts w:ascii="Times New Roman" w:hAnsi="Times New Roman"/>
          <w:sz w:val="24"/>
        </w:rPr>
        <w:t>.</w:t>
      </w:r>
    </w:p>
    <w:p w14:paraId="641BE03A" w14:textId="77777777" w:rsidR="00BF3DCB" w:rsidRPr="009A359C" w:rsidRDefault="00BF3DCB" w:rsidP="00EE5597">
      <w:pPr>
        <w:ind w:left="720"/>
        <w:rPr>
          <w:rFonts w:ascii="Times New Roman" w:hAnsi="Times New Roman"/>
          <w:sz w:val="24"/>
        </w:rPr>
      </w:pPr>
    </w:p>
    <w:p w14:paraId="1C760FB4" w14:textId="77777777" w:rsidR="00BF3DCB" w:rsidRDefault="00BF3DCB" w:rsidP="00EE5597">
      <w:pPr>
        <w:ind w:left="720"/>
        <w:rPr>
          <w:rFonts w:ascii="Times New Roman" w:hAnsi="Times New Roman"/>
          <w:sz w:val="24"/>
        </w:rPr>
      </w:pPr>
      <w:r w:rsidRPr="009A359C">
        <w:rPr>
          <w:rFonts w:ascii="Times New Roman" w:hAnsi="Times New Roman"/>
          <w:sz w:val="24"/>
        </w:rPr>
        <w:t xml:space="preserve">Periodic statement disclosures (Part 707.6):  </w:t>
      </w:r>
      <w:r w:rsidR="00285F64" w:rsidRPr="009A359C">
        <w:rPr>
          <w:rFonts w:ascii="Times New Roman" w:hAnsi="Times New Roman"/>
          <w:sz w:val="24"/>
        </w:rPr>
        <w:t>The regulation does not mandate that credit unions provide periodic statements.  If a credit union chooses to provide periodic statements, however, the statements must contain specific information:  the dollar amount of dividends earned and APY earned; the fees imposed on the account, itemized by type and dollar amount; and the total number of days in, or the beginning and ending dates of, the statement period.</w:t>
      </w:r>
    </w:p>
    <w:p w14:paraId="78451ED0" w14:textId="77777777" w:rsidR="00DE735A" w:rsidRDefault="00DE735A" w:rsidP="00EE5597">
      <w:pPr>
        <w:ind w:left="720"/>
        <w:rPr>
          <w:rFonts w:ascii="Times New Roman" w:hAnsi="Times New Roman"/>
          <w:sz w:val="24"/>
        </w:rPr>
      </w:pPr>
    </w:p>
    <w:p w14:paraId="0EBC1B22" w14:textId="77777777" w:rsidR="00DE735A" w:rsidRPr="009A359C" w:rsidRDefault="002310DA" w:rsidP="00EE5597">
      <w:pPr>
        <w:ind w:left="720"/>
        <w:rPr>
          <w:rFonts w:ascii="Times New Roman" w:hAnsi="Times New Roman"/>
          <w:sz w:val="24"/>
        </w:rPr>
      </w:pPr>
      <w:r>
        <w:rPr>
          <w:rFonts w:ascii="Times New Roman" w:hAnsi="Times New Roman"/>
          <w:sz w:val="24"/>
        </w:rPr>
        <w:t>Additional periodic statement disclosures (Part 707.11):  C</w:t>
      </w:r>
      <w:r w:rsidR="00DE735A" w:rsidRPr="009A359C">
        <w:rPr>
          <w:rFonts w:ascii="Times New Roman" w:hAnsi="Times New Roman"/>
          <w:sz w:val="24"/>
        </w:rPr>
        <w:t>redit unions providing periodic statements must separately disclose on such statements the total amount of fees or charges imposed on the account for paying overdrafts and the total amount of fees charged for returning items unpaid.  These disclosures must be provided for the statement period and for the calendar year-to-date</w:t>
      </w:r>
      <w:r w:rsidR="00DE735A">
        <w:rPr>
          <w:rFonts w:ascii="Times New Roman" w:hAnsi="Times New Roman"/>
          <w:sz w:val="24"/>
        </w:rPr>
        <w:t>.</w:t>
      </w:r>
    </w:p>
    <w:p w14:paraId="6169ADB5" w14:textId="77777777" w:rsidR="00285F64" w:rsidRPr="009A359C" w:rsidRDefault="00285F64" w:rsidP="00EE5597">
      <w:pPr>
        <w:ind w:left="720"/>
        <w:rPr>
          <w:rFonts w:ascii="Times New Roman" w:hAnsi="Times New Roman"/>
          <w:sz w:val="24"/>
        </w:rPr>
      </w:pPr>
    </w:p>
    <w:p w14:paraId="2E39E819" w14:textId="77777777" w:rsidR="00285F64" w:rsidRPr="009A359C" w:rsidRDefault="00285F64" w:rsidP="00EE5597">
      <w:pPr>
        <w:ind w:left="720"/>
        <w:rPr>
          <w:rFonts w:ascii="Times New Roman" w:hAnsi="Times New Roman"/>
          <w:sz w:val="24"/>
        </w:rPr>
      </w:pPr>
      <w:r w:rsidRPr="009A359C">
        <w:rPr>
          <w:rFonts w:ascii="Times New Roman" w:hAnsi="Times New Roman"/>
          <w:sz w:val="24"/>
        </w:rPr>
        <w:t xml:space="preserve">Advertising (Part 707.8):  </w:t>
      </w:r>
      <w:r w:rsidR="00A612A7" w:rsidRPr="009A359C">
        <w:rPr>
          <w:rFonts w:ascii="Times New Roman" w:hAnsi="Times New Roman"/>
          <w:sz w:val="24"/>
        </w:rPr>
        <w:t>The purpose of the advertising rules is to provide potential members with uniform and accurate information that</w:t>
      </w:r>
      <w:r w:rsidR="00B8657D" w:rsidRPr="009A359C">
        <w:rPr>
          <w:rFonts w:ascii="Times New Roman" w:hAnsi="Times New Roman"/>
          <w:sz w:val="24"/>
        </w:rPr>
        <w:t xml:space="preserve"> they can use in deciding</w:t>
      </w:r>
      <w:r w:rsidR="00A612A7" w:rsidRPr="009A359C">
        <w:rPr>
          <w:rFonts w:ascii="Times New Roman" w:hAnsi="Times New Roman"/>
          <w:sz w:val="24"/>
        </w:rPr>
        <w:t xml:space="preserve"> various accounts.</w:t>
      </w:r>
      <w:r w:rsidR="00B8657D" w:rsidRPr="009A359C">
        <w:rPr>
          <w:rFonts w:ascii="Times New Roman" w:hAnsi="Times New Roman"/>
          <w:sz w:val="24"/>
        </w:rPr>
        <w:t xml:space="preserve">  Advertisements must not be misleading or inaccurate, describe an account as free if there is a maintenance fee associated with it or use the word profit when referring to dividends or interest on an account.  Rates on return</w:t>
      </w:r>
      <w:r w:rsidR="006774F8" w:rsidRPr="009A359C">
        <w:rPr>
          <w:rFonts w:ascii="Times New Roman" w:hAnsi="Times New Roman"/>
          <w:sz w:val="24"/>
        </w:rPr>
        <w:t>, if stated,</w:t>
      </w:r>
      <w:r w:rsidR="00B8657D" w:rsidRPr="009A359C">
        <w:rPr>
          <w:rFonts w:ascii="Times New Roman" w:hAnsi="Times New Roman"/>
          <w:sz w:val="24"/>
        </w:rPr>
        <w:t xml:space="preserve"> must be stated as annual percentage yield (</w:t>
      </w:r>
      <w:r w:rsidR="006B101A" w:rsidRPr="009A359C">
        <w:rPr>
          <w:rFonts w:ascii="Times New Roman" w:hAnsi="Times New Roman"/>
          <w:sz w:val="24"/>
        </w:rPr>
        <w:t>APY).  Additionally, several other disclosures are required</w:t>
      </w:r>
      <w:r w:rsidR="006774F8" w:rsidRPr="009A359C">
        <w:rPr>
          <w:rFonts w:ascii="Times New Roman" w:hAnsi="Times New Roman"/>
          <w:sz w:val="24"/>
        </w:rPr>
        <w:t xml:space="preserve"> if the APY is stated, including variable rates, the minimum balance required to earn the APY, the minimum opening deposit, and effect of fees on the account</w:t>
      </w:r>
      <w:r w:rsidR="006B101A" w:rsidRPr="009A359C">
        <w:rPr>
          <w:rFonts w:ascii="Times New Roman" w:hAnsi="Times New Roman"/>
          <w:sz w:val="24"/>
        </w:rPr>
        <w:t>.  Term share accounts must disclose certain features including time requirements, early withdrawal penalties, and required dividen</w:t>
      </w:r>
      <w:r w:rsidR="006774F8" w:rsidRPr="009A359C">
        <w:rPr>
          <w:rFonts w:ascii="Times New Roman" w:hAnsi="Times New Roman"/>
          <w:sz w:val="24"/>
        </w:rPr>
        <w:t xml:space="preserve">d payouts.  </w:t>
      </w:r>
      <w:r w:rsidR="006B101A" w:rsidRPr="009A359C">
        <w:rPr>
          <w:rFonts w:ascii="Times New Roman" w:hAnsi="Times New Roman"/>
          <w:sz w:val="24"/>
        </w:rPr>
        <w:t>Further, if an advertisement discusses a bonus, the bonus must include the APY, the time requirements to obtain the bonus, the minimum balance required to obtain the bonus, the minimum required to open the account, and the timing for the bonus.</w:t>
      </w:r>
    </w:p>
    <w:p w14:paraId="7E89DDC5" w14:textId="77777777" w:rsidR="00A612A7" w:rsidRPr="009A359C" w:rsidRDefault="00A612A7" w:rsidP="00EE5597">
      <w:pPr>
        <w:ind w:left="720"/>
        <w:rPr>
          <w:rFonts w:ascii="Times New Roman" w:hAnsi="Times New Roman"/>
          <w:sz w:val="24"/>
        </w:rPr>
      </w:pPr>
    </w:p>
    <w:p w14:paraId="2A8EABE7" w14:textId="77777777" w:rsidR="00463ED4" w:rsidRDefault="002310DA" w:rsidP="00EE5597">
      <w:pPr>
        <w:ind w:left="720"/>
        <w:rPr>
          <w:rFonts w:ascii="Times New Roman" w:hAnsi="Times New Roman"/>
          <w:sz w:val="24"/>
        </w:rPr>
      </w:pPr>
      <w:r>
        <w:rPr>
          <w:rFonts w:ascii="Times New Roman" w:hAnsi="Times New Roman"/>
          <w:sz w:val="24"/>
        </w:rPr>
        <w:lastRenderedPageBreak/>
        <w:t>Additional advertising (</w:t>
      </w:r>
      <w:r w:rsidR="00DE735A">
        <w:rPr>
          <w:rFonts w:ascii="Times New Roman" w:hAnsi="Times New Roman"/>
          <w:sz w:val="24"/>
        </w:rPr>
        <w:t>Part 707.11</w:t>
      </w:r>
      <w:r>
        <w:rPr>
          <w:rFonts w:ascii="Times New Roman" w:hAnsi="Times New Roman"/>
          <w:sz w:val="24"/>
        </w:rPr>
        <w:t xml:space="preserve">):  </w:t>
      </w:r>
      <w:r w:rsidR="00A612A7" w:rsidRPr="009A359C">
        <w:rPr>
          <w:rFonts w:ascii="Times New Roman" w:hAnsi="Times New Roman"/>
          <w:sz w:val="24"/>
        </w:rPr>
        <w:t>Advertisements promoting the payment of overdrafts must disclose the fees for the payment of each overdraft, the categories of transactions for which a fee for paying an overdraft may be imposed, the time period by which a member must repay or cover any overdraft, and the circumstances under which the credit union will not pay an overdraft.</w:t>
      </w:r>
    </w:p>
    <w:p w14:paraId="3A18FEB3" w14:textId="77777777" w:rsidR="00463ED4" w:rsidRDefault="00463ED4" w:rsidP="00EE5597">
      <w:pPr>
        <w:ind w:left="720"/>
        <w:rPr>
          <w:rFonts w:ascii="Times New Roman" w:hAnsi="Times New Roman"/>
          <w:sz w:val="24"/>
        </w:rPr>
      </w:pPr>
    </w:p>
    <w:p w14:paraId="0A0DD4D7" w14:textId="2F42C6B7" w:rsidR="00A612A7" w:rsidRPr="009A359C" w:rsidRDefault="00463ED4" w:rsidP="00EE5597">
      <w:pPr>
        <w:ind w:left="720"/>
        <w:rPr>
          <w:rFonts w:ascii="Times New Roman" w:hAnsi="Times New Roman"/>
          <w:sz w:val="24"/>
        </w:rPr>
      </w:pPr>
      <w:r w:rsidRPr="00145627">
        <w:rPr>
          <w:rFonts w:ascii="Times New Roman" w:hAnsi="Times New Roman"/>
          <w:b/>
          <w:sz w:val="24"/>
        </w:rPr>
        <w:t>Recordkeeping:</w:t>
      </w:r>
      <w:r w:rsidRPr="00145627">
        <w:rPr>
          <w:rFonts w:ascii="Times New Roman" w:hAnsi="Times New Roman"/>
          <w:sz w:val="24"/>
        </w:rPr>
        <w:t xml:space="preserve">  Credit unions must retain evidence of compliance for a minimum of two years after the disclosures are required to be made or an action is required to be taken.  12 CFR 707.9(c).</w:t>
      </w:r>
      <w:r w:rsidR="00A612A7" w:rsidRPr="009A359C">
        <w:rPr>
          <w:rFonts w:ascii="Times New Roman" w:hAnsi="Times New Roman"/>
          <w:sz w:val="24"/>
        </w:rPr>
        <w:t xml:space="preserve">  </w:t>
      </w:r>
    </w:p>
    <w:p w14:paraId="4FAB02C3" w14:textId="77777777" w:rsidR="00D90EC1" w:rsidRPr="009A359C" w:rsidRDefault="00D90EC1" w:rsidP="00D90EC1">
      <w:pPr>
        <w:rPr>
          <w:rFonts w:ascii="Times New Roman" w:hAnsi="Times New Roman"/>
          <w:sz w:val="24"/>
        </w:rPr>
      </w:pPr>
    </w:p>
    <w:p w14:paraId="6E95D7B1" w14:textId="71A3ACC9" w:rsidR="00D90EC1" w:rsidRPr="00EE5597" w:rsidRDefault="00C81498" w:rsidP="00EE5597">
      <w:pPr>
        <w:pStyle w:val="ListParagraph"/>
        <w:numPr>
          <w:ilvl w:val="0"/>
          <w:numId w:val="5"/>
        </w:numPr>
        <w:ind w:hanging="720"/>
        <w:rPr>
          <w:rFonts w:ascii="Times New Roman" w:hAnsi="Times New Roman"/>
          <w:b/>
          <w:sz w:val="24"/>
        </w:rPr>
      </w:pPr>
      <w:r w:rsidRPr="00EE5597">
        <w:rPr>
          <w:rFonts w:ascii="Times New Roman" w:hAnsi="Times New Roman"/>
          <w:b/>
          <w:sz w:val="24"/>
        </w:rPr>
        <w:t xml:space="preserve">Purpose and </w:t>
      </w:r>
      <w:r w:rsidR="00866C6D" w:rsidRPr="00EE5597">
        <w:rPr>
          <w:rFonts w:ascii="Times New Roman" w:hAnsi="Times New Roman"/>
          <w:b/>
          <w:sz w:val="24"/>
        </w:rPr>
        <w:t>u</w:t>
      </w:r>
      <w:r w:rsidR="00D90EC1" w:rsidRPr="00EE5597">
        <w:rPr>
          <w:rFonts w:ascii="Times New Roman" w:hAnsi="Times New Roman"/>
          <w:b/>
          <w:sz w:val="24"/>
        </w:rPr>
        <w:t xml:space="preserve">se of the </w:t>
      </w:r>
      <w:r w:rsidR="00866C6D" w:rsidRPr="00EE5597">
        <w:rPr>
          <w:rFonts w:ascii="Times New Roman" w:hAnsi="Times New Roman"/>
          <w:b/>
          <w:sz w:val="24"/>
        </w:rPr>
        <w:t>i</w:t>
      </w:r>
      <w:r w:rsidR="00D90EC1" w:rsidRPr="00EE5597">
        <w:rPr>
          <w:rFonts w:ascii="Times New Roman" w:hAnsi="Times New Roman"/>
          <w:b/>
          <w:sz w:val="24"/>
        </w:rPr>
        <w:t>nformation</w:t>
      </w:r>
      <w:r w:rsidRPr="00EE5597">
        <w:rPr>
          <w:rFonts w:ascii="Times New Roman" w:hAnsi="Times New Roman"/>
          <w:b/>
          <w:sz w:val="24"/>
        </w:rPr>
        <w:t xml:space="preserve"> </w:t>
      </w:r>
      <w:r w:rsidR="00866C6D" w:rsidRPr="00EE5597">
        <w:rPr>
          <w:rFonts w:ascii="Times New Roman" w:hAnsi="Times New Roman"/>
          <w:b/>
          <w:sz w:val="24"/>
        </w:rPr>
        <w:t>c</w:t>
      </w:r>
      <w:r w:rsidRPr="00EE5597">
        <w:rPr>
          <w:rFonts w:ascii="Times New Roman" w:hAnsi="Times New Roman"/>
          <w:b/>
          <w:sz w:val="24"/>
        </w:rPr>
        <w:t>ollect</w:t>
      </w:r>
      <w:r w:rsidR="00866C6D" w:rsidRPr="00EE5597">
        <w:rPr>
          <w:rFonts w:ascii="Times New Roman" w:hAnsi="Times New Roman"/>
          <w:b/>
          <w:sz w:val="24"/>
        </w:rPr>
        <w:t>ed</w:t>
      </w:r>
      <w:r w:rsidR="00D90EC1" w:rsidRPr="00EE5597">
        <w:rPr>
          <w:rFonts w:ascii="Times New Roman" w:hAnsi="Times New Roman"/>
          <w:b/>
          <w:sz w:val="24"/>
        </w:rPr>
        <w:t>:</w:t>
      </w:r>
    </w:p>
    <w:p w14:paraId="05808DE0" w14:textId="77777777" w:rsidR="00D90EC1" w:rsidRPr="009A359C" w:rsidRDefault="00D90EC1" w:rsidP="00EE5597">
      <w:pPr>
        <w:pStyle w:val="Header"/>
        <w:tabs>
          <w:tab w:val="clear" w:pos="4320"/>
          <w:tab w:val="clear" w:pos="8640"/>
        </w:tabs>
        <w:autoSpaceDE w:val="0"/>
        <w:autoSpaceDN w:val="0"/>
        <w:adjustRightInd w:val="0"/>
        <w:ind w:left="720"/>
        <w:rPr>
          <w:szCs w:val="24"/>
        </w:rPr>
      </w:pPr>
    </w:p>
    <w:p w14:paraId="2FCF857F" w14:textId="77777777" w:rsidR="00167532" w:rsidRPr="009A359C" w:rsidRDefault="00167532" w:rsidP="00EE5597">
      <w:pPr>
        <w:pStyle w:val="BodyText"/>
        <w:ind w:left="720"/>
        <w:rPr>
          <w:rFonts w:ascii="Times New Roman" w:hAnsi="Times New Roman"/>
        </w:rPr>
      </w:pPr>
      <w:r w:rsidRPr="009A359C">
        <w:rPr>
          <w:rFonts w:ascii="Times New Roman" w:hAnsi="Times New Roman"/>
        </w:rPr>
        <w:t xml:space="preserve">Members and prospective members rely on the disclosures required by TISA and Part 707 to facilitate informed decision making regarding accounts offered by credit unions.  Without this information, members would be severely hindered in their ability to assess the true costs and </w:t>
      </w:r>
      <w:r w:rsidR="000B460A" w:rsidRPr="009A359C">
        <w:rPr>
          <w:rFonts w:ascii="Times New Roman" w:hAnsi="Times New Roman"/>
        </w:rPr>
        <w:t xml:space="preserve">terms of the accounts offered. </w:t>
      </w:r>
    </w:p>
    <w:p w14:paraId="474118AD" w14:textId="77777777" w:rsidR="00167532" w:rsidRPr="009A359C" w:rsidRDefault="00167532" w:rsidP="00EE5597">
      <w:pPr>
        <w:pStyle w:val="BodyText"/>
        <w:ind w:left="720"/>
        <w:rPr>
          <w:rFonts w:ascii="Times New Roman" w:hAnsi="Times New Roman"/>
        </w:rPr>
      </w:pPr>
    </w:p>
    <w:p w14:paraId="275C7FE3" w14:textId="1A9ACC2A" w:rsidR="00D90EC1" w:rsidRPr="009A359C" w:rsidRDefault="00703BE6" w:rsidP="00EE5597">
      <w:pPr>
        <w:pStyle w:val="BodyText"/>
        <w:ind w:left="720"/>
        <w:rPr>
          <w:rFonts w:ascii="Times New Roman" w:hAnsi="Times New Roman"/>
        </w:rPr>
      </w:pPr>
      <w:r w:rsidRPr="009A359C">
        <w:rPr>
          <w:rFonts w:ascii="Times New Roman" w:hAnsi="Times New Roman"/>
        </w:rPr>
        <w:t xml:space="preserve">Also, the </w:t>
      </w:r>
      <w:r w:rsidR="006774F8" w:rsidRPr="009A359C">
        <w:rPr>
          <w:rFonts w:ascii="Times New Roman" w:hAnsi="Times New Roman"/>
        </w:rPr>
        <w:t xml:space="preserve">record retention requirements enable </w:t>
      </w:r>
      <w:r w:rsidR="00866C6D">
        <w:rPr>
          <w:rFonts w:ascii="Times New Roman" w:hAnsi="Times New Roman"/>
        </w:rPr>
        <w:t xml:space="preserve">the </w:t>
      </w:r>
      <w:r w:rsidR="00D90EC1" w:rsidRPr="009A359C">
        <w:rPr>
          <w:rFonts w:ascii="Times New Roman" w:hAnsi="Times New Roman"/>
        </w:rPr>
        <w:t xml:space="preserve">NCUA to determine whether a credit union is in compliance with TISA and Part 707.  </w:t>
      </w:r>
    </w:p>
    <w:p w14:paraId="22A2F58B" w14:textId="77777777" w:rsidR="00D90EC1" w:rsidRPr="009A359C" w:rsidRDefault="00D90EC1" w:rsidP="00EE5597">
      <w:pPr>
        <w:tabs>
          <w:tab w:val="left" w:pos="-1440"/>
        </w:tabs>
        <w:ind w:left="720"/>
        <w:rPr>
          <w:rFonts w:ascii="Times New Roman" w:hAnsi="Times New Roman"/>
          <w:sz w:val="24"/>
        </w:rPr>
      </w:pPr>
    </w:p>
    <w:p w14:paraId="60B2934F" w14:textId="48C94B8A" w:rsidR="00D90EC1" w:rsidRPr="00EE5597" w:rsidRDefault="00866C6D" w:rsidP="00EE5597">
      <w:pPr>
        <w:pStyle w:val="ListParagraph"/>
        <w:keepNext/>
        <w:numPr>
          <w:ilvl w:val="0"/>
          <w:numId w:val="5"/>
        </w:numPr>
        <w:ind w:hanging="720"/>
        <w:rPr>
          <w:rFonts w:ascii="Times New Roman" w:hAnsi="Times New Roman"/>
          <w:b/>
          <w:sz w:val="24"/>
          <w:u w:val="single"/>
        </w:rPr>
      </w:pPr>
      <w:r w:rsidRPr="00EE5597">
        <w:rPr>
          <w:rFonts w:ascii="Times New Roman" w:hAnsi="Times New Roman"/>
          <w:b/>
          <w:sz w:val="24"/>
        </w:rPr>
        <w:t>Use of</w:t>
      </w:r>
      <w:r w:rsidR="007C2BC1" w:rsidRPr="00EE5597">
        <w:rPr>
          <w:rFonts w:ascii="Times New Roman" w:hAnsi="Times New Roman"/>
          <w:b/>
          <w:sz w:val="24"/>
        </w:rPr>
        <w:t xml:space="preserve"> </w:t>
      </w:r>
      <w:r w:rsidRPr="00EE5597">
        <w:rPr>
          <w:rFonts w:ascii="Times New Roman" w:hAnsi="Times New Roman"/>
          <w:b/>
          <w:sz w:val="24"/>
        </w:rPr>
        <w:t>i</w:t>
      </w:r>
      <w:r w:rsidR="00D90EC1" w:rsidRPr="00EE5597">
        <w:rPr>
          <w:rFonts w:ascii="Times New Roman" w:hAnsi="Times New Roman"/>
          <w:b/>
          <w:sz w:val="24"/>
        </w:rPr>
        <w:t xml:space="preserve">nformation </w:t>
      </w:r>
      <w:r w:rsidRPr="00EE5597">
        <w:rPr>
          <w:rFonts w:ascii="Times New Roman" w:hAnsi="Times New Roman"/>
          <w:b/>
          <w:sz w:val="24"/>
        </w:rPr>
        <w:t>t</w:t>
      </w:r>
      <w:r w:rsidR="00D90EC1" w:rsidRPr="00EE5597">
        <w:rPr>
          <w:rFonts w:ascii="Times New Roman" w:hAnsi="Times New Roman"/>
          <w:b/>
          <w:sz w:val="24"/>
        </w:rPr>
        <w:t>echnology:</w:t>
      </w:r>
    </w:p>
    <w:p w14:paraId="3DCA3848" w14:textId="77777777" w:rsidR="00D90EC1" w:rsidRPr="009A359C" w:rsidRDefault="00D90EC1" w:rsidP="00EE5597">
      <w:pPr>
        <w:keepNext/>
        <w:tabs>
          <w:tab w:val="left" w:pos="-1440"/>
        </w:tabs>
        <w:ind w:left="720"/>
        <w:rPr>
          <w:rFonts w:ascii="Times New Roman" w:hAnsi="Times New Roman"/>
          <w:sz w:val="24"/>
        </w:rPr>
      </w:pPr>
    </w:p>
    <w:p w14:paraId="11DE024B" w14:textId="77777777" w:rsidR="0097330C" w:rsidRPr="009A359C" w:rsidRDefault="00D90EC1" w:rsidP="00EE5597">
      <w:pPr>
        <w:pStyle w:val="BodyText"/>
        <w:ind w:left="720"/>
        <w:rPr>
          <w:rFonts w:ascii="Times New Roman" w:hAnsi="Times New Roman"/>
        </w:rPr>
      </w:pPr>
      <w:r w:rsidRPr="009A359C">
        <w:rPr>
          <w:rFonts w:ascii="Times New Roman" w:hAnsi="Times New Roman"/>
        </w:rPr>
        <w:t xml:space="preserve">The regulation does not prescribe any particular form in which the collected information must be kept.  Therefore, to the degree that credit unions have available to them technology that would simplify retaining the necessary information, they may use it to reduce the burden imposed by the regulation.   For purposes of disclosure to the public, credit unions may also rely upon the Electronic Signatures in Global </w:t>
      </w:r>
      <w:r w:rsidR="00703BE6" w:rsidRPr="009A359C">
        <w:rPr>
          <w:rFonts w:ascii="Times New Roman" w:hAnsi="Times New Roman"/>
        </w:rPr>
        <w:t>a</w:t>
      </w:r>
      <w:r w:rsidRPr="009A359C">
        <w:rPr>
          <w:rFonts w:ascii="Times New Roman" w:hAnsi="Times New Roman"/>
        </w:rPr>
        <w:t>nd</w:t>
      </w:r>
      <w:r w:rsidR="00FF334B">
        <w:rPr>
          <w:rFonts w:ascii="Times New Roman" w:hAnsi="Times New Roman"/>
        </w:rPr>
        <w:t xml:space="preserve"> </w:t>
      </w:r>
      <w:r w:rsidRPr="009A359C">
        <w:rPr>
          <w:rFonts w:ascii="Times New Roman" w:hAnsi="Times New Roman"/>
        </w:rPr>
        <w:t>National Commerce Act (E-Sign Act), 1</w:t>
      </w:r>
      <w:r w:rsidR="0060672F" w:rsidRPr="009A359C">
        <w:rPr>
          <w:rFonts w:ascii="Times New Roman" w:hAnsi="Times New Roman"/>
        </w:rPr>
        <w:t>5</w:t>
      </w:r>
      <w:r w:rsidRPr="009A359C">
        <w:rPr>
          <w:rFonts w:ascii="Times New Roman" w:hAnsi="Times New Roman"/>
        </w:rPr>
        <w:t xml:space="preserve"> U.S.C. 7001, et seq., when complying with TISA and Part 707.</w:t>
      </w:r>
      <w:r w:rsidR="0097330C" w:rsidRPr="009A359C">
        <w:rPr>
          <w:rFonts w:ascii="Times New Roman" w:hAnsi="Times New Roman"/>
        </w:rPr>
        <w:t xml:space="preserve">  </w:t>
      </w:r>
    </w:p>
    <w:p w14:paraId="0D0AAC73" w14:textId="77777777" w:rsidR="0097330C" w:rsidRPr="009A359C" w:rsidRDefault="0097330C" w:rsidP="00EE5597">
      <w:pPr>
        <w:pStyle w:val="BodyText"/>
        <w:ind w:left="720"/>
        <w:rPr>
          <w:rFonts w:ascii="Times New Roman" w:hAnsi="Times New Roman"/>
        </w:rPr>
      </w:pPr>
    </w:p>
    <w:p w14:paraId="6D8669E7" w14:textId="77777777" w:rsidR="00D90EC1" w:rsidRPr="009A359C" w:rsidRDefault="0097330C" w:rsidP="00EE5597">
      <w:pPr>
        <w:pStyle w:val="BodyText"/>
        <w:ind w:left="720"/>
        <w:rPr>
          <w:rFonts w:ascii="Times New Roman" w:hAnsi="Times New Roman"/>
        </w:rPr>
      </w:pPr>
      <w:r w:rsidRPr="009A359C">
        <w:rPr>
          <w:rFonts w:ascii="Times New Roman" w:hAnsi="Times New Roman"/>
        </w:rPr>
        <w:t>Use of electronic communications is also consistent with the Government Paperwork Elimination Act (GPEA</w:t>
      </w:r>
      <w:r w:rsidR="0060672F" w:rsidRPr="009A359C">
        <w:rPr>
          <w:rFonts w:ascii="Times New Roman" w:hAnsi="Times New Roman"/>
        </w:rPr>
        <w:t>), Title XVII of Pub. L. 105-277</w:t>
      </w:r>
      <w:r w:rsidRPr="009A359C">
        <w:rPr>
          <w:rFonts w:ascii="Times New Roman" w:hAnsi="Times New Roman"/>
        </w:rPr>
        <w:t>, codified at 44 U.S.C. 3504.  The E-Sign Act and GPEA serve to reduce the compliance burden related to federal requirements, including Part 707, by enabling credit unions to use more efficient electronic media for disclosures and compliance.</w:t>
      </w:r>
    </w:p>
    <w:p w14:paraId="5899B09D" w14:textId="77777777" w:rsidR="00D90EC1" w:rsidRPr="009A359C" w:rsidRDefault="00D90EC1" w:rsidP="00D90EC1">
      <w:pPr>
        <w:rPr>
          <w:rFonts w:ascii="Times New Roman" w:hAnsi="Times New Roman"/>
          <w:sz w:val="24"/>
        </w:rPr>
      </w:pPr>
    </w:p>
    <w:p w14:paraId="1B194DE1" w14:textId="04B17CA8" w:rsidR="00D90EC1" w:rsidRPr="00EE5597" w:rsidRDefault="00240ED0" w:rsidP="00EE5597">
      <w:pPr>
        <w:pStyle w:val="ListParagraph"/>
        <w:numPr>
          <w:ilvl w:val="0"/>
          <w:numId w:val="5"/>
        </w:numPr>
        <w:ind w:hanging="720"/>
        <w:rPr>
          <w:rFonts w:ascii="Times New Roman" w:hAnsi="Times New Roman"/>
          <w:b/>
          <w:sz w:val="24"/>
        </w:rPr>
      </w:pPr>
      <w:r w:rsidRPr="00EE5597">
        <w:rPr>
          <w:rFonts w:ascii="Times New Roman" w:hAnsi="Times New Roman"/>
          <w:b/>
          <w:sz w:val="24"/>
        </w:rPr>
        <w:t>D</w:t>
      </w:r>
      <w:r w:rsidR="00D90EC1" w:rsidRPr="00EE5597">
        <w:rPr>
          <w:rFonts w:ascii="Times New Roman" w:hAnsi="Times New Roman"/>
          <w:b/>
          <w:sz w:val="24"/>
        </w:rPr>
        <w:t>uplication</w:t>
      </w:r>
      <w:r w:rsidR="00866C6D" w:rsidRPr="00EE5597">
        <w:rPr>
          <w:rFonts w:ascii="Times New Roman" w:hAnsi="Times New Roman"/>
          <w:b/>
          <w:sz w:val="24"/>
        </w:rPr>
        <w:t xml:space="preserve"> of information</w:t>
      </w:r>
      <w:r w:rsidR="00D90EC1" w:rsidRPr="00EE5597">
        <w:rPr>
          <w:rFonts w:ascii="Times New Roman" w:hAnsi="Times New Roman"/>
          <w:b/>
          <w:sz w:val="24"/>
        </w:rPr>
        <w:t>:</w:t>
      </w:r>
    </w:p>
    <w:p w14:paraId="34CD7839" w14:textId="77777777" w:rsidR="00D90EC1" w:rsidRPr="009A359C" w:rsidRDefault="00D90EC1" w:rsidP="00EE5597">
      <w:pPr>
        <w:ind w:left="720"/>
        <w:rPr>
          <w:rFonts w:ascii="Times New Roman" w:hAnsi="Times New Roman"/>
          <w:sz w:val="24"/>
        </w:rPr>
      </w:pPr>
    </w:p>
    <w:p w14:paraId="4989E11F" w14:textId="77777777" w:rsidR="007F50BC" w:rsidRPr="009A359C" w:rsidRDefault="007F50BC" w:rsidP="00EE5597">
      <w:pPr>
        <w:pStyle w:val="BodyText"/>
        <w:ind w:left="720"/>
        <w:rPr>
          <w:rFonts w:ascii="Times New Roman" w:hAnsi="Times New Roman"/>
        </w:rPr>
      </w:pPr>
      <w:r w:rsidRPr="009A359C">
        <w:rPr>
          <w:rFonts w:ascii="Times New Roman" w:hAnsi="Times New Roman"/>
        </w:rPr>
        <w:t>Credit unions are the only source of information contained in the disclosures required by Part 707.  No other federal law mandates these disclosures.</w:t>
      </w:r>
    </w:p>
    <w:p w14:paraId="498E47DD" w14:textId="77777777" w:rsidR="007F50BC" w:rsidRPr="009A359C" w:rsidRDefault="007F50BC" w:rsidP="00EE5597">
      <w:pPr>
        <w:pStyle w:val="BodyText"/>
        <w:ind w:left="720"/>
        <w:rPr>
          <w:rFonts w:ascii="Times New Roman" w:hAnsi="Times New Roman"/>
        </w:rPr>
      </w:pPr>
    </w:p>
    <w:p w14:paraId="7267CECF" w14:textId="77777777" w:rsidR="00D90EC1" w:rsidRPr="009A359C" w:rsidRDefault="00353963" w:rsidP="00EE5597">
      <w:pPr>
        <w:pStyle w:val="BodyText"/>
        <w:ind w:left="720"/>
        <w:rPr>
          <w:rFonts w:ascii="Times New Roman" w:hAnsi="Times New Roman"/>
        </w:rPr>
      </w:pPr>
      <w:r w:rsidRPr="009A359C">
        <w:rPr>
          <w:rFonts w:ascii="Times New Roman" w:hAnsi="Times New Roman"/>
        </w:rPr>
        <w:t xml:space="preserve">The recordkeeping requirement of Part 707 preserves the information a credit union uses in making disclosures regarding accounts.  The credit union is the only source of this information.  No other federal law mandates its retention.  State laws do not duplicate these requirements, although some state may have other rules </w:t>
      </w:r>
      <w:r w:rsidR="00531F10" w:rsidRPr="009A359C">
        <w:rPr>
          <w:rFonts w:ascii="Times New Roman" w:hAnsi="Times New Roman"/>
        </w:rPr>
        <w:t xml:space="preserve">or regulations </w:t>
      </w:r>
      <w:r w:rsidRPr="009A359C">
        <w:rPr>
          <w:rFonts w:ascii="Times New Roman" w:hAnsi="Times New Roman"/>
        </w:rPr>
        <w:t>applicable to share accounts.</w:t>
      </w:r>
    </w:p>
    <w:p w14:paraId="1375E020" w14:textId="154519EC" w:rsidR="00D90EC1" w:rsidRPr="009A359C" w:rsidRDefault="00D90EC1" w:rsidP="00EE5597">
      <w:pPr>
        <w:ind w:left="720"/>
        <w:rPr>
          <w:rFonts w:ascii="Times New Roman" w:hAnsi="Times New Roman"/>
          <w:sz w:val="24"/>
        </w:rPr>
      </w:pPr>
    </w:p>
    <w:p w14:paraId="2C23E818" w14:textId="5512FE35" w:rsidR="00D90EC1" w:rsidRPr="00EE5597" w:rsidRDefault="007F50BC" w:rsidP="00EE5597">
      <w:pPr>
        <w:pStyle w:val="ListParagraph"/>
        <w:numPr>
          <w:ilvl w:val="0"/>
          <w:numId w:val="5"/>
        </w:numPr>
        <w:ind w:hanging="720"/>
        <w:rPr>
          <w:rFonts w:ascii="Times New Roman" w:hAnsi="Times New Roman"/>
          <w:b/>
          <w:sz w:val="24"/>
        </w:rPr>
      </w:pPr>
      <w:r w:rsidRPr="00EE5597">
        <w:rPr>
          <w:rFonts w:ascii="Times New Roman" w:hAnsi="Times New Roman"/>
          <w:b/>
          <w:sz w:val="24"/>
        </w:rPr>
        <w:t>Eff</w:t>
      </w:r>
      <w:r w:rsidR="00866C6D" w:rsidRPr="00EE5597">
        <w:rPr>
          <w:rFonts w:ascii="Times New Roman" w:hAnsi="Times New Roman"/>
          <w:b/>
          <w:sz w:val="24"/>
        </w:rPr>
        <w:t>orts to reduce burden</w:t>
      </w:r>
      <w:r w:rsidRPr="00EE5597">
        <w:rPr>
          <w:rFonts w:ascii="Times New Roman" w:hAnsi="Times New Roman"/>
          <w:b/>
          <w:sz w:val="24"/>
        </w:rPr>
        <w:t xml:space="preserve"> on </w:t>
      </w:r>
      <w:r w:rsidR="00866C6D" w:rsidRPr="00EE5597">
        <w:rPr>
          <w:rFonts w:ascii="Times New Roman" w:hAnsi="Times New Roman"/>
          <w:b/>
          <w:sz w:val="24"/>
        </w:rPr>
        <w:t>s</w:t>
      </w:r>
      <w:r w:rsidRPr="00EE5597">
        <w:rPr>
          <w:rFonts w:ascii="Times New Roman" w:hAnsi="Times New Roman"/>
          <w:b/>
          <w:sz w:val="24"/>
        </w:rPr>
        <w:t xml:space="preserve">mall </w:t>
      </w:r>
      <w:r w:rsidR="00866C6D" w:rsidRPr="00EE5597">
        <w:rPr>
          <w:rFonts w:ascii="Times New Roman" w:hAnsi="Times New Roman"/>
          <w:b/>
          <w:sz w:val="24"/>
        </w:rPr>
        <w:t>e</w:t>
      </w:r>
      <w:r w:rsidRPr="00EE5597">
        <w:rPr>
          <w:rFonts w:ascii="Times New Roman" w:hAnsi="Times New Roman"/>
          <w:b/>
          <w:sz w:val="24"/>
        </w:rPr>
        <w:t>ntities:</w:t>
      </w:r>
    </w:p>
    <w:p w14:paraId="788BAA98" w14:textId="77777777" w:rsidR="00D90EC1" w:rsidRPr="009A359C" w:rsidRDefault="00D90EC1" w:rsidP="00EE5597">
      <w:pPr>
        <w:pStyle w:val="BodyText"/>
        <w:ind w:left="720" w:hanging="720"/>
        <w:rPr>
          <w:rFonts w:ascii="Times New Roman" w:hAnsi="Times New Roman"/>
        </w:rPr>
      </w:pPr>
    </w:p>
    <w:p w14:paraId="211C8D2B" w14:textId="6931E092" w:rsidR="001E2E43" w:rsidRPr="009A359C" w:rsidRDefault="00EE5597" w:rsidP="00EE5597">
      <w:pPr>
        <w:pStyle w:val="BodyText"/>
        <w:ind w:left="720" w:hanging="720"/>
        <w:rPr>
          <w:rFonts w:ascii="Times New Roman" w:hAnsi="Times New Roman"/>
        </w:rPr>
      </w:pPr>
      <w:r>
        <w:rPr>
          <w:rFonts w:ascii="Times New Roman" w:hAnsi="Times New Roman"/>
        </w:rPr>
        <w:tab/>
      </w:r>
      <w:r w:rsidR="001E2E43" w:rsidRPr="009A359C">
        <w:rPr>
          <w:rFonts w:ascii="Times New Roman" w:hAnsi="Times New Roman"/>
        </w:rPr>
        <w:t>Most credit unions</w:t>
      </w:r>
      <w:r w:rsidR="00435BDE" w:rsidRPr="009A359C">
        <w:rPr>
          <w:rFonts w:ascii="Times New Roman" w:hAnsi="Times New Roman"/>
        </w:rPr>
        <w:t>, including small credit unions,</w:t>
      </w:r>
      <w:r w:rsidR="001E2E43" w:rsidRPr="009A359C">
        <w:rPr>
          <w:rFonts w:ascii="Times New Roman" w:hAnsi="Times New Roman"/>
        </w:rPr>
        <w:t xml:space="preserve"> use some degree of information technology in their business, and Part 707 permits credit unions to rely on </w:t>
      </w:r>
      <w:r w:rsidR="00574FBC" w:rsidRPr="009A359C">
        <w:rPr>
          <w:rFonts w:ascii="Times New Roman" w:hAnsi="Times New Roman"/>
        </w:rPr>
        <w:t>technological support, among other alternatives, to meet their recordkeeping and disclosure requirements.  This flexibility yields reduced recordkeeping and disclosure costs.  (See number 3 above.)  Moreover, as previously noted, Part 707 provides model clauses and sample forms that may be used in compliance with its requirements.  Correct use of these clauses and forms insulates a credit union from liability as to proper format.</w:t>
      </w:r>
    </w:p>
    <w:p w14:paraId="5F607F83" w14:textId="77777777" w:rsidR="00D90EC1" w:rsidRPr="009A359C" w:rsidRDefault="00D90EC1" w:rsidP="00EE5597">
      <w:pPr>
        <w:ind w:left="720" w:hanging="720"/>
        <w:rPr>
          <w:rFonts w:ascii="Times New Roman" w:hAnsi="Times New Roman"/>
          <w:sz w:val="24"/>
        </w:rPr>
      </w:pPr>
    </w:p>
    <w:p w14:paraId="1408BD14" w14:textId="1E3E5F46" w:rsidR="00D90EC1" w:rsidRPr="00EE5597" w:rsidRDefault="00D90EC1" w:rsidP="00EE5597">
      <w:pPr>
        <w:pStyle w:val="ListParagraph"/>
        <w:numPr>
          <w:ilvl w:val="0"/>
          <w:numId w:val="5"/>
        </w:numPr>
        <w:ind w:hanging="720"/>
        <w:rPr>
          <w:rFonts w:ascii="Times New Roman" w:hAnsi="Times New Roman"/>
          <w:b/>
          <w:sz w:val="24"/>
        </w:rPr>
      </w:pPr>
      <w:r w:rsidRPr="00EE5597">
        <w:rPr>
          <w:rFonts w:ascii="Times New Roman" w:hAnsi="Times New Roman"/>
          <w:b/>
          <w:sz w:val="24"/>
        </w:rPr>
        <w:t xml:space="preserve">Consequences </w:t>
      </w:r>
      <w:r w:rsidR="00C82C4E" w:rsidRPr="00EE5597">
        <w:rPr>
          <w:rFonts w:ascii="Times New Roman" w:hAnsi="Times New Roman"/>
          <w:b/>
          <w:sz w:val="24"/>
        </w:rPr>
        <w:t xml:space="preserve">of </w:t>
      </w:r>
      <w:r w:rsidR="00866C6D" w:rsidRPr="00EE5597">
        <w:rPr>
          <w:rFonts w:ascii="Times New Roman" w:hAnsi="Times New Roman"/>
          <w:b/>
          <w:sz w:val="24"/>
        </w:rPr>
        <w:t>n</w:t>
      </w:r>
      <w:r w:rsidR="00C82C4E" w:rsidRPr="00EE5597">
        <w:rPr>
          <w:rFonts w:ascii="Times New Roman" w:hAnsi="Times New Roman"/>
          <w:b/>
          <w:sz w:val="24"/>
        </w:rPr>
        <w:t xml:space="preserve">ot </w:t>
      </w:r>
      <w:r w:rsidR="00866C6D" w:rsidRPr="00EE5597">
        <w:rPr>
          <w:rFonts w:ascii="Times New Roman" w:hAnsi="Times New Roman"/>
          <w:b/>
          <w:sz w:val="24"/>
        </w:rPr>
        <w:t>c</w:t>
      </w:r>
      <w:r w:rsidR="00C82C4E" w:rsidRPr="00EE5597">
        <w:rPr>
          <w:rFonts w:ascii="Times New Roman" w:hAnsi="Times New Roman"/>
          <w:b/>
          <w:sz w:val="24"/>
        </w:rPr>
        <w:t xml:space="preserve">onducting </w:t>
      </w:r>
      <w:r w:rsidR="00866C6D" w:rsidRPr="00EE5597">
        <w:rPr>
          <w:rFonts w:ascii="Times New Roman" w:hAnsi="Times New Roman"/>
          <w:b/>
          <w:sz w:val="24"/>
        </w:rPr>
        <w:t>the c</w:t>
      </w:r>
      <w:r w:rsidRPr="00EE5597">
        <w:rPr>
          <w:rFonts w:ascii="Times New Roman" w:hAnsi="Times New Roman"/>
          <w:b/>
          <w:sz w:val="24"/>
        </w:rPr>
        <w:t>ollection:</w:t>
      </w:r>
    </w:p>
    <w:p w14:paraId="2E4A5EBD" w14:textId="77777777" w:rsidR="00D90EC1" w:rsidRPr="009A359C" w:rsidRDefault="00D90EC1" w:rsidP="00EE5597">
      <w:pPr>
        <w:ind w:left="720" w:hanging="720"/>
        <w:rPr>
          <w:rFonts w:ascii="Times New Roman" w:hAnsi="Times New Roman"/>
          <w:sz w:val="24"/>
        </w:rPr>
      </w:pPr>
    </w:p>
    <w:p w14:paraId="76215485" w14:textId="781B89B1" w:rsidR="00A21C02" w:rsidRPr="009A359C" w:rsidRDefault="00EE5597" w:rsidP="00EE5597">
      <w:pPr>
        <w:ind w:left="720" w:hanging="720"/>
        <w:rPr>
          <w:rFonts w:ascii="Times New Roman" w:hAnsi="Times New Roman"/>
          <w:sz w:val="24"/>
        </w:rPr>
      </w:pPr>
      <w:r>
        <w:rPr>
          <w:rFonts w:ascii="Times New Roman" w:hAnsi="Times New Roman"/>
          <w:sz w:val="24"/>
        </w:rPr>
        <w:tab/>
      </w:r>
      <w:r w:rsidR="00A21C02" w:rsidRPr="009A359C">
        <w:rPr>
          <w:rFonts w:ascii="Times New Roman" w:hAnsi="Times New Roman"/>
          <w:sz w:val="24"/>
        </w:rPr>
        <w:t xml:space="preserve">The disclosure requirements are needed to facilitate comparison cost shopping and to spur informed decision making regarding share accounts.  Without these disclosure requirements, </w:t>
      </w:r>
      <w:r w:rsidR="00BA4168" w:rsidRPr="009A359C">
        <w:rPr>
          <w:rFonts w:ascii="Times New Roman" w:hAnsi="Times New Roman"/>
          <w:sz w:val="24"/>
        </w:rPr>
        <w:t>TISA provisio</w:t>
      </w:r>
      <w:r w:rsidR="00D7475E" w:rsidRPr="009A359C">
        <w:rPr>
          <w:rFonts w:ascii="Times New Roman" w:hAnsi="Times New Roman"/>
          <w:sz w:val="24"/>
        </w:rPr>
        <w:t>ns would not be effectuated.</w:t>
      </w:r>
    </w:p>
    <w:p w14:paraId="77B466AD" w14:textId="77777777" w:rsidR="00A21C02" w:rsidRPr="009A359C" w:rsidRDefault="00A21C02" w:rsidP="00EE5597">
      <w:pPr>
        <w:ind w:left="720" w:hanging="720"/>
        <w:rPr>
          <w:rFonts w:ascii="Times New Roman" w:hAnsi="Times New Roman"/>
          <w:sz w:val="24"/>
        </w:rPr>
      </w:pPr>
    </w:p>
    <w:p w14:paraId="7A3CC3F2" w14:textId="77777777" w:rsidR="00EE5597" w:rsidRDefault="00EE5597" w:rsidP="00EE5597">
      <w:pPr>
        <w:ind w:left="720" w:hanging="720"/>
        <w:rPr>
          <w:rFonts w:ascii="Times New Roman" w:hAnsi="Times New Roman"/>
          <w:sz w:val="24"/>
        </w:rPr>
      </w:pPr>
      <w:r>
        <w:rPr>
          <w:rFonts w:ascii="Times New Roman" w:hAnsi="Times New Roman"/>
          <w:sz w:val="24"/>
        </w:rPr>
        <w:tab/>
      </w:r>
      <w:r w:rsidR="002618E5" w:rsidRPr="009A359C">
        <w:rPr>
          <w:rFonts w:ascii="Times New Roman" w:hAnsi="Times New Roman"/>
          <w:sz w:val="24"/>
        </w:rPr>
        <w:t xml:space="preserve">If the </w:t>
      </w:r>
      <w:r w:rsidR="00D7475E" w:rsidRPr="009A359C">
        <w:rPr>
          <w:rFonts w:ascii="Times New Roman" w:hAnsi="Times New Roman"/>
          <w:sz w:val="24"/>
        </w:rPr>
        <w:t xml:space="preserve">record </w:t>
      </w:r>
      <w:r w:rsidR="002618E5" w:rsidRPr="009A359C">
        <w:rPr>
          <w:rFonts w:ascii="Times New Roman" w:hAnsi="Times New Roman"/>
          <w:sz w:val="24"/>
        </w:rPr>
        <w:t xml:space="preserve">retention period </w:t>
      </w:r>
      <w:r w:rsidR="00D7475E" w:rsidRPr="009A359C">
        <w:rPr>
          <w:rFonts w:ascii="Times New Roman" w:hAnsi="Times New Roman"/>
          <w:sz w:val="24"/>
        </w:rPr>
        <w:t xml:space="preserve">were shortened, </w:t>
      </w:r>
      <w:r w:rsidR="00866C6D">
        <w:rPr>
          <w:rFonts w:ascii="Times New Roman" w:hAnsi="Times New Roman"/>
          <w:sz w:val="24"/>
        </w:rPr>
        <w:t xml:space="preserve">the </w:t>
      </w:r>
      <w:r w:rsidR="00D7475E" w:rsidRPr="009A359C">
        <w:rPr>
          <w:rFonts w:ascii="Times New Roman" w:hAnsi="Times New Roman"/>
          <w:sz w:val="24"/>
        </w:rPr>
        <w:t>NCUA might find that credit union records needed to evaluate compliance with</w:t>
      </w:r>
      <w:r w:rsidR="002618E5" w:rsidRPr="009A359C">
        <w:rPr>
          <w:rFonts w:ascii="Times New Roman" w:hAnsi="Times New Roman"/>
          <w:sz w:val="24"/>
        </w:rPr>
        <w:t xml:space="preserve"> Part 707 no longer exist.</w:t>
      </w:r>
    </w:p>
    <w:p w14:paraId="20590D06" w14:textId="77777777" w:rsidR="00EE5597" w:rsidRDefault="00EE5597" w:rsidP="00EE5597">
      <w:pPr>
        <w:ind w:left="720" w:hanging="720"/>
        <w:rPr>
          <w:rFonts w:ascii="Times New Roman" w:hAnsi="Times New Roman"/>
          <w:sz w:val="24"/>
        </w:rPr>
      </w:pPr>
    </w:p>
    <w:p w14:paraId="5A271E12" w14:textId="1FFD003C" w:rsidR="00D90EC1" w:rsidRPr="00EE5597" w:rsidRDefault="00752C6C" w:rsidP="00EE5597">
      <w:pPr>
        <w:pStyle w:val="ListParagraph"/>
        <w:numPr>
          <w:ilvl w:val="0"/>
          <w:numId w:val="5"/>
        </w:numPr>
        <w:ind w:hanging="720"/>
        <w:rPr>
          <w:rFonts w:ascii="Times New Roman" w:hAnsi="Times New Roman"/>
          <w:b/>
          <w:sz w:val="24"/>
        </w:rPr>
      </w:pPr>
      <w:r w:rsidRPr="00EE5597">
        <w:rPr>
          <w:rFonts w:ascii="Times New Roman" w:hAnsi="Times New Roman"/>
          <w:b/>
          <w:sz w:val="24"/>
        </w:rPr>
        <w:t xml:space="preserve">Inconsistencies </w:t>
      </w:r>
      <w:r w:rsidR="00D90EC1" w:rsidRPr="00EE5597">
        <w:rPr>
          <w:rFonts w:ascii="Times New Roman" w:hAnsi="Times New Roman"/>
          <w:b/>
          <w:sz w:val="24"/>
        </w:rPr>
        <w:t xml:space="preserve">with </w:t>
      </w:r>
      <w:r w:rsidR="00866C6D" w:rsidRPr="00EE5597">
        <w:rPr>
          <w:rFonts w:ascii="Times New Roman" w:hAnsi="Times New Roman"/>
          <w:b/>
          <w:sz w:val="24"/>
        </w:rPr>
        <w:t>g</w:t>
      </w:r>
      <w:r w:rsidRPr="00EE5597">
        <w:rPr>
          <w:rFonts w:ascii="Times New Roman" w:hAnsi="Times New Roman"/>
          <w:b/>
          <w:sz w:val="24"/>
        </w:rPr>
        <w:t xml:space="preserve">uidelines in </w:t>
      </w:r>
      <w:r w:rsidR="00D90EC1" w:rsidRPr="00EE5597">
        <w:rPr>
          <w:rFonts w:ascii="Times New Roman" w:hAnsi="Times New Roman"/>
          <w:b/>
          <w:sz w:val="24"/>
        </w:rPr>
        <w:t>5 CFR 1320</w:t>
      </w:r>
      <w:r w:rsidR="00F82E9F" w:rsidRPr="00EE5597">
        <w:rPr>
          <w:rFonts w:ascii="Times New Roman" w:hAnsi="Times New Roman"/>
          <w:b/>
          <w:sz w:val="24"/>
        </w:rPr>
        <w:t>.5</w:t>
      </w:r>
      <w:r w:rsidRPr="00EE5597">
        <w:rPr>
          <w:rFonts w:ascii="Times New Roman" w:hAnsi="Times New Roman"/>
          <w:b/>
          <w:sz w:val="24"/>
        </w:rPr>
        <w:t>(d)(2)</w:t>
      </w:r>
      <w:r w:rsidR="00D90EC1" w:rsidRPr="00EE5597">
        <w:rPr>
          <w:rFonts w:ascii="Times New Roman" w:hAnsi="Times New Roman"/>
          <w:b/>
          <w:sz w:val="24"/>
        </w:rPr>
        <w:t>:</w:t>
      </w:r>
    </w:p>
    <w:p w14:paraId="4DB7D1EB" w14:textId="77777777" w:rsidR="00EE5597" w:rsidRPr="00EE5597" w:rsidRDefault="00EE5597" w:rsidP="00EE5597">
      <w:pPr>
        <w:rPr>
          <w:rFonts w:ascii="Times New Roman" w:hAnsi="Times New Roman"/>
          <w:b/>
          <w:sz w:val="24"/>
        </w:rPr>
      </w:pPr>
    </w:p>
    <w:p w14:paraId="29B9827D" w14:textId="00038225" w:rsidR="00D90EC1" w:rsidRPr="009A359C" w:rsidRDefault="00EE5597" w:rsidP="00EE5597">
      <w:pPr>
        <w:pStyle w:val="BodyText"/>
        <w:ind w:left="720" w:hanging="720"/>
        <w:rPr>
          <w:rFonts w:ascii="Times New Roman" w:hAnsi="Times New Roman"/>
        </w:rPr>
      </w:pPr>
      <w:r>
        <w:rPr>
          <w:rFonts w:ascii="Times New Roman" w:hAnsi="Times New Roman"/>
        </w:rPr>
        <w:tab/>
      </w:r>
      <w:r w:rsidR="0006365C" w:rsidRPr="009A359C">
        <w:rPr>
          <w:rFonts w:ascii="Times New Roman" w:hAnsi="Times New Roman"/>
        </w:rPr>
        <w:t>There are no special circumstances.  This collection is consistent with the guidelines in 5 CFR 1320</w:t>
      </w:r>
      <w:r w:rsidR="00F82E9F" w:rsidRPr="009A359C">
        <w:rPr>
          <w:rFonts w:ascii="Times New Roman" w:hAnsi="Times New Roman"/>
        </w:rPr>
        <w:t>.5</w:t>
      </w:r>
      <w:r w:rsidR="0006365C" w:rsidRPr="009A359C">
        <w:rPr>
          <w:rFonts w:ascii="Times New Roman" w:hAnsi="Times New Roman"/>
        </w:rPr>
        <w:t>(d)(2).</w:t>
      </w:r>
      <w:r w:rsidR="00D90EC1" w:rsidRPr="009A359C">
        <w:rPr>
          <w:rFonts w:ascii="Times New Roman" w:hAnsi="Times New Roman"/>
        </w:rPr>
        <w:t xml:space="preserve">  </w:t>
      </w:r>
    </w:p>
    <w:p w14:paraId="4CCFC91B" w14:textId="77777777" w:rsidR="00D90EC1" w:rsidRPr="009A359C" w:rsidRDefault="00D90EC1" w:rsidP="00EE5597">
      <w:pPr>
        <w:ind w:left="720" w:hanging="720"/>
        <w:rPr>
          <w:rFonts w:ascii="Times New Roman" w:hAnsi="Times New Roman"/>
          <w:sz w:val="24"/>
        </w:rPr>
      </w:pPr>
    </w:p>
    <w:p w14:paraId="5A62E686" w14:textId="1768FE99" w:rsidR="00D90EC1" w:rsidRPr="00EE5597" w:rsidRDefault="0049347E" w:rsidP="00EE5597">
      <w:pPr>
        <w:pStyle w:val="ListParagraph"/>
        <w:numPr>
          <w:ilvl w:val="0"/>
          <w:numId w:val="5"/>
        </w:numPr>
        <w:ind w:hanging="720"/>
        <w:rPr>
          <w:rFonts w:ascii="Times New Roman" w:hAnsi="Times New Roman"/>
          <w:b/>
          <w:sz w:val="24"/>
        </w:rPr>
      </w:pPr>
      <w:r w:rsidRPr="00EE5597">
        <w:rPr>
          <w:rFonts w:ascii="Times New Roman" w:hAnsi="Times New Roman"/>
          <w:b/>
          <w:sz w:val="24"/>
        </w:rPr>
        <w:t>Efforts to c</w:t>
      </w:r>
      <w:r w:rsidR="0006365C" w:rsidRPr="00EE5597">
        <w:rPr>
          <w:rFonts w:ascii="Times New Roman" w:hAnsi="Times New Roman"/>
          <w:b/>
          <w:sz w:val="24"/>
        </w:rPr>
        <w:t xml:space="preserve">onsult </w:t>
      </w:r>
      <w:r w:rsidRPr="00EE5597">
        <w:rPr>
          <w:rFonts w:ascii="Times New Roman" w:hAnsi="Times New Roman"/>
          <w:b/>
          <w:sz w:val="24"/>
        </w:rPr>
        <w:t>with persons o</w:t>
      </w:r>
      <w:r w:rsidR="00D90EC1" w:rsidRPr="00EE5597">
        <w:rPr>
          <w:rFonts w:ascii="Times New Roman" w:hAnsi="Times New Roman"/>
          <w:b/>
          <w:sz w:val="24"/>
        </w:rPr>
        <w:t xml:space="preserve">utside the </w:t>
      </w:r>
      <w:r w:rsidRPr="00EE5597">
        <w:rPr>
          <w:rFonts w:ascii="Times New Roman" w:hAnsi="Times New Roman"/>
          <w:b/>
          <w:sz w:val="24"/>
        </w:rPr>
        <w:t>a</w:t>
      </w:r>
      <w:r w:rsidR="00D90EC1" w:rsidRPr="00EE5597">
        <w:rPr>
          <w:rFonts w:ascii="Times New Roman" w:hAnsi="Times New Roman"/>
          <w:b/>
          <w:sz w:val="24"/>
        </w:rPr>
        <w:t>gency:</w:t>
      </w:r>
    </w:p>
    <w:p w14:paraId="1F329B17" w14:textId="77777777" w:rsidR="00D90EC1" w:rsidRPr="009A359C" w:rsidRDefault="00D90EC1" w:rsidP="00EE5597">
      <w:pPr>
        <w:ind w:left="720" w:hanging="720"/>
        <w:rPr>
          <w:rFonts w:ascii="Times New Roman" w:hAnsi="Times New Roman"/>
          <w:sz w:val="24"/>
        </w:rPr>
      </w:pPr>
    </w:p>
    <w:p w14:paraId="0B31F3DC" w14:textId="4977B0EB" w:rsidR="001F405C" w:rsidRPr="009A359C" w:rsidRDefault="00EE5597" w:rsidP="00EE5597">
      <w:pPr>
        <w:pStyle w:val="BodyText"/>
        <w:ind w:left="720" w:hanging="720"/>
        <w:rPr>
          <w:rFonts w:ascii="Times New Roman" w:hAnsi="Times New Roman"/>
        </w:rPr>
      </w:pPr>
      <w:r>
        <w:rPr>
          <w:rFonts w:ascii="Times New Roman" w:hAnsi="Times New Roman"/>
        </w:rPr>
        <w:tab/>
      </w:r>
      <w:r w:rsidR="000635BA" w:rsidRPr="00EE5597">
        <w:rPr>
          <w:rFonts w:ascii="Times New Roman" w:hAnsi="Times New Roman"/>
        </w:rPr>
        <w:t xml:space="preserve">A 60-day notice was published in the </w:t>
      </w:r>
      <w:r w:rsidR="000635BA" w:rsidRPr="00EE5597">
        <w:rPr>
          <w:rFonts w:ascii="Times New Roman" w:hAnsi="Times New Roman"/>
          <w:u w:val="single"/>
        </w:rPr>
        <w:t>Federal Register</w:t>
      </w:r>
      <w:r w:rsidR="000635BA" w:rsidRPr="00EE5597">
        <w:rPr>
          <w:rFonts w:ascii="Times New Roman" w:hAnsi="Times New Roman"/>
        </w:rPr>
        <w:t xml:space="preserve"> on </w:t>
      </w:r>
      <w:r w:rsidR="001F6C64" w:rsidRPr="00EE5597">
        <w:rPr>
          <w:rFonts w:ascii="Times New Roman" w:hAnsi="Times New Roman"/>
        </w:rPr>
        <w:t>April 24, 2020,</w:t>
      </w:r>
      <w:r w:rsidR="000635BA" w:rsidRPr="00EE5597">
        <w:rPr>
          <w:rFonts w:ascii="Times New Roman" w:hAnsi="Times New Roman"/>
        </w:rPr>
        <w:t xml:space="preserve"> at </w:t>
      </w:r>
      <w:r w:rsidR="001F6C64" w:rsidRPr="00EE5597">
        <w:rPr>
          <w:rFonts w:ascii="Times New Roman" w:hAnsi="Times New Roman"/>
        </w:rPr>
        <w:t>85 FR 23070</w:t>
      </w:r>
      <w:r w:rsidR="000635BA" w:rsidRPr="00EE5597">
        <w:rPr>
          <w:rFonts w:ascii="Times New Roman" w:hAnsi="Times New Roman"/>
        </w:rPr>
        <w:t>.  No public comments were received.</w:t>
      </w:r>
    </w:p>
    <w:p w14:paraId="1664E776" w14:textId="77777777" w:rsidR="00501615" w:rsidRPr="009A359C" w:rsidRDefault="00501615" w:rsidP="00EE5597">
      <w:pPr>
        <w:pStyle w:val="BodyText"/>
        <w:ind w:left="720" w:hanging="720"/>
        <w:rPr>
          <w:rFonts w:ascii="Times New Roman" w:hAnsi="Times New Roman"/>
        </w:rPr>
      </w:pPr>
    </w:p>
    <w:p w14:paraId="3810579C" w14:textId="23B82242" w:rsidR="00D90EC1" w:rsidRPr="009A359C" w:rsidRDefault="00D90EC1" w:rsidP="00EE5597">
      <w:pPr>
        <w:pStyle w:val="BodyText"/>
        <w:numPr>
          <w:ilvl w:val="0"/>
          <w:numId w:val="5"/>
        </w:numPr>
        <w:ind w:hanging="720"/>
        <w:rPr>
          <w:rFonts w:ascii="Times New Roman" w:hAnsi="Times New Roman"/>
          <w:b/>
        </w:rPr>
      </w:pPr>
      <w:r w:rsidRPr="009A359C">
        <w:rPr>
          <w:rFonts w:ascii="Times New Roman" w:hAnsi="Times New Roman"/>
          <w:b/>
        </w:rPr>
        <w:t xml:space="preserve">Payment </w:t>
      </w:r>
      <w:r w:rsidR="00AD056A" w:rsidRPr="009A359C">
        <w:rPr>
          <w:rFonts w:ascii="Times New Roman" w:hAnsi="Times New Roman"/>
          <w:b/>
        </w:rPr>
        <w:t xml:space="preserve">or </w:t>
      </w:r>
      <w:r w:rsidR="002939E2">
        <w:rPr>
          <w:rFonts w:ascii="Times New Roman" w:hAnsi="Times New Roman"/>
          <w:b/>
        </w:rPr>
        <w:t>g</w:t>
      </w:r>
      <w:r w:rsidR="00AD056A" w:rsidRPr="009A359C">
        <w:rPr>
          <w:rFonts w:ascii="Times New Roman" w:hAnsi="Times New Roman"/>
          <w:b/>
        </w:rPr>
        <w:t>ift</w:t>
      </w:r>
      <w:r w:rsidR="002939E2">
        <w:rPr>
          <w:rFonts w:ascii="Times New Roman" w:hAnsi="Times New Roman"/>
          <w:b/>
        </w:rPr>
        <w:t>s to respondents</w:t>
      </w:r>
      <w:r w:rsidRPr="009A359C">
        <w:rPr>
          <w:rFonts w:ascii="Times New Roman" w:hAnsi="Times New Roman"/>
          <w:b/>
        </w:rPr>
        <w:t>:</w:t>
      </w:r>
    </w:p>
    <w:p w14:paraId="65FDC8EC" w14:textId="77777777" w:rsidR="00D90EC1" w:rsidRPr="009A359C" w:rsidRDefault="00D90EC1" w:rsidP="00EE5597">
      <w:pPr>
        <w:ind w:left="720" w:hanging="720"/>
        <w:rPr>
          <w:rFonts w:ascii="Times New Roman" w:hAnsi="Times New Roman"/>
          <w:sz w:val="24"/>
        </w:rPr>
      </w:pPr>
    </w:p>
    <w:p w14:paraId="5411E9FD" w14:textId="75810685" w:rsidR="00D90EC1" w:rsidRPr="009A359C" w:rsidRDefault="00EE5597" w:rsidP="00EE5597">
      <w:pPr>
        <w:ind w:left="720" w:hanging="720"/>
        <w:rPr>
          <w:rFonts w:ascii="Times New Roman" w:hAnsi="Times New Roman"/>
          <w:sz w:val="24"/>
        </w:rPr>
      </w:pPr>
      <w:r>
        <w:rPr>
          <w:rFonts w:ascii="Times New Roman" w:hAnsi="Times New Roman"/>
          <w:sz w:val="24"/>
        </w:rPr>
        <w:tab/>
      </w:r>
      <w:r w:rsidR="002939E2" w:rsidRPr="002939E2">
        <w:rPr>
          <w:rFonts w:ascii="Times New Roman" w:hAnsi="Times New Roman"/>
          <w:sz w:val="24"/>
        </w:rPr>
        <w:t>There is no intent by NCUA to provide payment or gifts for information collected</w:t>
      </w:r>
      <w:r w:rsidR="00AD056A" w:rsidRPr="009A359C">
        <w:rPr>
          <w:rFonts w:ascii="Times New Roman" w:hAnsi="Times New Roman"/>
          <w:sz w:val="24"/>
        </w:rPr>
        <w:t>.</w:t>
      </w:r>
    </w:p>
    <w:p w14:paraId="4E4A6A19" w14:textId="77777777" w:rsidR="00D90EC1" w:rsidRPr="009A359C" w:rsidRDefault="00D90EC1" w:rsidP="00EE5597">
      <w:pPr>
        <w:ind w:left="720" w:hanging="720"/>
        <w:rPr>
          <w:rFonts w:ascii="Times New Roman" w:hAnsi="Times New Roman"/>
          <w:sz w:val="24"/>
        </w:rPr>
      </w:pPr>
    </w:p>
    <w:p w14:paraId="17D51D19" w14:textId="043034B3" w:rsidR="00D90EC1" w:rsidRPr="00EE5597" w:rsidRDefault="00114D0F" w:rsidP="00EE5597">
      <w:pPr>
        <w:pStyle w:val="ListParagraph"/>
        <w:numPr>
          <w:ilvl w:val="0"/>
          <w:numId w:val="5"/>
        </w:numPr>
        <w:ind w:hanging="720"/>
        <w:rPr>
          <w:rFonts w:ascii="Times New Roman" w:hAnsi="Times New Roman"/>
          <w:b/>
          <w:sz w:val="24"/>
        </w:rPr>
      </w:pPr>
      <w:r w:rsidRPr="00EE5597">
        <w:rPr>
          <w:rFonts w:ascii="Times New Roman" w:hAnsi="Times New Roman"/>
          <w:b/>
          <w:sz w:val="24"/>
        </w:rPr>
        <w:t>Assurance of c</w:t>
      </w:r>
      <w:r w:rsidR="00D90EC1" w:rsidRPr="00EE5597">
        <w:rPr>
          <w:rFonts w:ascii="Times New Roman" w:hAnsi="Times New Roman"/>
          <w:b/>
          <w:sz w:val="24"/>
        </w:rPr>
        <w:t>onfidentiality:</w:t>
      </w:r>
    </w:p>
    <w:p w14:paraId="65C9FDA7" w14:textId="77777777" w:rsidR="00D90EC1" w:rsidRPr="009A359C" w:rsidRDefault="00D90EC1" w:rsidP="00EE5597">
      <w:pPr>
        <w:ind w:left="720" w:hanging="720"/>
        <w:rPr>
          <w:rFonts w:ascii="Times New Roman" w:hAnsi="Times New Roman"/>
          <w:sz w:val="24"/>
        </w:rPr>
      </w:pPr>
    </w:p>
    <w:p w14:paraId="1114EB01" w14:textId="3A74B05C" w:rsidR="00D90EC1" w:rsidRPr="009A359C" w:rsidRDefault="00EE5597" w:rsidP="00EE5597">
      <w:pPr>
        <w:ind w:left="720" w:hanging="720"/>
        <w:rPr>
          <w:rFonts w:ascii="Times New Roman" w:hAnsi="Times New Roman"/>
          <w:sz w:val="24"/>
        </w:rPr>
      </w:pPr>
      <w:r>
        <w:rPr>
          <w:rFonts w:ascii="Times New Roman" w:hAnsi="Times New Roman"/>
          <w:sz w:val="24"/>
        </w:rPr>
        <w:tab/>
      </w:r>
      <w:r w:rsidR="00114D0F" w:rsidRPr="00114D0F">
        <w:rPr>
          <w:rFonts w:ascii="Times New Roman" w:hAnsi="Times New Roman"/>
          <w:sz w:val="24"/>
        </w:rPr>
        <w:t>There is no assurance of confidentiality other than that provided by law</w:t>
      </w:r>
      <w:r w:rsidR="00D90EC1" w:rsidRPr="009A359C">
        <w:rPr>
          <w:rFonts w:ascii="Times New Roman" w:hAnsi="Times New Roman"/>
          <w:sz w:val="24"/>
        </w:rPr>
        <w:t xml:space="preserve">.  </w:t>
      </w:r>
    </w:p>
    <w:p w14:paraId="6A883816" w14:textId="77777777" w:rsidR="00D90EC1" w:rsidRPr="009A359C" w:rsidRDefault="00D90EC1" w:rsidP="00EE5597">
      <w:pPr>
        <w:ind w:left="720" w:hanging="720"/>
        <w:rPr>
          <w:rFonts w:ascii="Times New Roman" w:hAnsi="Times New Roman"/>
          <w:sz w:val="24"/>
        </w:rPr>
      </w:pPr>
    </w:p>
    <w:p w14:paraId="06DCA313" w14:textId="5CB2F8C6" w:rsidR="00D90EC1" w:rsidRPr="00EE5597" w:rsidRDefault="008F04B4" w:rsidP="00EE5597">
      <w:pPr>
        <w:pStyle w:val="ListParagraph"/>
        <w:numPr>
          <w:ilvl w:val="0"/>
          <w:numId w:val="5"/>
        </w:numPr>
        <w:ind w:hanging="720"/>
        <w:rPr>
          <w:rFonts w:ascii="Times New Roman" w:hAnsi="Times New Roman"/>
          <w:b/>
          <w:sz w:val="24"/>
        </w:rPr>
      </w:pPr>
      <w:r w:rsidRPr="00EE5597">
        <w:rPr>
          <w:rFonts w:ascii="Times New Roman" w:hAnsi="Times New Roman"/>
          <w:b/>
          <w:sz w:val="24"/>
        </w:rPr>
        <w:t>Questions</w:t>
      </w:r>
      <w:r w:rsidR="00CE3975" w:rsidRPr="00EE5597">
        <w:rPr>
          <w:rFonts w:ascii="Times New Roman" w:hAnsi="Times New Roman"/>
          <w:b/>
          <w:sz w:val="24"/>
        </w:rPr>
        <w:t xml:space="preserve"> of a sensitive nature</w:t>
      </w:r>
      <w:r w:rsidR="00D90EC1" w:rsidRPr="00EE5597">
        <w:rPr>
          <w:rFonts w:ascii="Times New Roman" w:hAnsi="Times New Roman"/>
          <w:b/>
          <w:sz w:val="24"/>
        </w:rPr>
        <w:t>:</w:t>
      </w:r>
    </w:p>
    <w:p w14:paraId="5968C5C6" w14:textId="77777777" w:rsidR="00D90EC1" w:rsidRPr="009A359C" w:rsidRDefault="00D90EC1" w:rsidP="00D90EC1">
      <w:pPr>
        <w:rPr>
          <w:rFonts w:ascii="Times New Roman" w:hAnsi="Times New Roman"/>
          <w:sz w:val="24"/>
        </w:rPr>
      </w:pPr>
    </w:p>
    <w:p w14:paraId="23782DC6" w14:textId="6C9D6EFB" w:rsidR="00D90EC1" w:rsidRPr="009A359C" w:rsidRDefault="00D90EC1" w:rsidP="00EE5597">
      <w:pPr>
        <w:ind w:left="720"/>
        <w:rPr>
          <w:rFonts w:ascii="Times New Roman" w:hAnsi="Times New Roman"/>
          <w:sz w:val="24"/>
        </w:rPr>
      </w:pPr>
      <w:r w:rsidRPr="00145627">
        <w:rPr>
          <w:rFonts w:ascii="Times New Roman" w:hAnsi="Times New Roman"/>
          <w:sz w:val="24"/>
        </w:rPr>
        <w:t xml:space="preserve">No questions of a sensitive nature are </w:t>
      </w:r>
      <w:r w:rsidR="00FF517E" w:rsidRPr="00145627">
        <w:rPr>
          <w:rFonts w:ascii="Times New Roman" w:hAnsi="Times New Roman"/>
          <w:sz w:val="24"/>
        </w:rPr>
        <w:t>asked.  The information collection does not collect any Personally Identifiable Information.</w:t>
      </w:r>
    </w:p>
    <w:p w14:paraId="5480CD89" w14:textId="77777777" w:rsidR="00D90EC1" w:rsidRPr="009A359C" w:rsidRDefault="00D90EC1" w:rsidP="00D90EC1">
      <w:pPr>
        <w:rPr>
          <w:rFonts w:ascii="Times New Roman" w:hAnsi="Times New Roman"/>
          <w:sz w:val="24"/>
        </w:rPr>
      </w:pPr>
    </w:p>
    <w:p w14:paraId="6C59DAFB" w14:textId="180E4517" w:rsidR="00F350E6" w:rsidRPr="00EE5597" w:rsidRDefault="00D90EC1" w:rsidP="00EE5597">
      <w:pPr>
        <w:pStyle w:val="ListParagraph"/>
        <w:numPr>
          <w:ilvl w:val="0"/>
          <w:numId w:val="5"/>
        </w:numPr>
        <w:ind w:hanging="720"/>
        <w:rPr>
          <w:rFonts w:ascii="Times New Roman" w:hAnsi="Times New Roman"/>
          <w:sz w:val="24"/>
        </w:rPr>
      </w:pPr>
      <w:r w:rsidRPr="00EE5597">
        <w:rPr>
          <w:rFonts w:ascii="Times New Roman" w:hAnsi="Times New Roman"/>
          <w:b/>
          <w:sz w:val="24"/>
        </w:rPr>
        <w:t xml:space="preserve">Burden </w:t>
      </w:r>
      <w:r w:rsidR="003B1738" w:rsidRPr="00EE5597">
        <w:rPr>
          <w:rFonts w:ascii="Times New Roman" w:hAnsi="Times New Roman"/>
          <w:b/>
          <w:sz w:val="24"/>
        </w:rPr>
        <w:t xml:space="preserve">of </w:t>
      </w:r>
      <w:r w:rsidR="00CE3975" w:rsidRPr="00EE5597">
        <w:rPr>
          <w:rFonts w:ascii="Times New Roman" w:hAnsi="Times New Roman"/>
          <w:b/>
          <w:sz w:val="24"/>
        </w:rPr>
        <w:t>i</w:t>
      </w:r>
      <w:r w:rsidR="003B1738" w:rsidRPr="00EE5597">
        <w:rPr>
          <w:rFonts w:ascii="Times New Roman" w:hAnsi="Times New Roman"/>
          <w:b/>
          <w:sz w:val="24"/>
        </w:rPr>
        <w:t xml:space="preserve">nformation </w:t>
      </w:r>
      <w:r w:rsidR="00CE3975" w:rsidRPr="00EE5597">
        <w:rPr>
          <w:rFonts w:ascii="Times New Roman" w:hAnsi="Times New Roman"/>
          <w:b/>
          <w:sz w:val="24"/>
        </w:rPr>
        <w:t>c</w:t>
      </w:r>
      <w:r w:rsidR="003B1738" w:rsidRPr="00EE5597">
        <w:rPr>
          <w:rFonts w:ascii="Times New Roman" w:hAnsi="Times New Roman"/>
          <w:b/>
          <w:sz w:val="24"/>
        </w:rPr>
        <w:t>ollection</w:t>
      </w:r>
      <w:r w:rsidR="00F350E6" w:rsidRPr="00EE5597">
        <w:rPr>
          <w:rFonts w:ascii="Times New Roman" w:hAnsi="Times New Roman"/>
          <w:b/>
          <w:sz w:val="24"/>
        </w:rPr>
        <w:t>:</w:t>
      </w:r>
    </w:p>
    <w:p w14:paraId="4E32C3B2" w14:textId="77777777" w:rsidR="00F350E6" w:rsidRPr="009A359C" w:rsidRDefault="00F350E6" w:rsidP="003B1738">
      <w:pPr>
        <w:rPr>
          <w:rFonts w:ascii="Times New Roman" w:hAnsi="Times New Roman"/>
          <w:sz w:val="24"/>
        </w:rPr>
      </w:pPr>
    </w:p>
    <w:p w14:paraId="0C8A6EE4" w14:textId="623F020C" w:rsidR="001C6BE0" w:rsidRPr="009A359C" w:rsidRDefault="00EE5597" w:rsidP="00EE5597">
      <w:pPr>
        <w:tabs>
          <w:tab w:val="right" w:leader="dot" w:pos="8370"/>
        </w:tabs>
        <w:ind w:left="720"/>
        <w:rPr>
          <w:rFonts w:ascii="Times New Roman" w:hAnsi="Times New Roman"/>
          <w:sz w:val="24"/>
        </w:rPr>
      </w:pPr>
      <w:r>
        <w:rPr>
          <w:rFonts w:ascii="Times New Roman" w:hAnsi="Times New Roman"/>
          <w:sz w:val="24"/>
        </w:rPr>
        <w:tab/>
      </w:r>
      <w:r w:rsidR="00575C64" w:rsidRPr="009A359C">
        <w:rPr>
          <w:rFonts w:ascii="Times New Roman" w:hAnsi="Times New Roman"/>
          <w:sz w:val="24"/>
        </w:rPr>
        <w:t xml:space="preserve">The number of respondents includes the total number of </w:t>
      </w:r>
      <w:r w:rsidR="00883487" w:rsidRPr="009A359C">
        <w:rPr>
          <w:rFonts w:ascii="Times New Roman" w:hAnsi="Times New Roman"/>
          <w:sz w:val="24"/>
        </w:rPr>
        <w:t>credit unions</w:t>
      </w:r>
      <w:r w:rsidR="00A671FF" w:rsidRPr="009A359C">
        <w:rPr>
          <w:rFonts w:ascii="Times New Roman" w:hAnsi="Times New Roman"/>
          <w:sz w:val="24"/>
        </w:rPr>
        <w:t xml:space="preserve"> based on </w:t>
      </w:r>
      <w:r w:rsidR="00883487" w:rsidRPr="009A359C">
        <w:rPr>
          <w:rFonts w:ascii="Times New Roman" w:hAnsi="Times New Roman"/>
          <w:sz w:val="24"/>
        </w:rPr>
        <w:t xml:space="preserve">NCUA </w:t>
      </w:r>
      <w:r w:rsidR="00883487" w:rsidRPr="009A359C">
        <w:rPr>
          <w:rFonts w:ascii="Times New Roman" w:hAnsi="Times New Roman"/>
          <w:sz w:val="24"/>
        </w:rPr>
        <w:lastRenderedPageBreak/>
        <w:t xml:space="preserve">Call Report ending </w:t>
      </w:r>
      <w:r w:rsidR="000C3386">
        <w:rPr>
          <w:rFonts w:ascii="Times New Roman" w:hAnsi="Times New Roman"/>
          <w:sz w:val="24"/>
        </w:rPr>
        <w:t>o</w:t>
      </w:r>
      <w:r w:rsidR="00883487" w:rsidRPr="009A359C">
        <w:rPr>
          <w:rFonts w:ascii="Times New Roman" w:hAnsi="Times New Roman"/>
          <w:sz w:val="24"/>
        </w:rPr>
        <w:t xml:space="preserve">n </w:t>
      </w:r>
      <w:r w:rsidR="000C3386">
        <w:rPr>
          <w:rFonts w:ascii="Times New Roman" w:hAnsi="Times New Roman"/>
          <w:sz w:val="24"/>
        </w:rPr>
        <w:t>Q</w:t>
      </w:r>
      <w:r w:rsidR="00314946">
        <w:rPr>
          <w:rFonts w:ascii="Times New Roman" w:hAnsi="Times New Roman"/>
          <w:sz w:val="24"/>
        </w:rPr>
        <w:t>4</w:t>
      </w:r>
      <w:r w:rsidR="000C3386">
        <w:rPr>
          <w:rFonts w:ascii="Times New Roman" w:hAnsi="Times New Roman"/>
          <w:sz w:val="24"/>
        </w:rPr>
        <w:t xml:space="preserve"> </w:t>
      </w:r>
      <w:r w:rsidR="00883487" w:rsidRPr="009A359C">
        <w:rPr>
          <w:rFonts w:ascii="Times New Roman" w:hAnsi="Times New Roman"/>
          <w:sz w:val="24"/>
        </w:rPr>
        <w:t>201</w:t>
      </w:r>
      <w:r w:rsidR="00314946">
        <w:rPr>
          <w:rFonts w:ascii="Times New Roman" w:hAnsi="Times New Roman"/>
          <w:sz w:val="24"/>
        </w:rPr>
        <w:t>9</w:t>
      </w:r>
      <w:r w:rsidR="00883487" w:rsidRPr="009A359C">
        <w:rPr>
          <w:rFonts w:ascii="Times New Roman" w:hAnsi="Times New Roman"/>
          <w:sz w:val="24"/>
        </w:rPr>
        <w:t>.</w:t>
      </w:r>
    </w:p>
    <w:p w14:paraId="35CCD188" w14:textId="77777777" w:rsidR="001C6BE0" w:rsidRPr="009A359C" w:rsidRDefault="001C6BE0" w:rsidP="00EE5597">
      <w:pPr>
        <w:tabs>
          <w:tab w:val="right" w:leader="dot" w:pos="8370"/>
        </w:tabs>
        <w:ind w:left="720"/>
        <w:rPr>
          <w:rFonts w:ascii="Times New Roman" w:hAnsi="Times New Roman"/>
          <w:sz w:val="24"/>
        </w:rPr>
      </w:pPr>
    </w:p>
    <w:p w14:paraId="0D8F2ACC" w14:textId="26BF4EFC" w:rsidR="00D90EC1" w:rsidRPr="009A359C" w:rsidRDefault="00883487" w:rsidP="00EE5597">
      <w:pPr>
        <w:widowControl/>
        <w:tabs>
          <w:tab w:val="right" w:leader="dot" w:pos="8370"/>
        </w:tabs>
        <w:autoSpaceDE/>
        <w:autoSpaceDN/>
        <w:adjustRightInd/>
        <w:ind w:left="720"/>
        <w:rPr>
          <w:rFonts w:ascii="Times New Roman" w:hAnsi="Times New Roman"/>
          <w:bCs/>
          <w:sz w:val="24"/>
        </w:rPr>
      </w:pPr>
      <w:r w:rsidRPr="009A359C">
        <w:rPr>
          <w:rFonts w:ascii="Times New Roman" w:hAnsi="Times New Roman"/>
          <w:bCs/>
          <w:sz w:val="24"/>
        </w:rPr>
        <w:t>Total</w:t>
      </w:r>
      <w:r w:rsidR="00D90EC1" w:rsidRPr="009A359C">
        <w:rPr>
          <w:rFonts w:ascii="Times New Roman" w:hAnsi="Times New Roman"/>
          <w:bCs/>
          <w:sz w:val="24"/>
        </w:rPr>
        <w:t xml:space="preserve"> </w:t>
      </w:r>
      <w:r w:rsidR="001B3641" w:rsidRPr="009A359C">
        <w:rPr>
          <w:rFonts w:ascii="Times New Roman" w:hAnsi="Times New Roman"/>
          <w:bCs/>
          <w:sz w:val="24"/>
        </w:rPr>
        <w:t>c</w:t>
      </w:r>
      <w:r w:rsidR="00D90EC1" w:rsidRPr="009A359C">
        <w:rPr>
          <w:rFonts w:ascii="Times New Roman" w:hAnsi="Times New Roman"/>
          <w:bCs/>
          <w:sz w:val="24"/>
        </w:rPr>
        <w:t xml:space="preserve">redit </w:t>
      </w:r>
      <w:r w:rsidR="001B3641" w:rsidRPr="009A359C">
        <w:rPr>
          <w:rFonts w:ascii="Times New Roman" w:hAnsi="Times New Roman"/>
          <w:bCs/>
          <w:sz w:val="24"/>
        </w:rPr>
        <w:t>u</w:t>
      </w:r>
      <w:r w:rsidR="00D90EC1" w:rsidRPr="009A359C">
        <w:rPr>
          <w:rFonts w:ascii="Times New Roman" w:hAnsi="Times New Roman"/>
          <w:bCs/>
          <w:sz w:val="24"/>
        </w:rPr>
        <w:t>nion</w:t>
      </w:r>
      <w:r w:rsidR="001B3641" w:rsidRPr="009A359C">
        <w:rPr>
          <w:rFonts w:ascii="Times New Roman" w:hAnsi="Times New Roman"/>
          <w:bCs/>
          <w:sz w:val="24"/>
        </w:rPr>
        <w:t xml:space="preserve"> c</w:t>
      </w:r>
      <w:r w:rsidRPr="009A359C">
        <w:rPr>
          <w:rFonts w:ascii="Times New Roman" w:hAnsi="Times New Roman"/>
          <w:bCs/>
          <w:sz w:val="24"/>
        </w:rPr>
        <w:t>ount</w:t>
      </w:r>
      <w:r w:rsidR="00EE5597">
        <w:rPr>
          <w:rFonts w:ascii="Times New Roman" w:hAnsi="Times New Roman"/>
          <w:bCs/>
          <w:sz w:val="24"/>
        </w:rPr>
        <w:t>:</w:t>
      </w:r>
      <w:r w:rsidR="00D90EC1" w:rsidRPr="009A359C">
        <w:rPr>
          <w:rFonts w:ascii="Times New Roman" w:hAnsi="Times New Roman"/>
          <w:bCs/>
          <w:sz w:val="24"/>
        </w:rPr>
        <w:tab/>
      </w:r>
      <w:r w:rsidR="00314946">
        <w:rPr>
          <w:rFonts w:ascii="Times New Roman" w:hAnsi="Times New Roman"/>
          <w:bCs/>
          <w:sz w:val="24"/>
        </w:rPr>
        <w:t>5,349</w:t>
      </w:r>
    </w:p>
    <w:p w14:paraId="48698629" w14:textId="77777777" w:rsidR="00D90EC1" w:rsidRPr="009A359C" w:rsidRDefault="00D90EC1" w:rsidP="00EE5597">
      <w:pPr>
        <w:tabs>
          <w:tab w:val="right" w:leader="dot" w:pos="8370"/>
        </w:tabs>
        <w:ind w:left="720"/>
        <w:rPr>
          <w:rFonts w:ascii="Times New Roman" w:hAnsi="Times New Roman"/>
          <w:bCs/>
          <w:sz w:val="24"/>
        </w:rPr>
      </w:pPr>
    </w:p>
    <w:p w14:paraId="134CB9A0" w14:textId="44A08D18" w:rsidR="00D90EC1" w:rsidRPr="009A359C" w:rsidRDefault="00D90EC1" w:rsidP="00EE5597">
      <w:pPr>
        <w:tabs>
          <w:tab w:val="right" w:leader="dot" w:pos="8370"/>
        </w:tabs>
        <w:ind w:left="720" w:firstLine="720"/>
        <w:rPr>
          <w:rFonts w:ascii="Times New Roman" w:hAnsi="Times New Roman"/>
          <w:bCs/>
          <w:sz w:val="24"/>
        </w:rPr>
      </w:pPr>
      <w:r w:rsidRPr="009A359C">
        <w:rPr>
          <w:rFonts w:ascii="Times New Roman" w:hAnsi="Times New Roman"/>
          <w:bCs/>
          <w:sz w:val="24"/>
        </w:rPr>
        <w:t>Federal</w:t>
      </w:r>
      <w:r w:rsidR="00883487" w:rsidRPr="009A359C">
        <w:rPr>
          <w:rFonts w:ascii="Times New Roman" w:hAnsi="Times New Roman"/>
          <w:bCs/>
          <w:sz w:val="24"/>
        </w:rPr>
        <w:t>ly chartered, federally insured</w:t>
      </w:r>
      <w:r w:rsidR="00EE5597">
        <w:rPr>
          <w:rFonts w:ascii="Times New Roman" w:hAnsi="Times New Roman"/>
          <w:bCs/>
          <w:sz w:val="24"/>
        </w:rPr>
        <w:t xml:space="preserve"> credit unions:</w:t>
      </w:r>
      <w:r w:rsidR="00EE5597">
        <w:rPr>
          <w:rFonts w:ascii="Times New Roman" w:hAnsi="Times New Roman"/>
          <w:bCs/>
          <w:sz w:val="24"/>
        </w:rPr>
        <w:tab/>
      </w:r>
      <w:r w:rsidR="00314946">
        <w:rPr>
          <w:rFonts w:ascii="Times New Roman" w:hAnsi="Times New Roman"/>
          <w:bCs/>
          <w:sz w:val="24"/>
        </w:rPr>
        <w:t>3,283</w:t>
      </w:r>
    </w:p>
    <w:p w14:paraId="0179E3BB" w14:textId="5E49183E" w:rsidR="00D90EC1" w:rsidRPr="009A359C" w:rsidRDefault="00D90EC1" w:rsidP="00EE5597">
      <w:pPr>
        <w:tabs>
          <w:tab w:val="right" w:leader="dot" w:pos="8370"/>
        </w:tabs>
        <w:ind w:left="720"/>
        <w:rPr>
          <w:rFonts w:ascii="Times New Roman" w:hAnsi="Times New Roman"/>
          <w:bCs/>
          <w:sz w:val="24"/>
        </w:rPr>
      </w:pPr>
    </w:p>
    <w:p w14:paraId="3C221DAE" w14:textId="5009C0AA" w:rsidR="00D90EC1" w:rsidRPr="009A359C" w:rsidRDefault="00D90EC1" w:rsidP="00EE5597">
      <w:pPr>
        <w:tabs>
          <w:tab w:val="right" w:leader="dot" w:pos="8370"/>
        </w:tabs>
        <w:ind w:left="720" w:firstLine="720"/>
        <w:rPr>
          <w:rFonts w:ascii="Times New Roman" w:hAnsi="Times New Roman"/>
          <w:bCs/>
          <w:sz w:val="24"/>
        </w:rPr>
      </w:pPr>
      <w:r w:rsidRPr="009A359C">
        <w:rPr>
          <w:rFonts w:ascii="Times New Roman" w:hAnsi="Times New Roman"/>
          <w:bCs/>
          <w:sz w:val="24"/>
        </w:rPr>
        <w:t>State chartered, fe</w:t>
      </w:r>
      <w:r w:rsidR="00EE5597">
        <w:rPr>
          <w:rFonts w:ascii="Times New Roman" w:hAnsi="Times New Roman"/>
          <w:bCs/>
          <w:sz w:val="24"/>
        </w:rPr>
        <w:t>derally-insured credit unions:</w:t>
      </w:r>
      <w:r w:rsidR="00EE5597">
        <w:rPr>
          <w:rFonts w:ascii="Times New Roman" w:hAnsi="Times New Roman"/>
          <w:bCs/>
          <w:sz w:val="24"/>
        </w:rPr>
        <w:tab/>
      </w:r>
      <w:r w:rsidR="00314946">
        <w:rPr>
          <w:rFonts w:ascii="Times New Roman" w:hAnsi="Times New Roman"/>
          <w:bCs/>
          <w:sz w:val="24"/>
        </w:rPr>
        <w:t>1,953</w:t>
      </w:r>
    </w:p>
    <w:p w14:paraId="03D95E27" w14:textId="18936668" w:rsidR="00D90EC1" w:rsidRPr="009A359C" w:rsidRDefault="00D90EC1" w:rsidP="00EE5597">
      <w:pPr>
        <w:tabs>
          <w:tab w:val="right" w:leader="dot" w:pos="8370"/>
        </w:tabs>
        <w:ind w:left="720"/>
        <w:rPr>
          <w:rFonts w:ascii="Times New Roman" w:hAnsi="Times New Roman"/>
          <w:bCs/>
          <w:sz w:val="24"/>
        </w:rPr>
      </w:pPr>
    </w:p>
    <w:p w14:paraId="44FDB71D" w14:textId="724C7B47" w:rsidR="00D90EC1" w:rsidRPr="009A359C" w:rsidRDefault="00D90EC1" w:rsidP="00EE5597">
      <w:pPr>
        <w:tabs>
          <w:tab w:val="right" w:leader="dot" w:pos="8370"/>
        </w:tabs>
        <w:ind w:left="720" w:firstLine="720"/>
        <w:rPr>
          <w:rFonts w:ascii="Times New Roman" w:hAnsi="Times New Roman"/>
          <w:bCs/>
          <w:sz w:val="24"/>
        </w:rPr>
      </w:pPr>
      <w:r w:rsidRPr="009A359C">
        <w:rPr>
          <w:rFonts w:ascii="Times New Roman" w:hAnsi="Times New Roman"/>
          <w:bCs/>
          <w:sz w:val="24"/>
        </w:rPr>
        <w:t xml:space="preserve">State chartered, </w:t>
      </w:r>
      <w:r w:rsidR="00883487" w:rsidRPr="009A359C">
        <w:rPr>
          <w:rFonts w:ascii="Times New Roman" w:hAnsi="Times New Roman"/>
          <w:bCs/>
          <w:sz w:val="24"/>
        </w:rPr>
        <w:t xml:space="preserve">not federally </w:t>
      </w:r>
      <w:r w:rsidR="00EE5597">
        <w:rPr>
          <w:rFonts w:ascii="Times New Roman" w:hAnsi="Times New Roman"/>
          <w:bCs/>
          <w:sz w:val="24"/>
        </w:rPr>
        <w:t>insured credit unions:</w:t>
      </w:r>
      <w:r w:rsidR="00EE5597">
        <w:rPr>
          <w:rFonts w:ascii="Times New Roman" w:hAnsi="Times New Roman"/>
          <w:bCs/>
          <w:sz w:val="24"/>
        </w:rPr>
        <w:tab/>
      </w:r>
      <w:r w:rsidR="00314946">
        <w:rPr>
          <w:rFonts w:ascii="Times New Roman" w:hAnsi="Times New Roman"/>
          <w:bCs/>
          <w:sz w:val="24"/>
        </w:rPr>
        <w:t>113</w:t>
      </w:r>
    </w:p>
    <w:p w14:paraId="5466AF2C" w14:textId="77777777" w:rsidR="00D90EC1" w:rsidRPr="009A359C" w:rsidRDefault="00D90EC1" w:rsidP="00EE5597">
      <w:pPr>
        <w:tabs>
          <w:tab w:val="right" w:leader="dot" w:pos="8370"/>
        </w:tabs>
        <w:ind w:left="720"/>
        <w:rPr>
          <w:rFonts w:ascii="Times New Roman" w:hAnsi="Times New Roman"/>
          <w:bCs/>
          <w:sz w:val="24"/>
        </w:rPr>
      </w:pPr>
    </w:p>
    <w:p w14:paraId="025B0A72" w14:textId="77777777" w:rsidR="000367BD" w:rsidRDefault="000C4DBB" w:rsidP="00EE5597">
      <w:pPr>
        <w:tabs>
          <w:tab w:val="right" w:leader="dot" w:pos="8370"/>
        </w:tabs>
        <w:ind w:left="720"/>
        <w:rPr>
          <w:rFonts w:ascii="Times New Roman" w:hAnsi="Times New Roman"/>
          <w:bCs/>
          <w:sz w:val="24"/>
        </w:rPr>
      </w:pPr>
      <w:r w:rsidRPr="009A359C">
        <w:rPr>
          <w:rFonts w:ascii="Times New Roman" w:hAnsi="Times New Roman"/>
          <w:bCs/>
          <w:sz w:val="24"/>
        </w:rPr>
        <w:t xml:space="preserve">Less </w:t>
      </w:r>
      <w:r w:rsidR="001B3641" w:rsidRPr="009A359C">
        <w:rPr>
          <w:rFonts w:ascii="Times New Roman" w:hAnsi="Times New Roman"/>
          <w:bCs/>
          <w:sz w:val="24"/>
        </w:rPr>
        <w:t>n</w:t>
      </w:r>
      <w:r w:rsidR="00DD0B5B" w:rsidRPr="009A359C">
        <w:rPr>
          <w:rFonts w:ascii="Times New Roman" w:hAnsi="Times New Roman"/>
          <w:bCs/>
          <w:sz w:val="24"/>
        </w:rPr>
        <w:t xml:space="preserve">on-automated federally-insured </w:t>
      </w:r>
      <w:r w:rsidR="00D90EC1" w:rsidRPr="009A359C">
        <w:rPr>
          <w:rFonts w:ascii="Times New Roman" w:hAnsi="Times New Roman"/>
          <w:bCs/>
          <w:sz w:val="24"/>
        </w:rPr>
        <w:t xml:space="preserve">credit unions </w:t>
      </w:r>
    </w:p>
    <w:p w14:paraId="79AC7A9F" w14:textId="7E5A3519" w:rsidR="00D90EC1" w:rsidRPr="009A359C" w:rsidRDefault="00D90EC1" w:rsidP="00EE5597">
      <w:pPr>
        <w:tabs>
          <w:tab w:val="right" w:leader="dot" w:pos="8370"/>
        </w:tabs>
        <w:ind w:left="720"/>
        <w:rPr>
          <w:rFonts w:ascii="Times New Roman" w:hAnsi="Times New Roman"/>
          <w:b/>
          <w:bCs/>
          <w:sz w:val="24"/>
        </w:rPr>
      </w:pPr>
      <w:r w:rsidRPr="009A359C">
        <w:rPr>
          <w:rFonts w:ascii="Times New Roman" w:hAnsi="Times New Roman"/>
          <w:bCs/>
          <w:sz w:val="24"/>
        </w:rPr>
        <w:t>with assets under $</w:t>
      </w:r>
      <w:r w:rsidR="00DD0B5B" w:rsidRPr="009A359C">
        <w:rPr>
          <w:rFonts w:ascii="Times New Roman" w:hAnsi="Times New Roman"/>
          <w:bCs/>
          <w:sz w:val="24"/>
        </w:rPr>
        <w:t>2</w:t>
      </w:r>
      <w:r w:rsidRPr="009A359C">
        <w:rPr>
          <w:rFonts w:ascii="Times New Roman" w:hAnsi="Times New Roman"/>
          <w:bCs/>
          <w:sz w:val="24"/>
        </w:rPr>
        <w:t xml:space="preserve"> million</w:t>
      </w:r>
      <w:r w:rsidR="001B3641" w:rsidRPr="009A359C">
        <w:rPr>
          <w:rFonts w:ascii="Times New Roman" w:hAnsi="Times New Roman"/>
          <w:bCs/>
          <w:sz w:val="24"/>
        </w:rPr>
        <w:t xml:space="preserve"> (exempt)</w:t>
      </w:r>
      <w:r w:rsidR="00EE5597">
        <w:rPr>
          <w:rFonts w:ascii="Times New Roman" w:hAnsi="Times New Roman"/>
          <w:bCs/>
          <w:sz w:val="24"/>
        </w:rPr>
        <w:t>:</w:t>
      </w:r>
      <w:r w:rsidR="000367BD">
        <w:rPr>
          <w:rFonts w:ascii="Times New Roman" w:hAnsi="Times New Roman"/>
          <w:bCs/>
          <w:sz w:val="24"/>
        </w:rPr>
        <w:tab/>
      </w:r>
      <w:r w:rsidR="00314946">
        <w:rPr>
          <w:rFonts w:ascii="Times New Roman" w:hAnsi="Times New Roman"/>
          <w:bCs/>
          <w:sz w:val="24"/>
        </w:rPr>
        <w:t>27</w:t>
      </w:r>
    </w:p>
    <w:p w14:paraId="68E92357" w14:textId="77777777" w:rsidR="001B5912" w:rsidRPr="009A359C" w:rsidRDefault="001B5912" w:rsidP="00EE5597">
      <w:pPr>
        <w:tabs>
          <w:tab w:val="right" w:leader="dot" w:pos="8370"/>
        </w:tabs>
        <w:ind w:left="720"/>
        <w:rPr>
          <w:rFonts w:ascii="Times New Roman" w:hAnsi="Times New Roman"/>
          <w:b/>
          <w:bCs/>
          <w:sz w:val="24"/>
        </w:rPr>
      </w:pPr>
    </w:p>
    <w:p w14:paraId="52FDC201" w14:textId="25C08898" w:rsidR="001B5912" w:rsidRPr="009A359C" w:rsidRDefault="00EE5597" w:rsidP="00EE5597">
      <w:pPr>
        <w:tabs>
          <w:tab w:val="right" w:leader="dot" w:pos="8370"/>
        </w:tabs>
        <w:ind w:left="720"/>
        <w:rPr>
          <w:rFonts w:ascii="Times New Roman" w:hAnsi="Times New Roman"/>
          <w:bCs/>
          <w:sz w:val="24"/>
        </w:rPr>
      </w:pPr>
      <w:r>
        <w:rPr>
          <w:rFonts w:ascii="Times New Roman" w:hAnsi="Times New Roman"/>
          <w:bCs/>
          <w:sz w:val="24"/>
        </w:rPr>
        <w:t>Number of respondents</w:t>
      </w:r>
      <w:r w:rsidR="000367BD">
        <w:rPr>
          <w:rFonts w:ascii="Times New Roman" w:hAnsi="Times New Roman"/>
          <w:bCs/>
          <w:sz w:val="24"/>
        </w:rPr>
        <w:tab/>
      </w:r>
      <w:r w:rsidR="00314946">
        <w:rPr>
          <w:rFonts w:ascii="Times New Roman" w:hAnsi="Times New Roman"/>
          <w:bCs/>
          <w:sz w:val="24"/>
        </w:rPr>
        <w:t>5,322</w:t>
      </w:r>
    </w:p>
    <w:p w14:paraId="6C0894CD" w14:textId="77777777" w:rsidR="00D90EC1" w:rsidRPr="009A359C" w:rsidRDefault="00D90EC1" w:rsidP="00734764">
      <w:pPr>
        <w:rPr>
          <w:rFonts w:ascii="Times New Roman" w:hAnsi="Times New Roman"/>
          <w:sz w:val="24"/>
        </w:rPr>
      </w:pPr>
    </w:p>
    <w:tbl>
      <w:tblPr>
        <w:tblW w:w="8338" w:type="dxa"/>
        <w:tblInd w:w="93" w:type="dxa"/>
        <w:tblLook w:val="04A0" w:firstRow="1" w:lastRow="0" w:firstColumn="1" w:lastColumn="0" w:noHBand="0" w:noVBand="1"/>
      </w:tblPr>
      <w:tblGrid>
        <w:gridCol w:w="2757"/>
        <w:gridCol w:w="1443"/>
        <w:gridCol w:w="1236"/>
        <w:gridCol w:w="1168"/>
        <w:gridCol w:w="1734"/>
      </w:tblGrid>
      <w:tr w:rsidR="00400122" w:rsidRPr="009A359C" w14:paraId="217B4E48" w14:textId="77777777" w:rsidTr="00D402D8">
        <w:trPr>
          <w:trHeight w:val="710"/>
        </w:trPr>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160A7" w14:textId="77777777" w:rsidR="00400122" w:rsidRPr="00D402D8" w:rsidRDefault="00400122" w:rsidP="00683C1D">
            <w:pPr>
              <w:widowControl/>
              <w:autoSpaceDE/>
              <w:autoSpaceDN/>
              <w:adjustRightInd/>
              <w:jc w:val="center"/>
              <w:rPr>
                <w:rFonts w:ascii="Arial Narrow" w:hAnsi="Arial Narrow"/>
                <w:color w:val="000000"/>
                <w:szCs w:val="20"/>
              </w:rPr>
            </w:pPr>
            <w:r w:rsidRPr="00D402D8">
              <w:rPr>
                <w:rFonts w:ascii="Arial Narrow" w:hAnsi="Arial Narrow"/>
                <w:color w:val="000000"/>
                <w:szCs w:val="20"/>
              </w:rPr>
              <w:t>Truth in Savings                                  12 CFR Part 707</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0725BAF7" w14:textId="77777777" w:rsidR="00400122" w:rsidRPr="00D402D8" w:rsidRDefault="00400122" w:rsidP="00683C1D">
            <w:pPr>
              <w:widowControl/>
              <w:autoSpaceDE/>
              <w:autoSpaceDN/>
              <w:adjustRightInd/>
              <w:jc w:val="center"/>
              <w:rPr>
                <w:rFonts w:ascii="Arial Narrow" w:hAnsi="Arial Narrow"/>
                <w:color w:val="000000"/>
                <w:szCs w:val="20"/>
              </w:rPr>
            </w:pPr>
            <w:r w:rsidRPr="00D402D8">
              <w:rPr>
                <w:rFonts w:ascii="Arial Narrow" w:hAnsi="Arial Narrow"/>
                <w:color w:val="000000"/>
                <w:szCs w:val="20"/>
              </w:rPr>
              <w:t>Number of Respondents</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4D825678" w14:textId="77777777" w:rsidR="00400122" w:rsidRPr="00D402D8" w:rsidRDefault="00400122" w:rsidP="00683C1D">
            <w:pPr>
              <w:widowControl/>
              <w:autoSpaceDE/>
              <w:autoSpaceDN/>
              <w:adjustRightInd/>
              <w:jc w:val="center"/>
              <w:rPr>
                <w:rFonts w:ascii="Arial Narrow" w:hAnsi="Arial Narrow"/>
                <w:color w:val="000000"/>
                <w:szCs w:val="20"/>
              </w:rPr>
            </w:pPr>
            <w:r w:rsidRPr="00D402D8">
              <w:rPr>
                <w:rFonts w:ascii="Arial Narrow" w:hAnsi="Arial Narrow"/>
                <w:color w:val="000000"/>
                <w:szCs w:val="20"/>
              </w:rPr>
              <w:t>Estimated Annual Frequency</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65F22" w14:textId="77777777" w:rsidR="00400122" w:rsidRPr="00D402D8" w:rsidRDefault="00400122" w:rsidP="00683C1D">
            <w:pPr>
              <w:widowControl/>
              <w:autoSpaceDE/>
              <w:autoSpaceDN/>
              <w:adjustRightInd/>
              <w:jc w:val="center"/>
              <w:rPr>
                <w:rFonts w:ascii="Arial Narrow" w:hAnsi="Arial Narrow"/>
                <w:color w:val="000000"/>
                <w:szCs w:val="20"/>
              </w:rPr>
            </w:pPr>
            <w:r w:rsidRPr="00D402D8">
              <w:rPr>
                <w:rFonts w:ascii="Arial Narrow" w:hAnsi="Arial Narrow"/>
                <w:color w:val="000000"/>
                <w:szCs w:val="20"/>
              </w:rPr>
              <w:t>Average Time per Response</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14:paraId="3D5C8587" w14:textId="77777777" w:rsidR="00400122" w:rsidRPr="00D402D8" w:rsidRDefault="00400122" w:rsidP="00683C1D">
            <w:pPr>
              <w:widowControl/>
              <w:autoSpaceDE/>
              <w:autoSpaceDN/>
              <w:adjustRightInd/>
              <w:jc w:val="center"/>
              <w:rPr>
                <w:rFonts w:ascii="Arial Narrow" w:hAnsi="Arial Narrow"/>
                <w:color w:val="000000"/>
                <w:szCs w:val="20"/>
              </w:rPr>
            </w:pPr>
            <w:r w:rsidRPr="00D402D8">
              <w:rPr>
                <w:rFonts w:ascii="Arial Narrow" w:hAnsi="Arial Narrow"/>
                <w:color w:val="000000"/>
                <w:szCs w:val="20"/>
              </w:rPr>
              <w:t>Estimated Annual Burden Hours</w:t>
            </w:r>
          </w:p>
        </w:tc>
      </w:tr>
      <w:tr w:rsidR="00400122" w:rsidRPr="009A359C" w14:paraId="7782D05E" w14:textId="77777777" w:rsidTr="00400122">
        <w:trPr>
          <w:trHeight w:val="315"/>
        </w:trPr>
        <w:tc>
          <w:tcPr>
            <w:tcW w:w="2757" w:type="dxa"/>
            <w:tcBorders>
              <w:top w:val="nil"/>
              <w:left w:val="single" w:sz="4" w:space="0" w:color="auto"/>
              <w:bottom w:val="nil"/>
              <w:right w:val="single" w:sz="4" w:space="0" w:color="auto"/>
            </w:tcBorders>
            <w:shd w:val="clear" w:color="auto" w:fill="auto"/>
            <w:vAlign w:val="bottom"/>
            <w:hideMark/>
          </w:tcPr>
          <w:p w14:paraId="1276E984" w14:textId="77777777"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Account Disclosures (707.4)</w:t>
            </w:r>
          </w:p>
        </w:tc>
        <w:tc>
          <w:tcPr>
            <w:tcW w:w="1443" w:type="dxa"/>
            <w:tcBorders>
              <w:top w:val="nil"/>
              <w:left w:val="nil"/>
              <w:bottom w:val="single" w:sz="4" w:space="0" w:color="auto"/>
              <w:right w:val="single" w:sz="4" w:space="0" w:color="auto"/>
            </w:tcBorders>
            <w:shd w:val="clear" w:color="auto" w:fill="auto"/>
            <w:vAlign w:val="center"/>
            <w:hideMark/>
          </w:tcPr>
          <w:p w14:paraId="76E919C2" w14:textId="6F3164FC" w:rsidR="00400122" w:rsidRPr="009A359C" w:rsidRDefault="00B57F3F" w:rsidP="00436E5D">
            <w:pPr>
              <w:widowControl/>
              <w:autoSpaceDE/>
              <w:autoSpaceDN/>
              <w:adjustRightInd/>
              <w:jc w:val="center"/>
              <w:rPr>
                <w:rFonts w:ascii="Times New Roman" w:hAnsi="Times New Roman"/>
                <w:color w:val="000000"/>
                <w:sz w:val="24"/>
              </w:rPr>
            </w:pPr>
            <w:r>
              <w:rPr>
                <w:rFonts w:ascii="Times New Roman" w:hAnsi="Times New Roman"/>
                <w:bCs/>
                <w:sz w:val="24"/>
              </w:rPr>
              <w:t>5,322</w:t>
            </w:r>
          </w:p>
        </w:tc>
        <w:tc>
          <w:tcPr>
            <w:tcW w:w="1236" w:type="dxa"/>
            <w:tcBorders>
              <w:top w:val="nil"/>
              <w:left w:val="nil"/>
              <w:bottom w:val="single" w:sz="4" w:space="0" w:color="auto"/>
              <w:right w:val="single" w:sz="4" w:space="0" w:color="auto"/>
            </w:tcBorders>
            <w:shd w:val="clear" w:color="auto" w:fill="auto"/>
            <w:vAlign w:val="center"/>
            <w:hideMark/>
          </w:tcPr>
          <w:p w14:paraId="678E1924" w14:textId="77777777" w:rsidR="00400122" w:rsidRPr="009A359C" w:rsidRDefault="00400122" w:rsidP="00683C1D">
            <w:pPr>
              <w:widowControl/>
              <w:autoSpaceDE/>
              <w:autoSpaceDN/>
              <w:adjustRightInd/>
              <w:jc w:val="center"/>
              <w:rPr>
                <w:rFonts w:ascii="Times New Roman" w:hAnsi="Times New Roman"/>
                <w:color w:val="000000"/>
                <w:sz w:val="24"/>
              </w:rPr>
            </w:pPr>
            <w:r>
              <w:rPr>
                <w:rFonts w:ascii="Times New Roman" w:hAnsi="Times New Roman"/>
                <w:color w:val="000000"/>
                <w:sz w:val="24"/>
              </w:rPr>
              <w:t>170</w:t>
            </w:r>
          </w:p>
        </w:tc>
        <w:tc>
          <w:tcPr>
            <w:tcW w:w="1168" w:type="dxa"/>
            <w:tcBorders>
              <w:top w:val="nil"/>
              <w:left w:val="single" w:sz="4" w:space="0" w:color="auto"/>
              <w:bottom w:val="single" w:sz="4" w:space="0" w:color="auto"/>
              <w:right w:val="single" w:sz="4" w:space="0" w:color="auto"/>
            </w:tcBorders>
            <w:shd w:val="clear" w:color="auto" w:fill="auto"/>
            <w:vAlign w:val="center"/>
            <w:hideMark/>
          </w:tcPr>
          <w:p w14:paraId="0735CB94" w14:textId="77777777" w:rsidR="00400122" w:rsidRPr="009A359C" w:rsidRDefault="00400122" w:rsidP="00683C1D">
            <w:pPr>
              <w:widowControl/>
              <w:autoSpaceDE/>
              <w:autoSpaceDN/>
              <w:adjustRightInd/>
              <w:jc w:val="center"/>
              <w:rPr>
                <w:rFonts w:ascii="Times New Roman" w:hAnsi="Times New Roman"/>
                <w:color w:val="000000"/>
                <w:sz w:val="24"/>
              </w:rPr>
            </w:pPr>
            <w:r>
              <w:rPr>
                <w:rFonts w:ascii="Times New Roman" w:hAnsi="Times New Roman"/>
                <w:color w:val="000000"/>
                <w:sz w:val="24"/>
              </w:rPr>
              <w:t>1.5 minutes</w:t>
            </w:r>
          </w:p>
        </w:tc>
        <w:tc>
          <w:tcPr>
            <w:tcW w:w="1734" w:type="dxa"/>
            <w:tcBorders>
              <w:top w:val="nil"/>
              <w:left w:val="nil"/>
              <w:bottom w:val="single" w:sz="4" w:space="0" w:color="auto"/>
              <w:right w:val="single" w:sz="4" w:space="0" w:color="auto"/>
            </w:tcBorders>
            <w:shd w:val="clear" w:color="auto" w:fill="auto"/>
            <w:vAlign w:val="center"/>
            <w:hideMark/>
          </w:tcPr>
          <w:p w14:paraId="35CF948E" w14:textId="54FC1919" w:rsidR="00400122" w:rsidRPr="00E311B3" w:rsidRDefault="00E2153E" w:rsidP="00C12F66">
            <w:pPr>
              <w:widowControl/>
              <w:autoSpaceDE/>
              <w:autoSpaceDN/>
              <w:adjustRightInd/>
              <w:jc w:val="center"/>
              <w:rPr>
                <w:rFonts w:ascii="Times New Roman" w:hAnsi="Times New Roman"/>
                <w:color w:val="000000"/>
                <w:sz w:val="24"/>
                <w:highlight w:val="yellow"/>
              </w:rPr>
            </w:pPr>
            <w:r>
              <w:rPr>
                <w:rFonts w:ascii="Times New Roman" w:hAnsi="Times New Roman"/>
                <w:color w:val="000000"/>
                <w:sz w:val="24"/>
              </w:rPr>
              <w:t>22,619</w:t>
            </w:r>
          </w:p>
        </w:tc>
      </w:tr>
      <w:tr w:rsidR="00400122" w:rsidRPr="009A359C" w14:paraId="22CBED3C" w14:textId="77777777" w:rsidTr="00400122">
        <w:trPr>
          <w:trHeight w:val="315"/>
        </w:trPr>
        <w:tc>
          <w:tcPr>
            <w:tcW w:w="2757" w:type="dxa"/>
            <w:tcBorders>
              <w:top w:val="single" w:sz="4" w:space="0" w:color="auto"/>
              <w:left w:val="single" w:sz="4" w:space="0" w:color="auto"/>
              <w:bottom w:val="nil"/>
              <w:right w:val="single" w:sz="4" w:space="0" w:color="auto"/>
            </w:tcBorders>
            <w:shd w:val="clear" w:color="auto" w:fill="auto"/>
            <w:vAlign w:val="bottom"/>
            <w:hideMark/>
          </w:tcPr>
          <w:p w14:paraId="70809C9C" w14:textId="77777777"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Subsequent Disclosures (707.5)</w:t>
            </w:r>
          </w:p>
        </w:tc>
        <w:tc>
          <w:tcPr>
            <w:tcW w:w="1443" w:type="dxa"/>
            <w:tcBorders>
              <w:top w:val="single" w:sz="4" w:space="0" w:color="auto"/>
              <w:left w:val="single" w:sz="4" w:space="0" w:color="auto"/>
              <w:bottom w:val="nil"/>
              <w:right w:val="single" w:sz="4" w:space="0" w:color="auto"/>
            </w:tcBorders>
            <w:shd w:val="clear" w:color="auto" w:fill="auto"/>
            <w:vAlign w:val="bottom"/>
            <w:hideMark/>
          </w:tcPr>
          <w:p w14:paraId="1104ED42"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 </w:t>
            </w:r>
          </w:p>
        </w:tc>
        <w:tc>
          <w:tcPr>
            <w:tcW w:w="1236" w:type="dxa"/>
            <w:tcBorders>
              <w:top w:val="single" w:sz="4" w:space="0" w:color="auto"/>
              <w:left w:val="single" w:sz="4" w:space="0" w:color="auto"/>
              <w:bottom w:val="nil"/>
              <w:right w:val="single" w:sz="4" w:space="0" w:color="auto"/>
            </w:tcBorders>
            <w:shd w:val="clear" w:color="auto" w:fill="auto"/>
            <w:vAlign w:val="center"/>
            <w:hideMark/>
          </w:tcPr>
          <w:p w14:paraId="050EB5B4"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 </w:t>
            </w:r>
          </w:p>
        </w:tc>
        <w:tc>
          <w:tcPr>
            <w:tcW w:w="1168" w:type="dxa"/>
            <w:tcBorders>
              <w:top w:val="single" w:sz="4" w:space="0" w:color="auto"/>
              <w:left w:val="single" w:sz="4" w:space="0" w:color="auto"/>
              <w:bottom w:val="nil"/>
              <w:right w:val="single" w:sz="4" w:space="0" w:color="auto"/>
            </w:tcBorders>
            <w:shd w:val="clear" w:color="auto" w:fill="auto"/>
            <w:vAlign w:val="center"/>
            <w:hideMark/>
          </w:tcPr>
          <w:p w14:paraId="386FB04D"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 </w:t>
            </w:r>
          </w:p>
        </w:tc>
        <w:tc>
          <w:tcPr>
            <w:tcW w:w="1734" w:type="dxa"/>
            <w:tcBorders>
              <w:top w:val="single" w:sz="4" w:space="0" w:color="auto"/>
              <w:left w:val="single" w:sz="4" w:space="0" w:color="auto"/>
              <w:bottom w:val="nil"/>
              <w:right w:val="single" w:sz="4" w:space="0" w:color="auto"/>
            </w:tcBorders>
            <w:shd w:val="clear" w:color="auto" w:fill="auto"/>
            <w:vAlign w:val="center"/>
            <w:hideMark/>
          </w:tcPr>
          <w:p w14:paraId="2FCB3C10" w14:textId="77777777" w:rsidR="00400122" w:rsidRPr="00E311B3" w:rsidRDefault="00400122" w:rsidP="00C12F66">
            <w:pPr>
              <w:widowControl/>
              <w:autoSpaceDE/>
              <w:autoSpaceDN/>
              <w:adjustRightInd/>
              <w:jc w:val="center"/>
              <w:rPr>
                <w:rFonts w:ascii="Times New Roman" w:hAnsi="Times New Roman"/>
                <w:color w:val="000000"/>
                <w:sz w:val="24"/>
                <w:highlight w:val="yellow"/>
              </w:rPr>
            </w:pPr>
          </w:p>
        </w:tc>
      </w:tr>
      <w:tr w:rsidR="00400122" w:rsidRPr="009A359C" w14:paraId="7568BF0A" w14:textId="77777777" w:rsidTr="00400122">
        <w:trPr>
          <w:trHeight w:val="315"/>
        </w:trPr>
        <w:tc>
          <w:tcPr>
            <w:tcW w:w="2757" w:type="dxa"/>
            <w:tcBorders>
              <w:top w:val="nil"/>
              <w:left w:val="single" w:sz="4" w:space="0" w:color="auto"/>
              <w:bottom w:val="nil"/>
              <w:right w:val="single" w:sz="4" w:space="0" w:color="auto"/>
            </w:tcBorders>
            <w:shd w:val="clear" w:color="auto" w:fill="auto"/>
            <w:vAlign w:val="bottom"/>
            <w:hideMark/>
          </w:tcPr>
          <w:p w14:paraId="0458CBDA" w14:textId="77777777"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•Change-in-Terms Notices (707.5(a))</w:t>
            </w:r>
          </w:p>
        </w:tc>
        <w:tc>
          <w:tcPr>
            <w:tcW w:w="1443" w:type="dxa"/>
            <w:tcBorders>
              <w:top w:val="nil"/>
              <w:left w:val="single" w:sz="4" w:space="0" w:color="auto"/>
              <w:bottom w:val="nil"/>
              <w:right w:val="single" w:sz="4" w:space="0" w:color="auto"/>
            </w:tcBorders>
            <w:shd w:val="clear" w:color="auto" w:fill="auto"/>
            <w:vAlign w:val="bottom"/>
            <w:hideMark/>
          </w:tcPr>
          <w:p w14:paraId="5D910E62" w14:textId="66824486" w:rsidR="00400122" w:rsidRPr="009A359C" w:rsidRDefault="00B57F3F" w:rsidP="00683C1D">
            <w:pPr>
              <w:widowControl/>
              <w:autoSpaceDE/>
              <w:autoSpaceDN/>
              <w:adjustRightInd/>
              <w:jc w:val="center"/>
              <w:rPr>
                <w:rFonts w:ascii="Times New Roman" w:hAnsi="Times New Roman"/>
                <w:color w:val="000000"/>
                <w:sz w:val="24"/>
              </w:rPr>
            </w:pPr>
            <w:r>
              <w:rPr>
                <w:rFonts w:ascii="Times New Roman" w:hAnsi="Times New Roman"/>
                <w:bCs/>
                <w:sz w:val="24"/>
              </w:rPr>
              <w:t>5,322</w:t>
            </w:r>
          </w:p>
        </w:tc>
        <w:tc>
          <w:tcPr>
            <w:tcW w:w="1236" w:type="dxa"/>
            <w:tcBorders>
              <w:top w:val="nil"/>
              <w:left w:val="single" w:sz="4" w:space="0" w:color="auto"/>
              <w:bottom w:val="nil"/>
              <w:right w:val="single" w:sz="4" w:space="0" w:color="auto"/>
            </w:tcBorders>
            <w:shd w:val="clear" w:color="auto" w:fill="auto"/>
            <w:vAlign w:val="center"/>
            <w:hideMark/>
          </w:tcPr>
          <w:p w14:paraId="20E1BB8A" w14:textId="77777777" w:rsidR="00400122" w:rsidRDefault="00400122" w:rsidP="00683C1D">
            <w:pPr>
              <w:widowControl/>
              <w:autoSpaceDE/>
              <w:autoSpaceDN/>
              <w:adjustRightInd/>
              <w:jc w:val="center"/>
              <w:rPr>
                <w:rFonts w:ascii="Times New Roman" w:hAnsi="Times New Roman"/>
                <w:color w:val="000000"/>
                <w:sz w:val="24"/>
              </w:rPr>
            </w:pPr>
          </w:p>
          <w:p w14:paraId="0EE4733B" w14:textId="77777777" w:rsidR="00400122" w:rsidRPr="009A359C" w:rsidRDefault="00400122" w:rsidP="00683C1D">
            <w:pPr>
              <w:widowControl/>
              <w:autoSpaceDE/>
              <w:autoSpaceDN/>
              <w:adjustRightInd/>
              <w:jc w:val="center"/>
              <w:rPr>
                <w:rFonts w:ascii="Times New Roman" w:hAnsi="Times New Roman"/>
                <w:color w:val="000000"/>
                <w:sz w:val="24"/>
              </w:rPr>
            </w:pPr>
            <w:r>
              <w:rPr>
                <w:rFonts w:ascii="Times New Roman" w:hAnsi="Times New Roman"/>
                <w:color w:val="000000"/>
                <w:sz w:val="24"/>
              </w:rPr>
              <w:t>380</w:t>
            </w:r>
          </w:p>
        </w:tc>
        <w:tc>
          <w:tcPr>
            <w:tcW w:w="1168" w:type="dxa"/>
            <w:tcBorders>
              <w:top w:val="nil"/>
              <w:left w:val="single" w:sz="4" w:space="0" w:color="auto"/>
              <w:bottom w:val="nil"/>
              <w:right w:val="single" w:sz="4" w:space="0" w:color="auto"/>
            </w:tcBorders>
            <w:shd w:val="clear" w:color="auto" w:fill="auto"/>
            <w:vAlign w:val="center"/>
            <w:hideMark/>
          </w:tcPr>
          <w:p w14:paraId="33E96C67" w14:textId="77777777" w:rsidR="00400122" w:rsidRDefault="00400122" w:rsidP="00683C1D">
            <w:pPr>
              <w:widowControl/>
              <w:autoSpaceDE/>
              <w:autoSpaceDN/>
              <w:adjustRightInd/>
              <w:jc w:val="center"/>
              <w:rPr>
                <w:rFonts w:ascii="Times New Roman" w:hAnsi="Times New Roman"/>
                <w:color w:val="000000"/>
                <w:sz w:val="24"/>
              </w:rPr>
            </w:pPr>
          </w:p>
          <w:p w14:paraId="1CF06E68" w14:textId="77777777" w:rsidR="00400122" w:rsidRPr="009A359C" w:rsidRDefault="00400122" w:rsidP="00683C1D">
            <w:pPr>
              <w:widowControl/>
              <w:autoSpaceDE/>
              <w:autoSpaceDN/>
              <w:adjustRightInd/>
              <w:jc w:val="center"/>
              <w:rPr>
                <w:rFonts w:ascii="Times New Roman" w:hAnsi="Times New Roman"/>
                <w:color w:val="000000"/>
                <w:sz w:val="24"/>
              </w:rPr>
            </w:pPr>
            <w:r>
              <w:rPr>
                <w:rFonts w:ascii="Times New Roman" w:hAnsi="Times New Roman"/>
                <w:color w:val="000000"/>
                <w:sz w:val="24"/>
              </w:rPr>
              <w:t>1 minute</w:t>
            </w:r>
          </w:p>
        </w:tc>
        <w:tc>
          <w:tcPr>
            <w:tcW w:w="1734" w:type="dxa"/>
            <w:tcBorders>
              <w:top w:val="nil"/>
              <w:left w:val="single" w:sz="4" w:space="0" w:color="auto"/>
              <w:bottom w:val="nil"/>
              <w:right w:val="single" w:sz="4" w:space="0" w:color="auto"/>
            </w:tcBorders>
            <w:shd w:val="clear" w:color="auto" w:fill="auto"/>
            <w:vAlign w:val="center"/>
            <w:hideMark/>
          </w:tcPr>
          <w:p w14:paraId="4EC84E18" w14:textId="2E8BBFE4" w:rsidR="00400122" w:rsidRPr="00E311B3" w:rsidRDefault="00E2153E" w:rsidP="00C12F66">
            <w:pPr>
              <w:widowControl/>
              <w:autoSpaceDE/>
              <w:autoSpaceDN/>
              <w:adjustRightInd/>
              <w:jc w:val="center"/>
              <w:rPr>
                <w:rFonts w:ascii="Times New Roman" w:hAnsi="Times New Roman"/>
                <w:color w:val="000000"/>
                <w:sz w:val="24"/>
                <w:highlight w:val="yellow"/>
              </w:rPr>
            </w:pPr>
            <w:r>
              <w:rPr>
                <w:rFonts w:ascii="Times New Roman" w:hAnsi="Times New Roman"/>
                <w:color w:val="000000"/>
                <w:sz w:val="24"/>
              </w:rPr>
              <w:t>33,706</w:t>
            </w:r>
          </w:p>
        </w:tc>
      </w:tr>
      <w:tr w:rsidR="00400122" w:rsidRPr="009A359C" w14:paraId="6EC90881" w14:textId="77777777" w:rsidTr="00400122">
        <w:trPr>
          <w:trHeight w:val="315"/>
        </w:trPr>
        <w:tc>
          <w:tcPr>
            <w:tcW w:w="2757" w:type="dxa"/>
            <w:tcBorders>
              <w:top w:val="nil"/>
              <w:left w:val="single" w:sz="4" w:space="0" w:color="auto"/>
              <w:bottom w:val="single" w:sz="4" w:space="0" w:color="auto"/>
              <w:right w:val="single" w:sz="4" w:space="0" w:color="auto"/>
            </w:tcBorders>
            <w:shd w:val="clear" w:color="auto" w:fill="auto"/>
            <w:vAlign w:val="bottom"/>
            <w:hideMark/>
          </w:tcPr>
          <w:p w14:paraId="4E75D80B" w14:textId="77777777"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•Notices Prior to Maturity (707.5(b))</w:t>
            </w:r>
          </w:p>
        </w:tc>
        <w:tc>
          <w:tcPr>
            <w:tcW w:w="1443" w:type="dxa"/>
            <w:tcBorders>
              <w:top w:val="nil"/>
              <w:left w:val="single" w:sz="4" w:space="0" w:color="auto"/>
              <w:bottom w:val="single" w:sz="4" w:space="0" w:color="auto"/>
              <w:right w:val="single" w:sz="4" w:space="0" w:color="auto"/>
            </w:tcBorders>
            <w:shd w:val="clear" w:color="auto" w:fill="auto"/>
            <w:vAlign w:val="bottom"/>
            <w:hideMark/>
          </w:tcPr>
          <w:p w14:paraId="19EE101D" w14:textId="2E807D71" w:rsidR="00400122" w:rsidRPr="009A359C" w:rsidRDefault="00B57F3F" w:rsidP="00683C1D">
            <w:pPr>
              <w:widowControl/>
              <w:autoSpaceDE/>
              <w:autoSpaceDN/>
              <w:adjustRightInd/>
              <w:jc w:val="center"/>
              <w:rPr>
                <w:rFonts w:ascii="Times New Roman" w:hAnsi="Times New Roman"/>
                <w:color w:val="000000"/>
                <w:sz w:val="24"/>
              </w:rPr>
            </w:pPr>
            <w:r>
              <w:rPr>
                <w:rFonts w:ascii="Times New Roman" w:hAnsi="Times New Roman"/>
                <w:bCs/>
                <w:sz w:val="24"/>
              </w:rPr>
              <w:t>5,322</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5CECF483" w14:textId="77777777" w:rsidR="00400122" w:rsidRDefault="00400122" w:rsidP="00683C1D">
            <w:pPr>
              <w:widowControl/>
              <w:autoSpaceDE/>
              <w:autoSpaceDN/>
              <w:adjustRightInd/>
              <w:jc w:val="center"/>
              <w:rPr>
                <w:rFonts w:ascii="Times New Roman" w:hAnsi="Times New Roman"/>
                <w:color w:val="000000"/>
                <w:sz w:val="24"/>
              </w:rPr>
            </w:pPr>
          </w:p>
          <w:p w14:paraId="096D267A" w14:textId="77777777" w:rsidR="00400122" w:rsidRPr="009A359C" w:rsidRDefault="00400122" w:rsidP="00683C1D">
            <w:pPr>
              <w:widowControl/>
              <w:autoSpaceDE/>
              <w:autoSpaceDN/>
              <w:adjustRightInd/>
              <w:jc w:val="center"/>
              <w:rPr>
                <w:rFonts w:ascii="Times New Roman" w:hAnsi="Times New Roman"/>
                <w:color w:val="000000"/>
                <w:sz w:val="24"/>
              </w:rPr>
            </w:pPr>
            <w:r>
              <w:rPr>
                <w:rFonts w:ascii="Times New Roman" w:hAnsi="Times New Roman"/>
                <w:color w:val="000000"/>
                <w:sz w:val="24"/>
              </w:rPr>
              <w:t>340</w:t>
            </w:r>
          </w:p>
        </w:tc>
        <w:tc>
          <w:tcPr>
            <w:tcW w:w="1168" w:type="dxa"/>
            <w:tcBorders>
              <w:top w:val="nil"/>
              <w:left w:val="single" w:sz="4" w:space="0" w:color="auto"/>
              <w:bottom w:val="single" w:sz="4" w:space="0" w:color="auto"/>
              <w:right w:val="single" w:sz="4" w:space="0" w:color="auto"/>
            </w:tcBorders>
            <w:shd w:val="clear" w:color="auto" w:fill="auto"/>
            <w:vAlign w:val="center"/>
            <w:hideMark/>
          </w:tcPr>
          <w:p w14:paraId="0B8C3BD0" w14:textId="77777777" w:rsidR="00400122" w:rsidRDefault="00400122" w:rsidP="00683C1D">
            <w:pPr>
              <w:widowControl/>
              <w:autoSpaceDE/>
              <w:autoSpaceDN/>
              <w:adjustRightInd/>
              <w:jc w:val="center"/>
              <w:rPr>
                <w:rFonts w:ascii="Times New Roman" w:hAnsi="Times New Roman"/>
                <w:color w:val="000000"/>
                <w:sz w:val="24"/>
              </w:rPr>
            </w:pPr>
          </w:p>
          <w:p w14:paraId="1DDF4E31" w14:textId="77777777" w:rsidR="00400122" w:rsidRPr="009A359C" w:rsidRDefault="00400122" w:rsidP="00683C1D">
            <w:pPr>
              <w:widowControl/>
              <w:autoSpaceDE/>
              <w:autoSpaceDN/>
              <w:adjustRightInd/>
              <w:jc w:val="center"/>
              <w:rPr>
                <w:rFonts w:ascii="Times New Roman" w:hAnsi="Times New Roman"/>
                <w:color w:val="000000"/>
                <w:sz w:val="24"/>
              </w:rPr>
            </w:pPr>
            <w:r>
              <w:rPr>
                <w:rFonts w:ascii="Times New Roman" w:hAnsi="Times New Roman"/>
                <w:color w:val="000000"/>
                <w:sz w:val="24"/>
              </w:rPr>
              <w:t>1 minute</w:t>
            </w:r>
          </w:p>
        </w:tc>
        <w:tc>
          <w:tcPr>
            <w:tcW w:w="1734" w:type="dxa"/>
            <w:tcBorders>
              <w:top w:val="nil"/>
              <w:left w:val="single" w:sz="4" w:space="0" w:color="auto"/>
              <w:bottom w:val="single" w:sz="4" w:space="0" w:color="auto"/>
              <w:right w:val="single" w:sz="4" w:space="0" w:color="auto"/>
            </w:tcBorders>
            <w:shd w:val="clear" w:color="auto" w:fill="auto"/>
            <w:vAlign w:val="center"/>
            <w:hideMark/>
          </w:tcPr>
          <w:p w14:paraId="1AC7670C" w14:textId="12591FAF" w:rsidR="00400122" w:rsidRPr="00E311B3" w:rsidRDefault="00E2153E" w:rsidP="00C12F66">
            <w:pPr>
              <w:widowControl/>
              <w:autoSpaceDE/>
              <w:autoSpaceDN/>
              <w:adjustRightInd/>
              <w:jc w:val="center"/>
              <w:rPr>
                <w:rFonts w:ascii="Times New Roman" w:hAnsi="Times New Roman"/>
                <w:color w:val="000000"/>
                <w:sz w:val="24"/>
                <w:highlight w:val="yellow"/>
              </w:rPr>
            </w:pPr>
            <w:r>
              <w:rPr>
                <w:rFonts w:ascii="Times New Roman" w:hAnsi="Times New Roman"/>
                <w:color w:val="000000"/>
                <w:sz w:val="24"/>
              </w:rPr>
              <w:t>30,158</w:t>
            </w:r>
          </w:p>
        </w:tc>
      </w:tr>
      <w:tr w:rsidR="00400122" w:rsidRPr="009A359C" w14:paraId="4EEF7E66" w14:textId="77777777" w:rsidTr="00400122">
        <w:trPr>
          <w:trHeight w:val="630"/>
        </w:trPr>
        <w:tc>
          <w:tcPr>
            <w:tcW w:w="2757" w:type="dxa"/>
            <w:tcBorders>
              <w:top w:val="nil"/>
              <w:left w:val="single" w:sz="4" w:space="0" w:color="auto"/>
              <w:bottom w:val="single" w:sz="4" w:space="0" w:color="auto"/>
              <w:right w:val="single" w:sz="4" w:space="0" w:color="auto"/>
            </w:tcBorders>
            <w:shd w:val="clear" w:color="auto" w:fill="auto"/>
            <w:vAlign w:val="bottom"/>
            <w:hideMark/>
          </w:tcPr>
          <w:p w14:paraId="31583234" w14:textId="4B448BD5"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Periodic Statement Disclosures (707.6</w:t>
            </w:r>
            <w:r>
              <w:rPr>
                <w:rFonts w:ascii="Times New Roman" w:hAnsi="Times New Roman"/>
                <w:color w:val="000000"/>
                <w:sz w:val="24"/>
              </w:rPr>
              <w:t>, 707.11</w:t>
            </w:r>
            <w:r w:rsidRPr="009A359C">
              <w:rPr>
                <w:rFonts w:ascii="Times New Roman" w:hAnsi="Times New Roman"/>
                <w:color w:val="000000"/>
                <w:sz w:val="24"/>
              </w:rPr>
              <w:t>)</w:t>
            </w:r>
          </w:p>
        </w:tc>
        <w:tc>
          <w:tcPr>
            <w:tcW w:w="1443" w:type="dxa"/>
            <w:tcBorders>
              <w:top w:val="nil"/>
              <w:left w:val="nil"/>
              <w:bottom w:val="single" w:sz="4" w:space="0" w:color="auto"/>
              <w:right w:val="single" w:sz="4" w:space="0" w:color="auto"/>
            </w:tcBorders>
            <w:shd w:val="clear" w:color="auto" w:fill="auto"/>
            <w:vAlign w:val="center"/>
            <w:hideMark/>
          </w:tcPr>
          <w:p w14:paraId="1F8AB9C1" w14:textId="17F78976" w:rsidR="00400122" w:rsidRPr="009A359C" w:rsidRDefault="00B57F3F" w:rsidP="00436E5D">
            <w:pPr>
              <w:widowControl/>
              <w:autoSpaceDE/>
              <w:autoSpaceDN/>
              <w:adjustRightInd/>
              <w:jc w:val="center"/>
              <w:rPr>
                <w:rFonts w:ascii="Times New Roman" w:hAnsi="Times New Roman"/>
                <w:color w:val="000000"/>
                <w:sz w:val="24"/>
              </w:rPr>
            </w:pPr>
            <w:r>
              <w:rPr>
                <w:rFonts w:ascii="Times New Roman" w:hAnsi="Times New Roman"/>
                <w:bCs/>
                <w:sz w:val="24"/>
              </w:rPr>
              <w:t>5,322</w:t>
            </w:r>
          </w:p>
        </w:tc>
        <w:tc>
          <w:tcPr>
            <w:tcW w:w="1236" w:type="dxa"/>
            <w:tcBorders>
              <w:top w:val="nil"/>
              <w:left w:val="nil"/>
              <w:bottom w:val="single" w:sz="4" w:space="0" w:color="auto"/>
              <w:right w:val="single" w:sz="4" w:space="0" w:color="auto"/>
            </w:tcBorders>
            <w:shd w:val="clear" w:color="auto" w:fill="auto"/>
            <w:vAlign w:val="center"/>
            <w:hideMark/>
          </w:tcPr>
          <w:p w14:paraId="2804D1D2"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12</w:t>
            </w:r>
          </w:p>
        </w:tc>
        <w:tc>
          <w:tcPr>
            <w:tcW w:w="1168" w:type="dxa"/>
            <w:tcBorders>
              <w:top w:val="nil"/>
              <w:left w:val="single" w:sz="4" w:space="0" w:color="auto"/>
              <w:bottom w:val="single" w:sz="4" w:space="0" w:color="auto"/>
              <w:right w:val="single" w:sz="4" w:space="0" w:color="auto"/>
            </w:tcBorders>
            <w:shd w:val="clear" w:color="auto" w:fill="auto"/>
            <w:vAlign w:val="center"/>
            <w:hideMark/>
          </w:tcPr>
          <w:p w14:paraId="720EA47A" w14:textId="77777777" w:rsidR="00400122" w:rsidRPr="009A359C" w:rsidRDefault="00400122" w:rsidP="00683C1D">
            <w:pPr>
              <w:widowControl/>
              <w:autoSpaceDE/>
              <w:autoSpaceDN/>
              <w:adjustRightInd/>
              <w:jc w:val="center"/>
              <w:rPr>
                <w:rFonts w:ascii="Times New Roman" w:hAnsi="Times New Roman"/>
                <w:color w:val="000000"/>
                <w:sz w:val="24"/>
              </w:rPr>
            </w:pPr>
            <w:r>
              <w:rPr>
                <w:rFonts w:ascii="Times New Roman" w:hAnsi="Times New Roman"/>
                <w:color w:val="000000"/>
                <w:sz w:val="24"/>
              </w:rPr>
              <w:t>4</w:t>
            </w:r>
            <w:r w:rsidRPr="009A359C">
              <w:rPr>
                <w:rFonts w:ascii="Times New Roman" w:hAnsi="Times New Roman"/>
                <w:color w:val="000000"/>
                <w:sz w:val="24"/>
              </w:rPr>
              <w:t xml:space="preserve"> hours</w:t>
            </w:r>
          </w:p>
        </w:tc>
        <w:tc>
          <w:tcPr>
            <w:tcW w:w="1734" w:type="dxa"/>
            <w:tcBorders>
              <w:top w:val="nil"/>
              <w:left w:val="nil"/>
              <w:bottom w:val="single" w:sz="4" w:space="0" w:color="auto"/>
              <w:right w:val="single" w:sz="4" w:space="0" w:color="auto"/>
            </w:tcBorders>
            <w:shd w:val="clear" w:color="auto" w:fill="auto"/>
            <w:vAlign w:val="center"/>
            <w:hideMark/>
          </w:tcPr>
          <w:p w14:paraId="36C8C30C" w14:textId="0E6133C9" w:rsidR="00400122" w:rsidRPr="00E311B3" w:rsidRDefault="00E2153E" w:rsidP="00C12F66">
            <w:pPr>
              <w:widowControl/>
              <w:autoSpaceDE/>
              <w:autoSpaceDN/>
              <w:adjustRightInd/>
              <w:jc w:val="center"/>
              <w:rPr>
                <w:rFonts w:ascii="Times New Roman" w:hAnsi="Times New Roman"/>
                <w:color w:val="000000"/>
                <w:sz w:val="24"/>
                <w:highlight w:val="yellow"/>
              </w:rPr>
            </w:pPr>
            <w:r>
              <w:rPr>
                <w:rFonts w:ascii="Times New Roman" w:hAnsi="Times New Roman"/>
                <w:color w:val="000000"/>
                <w:sz w:val="24"/>
              </w:rPr>
              <w:t>255,456</w:t>
            </w:r>
          </w:p>
        </w:tc>
      </w:tr>
      <w:tr w:rsidR="00400122" w:rsidRPr="009A359C" w14:paraId="30B2FE5C" w14:textId="77777777" w:rsidTr="00400122">
        <w:trPr>
          <w:trHeight w:val="315"/>
        </w:trPr>
        <w:tc>
          <w:tcPr>
            <w:tcW w:w="2757" w:type="dxa"/>
            <w:tcBorders>
              <w:top w:val="nil"/>
              <w:left w:val="single" w:sz="4" w:space="0" w:color="auto"/>
              <w:bottom w:val="single" w:sz="4" w:space="0" w:color="auto"/>
              <w:right w:val="single" w:sz="4" w:space="0" w:color="auto"/>
            </w:tcBorders>
            <w:shd w:val="clear" w:color="auto" w:fill="auto"/>
            <w:vAlign w:val="bottom"/>
            <w:hideMark/>
          </w:tcPr>
          <w:p w14:paraId="54D0DD21" w14:textId="1FB55814"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Advertising (707.8</w:t>
            </w:r>
            <w:r>
              <w:rPr>
                <w:rFonts w:ascii="Times New Roman" w:hAnsi="Times New Roman"/>
                <w:color w:val="000000"/>
                <w:sz w:val="24"/>
              </w:rPr>
              <w:t>, 707.11</w:t>
            </w:r>
            <w:r w:rsidRPr="009A359C">
              <w:rPr>
                <w:rFonts w:ascii="Times New Roman" w:hAnsi="Times New Roman"/>
                <w:color w:val="000000"/>
                <w:sz w:val="24"/>
              </w:rPr>
              <w:t>)</w:t>
            </w:r>
          </w:p>
        </w:tc>
        <w:tc>
          <w:tcPr>
            <w:tcW w:w="1443" w:type="dxa"/>
            <w:tcBorders>
              <w:top w:val="nil"/>
              <w:left w:val="nil"/>
              <w:bottom w:val="single" w:sz="4" w:space="0" w:color="auto"/>
              <w:right w:val="single" w:sz="4" w:space="0" w:color="auto"/>
            </w:tcBorders>
            <w:shd w:val="clear" w:color="auto" w:fill="auto"/>
            <w:vAlign w:val="center"/>
            <w:hideMark/>
          </w:tcPr>
          <w:p w14:paraId="6BC01F2A" w14:textId="70A04204" w:rsidR="00400122" w:rsidRPr="009A359C" w:rsidRDefault="00B57F3F" w:rsidP="00436E5D">
            <w:pPr>
              <w:widowControl/>
              <w:autoSpaceDE/>
              <w:autoSpaceDN/>
              <w:adjustRightInd/>
              <w:jc w:val="center"/>
              <w:rPr>
                <w:rFonts w:ascii="Times New Roman" w:hAnsi="Times New Roman"/>
                <w:color w:val="000000"/>
                <w:sz w:val="24"/>
              </w:rPr>
            </w:pPr>
            <w:r>
              <w:rPr>
                <w:rFonts w:ascii="Times New Roman" w:hAnsi="Times New Roman"/>
                <w:bCs/>
                <w:sz w:val="24"/>
              </w:rPr>
              <w:t>5,322</w:t>
            </w:r>
          </w:p>
        </w:tc>
        <w:tc>
          <w:tcPr>
            <w:tcW w:w="1236" w:type="dxa"/>
            <w:tcBorders>
              <w:top w:val="nil"/>
              <w:left w:val="nil"/>
              <w:bottom w:val="single" w:sz="4" w:space="0" w:color="auto"/>
              <w:right w:val="single" w:sz="4" w:space="0" w:color="auto"/>
            </w:tcBorders>
            <w:shd w:val="clear" w:color="auto" w:fill="auto"/>
            <w:vAlign w:val="center"/>
            <w:hideMark/>
          </w:tcPr>
          <w:p w14:paraId="447888D7"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12</w:t>
            </w:r>
          </w:p>
        </w:tc>
        <w:tc>
          <w:tcPr>
            <w:tcW w:w="1168" w:type="dxa"/>
            <w:tcBorders>
              <w:top w:val="nil"/>
              <w:left w:val="single" w:sz="4" w:space="0" w:color="auto"/>
              <w:bottom w:val="single" w:sz="4" w:space="0" w:color="auto"/>
              <w:right w:val="single" w:sz="4" w:space="0" w:color="auto"/>
            </w:tcBorders>
            <w:shd w:val="clear" w:color="auto" w:fill="auto"/>
            <w:vAlign w:val="center"/>
            <w:hideMark/>
          </w:tcPr>
          <w:p w14:paraId="63127FB9"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30 minutes</w:t>
            </w:r>
          </w:p>
        </w:tc>
        <w:tc>
          <w:tcPr>
            <w:tcW w:w="1734" w:type="dxa"/>
            <w:tcBorders>
              <w:top w:val="nil"/>
              <w:left w:val="nil"/>
              <w:bottom w:val="single" w:sz="4" w:space="0" w:color="auto"/>
              <w:right w:val="single" w:sz="4" w:space="0" w:color="auto"/>
            </w:tcBorders>
            <w:shd w:val="clear" w:color="auto" w:fill="auto"/>
            <w:vAlign w:val="center"/>
            <w:hideMark/>
          </w:tcPr>
          <w:p w14:paraId="57BAB4B2" w14:textId="7EDFAAFC" w:rsidR="00400122" w:rsidRPr="00E311B3" w:rsidRDefault="00E2153E" w:rsidP="00C12F66">
            <w:pPr>
              <w:widowControl/>
              <w:autoSpaceDE/>
              <w:autoSpaceDN/>
              <w:adjustRightInd/>
              <w:jc w:val="center"/>
              <w:rPr>
                <w:rFonts w:ascii="Times New Roman" w:hAnsi="Times New Roman"/>
                <w:color w:val="000000"/>
                <w:sz w:val="24"/>
                <w:highlight w:val="yellow"/>
              </w:rPr>
            </w:pPr>
            <w:r>
              <w:rPr>
                <w:rFonts w:ascii="Times New Roman" w:hAnsi="Times New Roman"/>
                <w:color w:val="000000"/>
                <w:sz w:val="24"/>
              </w:rPr>
              <w:t>31,932</w:t>
            </w:r>
          </w:p>
        </w:tc>
      </w:tr>
      <w:tr w:rsidR="00314946" w:rsidRPr="009A359C" w14:paraId="0A1807B1" w14:textId="77777777" w:rsidTr="00400122">
        <w:trPr>
          <w:trHeight w:val="315"/>
        </w:trPr>
        <w:tc>
          <w:tcPr>
            <w:tcW w:w="2757" w:type="dxa"/>
            <w:tcBorders>
              <w:top w:val="nil"/>
              <w:left w:val="single" w:sz="4" w:space="0" w:color="auto"/>
              <w:bottom w:val="single" w:sz="4" w:space="0" w:color="auto"/>
              <w:right w:val="single" w:sz="4" w:space="0" w:color="auto"/>
            </w:tcBorders>
            <w:shd w:val="clear" w:color="auto" w:fill="auto"/>
            <w:vAlign w:val="bottom"/>
          </w:tcPr>
          <w:p w14:paraId="3A883BFC" w14:textId="4DB15D0A" w:rsidR="00314946" w:rsidRPr="009A359C" w:rsidRDefault="00314946" w:rsidP="00683C1D">
            <w:pPr>
              <w:widowControl/>
              <w:autoSpaceDE/>
              <w:autoSpaceDN/>
              <w:adjustRightInd/>
              <w:rPr>
                <w:rFonts w:ascii="Times New Roman" w:hAnsi="Times New Roman"/>
                <w:color w:val="000000"/>
                <w:sz w:val="24"/>
              </w:rPr>
            </w:pPr>
            <w:r>
              <w:rPr>
                <w:rFonts w:ascii="Times New Roman" w:hAnsi="Times New Roman"/>
                <w:color w:val="000000"/>
                <w:sz w:val="24"/>
              </w:rPr>
              <w:t>Record Retention</w:t>
            </w:r>
            <w:r w:rsidR="009E7D6C">
              <w:rPr>
                <w:rFonts w:ascii="Times New Roman" w:hAnsi="Times New Roman"/>
                <w:color w:val="000000"/>
                <w:sz w:val="24"/>
              </w:rPr>
              <w:t xml:space="preserve"> (707.9(c))</w:t>
            </w:r>
          </w:p>
        </w:tc>
        <w:tc>
          <w:tcPr>
            <w:tcW w:w="1443" w:type="dxa"/>
            <w:tcBorders>
              <w:top w:val="nil"/>
              <w:left w:val="nil"/>
              <w:bottom w:val="single" w:sz="4" w:space="0" w:color="auto"/>
              <w:right w:val="single" w:sz="4" w:space="0" w:color="auto"/>
            </w:tcBorders>
            <w:shd w:val="clear" w:color="auto" w:fill="auto"/>
            <w:vAlign w:val="center"/>
          </w:tcPr>
          <w:p w14:paraId="17720D70" w14:textId="629CC442" w:rsidR="00314946" w:rsidRPr="009A359C" w:rsidRDefault="00B57F3F" w:rsidP="00436E5D">
            <w:pPr>
              <w:widowControl/>
              <w:autoSpaceDE/>
              <w:autoSpaceDN/>
              <w:adjustRightInd/>
              <w:jc w:val="center"/>
              <w:rPr>
                <w:rFonts w:ascii="Times New Roman" w:hAnsi="Times New Roman"/>
                <w:color w:val="000000"/>
                <w:sz w:val="24"/>
              </w:rPr>
            </w:pPr>
            <w:r>
              <w:rPr>
                <w:rFonts w:ascii="Times New Roman" w:hAnsi="Times New Roman"/>
                <w:bCs/>
                <w:sz w:val="24"/>
              </w:rPr>
              <w:t>5,322</w:t>
            </w:r>
          </w:p>
        </w:tc>
        <w:tc>
          <w:tcPr>
            <w:tcW w:w="1236" w:type="dxa"/>
            <w:tcBorders>
              <w:top w:val="nil"/>
              <w:left w:val="nil"/>
              <w:bottom w:val="single" w:sz="4" w:space="0" w:color="auto"/>
              <w:right w:val="single" w:sz="4" w:space="0" w:color="auto"/>
            </w:tcBorders>
            <w:shd w:val="clear" w:color="auto" w:fill="auto"/>
            <w:vAlign w:val="center"/>
          </w:tcPr>
          <w:p w14:paraId="0D7A41D4" w14:textId="3153ACB5" w:rsidR="00314946" w:rsidRPr="009A359C" w:rsidRDefault="00E2153E" w:rsidP="00683C1D">
            <w:pPr>
              <w:widowControl/>
              <w:autoSpaceDE/>
              <w:autoSpaceDN/>
              <w:adjustRightInd/>
              <w:jc w:val="center"/>
              <w:rPr>
                <w:rFonts w:ascii="Times New Roman" w:hAnsi="Times New Roman"/>
                <w:color w:val="000000"/>
                <w:sz w:val="24"/>
              </w:rPr>
            </w:pPr>
            <w:r>
              <w:rPr>
                <w:rFonts w:ascii="Times New Roman" w:hAnsi="Times New Roman"/>
                <w:color w:val="000000"/>
                <w:sz w:val="24"/>
              </w:rPr>
              <w:t>1</w:t>
            </w:r>
          </w:p>
        </w:tc>
        <w:tc>
          <w:tcPr>
            <w:tcW w:w="1168" w:type="dxa"/>
            <w:tcBorders>
              <w:top w:val="nil"/>
              <w:left w:val="single" w:sz="4" w:space="0" w:color="auto"/>
              <w:bottom w:val="single" w:sz="4" w:space="0" w:color="auto"/>
              <w:right w:val="single" w:sz="4" w:space="0" w:color="auto"/>
            </w:tcBorders>
            <w:shd w:val="clear" w:color="auto" w:fill="auto"/>
            <w:vAlign w:val="center"/>
          </w:tcPr>
          <w:p w14:paraId="263C2813" w14:textId="72155765" w:rsidR="00314946" w:rsidRPr="009A359C" w:rsidRDefault="00E2153E" w:rsidP="00683C1D">
            <w:pPr>
              <w:widowControl/>
              <w:autoSpaceDE/>
              <w:autoSpaceDN/>
              <w:adjustRightInd/>
              <w:jc w:val="center"/>
              <w:rPr>
                <w:rFonts w:ascii="Times New Roman" w:hAnsi="Times New Roman"/>
                <w:color w:val="000000"/>
                <w:sz w:val="24"/>
              </w:rPr>
            </w:pPr>
            <w:r>
              <w:rPr>
                <w:rFonts w:ascii="Times New Roman" w:hAnsi="Times New Roman"/>
                <w:color w:val="000000"/>
                <w:sz w:val="24"/>
              </w:rPr>
              <w:t>0</w:t>
            </w:r>
          </w:p>
        </w:tc>
        <w:tc>
          <w:tcPr>
            <w:tcW w:w="1734" w:type="dxa"/>
            <w:tcBorders>
              <w:top w:val="nil"/>
              <w:left w:val="nil"/>
              <w:bottom w:val="single" w:sz="4" w:space="0" w:color="auto"/>
              <w:right w:val="single" w:sz="4" w:space="0" w:color="auto"/>
            </w:tcBorders>
            <w:shd w:val="clear" w:color="auto" w:fill="auto"/>
            <w:vAlign w:val="center"/>
          </w:tcPr>
          <w:p w14:paraId="6CDA345F" w14:textId="37C6AE02" w:rsidR="00314946" w:rsidRPr="000E3277" w:rsidRDefault="00E2153E" w:rsidP="00C12F66">
            <w:pPr>
              <w:widowControl/>
              <w:autoSpaceDE/>
              <w:autoSpaceDN/>
              <w:adjustRightInd/>
              <w:jc w:val="center"/>
              <w:rPr>
                <w:rFonts w:ascii="Times New Roman" w:hAnsi="Times New Roman"/>
                <w:color w:val="000000"/>
                <w:sz w:val="24"/>
              </w:rPr>
            </w:pPr>
            <w:r>
              <w:rPr>
                <w:rFonts w:ascii="Times New Roman" w:hAnsi="Times New Roman"/>
                <w:color w:val="000000"/>
                <w:sz w:val="24"/>
              </w:rPr>
              <w:t>0</w:t>
            </w:r>
          </w:p>
        </w:tc>
      </w:tr>
      <w:tr w:rsidR="00400122" w:rsidRPr="009A359C" w14:paraId="2BB539C3" w14:textId="77777777" w:rsidTr="00400122">
        <w:trPr>
          <w:trHeight w:val="315"/>
        </w:trPr>
        <w:tc>
          <w:tcPr>
            <w:tcW w:w="2757" w:type="dxa"/>
            <w:tcBorders>
              <w:top w:val="nil"/>
              <w:left w:val="single" w:sz="4" w:space="0" w:color="auto"/>
              <w:bottom w:val="single" w:sz="4" w:space="0" w:color="auto"/>
              <w:right w:val="single" w:sz="4" w:space="0" w:color="auto"/>
            </w:tcBorders>
            <w:shd w:val="clear" w:color="auto" w:fill="auto"/>
            <w:vAlign w:val="bottom"/>
            <w:hideMark/>
          </w:tcPr>
          <w:p w14:paraId="5DD4E643" w14:textId="77777777" w:rsidR="00400122" w:rsidRPr="009A359C" w:rsidRDefault="00400122" w:rsidP="00683C1D">
            <w:pPr>
              <w:widowControl/>
              <w:autoSpaceDE/>
              <w:autoSpaceDN/>
              <w:adjustRightInd/>
              <w:jc w:val="right"/>
              <w:rPr>
                <w:rFonts w:ascii="Times New Roman" w:hAnsi="Times New Roman"/>
                <w:color w:val="000000"/>
                <w:sz w:val="24"/>
              </w:rPr>
            </w:pPr>
            <w:r w:rsidRPr="009A359C">
              <w:rPr>
                <w:rFonts w:ascii="Times New Roman" w:hAnsi="Times New Roman"/>
                <w:color w:val="000000"/>
                <w:sz w:val="24"/>
              </w:rPr>
              <w:t>Total</w:t>
            </w:r>
          </w:p>
        </w:tc>
        <w:tc>
          <w:tcPr>
            <w:tcW w:w="1443" w:type="dxa"/>
            <w:tcBorders>
              <w:top w:val="nil"/>
              <w:left w:val="nil"/>
              <w:bottom w:val="single" w:sz="4" w:space="0" w:color="auto"/>
              <w:right w:val="single" w:sz="4" w:space="0" w:color="auto"/>
            </w:tcBorders>
            <w:shd w:val="clear" w:color="auto" w:fill="auto"/>
            <w:vAlign w:val="bottom"/>
            <w:hideMark/>
          </w:tcPr>
          <w:p w14:paraId="4B92862F" w14:textId="77777777"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 </w:t>
            </w:r>
          </w:p>
        </w:tc>
        <w:tc>
          <w:tcPr>
            <w:tcW w:w="1236" w:type="dxa"/>
            <w:tcBorders>
              <w:top w:val="nil"/>
              <w:left w:val="nil"/>
              <w:bottom w:val="single" w:sz="4" w:space="0" w:color="auto"/>
              <w:right w:val="single" w:sz="4" w:space="0" w:color="auto"/>
            </w:tcBorders>
            <w:shd w:val="clear" w:color="auto" w:fill="auto"/>
            <w:vAlign w:val="bottom"/>
            <w:hideMark/>
          </w:tcPr>
          <w:p w14:paraId="4F329DDA" w14:textId="77777777"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 </w:t>
            </w:r>
          </w:p>
        </w:tc>
        <w:tc>
          <w:tcPr>
            <w:tcW w:w="1168" w:type="dxa"/>
            <w:tcBorders>
              <w:top w:val="nil"/>
              <w:left w:val="single" w:sz="4" w:space="0" w:color="auto"/>
              <w:bottom w:val="single" w:sz="4" w:space="0" w:color="auto"/>
              <w:right w:val="single" w:sz="4" w:space="0" w:color="auto"/>
            </w:tcBorders>
            <w:shd w:val="clear" w:color="auto" w:fill="auto"/>
            <w:vAlign w:val="bottom"/>
            <w:hideMark/>
          </w:tcPr>
          <w:p w14:paraId="6DBF0CA2" w14:textId="77777777"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 </w:t>
            </w:r>
          </w:p>
        </w:tc>
        <w:tc>
          <w:tcPr>
            <w:tcW w:w="1734" w:type="dxa"/>
            <w:tcBorders>
              <w:top w:val="nil"/>
              <w:left w:val="nil"/>
              <w:bottom w:val="single" w:sz="4" w:space="0" w:color="auto"/>
              <w:right w:val="single" w:sz="4" w:space="0" w:color="auto"/>
            </w:tcBorders>
            <w:shd w:val="clear" w:color="auto" w:fill="auto"/>
            <w:vAlign w:val="center"/>
            <w:hideMark/>
          </w:tcPr>
          <w:p w14:paraId="5554A7C6" w14:textId="65AF940F" w:rsidR="00400122" w:rsidRPr="00E311B3" w:rsidRDefault="00E2153E" w:rsidP="00C12F66">
            <w:pPr>
              <w:widowControl/>
              <w:autoSpaceDE/>
              <w:autoSpaceDN/>
              <w:adjustRightInd/>
              <w:jc w:val="center"/>
              <w:rPr>
                <w:rFonts w:ascii="Times New Roman" w:hAnsi="Times New Roman"/>
                <w:color w:val="000000"/>
                <w:sz w:val="24"/>
                <w:highlight w:val="yellow"/>
              </w:rPr>
            </w:pPr>
            <w:r>
              <w:rPr>
                <w:rFonts w:ascii="Times New Roman" w:hAnsi="Times New Roman"/>
                <w:color w:val="000000"/>
                <w:sz w:val="24"/>
              </w:rPr>
              <w:t>373,871</w:t>
            </w:r>
          </w:p>
        </w:tc>
      </w:tr>
    </w:tbl>
    <w:p w14:paraId="5915EB6E" w14:textId="18AB1251" w:rsidR="007E4E01" w:rsidRDefault="001A14DC" w:rsidP="00734764">
      <w:pPr>
        <w:ind w:left="720"/>
        <w:rPr>
          <w:rFonts w:ascii="Times New Roman" w:hAnsi="Times New Roman"/>
          <w:sz w:val="24"/>
        </w:rPr>
      </w:pPr>
      <w:r w:rsidRPr="00E12B9E">
        <w:rPr>
          <w:rFonts w:ascii="Times New Roman" w:hAnsi="Times New Roman"/>
          <w:sz w:val="24"/>
        </w:rPr>
        <w:t xml:space="preserve">The current total annual burden is estimated to be </w:t>
      </w:r>
      <w:r w:rsidR="00E2153E">
        <w:rPr>
          <w:rFonts w:ascii="Times New Roman" w:hAnsi="Times New Roman"/>
          <w:sz w:val="24"/>
        </w:rPr>
        <w:t>373,871</w:t>
      </w:r>
      <w:r w:rsidRPr="00E12B9E">
        <w:rPr>
          <w:rFonts w:ascii="Times New Roman" w:hAnsi="Times New Roman"/>
          <w:sz w:val="24"/>
        </w:rPr>
        <w:t xml:space="preserve"> hours for the </w:t>
      </w:r>
      <w:r w:rsidR="009E7D6C">
        <w:rPr>
          <w:rFonts w:ascii="Times New Roman" w:hAnsi="Times New Roman"/>
          <w:bCs/>
          <w:sz w:val="24"/>
        </w:rPr>
        <w:t>5,322</w:t>
      </w:r>
      <w:r w:rsidRPr="00E12B9E">
        <w:rPr>
          <w:rFonts w:ascii="Times New Roman" w:hAnsi="Times New Roman"/>
          <w:sz w:val="24"/>
        </w:rPr>
        <w:t xml:space="preserve"> credit unions that are deemed to be </w:t>
      </w:r>
      <w:r w:rsidR="00875841" w:rsidRPr="00E12B9E">
        <w:rPr>
          <w:rFonts w:ascii="Times New Roman" w:hAnsi="Times New Roman"/>
          <w:sz w:val="24"/>
        </w:rPr>
        <w:t xml:space="preserve">respondents for purposes of </w:t>
      </w:r>
      <w:r w:rsidRPr="00E12B9E">
        <w:rPr>
          <w:rFonts w:ascii="Times New Roman" w:hAnsi="Times New Roman"/>
          <w:sz w:val="24"/>
        </w:rPr>
        <w:t>PRA.</w:t>
      </w:r>
      <w:r w:rsidR="0015083B">
        <w:rPr>
          <w:rStyle w:val="FootnoteReference"/>
          <w:sz w:val="24"/>
        </w:rPr>
        <w:footnoteReference w:id="1"/>
      </w:r>
      <w:r w:rsidRPr="00E12B9E">
        <w:rPr>
          <w:rFonts w:ascii="Times New Roman" w:hAnsi="Times New Roman"/>
          <w:sz w:val="24"/>
        </w:rPr>
        <w:t xml:space="preserve">  This estimated burden arises exclusively from the disclosures required under the regulation and is shown in the table above.</w:t>
      </w:r>
      <w:r w:rsidR="00411693">
        <w:rPr>
          <w:rStyle w:val="FootnoteReference"/>
          <w:sz w:val="24"/>
        </w:rPr>
        <w:footnoteReference w:id="2"/>
      </w:r>
    </w:p>
    <w:p w14:paraId="38F5AFC8" w14:textId="77777777" w:rsidR="007E4E01" w:rsidRDefault="007E4E01" w:rsidP="00D90EC1">
      <w:pPr>
        <w:rPr>
          <w:rFonts w:ascii="Times New Roman" w:hAnsi="Times New Roman"/>
          <w:sz w:val="24"/>
        </w:rPr>
      </w:pPr>
    </w:p>
    <w:p w14:paraId="446556CF" w14:textId="61653359" w:rsidR="007E4E01" w:rsidRPr="009E2587" w:rsidRDefault="007E4E01" w:rsidP="00734764">
      <w:pPr>
        <w:ind w:left="720"/>
        <w:rPr>
          <w:rFonts w:ascii="Times New Roman" w:hAnsi="Times New Roman"/>
          <w:sz w:val="24"/>
        </w:rPr>
      </w:pPr>
      <w:r w:rsidRPr="00145627">
        <w:rPr>
          <w:rFonts w:ascii="Times New Roman" w:hAnsi="Times New Roman"/>
          <w:sz w:val="24"/>
        </w:rPr>
        <w:lastRenderedPageBreak/>
        <w:t xml:space="preserve">The annual cost for the respondents is estimated to be </w:t>
      </w:r>
      <w:r w:rsidRPr="009E2587">
        <w:rPr>
          <w:rFonts w:ascii="Times New Roman" w:hAnsi="Times New Roman"/>
          <w:sz w:val="24"/>
        </w:rPr>
        <w:t>$</w:t>
      </w:r>
      <w:r w:rsidR="009E4035">
        <w:rPr>
          <w:rFonts w:ascii="Times New Roman" w:hAnsi="Times New Roman"/>
          <w:sz w:val="24"/>
        </w:rPr>
        <w:t>13,085,485</w:t>
      </w:r>
      <w:r w:rsidRPr="009E2587">
        <w:rPr>
          <w:rFonts w:ascii="Times New Roman" w:hAnsi="Times New Roman"/>
          <w:sz w:val="24"/>
        </w:rPr>
        <w:t xml:space="preserve"> (at $</w:t>
      </w:r>
      <w:r w:rsidR="009E7D6C">
        <w:rPr>
          <w:rFonts w:ascii="Times New Roman" w:hAnsi="Times New Roman"/>
          <w:sz w:val="24"/>
        </w:rPr>
        <w:t>35</w:t>
      </w:r>
      <w:r w:rsidRPr="009E2587">
        <w:rPr>
          <w:rFonts w:ascii="Times New Roman" w:hAnsi="Times New Roman"/>
          <w:sz w:val="24"/>
        </w:rPr>
        <w:t xml:space="preserve"> hourly cost) and is shown in the table below.</w:t>
      </w:r>
    </w:p>
    <w:p w14:paraId="68C00ECA" w14:textId="77777777" w:rsidR="007E4E01" w:rsidRPr="009E2587" w:rsidRDefault="007E4E01" w:rsidP="007E4E01">
      <w:pPr>
        <w:rPr>
          <w:rFonts w:ascii="Times New Roman" w:hAnsi="Times New Roman"/>
          <w:sz w:val="24"/>
        </w:rPr>
      </w:pPr>
    </w:p>
    <w:tbl>
      <w:tblPr>
        <w:tblW w:w="9082" w:type="dxa"/>
        <w:tblInd w:w="93" w:type="dxa"/>
        <w:tblLook w:val="04A0" w:firstRow="1" w:lastRow="0" w:firstColumn="1" w:lastColumn="0" w:noHBand="0" w:noVBand="1"/>
      </w:tblPr>
      <w:tblGrid>
        <w:gridCol w:w="2782"/>
        <w:gridCol w:w="2075"/>
        <w:gridCol w:w="2155"/>
        <w:gridCol w:w="2070"/>
      </w:tblGrid>
      <w:tr w:rsidR="007E4E01" w:rsidRPr="009E2587" w14:paraId="72955393" w14:textId="77777777" w:rsidTr="00734764">
        <w:trPr>
          <w:trHeight w:val="315"/>
        </w:trPr>
        <w:tc>
          <w:tcPr>
            <w:tcW w:w="27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7EE05" w14:textId="77777777" w:rsidR="007E4E01" w:rsidRPr="009E2587" w:rsidRDefault="007E4E01" w:rsidP="00056559">
            <w:pPr>
              <w:widowControl/>
              <w:autoSpaceDE/>
              <w:autoSpaceDN/>
              <w:adjustRightInd/>
              <w:jc w:val="center"/>
              <w:rPr>
                <w:rFonts w:ascii="Times New Roman" w:hAnsi="Times New Roman"/>
                <w:b/>
                <w:bCs/>
                <w:color w:val="000000"/>
                <w:sz w:val="24"/>
              </w:rPr>
            </w:pPr>
            <w:r w:rsidRPr="009E2587">
              <w:rPr>
                <w:rFonts w:ascii="Times New Roman" w:hAnsi="Times New Roman"/>
                <w:b/>
                <w:bCs/>
                <w:color w:val="000000"/>
                <w:sz w:val="24"/>
              </w:rPr>
              <w:t>Information Collection Activity</w:t>
            </w:r>
          </w:p>
        </w:tc>
        <w:tc>
          <w:tcPr>
            <w:tcW w:w="2075" w:type="dxa"/>
            <w:tcBorders>
              <w:top w:val="single" w:sz="4" w:space="0" w:color="auto"/>
              <w:left w:val="nil"/>
              <w:bottom w:val="single" w:sz="4" w:space="0" w:color="auto"/>
              <w:right w:val="single" w:sz="4" w:space="0" w:color="auto"/>
            </w:tcBorders>
            <w:shd w:val="clear" w:color="auto" w:fill="auto"/>
            <w:noWrap/>
            <w:vAlign w:val="center"/>
            <w:hideMark/>
          </w:tcPr>
          <w:p w14:paraId="78B30769" w14:textId="77777777" w:rsidR="007E4E01" w:rsidRPr="009E2587" w:rsidRDefault="007E4E01" w:rsidP="00056559">
            <w:pPr>
              <w:widowControl/>
              <w:autoSpaceDE/>
              <w:autoSpaceDN/>
              <w:adjustRightInd/>
              <w:jc w:val="center"/>
              <w:rPr>
                <w:rFonts w:ascii="Times New Roman" w:hAnsi="Times New Roman"/>
                <w:b/>
                <w:bCs/>
                <w:color w:val="000000"/>
                <w:sz w:val="24"/>
              </w:rPr>
            </w:pPr>
            <w:r w:rsidRPr="009E2587">
              <w:rPr>
                <w:rFonts w:ascii="Times New Roman" w:hAnsi="Times New Roman"/>
                <w:b/>
                <w:bCs/>
                <w:color w:val="000000"/>
                <w:sz w:val="24"/>
              </w:rPr>
              <w:t>Annual Hourly Burden</w:t>
            </w:r>
          </w:p>
        </w:tc>
        <w:tc>
          <w:tcPr>
            <w:tcW w:w="2155" w:type="dxa"/>
            <w:tcBorders>
              <w:top w:val="single" w:sz="4" w:space="0" w:color="auto"/>
              <w:left w:val="nil"/>
              <w:bottom w:val="single" w:sz="4" w:space="0" w:color="auto"/>
              <w:right w:val="single" w:sz="4" w:space="0" w:color="auto"/>
            </w:tcBorders>
            <w:shd w:val="clear" w:color="auto" w:fill="auto"/>
            <w:noWrap/>
            <w:vAlign w:val="center"/>
            <w:hideMark/>
          </w:tcPr>
          <w:p w14:paraId="07303FEF" w14:textId="77777777" w:rsidR="007E4E01" w:rsidRPr="009E2587" w:rsidRDefault="007E4E01" w:rsidP="00056559">
            <w:pPr>
              <w:widowControl/>
              <w:autoSpaceDE/>
              <w:autoSpaceDN/>
              <w:adjustRightInd/>
              <w:jc w:val="center"/>
              <w:rPr>
                <w:rFonts w:ascii="Times New Roman" w:hAnsi="Times New Roman"/>
                <w:b/>
                <w:bCs/>
                <w:color w:val="000000"/>
                <w:sz w:val="24"/>
              </w:rPr>
            </w:pPr>
            <w:r w:rsidRPr="009E2587">
              <w:rPr>
                <w:rFonts w:ascii="Times New Roman" w:hAnsi="Times New Roman"/>
                <w:b/>
                <w:bCs/>
                <w:color w:val="000000"/>
                <w:sz w:val="24"/>
              </w:rPr>
              <w:t>Hourly $ Rate per Response</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61115FCE" w14:textId="77777777" w:rsidR="007E4E01" w:rsidRPr="009E2587" w:rsidRDefault="007E4E01" w:rsidP="00056559">
            <w:pPr>
              <w:widowControl/>
              <w:autoSpaceDE/>
              <w:autoSpaceDN/>
              <w:adjustRightInd/>
              <w:jc w:val="center"/>
              <w:rPr>
                <w:rFonts w:ascii="Times New Roman" w:hAnsi="Times New Roman"/>
                <w:b/>
                <w:bCs/>
                <w:color w:val="000000"/>
                <w:sz w:val="24"/>
              </w:rPr>
            </w:pPr>
            <w:r w:rsidRPr="009E2587">
              <w:rPr>
                <w:rFonts w:ascii="Times New Roman" w:hAnsi="Times New Roman"/>
                <w:b/>
                <w:bCs/>
                <w:color w:val="000000"/>
                <w:sz w:val="24"/>
              </w:rPr>
              <w:t>Total $ Amount</w:t>
            </w:r>
          </w:p>
        </w:tc>
      </w:tr>
      <w:tr w:rsidR="007E4E01" w:rsidRPr="009E2587" w14:paraId="40A6EF86" w14:textId="77777777" w:rsidTr="00734764">
        <w:trPr>
          <w:trHeight w:val="530"/>
        </w:trPr>
        <w:tc>
          <w:tcPr>
            <w:tcW w:w="2782" w:type="dxa"/>
            <w:tcBorders>
              <w:top w:val="nil"/>
              <w:left w:val="single" w:sz="4" w:space="0" w:color="auto"/>
              <w:bottom w:val="single" w:sz="4" w:space="0" w:color="auto"/>
              <w:right w:val="single" w:sz="4" w:space="0" w:color="auto"/>
            </w:tcBorders>
            <w:shd w:val="clear" w:color="auto" w:fill="auto"/>
            <w:noWrap/>
            <w:vAlign w:val="bottom"/>
            <w:hideMark/>
          </w:tcPr>
          <w:p w14:paraId="65B42443" w14:textId="77777777" w:rsidR="007E4E01" w:rsidRPr="009E2587" w:rsidRDefault="007E4E01" w:rsidP="00BE28B7">
            <w:pPr>
              <w:widowControl/>
              <w:autoSpaceDE/>
              <w:autoSpaceDN/>
              <w:adjustRightInd/>
              <w:rPr>
                <w:rFonts w:ascii="Times New Roman" w:hAnsi="Times New Roman"/>
                <w:color w:val="000000"/>
                <w:sz w:val="24"/>
              </w:rPr>
            </w:pPr>
            <w:r w:rsidRPr="009E2587">
              <w:rPr>
                <w:rFonts w:ascii="Times New Roman" w:hAnsi="Times New Roman"/>
                <w:color w:val="000000"/>
                <w:sz w:val="24"/>
              </w:rPr>
              <w:t>Account Disclosures</w:t>
            </w:r>
          </w:p>
        </w:tc>
        <w:tc>
          <w:tcPr>
            <w:tcW w:w="2075" w:type="dxa"/>
            <w:tcBorders>
              <w:top w:val="nil"/>
              <w:left w:val="nil"/>
              <w:bottom w:val="single" w:sz="4" w:space="0" w:color="auto"/>
              <w:right w:val="single" w:sz="4" w:space="0" w:color="auto"/>
            </w:tcBorders>
            <w:shd w:val="clear" w:color="auto" w:fill="auto"/>
            <w:noWrap/>
            <w:vAlign w:val="center"/>
            <w:hideMark/>
          </w:tcPr>
          <w:p w14:paraId="4AE013E7" w14:textId="0C3BBB2F" w:rsidR="007E4E01" w:rsidRPr="009E2587" w:rsidRDefault="009E4035" w:rsidP="00BE28B7">
            <w:pPr>
              <w:widowControl/>
              <w:autoSpaceDE/>
              <w:autoSpaceDN/>
              <w:adjustRightInd/>
              <w:jc w:val="center"/>
              <w:rPr>
                <w:rFonts w:ascii="Times New Roman" w:hAnsi="Times New Roman"/>
                <w:color w:val="000000"/>
                <w:sz w:val="24"/>
              </w:rPr>
            </w:pPr>
            <w:r>
              <w:rPr>
                <w:rFonts w:ascii="Times New Roman" w:hAnsi="Times New Roman"/>
                <w:color w:val="000000"/>
                <w:sz w:val="24"/>
              </w:rPr>
              <w:t>22,619</w:t>
            </w:r>
          </w:p>
        </w:tc>
        <w:tc>
          <w:tcPr>
            <w:tcW w:w="2155" w:type="dxa"/>
            <w:tcBorders>
              <w:top w:val="nil"/>
              <w:left w:val="nil"/>
              <w:bottom w:val="single" w:sz="4" w:space="0" w:color="auto"/>
              <w:right w:val="single" w:sz="4" w:space="0" w:color="auto"/>
            </w:tcBorders>
            <w:shd w:val="clear" w:color="auto" w:fill="auto"/>
            <w:noWrap/>
            <w:vAlign w:val="center"/>
            <w:hideMark/>
          </w:tcPr>
          <w:p w14:paraId="11685E89" w14:textId="6A88C1DA"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xml:space="preserve">$    </w:t>
            </w:r>
            <w:r w:rsidR="009E7D6C">
              <w:rPr>
                <w:rFonts w:ascii="Times New Roman" w:hAnsi="Times New Roman"/>
                <w:color w:val="000000"/>
                <w:sz w:val="24"/>
              </w:rPr>
              <w:t>35</w:t>
            </w:r>
            <w:r w:rsidRPr="009E2587">
              <w:rPr>
                <w:rFonts w:ascii="Times New Roman" w:hAnsi="Times New Roman"/>
                <w:color w:val="000000"/>
                <w:sz w:val="24"/>
              </w:rPr>
              <w:t>.00</w:t>
            </w:r>
          </w:p>
        </w:tc>
        <w:tc>
          <w:tcPr>
            <w:tcW w:w="2070" w:type="dxa"/>
            <w:tcBorders>
              <w:top w:val="nil"/>
              <w:left w:val="nil"/>
              <w:bottom w:val="single" w:sz="4" w:space="0" w:color="auto"/>
              <w:right w:val="single" w:sz="4" w:space="0" w:color="auto"/>
            </w:tcBorders>
            <w:shd w:val="clear" w:color="auto" w:fill="auto"/>
            <w:noWrap/>
            <w:vAlign w:val="center"/>
            <w:hideMark/>
          </w:tcPr>
          <w:p w14:paraId="6BFF6A89" w14:textId="4C21B6CF" w:rsidR="007E4E01" w:rsidRPr="009E2587" w:rsidRDefault="007E4E01" w:rsidP="00056559">
            <w:pPr>
              <w:widowControl/>
              <w:autoSpaceDE/>
              <w:autoSpaceDN/>
              <w:adjustRightInd/>
              <w:jc w:val="right"/>
              <w:rPr>
                <w:rFonts w:ascii="Times New Roman" w:hAnsi="Times New Roman"/>
                <w:color w:val="000000"/>
                <w:sz w:val="24"/>
              </w:rPr>
            </w:pPr>
            <w:r w:rsidRPr="009E2587">
              <w:rPr>
                <w:rFonts w:ascii="Times New Roman" w:hAnsi="Times New Roman"/>
                <w:color w:val="000000"/>
                <w:sz w:val="24"/>
              </w:rPr>
              <w:t xml:space="preserve">$    </w:t>
            </w:r>
            <w:r w:rsidR="004D051D">
              <w:rPr>
                <w:rFonts w:ascii="Times New Roman" w:hAnsi="Times New Roman"/>
                <w:color w:val="000000"/>
                <w:sz w:val="24"/>
              </w:rPr>
              <w:t>791,665</w:t>
            </w:r>
            <w:r w:rsidRPr="009E2587">
              <w:rPr>
                <w:rFonts w:ascii="Times New Roman" w:hAnsi="Times New Roman"/>
                <w:color w:val="000000"/>
                <w:sz w:val="24"/>
              </w:rPr>
              <w:t>.00</w:t>
            </w:r>
          </w:p>
        </w:tc>
      </w:tr>
      <w:tr w:rsidR="007E4E01" w:rsidRPr="009E2587" w14:paraId="1BD0794B" w14:textId="77777777" w:rsidTr="00734764">
        <w:trPr>
          <w:trHeight w:val="315"/>
        </w:trPr>
        <w:tc>
          <w:tcPr>
            <w:tcW w:w="2782" w:type="dxa"/>
            <w:tcBorders>
              <w:top w:val="nil"/>
              <w:left w:val="single" w:sz="4" w:space="0" w:color="auto"/>
              <w:bottom w:val="single" w:sz="4" w:space="0" w:color="auto"/>
              <w:right w:val="single" w:sz="4" w:space="0" w:color="auto"/>
            </w:tcBorders>
            <w:shd w:val="clear" w:color="auto" w:fill="auto"/>
            <w:noWrap/>
            <w:vAlign w:val="bottom"/>
            <w:hideMark/>
          </w:tcPr>
          <w:p w14:paraId="5F3FB4EE" w14:textId="77777777" w:rsidR="007E4E01" w:rsidRPr="009E2587" w:rsidRDefault="007E4E01" w:rsidP="00BE28B7">
            <w:pPr>
              <w:widowControl/>
              <w:autoSpaceDE/>
              <w:autoSpaceDN/>
              <w:adjustRightInd/>
              <w:rPr>
                <w:rFonts w:ascii="Times New Roman" w:hAnsi="Times New Roman"/>
                <w:color w:val="000000"/>
                <w:sz w:val="24"/>
              </w:rPr>
            </w:pPr>
            <w:r w:rsidRPr="009E2587">
              <w:rPr>
                <w:rFonts w:ascii="Times New Roman" w:hAnsi="Times New Roman"/>
                <w:color w:val="000000"/>
                <w:sz w:val="24"/>
              </w:rPr>
              <w:t>Change-in-Terms Notices</w:t>
            </w:r>
          </w:p>
        </w:tc>
        <w:tc>
          <w:tcPr>
            <w:tcW w:w="2075" w:type="dxa"/>
            <w:tcBorders>
              <w:top w:val="nil"/>
              <w:left w:val="nil"/>
              <w:bottom w:val="single" w:sz="4" w:space="0" w:color="auto"/>
              <w:right w:val="single" w:sz="4" w:space="0" w:color="auto"/>
            </w:tcBorders>
            <w:shd w:val="clear" w:color="auto" w:fill="auto"/>
            <w:noWrap/>
            <w:vAlign w:val="center"/>
            <w:hideMark/>
          </w:tcPr>
          <w:p w14:paraId="2A0CF2B7" w14:textId="15CCFB23" w:rsidR="007E4E01" w:rsidRPr="009E2587" w:rsidRDefault="009E4035" w:rsidP="00BE28B7">
            <w:pPr>
              <w:widowControl/>
              <w:autoSpaceDE/>
              <w:autoSpaceDN/>
              <w:adjustRightInd/>
              <w:jc w:val="center"/>
              <w:rPr>
                <w:rFonts w:ascii="Times New Roman" w:hAnsi="Times New Roman"/>
                <w:color w:val="000000"/>
                <w:sz w:val="24"/>
              </w:rPr>
            </w:pPr>
            <w:r>
              <w:rPr>
                <w:rFonts w:ascii="Times New Roman" w:hAnsi="Times New Roman"/>
                <w:color w:val="000000"/>
                <w:sz w:val="24"/>
              </w:rPr>
              <w:t>33,707</w:t>
            </w:r>
          </w:p>
        </w:tc>
        <w:tc>
          <w:tcPr>
            <w:tcW w:w="2155" w:type="dxa"/>
            <w:tcBorders>
              <w:top w:val="nil"/>
              <w:left w:val="nil"/>
              <w:bottom w:val="single" w:sz="4" w:space="0" w:color="auto"/>
              <w:right w:val="single" w:sz="4" w:space="0" w:color="auto"/>
            </w:tcBorders>
            <w:shd w:val="clear" w:color="auto" w:fill="auto"/>
            <w:noWrap/>
            <w:vAlign w:val="center"/>
            <w:hideMark/>
          </w:tcPr>
          <w:p w14:paraId="4DC831AB" w14:textId="73CB2562"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xml:space="preserve">$    </w:t>
            </w:r>
            <w:r w:rsidR="009E7D6C">
              <w:rPr>
                <w:rFonts w:ascii="Times New Roman" w:hAnsi="Times New Roman"/>
                <w:color w:val="000000"/>
                <w:sz w:val="24"/>
              </w:rPr>
              <w:t>35</w:t>
            </w:r>
            <w:r w:rsidRPr="009E2587">
              <w:rPr>
                <w:rFonts w:ascii="Times New Roman" w:hAnsi="Times New Roman"/>
                <w:color w:val="000000"/>
                <w:sz w:val="24"/>
              </w:rPr>
              <w:t>.00</w:t>
            </w:r>
          </w:p>
        </w:tc>
        <w:tc>
          <w:tcPr>
            <w:tcW w:w="2070" w:type="dxa"/>
            <w:tcBorders>
              <w:top w:val="nil"/>
              <w:left w:val="nil"/>
              <w:bottom w:val="single" w:sz="4" w:space="0" w:color="auto"/>
              <w:right w:val="single" w:sz="4" w:space="0" w:color="auto"/>
            </w:tcBorders>
            <w:shd w:val="clear" w:color="auto" w:fill="auto"/>
            <w:noWrap/>
            <w:vAlign w:val="center"/>
            <w:hideMark/>
          </w:tcPr>
          <w:p w14:paraId="14264923" w14:textId="4DC2ED62" w:rsidR="007E4E01" w:rsidRPr="009E2587" w:rsidRDefault="00056559" w:rsidP="00056559">
            <w:pPr>
              <w:widowControl/>
              <w:autoSpaceDE/>
              <w:autoSpaceDN/>
              <w:adjustRightInd/>
              <w:jc w:val="right"/>
              <w:rPr>
                <w:rFonts w:ascii="Times New Roman" w:hAnsi="Times New Roman"/>
                <w:color w:val="000000"/>
                <w:sz w:val="24"/>
              </w:rPr>
            </w:pPr>
            <w:r>
              <w:rPr>
                <w:rFonts w:ascii="Times New Roman" w:hAnsi="Times New Roman"/>
                <w:color w:val="000000"/>
                <w:sz w:val="24"/>
              </w:rPr>
              <w:t xml:space="preserve">$ </w:t>
            </w:r>
            <w:r w:rsidR="004D051D">
              <w:rPr>
                <w:rFonts w:ascii="Times New Roman" w:hAnsi="Times New Roman"/>
                <w:color w:val="000000"/>
                <w:sz w:val="24"/>
              </w:rPr>
              <w:t>1,179,710</w:t>
            </w:r>
            <w:r w:rsidR="007E4E01" w:rsidRPr="009E2587">
              <w:rPr>
                <w:rFonts w:ascii="Times New Roman" w:hAnsi="Times New Roman"/>
                <w:color w:val="000000"/>
                <w:sz w:val="24"/>
              </w:rPr>
              <w:t>.00</w:t>
            </w:r>
          </w:p>
        </w:tc>
      </w:tr>
      <w:tr w:rsidR="007E4E01" w:rsidRPr="009E2587" w14:paraId="145F9AC0" w14:textId="77777777" w:rsidTr="00734764">
        <w:trPr>
          <w:trHeight w:val="315"/>
        </w:trPr>
        <w:tc>
          <w:tcPr>
            <w:tcW w:w="2782" w:type="dxa"/>
            <w:tcBorders>
              <w:top w:val="nil"/>
              <w:left w:val="single" w:sz="4" w:space="0" w:color="auto"/>
              <w:bottom w:val="single" w:sz="4" w:space="0" w:color="auto"/>
              <w:right w:val="single" w:sz="4" w:space="0" w:color="auto"/>
            </w:tcBorders>
            <w:shd w:val="clear" w:color="auto" w:fill="auto"/>
            <w:noWrap/>
            <w:vAlign w:val="bottom"/>
            <w:hideMark/>
          </w:tcPr>
          <w:p w14:paraId="27C9E0DA" w14:textId="77777777" w:rsidR="007E4E01" w:rsidRPr="009E2587" w:rsidRDefault="007E4E01" w:rsidP="00BE28B7">
            <w:pPr>
              <w:widowControl/>
              <w:autoSpaceDE/>
              <w:autoSpaceDN/>
              <w:adjustRightInd/>
              <w:rPr>
                <w:rFonts w:ascii="Times New Roman" w:hAnsi="Times New Roman"/>
                <w:color w:val="000000"/>
                <w:sz w:val="24"/>
              </w:rPr>
            </w:pPr>
            <w:r w:rsidRPr="009E2587">
              <w:rPr>
                <w:rFonts w:ascii="Times New Roman" w:hAnsi="Times New Roman"/>
                <w:color w:val="000000"/>
                <w:sz w:val="24"/>
              </w:rPr>
              <w:t>Notices Prior to Maturit</w:t>
            </w:r>
            <w:bookmarkStart w:id="0" w:name="_GoBack"/>
            <w:bookmarkEnd w:id="0"/>
            <w:r w:rsidRPr="009E2587">
              <w:rPr>
                <w:rFonts w:ascii="Times New Roman" w:hAnsi="Times New Roman"/>
                <w:color w:val="000000"/>
                <w:sz w:val="24"/>
              </w:rPr>
              <w:t>y</w:t>
            </w:r>
          </w:p>
        </w:tc>
        <w:tc>
          <w:tcPr>
            <w:tcW w:w="2075" w:type="dxa"/>
            <w:tcBorders>
              <w:top w:val="nil"/>
              <w:left w:val="nil"/>
              <w:bottom w:val="single" w:sz="4" w:space="0" w:color="auto"/>
              <w:right w:val="single" w:sz="4" w:space="0" w:color="auto"/>
            </w:tcBorders>
            <w:shd w:val="clear" w:color="auto" w:fill="auto"/>
            <w:noWrap/>
            <w:vAlign w:val="center"/>
            <w:hideMark/>
          </w:tcPr>
          <w:p w14:paraId="06C3E44A" w14:textId="76925EEE" w:rsidR="007E4E01" w:rsidRPr="009E2587" w:rsidRDefault="009E4035" w:rsidP="00BE28B7">
            <w:pPr>
              <w:widowControl/>
              <w:autoSpaceDE/>
              <w:autoSpaceDN/>
              <w:adjustRightInd/>
              <w:jc w:val="center"/>
              <w:rPr>
                <w:rFonts w:ascii="Times New Roman" w:hAnsi="Times New Roman"/>
                <w:color w:val="000000"/>
                <w:sz w:val="24"/>
              </w:rPr>
            </w:pPr>
            <w:r>
              <w:rPr>
                <w:rFonts w:ascii="Times New Roman" w:hAnsi="Times New Roman"/>
                <w:color w:val="000000"/>
                <w:sz w:val="24"/>
              </w:rPr>
              <w:t>30,158</w:t>
            </w:r>
          </w:p>
        </w:tc>
        <w:tc>
          <w:tcPr>
            <w:tcW w:w="2155" w:type="dxa"/>
            <w:tcBorders>
              <w:top w:val="nil"/>
              <w:left w:val="nil"/>
              <w:bottom w:val="single" w:sz="4" w:space="0" w:color="auto"/>
              <w:right w:val="single" w:sz="4" w:space="0" w:color="auto"/>
            </w:tcBorders>
            <w:shd w:val="clear" w:color="auto" w:fill="auto"/>
            <w:noWrap/>
            <w:vAlign w:val="center"/>
            <w:hideMark/>
          </w:tcPr>
          <w:p w14:paraId="24199D3D" w14:textId="6850C13A"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xml:space="preserve">$    </w:t>
            </w:r>
            <w:r w:rsidR="009E7D6C">
              <w:rPr>
                <w:rFonts w:ascii="Times New Roman" w:hAnsi="Times New Roman"/>
                <w:color w:val="000000"/>
                <w:sz w:val="24"/>
              </w:rPr>
              <w:t>35</w:t>
            </w:r>
            <w:r w:rsidRPr="009E2587">
              <w:rPr>
                <w:rFonts w:ascii="Times New Roman" w:hAnsi="Times New Roman"/>
                <w:color w:val="000000"/>
                <w:sz w:val="24"/>
              </w:rPr>
              <w:t>.00</w:t>
            </w:r>
          </w:p>
        </w:tc>
        <w:tc>
          <w:tcPr>
            <w:tcW w:w="2070" w:type="dxa"/>
            <w:tcBorders>
              <w:top w:val="nil"/>
              <w:left w:val="nil"/>
              <w:bottom w:val="single" w:sz="4" w:space="0" w:color="auto"/>
              <w:right w:val="single" w:sz="4" w:space="0" w:color="auto"/>
            </w:tcBorders>
            <w:shd w:val="clear" w:color="auto" w:fill="auto"/>
            <w:noWrap/>
            <w:vAlign w:val="center"/>
            <w:hideMark/>
          </w:tcPr>
          <w:p w14:paraId="05B1E30A" w14:textId="7E998D08" w:rsidR="007E4E01" w:rsidRPr="009E2587" w:rsidRDefault="00056559" w:rsidP="00056559">
            <w:pPr>
              <w:widowControl/>
              <w:autoSpaceDE/>
              <w:autoSpaceDN/>
              <w:adjustRightInd/>
              <w:jc w:val="right"/>
              <w:rPr>
                <w:rFonts w:ascii="Times New Roman" w:hAnsi="Times New Roman"/>
                <w:color w:val="000000"/>
                <w:sz w:val="24"/>
              </w:rPr>
            </w:pPr>
            <w:r>
              <w:rPr>
                <w:rFonts w:ascii="Times New Roman" w:hAnsi="Times New Roman"/>
                <w:color w:val="000000"/>
                <w:sz w:val="24"/>
              </w:rPr>
              <w:t xml:space="preserve">$ </w:t>
            </w:r>
            <w:r w:rsidR="004D051D">
              <w:rPr>
                <w:rFonts w:ascii="Times New Roman" w:hAnsi="Times New Roman"/>
                <w:color w:val="000000"/>
                <w:sz w:val="24"/>
              </w:rPr>
              <w:t>1,055,530</w:t>
            </w:r>
            <w:r w:rsidR="007E4E01" w:rsidRPr="009E2587">
              <w:rPr>
                <w:rFonts w:ascii="Times New Roman" w:hAnsi="Times New Roman"/>
                <w:color w:val="000000"/>
                <w:sz w:val="24"/>
              </w:rPr>
              <w:t>.00</w:t>
            </w:r>
          </w:p>
        </w:tc>
      </w:tr>
      <w:tr w:rsidR="007E4E01" w:rsidRPr="009E2587" w14:paraId="3BFD6D1B" w14:textId="77777777" w:rsidTr="00734764">
        <w:trPr>
          <w:trHeight w:val="315"/>
        </w:trPr>
        <w:tc>
          <w:tcPr>
            <w:tcW w:w="2782" w:type="dxa"/>
            <w:tcBorders>
              <w:top w:val="nil"/>
              <w:left w:val="single" w:sz="4" w:space="0" w:color="auto"/>
              <w:bottom w:val="single" w:sz="4" w:space="0" w:color="auto"/>
              <w:right w:val="single" w:sz="4" w:space="0" w:color="auto"/>
            </w:tcBorders>
            <w:shd w:val="clear" w:color="auto" w:fill="auto"/>
            <w:noWrap/>
            <w:vAlign w:val="bottom"/>
            <w:hideMark/>
          </w:tcPr>
          <w:p w14:paraId="32C0805B" w14:textId="77777777" w:rsidR="007E4E01" w:rsidRPr="009E2587" w:rsidRDefault="007E4E01" w:rsidP="00BE28B7">
            <w:pPr>
              <w:widowControl/>
              <w:autoSpaceDE/>
              <w:autoSpaceDN/>
              <w:adjustRightInd/>
              <w:rPr>
                <w:rFonts w:ascii="Times New Roman" w:hAnsi="Times New Roman"/>
                <w:color w:val="000000"/>
                <w:sz w:val="24"/>
              </w:rPr>
            </w:pPr>
            <w:r w:rsidRPr="009E2587">
              <w:rPr>
                <w:rFonts w:ascii="Times New Roman" w:hAnsi="Times New Roman"/>
                <w:color w:val="000000"/>
                <w:sz w:val="24"/>
              </w:rPr>
              <w:t>Periodic Statement Disclosures</w:t>
            </w:r>
          </w:p>
        </w:tc>
        <w:tc>
          <w:tcPr>
            <w:tcW w:w="2075" w:type="dxa"/>
            <w:tcBorders>
              <w:top w:val="nil"/>
              <w:left w:val="nil"/>
              <w:bottom w:val="single" w:sz="4" w:space="0" w:color="auto"/>
              <w:right w:val="single" w:sz="4" w:space="0" w:color="auto"/>
            </w:tcBorders>
            <w:shd w:val="clear" w:color="auto" w:fill="auto"/>
            <w:noWrap/>
            <w:vAlign w:val="center"/>
            <w:hideMark/>
          </w:tcPr>
          <w:p w14:paraId="1E08FD46" w14:textId="7C6D5B58" w:rsidR="007E4E01" w:rsidRPr="009E2587" w:rsidRDefault="009E4035" w:rsidP="00BE28B7">
            <w:pPr>
              <w:widowControl/>
              <w:autoSpaceDE/>
              <w:autoSpaceDN/>
              <w:adjustRightInd/>
              <w:jc w:val="center"/>
              <w:rPr>
                <w:rFonts w:ascii="Times New Roman" w:hAnsi="Times New Roman"/>
                <w:color w:val="000000"/>
                <w:sz w:val="24"/>
              </w:rPr>
            </w:pPr>
            <w:r>
              <w:rPr>
                <w:rFonts w:ascii="Times New Roman" w:hAnsi="Times New Roman"/>
                <w:color w:val="000000"/>
                <w:sz w:val="24"/>
              </w:rPr>
              <w:t>255,456</w:t>
            </w:r>
          </w:p>
        </w:tc>
        <w:tc>
          <w:tcPr>
            <w:tcW w:w="2155" w:type="dxa"/>
            <w:tcBorders>
              <w:top w:val="nil"/>
              <w:left w:val="nil"/>
              <w:bottom w:val="single" w:sz="4" w:space="0" w:color="auto"/>
              <w:right w:val="single" w:sz="4" w:space="0" w:color="auto"/>
            </w:tcBorders>
            <w:shd w:val="clear" w:color="auto" w:fill="auto"/>
            <w:noWrap/>
            <w:vAlign w:val="center"/>
            <w:hideMark/>
          </w:tcPr>
          <w:p w14:paraId="59E93494" w14:textId="0A5631EA"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xml:space="preserve">$    </w:t>
            </w:r>
            <w:r w:rsidR="009E7D6C">
              <w:rPr>
                <w:rFonts w:ascii="Times New Roman" w:hAnsi="Times New Roman"/>
                <w:color w:val="000000"/>
                <w:sz w:val="24"/>
              </w:rPr>
              <w:t>35</w:t>
            </w:r>
            <w:r w:rsidRPr="009E2587">
              <w:rPr>
                <w:rFonts w:ascii="Times New Roman" w:hAnsi="Times New Roman"/>
                <w:color w:val="000000"/>
                <w:sz w:val="24"/>
              </w:rPr>
              <w:t>.00</w:t>
            </w:r>
          </w:p>
        </w:tc>
        <w:tc>
          <w:tcPr>
            <w:tcW w:w="2070" w:type="dxa"/>
            <w:tcBorders>
              <w:top w:val="nil"/>
              <w:left w:val="nil"/>
              <w:bottom w:val="single" w:sz="4" w:space="0" w:color="auto"/>
              <w:right w:val="single" w:sz="4" w:space="0" w:color="auto"/>
            </w:tcBorders>
            <w:shd w:val="clear" w:color="auto" w:fill="auto"/>
            <w:noWrap/>
            <w:vAlign w:val="center"/>
            <w:hideMark/>
          </w:tcPr>
          <w:p w14:paraId="6292FCE9" w14:textId="1AE29E05" w:rsidR="007E4E01" w:rsidRPr="009E2587" w:rsidRDefault="007E4E01" w:rsidP="00056559">
            <w:pPr>
              <w:widowControl/>
              <w:autoSpaceDE/>
              <w:autoSpaceDN/>
              <w:adjustRightInd/>
              <w:jc w:val="right"/>
              <w:rPr>
                <w:rFonts w:ascii="Times New Roman" w:hAnsi="Times New Roman"/>
                <w:color w:val="000000"/>
                <w:sz w:val="24"/>
              </w:rPr>
            </w:pPr>
            <w:r w:rsidRPr="009E2587">
              <w:rPr>
                <w:rFonts w:ascii="Times New Roman" w:hAnsi="Times New Roman"/>
                <w:color w:val="000000"/>
                <w:sz w:val="24"/>
              </w:rPr>
              <w:t xml:space="preserve">$ </w:t>
            </w:r>
            <w:r w:rsidR="004D051D">
              <w:rPr>
                <w:rFonts w:ascii="Times New Roman" w:hAnsi="Times New Roman"/>
                <w:color w:val="000000"/>
                <w:sz w:val="24"/>
              </w:rPr>
              <w:t>8,940,960</w:t>
            </w:r>
            <w:r w:rsidRPr="009E2587">
              <w:rPr>
                <w:rFonts w:ascii="Times New Roman" w:hAnsi="Times New Roman"/>
                <w:color w:val="000000"/>
                <w:sz w:val="24"/>
              </w:rPr>
              <w:t>.00</w:t>
            </w:r>
          </w:p>
        </w:tc>
      </w:tr>
      <w:tr w:rsidR="007E4E01" w:rsidRPr="009E2587" w14:paraId="26E01DE1" w14:textId="77777777" w:rsidTr="00734764">
        <w:trPr>
          <w:trHeight w:val="315"/>
        </w:trPr>
        <w:tc>
          <w:tcPr>
            <w:tcW w:w="2782" w:type="dxa"/>
            <w:tcBorders>
              <w:top w:val="nil"/>
              <w:left w:val="single" w:sz="4" w:space="0" w:color="auto"/>
              <w:bottom w:val="single" w:sz="4" w:space="0" w:color="auto"/>
              <w:right w:val="single" w:sz="4" w:space="0" w:color="auto"/>
            </w:tcBorders>
            <w:shd w:val="clear" w:color="auto" w:fill="auto"/>
            <w:noWrap/>
            <w:vAlign w:val="bottom"/>
            <w:hideMark/>
          </w:tcPr>
          <w:p w14:paraId="044F8552" w14:textId="77777777" w:rsidR="007E4E01" w:rsidRPr="009E2587" w:rsidRDefault="007E4E01" w:rsidP="00BE28B7">
            <w:pPr>
              <w:widowControl/>
              <w:autoSpaceDE/>
              <w:autoSpaceDN/>
              <w:adjustRightInd/>
              <w:rPr>
                <w:rFonts w:ascii="Times New Roman" w:hAnsi="Times New Roman"/>
                <w:color w:val="000000"/>
                <w:sz w:val="24"/>
              </w:rPr>
            </w:pPr>
            <w:r w:rsidRPr="009E2587">
              <w:rPr>
                <w:rFonts w:ascii="Times New Roman" w:hAnsi="Times New Roman"/>
                <w:color w:val="000000"/>
                <w:sz w:val="24"/>
              </w:rPr>
              <w:t>Advertising</w:t>
            </w:r>
          </w:p>
        </w:tc>
        <w:tc>
          <w:tcPr>
            <w:tcW w:w="2075" w:type="dxa"/>
            <w:tcBorders>
              <w:top w:val="nil"/>
              <w:left w:val="nil"/>
              <w:bottom w:val="single" w:sz="4" w:space="0" w:color="auto"/>
              <w:right w:val="single" w:sz="4" w:space="0" w:color="auto"/>
            </w:tcBorders>
            <w:shd w:val="clear" w:color="auto" w:fill="auto"/>
            <w:noWrap/>
            <w:vAlign w:val="center"/>
            <w:hideMark/>
          </w:tcPr>
          <w:p w14:paraId="79BA4C77" w14:textId="1B511DC1" w:rsidR="007E4E01" w:rsidRPr="009E2587" w:rsidRDefault="009E4035" w:rsidP="00BE28B7">
            <w:pPr>
              <w:widowControl/>
              <w:autoSpaceDE/>
              <w:autoSpaceDN/>
              <w:adjustRightInd/>
              <w:jc w:val="center"/>
              <w:rPr>
                <w:rFonts w:ascii="Times New Roman" w:hAnsi="Times New Roman"/>
                <w:color w:val="000000"/>
                <w:sz w:val="24"/>
              </w:rPr>
            </w:pPr>
            <w:r>
              <w:rPr>
                <w:rFonts w:ascii="Times New Roman" w:hAnsi="Times New Roman"/>
                <w:color w:val="000000"/>
                <w:sz w:val="24"/>
              </w:rPr>
              <w:t>31,932</w:t>
            </w:r>
          </w:p>
        </w:tc>
        <w:tc>
          <w:tcPr>
            <w:tcW w:w="2155" w:type="dxa"/>
            <w:tcBorders>
              <w:top w:val="nil"/>
              <w:left w:val="nil"/>
              <w:bottom w:val="single" w:sz="4" w:space="0" w:color="auto"/>
              <w:right w:val="single" w:sz="4" w:space="0" w:color="auto"/>
            </w:tcBorders>
            <w:shd w:val="clear" w:color="auto" w:fill="auto"/>
            <w:noWrap/>
            <w:vAlign w:val="center"/>
            <w:hideMark/>
          </w:tcPr>
          <w:p w14:paraId="7B145B7A" w14:textId="11EF29DE"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xml:space="preserve">$   </w:t>
            </w:r>
            <w:r w:rsidR="009E7D6C">
              <w:rPr>
                <w:rFonts w:ascii="Times New Roman" w:hAnsi="Times New Roman"/>
                <w:color w:val="000000"/>
                <w:sz w:val="24"/>
              </w:rPr>
              <w:t>35</w:t>
            </w:r>
            <w:r w:rsidRPr="009E2587">
              <w:rPr>
                <w:rFonts w:ascii="Times New Roman" w:hAnsi="Times New Roman"/>
                <w:color w:val="000000"/>
                <w:sz w:val="24"/>
              </w:rPr>
              <w:t>.00</w:t>
            </w:r>
          </w:p>
        </w:tc>
        <w:tc>
          <w:tcPr>
            <w:tcW w:w="2070" w:type="dxa"/>
            <w:tcBorders>
              <w:top w:val="nil"/>
              <w:left w:val="nil"/>
              <w:bottom w:val="single" w:sz="4" w:space="0" w:color="auto"/>
              <w:right w:val="single" w:sz="4" w:space="0" w:color="auto"/>
            </w:tcBorders>
            <w:shd w:val="clear" w:color="auto" w:fill="auto"/>
            <w:noWrap/>
            <w:vAlign w:val="center"/>
            <w:hideMark/>
          </w:tcPr>
          <w:p w14:paraId="5706470A" w14:textId="02A244EB" w:rsidR="007E4E01" w:rsidRPr="009E2587" w:rsidRDefault="00056559" w:rsidP="00056559">
            <w:pPr>
              <w:widowControl/>
              <w:autoSpaceDE/>
              <w:autoSpaceDN/>
              <w:adjustRightInd/>
              <w:jc w:val="right"/>
              <w:rPr>
                <w:rFonts w:ascii="Times New Roman" w:hAnsi="Times New Roman"/>
                <w:color w:val="000000"/>
                <w:sz w:val="24"/>
              </w:rPr>
            </w:pPr>
            <w:r>
              <w:rPr>
                <w:rFonts w:ascii="Times New Roman" w:hAnsi="Times New Roman"/>
                <w:color w:val="000000"/>
                <w:sz w:val="24"/>
              </w:rPr>
              <w:t xml:space="preserve">$ </w:t>
            </w:r>
            <w:r w:rsidR="004D051D">
              <w:rPr>
                <w:rFonts w:ascii="Times New Roman" w:hAnsi="Times New Roman"/>
                <w:color w:val="000000"/>
                <w:sz w:val="24"/>
              </w:rPr>
              <w:t>1,117,620</w:t>
            </w:r>
            <w:r w:rsidR="007E4E01" w:rsidRPr="009E2587">
              <w:rPr>
                <w:rFonts w:ascii="Times New Roman" w:hAnsi="Times New Roman"/>
                <w:color w:val="000000"/>
                <w:sz w:val="24"/>
              </w:rPr>
              <w:t>.00</w:t>
            </w:r>
          </w:p>
        </w:tc>
      </w:tr>
      <w:tr w:rsidR="009E7D6C" w:rsidRPr="009E2587" w14:paraId="0AA69699" w14:textId="77777777" w:rsidTr="00734764">
        <w:trPr>
          <w:trHeight w:val="315"/>
        </w:trPr>
        <w:tc>
          <w:tcPr>
            <w:tcW w:w="2782" w:type="dxa"/>
            <w:tcBorders>
              <w:top w:val="nil"/>
              <w:left w:val="single" w:sz="4" w:space="0" w:color="auto"/>
              <w:bottom w:val="single" w:sz="4" w:space="0" w:color="auto"/>
              <w:right w:val="single" w:sz="4" w:space="0" w:color="auto"/>
            </w:tcBorders>
            <w:shd w:val="clear" w:color="auto" w:fill="auto"/>
            <w:noWrap/>
            <w:vAlign w:val="bottom"/>
          </w:tcPr>
          <w:p w14:paraId="7FEACF34" w14:textId="5DB5B1F2" w:rsidR="009E7D6C" w:rsidRPr="009E2587" w:rsidRDefault="009E7D6C" w:rsidP="00BE28B7">
            <w:pPr>
              <w:widowControl/>
              <w:autoSpaceDE/>
              <w:autoSpaceDN/>
              <w:adjustRightInd/>
              <w:rPr>
                <w:rFonts w:ascii="Times New Roman" w:hAnsi="Times New Roman"/>
                <w:color w:val="000000"/>
                <w:sz w:val="24"/>
              </w:rPr>
            </w:pPr>
            <w:r>
              <w:rPr>
                <w:rFonts w:ascii="Times New Roman" w:hAnsi="Times New Roman"/>
                <w:color w:val="000000"/>
                <w:sz w:val="24"/>
              </w:rPr>
              <w:t>Record Retention</w:t>
            </w:r>
          </w:p>
        </w:tc>
        <w:tc>
          <w:tcPr>
            <w:tcW w:w="2075" w:type="dxa"/>
            <w:tcBorders>
              <w:top w:val="nil"/>
              <w:left w:val="nil"/>
              <w:bottom w:val="single" w:sz="4" w:space="0" w:color="auto"/>
              <w:right w:val="single" w:sz="4" w:space="0" w:color="auto"/>
            </w:tcBorders>
            <w:shd w:val="clear" w:color="auto" w:fill="auto"/>
            <w:noWrap/>
            <w:vAlign w:val="center"/>
          </w:tcPr>
          <w:p w14:paraId="6E1C07FB" w14:textId="3506E554" w:rsidR="009E7D6C" w:rsidRPr="009E2587" w:rsidDel="009E7D6C" w:rsidRDefault="00492871" w:rsidP="00BE28B7">
            <w:pPr>
              <w:widowControl/>
              <w:autoSpaceDE/>
              <w:autoSpaceDN/>
              <w:adjustRightInd/>
              <w:jc w:val="center"/>
              <w:rPr>
                <w:rFonts w:ascii="Times New Roman" w:hAnsi="Times New Roman"/>
                <w:color w:val="000000"/>
                <w:sz w:val="24"/>
              </w:rPr>
            </w:pPr>
            <w:r>
              <w:rPr>
                <w:rFonts w:ascii="Times New Roman" w:hAnsi="Times New Roman"/>
                <w:color w:val="000000"/>
                <w:sz w:val="24"/>
              </w:rPr>
              <w:t>0</w:t>
            </w:r>
          </w:p>
        </w:tc>
        <w:tc>
          <w:tcPr>
            <w:tcW w:w="2155" w:type="dxa"/>
            <w:tcBorders>
              <w:top w:val="nil"/>
              <w:left w:val="nil"/>
              <w:bottom w:val="single" w:sz="4" w:space="0" w:color="auto"/>
              <w:right w:val="single" w:sz="4" w:space="0" w:color="auto"/>
            </w:tcBorders>
            <w:shd w:val="clear" w:color="auto" w:fill="auto"/>
            <w:noWrap/>
            <w:vAlign w:val="center"/>
          </w:tcPr>
          <w:p w14:paraId="446B1F65" w14:textId="707E6B30" w:rsidR="009E7D6C" w:rsidRPr="009E2587" w:rsidRDefault="009E7D6C" w:rsidP="00BE28B7">
            <w:pPr>
              <w:widowControl/>
              <w:autoSpaceDE/>
              <w:autoSpaceDN/>
              <w:adjustRightInd/>
              <w:jc w:val="center"/>
              <w:rPr>
                <w:rFonts w:ascii="Times New Roman" w:hAnsi="Times New Roman"/>
                <w:color w:val="000000"/>
                <w:sz w:val="24"/>
              </w:rPr>
            </w:pPr>
            <w:r>
              <w:rPr>
                <w:rFonts w:ascii="Times New Roman" w:hAnsi="Times New Roman"/>
                <w:color w:val="000000"/>
                <w:sz w:val="24"/>
              </w:rPr>
              <w:t>$   35.00</w:t>
            </w:r>
          </w:p>
        </w:tc>
        <w:tc>
          <w:tcPr>
            <w:tcW w:w="2070" w:type="dxa"/>
            <w:tcBorders>
              <w:top w:val="nil"/>
              <w:left w:val="nil"/>
              <w:bottom w:val="single" w:sz="4" w:space="0" w:color="auto"/>
              <w:right w:val="single" w:sz="4" w:space="0" w:color="auto"/>
            </w:tcBorders>
            <w:shd w:val="clear" w:color="auto" w:fill="auto"/>
            <w:noWrap/>
            <w:vAlign w:val="center"/>
          </w:tcPr>
          <w:p w14:paraId="5CA03F3B" w14:textId="72D9938B" w:rsidR="009E7D6C" w:rsidRPr="009E2587" w:rsidRDefault="00492871" w:rsidP="00056559">
            <w:pPr>
              <w:widowControl/>
              <w:autoSpaceDE/>
              <w:autoSpaceDN/>
              <w:adjustRightInd/>
              <w:jc w:val="right"/>
              <w:rPr>
                <w:rFonts w:ascii="Times New Roman" w:hAnsi="Times New Roman"/>
                <w:color w:val="000000"/>
                <w:sz w:val="24"/>
              </w:rPr>
            </w:pPr>
            <w:r>
              <w:rPr>
                <w:rFonts w:ascii="Times New Roman" w:hAnsi="Times New Roman"/>
                <w:color w:val="000000"/>
                <w:sz w:val="24"/>
              </w:rPr>
              <w:t>$                    0</w:t>
            </w:r>
          </w:p>
        </w:tc>
      </w:tr>
      <w:tr w:rsidR="007E4E01" w:rsidRPr="009E2587" w14:paraId="04041628" w14:textId="77777777" w:rsidTr="00734764">
        <w:trPr>
          <w:trHeight w:val="315"/>
        </w:trPr>
        <w:tc>
          <w:tcPr>
            <w:tcW w:w="2782" w:type="dxa"/>
            <w:tcBorders>
              <w:top w:val="nil"/>
              <w:left w:val="single" w:sz="4" w:space="0" w:color="auto"/>
              <w:bottom w:val="single" w:sz="4" w:space="0" w:color="auto"/>
              <w:right w:val="single" w:sz="4" w:space="0" w:color="auto"/>
            </w:tcBorders>
            <w:shd w:val="clear" w:color="auto" w:fill="auto"/>
            <w:noWrap/>
            <w:vAlign w:val="bottom"/>
            <w:hideMark/>
          </w:tcPr>
          <w:p w14:paraId="7EE71302" w14:textId="77777777" w:rsidR="007E4E01" w:rsidRPr="009E2587" w:rsidRDefault="007E4E01" w:rsidP="00BE28B7">
            <w:pPr>
              <w:widowControl/>
              <w:autoSpaceDE/>
              <w:autoSpaceDN/>
              <w:adjustRightInd/>
              <w:jc w:val="right"/>
              <w:rPr>
                <w:rFonts w:ascii="Times New Roman" w:hAnsi="Times New Roman"/>
                <w:b/>
                <w:bCs/>
                <w:color w:val="000000"/>
                <w:sz w:val="24"/>
              </w:rPr>
            </w:pPr>
            <w:r w:rsidRPr="009E2587">
              <w:rPr>
                <w:rFonts w:ascii="Times New Roman" w:hAnsi="Times New Roman"/>
                <w:b/>
                <w:bCs/>
                <w:color w:val="000000"/>
                <w:sz w:val="24"/>
              </w:rPr>
              <w:t>Total</w:t>
            </w:r>
          </w:p>
        </w:tc>
        <w:tc>
          <w:tcPr>
            <w:tcW w:w="2075" w:type="dxa"/>
            <w:tcBorders>
              <w:top w:val="nil"/>
              <w:left w:val="nil"/>
              <w:bottom w:val="single" w:sz="4" w:space="0" w:color="auto"/>
              <w:right w:val="single" w:sz="4" w:space="0" w:color="auto"/>
            </w:tcBorders>
            <w:shd w:val="clear" w:color="auto" w:fill="auto"/>
            <w:noWrap/>
            <w:vAlign w:val="center"/>
            <w:hideMark/>
          </w:tcPr>
          <w:p w14:paraId="01D11E81" w14:textId="23A0B2B1" w:rsidR="007E4E01" w:rsidRPr="009E2587" w:rsidRDefault="009E4035" w:rsidP="00BE28B7">
            <w:pPr>
              <w:widowControl/>
              <w:autoSpaceDE/>
              <w:autoSpaceDN/>
              <w:adjustRightInd/>
              <w:jc w:val="center"/>
              <w:rPr>
                <w:rFonts w:ascii="Times New Roman" w:hAnsi="Times New Roman"/>
                <w:color w:val="000000"/>
                <w:sz w:val="24"/>
              </w:rPr>
            </w:pPr>
            <w:r>
              <w:rPr>
                <w:rFonts w:ascii="Times New Roman" w:hAnsi="Times New Roman"/>
                <w:color w:val="000000"/>
                <w:sz w:val="24"/>
              </w:rPr>
              <w:t>373,871</w:t>
            </w:r>
          </w:p>
        </w:tc>
        <w:tc>
          <w:tcPr>
            <w:tcW w:w="2155" w:type="dxa"/>
            <w:tcBorders>
              <w:top w:val="nil"/>
              <w:left w:val="nil"/>
              <w:bottom w:val="single" w:sz="4" w:space="0" w:color="auto"/>
              <w:right w:val="single" w:sz="4" w:space="0" w:color="auto"/>
            </w:tcBorders>
            <w:shd w:val="clear" w:color="auto" w:fill="auto"/>
            <w:noWrap/>
            <w:vAlign w:val="center"/>
            <w:hideMark/>
          </w:tcPr>
          <w:p w14:paraId="4E8BE832" w14:textId="66F4063E"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xml:space="preserve">$   </w:t>
            </w:r>
            <w:r w:rsidR="009E7D6C">
              <w:rPr>
                <w:rFonts w:ascii="Times New Roman" w:hAnsi="Times New Roman"/>
                <w:color w:val="000000"/>
                <w:sz w:val="24"/>
              </w:rPr>
              <w:t>35</w:t>
            </w:r>
            <w:r w:rsidRPr="009E2587">
              <w:rPr>
                <w:rFonts w:ascii="Times New Roman" w:hAnsi="Times New Roman"/>
                <w:color w:val="000000"/>
                <w:sz w:val="24"/>
              </w:rPr>
              <w:t>.00</w:t>
            </w:r>
          </w:p>
        </w:tc>
        <w:tc>
          <w:tcPr>
            <w:tcW w:w="2070" w:type="dxa"/>
            <w:tcBorders>
              <w:top w:val="nil"/>
              <w:left w:val="nil"/>
              <w:bottom w:val="single" w:sz="4" w:space="0" w:color="auto"/>
              <w:right w:val="single" w:sz="4" w:space="0" w:color="auto"/>
            </w:tcBorders>
            <w:shd w:val="clear" w:color="auto" w:fill="auto"/>
            <w:noWrap/>
            <w:vAlign w:val="center"/>
            <w:hideMark/>
          </w:tcPr>
          <w:p w14:paraId="68579BE2" w14:textId="386E3133" w:rsidR="007E4E01" w:rsidRPr="00056559" w:rsidRDefault="007E4E01" w:rsidP="00056559">
            <w:pPr>
              <w:widowControl/>
              <w:autoSpaceDE/>
              <w:autoSpaceDN/>
              <w:adjustRightInd/>
              <w:jc w:val="right"/>
              <w:rPr>
                <w:rFonts w:ascii="Times New Roman" w:hAnsi="Times New Roman"/>
                <w:bCs/>
                <w:color w:val="000000"/>
                <w:sz w:val="24"/>
              </w:rPr>
            </w:pPr>
            <w:r w:rsidRPr="00056559">
              <w:rPr>
                <w:rFonts w:ascii="Times New Roman" w:hAnsi="Times New Roman"/>
                <w:bCs/>
                <w:color w:val="000000"/>
                <w:sz w:val="24"/>
              </w:rPr>
              <w:t xml:space="preserve">$ </w:t>
            </w:r>
            <w:r w:rsidR="004D051D" w:rsidRPr="00056559">
              <w:rPr>
                <w:rFonts w:ascii="Times New Roman" w:hAnsi="Times New Roman"/>
                <w:bCs/>
                <w:color w:val="000000"/>
                <w:sz w:val="24"/>
              </w:rPr>
              <w:t>13,085,485</w:t>
            </w:r>
            <w:r w:rsidRPr="00056559">
              <w:rPr>
                <w:rFonts w:ascii="Times New Roman" w:hAnsi="Times New Roman"/>
                <w:bCs/>
                <w:color w:val="000000"/>
                <w:sz w:val="24"/>
              </w:rPr>
              <w:t>.00</w:t>
            </w:r>
          </w:p>
        </w:tc>
      </w:tr>
    </w:tbl>
    <w:p w14:paraId="2BD2A2F9" w14:textId="77777777" w:rsidR="007E4E01" w:rsidRPr="009E2587" w:rsidRDefault="007E4E01" w:rsidP="007E4E01">
      <w:pPr>
        <w:rPr>
          <w:rFonts w:ascii="Times New Roman" w:hAnsi="Times New Roman"/>
          <w:sz w:val="24"/>
        </w:rPr>
      </w:pPr>
    </w:p>
    <w:p w14:paraId="4AC2E4E7" w14:textId="074D8B49" w:rsidR="00AB50EC" w:rsidRPr="00D511DC" w:rsidRDefault="007E4E01" w:rsidP="00734764">
      <w:pPr>
        <w:ind w:left="720"/>
        <w:rPr>
          <w:rFonts w:ascii="Times New Roman" w:hAnsi="Times New Roman"/>
          <w:sz w:val="24"/>
          <w:highlight w:val="yellow"/>
        </w:rPr>
      </w:pPr>
      <w:r w:rsidRPr="009E2587">
        <w:rPr>
          <w:rFonts w:ascii="Times New Roman" w:hAnsi="Times New Roman"/>
          <w:sz w:val="24"/>
        </w:rPr>
        <w:t>Other than the $</w:t>
      </w:r>
      <w:r w:rsidR="004D051D">
        <w:rPr>
          <w:rFonts w:ascii="Times New Roman" w:hAnsi="Times New Roman"/>
          <w:sz w:val="24"/>
        </w:rPr>
        <w:t>13,085,485</w:t>
      </w:r>
      <w:r w:rsidRPr="009E2587">
        <w:rPr>
          <w:rFonts w:ascii="Times New Roman" w:hAnsi="Times New Roman"/>
          <w:sz w:val="24"/>
        </w:rPr>
        <w:t xml:space="preserve"> labor burden cost, any other costs to respondents would</w:t>
      </w:r>
      <w:r>
        <w:rPr>
          <w:rFonts w:ascii="Times New Roman" w:hAnsi="Times New Roman"/>
          <w:sz w:val="24"/>
        </w:rPr>
        <w:t xml:space="preserve"> be associated with the usual and customary business practice</w:t>
      </w:r>
      <w:r w:rsidRPr="004A4C13">
        <w:rPr>
          <w:rFonts w:ascii="Times New Roman" w:hAnsi="Times New Roman"/>
          <w:sz w:val="24"/>
        </w:rPr>
        <w:t>.</w:t>
      </w:r>
      <w:r w:rsidR="00C432B4" w:rsidRPr="004A4C13" w:rsidDel="00C432B4">
        <w:rPr>
          <w:rStyle w:val="FootnoteReference"/>
          <w:sz w:val="24"/>
        </w:rPr>
        <w:t xml:space="preserve"> </w:t>
      </w:r>
    </w:p>
    <w:p w14:paraId="5C146C20" w14:textId="77777777" w:rsidR="000C1866" w:rsidRDefault="000C1866" w:rsidP="00734764">
      <w:pPr>
        <w:tabs>
          <w:tab w:val="left" w:pos="-1440"/>
        </w:tabs>
        <w:ind w:left="720" w:hanging="720"/>
        <w:rPr>
          <w:rFonts w:ascii="Times New Roman" w:hAnsi="Times New Roman"/>
          <w:b/>
          <w:sz w:val="24"/>
        </w:rPr>
      </w:pPr>
    </w:p>
    <w:p w14:paraId="1684E523" w14:textId="0D1A5B8A" w:rsidR="009B022B" w:rsidRPr="00734764" w:rsidRDefault="009B022B" w:rsidP="00734764">
      <w:pPr>
        <w:pStyle w:val="ListParagraph"/>
        <w:numPr>
          <w:ilvl w:val="0"/>
          <w:numId w:val="5"/>
        </w:numPr>
        <w:ind w:hanging="720"/>
        <w:rPr>
          <w:rFonts w:ascii="Times New Roman" w:hAnsi="Times New Roman"/>
          <w:b/>
          <w:sz w:val="24"/>
        </w:rPr>
      </w:pPr>
      <w:r w:rsidRPr="00734764">
        <w:rPr>
          <w:rFonts w:ascii="Times New Roman" w:hAnsi="Times New Roman"/>
          <w:b/>
          <w:sz w:val="24"/>
        </w:rPr>
        <w:t>C</w:t>
      </w:r>
      <w:r w:rsidR="00A11E0B" w:rsidRPr="00734764">
        <w:rPr>
          <w:rFonts w:ascii="Times New Roman" w:hAnsi="Times New Roman"/>
          <w:b/>
          <w:sz w:val="24"/>
        </w:rPr>
        <w:t>apital start-up or ongoing maintenance costs</w:t>
      </w:r>
      <w:r w:rsidRPr="00734764">
        <w:rPr>
          <w:rFonts w:ascii="Times New Roman" w:hAnsi="Times New Roman"/>
          <w:b/>
          <w:sz w:val="24"/>
        </w:rPr>
        <w:t>:</w:t>
      </w:r>
    </w:p>
    <w:p w14:paraId="03573D92" w14:textId="77777777" w:rsidR="001C3E15" w:rsidRPr="00145627" w:rsidRDefault="001C3E15" w:rsidP="00734764">
      <w:pPr>
        <w:ind w:left="720"/>
        <w:rPr>
          <w:rFonts w:ascii="Times New Roman" w:hAnsi="Times New Roman"/>
          <w:sz w:val="24"/>
        </w:rPr>
      </w:pPr>
    </w:p>
    <w:p w14:paraId="4E6DD483" w14:textId="77777777" w:rsidR="00734764" w:rsidRDefault="00B81282" w:rsidP="00734764">
      <w:pPr>
        <w:ind w:left="720"/>
        <w:rPr>
          <w:rFonts w:ascii="Times New Roman" w:hAnsi="Times New Roman"/>
          <w:sz w:val="24"/>
        </w:rPr>
      </w:pPr>
      <w:r>
        <w:rPr>
          <w:rFonts w:ascii="Times New Roman" w:hAnsi="Times New Roman"/>
          <w:sz w:val="24"/>
        </w:rPr>
        <w:t xml:space="preserve">Other than the </w:t>
      </w:r>
      <w:r w:rsidR="00E26A76">
        <w:rPr>
          <w:rFonts w:ascii="Times New Roman" w:hAnsi="Times New Roman"/>
          <w:sz w:val="24"/>
        </w:rPr>
        <w:t xml:space="preserve">costs to respondents that are associated with the </w:t>
      </w:r>
      <w:r>
        <w:rPr>
          <w:rFonts w:ascii="Times New Roman" w:hAnsi="Times New Roman"/>
          <w:sz w:val="24"/>
        </w:rPr>
        <w:t>usual and customary business practice, t</w:t>
      </w:r>
      <w:r w:rsidR="00663528">
        <w:rPr>
          <w:rFonts w:ascii="Times New Roman" w:hAnsi="Times New Roman"/>
          <w:sz w:val="24"/>
        </w:rPr>
        <w:t>here are no capital start-up costs or ongoing operation and maintenance costs associated with this information collection</w:t>
      </w:r>
      <w:r w:rsidR="007E4E01">
        <w:rPr>
          <w:rFonts w:ascii="Times New Roman" w:hAnsi="Times New Roman"/>
          <w:sz w:val="24"/>
        </w:rPr>
        <w:t>.</w:t>
      </w:r>
    </w:p>
    <w:p w14:paraId="79926B9C" w14:textId="77777777" w:rsidR="00734764" w:rsidRDefault="00734764" w:rsidP="00734764">
      <w:pPr>
        <w:ind w:left="720"/>
        <w:rPr>
          <w:rFonts w:ascii="Times New Roman" w:hAnsi="Times New Roman"/>
          <w:sz w:val="24"/>
        </w:rPr>
      </w:pPr>
    </w:p>
    <w:p w14:paraId="50B07AEE" w14:textId="40EB7D1E" w:rsidR="00D90EC1" w:rsidRPr="00734764" w:rsidRDefault="00A11E0B" w:rsidP="00734764">
      <w:pPr>
        <w:pStyle w:val="ListParagraph"/>
        <w:numPr>
          <w:ilvl w:val="0"/>
          <w:numId w:val="5"/>
        </w:numPr>
        <w:ind w:hanging="720"/>
        <w:rPr>
          <w:rFonts w:ascii="Times New Roman" w:hAnsi="Times New Roman"/>
          <w:b/>
          <w:sz w:val="24"/>
        </w:rPr>
      </w:pPr>
      <w:r w:rsidRPr="00734764">
        <w:rPr>
          <w:rFonts w:ascii="Times New Roman" w:hAnsi="Times New Roman"/>
          <w:b/>
          <w:sz w:val="24"/>
        </w:rPr>
        <w:t>Annualized c</w:t>
      </w:r>
      <w:r w:rsidR="00D90EC1" w:rsidRPr="00734764">
        <w:rPr>
          <w:rFonts w:ascii="Times New Roman" w:hAnsi="Times New Roman"/>
          <w:b/>
          <w:sz w:val="24"/>
        </w:rPr>
        <w:t>ost</w:t>
      </w:r>
      <w:r w:rsidR="00F303E7" w:rsidRPr="00734764">
        <w:rPr>
          <w:rFonts w:ascii="Times New Roman" w:hAnsi="Times New Roman"/>
          <w:b/>
          <w:sz w:val="24"/>
        </w:rPr>
        <w:t>s</w:t>
      </w:r>
      <w:r w:rsidR="00D90EC1" w:rsidRPr="00734764">
        <w:rPr>
          <w:rFonts w:ascii="Times New Roman" w:hAnsi="Times New Roman"/>
          <w:b/>
          <w:sz w:val="24"/>
        </w:rPr>
        <w:t xml:space="preserve"> to Federal </w:t>
      </w:r>
      <w:r w:rsidRPr="00734764">
        <w:rPr>
          <w:rFonts w:ascii="Times New Roman" w:hAnsi="Times New Roman"/>
          <w:b/>
          <w:sz w:val="24"/>
        </w:rPr>
        <w:t>g</w:t>
      </w:r>
      <w:r w:rsidR="00D90EC1" w:rsidRPr="00734764">
        <w:rPr>
          <w:rFonts w:ascii="Times New Roman" w:hAnsi="Times New Roman"/>
          <w:b/>
          <w:sz w:val="24"/>
        </w:rPr>
        <w:t>overnment:</w:t>
      </w:r>
    </w:p>
    <w:p w14:paraId="1D68E297" w14:textId="77777777" w:rsidR="00D90EC1" w:rsidRPr="009A359C" w:rsidRDefault="00D90EC1" w:rsidP="00734764">
      <w:pPr>
        <w:keepNext/>
        <w:ind w:left="720"/>
        <w:rPr>
          <w:rFonts w:ascii="Times New Roman" w:hAnsi="Times New Roman"/>
          <w:sz w:val="24"/>
        </w:rPr>
      </w:pPr>
    </w:p>
    <w:p w14:paraId="5BC9846F" w14:textId="47E45FBC" w:rsidR="00D90EC1" w:rsidRPr="009A359C" w:rsidRDefault="001F6C64" w:rsidP="00734764">
      <w:pPr>
        <w:ind w:left="720"/>
        <w:rPr>
          <w:rFonts w:ascii="Times New Roman" w:hAnsi="Times New Roman"/>
          <w:sz w:val="24"/>
        </w:rPr>
      </w:pPr>
      <w:r>
        <w:rPr>
          <w:rFonts w:ascii="Times New Roman" w:hAnsi="Times New Roman"/>
          <w:sz w:val="24"/>
        </w:rPr>
        <w:t xml:space="preserve">There are </w:t>
      </w:r>
      <w:r w:rsidR="00A11E0B">
        <w:rPr>
          <w:rFonts w:ascii="Times New Roman" w:hAnsi="Times New Roman"/>
          <w:sz w:val="24"/>
        </w:rPr>
        <w:t>no costs to the Federal government</w:t>
      </w:r>
      <w:r w:rsidR="00F303E7" w:rsidRPr="009A359C">
        <w:rPr>
          <w:rFonts w:ascii="Times New Roman" w:hAnsi="Times New Roman"/>
          <w:sz w:val="24"/>
        </w:rPr>
        <w:t>.</w:t>
      </w:r>
    </w:p>
    <w:p w14:paraId="5CEA7E66" w14:textId="77777777" w:rsidR="00D90EC1" w:rsidRPr="009A359C" w:rsidRDefault="00D90EC1" w:rsidP="00734764">
      <w:pPr>
        <w:tabs>
          <w:tab w:val="left" w:pos="-1440"/>
        </w:tabs>
        <w:ind w:left="720"/>
        <w:rPr>
          <w:rFonts w:ascii="Times New Roman" w:hAnsi="Times New Roman"/>
          <w:sz w:val="24"/>
        </w:rPr>
      </w:pPr>
    </w:p>
    <w:p w14:paraId="2AFFF45C" w14:textId="54FB3EB2" w:rsidR="00D90EC1" w:rsidRPr="00734764" w:rsidRDefault="007F6C7A" w:rsidP="00734764">
      <w:pPr>
        <w:pStyle w:val="ListParagraph"/>
        <w:keepNext/>
        <w:numPr>
          <w:ilvl w:val="0"/>
          <w:numId w:val="5"/>
        </w:numPr>
        <w:ind w:hanging="720"/>
        <w:rPr>
          <w:rFonts w:ascii="Times New Roman" w:hAnsi="Times New Roman"/>
          <w:b/>
          <w:sz w:val="24"/>
          <w:u w:val="single"/>
        </w:rPr>
      </w:pPr>
      <w:r w:rsidRPr="00734764">
        <w:rPr>
          <w:rFonts w:ascii="Times New Roman" w:hAnsi="Times New Roman"/>
          <w:b/>
          <w:sz w:val="24"/>
        </w:rPr>
        <w:t>Changes in Burden:</w:t>
      </w:r>
    </w:p>
    <w:p w14:paraId="384E3714" w14:textId="77777777" w:rsidR="00D90EC1" w:rsidRPr="00145627" w:rsidRDefault="00D90EC1" w:rsidP="00734764">
      <w:pPr>
        <w:keepNext/>
        <w:ind w:left="720"/>
        <w:rPr>
          <w:rFonts w:ascii="Times New Roman" w:hAnsi="Times New Roman"/>
          <w:sz w:val="24"/>
        </w:rPr>
      </w:pPr>
    </w:p>
    <w:p w14:paraId="447A9F19" w14:textId="768F94A8" w:rsidR="00D90EC1" w:rsidRPr="00F95A72" w:rsidRDefault="00BE6D10" w:rsidP="00734764">
      <w:pPr>
        <w:tabs>
          <w:tab w:val="left" w:pos="-1440"/>
        </w:tabs>
        <w:ind w:left="720"/>
        <w:rPr>
          <w:rFonts w:ascii="Times New Roman" w:hAnsi="Times New Roman"/>
          <w:sz w:val="24"/>
        </w:rPr>
      </w:pPr>
      <w:r w:rsidRPr="00BE6D10">
        <w:rPr>
          <w:rFonts w:ascii="Times New Roman" w:hAnsi="Times New Roman"/>
          <w:sz w:val="24"/>
        </w:rPr>
        <w:t>Adjustments to the burden are due to a change in the NCUA’s estimate of respondents.</w:t>
      </w:r>
    </w:p>
    <w:p w14:paraId="23415C29" w14:textId="77777777" w:rsidR="001F6C64" w:rsidRDefault="001F6C64" w:rsidP="00734764">
      <w:pPr>
        <w:tabs>
          <w:tab w:val="left" w:pos="-1440"/>
        </w:tabs>
        <w:ind w:left="720"/>
        <w:rPr>
          <w:rFonts w:ascii="Times New Roman" w:hAnsi="Times New Roman"/>
          <w:b/>
          <w:sz w:val="24"/>
        </w:rPr>
      </w:pPr>
    </w:p>
    <w:p w14:paraId="2F364C1D" w14:textId="22E5E4C4" w:rsidR="00D90EC1" w:rsidRPr="00734764" w:rsidRDefault="007F6C7A" w:rsidP="00734764">
      <w:pPr>
        <w:pStyle w:val="ListParagraph"/>
        <w:numPr>
          <w:ilvl w:val="0"/>
          <w:numId w:val="5"/>
        </w:numPr>
        <w:ind w:hanging="720"/>
        <w:rPr>
          <w:rFonts w:ascii="Times New Roman" w:hAnsi="Times New Roman"/>
          <w:b/>
          <w:sz w:val="24"/>
        </w:rPr>
      </w:pPr>
      <w:r w:rsidRPr="00734764">
        <w:rPr>
          <w:rFonts w:ascii="Times New Roman" w:hAnsi="Times New Roman"/>
          <w:b/>
          <w:sz w:val="24"/>
        </w:rPr>
        <w:t xml:space="preserve">Information </w:t>
      </w:r>
      <w:r w:rsidR="00A11E0B" w:rsidRPr="00734764">
        <w:rPr>
          <w:rFonts w:ascii="Times New Roman" w:hAnsi="Times New Roman"/>
          <w:b/>
          <w:sz w:val="24"/>
        </w:rPr>
        <w:t>c</w:t>
      </w:r>
      <w:r w:rsidRPr="00734764">
        <w:rPr>
          <w:rFonts w:ascii="Times New Roman" w:hAnsi="Times New Roman"/>
          <w:b/>
          <w:sz w:val="24"/>
        </w:rPr>
        <w:t xml:space="preserve">ollection </w:t>
      </w:r>
      <w:r w:rsidR="00A11E0B" w:rsidRPr="00734764">
        <w:rPr>
          <w:rFonts w:ascii="Times New Roman" w:hAnsi="Times New Roman"/>
          <w:b/>
          <w:sz w:val="24"/>
        </w:rPr>
        <w:t>p</w:t>
      </w:r>
      <w:r w:rsidRPr="00734764">
        <w:rPr>
          <w:rFonts w:ascii="Times New Roman" w:hAnsi="Times New Roman"/>
          <w:b/>
          <w:sz w:val="24"/>
        </w:rPr>
        <w:t xml:space="preserve">lanned for </w:t>
      </w:r>
      <w:r w:rsidR="00A11E0B" w:rsidRPr="00734764">
        <w:rPr>
          <w:rFonts w:ascii="Times New Roman" w:hAnsi="Times New Roman"/>
          <w:b/>
          <w:sz w:val="24"/>
        </w:rPr>
        <w:t>s</w:t>
      </w:r>
      <w:r w:rsidRPr="00734764">
        <w:rPr>
          <w:rFonts w:ascii="Times New Roman" w:hAnsi="Times New Roman"/>
          <w:b/>
          <w:sz w:val="24"/>
        </w:rPr>
        <w:t xml:space="preserve">tatistical </w:t>
      </w:r>
      <w:r w:rsidR="00A11E0B" w:rsidRPr="00734764">
        <w:rPr>
          <w:rFonts w:ascii="Times New Roman" w:hAnsi="Times New Roman"/>
          <w:b/>
          <w:sz w:val="24"/>
        </w:rPr>
        <w:t>p</w:t>
      </w:r>
      <w:r w:rsidRPr="00734764">
        <w:rPr>
          <w:rFonts w:ascii="Times New Roman" w:hAnsi="Times New Roman"/>
          <w:b/>
          <w:sz w:val="24"/>
        </w:rPr>
        <w:t>urposes</w:t>
      </w:r>
    </w:p>
    <w:p w14:paraId="5112B9B1" w14:textId="77777777" w:rsidR="00D90EC1" w:rsidRPr="00145627" w:rsidRDefault="00D90EC1" w:rsidP="00734764">
      <w:pPr>
        <w:ind w:left="720"/>
        <w:rPr>
          <w:rFonts w:ascii="Times New Roman" w:hAnsi="Times New Roman"/>
          <w:sz w:val="24"/>
        </w:rPr>
      </w:pPr>
    </w:p>
    <w:p w14:paraId="566AAE3D" w14:textId="21DA06C8" w:rsidR="00D90EC1" w:rsidRPr="00145627" w:rsidRDefault="00A11E0B" w:rsidP="00734764">
      <w:pPr>
        <w:ind w:left="720"/>
        <w:rPr>
          <w:rFonts w:ascii="Times New Roman" w:hAnsi="Times New Roman"/>
          <w:sz w:val="24"/>
        </w:rPr>
      </w:pPr>
      <w:r w:rsidRPr="00A11E0B">
        <w:rPr>
          <w:rFonts w:ascii="Times New Roman" w:hAnsi="Times New Roman"/>
          <w:sz w:val="24"/>
        </w:rPr>
        <w:t>This information is not planned for publication.</w:t>
      </w:r>
    </w:p>
    <w:p w14:paraId="55AB4C6D" w14:textId="77777777" w:rsidR="00D90EC1" w:rsidRPr="00145627" w:rsidRDefault="00D90EC1" w:rsidP="00734764">
      <w:pPr>
        <w:ind w:left="720"/>
        <w:rPr>
          <w:rFonts w:ascii="Times New Roman" w:hAnsi="Times New Roman"/>
          <w:sz w:val="24"/>
        </w:rPr>
      </w:pPr>
    </w:p>
    <w:p w14:paraId="279FCB83" w14:textId="47E76D49" w:rsidR="00D90EC1" w:rsidRPr="00734764" w:rsidRDefault="004A1DF0" w:rsidP="00734764">
      <w:pPr>
        <w:pStyle w:val="ListParagraph"/>
        <w:numPr>
          <w:ilvl w:val="0"/>
          <w:numId w:val="5"/>
        </w:numPr>
        <w:ind w:hanging="720"/>
        <w:rPr>
          <w:rFonts w:ascii="Times New Roman" w:hAnsi="Times New Roman"/>
          <w:b/>
          <w:sz w:val="24"/>
        </w:rPr>
      </w:pPr>
      <w:r w:rsidRPr="00734764">
        <w:rPr>
          <w:rFonts w:ascii="Times New Roman" w:hAnsi="Times New Roman"/>
          <w:b/>
          <w:sz w:val="24"/>
        </w:rPr>
        <w:t>Request non-display the</w:t>
      </w:r>
      <w:r w:rsidR="009F71A1" w:rsidRPr="00734764">
        <w:rPr>
          <w:rFonts w:ascii="Times New Roman" w:hAnsi="Times New Roman"/>
          <w:b/>
          <w:sz w:val="24"/>
        </w:rPr>
        <w:t xml:space="preserve"> </w:t>
      </w:r>
      <w:r w:rsidRPr="00734764">
        <w:rPr>
          <w:rFonts w:ascii="Times New Roman" w:hAnsi="Times New Roman"/>
          <w:b/>
          <w:sz w:val="24"/>
        </w:rPr>
        <w:t>e</w:t>
      </w:r>
      <w:r w:rsidR="009F71A1" w:rsidRPr="00734764">
        <w:rPr>
          <w:rFonts w:ascii="Times New Roman" w:hAnsi="Times New Roman"/>
          <w:b/>
          <w:sz w:val="24"/>
        </w:rPr>
        <w:t xml:space="preserve">xpiration </w:t>
      </w:r>
      <w:r w:rsidRPr="00734764">
        <w:rPr>
          <w:rFonts w:ascii="Times New Roman" w:hAnsi="Times New Roman"/>
          <w:b/>
          <w:sz w:val="24"/>
        </w:rPr>
        <w:t>d</w:t>
      </w:r>
      <w:r w:rsidR="009F71A1" w:rsidRPr="00734764">
        <w:rPr>
          <w:rFonts w:ascii="Times New Roman" w:hAnsi="Times New Roman"/>
          <w:b/>
          <w:sz w:val="24"/>
        </w:rPr>
        <w:t>ate</w:t>
      </w:r>
      <w:r w:rsidRPr="00734764">
        <w:rPr>
          <w:rFonts w:ascii="Times New Roman" w:hAnsi="Times New Roman"/>
          <w:b/>
          <w:sz w:val="24"/>
        </w:rPr>
        <w:t xml:space="preserve"> of the OMB control number</w:t>
      </w:r>
      <w:r w:rsidR="00D90EC1" w:rsidRPr="00734764">
        <w:rPr>
          <w:rFonts w:ascii="Times New Roman" w:hAnsi="Times New Roman"/>
          <w:b/>
          <w:sz w:val="24"/>
        </w:rPr>
        <w:t>:</w:t>
      </w:r>
    </w:p>
    <w:p w14:paraId="384F393B" w14:textId="77777777" w:rsidR="00D90EC1" w:rsidRPr="00145627" w:rsidRDefault="00D90EC1" w:rsidP="00734764">
      <w:pPr>
        <w:ind w:left="720"/>
        <w:rPr>
          <w:rFonts w:ascii="Times New Roman" w:hAnsi="Times New Roman"/>
          <w:sz w:val="24"/>
        </w:rPr>
      </w:pPr>
    </w:p>
    <w:p w14:paraId="7652B041" w14:textId="77777777" w:rsidR="001F6C64" w:rsidRPr="001F6C64" w:rsidRDefault="001F6C64" w:rsidP="00734764">
      <w:pPr>
        <w:ind w:left="720"/>
        <w:rPr>
          <w:rFonts w:ascii="Times New Roman" w:hAnsi="Times New Roman"/>
          <w:sz w:val="24"/>
        </w:rPr>
      </w:pPr>
      <w:r w:rsidRPr="001F6C64">
        <w:rPr>
          <w:rFonts w:ascii="Times New Roman" w:hAnsi="Times New Roman"/>
          <w:sz w:val="24"/>
        </w:rPr>
        <w:t xml:space="preserve">There are no traditional forms associated with this information collection requirement.  The OMB control number and expiration date associated with this PRA submission will be displayed on the Federal Government’s electronic PRA docket website at </w:t>
      </w:r>
      <w:hyperlink r:id="rId8" w:history="1">
        <w:r w:rsidRPr="001F6C64">
          <w:rPr>
            <w:rStyle w:val="Hyperlink"/>
            <w:rFonts w:ascii="Times New Roman" w:hAnsi="Times New Roman"/>
            <w:sz w:val="24"/>
          </w:rPr>
          <w:t>www.reginfo.gov</w:t>
        </w:r>
      </w:hyperlink>
      <w:r w:rsidRPr="001F6C64">
        <w:rPr>
          <w:rFonts w:ascii="Times New Roman" w:hAnsi="Times New Roman"/>
          <w:sz w:val="24"/>
        </w:rPr>
        <w:t>.</w:t>
      </w:r>
    </w:p>
    <w:p w14:paraId="63D804FD" w14:textId="77777777" w:rsidR="00147917" w:rsidRPr="00145627" w:rsidRDefault="00147917" w:rsidP="00734764">
      <w:pPr>
        <w:ind w:left="720"/>
        <w:rPr>
          <w:rFonts w:ascii="Times New Roman" w:hAnsi="Times New Roman"/>
          <w:sz w:val="24"/>
        </w:rPr>
      </w:pPr>
    </w:p>
    <w:p w14:paraId="71444C80" w14:textId="59B7422C" w:rsidR="00D90EC1" w:rsidRPr="00734764" w:rsidRDefault="00D90EC1" w:rsidP="00734764">
      <w:pPr>
        <w:pStyle w:val="ListParagraph"/>
        <w:numPr>
          <w:ilvl w:val="0"/>
          <w:numId w:val="5"/>
        </w:numPr>
        <w:ind w:hanging="720"/>
        <w:rPr>
          <w:rFonts w:ascii="Times New Roman" w:hAnsi="Times New Roman"/>
          <w:b/>
          <w:sz w:val="24"/>
        </w:rPr>
      </w:pPr>
      <w:r w:rsidRPr="00734764">
        <w:rPr>
          <w:rFonts w:ascii="Times New Roman" w:hAnsi="Times New Roman"/>
          <w:b/>
          <w:sz w:val="24"/>
        </w:rPr>
        <w:t xml:space="preserve">Exceptions to </w:t>
      </w:r>
      <w:r w:rsidR="004A1DF0" w:rsidRPr="00734764">
        <w:rPr>
          <w:rFonts w:ascii="Times New Roman" w:hAnsi="Times New Roman"/>
          <w:b/>
          <w:sz w:val="24"/>
        </w:rPr>
        <w:t>c</w:t>
      </w:r>
      <w:r w:rsidRPr="00734764">
        <w:rPr>
          <w:rFonts w:ascii="Times New Roman" w:hAnsi="Times New Roman"/>
          <w:b/>
          <w:sz w:val="24"/>
        </w:rPr>
        <w:t>ertification</w:t>
      </w:r>
      <w:r w:rsidR="009F71A1" w:rsidRPr="00734764">
        <w:rPr>
          <w:rFonts w:ascii="Times New Roman" w:hAnsi="Times New Roman"/>
          <w:b/>
          <w:sz w:val="24"/>
        </w:rPr>
        <w:t xml:space="preserve"> for Paperwork Reduction Act </w:t>
      </w:r>
      <w:r w:rsidR="004A1DF0" w:rsidRPr="00734764">
        <w:rPr>
          <w:rFonts w:ascii="Times New Roman" w:hAnsi="Times New Roman"/>
          <w:b/>
          <w:sz w:val="24"/>
        </w:rPr>
        <w:t>s</w:t>
      </w:r>
      <w:r w:rsidR="009F71A1" w:rsidRPr="00734764">
        <w:rPr>
          <w:rFonts w:ascii="Times New Roman" w:hAnsi="Times New Roman"/>
          <w:b/>
          <w:sz w:val="24"/>
        </w:rPr>
        <w:t>ubmissions</w:t>
      </w:r>
      <w:r w:rsidRPr="00734764">
        <w:rPr>
          <w:rFonts w:ascii="Times New Roman" w:hAnsi="Times New Roman"/>
          <w:b/>
          <w:sz w:val="24"/>
        </w:rPr>
        <w:t>:</w:t>
      </w:r>
    </w:p>
    <w:p w14:paraId="6437CE99" w14:textId="77777777" w:rsidR="00D90EC1" w:rsidRPr="00145627" w:rsidRDefault="00D90EC1" w:rsidP="00D90EC1">
      <w:pPr>
        <w:ind w:firstLine="720"/>
        <w:rPr>
          <w:rFonts w:ascii="Times New Roman" w:hAnsi="Times New Roman"/>
          <w:sz w:val="24"/>
        </w:rPr>
      </w:pPr>
    </w:p>
    <w:p w14:paraId="4BFDA669" w14:textId="67A7C7B0" w:rsidR="00D90EC1" w:rsidRPr="009F71A1" w:rsidRDefault="00734764" w:rsidP="00D90EC1">
      <w:pPr>
        <w:rPr>
          <w:rFonts w:ascii="Times New Roman" w:hAnsi="Times New Roman"/>
          <w:sz w:val="24"/>
        </w:rPr>
      </w:pPr>
      <w:r>
        <w:rPr>
          <w:rFonts w:ascii="Times New Roman" w:hAnsi="Times New Roman"/>
          <w:sz w:val="24"/>
        </w:rPr>
        <w:tab/>
      </w:r>
      <w:r w:rsidR="00180F06" w:rsidRPr="00145627">
        <w:rPr>
          <w:rFonts w:ascii="Times New Roman" w:hAnsi="Times New Roman"/>
          <w:sz w:val="24"/>
        </w:rPr>
        <w:t>Th</w:t>
      </w:r>
      <w:r w:rsidR="004A1DF0">
        <w:rPr>
          <w:rFonts w:ascii="Times New Roman" w:hAnsi="Times New Roman"/>
          <w:sz w:val="24"/>
        </w:rPr>
        <w:t>ere are no exceptions to the certification statement</w:t>
      </w:r>
      <w:r w:rsidR="00180F06" w:rsidRPr="00145627">
        <w:rPr>
          <w:rFonts w:ascii="Times New Roman" w:hAnsi="Times New Roman"/>
          <w:sz w:val="24"/>
        </w:rPr>
        <w:t>.</w:t>
      </w:r>
    </w:p>
    <w:p w14:paraId="5CE5FA63" w14:textId="77777777" w:rsidR="00147917" w:rsidRPr="00F95A72" w:rsidRDefault="00147917" w:rsidP="00063235">
      <w:pPr>
        <w:tabs>
          <w:tab w:val="left" w:pos="-1440"/>
        </w:tabs>
        <w:rPr>
          <w:rFonts w:ascii="Times New Roman" w:hAnsi="Times New Roman"/>
          <w:sz w:val="24"/>
        </w:rPr>
      </w:pPr>
    </w:p>
    <w:p w14:paraId="7DC3858C" w14:textId="21E9A87B" w:rsidR="00D90EC1" w:rsidRPr="00483C49" w:rsidRDefault="00D90EC1" w:rsidP="00483C49">
      <w:pPr>
        <w:pStyle w:val="ListParagraph"/>
        <w:numPr>
          <w:ilvl w:val="0"/>
          <w:numId w:val="4"/>
        </w:numPr>
        <w:ind w:hanging="720"/>
        <w:rPr>
          <w:rFonts w:ascii="Times New Roman" w:hAnsi="Times New Roman"/>
          <w:sz w:val="24"/>
          <w:u w:val="single"/>
        </w:rPr>
      </w:pPr>
      <w:r w:rsidRPr="00483C49">
        <w:rPr>
          <w:rFonts w:ascii="Times New Roman" w:hAnsi="Times New Roman"/>
          <w:b/>
          <w:sz w:val="24"/>
        </w:rPr>
        <w:t>C</w:t>
      </w:r>
      <w:r w:rsidR="004A1DF0" w:rsidRPr="00483C49">
        <w:rPr>
          <w:rFonts w:ascii="Times New Roman" w:hAnsi="Times New Roman"/>
          <w:b/>
          <w:sz w:val="24"/>
        </w:rPr>
        <w:t>OLLECTIONS</w:t>
      </w:r>
      <w:r w:rsidRPr="00483C49">
        <w:rPr>
          <w:rFonts w:ascii="Times New Roman" w:hAnsi="Times New Roman"/>
          <w:b/>
          <w:sz w:val="24"/>
        </w:rPr>
        <w:t xml:space="preserve"> </w:t>
      </w:r>
      <w:r w:rsidR="004A1DF0" w:rsidRPr="00483C49">
        <w:rPr>
          <w:rFonts w:ascii="Times New Roman" w:hAnsi="Times New Roman"/>
          <w:b/>
          <w:sz w:val="24"/>
        </w:rPr>
        <w:t>OF</w:t>
      </w:r>
      <w:r w:rsidRPr="00483C49">
        <w:rPr>
          <w:rFonts w:ascii="Times New Roman" w:hAnsi="Times New Roman"/>
          <w:b/>
          <w:sz w:val="24"/>
        </w:rPr>
        <w:t xml:space="preserve"> I</w:t>
      </w:r>
      <w:r w:rsidR="004A1DF0" w:rsidRPr="00483C49">
        <w:rPr>
          <w:rFonts w:ascii="Times New Roman" w:hAnsi="Times New Roman"/>
          <w:b/>
          <w:sz w:val="24"/>
        </w:rPr>
        <w:t>NFORMATION</w:t>
      </w:r>
      <w:r w:rsidRPr="00483C49">
        <w:rPr>
          <w:rFonts w:ascii="Times New Roman" w:hAnsi="Times New Roman"/>
          <w:b/>
          <w:sz w:val="24"/>
        </w:rPr>
        <w:t xml:space="preserve"> E</w:t>
      </w:r>
      <w:r w:rsidR="004A1DF0" w:rsidRPr="00483C49">
        <w:rPr>
          <w:rFonts w:ascii="Times New Roman" w:hAnsi="Times New Roman"/>
          <w:b/>
          <w:sz w:val="24"/>
        </w:rPr>
        <w:t>MPLOYING</w:t>
      </w:r>
      <w:r w:rsidRPr="00483C49">
        <w:rPr>
          <w:rFonts w:ascii="Times New Roman" w:hAnsi="Times New Roman"/>
          <w:b/>
          <w:sz w:val="24"/>
        </w:rPr>
        <w:t xml:space="preserve"> S</w:t>
      </w:r>
      <w:r w:rsidR="004A1DF0" w:rsidRPr="00483C49">
        <w:rPr>
          <w:rFonts w:ascii="Times New Roman" w:hAnsi="Times New Roman"/>
          <w:b/>
          <w:sz w:val="24"/>
        </w:rPr>
        <w:t>TATISTICAL</w:t>
      </w:r>
      <w:r w:rsidRPr="00483C49">
        <w:rPr>
          <w:rFonts w:ascii="Times New Roman" w:hAnsi="Times New Roman"/>
          <w:b/>
          <w:sz w:val="24"/>
        </w:rPr>
        <w:t xml:space="preserve"> M</w:t>
      </w:r>
      <w:r w:rsidR="004A1DF0" w:rsidRPr="00483C49">
        <w:rPr>
          <w:rFonts w:ascii="Times New Roman" w:hAnsi="Times New Roman"/>
          <w:b/>
          <w:sz w:val="24"/>
        </w:rPr>
        <w:t>ETHODS</w:t>
      </w:r>
      <w:r w:rsidR="005A6A71" w:rsidRPr="00483C49">
        <w:rPr>
          <w:rFonts w:ascii="Times New Roman" w:hAnsi="Times New Roman"/>
          <w:b/>
          <w:sz w:val="24"/>
        </w:rPr>
        <w:t>:</w:t>
      </w:r>
    </w:p>
    <w:p w14:paraId="50E7470A" w14:textId="77777777" w:rsidR="00D90EC1" w:rsidRPr="00145627" w:rsidRDefault="00D90EC1" w:rsidP="00D90EC1">
      <w:pPr>
        <w:rPr>
          <w:rFonts w:ascii="Times New Roman" w:hAnsi="Times New Roman"/>
          <w:sz w:val="24"/>
          <w:u w:val="single"/>
        </w:rPr>
      </w:pPr>
    </w:p>
    <w:p w14:paraId="52195EC3" w14:textId="5F15CC96" w:rsidR="008D48BD" w:rsidRPr="009A359C" w:rsidRDefault="00A41EAD">
      <w:pPr>
        <w:rPr>
          <w:rFonts w:ascii="Times New Roman" w:hAnsi="Times New Roman"/>
          <w:sz w:val="24"/>
        </w:rPr>
      </w:pPr>
      <w:r w:rsidRPr="00145627">
        <w:rPr>
          <w:rFonts w:ascii="Times New Roman" w:hAnsi="Times New Roman"/>
          <w:sz w:val="24"/>
        </w:rPr>
        <w:t>This collection does not involve statistical methods.</w:t>
      </w:r>
    </w:p>
    <w:sectPr w:rsidR="008D48BD" w:rsidRPr="009A359C" w:rsidSect="00063235">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CE0B8" w14:textId="77777777" w:rsidR="00945769" w:rsidRDefault="00945769" w:rsidP="00D90EC1">
      <w:r>
        <w:separator/>
      </w:r>
    </w:p>
  </w:endnote>
  <w:endnote w:type="continuationSeparator" w:id="0">
    <w:p w14:paraId="117D87E6" w14:textId="77777777" w:rsidR="00945769" w:rsidRDefault="00945769" w:rsidP="00D9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450A" w14:textId="70D9B26A" w:rsidR="00EE5597" w:rsidRPr="00EE5597" w:rsidRDefault="00EE5597">
    <w:pPr>
      <w:pStyle w:val="Footer"/>
      <w:rPr>
        <w:i/>
      </w:rPr>
    </w:pPr>
    <w:r w:rsidRPr="00EE5597">
      <w:rPr>
        <w:rFonts w:ascii="Times New Roman" w:hAnsi="Times New Roman"/>
        <w:i/>
      </w:rPr>
      <w:t>OMB No. 3133-0134; June 2020</w:t>
    </w:r>
    <w:r w:rsidRPr="00EE5597">
      <w:rPr>
        <w:rFonts w:ascii="Times New Roman" w:hAnsi="Times New Roman"/>
        <w:i/>
      </w:rPr>
      <w:tab/>
    </w:r>
    <w:r w:rsidRPr="00EE5597">
      <w:rPr>
        <w:rFonts w:ascii="Times New Roman" w:hAnsi="Times New Roman"/>
        <w:i/>
      </w:rPr>
      <w:tab/>
    </w:r>
    <w:sdt>
      <w:sdtPr>
        <w:rPr>
          <w:rFonts w:ascii="Times New Roman" w:hAnsi="Times New Roman"/>
          <w:i/>
        </w:rPr>
        <w:id w:val="330025563"/>
        <w:docPartObj>
          <w:docPartGallery w:val="Page Numbers (Bottom of Page)"/>
          <w:docPartUnique/>
        </w:docPartObj>
      </w:sdtPr>
      <w:sdtEndPr>
        <w:rPr>
          <w:i w:val="0"/>
          <w:noProof/>
          <w:sz w:val="24"/>
        </w:rPr>
      </w:sdtEndPr>
      <w:sdtContent>
        <w:r w:rsidRPr="00EE5597">
          <w:rPr>
            <w:rFonts w:ascii="Times New Roman" w:hAnsi="Times New Roman"/>
            <w:sz w:val="24"/>
          </w:rPr>
          <w:fldChar w:fldCharType="begin"/>
        </w:r>
        <w:r w:rsidRPr="00EE5597">
          <w:rPr>
            <w:rFonts w:ascii="Times New Roman" w:hAnsi="Times New Roman"/>
            <w:sz w:val="24"/>
          </w:rPr>
          <w:instrText xml:space="preserve"> PAGE   \* MERGEFORMAT </w:instrText>
        </w:r>
        <w:r w:rsidRPr="00EE5597">
          <w:rPr>
            <w:rFonts w:ascii="Times New Roman" w:hAnsi="Times New Roman"/>
            <w:sz w:val="24"/>
          </w:rPr>
          <w:fldChar w:fldCharType="separate"/>
        </w:r>
        <w:r w:rsidR="00056559">
          <w:rPr>
            <w:rFonts w:ascii="Times New Roman" w:hAnsi="Times New Roman"/>
            <w:noProof/>
            <w:sz w:val="24"/>
          </w:rPr>
          <w:t>7</w:t>
        </w:r>
        <w:r w:rsidRPr="00EE5597">
          <w:rPr>
            <w:rFonts w:ascii="Times New Roman" w:hAnsi="Times New Roman"/>
            <w:noProof/>
            <w:sz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83718"/>
      <w:docPartObj>
        <w:docPartGallery w:val="Page Numbers (Bottom of Page)"/>
        <w:docPartUnique/>
      </w:docPartObj>
    </w:sdtPr>
    <w:sdtEndPr>
      <w:rPr>
        <w:noProof/>
      </w:rPr>
    </w:sdtEndPr>
    <w:sdtContent>
      <w:p w14:paraId="5494BEE8" w14:textId="4CA76DF2" w:rsidR="009D6EE3" w:rsidRPr="009D6EE3" w:rsidRDefault="009D6EE3">
        <w:pPr>
          <w:pStyle w:val="Footer"/>
          <w:rPr>
            <w:rFonts w:ascii="Times New Roman" w:hAnsi="Times New Roman"/>
          </w:rPr>
        </w:pPr>
        <w:r w:rsidRPr="009D6EE3">
          <w:rPr>
            <w:rFonts w:ascii="Times New Roman" w:hAnsi="Times New Roman"/>
            <w:i/>
          </w:rPr>
          <w:t>OMB No. 3133-0134; June 2020</w:t>
        </w:r>
        <w:r w:rsidRPr="009D6EE3">
          <w:rPr>
            <w:rFonts w:ascii="Times New Roman" w:hAnsi="Times New Roman"/>
            <w:i/>
          </w:rPr>
          <w:tab/>
        </w:r>
        <w:r w:rsidRPr="009D6EE3">
          <w:rPr>
            <w:rFonts w:ascii="Times New Roman" w:hAnsi="Times New Roman"/>
            <w:i/>
          </w:rPr>
          <w:tab/>
        </w:r>
        <w:r w:rsidRPr="009D6EE3">
          <w:rPr>
            <w:rFonts w:ascii="Times New Roman" w:hAnsi="Times New Roman"/>
            <w:i/>
          </w:rPr>
          <w:fldChar w:fldCharType="begin"/>
        </w:r>
        <w:r w:rsidRPr="009D6EE3">
          <w:rPr>
            <w:rFonts w:ascii="Times New Roman" w:hAnsi="Times New Roman"/>
            <w:i/>
          </w:rPr>
          <w:instrText xml:space="preserve"> PAGE   \* MERGEFORMAT </w:instrText>
        </w:r>
        <w:r w:rsidRPr="009D6EE3">
          <w:rPr>
            <w:rFonts w:ascii="Times New Roman" w:hAnsi="Times New Roman"/>
            <w:i/>
          </w:rPr>
          <w:fldChar w:fldCharType="separate"/>
        </w:r>
        <w:r w:rsidR="00056559">
          <w:rPr>
            <w:rFonts w:ascii="Times New Roman" w:hAnsi="Times New Roman"/>
            <w:i/>
            <w:noProof/>
          </w:rPr>
          <w:t>1</w:t>
        </w:r>
        <w:r w:rsidRPr="009D6EE3">
          <w:rPr>
            <w:rFonts w:ascii="Times New Roman" w:hAnsi="Times New Roman"/>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CE928" w14:textId="77777777" w:rsidR="00945769" w:rsidRDefault="00945769" w:rsidP="00D90EC1">
      <w:r>
        <w:separator/>
      </w:r>
    </w:p>
  </w:footnote>
  <w:footnote w:type="continuationSeparator" w:id="0">
    <w:p w14:paraId="4EB1B974" w14:textId="77777777" w:rsidR="00945769" w:rsidRDefault="00945769" w:rsidP="00D90EC1">
      <w:r>
        <w:continuationSeparator/>
      </w:r>
    </w:p>
  </w:footnote>
  <w:footnote w:id="1">
    <w:p w14:paraId="0B249070" w14:textId="6172878E" w:rsidR="0015083B" w:rsidRDefault="0015083B">
      <w:pPr>
        <w:pStyle w:val="FootnoteText"/>
      </w:pPr>
      <w:r>
        <w:rPr>
          <w:rStyle w:val="FootnoteReference"/>
        </w:rPr>
        <w:footnoteRef/>
      </w:r>
      <w:r>
        <w:t xml:space="preserve"> </w:t>
      </w:r>
      <w:r w:rsidRPr="00032944">
        <w:rPr>
          <w:rFonts w:ascii="Times New Roman" w:hAnsi="Times New Roman"/>
        </w:rPr>
        <w:t>As noted previousl</w:t>
      </w:r>
      <w:r w:rsidR="00593D06">
        <w:rPr>
          <w:rFonts w:ascii="Times New Roman" w:hAnsi="Times New Roman"/>
        </w:rPr>
        <w:t>y, Part 707 provides model clauses and sample forms</w:t>
      </w:r>
      <w:r w:rsidRPr="00032944">
        <w:rPr>
          <w:rFonts w:ascii="Times New Roman" w:hAnsi="Times New Roman"/>
        </w:rPr>
        <w:t xml:space="preserve"> that may be used in compliance with TISA’s disclosure requirements.  Although the use of the model clauses and </w:t>
      </w:r>
      <w:r w:rsidR="00593D06">
        <w:rPr>
          <w:rFonts w:ascii="Times New Roman" w:hAnsi="Times New Roman"/>
        </w:rPr>
        <w:t xml:space="preserve">sample </w:t>
      </w:r>
      <w:r w:rsidRPr="00032944">
        <w:rPr>
          <w:rFonts w:ascii="Times New Roman" w:hAnsi="Times New Roman"/>
        </w:rPr>
        <w:t xml:space="preserve">forms is optional, Section 269(b) of TISA provides that federally-insured credit unions that use these </w:t>
      </w:r>
      <w:r w:rsidR="00593D06">
        <w:rPr>
          <w:rFonts w:ascii="Times New Roman" w:hAnsi="Times New Roman"/>
        </w:rPr>
        <w:t xml:space="preserve">model </w:t>
      </w:r>
      <w:r w:rsidRPr="00032944">
        <w:rPr>
          <w:rFonts w:ascii="Times New Roman" w:hAnsi="Times New Roman"/>
        </w:rPr>
        <w:t xml:space="preserve">clauses and </w:t>
      </w:r>
      <w:r w:rsidR="00593D06">
        <w:rPr>
          <w:rFonts w:ascii="Times New Roman" w:hAnsi="Times New Roman"/>
        </w:rPr>
        <w:t xml:space="preserve">sample </w:t>
      </w:r>
      <w:r w:rsidRPr="00032944">
        <w:rPr>
          <w:rFonts w:ascii="Times New Roman" w:hAnsi="Times New Roman"/>
        </w:rPr>
        <w:t>forms will be in compliance with TISA’s discl</w:t>
      </w:r>
      <w:r w:rsidR="00593D06">
        <w:rPr>
          <w:rFonts w:ascii="Times New Roman" w:hAnsi="Times New Roman"/>
        </w:rPr>
        <w:t>osure requirements.  NCUA does not estimate</w:t>
      </w:r>
      <w:r w:rsidRPr="00032944">
        <w:rPr>
          <w:rFonts w:ascii="Times New Roman" w:hAnsi="Times New Roman"/>
        </w:rPr>
        <w:t xml:space="preserve"> any difference in burden for those federally-insured credit unions</w:t>
      </w:r>
      <w:r w:rsidR="00593D06">
        <w:rPr>
          <w:rFonts w:ascii="Times New Roman" w:hAnsi="Times New Roman"/>
        </w:rPr>
        <w:t xml:space="preserve"> that do not use the model clauses or sample forms</w:t>
      </w:r>
      <w:r w:rsidRPr="00032944">
        <w:rPr>
          <w:rFonts w:ascii="Times New Roman" w:hAnsi="Times New Roman"/>
        </w:rPr>
        <w:t>.</w:t>
      </w:r>
    </w:p>
  </w:footnote>
  <w:footnote w:id="2">
    <w:p w14:paraId="40EA8286" w14:textId="77777777" w:rsidR="00411693" w:rsidRDefault="00411693">
      <w:pPr>
        <w:pStyle w:val="FootnoteText"/>
      </w:pPr>
      <w:r>
        <w:rPr>
          <w:rStyle w:val="FootnoteReference"/>
        </w:rPr>
        <w:footnoteRef/>
      </w:r>
      <w:r>
        <w:t xml:space="preserve"> </w:t>
      </w:r>
      <w:r w:rsidR="00EA013B" w:rsidRPr="00EA013B">
        <w:rPr>
          <w:rFonts w:ascii="Times New Roman" w:hAnsi="Times New Roman"/>
        </w:rPr>
        <w:t>Based on feedback from the</w:t>
      </w:r>
      <w:r w:rsidRPr="006C2A38">
        <w:rPr>
          <w:rFonts w:ascii="Times New Roman" w:hAnsi="Times New Roman"/>
        </w:rPr>
        <w:t xml:space="preserve"> Office of Management and Budget</w:t>
      </w:r>
      <w:r w:rsidR="00EA013B">
        <w:rPr>
          <w:rFonts w:ascii="Times New Roman" w:hAnsi="Times New Roman"/>
        </w:rPr>
        <w:t xml:space="preserve"> </w:t>
      </w:r>
      <w:r w:rsidR="005E6771">
        <w:rPr>
          <w:rFonts w:ascii="Times New Roman" w:hAnsi="Times New Roman"/>
        </w:rPr>
        <w:t>regarding the previous estimates,</w:t>
      </w:r>
      <w:r w:rsidR="005844FD">
        <w:rPr>
          <w:rFonts w:ascii="Times New Roman" w:hAnsi="Times New Roman"/>
        </w:rPr>
        <w:t xml:space="preserve"> </w:t>
      </w:r>
      <w:r w:rsidR="005E6771">
        <w:rPr>
          <w:rFonts w:ascii="Times New Roman" w:hAnsi="Times New Roman"/>
        </w:rPr>
        <w:t xml:space="preserve">NCUA’s </w:t>
      </w:r>
      <w:r w:rsidR="005844FD">
        <w:rPr>
          <w:rFonts w:ascii="Times New Roman" w:hAnsi="Times New Roman"/>
        </w:rPr>
        <w:t xml:space="preserve">burden </w:t>
      </w:r>
      <w:r w:rsidR="00EA013B">
        <w:rPr>
          <w:rFonts w:ascii="Times New Roman" w:hAnsi="Times New Roman"/>
        </w:rPr>
        <w:t>estimates</w:t>
      </w:r>
      <w:r w:rsidR="005844FD">
        <w:rPr>
          <w:rFonts w:ascii="Times New Roman" w:hAnsi="Times New Roman"/>
        </w:rPr>
        <w:t xml:space="preserve"> have changed</w:t>
      </w:r>
      <w:r w:rsidR="005844FD" w:rsidRPr="005844FD">
        <w:rPr>
          <w:rFonts w:ascii="Times New Roman" w:hAnsi="Times New Roman"/>
        </w:rPr>
        <w:t>.  T</w:t>
      </w:r>
      <w:r w:rsidRPr="006C2A38">
        <w:rPr>
          <w:rFonts w:ascii="Times New Roman" w:hAnsi="Times New Roman"/>
        </w:rPr>
        <w:t xml:space="preserve">he </w:t>
      </w:r>
      <w:r w:rsidR="00EA013B">
        <w:rPr>
          <w:rFonts w:ascii="Times New Roman" w:hAnsi="Times New Roman"/>
        </w:rPr>
        <w:t xml:space="preserve">revised </w:t>
      </w:r>
      <w:r w:rsidRPr="006C2A38">
        <w:rPr>
          <w:rFonts w:ascii="Times New Roman" w:hAnsi="Times New Roman"/>
        </w:rPr>
        <w:t xml:space="preserve">estimated annual burden is calculated by multiplying the number of credit unions that are deemed to be respondents by the estimated annual frequency </w:t>
      </w:r>
      <w:r w:rsidR="00EA013B">
        <w:rPr>
          <w:rFonts w:ascii="Times New Roman" w:hAnsi="Times New Roman"/>
        </w:rPr>
        <w:t xml:space="preserve">and </w:t>
      </w:r>
      <w:r w:rsidRPr="006C2A38">
        <w:rPr>
          <w:rFonts w:ascii="Times New Roman" w:hAnsi="Times New Roman"/>
        </w:rPr>
        <w:t>by the average time per response.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4455"/>
    <w:multiLevelType w:val="hybridMultilevel"/>
    <w:tmpl w:val="50C0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A5EB2"/>
    <w:multiLevelType w:val="hybridMultilevel"/>
    <w:tmpl w:val="2248880C"/>
    <w:lvl w:ilvl="0" w:tplc="D1740A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A3F19"/>
    <w:multiLevelType w:val="hybridMultilevel"/>
    <w:tmpl w:val="A4C4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D3A94"/>
    <w:multiLevelType w:val="hybridMultilevel"/>
    <w:tmpl w:val="E78C9936"/>
    <w:lvl w:ilvl="0" w:tplc="924E25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856015"/>
    <w:multiLevelType w:val="hybridMultilevel"/>
    <w:tmpl w:val="9F70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EC1"/>
    <w:rsid w:val="000209D4"/>
    <w:rsid w:val="00032944"/>
    <w:rsid w:val="00036320"/>
    <w:rsid w:val="000367BD"/>
    <w:rsid w:val="000437DE"/>
    <w:rsid w:val="00055C68"/>
    <w:rsid w:val="00056559"/>
    <w:rsid w:val="00063235"/>
    <w:rsid w:val="000635BA"/>
    <w:rsid w:val="0006365C"/>
    <w:rsid w:val="000636BF"/>
    <w:rsid w:val="00075875"/>
    <w:rsid w:val="00087909"/>
    <w:rsid w:val="000A0CEC"/>
    <w:rsid w:val="000A416A"/>
    <w:rsid w:val="000A5695"/>
    <w:rsid w:val="000B460A"/>
    <w:rsid w:val="000C1866"/>
    <w:rsid w:val="000C1B2B"/>
    <w:rsid w:val="000C32C3"/>
    <w:rsid w:val="000C3386"/>
    <w:rsid w:val="000C4BCF"/>
    <w:rsid w:val="000C4DBB"/>
    <w:rsid w:val="000E3277"/>
    <w:rsid w:val="000F67CB"/>
    <w:rsid w:val="00101BBE"/>
    <w:rsid w:val="00112EAE"/>
    <w:rsid w:val="00114D0F"/>
    <w:rsid w:val="00114D84"/>
    <w:rsid w:val="001218D1"/>
    <w:rsid w:val="00124362"/>
    <w:rsid w:val="0012688E"/>
    <w:rsid w:val="00127E00"/>
    <w:rsid w:val="00127EBE"/>
    <w:rsid w:val="00132542"/>
    <w:rsid w:val="00143887"/>
    <w:rsid w:val="00145627"/>
    <w:rsid w:val="00147917"/>
    <w:rsid w:val="0015083B"/>
    <w:rsid w:val="001629C5"/>
    <w:rsid w:val="001635BF"/>
    <w:rsid w:val="00167532"/>
    <w:rsid w:val="00180F06"/>
    <w:rsid w:val="001A14DC"/>
    <w:rsid w:val="001B2C53"/>
    <w:rsid w:val="001B3641"/>
    <w:rsid w:val="001B5912"/>
    <w:rsid w:val="001C3E15"/>
    <w:rsid w:val="001C6BE0"/>
    <w:rsid w:val="001E0B51"/>
    <w:rsid w:val="001E2E43"/>
    <w:rsid w:val="001E31B7"/>
    <w:rsid w:val="001E7F3C"/>
    <w:rsid w:val="001F1988"/>
    <w:rsid w:val="001F405C"/>
    <w:rsid w:val="001F6C64"/>
    <w:rsid w:val="00215369"/>
    <w:rsid w:val="0022537B"/>
    <w:rsid w:val="002310DA"/>
    <w:rsid w:val="00231E01"/>
    <w:rsid w:val="00234482"/>
    <w:rsid w:val="00236BA6"/>
    <w:rsid w:val="00240ED0"/>
    <w:rsid w:val="00242836"/>
    <w:rsid w:val="00245D21"/>
    <w:rsid w:val="0025118C"/>
    <w:rsid w:val="00257C95"/>
    <w:rsid w:val="00260A9B"/>
    <w:rsid w:val="002618E5"/>
    <w:rsid w:val="002657C9"/>
    <w:rsid w:val="00271F7D"/>
    <w:rsid w:val="002828F5"/>
    <w:rsid w:val="00285F64"/>
    <w:rsid w:val="002939E2"/>
    <w:rsid w:val="002A097F"/>
    <w:rsid w:val="002A44C9"/>
    <w:rsid w:val="002A4DC6"/>
    <w:rsid w:val="002B0534"/>
    <w:rsid w:val="002D1188"/>
    <w:rsid w:val="002D6E07"/>
    <w:rsid w:val="002E2E70"/>
    <w:rsid w:val="002E4146"/>
    <w:rsid w:val="002F59DC"/>
    <w:rsid w:val="002F6378"/>
    <w:rsid w:val="0030410B"/>
    <w:rsid w:val="00314946"/>
    <w:rsid w:val="00317CC3"/>
    <w:rsid w:val="00321718"/>
    <w:rsid w:val="00332494"/>
    <w:rsid w:val="00353963"/>
    <w:rsid w:val="00360710"/>
    <w:rsid w:val="00376329"/>
    <w:rsid w:val="00392C30"/>
    <w:rsid w:val="003B0370"/>
    <w:rsid w:val="003B1738"/>
    <w:rsid w:val="003B5A46"/>
    <w:rsid w:val="003C1B34"/>
    <w:rsid w:val="003C36BF"/>
    <w:rsid w:val="003C4DBE"/>
    <w:rsid w:val="003D020D"/>
    <w:rsid w:val="003D63EA"/>
    <w:rsid w:val="003F1DD7"/>
    <w:rsid w:val="003F5750"/>
    <w:rsid w:val="00400122"/>
    <w:rsid w:val="0040429E"/>
    <w:rsid w:val="00404697"/>
    <w:rsid w:val="00411693"/>
    <w:rsid w:val="00411F45"/>
    <w:rsid w:val="0041246C"/>
    <w:rsid w:val="00435A3E"/>
    <w:rsid w:val="00435BDE"/>
    <w:rsid w:val="00436E5D"/>
    <w:rsid w:val="0044274D"/>
    <w:rsid w:val="00461D0A"/>
    <w:rsid w:val="00463ED4"/>
    <w:rsid w:val="00464583"/>
    <w:rsid w:val="00465010"/>
    <w:rsid w:val="0046548A"/>
    <w:rsid w:val="00466CAA"/>
    <w:rsid w:val="00472DBF"/>
    <w:rsid w:val="00473D4B"/>
    <w:rsid w:val="00483C49"/>
    <w:rsid w:val="00492871"/>
    <w:rsid w:val="00492B79"/>
    <w:rsid w:val="0049347E"/>
    <w:rsid w:val="004A1DF0"/>
    <w:rsid w:val="004A4C13"/>
    <w:rsid w:val="004C0CD9"/>
    <w:rsid w:val="004C4DB4"/>
    <w:rsid w:val="004D051D"/>
    <w:rsid w:val="004D228A"/>
    <w:rsid w:val="004D2690"/>
    <w:rsid w:val="004E1303"/>
    <w:rsid w:val="004E205C"/>
    <w:rsid w:val="004E3E28"/>
    <w:rsid w:val="004E4A10"/>
    <w:rsid w:val="004F6520"/>
    <w:rsid w:val="00501615"/>
    <w:rsid w:val="00505F54"/>
    <w:rsid w:val="00506CC2"/>
    <w:rsid w:val="00520BF1"/>
    <w:rsid w:val="00520D9F"/>
    <w:rsid w:val="00524941"/>
    <w:rsid w:val="005272DB"/>
    <w:rsid w:val="00531F10"/>
    <w:rsid w:val="00533BFB"/>
    <w:rsid w:val="00535467"/>
    <w:rsid w:val="00537F3C"/>
    <w:rsid w:val="0057318A"/>
    <w:rsid w:val="00574FBC"/>
    <w:rsid w:val="00575C64"/>
    <w:rsid w:val="00581E60"/>
    <w:rsid w:val="005844FD"/>
    <w:rsid w:val="00585F8D"/>
    <w:rsid w:val="00593D06"/>
    <w:rsid w:val="005A1114"/>
    <w:rsid w:val="005A46EC"/>
    <w:rsid w:val="005A6A71"/>
    <w:rsid w:val="005A6E50"/>
    <w:rsid w:val="005C41E6"/>
    <w:rsid w:val="005E6771"/>
    <w:rsid w:val="005E70E0"/>
    <w:rsid w:val="005F74FD"/>
    <w:rsid w:val="0060672F"/>
    <w:rsid w:val="006154AA"/>
    <w:rsid w:val="006218F4"/>
    <w:rsid w:val="0064678A"/>
    <w:rsid w:val="00663528"/>
    <w:rsid w:val="006774F8"/>
    <w:rsid w:val="00683C1D"/>
    <w:rsid w:val="006A103A"/>
    <w:rsid w:val="006B101A"/>
    <w:rsid w:val="006B4312"/>
    <w:rsid w:val="006C2A38"/>
    <w:rsid w:val="006C36BF"/>
    <w:rsid w:val="006E03DA"/>
    <w:rsid w:val="006F23FD"/>
    <w:rsid w:val="006F5948"/>
    <w:rsid w:val="00703BE6"/>
    <w:rsid w:val="00713A81"/>
    <w:rsid w:val="00714FBB"/>
    <w:rsid w:val="00717D4D"/>
    <w:rsid w:val="0072106F"/>
    <w:rsid w:val="0072136F"/>
    <w:rsid w:val="0072309D"/>
    <w:rsid w:val="0072460E"/>
    <w:rsid w:val="007248CE"/>
    <w:rsid w:val="007257CF"/>
    <w:rsid w:val="00730C40"/>
    <w:rsid w:val="00734764"/>
    <w:rsid w:val="007347FE"/>
    <w:rsid w:val="00743C99"/>
    <w:rsid w:val="00752C6C"/>
    <w:rsid w:val="00756B5B"/>
    <w:rsid w:val="00764A17"/>
    <w:rsid w:val="00764ED6"/>
    <w:rsid w:val="00772EB7"/>
    <w:rsid w:val="007811F0"/>
    <w:rsid w:val="00786653"/>
    <w:rsid w:val="007878D7"/>
    <w:rsid w:val="007932A3"/>
    <w:rsid w:val="007B5C85"/>
    <w:rsid w:val="007B73C4"/>
    <w:rsid w:val="007C2BC1"/>
    <w:rsid w:val="007C3A7F"/>
    <w:rsid w:val="007D1B79"/>
    <w:rsid w:val="007E4E01"/>
    <w:rsid w:val="007F062E"/>
    <w:rsid w:val="007F50BC"/>
    <w:rsid w:val="007F6C7A"/>
    <w:rsid w:val="00824DD2"/>
    <w:rsid w:val="00825DAF"/>
    <w:rsid w:val="00830547"/>
    <w:rsid w:val="008338E5"/>
    <w:rsid w:val="008343CA"/>
    <w:rsid w:val="00841F3C"/>
    <w:rsid w:val="008438DF"/>
    <w:rsid w:val="00843900"/>
    <w:rsid w:val="00846263"/>
    <w:rsid w:val="00851AE3"/>
    <w:rsid w:val="0085252D"/>
    <w:rsid w:val="00860010"/>
    <w:rsid w:val="00866C6D"/>
    <w:rsid w:val="00875841"/>
    <w:rsid w:val="00883487"/>
    <w:rsid w:val="00896438"/>
    <w:rsid w:val="00897903"/>
    <w:rsid w:val="008A1223"/>
    <w:rsid w:val="008A1428"/>
    <w:rsid w:val="008B764F"/>
    <w:rsid w:val="008B7B9E"/>
    <w:rsid w:val="008C69F3"/>
    <w:rsid w:val="008D48BD"/>
    <w:rsid w:val="008E1BEB"/>
    <w:rsid w:val="008E1C11"/>
    <w:rsid w:val="008E49DA"/>
    <w:rsid w:val="008F04B4"/>
    <w:rsid w:val="008F7E1D"/>
    <w:rsid w:val="009042D9"/>
    <w:rsid w:val="00911AE5"/>
    <w:rsid w:val="00915759"/>
    <w:rsid w:val="00930273"/>
    <w:rsid w:val="00934C6E"/>
    <w:rsid w:val="00935D74"/>
    <w:rsid w:val="0094322C"/>
    <w:rsid w:val="00945769"/>
    <w:rsid w:val="00963C2B"/>
    <w:rsid w:val="0097330C"/>
    <w:rsid w:val="00984FD1"/>
    <w:rsid w:val="00985A0B"/>
    <w:rsid w:val="009902F2"/>
    <w:rsid w:val="009935C9"/>
    <w:rsid w:val="009A1896"/>
    <w:rsid w:val="009A359C"/>
    <w:rsid w:val="009B022B"/>
    <w:rsid w:val="009C05BE"/>
    <w:rsid w:val="009C499B"/>
    <w:rsid w:val="009C6F3F"/>
    <w:rsid w:val="009D1912"/>
    <w:rsid w:val="009D3300"/>
    <w:rsid w:val="009D6A38"/>
    <w:rsid w:val="009D6EE3"/>
    <w:rsid w:val="009E0D40"/>
    <w:rsid w:val="009E2587"/>
    <w:rsid w:val="009E4035"/>
    <w:rsid w:val="009E7D6C"/>
    <w:rsid w:val="009F6B72"/>
    <w:rsid w:val="009F71A1"/>
    <w:rsid w:val="00A04596"/>
    <w:rsid w:val="00A11E0B"/>
    <w:rsid w:val="00A12396"/>
    <w:rsid w:val="00A21C02"/>
    <w:rsid w:val="00A24CE7"/>
    <w:rsid w:val="00A277F0"/>
    <w:rsid w:val="00A31CF7"/>
    <w:rsid w:val="00A41EAD"/>
    <w:rsid w:val="00A46BAE"/>
    <w:rsid w:val="00A52928"/>
    <w:rsid w:val="00A55A63"/>
    <w:rsid w:val="00A56F33"/>
    <w:rsid w:val="00A612A7"/>
    <w:rsid w:val="00A63CA1"/>
    <w:rsid w:val="00A6551A"/>
    <w:rsid w:val="00A662C5"/>
    <w:rsid w:val="00A671FF"/>
    <w:rsid w:val="00A725C2"/>
    <w:rsid w:val="00A76C44"/>
    <w:rsid w:val="00A800E3"/>
    <w:rsid w:val="00A93BE8"/>
    <w:rsid w:val="00A95C68"/>
    <w:rsid w:val="00A9639D"/>
    <w:rsid w:val="00A97E56"/>
    <w:rsid w:val="00AA0CFE"/>
    <w:rsid w:val="00AA1ED9"/>
    <w:rsid w:val="00AA4277"/>
    <w:rsid w:val="00AB50EC"/>
    <w:rsid w:val="00AC520B"/>
    <w:rsid w:val="00AC7925"/>
    <w:rsid w:val="00AD0178"/>
    <w:rsid w:val="00AD056A"/>
    <w:rsid w:val="00AD68CC"/>
    <w:rsid w:val="00AF3FD6"/>
    <w:rsid w:val="00AF5BAE"/>
    <w:rsid w:val="00B047B2"/>
    <w:rsid w:val="00B21461"/>
    <w:rsid w:val="00B21894"/>
    <w:rsid w:val="00B3047F"/>
    <w:rsid w:val="00B30C73"/>
    <w:rsid w:val="00B40D5E"/>
    <w:rsid w:val="00B427FF"/>
    <w:rsid w:val="00B437B2"/>
    <w:rsid w:val="00B440C0"/>
    <w:rsid w:val="00B56CF5"/>
    <w:rsid w:val="00B57F3F"/>
    <w:rsid w:val="00B66A4D"/>
    <w:rsid w:val="00B716C1"/>
    <w:rsid w:val="00B81282"/>
    <w:rsid w:val="00B81B10"/>
    <w:rsid w:val="00B85D59"/>
    <w:rsid w:val="00B8657D"/>
    <w:rsid w:val="00B92712"/>
    <w:rsid w:val="00B955B9"/>
    <w:rsid w:val="00BA4168"/>
    <w:rsid w:val="00BA7C80"/>
    <w:rsid w:val="00BB24E7"/>
    <w:rsid w:val="00BB255D"/>
    <w:rsid w:val="00BB46DC"/>
    <w:rsid w:val="00BD22DB"/>
    <w:rsid w:val="00BD3B32"/>
    <w:rsid w:val="00BD4292"/>
    <w:rsid w:val="00BE085E"/>
    <w:rsid w:val="00BE6D10"/>
    <w:rsid w:val="00BE7926"/>
    <w:rsid w:val="00BF3DCB"/>
    <w:rsid w:val="00C002BA"/>
    <w:rsid w:val="00C10BC7"/>
    <w:rsid w:val="00C12F66"/>
    <w:rsid w:val="00C13743"/>
    <w:rsid w:val="00C1734B"/>
    <w:rsid w:val="00C23238"/>
    <w:rsid w:val="00C4111B"/>
    <w:rsid w:val="00C432B4"/>
    <w:rsid w:val="00C43A79"/>
    <w:rsid w:val="00C5060C"/>
    <w:rsid w:val="00C5713D"/>
    <w:rsid w:val="00C7185A"/>
    <w:rsid w:val="00C738F3"/>
    <w:rsid w:val="00C76E13"/>
    <w:rsid w:val="00C81498"/>
    <w:rsid w:val="00C82C4E"/>
    <w:rsid w:val="00C84812"/>
    <w:rsid w:val="00C9565C"/>
    <w:rsid w:val="00C97956"/>
    <w:rsid w:val="00CB7F7E"/>
    <w:rsid w:val="00CC05F0"/>
    <w:rsid w:val="00CD3E57"/>
    <w:rsid w:val="00CE3975"/>
    <w:rsid w:val="00CE3A7D"/>
    <w:rsid w:val="00CE684A"/>
    <w:rsid w:val="00CF4211"/>
    <w:rsid w:val="00CF66FF"/>
    <w:rsid w:val="00D12F5A"/>
    <w:rsid w:val="00D24632"/>
    <w:rsid w:val="00D36AFF"/>
    <w:rsid w:val="00D36B4F"/>
    <w:rsid w:val="00D402D8"/>
    <w:rsid w:val="00D47256"/>
    <w:rsid w:val="00D511DC"/>
    <w:rsid w:val="00D6477B"/>
    <w:rsid w:val="00D7475E"/>
    <w:rsid w:val="00D90EC1"/>
    <w:rsid w:val="00D94BD1"/>
    <w:rsid w:val="00D9576B"/>
    <w:rsid w:val="00D95A90"/>
    <w:rsid w:val="00DB1340"/>
    <w:rsid w:val="00DC1775"/>
    <w:rsid w:val="00DD0B5B"/>
    <w:rsid w:val="00DE098A"/>
    <w:rsid w:val="00DE735A"/>
    <w:rsid w:val="00E01DD4"/>
    <w:rsid w:val="00E05102"/>
    <w:rsid w:val="00E07C79"/>
    <w:rsid w:val="00E10167"/>
    <w:rsid w:val="00E12055"/>
    <w:rsid w:val="00E12B9E"/>
    <w:rsid w:val="00E2153E"/>
    <w:rsid w:val="00E2549F"/>
    <w:rsid w:val="00E26A76"/>
    <w:rsid w:val="00E311B3"/>
    <w:rsid w:val="00E32702"/>
    <w:rsid w:val="00E37D3E"/>
    <w:rsid w:val="00E44B26"/>
    <w:rsid w:val="00E45C2E"/>
    <w:rsid w:val="00E47759"/>
    <w:rsid w:val="00E5643C"/>
    <w:rsid w:val="00E57574"/>
    <w:rsid w:val="00E7760E"/>
    <w:rsid w:val="00E84149"/>
    <w:rsid w:val="00E84C5D"/>
    <w:rsid w:val="00E90142"/>
    <w:rsid w:val="00E94FEF"/>
    <w:rsid w:val="00E955D2"/>
    <w:rsid w:val="00E96BBC"/>
    <w:rsid w:val="00EA013B"/>
    <w:rsid w:val="00EA686E"/>
    <w:rsid w:val="00EA739D"/>
    <w:rsid w:val="00EA7B85"/>
    <w:rsid w:val="00EB2925"/>
    <w:rsid w:val="00EB2CFA"/>
    <w:rsid w:val="00EB4740"/>
    <w:rsid w:val="00EC155A"/>
    <w:rsid w:val="00EC7B49"/>
    <w:rsid w:val="00EE1B47"/>
    <w:rsid w:val="00EE5597"/>
    <w:rsid w:val="00EF22C0"/>
    <w:rsid w:val="00F1512B"/>
    <w:rsid w:val="00F21B3B"/>
    <w:rsid w:val="00F21CC8"/>
    <w:rsid w:val="00F303E7"/>
    <w:rsid w:val="00F350E6"/>
    <w:rsid w:val="00F37AF6"/>
    <w:rsid w:val="00F42288"/>
    <w:rsid w:val="00F44013"/>
    <w:rsid w:val="00F65C21"/>
    <w:rsid w:val="00F65D3E"/>
    <w:rsid w:val="00F728D0"/>
    <w:rsid w:val="00F76AFB"/>
    <w:rsid w:val="00F82E9F"/>
    <w:rsid w:val="00F8684B"/>
    <w:rsid w:val="00F86A15"/>
    <w:rsid w:val="00F918C0"/>
    <w:rsid w:val="00F95A72"/>
    <w:rsid w:val="00FA50B2"/>
    <w:rsid w:val="00FB5CEB"/>
    <w:rsid w:val="00FB74C1"/>
    <w:rsid w:val="00FD2412"/>
    <w:rsid w:val="00FE7BD8"/>
    <w:rsid w:val="00FF334B"/>
    <w:rsid w:val="00FF517E"/>
    <w:rsid w:val="00FF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B40537"/>
  <w15:docId w15:val="{18A2515C-5052-4828-BD87-D812F76B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EC1"/>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2">
    <w:name w:val="heading 2"/>
    <w:basedOn w:val="Normal"/>
    <w:next w:val="Normal"/>
    <w:link w:val="Heading2Char"/>
    <w:qFormat/>
    <w:rsid w:val="00D90EC1"/>
    <w:pPr>
      <w:keepNext/>
      <w:jc w:val="center"/>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0EC1"/>
    <w:rPr>
      <w:rFonts w:ascii="Arial" w:eastAsia="Times New Roman" w:hAnsi="Arial" w:cs="Arial"/>
      <w:b/>
      <w:bCs/>
      <w:sz w:val="24"/>
      <w:szCs w:val="24"/>
    </w:rPr>
  </w:style>
  <w:style w:type="paragraph" w:styleId="Header">
    <w:name w:val="header"/>
    <w:basedOn w:val="Normal"/>
    <w:link w:val="HeaderChar"/>
    <w:rsid w:val="00D90EC1"/>
    <w:pPr>
      <w:tabs>
        <w:tab w:val="center" w:pos="4320"/>
        <w:tab w:val="right" w:pos="8640"/>
      </w:tabs>
      <w:autoSpaceDE/>
      <w:autoSpaceDN/>
      <w:adjustRightInd/>
    </w:pPr>
    <w:rPr>
      <w:rFonts w:ascii="Times New Roman" w:hAnsi="Times New Roman"/>
      <w:sz w:val="24"/>
      <w:szCs w:val="20"/>
    </w:rPr>
  </w:style>
  <w:style w:type="character" w:customStyle="1" w:styleId="HeaderChar">
    <w:name w:val="Header Char"/>
    <w:basedOn w:val="DefaultParagraphFont"/>
    <w:link w:val="Header"/>
    <w:rsid w:val="00D90EC1"/>
    <w:rPr>
      <w:rFonts w:ascii="Times New Roman" w:eastAsia="Times New Roman" w:hAnsi="Times New Roman" w:cs="Times New Roman"/>
      <w:sz w:val="24"/>
      <w:szCs w:val="20"/>
    </w:rPr>
  </w:style>
  <w:style w:type="paragraph" w:styleId="BodyText">
    <w:name w:val="Body Text"/>
    <w:basedOn w:val="Normal"/>
    <w:link w:val="BodyTextChar"/>
    <w:rsid w:val="00D90EC1"/>
    <w:rPr>
      <w:rFonts w:ascii="Arial" w:hAnsi="Arial"/>
      <w:sz w:val="24"/>
    </w:rPr>
  </w:style>
  <w:style w:type="character" w:customStyle="1" w:styleId="BodyTextChar">
    <w:name w:val="Body Text Char"/>
    <w:basedOn w:val="DefaultParagraphFont"/>
    <w:link w:val="BodyText"/>
    <w:rsid w:val="00D90EC1"/>
    <w:rPr>
      <w:rFonts w:ascii="Arial" w:eastAsia="Times New Roman" w:hAnsi="Arial" w:cs="Times New Roman"/>
      <w:sz w:val="24"/>
      <w:szCs w:val="24"/>
    </w:rPr>
  </w:style>
  <w:style w:type="character" w:styleId="FootnoteReference">
    <w:name w:val="footnote reference"/>
    <w:semiHidden/>
    <w:rsid w:val="00D90EC1"/>
    <w:rPr>
      <w:rFonts w:ascii="Times New Roman" w:hAnsi="Times New Roman"/>
      <w:vertAlign w:val="superscript"/>
    </w:rPr>
  </w:style>
  <w:style w:type="paragraph" w:styleId="FootnoteText">
    <w:name w:val="footnote text"/>
    <w:basedOn w:val="Normal"/>
    <w:link w:val="FootnoteTextChar"/>
    <w:semiHidden/>
    <w:rsid w:val="00D90EC1"/>
    <w:rPr>
      <w:rFonts w:ascii="Arial" w:hAnsi="Arial"/>
      <w:szCs w:val="20"/>
    </w:rPr>
  </w:style>
  <w:style w:type="character" w:customStyle="1" w:styleId="FootnoteTextChar">
    <w:name w:val="Footnote Text Char"/>
    <w:basedOn w:val="DefaultParagraphFont"/>
    <w:link w:val="FootnoteText"/>
    <w:semiHidden/>
    <w:rsid w:val="00D90EC1"/>
    <w:rPr>
      <w:rFonts w:ascii="Arial" w:eastAsia="Times New Roman" w:hAnsi="Arial" w:cs="Times New Roman"/>
      <w:sz w:val="20"/>
      <w:szCs w:val="20"/>
    </w:rPr>
  </w:style>
  <w:style w:type="paragraph" w:styleId="Footer">
    <w:name w:val="footer"/>
    <w:basedOn w:val="Normal"/>
    <w:link w:val="FooterChar"/>
    <w:uiPriority w:val="99"/>
    <w:unhideWhenUsed/>
    <w:rsid w:val="00D90EC1"/>
    <w:pPr>
      <w:tabs>
        <w:tab w:val="center" w:pos="4680"/>
        <w:tab w:val="right" w:pos="9360"/>
      </w:tabs>
    </w:pPr>
  </w:style>
  <w:style w:type="character" w:customStyle="1" w:styleId="FooterChar">
    <w:name w:val="Footer Char"/>
    <w:basedOn w:val="DefaultParagraphFont"/>
    <w:link w:val="Footer"/>
    <w:uiPriority w:val="99"/>
    <w:rsid w:val="00D90EC1"/>
    <w:rPr>
      <w:rFonts w:ascii="Courier" w:eastAsia="Times New Roman" w:hAnsi="Courier" w:cs="Times New Roman"/>
      <w:sz w:val="20"/>
      <w:szCs w:val="24"/>
    </w:rPr>
  </w:style>
  <w:style w:type="paragraph" w:styleId="BalloonText">
    <w:name w:val="Balloon Text"/>
    <w:basedOn w:val="Normal"/>
    <w:link w:val="BalloonTextChar"/>
    <w:uiPriority w:val="99"/>
    <w:semiHidden/>
    <w:unhideWhenUsed/>
    <w:rsid w:val="0044274D"/>
    <w:rPr>
      <w:rFonts w:ascii="Tahoma" w:hAnsi="Tahoma" w:cs="Tahoma"/>
      <w:sz w:val="16"/>
      <w:szCs w:val="16"/>
    </w:rPr>
  </w:style>
  <w:style w:type="character" w:customStyle="1" w:styleId="BalloonTextChar">
    <w:name w:val="Balloon Text Char"/>
    <w:basedOn w:val="DefaultParagraphFont"/>
    <w:link w:val="BalloonText"/>
    <w:uiPriority w:val="99"/>
    <w:semiHidden/>
    <w:rsid w:val="0044274D"/>
    <w:rPr>
      <w:rFonts w:ascii="Tahoma" w:eastAsia="Times New Roman" w:hAnsi="Tahoma" w:cs="Tahoma"/>
      <w:sz w:val="16"/>
      <w:szCs w:val="16"/>
    </w:rPr>
  </w:style>
  <w:style w:type="paragraph" w:styleId="ListParagraph">
    <w:name w:val="List Paragraph"/>
    <w:basedOn w:val="Normal"/>
    <w:uiPriority w:val="34"/>
    <w:qFormat/>
    <w:rsid w:val="000437DE"/>
    <w:pPr>
      <w:ind w:left="720"/>
      <w:contextualSpacing/>
    </w:pPr>
  </w:style>
  <w:style w:type="character" w:styleId="CommentReference">
    <w:name w:val="annotation reference"/>
    <w:basedOn w:val="DefaultParagraphFont"/>
    <w:unhideWhenUsed/>
    <w:rsid w:val="00CF66FF"/>
    <w:rPr>
      <w:sz w:val="16"/>
      <w:szCs w:val="16"/>
    </w:rPr>
  </w:style>
  <w:style w:type="paragraph" w:styleId="CommentText">
    <w:name w:val="annotation text"/>
    <w:basedOn w:val="Normal"/>
    <w:link w:val="CommentTextChar"/>
    <w:unhideWhenUsed/>
    <w:rsid w:val="00CF66FF"/>
    <w:rPr>
      <w:szCs w:val="20"/>
    </w:rPr>
  </w:style>
  <w:style w:type="character" w:customStyle="1" w:styleId="CommentTextChar">
    <w:name w:val="Comment Text Char"/>
    <w:basedOn w:val="DefaultParagraphFont"/>
    <w:link w:val="CommentText"/>
    <w:rsid w:val="00CF66FF"/>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F66FF"/>
    <w:rPr>
      <w:b/>
      <w:bCs/>
    </w:rPr>
  </w:style>
  <w:style w:type="character" w:customStyle="1" w:styleId="CommentSubjectChar">
    <w:name w:val="Comment Subject Char"/>
    <w:basedOn w:val="CommentTextChar"/>
    <w:link w:val="CommentSubject"/>
    <w:uiPriority w:val="99"/>
    <w:semiHidden/>
    <w:rsid w:val="00CF66FF"/>
    <w:rPr>
      <w:rFonts w:ascii="Courier" w:eastAsia="Times New Roman" w:hAnsi="Courier" w:cs="Times New Roman"/>
      <w:b/>
      <w:bCs/>
      <w:sz w:val="20"/>
      <w:szCs w:val="20"/>
    </w:rPr>
  </w:style>
  <w:style w:type="character" w:styleId="Hyperlink">
    <w:name w:val="Hyperlink"/>
    <w:basedOn w:val="DefaultParagraphFont"/>
    <w:uiPriority w:val="99"/>
    <w:unhideWhenUsed/>
    <w:rsid w:val="00717D4D"/>
    <w:rPr>
      <w:color w:val="0000FF" w:themeColor="hyperlink"/>
      <w:u w:val="single"/>
    </w:rPr>
  </w:style>
  <w:style w:type="paragraph" w:styleId="Revision">
    <w:name w:val="Revision"/>
    <w:hidden/>
    <w:uiPriority w:val="99"/>
    <w:semiHidden/>
    <w:rsid w:val="009C05BE"/>
    <w:pPr>
      <w:spacing w:after="0" w:line="240" w:lineRule="auto"/>
    </w:pPr>
    <w:rPr>
      <w:rFonts w:ascii="Courier" w:eastAsia="Times New Roman" w:hAnsi="Courier" w:cs="Times New Roman"/>
      <w:sz w:val="20"/>
      <w:szCs w:val="24"/>
    </w:rPr>
  </w:style>
  <w:style w:type="character" w:styleId="FollowedHyperlink">
    <w:name w:val="FollowedHyperlink"/>
    <w:basedOn w:val="DefaultParagraphFont"/>
    <w:uiPriority w:val="99"/>
    <w:semiHidden/>
    <w:unhideWhenUsed/>
    <w:rsid w:val="008E1BEB"/>
    <w:rPr>
      <w:color w:val="800080" w:themeColor="followedHyperlink"/>
      <w:u w:val="single"/>
    </w:rPr>
  </w:style>
  <w:style w:type="paragraph" w:styleId="NormalWeb">
    <w:name w:val="Normal (Web)"/>
    <w:basedOn w:val="Normal"/>
    <w:uiPriority w:val="99"/>
    <w:semiHidden/>
    <w:unhideWhenUsed/>
    <w:rsid w:val="007811F0"/>
    <w:pPr>
      <w:widowControl/>
      <w:autoSpaceDE/>
      <w:autoSpaceDN/>
      <w:adjustRightInd/>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3723">
      <w:bodyDiv w:val="1"/>
      <w:marLeft w:val="0"/>
      <w:marRight w:val="0"/>
      <w:marTop w:val="0"/>
      <w:marBottom w:val="0"/>
      <w:divBdr>
        <w:top w:val="none" w:sz="0" w:space="0" w:color="auto"/>
        <w:left w:val="none" w:sz="0" w:space="0" w:color="auto"/>
        <w:bottom w:val="none" w:sz="0" w:space="0" w:color="auto"/>
        <w:right w:val="none" w:sz="0" w:space="0" w:color="auto"/>
      </w:divBdr>
    </w:div>
    <w:div w:id="968390138">
      <w:bodyDiv w:val="1"/>
      <w:marLeft w:val="0"/>
      <w:marRight w:val="0"/>
      <w:marTop w:val="0"/>
      <w:marBottom w:val="0"/>
      <w:divBdr>
        <w:top w:val="none" w:sz="0" w:space="0" w:color="auto"/>
        <w:left w:val="none" w:sz="0" w:space="0" w:color="auto"/>
        <w:bottom w:val="none" w:sz="0" w:space="0" w:color="auto"/>
        <w:right w:val="none" w:sz="0" w:space="0" w:color="auto"/>
      </w:divBdr>
    </w:div>
    <w:div w:id="181209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2B244-8702-43A0-8435-373FFA45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2383</Words>
  <Characters>13585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Grace H</dc:creator>
  <cp:lastModifiedBy>Wolfgang, Dawn</cp:lastModifiedBy>
  <cp:revision>5</cp:revision>
  <cp:lastPrinted>2020-06-29T17:40:00Z</cp:lastPrinted>
  <dcterms:created xsi:type="dcterms:W3CDTF">2020-06-29T17:43:00Z</dcterms:created>
  <dcterms:modified xsi:type="dcterms:W3CDTF">2020-06-29T19:53:00Z</dcterms:modified>
</cp:coreProperties>
</file>