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2F" w:rsidP="001619A7" w:rsidRDefault="008E0C81" w14:paraId="4BB1D64D" w14:textId="77777777">
      <w:pPr>
        <w:widowControl w:val="0"/>
        <w:tabs>
          <w:tab w:val="center" w:pos="4680"/>
        </w:tabs>
        <w:jc w:val="center"/>
        <w:rPr>
          <w:rFonts w:ascii="Arial" w:hAnsi="Arial" w:cs="Arial"/>
          <w:sz w:val="22"/>
          <w:szCs w:val="22"/>
        </w:rPr>
      </w:pPr>
      <w:r w:rsidRPr="00251B17">
        <w:rPr>
          <w:rFonts w:ascii="Arial" w:hAnsi="Arial" w:cs="Arial"/>
          <w:sz w:val="22"/>
          <w:szCs w:val="22"/>
        </w:rPr>
        <w:t>FINAL</w:t>
      </w:r>
      <w:r w:rsidRPr="00251B17" w:rsidR="00D25FDD">
        <w:rPr>
          <w:rFonts w:ascii="Arial" w:hAnsi="Arial" w:cs="Arial"/>
          <w:sz w:val="22"/>
          <w:szCs w:val="22"/>
        </w:rPr>
        <w:t xml:space="preserve"> </w:t>
      </w:r>
      <w:r w:rsidRPr="00251B17" w:rsidR="0078488D">
        <w:rPr>
          <w:rFonts w:ascii="Arial" w:hAnsi="Arial" w:cs="Arial"/>
          <w:sz w:val="22"/>
          <w:szCs w:val="22"/>
        </w:rPr>
        <w:t>SUPPORTING STATEMENT</w:t>
      </w:r>
    </w:p>
    <w:p w:rsidR="005F5B2F" w:rsidP="001619A7" w:rsidRDefault="00FA2AC7" w14:paraId="759277A5" w14:textId="77777777">
      <w:pPr>
        <w:widowControl w:val="0"/>
        <w:tabs>
          <w:tab w:val="center" w:pos="4680"/>
        </w:tabs>
        <w:jc w:val="center"/>
        <w:rPr>
          <w:rFonts w:ascii="Arial" w:hAnsi="Arial" w:cs="Arial"/>
          <w:sz w:val="22"/>
          <w:szCs w:val="22"/>
        </w:rPr>
      </w:pPr>
      <w:r>
        <w:rPr>
          <w:rFonts w:ascii="Arial" w:hAnsi="Arial" w:cs="Arial"/>
          <w:sz w:val="22"/>
          <w:szCs w:val="22"/>
        </w:rPr>
        <w:t xml:space="preserve"> </w:t>
      </w:r>
      <w:r w:rsidRPr="00251B17" w:rsidR="0078488D">
        <w:rPr>
          <w:rFonts w:ascii="Arial" w:hAnsi="Arial" w:cs="Arial"/>
          <w:sz w:val="22"/>
          <w:szCs w:val="22"/>
        </w:rPr>
        <w:t>FOR</w:t>
      </w:r>
      <w:r>
        <w:rPr>
          <w:rFonts w:ascii="Arial" w:hAnsi="Arial" w:cs="Arial"/>
          <w:sz w:val="22"/>
          <w:szCs w:val="22"/>
        </w:rPr>
        <w:t xml:space="preserve"> </w:t>
      </w:r>
    </w:p>
    <w:p w:rsidR="005F5B2F" w:rsidP="001619A7" w:rsidRDefault="0078488D" w14:paraId="4B51B455" w14:textId="77777777">
      <w:pPr>
        <w:widowControl w:val="0"/>
        <w:tabs>
          <w:tab w:val="center" w:pos="4680"/>
        </w:tabs>
        <w:jc w:val="center"/>
        <w:rPr>
          <w:rFonts w:ascii="Arial" w:hAnsi="Arial" w:cs="Arial"/>
          <w:sz w:val="22"/>
          <w:szCs w:val="22"/>
        </w:rPr>
      </w:pPr>
      <w:r w:rsidRPr="00251B17">
        <w:rPr>
          <w:rFonts w:ascii="Arial" w:hAnsi="Arial" w:cs="Arial"/>
          <w:sz w:val="22"/>
          <w:szCs w:val="22"/>
        </w:rPr>
        <w:t>SUSPICIOUS ACTIVITY REPORTING</w:t>
      </w:r>
      <w:r w:rsidR="00FA2AC7">
        <w:rPr>
          <w:rFonts w:ascii="Arial" w:hAnsi="Arial" w:cs="Arial"/>
          <w:sz w:val="22"/>
          <w:szCs w:val="22"/>
        </w:rPr>
        <w:t xml:space="preserve"> </w:t>
      </w:r>
      <w:r w:rsidRPr="00251B17">
        <w:rPr>
          <w:rFonts w:ascii="Arial" w:hAnsi="Arial" w:cs="Arial"/>
          <w:sz w:val="22"/>
          <w:szCs w:val="22"/>
        </w:rPr>
        <w:t>USING THE</w:t>
      </w:r>
    </w:p>
    <w:p w:rsidR="005F5B2F" w:rsidP="001619A7" w:rsidRDefault="0078488D" w14:paraId="007A59C1" w14:textId="77777777">
      <w:pPr>
        <w:widowControl w:val="0"/>
        <w:tabs>
          <w:tab w:val="center" w:pos="4680"/>
        </w:tabs>
        <w:jc w:val="center"/>
        <w:rPr>
          <w:rFonts w:ascii="Arial" w:hAnsi="Arial" w:cs="Arial"/>
          <w:sz w:val="22"/>
          <w:szCs w:val="22"/>
        </w:rPr>
      </w:pPr>
      <w:r w:rsidRPr="00251B17">
        <w:rPr>
          <w:rFonts w:ascii="Arial" w:hAnsi="Arial" w:cs="Arial"/>
          <w:sz w:val="22"/>
          <w:szCs w:val="22"/>
        </w:rPr>
        <w:t xml:space="preserve"> PROTECTED WEB SERVER (PWS)</w:t>
      </w:r>
      <w:bookmarkStart w:name="_GoBack" w:id="0"/>
      <w:bookmarkEnd w:id="0"/>
    </w:p>
    <w:p w:rsidR="005F5B2F" w:rsidP="001619A7" w:rsidRDefault="005F5B2F" w14:paraId="3FC10C20" w14:textId="77777777">
      <w:pPr>
        <w:widowControl w:val="0"/>
        <w:tabs>
          <w:tab w:val="center" w:pos="4680"/>
        </w:tabs>
        <w:jc w:val="center"/>
        <w:rPr>
          <w:rFonts w:ascii="Arial" w:hAnsi="Arial" w:cs="Arial"/>
          <w:sz w:val="22"/>
          <w:szCs w:val="22"/>
        </w:rPr>
      </w:pPr>
    </w:p>
    <w:p w:rsidR="005F5B2F" w:rsidP="001619A7" w:rsidRDefault="00FA2AC7" w14:paraId="18C734A5" w14:textId="77777777">
      <w:pPr>
        <w:widowControl w:val="0"/>
        <w:tabs>
          <w:tab w:val="center" w:pos="4680"/>
        </w:tabs>
        <w:jc w:val="center"/>
        <w:rPr>
          <w:rFonts w:ascii="Arial" w:hAnsi="Arial" w:cs="Arial"/>
          <w:sz w:val="22"/>
          <w:szCs w:val="22"/>
        </w:rPr>
      </w:pPr>
      <w:r>
        <w:rPr>
          <w:rFonts w:ascii="Arial" w:hAnsi="Arial" w:cs="Arial"/>
          <w:sz w:val="22"/>
          <w:szCs w:val="22"/>
        </w:rPr>
        <w:t xml:space="preserve"> </w:t>
      </w:r>
      <w:r w:rsidRPr="00251B17" w:rsidR="0078488D">
        <w:rPr>
          <w:rFonts w:ascii="Arial" w:hAnsi="Arial" w:cs="Arial"/>
          <w:sz w:val="22"/>
          <w:szCs w:val="22"/>
        </w:rPr>
        <w:t>(3150-</w:t>
      </w:r>
      <w:r w:rsidRPr="00251B17" w:rsidR="00B20A87">
        <w:rPr>
          <w:rFonts w:ascii="Arial" w:hAnsi="Arial" w:cs="Arial"/>
          <w:sz w:val="22"/>
          <w:szCs w:val="22"/>
        </w:rPr>
        <w:t>0219</w:t>
      </w:r>
      <w:r w:rsidRPr="00251B17" w:rsidR="0078488D">
        <w:rPr>
          <w:rFonts w:ascii="Arial" w:hAnsi="Arial" w:cs="Arial"/>
          <w:sz w:val="22"/>
          <w:szCs w:val="22"/>
        </w:rPr>
        <w:t>)</w:t>
      </w:r>
      <w:r>
        <w:rPr>
          <w:rFonts w:ascii="Arial" w:hAnsi="Arial" w:cs="Arial"/>
          <w:sz w:val="22"/>
          <w:szCs w:val="22"/>
        </w:rPr>
        <w:t xml:space="preserve"> </w:t>
      </w:r>
    </w:p>
    <w:p w:rsidR="005F5B2F" w:rsidP="001619A7" w:rsidRDefault="005F5B2F" w14:paraId="597B32D9" w14:textId="77777777">
      <w:pPr>
        <w:widowControl w:val="0"/>
        <w:tabs>
          <w:tab w:val="center" w:pos="4680"/>
        </w:tabs>
        <w:jc w:val="center"/>
        <w:rPr>
          <w:rFonts w:ascii="Arial" w:hAnsi="Arial" w:cs="Arial"/>
          <w:sz w:val="22"/>
          <w:szCs w:val="22"/>
        </w:rPr>
      </w:pPr>
    </w:p>
    <w:p w:rsidRPr="00251B17" w:rsidR="0078488D" w:rsidP="001619A7" w:rsidRDefault="00B20A87" w14:paraId="2425C876" w14:textId="2D3B5D68">
      <w:pPr>
        <w:widowControl w:val="0"/>
        <w:tabs>
          <w:tab w:val="center" w:pos="4680"/>
        </w:tabs>
        <w:jc w:val="center"/>
        <w:rPr>
          <w:rFonts w:ascii="Arial" w:hAnsi="Arial" w:cs="Arial"/>
          <w:sz w:val="22"/>
          <w:szCs w:val="22"/>
        </w:rPr>
      </w:pPr>
      <w:r w:rsidRPr="00251B17">
        <w:rPr>
          <w:rFonts w:ascii="Arial" w:hAnsi="Arial" w:cs="Arial"/>
          <w:sz w:val="22"/>
          <w:szCs w:val="22"/>
        </w:rPr>
        <w:t>EXTENSION</w:t>
      </w:r>
    </w:p>
    <w:p w:rsidRPr="00251B17" w:rsidR="00B20A87" w:rsidP="001619A7" w:rsidRDefault="00B20A87" w14:paraId="58880EC3" w14:textId="77777777">
      <w:pPr>
        <w:widowControl w:val="0"/>
        <w:tabs>
          <w:tab w:val="center" w:pos="4680"/>
        </w:tabs>
        <w:jc w:val="center"/>
        <w:rPr>
          <w:rFonts w:ascii="Arial" w:hAnsi="Arial" w:cs="Arial"/>
          <w:sz w:val="22"/>
          <w:szCs w:val="22"/>
        </w:rPr>
      </w:pPr>
    </w:p>
    <w:p w:rsidRPr="00251B17" w:rsidR="0078488D" w:rsidP="001619A7" w:rsidRDefault="0078488D" w14:paraId="76AB3C02" w14:textId="77777777">
      <w:pPr>
        <w:widowControl w:val="0"/>
        <w:rPr>
          <w:rFonts w:ascii="Arial" w:hAnsi="Arial" w:cs="Arial"/>
          <w:sz w:val="22"/>
          <w:szCs w:val="22"/>
        </w:rPr>
      </w:pPr>
    </w:p>
    <w:p w:rsidRPr="00251B17" w:rsidR="0078488D" w:rsidP="001619A7" w:rsidRDefault="0078488D" w14:paraId="222A0B85" w14:textId="77777777">
      <w:pPr>
        <w:widowControl w:val="0"/>
        <w:rPr>
          <w:rFonts w:ascii="Arial" w:hAnsi="Arial" w:cs="Arial"/>
          <w:sz w:val="22"/>
          <w:szCs w:val="22"/>
        </w:rPr>
      </w:pPr>
    </w:p>
    <w:p w:rsidRPr="00251B17" w:rsidR="001B3F42" w:rsidP="001619A7" w:rsidRDefault="0078488D" w14:paraId="2F9F18E1" w14:textId="49FFE651">
      <w:pPr>
        <w:widowControl w:val="0"/>
        <w:rPr>
          <w:rFonts w:ascii="Arial" w:hAnsi="Arial" w:cs="Arial"/>
          <w:sz w:val="22"/>
          <w:szCs w:val="22"/>
        </w:rPr>
      </w:pPr>
      <w:r w:rsidRPr="00251B17">
        <w:rPr>
          <w:rFonts w:ascii="Arial" w:hAnsi="Arial" w:cs="Arial"/>
          <w:sz w:val="22"/>
          <w:szCs w:val="22"/>
          <w:u w:val="single"/>
        </w:rPr>
        <w:t>Description of the Information Collection</w:t>
      </w:r>
      <w:r w:rsidRPr="00251B17" w:rsidR="001B3F42">
        <w:rPr>
          <w:rFonts w:ascii="Arial" w:hAnsi="Arial" w:cs="Arial"/>
          <w:color w:val="44546A"/>
          <w:sz w:val="22"/>
          <w:szCs w:val="22"/>
        </w:rPr>
        <w:t> </w:t>
      </w:r>
    </w:p>
    <w:p w:rsidRPr="00251B17" w:rsidR="001B3F42" w:rsidP="001619A7" w:rsidRDefault="001B3F42" w14:paraId="7C274A0B" w14:textId="77777777">
      <w:pPr>
        <w:rPr>
          <w:rFonts w:ascii="Arial" w:hAnsi="Arial" w:cs="Arial"/>
          <w:color w:val="44546A"/>
          <w:sz w:val="22"/>
          <w:szCs w:val="22"/>
        </w:rPr>
      </w:pPr>
    </w:p>
    <w:p w:rsidRPr="00251B17" w:rsidR="001B3F42" w:rsidP="001619A7" w:rsidRDefault="001B3F42" w14:paraId="4BD6DD1C" w14:textId="58A95150">
      <w:pPr>
        <w:rPr>
          <w:rFonts w:ascii="Arial" w:hAnsi="Arial" w:cs="Arial"/>
          <w:sz w:val="22"/>
          <w:szCs w:val="22"/>
        </w:rPr>
      </w:pPr>
      <w:r w:rsidRPr="00251B17">
        <w:rPr>
          <w:rFonts w:ascii="Arial" w:hAnsi="Arial" w:cs="Arial"/>
          <w:sz w:val="22"/>
          <w:szCs w:val="22"/>
        </w:rPr>
        <w:t>The Protected Web Server (PWS) enables the U.S. Nuclear Regulatory Commission (NRC) to fulfill its mission of communicating sensitive information to licensees and developing more formal, long-term relationships with Federal, State, and local organizations</w:t>
      </w:r>
      <w:r w:rsidR="00B4161F">
        <w:rPr>
          <w:rFonts w:ascii="Arial" w:hAnsi="Arial" w:cs="Arial"/>
          <w:sz w:val="22"/>
          <w:szCs w:val="22"/>
        </w:rPr>
        <w:t>—who, along with the NRC,</w:t>
      </w:r>
      <w:r w:rsidR="00EF2A55">
        <w:rPr>
          <w:rFonts w:ascii="Arial" w:hAnsi="Arial" w:cs="Arial"/>
          <w:sz w:val="22"/>
          <w:szCs w:val="22"/>
        </w:rPr>
        <w:t xml:space="preserve"> have</w:t>
      </w:r>
      <w:r w:rsidRPr="00251B17">
        <w:rPr>
          <w:rFonts w:ascii="Arial" w:hAnsi="Arial" w:cs="Arial"/>
          <w:sz w:val="22"/>
          <w:szCs w:val="22"/>
        </w:rPr>
        <w:t xml:space="preserve"> responsibilities for protecting nuclear facilities and activities and responding to incidents.</w:t>
      </w:r>
    </w:p>
    <w:p w:rsidRPr="00251B17" w:rsidR="0078488D" w:rsidP="001619A7" w:rsidRDefault="0078488D" w14:paraId="3E1FC1B2" w14:textId="77777777">
      <w:pPr>
        <w:rPr>
          <w:rFonts w:ascii="Arial" w:hAnsi="Arial" w:cs="Arial"/>
          <w:sz w:val="22"/>
          <w:szCs w:val="22"/>
        </w:rPr>
      </w:pPr>
    </w:p>
    <w:p w:rsidRPr="00251B17" w:rsidR="0078488D" w:rsidP="001619A7" w:rsidRDefault="0078488D" w14:paraId="6356944A" w14:textId="4CEA315C">
      <w:pPr>
        <w:rPr>
          <w:rFonts w:ascii="Arial" w:hAnsi="Arial" w:cs="Arial"/>
          <w:sz w:val="22"/>
          <w:szCs w:val="22"/>
        </w:rPr>
      </w:pPr>
      <w:r w:rsidRPr="00251B17">
        <w:rPr>
          <w:rFonts w:ascii="Arial" w:hAnsi="Arial" w:cs="Arial"/>
          <w:sz w:val="22"/>
          <w:szCs w:val="22"/>
        </w:rPr>
        <w:t xml:space="preserve">Under </w:t>
      </w:r>
      <w:r w:rsidR="007D658D">
        <w:rPr>
          <w:rFonts w:ascii="Arial" w:hAnsi="Arial" w:cs="Arial"/>
          <w:sz w:val="22"/>
          <w:szCs w:val="22"/>
        </w:rPr>
        <w:t>the PWS</w:t>
      </w:r>
      <w:r w:rsidR="00D32E3B">
        <w:rPr>
          <w:rFonts w:ascii="Arial" w:hAnsi="Arial" w:cs="Arial"/>
          <w:sz w:val="22"/>
          <w:szCs w:val="22"/>
        </w:rPr>
        <w:t xml:space="preserve"> program</w:t>
      </w:r>
      <w:r w:rsidRPr="00251B17">
        <w:rPr>
          <w:rFonts w:ascii="Arial" w:hAnsi="Arial" w:cs="Arial"/>
          <w:sz w:val="22"/>
          <w:szCs w:val="22"/>
        </w:rPr>
        <w:t>,</w:t>
      </w:r>
      <w:r w:rsidR="006E33ED">
        <w:rPr>
          <w:rFonts w:ascii="Arial" w:hAnsi="Arial" w:cs="Arial"/>
          <w:sz w:val="22"/>
          <w:szCs w:val="22"/>
        </w:rPr>
        <w:t xml:space="preserve"> nuclear power reactor</w:t>
      </w:r>
      <w:r w:rsidRPr="00251B17">
        <w:rPr>
          <w:rFonts w:ascii="Arial" w:hAnsi="Arial" w:cs="Arial"/>
          <w:sz w:val="22"/>
          <w:szCs w:val="22"/>
        </w:rPr>
        <w:t xml:space="preserve"> licensees voluntarily provide security reports as a result of</w:t>
      </w:r>
      <w:r w:rsidR="00F023DB">
        <w:rPr>
          <w:rFonts w:ascii="Arial" w:hAnsi="Arial" w:cs="Arial"/>
          <w:sz w:val="22"/>
          <w:szCs w:val="22"/>
        </w:rPr>
        <w:t xml:space="preserve"> </w:t>
      </w:r>
      <w:r w:rsidR="004563E9">
        <w:rPr>
          <w:rFonts w:ascii="Arial" w:hAnsi="Arial" w:cs="Arial"/>
          <w:sz w:val="22"/>
          <w:szCs w:val="22"/>
        </w:rPr>
        <w:t>various</w:t>
      </w:r>
      <w:r w:rsidRPr="00251B17">
        <w:rPr>
          <w:rFonts w:ascii="Arial" w:hAnsi="Arial" w:cs="Arial"/>
          <w:sz w:val="22"/>
          <w:szCs w:val="22"/>
        </w:rPr>
        <w:t xml:space="preserve"> advisories that</w:t>
      </w:r>
      <w:r w:rsidRPr="00251B17" w:rsidR="00E42233">
        <w:rPr>
          <w:rFonts w:ascii="Arial" w:hAnsi="Arial" w:cs="Arial"/>
          <w:sz w:val="22"/>
          <w:szCs w:val="22"/>
        </w:rPr>
        <w:t xml:space="preserve"> the</w:t>
      </w:r>
      <w:r w:rsidRPr="00251B17">
        <w:rPr>
          <w:rFonts w:ascii="Arial" w:hAnsi="Arial" w:cs="Arial"/>
          <w:sz w:val="22"/>
          <w:szCs w:val="22"/>
        </w:rPr>
        <w:t xml:space="preserve"> NRC issues.  </w:t>
      </w:r>
      <w:r w:rsidR="006E33ED">
        <w:rPr>
          <w:rFonts w:ascii="Arial" w:hAnsi="Arial" w:cs="Arial"/>
          <w:sz w:val="22"/>
          <w:szCs w:val="22"/>
        </w:rPr>
        <w:t>These l</w:t>
      </w:r>
      <w:r w:rsidRPr="00251B17">
        <w:rPr>
          <w:rFonts w:ascii="Arial" w:hAnsi="Arial" w:cs="Arial"/>
          <w:sz w:val="22"/>
          <w:szCs w:val="22"/>
        </w:rPr>
        <w:t xml:space="preserve">icensees provide the majority of </w:t>
      </w:r>
      <w:r w:rsidR="00EA20F3">
        <w:rPr>
          <w:rFonts w:ascii="Arial" w:hAnsi="Arial" w:cs="Arial"/>
          <w:sz w:val="22"/>
          <w:szCs w:val="22"/>
        </w:rPr>
        <w:t xml:space="preserve">the </w:t>
      </w:r>
      <w:r w:rsidRPr="00251B17">
        <w:rPr>
          <w:rFonts w:ascii="Arial" w:hAnsi="Arial" w:cs="Arial"/>
          <w:sz w:val="22"/>
          <w:szCs w:val="22"/>
        </w:rPr>
        <w:t>reports, but other</w:t>
      </w:r>
      <w:r w:rsidR="006A79A4">
        <w:rPr>
          <w:rFonts w:ascii="Arial" w:hAnsi="Arial" w:cs="Arial"/>
          <w:sz w:val="22"/>
          <w:szCs w:val="22"/>
        </w:rPr>
        <w:t xml:space="preserve"> NRC</w:t>
      </w:r>
      <w:r w:rsidRPr="00251B17">
        <w:rPr>
          <w:rFonts w:ascii="Arial" w:hAnsi="Arial" w:cs="Arial"/>
          <w:sz w:val="22"/>
          <w:szCs w:val="22"/>
        </w:rPr>
        <w:t xml:space="preserve"> </w:t>
      </w:r>
      <w:r w:rsidR="006A79A4">
        <w:rPr>
          <w:rFonts w:ascii="Arial" w:hAnsi="Arial" w:cs="Arial"/>
          <w:sz w:val="22"/>
          <w:szCs w:val="22"/>
        </w:rPr>
        <w:t xml:space="preserve">licensed </w:t>
      </w:r>
      <w:r w:rsidRPr="00251B17">
        <w:rPr>
          <w:rFonts w:ascii="Arial" w:hAnsi="Arial" w:cs="Arial"/>
          <w:sz w:val="22"/>
          <w:szCs w:val="22"/>
        </w:rPr>
        <w:t xml:space="preserve">entities that may voluntarily send reports include fuel facilities, independent spent fuel storage installations, decommissioned power reactors, power reactors under construction, research and test reactors, agreement </w:t>
      </w:r>
      <w:r w:rsidR="00FA2AC7">
        <w:rPr>
          <w:rFonts w:ascii="Arial" w:hAnsi="Arial" w:cs="Arial"/>
          <w:sz w:val="22"/>
          <w:szCs w:val="22"/>
        </w:rPr>
        <w:t>S</w:t>
      </w:r>
      <w:r w:rsidRPr="00251B17">
        <w:rPr>
          <w:rFonts w:ascii="Arial" w:hAnsi="Arial" w:cs="Arial"/>
          <w:sz w:val="22"/>
          <w:szCs w:val="22"/>
        </w:rPr>
        <w:t xml:space="preserve">tates, non-agreement </w:t>
      </w:r>
      <w:r w:rsidR="00FA2AC7">
        <w:rPr>
          <w:rFonts w:ascii="Arial" w:hAnsi="Arial" w:cs="Arial"/>
          <w:sz w:val="22"/>
          <w:szCs w:val="22"/>
        </w:rPr>
        <w:t>S</w:t>
      </w:r>
      <w:r w:rsidRPr="00251B17">
        <w:rPr>
          <w:rFonts w:ascii="Arial" w:hAnsi="Arial" w:cs="Arial"/>
          <w:sz w:val="22"/>
          <w:szCs w:val="22"/>
        </w:rPr>
        <w:t xml:space="preserve">tates, as well as </w:t>
      </w:r>
      <w:r w:rsidRPr="00251B17" w:rsidR="005B753C">
        <w:rPr>
          <w:rFonts w:ascii="Arial" w:hAnsi="Arial" w:cs="Arial"/>
          <w:sz w:val="22"/>
          <w:szCs w:val="22"/>
        </w:rPr>
        <w:t>users of byproduct material (e.g.</w:t>
      </w:r>
      <w:r w:rsidRPr="00251B17" w:rsidR="001619A7">
        <w:rPr>
          <w:rFonts w:ascii="Arial" w:hAnsi="Arial" w:cs="Arial"/>
          <w:sz w:val="22"/>
          <w:szCs w:val="22"/>
        </w:rPr>
        <w:t>,</w:t>
      </w:r>
      <w:r w:rsidRPr="00251B17" w:rsidR="005B753C">
        <w:rPr>
          <w:rFonts w:ascii="Arial" w:hAnsi="Arial" w:cs="Arial"/>
          <w:sz w:val="22"/>
          <w:szCs w:val="22"/>
        </w:rPr>
        <w:t xml:space="preserve"> </w:t>
      </w:r>
      <w:r w:rsidRPr="00251B17">
        <w:rPr>
          <w:rFonts w:ascii="Arial" w:hAnsi="Arial" w:cs="Arial"/>
          <w:sz w:val="22"/>
          <w:szCs w:val="22"/>
        </w:rPr>
        <w:t xml:space="preserve">departments of health, medical centers, </w:t>
      </w:r>
      <w:r w:rsidRPr="00251B17" w:rsidR="00686594">
        <w:rPr>
          <w:rFonts w:ascii="Arial" w:hAnsi="Arial" w:cs="Arial"/>
          <w:sz w:val="22"/>
          <w:szCs w:val="22"/>
        </w:rPr>
        <w:t xml:space="preserve">universities, </w:t>
      </w:r>
      <w:r w:rsidRPr="00251B17">
        <w:rPr>
          <w:rFonts w:ascii="Arial" w:hAnsi="Arial" w:cs="Arial"/>
          <w:sz w:val="22"/>
          <w:szCs w:val="22"/>
        </w:rPr>
        <w:t>steel mills,</w:t>
      </w:r>
      <w:r w:rsidRPr="00251B17" w:rsidR="005B753C">
        <w:rPr>
          <w:rFonts w:ascii="Arial" w:hAnsi="Arial" w:cs="Arial"/>
          <w:sz w:val="22"/>
          <w:szCs w:val="22"/>
        </w:rPr>
        <w:t xml:space="preserve"> well loggers,</w:t>
      </w:r>
      <w:r w:rsidRPr="00251B17">
        <w:rPr>
          <w:rFonts w:ascii="Arial" w:hAnsi="Arial" w:cs="Arial"/>
          <w:sz w:val="22"/>
          <w:szCs w:val="22"/>
        </w:rPr>
        <w:t xml:space="preserve"> and radiographers</w:t>
      </w:r>
      <w:r w:rsidR="00FA2AC7">
        <w:rPr>
          <w:rFonts w:ascii="Arial" w:hAnsi="Arial" w:cs="Arial"/>
          <w:sz w:val="22"/>
          <w:szCs w:val="22"/>
        </w:rPr>
        <w:t>).</w:t>
      </w:r>
      <w:r w:rsidRPr="00251B17">
        <w:rPr>
          <w:rFonts w:ascii="Arial" w:hAnsi="Arial" w:cs="Arial"/>
          <w:sz w:val="22"/>
          <w:szCs w:val="22"/>
        </w:rPr>
        <w:t xml:space="preserve">  Each report that </w:t>
      </w:r>
      <w:r w:rsidRPr="00251B17" w:rsidR="00E42233">
        <w:rPr>
          <w:rFonts w:ascii="Arial" w:hAnsi="Arial" w:cs="Arial"/>
          <w:sz w:val="22"/>
          <w:szCs w:val="22"/>
        </w:rPr>
        <w:t xml:space="preserve">the </w:t>
      </w:r>
      <w:r w:rsidRPr="00251B17">
        <w:rPr>
          <w:rFonts w:ascii="Arial" w:hAnsi="Arial" w:cs="Arial"/>
          <w:sz w:val="22"/>
          <w:szCs w:val="22"/>
        </w:rPr>
        <w:t>NRC receives provides details about a specific security incident that occur</w:t>
      </w:r>
      <w:r w:rsidR="00EA20F3">
        <w:rPr>
          <w:rFonts w:ascii="Arial" w:hAnsi="Arial" w:cs="Arial"/>
          <w:sz w:val="22"/>
          <w:szCs w:val="22"/>
        </w:rPr>
        <w:t>s</w:t>
      </w:r>
      <w:r w:rsidRPr="00251B17">
        <w:rPr>
          <w:rFonts w:ascii="Arial" w:hAnsi="Arial" w:cs="Arial"/>
          <w:sz w:val="22"/>
          <w:szCs w:val="22"/>
        </w:rPr>
        <w:t xml:space="preserve"> (e.g., suspicious person, suspicious activity, flyovers) and the actions that the reporting organization is taking to address the incident.</w:t>
      </w:r>
    </w:p>
    <w:p w:rsidRPr="00251B17" w:rsidR="0078488D" w:rsidP="001619A7" w:rsidRDefault="0078488D" w14:paraId="5BFA325A" w14:textId="77777777">
      <w:pPr>
        <w:rPr>
          <w:rFonts w:ascii="Arial" w:hAnsi="Arial" w:cs="Arial"/>
          <w:sz w:val="22"/>
          <w:szCs w:val="22"/>
        </w:rPr>
      </w:pPr>
    </w:p>
    <w:p w:rsidRPr="00251B17" w:rsidR="0078488D" w:rsidP="001619A7" w:rsidRDefault="0078488D" w14:paraId="286A9BF6" w14:textId="77777777">
      <w:pPr>
        <w:widowControl w:val="0"/>
        <w:numPr>
          <w:ilvl w:val="0"/>
          <w:numId w:val="8"/>
        </w:numPr>
        <w:rPr>
          <w:rFonts w:ascii="Arial" w:hAnsi="Arial" w:cs="Arial"/>
          <w:sz w:val="22"/>
          <w:szCs w:val="22"/>
        </w:rPr>
      </w:pPr>
      <w:r w:rsidRPr="00251B17">
        <w:rPr>
          <w:rFonts w:ascii="Arial" w:hAnsi="Arial" w:cs="Arial"/>
          <w:sz w:val="22"/>
          <w:szCs w:val="22"/>
        </w:rPr>
        <w:t>JUSTIFICATION</w:t>
      </w:r>
    </w:p>
    <w:p w:rsidRPr="00251B17" w:rsidR="00B20A87" w:rsidP="001619A7" w:rsidRDefault="00B20A87" w14:paraId="6E3B016C" w14:textId="77777777">
      <w:pPr>
        <w:widowControl w:val="0"/>
        <w:ind w:left="360"/>
        <w:rPr>
          <w:rFonts w:ascii="Arial" w:hAnsi="Arial" w:cs="Arial"/>
          <w:sz w:val="22"/>
          <w:szCs w:val="22"/>
        </w:rPr>
      </w:pPr>
    </w:p>
    <w:p w:rsidRPr="00251B17" w:rsidR="0078488D" w:rsidP="001619A7" w:rsidRDefault="0078488D" w14:paraId="68B2707C" w14:textId="7E0CD101">
      <w:pPr>
        <w:widowControl w:val="0"/>
        <w:numPr>
          <w:ilvl w:val="0"/>
          <w:numId w:val="9"/>
        </w:numPr>
        <w:rPr>
          <w:rFonts w:ascii="Arial" w:hAnsi="Arial" w:cs="Arial"/>
          <w:sz w:val="22"/>
          <w:szCs w:val="22"/>
          <w:u w:val="single"/>
        </w:rPr>
      </w:pPr>
      <w:r w:rsidRPr="00251B17">
        <w:rPr>
          <w:rFonts w:ascii="Arial" w:hAnsi="Arial" w:cs="Arial"/>
          <w:sz w:val="22"/>
          <w:szCs w:val="22"/>
          <w:u w:val="single"/>
        </w:rPr>
        <w:t xml:space="preserve">Need </w:t>
      </w:r>
      <w:r w:rsidR="00FA2AC7">
        <w:rPr>
          <w:rFonts w:ascii="Arial" w:hAnsi="Arial" w:cs="Arial"/>
          <w:sz w:val="22"/>
          <w:szCs w:val="22"/>
          <w:u w:val="single"/>
        </w:rPr>
        <w:t>f</w:t>
      </w:r>
      <w:r w:rsidRPr="00251B17">
        <w:rPr>
          <w:rFonts w:ascii="Arial" w:hAnsi="Arial" w:cs="Arial"/>
          <w:sz w:val="22"/>
          <w:szCs w:val="22"/>
          <w:u w:val="single"/>
        </w:rPr>
        <w:t>or and Practical Utility of the Collection of Information</w:t>
      </w:r>
    </w:p>
    <w:p w:rsidRPr="00251B17" w:rsidR="0078488D" w:rsidP="001619A7" w:rsidRDefault="0078488D" w14:paraId="209246C0" w14:textId="77777777">
      <w:pPr>
        <w:ind w:left="720"/>
        <w:rPr>
          <w:rFonts w:ascii="Arial" w:hAnsi="Arial" w:cs="Arial"/>
          <w:sz w:val="22"/>
          <w:szCs w:val="22"/>
        </w:rPr>
      </w:pPr>
    </w:p>
    <w:p w:rsidRPr="00251B17" w:rsidR="001B3F42" w:rsidP="001619A7" w:rsidRDefault="001B3F42" w14:paraId="15A66721" w14:textId="413FE94C">
      <w:pPr>
        <w:ind w:left="1080"/>
        <w:rPr>
          <w:rFonts w:ascii="Arial" w:hAnsi="Arial" w:cs="Arial"/>
          <w:sz w:val="22"/>
          <w:szCs w:val="22"/>
        </w:rPr>
      </w:pPr>
      <w:r w:rsidRPr="00251B17">
        <w:rPr>
          <w:rFonts w:ascii="Arial" w:hAnsi="Arial" w:cs="Arial"/>
          <w:sz w:val="22"/>
          <w:szCs w:val="22"/>
        </w:rPr>
        <w:t xml:space="preserve">The mission of the NRC is to regulate nuclear reactors, materials, and waste facilities in a manner that protects the health and safety of the public, promotes the common defense and security, and protects the environment.  Security at nuclear facilities across the country has long been the subject of NRC regulatory oversight.  </w:t>
      </w:r>
    </w:p>
    <w:p w:rsidRPr="00251B17" w:rsidR="001B3F42" w:rsidP="001619A7" w:rsidRDefault="001B3F42" w14:paraId="2BCF1509" w14:textId="77777777">
      <w:pPr>
        <w:ind w:left="1080"/>
        <w:rPr>
          <w:rFonts w:ascii="Arial" w:hAnsi="Arial" w:cs="Arial"/>
          <w:sz w:val="22"/>
          <w:szCs w:val="22"/>
        </w:rPr>
      </w:pPr>
    </w:p>
    <w:p w:rsidRPr="00251B17" w:rsidR="001B3F42" w:rsidP="001619A7" w:rsidRDefault="001B3F42" w14:paraId="4266CF03" w14:textId="77777777">
      <w:pPr>
        <w:ind w:left="1080"/>
        <w:rPr>
          <w:rFonts w:ascii="Arial" w:hAnsi="Arial" w:cs="Arial"/>
          <w:sz w:val="22"/>
          <w:szCs w:val="22"/>
        </w:rPr>
      </w:pPr>
      <w:r w:rsidRPr="00251B17">
        <w:rPr>
          <w:rFonts w:ascii="Arial" w:hAnsi="Arial" w:cs="Arial"/>
          <w:sz w:val="22"/>
          <w:szCs w:val="22"/>
        </w:rPr>
        <w:t>The terrorist attacks on the U.S. on September 11, 2001, brought to light a new and more immediate threat to our country.  All custodians of the Nation’s critical infrastructure needed to reconsider decisions made earlier about the adequacy of security at the facilities under their charge.  To cope with these changes in the threat environment, the NRC undertook a reassessment of its safeguards and security programs to identify prompt actions and long-term enhancements that would raise the level of security at the nuclear facilities across the country.</w:t>
      </w:r>
    </w:p>
    <w:p w:rsidRPr="00251B17" w:rsidR="0078488D" w:rsidP="001619A7" w:rsidRDefault="0078488D" w14:paraId="5E2C6B54" w14:textId="77777777">
      <w:pPr>
        <w:rPr>
          <w:rFonts w:ascii="Arial" w:hAnsi="Arial" w:cs="Arial"/>
          <w:color w:val="000000"/>
          <w:sz w:val="22"/>
          <w:szCs w:val="22"/>
        </w:rPr>
      </w:pPr>
    </w:p>
    <w:p w:rsidRPr="00251B17" w:rsidR="001B3F42" w:rsidP="001619A7" w:rsidRDefault="001B3F42" w14:paraId="76D5C2B2" w14:textId="15D9F6C5">
      <w:pPr>
        <w:ind w:left="1080"/>
        <w:rPr>
          <w:rFonts w:ascii="Arial" w:hAnsi="Arial" w:cs="Arial"/>
          <w:color w:val="000000"/>
          <w:sz w:val="22"/>
          <w:szCs w:val="22"/>
        </w:rPr>
      </w:pPr>
      <w:r w:rsidRPr="00251B17">
        <w:rPr>
          <w:rFonts w:ascii="Arial" w:hAnsi="Arial" w:cs="Arial"/>
          <w:color w:val="000000"/>
          <w:sz w:val="22"/>
          <w:szCs w:val="22"/>
        </w:rPr>
        <w:t>The PWS fulfills a valuable need in relation to the Nationwide Suspicious Activity Reporting (SAR) Initiative which began in 2008.</w:t>
      </w:r>
      <w:r w:rsidRPr="00251B17" w:rsidR="006507E8">
        <w:rPr>
          <w:rFonts w:ascii="Arial" w:hAnsi="Arial" w:cs="Arial"/>
          <w:color w:val="000000"/>
          <w:sz w:val="22"/>
          <w:szCs w:val="22"/>
        </w:rPr>
        <w:t xml:space="preserve">  </w:t>
      </w:r>
      <w:r w:rsidRPr="00251B17">
        <w:rPr>
          <w:rFonts w:ascii="Arial" w:hAnsi="Arial" w:cs="Arial"/>
          <w:color w:val="000000"/>
          <w:sz w:val="22"/>
          <w:szCs w:val="22"/>
        </w:rPr>
        <w:t>PWS is the NRC’s contribution to this important national initiative to centralize suspicious activity reporting in the interest of assessing national trends across industries and critical infrastructure.</w:t>
      </w:r>
    </w:p>
    <w:p w:rsidRPr="00251B17" w:rsidR="001B3F42" w:rsidP="001619A7" w:rsidRDefault="001B3F42" w14:paraId="019B249F" w14:textId="77777777">
      <w:pPr>
        <w:ind w:left="1080"/>
        <w:rPr>
          <w:rFonts w:ascii="Arial" w:hAnsi="Arial" w:cs="Arial"/>
          <w:sz w:val="22"/>
          <w:szCs w:val="22"/>
        </w:rPr>
      </w:pPr>
    </w:p>
    <w:p w:rsidRPr="00251B17" w:rsidR="0078488D" w:rsidP="001619A7" w:rsidRDefault="0078488D" w14:paraId="691E4B62" w14:textId="3F1A207A">
      <w:pPr>
        <w:ind w:left="1080"/>
        <w:rPr>
          <w:rFonts w:ascii="Arial" w:hAnsi="Arial" w:cs="Arial"/>
          <w:sz w:val="22"/>
          <w:szCs w:val="22"/>
        </w:rPr>
      </w:pPr>
      <w:r w:rsidRPr="00251B17">
        <w:rPr>
          <w:rFonts w:ascii="Arial" w:hAnsi="Arial" w:cs="Arial"/>
          <w:sz w:val="22"/>
          <w:szCs w:val="22"/>
        </w:rPr>
        <w:lastRenderedPageBreak/>
        <w:t xml:space="preserve">NRC licensees are encouraged to report suspicious activity, as outlined </w:t>
      </w:r>
      <w:r w:rsidRPr="00251B17" w:rsidR="00321342">
        <w:rPr>
          <w:rFonts w:ascii="Arial" w:hAnsi="Arial" w:cs="Arial"/>
          <w:sz w:val="22"/>
          <w:szCs w:val="22"/>
        </w:rPr>
        <w:t xml:space="preserve">in </w:t>
      </w:r>
      <w:r w:rsidRPr="00251B17">
        <w:rPr>
          <w:rFonts w:ascii="Arial" w:hAnsi="Arial" w:cs="Arial"/>
          <w:sz w:val="22"/>
          <w:szCs w:val="22"/>
        </w:rPr>
        <w:t>the 2005 Department of Homeland Security (DHS)/Federal Bureau of Investigation (FBI) suspicious activity reporting guide</w:t>
      </w:r>
      <w:r w:rsidRPr="00251B17">
        <w:rPr>
          <w:rStyle w:val="FootnoteReference"/>
          <w:rFonts w:ascii="Arial" w:hAnsi="Arial" w:cs="Arial"/>
          <w:sz w:val="22"/>
          <w:szCs w:val="22"/>
        </w:rPr>
        <w:footnoteReference w:customMarkFollows="1" w:id="1"/>
        <w:t>[1]</w:t>
      </w:r>
      <w:r w:rsidRPr="00251B17">
        <w:rPr>
          <w:rFonts w:ascii="Arial" w:hAnsi="Arial" w:cs="Arial"/>
          <w:sz w:val="22"/>
          <w:szCs w:val="22"/>
        </w:rPr>
        <w:t xml:space="preserve"> and the 2009 DHS cyber-security recommended practice guide</w:t>
      </w:r>
      <w:r w:rsidR="0081059F">
        <w:rPr>
          <w:rFonts w:ascii="Arial" w:hAnsi="Arial" w:cs="Arial"/>
          <w:sz w:val="22"/>
          <w:szCs w:val="22"/>
        </w:rPr>
        <w:t>.</w:t>
      </w:r>
      <w:r w:rsidRPr="00251B17">
        <w:rPr>
          <w:rStyle w:val="FootnoteReference"/>
          <w:rFonts w:ascii="Arial" w:hAnsi="Arial" w:cs="Arial"/>
          <w:sz w:val="22"/>
          <w:szCs w:val="22"/>
        </w:rPr>
        <w:footnoteReference w:customMarkFollows="1" w:id="2"/>
        <w:t>[2]</w:t>
      </w:r>
      <w:r w:rsidRPr="00251B17" w:rsidR="00531060">
        <w:rPr>
          <w:rFonts w:ascii="Arial" w:hAnsi="Arial" w:cs="Arial"/>
          <w:sz w:val="22"/>
          <w:szCs w:val="22"/>
        </w:rPr>
        <w:t xml:space="preserve"> </w:t>
      </w:r>
      <w:r w:rsidRPr="00251B17" w:rsidR="00836CA3">
        <w:rPr>
          <w:rFonts w:ascii="Arial" w:hAnsi="Arial" w:cs="Arial"/>
          <w:sz w:val="22"/>
          <w:szCs w:val="22"/>
        </w:rPr>
        <w:t xml:space="preserve"> </w:t>
      </w:r>
      <w:r w:rsidRPr="00251B17" w:rsidR="00357B0D">
        <w:rPr>
          <w:rFonts w:ascii="Arial" w:hAnsi="Arial" w:cs="Arial"/>
          <w:sz w:val="22"/>
          <w:szCs w:val="22"/>
        </w:rPr>
        <w:t xml:space="preserve">The </w:t>
      </w:r>
      <w:r w:rsidRPr="00251B17" w:rsidR="00531060">
        <w:rPr>
          <w:rFonts w:ascii="Arial" w:hAnsi="Arial" w:cs="Arial"/>
          <w:sz w:val="22"/>
          <w:szCs w:val="22"/>
        </w:rPr>
        <w:t>NRC has also issued two information advisories</w:t>
      </w:r>
      <w:r w:rsidRPr="00251B17" w:rsidR="006D3BEA">
        <w:rPr>
          <w:rFonts w:ascii="Arial" w:hAnsi="Arial" w:cs="Arial"/>
          <w:sz w:val="22"/>
          <w:szCs w:val="22"/>
        </w:rPr>
        <w:t xml:space="preserve"> (IAs)</w:t>
      </w:r>
      <w:r w:rsidRPr="00251B17" w:rsidR="00531060">
        <w:rPr>
          <w:rFonts w:ascii="Arial" w:hAnsi="Arial" w:cs="Arial"/>
          <w:sz w:val="22"/>
          <w:szCs w:val="22"/>
        </w:rPr>
        <w:t xml:space="preserve"> providing guidance on suspicious </w:t>
      </w:r>
      <w:r w:rsidRPr="00251B17" w:rsidR="00357B0D">
        <w:rPr>
          <w:rFonts w:ascii="Arial" w:hAnsi="Arial" w:cs="Arial"/>
          <w:sz w:val="22"/>
          <w:szCs w:val="22"/>
        </w:rPr>
        <w:t>activity</w:t>
      </w:r>
      <w:r w:rsidRPr="00251B17" w:rsidR="00531060">
        <w:rPr>
          <w:rFonts w:ascii="Arial" w:hAnsi="Arial" w:cs="Arial"/>
          <w:sz w:val="22"/>
          <w:szCs w:val="22"/>
        </w:rPr>
        <w:t xml:space="preserve"> reporting: </w:t>
      </w:r>
      <w:r w:rsidR="0081059F">
        <w:rPr>
          <w:rFonts w:ascii="Arial" w:hAnsi="Arial" w:cs="Arial"/>
          <w:sz w:val="22"/>
          <w:szCs w:val="22"/>
        </w:rPr>
        <w:t xml:space="preserve"> </w:t>
      </w:r>
      <w:r w:rsidRPr="00251B17" w:rsidR="00531060">
        <w:rPr>
          <w:rFonts w:ascii="Arial" w:hAnsi="Arial" w:cs="Arial"/>
          <w:sz w:val="22"/>
          <w:szCs w:val="22"/>
        </w:rPr>
        <w:t>IA-04-08</w:t>
      </w:r>
      <w:r w:rsidRPr="00251B17" w:rsidR="00531060">
        <w:rPr>
          <w:rStyle w:val="FootnoteReference"/>
          <w:rFonts w:ascii="Arial" w:hAnsi="Arial" w:cs="Arial"/>
          <w:sz w:val="22"/>
          <w:szCs w:val="22"/>
        </w:rPr>
        <w:footnoteReference w:customMarkFollows="1" w:id="3"/>
        <w:t>[3]</w:t>
      </w:r>
      <w:r w:rsidRPr="00251B17" w:rsidR="00531060">
        <w:rPr>
          <w:rFonts w:ascii="Arial" w:hAnsi="Arial" w:cs="Arial"/>
          <w:sz w:val="22"/>
          <w:szCs w:val="22"/>
        </w:rPr>
        <w:t xml:space="preserve"> and IA-13-01</w:t>
      </w:r>
      <w:r w:rsidR="0081059F">
        <w:rPr>
          <w:rFonts w:ascii="Arial" w:hAnsi="Arial" w:cs="Arial"/>
          <w:sz w:val="22"/>
          <w:szCs w:val="22"/>
        </w:rPr>
        <w:t>.</w:t>
      </w:r>
      <w:r w:rsidRPr="00251B17" w:rsidR="00531060">
        <w:rPr>
          <w:rStyle w:val="FootnoteReference"/>
          <w:rFonts w:ascii="Arial" w:hAnsi="Arial" w:cs="Arial"/>
          <w:sz w:val="22"/>
          <w:szCs w:val="22"/>
        </w:rPr>
        <w:footnoteReference w:customMarkFollows="1" w:id="4"/>
        <w:t>[4]</w:t>
      </w:r>
    </w:p>
    <w:p w:rsidRPr="00251B17" w:rsidR="001B3F42" w:rsidP="001619A7" w:rsidRDefault="001B3F42" w14:paraId="6FD67B6B" w14:textId="77777777">
      <w:pPr>
        <w:ind w:left="1080"/>
        <w:rPr>
          <w:rFonts w:ascii="Arial" w:hAnsi="Arial" w:cs="Arial"/>
          <w:sz w:val="22"/>
          <w:szCs w:val="22"/>
        </w:rPr>
      </w:pPr>
    </w:p>
    <w:p w:rsidRPr="00251B17" w:rsidR="001B3F42" w:rsidP="001619A7" w:rsidRDefault="001B3F42" w14:paraId="1249B515" w14:textId="65672372">
      <w:pPr>
        <w:ind w:left="1080"/>
        <w:rPr>
          <w:rFonts w:ascii="Arial" w:hAnsi="Arial" w:cs="Arial"/>
          <w:sz w:val="22"/>
          <w:szCs w:val="22"/>
        </w:rPr>
      </w:pPr>
      <w:r w:rsidRPr="00251B17">
        <w:rPr>
          <w:rFonts w:ascii="Arial" w:hAnsi="Arial" w:cs="Arial"/>
          <w:sz w:val="22"/>
          <w:szCs w:val="22"/>
        </w:rPr>
        <w:t>These reports con</w:t>
      </w:r>
      <w:r w:rsidR="00EA20F3">
        <w:rPr>
          <w:rFonts w:ascii="Arial" w:hAnsi="Arial" w:cs="Arial"/>
          <w:sz w:val="22"/>
          <w:szCs w:val="22"/>
        </w:rPr>
        <w:t>tain</w:t>
      </w:r>
      <w:r w:rsidRPr="00251B17">
        <w:rPr>
          <w:rFonts w:ascii="Arial" w:hAnsi="Arial" w:cs="Arial"/>
          <w:sz w:val="22"/>
          <w:szCs w:val="22"/>
        </w:rPr>
        <w:t xml:space="preserve"> sensitive information and are </w:t>
      </w:r>
      <w:r w:rsidR="00EA20F3">
        <w:rPr>
          <w:rFonts w:ascii="Arial" w:hAnsi="Arial" w:cs="Arial"/>
          <w:sz w:val="22"/>
          <w:szCs w:val="22"/>
        </w:rPr>
        <w:t>not publicly available</w:t>
      </w:r>
      <w:r w:rsidRPr="00251B17">
        <w:rPr>
          <w:rFonts w:ascii="Arial" w:hAnsi="Arial" w:cs="Arial"/>
          <w:sz w:val="22"/>
          <w:szCs w:val="22"/>
        </w:rPr>
        <w:t xml:space="preserve">.  This </w:t>
      </w:r>
      <w:r w:rsidR="00EA20F3">
        <w:rPr>
          <w:rFonts w:ascii="Arial" w:hAnsi="Arial" w:cs="Arial"/>
          <w:sz w:val="22"/>
          <w:szCs w:val="22"/>
        </w:rPr>
        <w:t xml:space="preserve">sensitive </w:t>
      </w:r>
      <w:r w:rsidRPr="00251B17">
        <w:rPr>
          <w:rFonts w:ascii="Arial" w:hAnsi="Arial" w:cs="Arial"/>
          <w:sz w:val="22"/>
          <w:szCs w:val="22"/>
        </w:rPr>
        <w:t>information is added to</w:t>
      </w:r>
      <w:r w:rsidR="00FA2AC7">
        <w:rPr>
          <w:rFonts w:ascii="Arial" w:hAnsi="Arial" w:cs="Arial"/>
          <w:sz w:val="22"/>
          <w:szCs w:val="22"/>
        </w:rPr>
        <w:t xml:space="preserve"> the</w:t>
      </w:r>
      <w:r w:rsidRPr="00251B17">
        <w:rPr>
          <w:rFonts w:ascii="Arial" w:hAnsi="Arial" w:cs="Arial"/>
          <w:sz w:val="22"/>
          <w:szCs w:val="22"/>
        </w:rPr>
        <w:t xml:space="preserve"> PWS and shared with authorized nuclear industry officials and Federal, State, and local government agencies.</w:t>
      </w:r>
    </w:p>
    <w:p w:rsidRPr="00251B17" w:rsidR="0078488D" w:rsidP="001619A7" w:rsidRDefault="0078488D" w14:paraId="4A3ECE96" w14:textId="77777777">
      <w:pPr>
        <w:widowControl w:val="0"/>
        <w:rPr>
          <w:rFonts w:ascii="Arial" w:hAnsi="Arial" w:cs="Arial"/>
          <w:sz w:val="22"/>
          <w:szCs w:val="22"/>
          <w:u w:val="single"/>
        </w:rPr>
      </w:pPr>
    </w:p>
    <w:p w:rsidRPr="00251B17" w:rsidR="0078488D" w:rsidP="001619A7" w:rsidRDefault="0078488D" w14:paraId="66881E1E" w14:textId="77777777">
      <w:pPr>
        <w:widowControl w:val="0"/>
        <w:numPr>
          <w:ilvl w:val="0"/>
          <w:numId w:val="9"/>
        </w:numPr>
        <w:rPr>
          <w:rFonts w:ascii="Arial" w:hAnsi="Arial" w:cs="Arial"/>
          <w:sz w:val="22"/>
          <w:szCs w:val="22"/>
          <w:u w:val="single"/>
        </w:rPr>
      </w:pPr>
      <w:r w:rsidRPr="00251B17">
        <w:rPr>
          <w:rFonts w:ascii="Arial" w:hAnsi="Arial" w:cs="Arial"/>
          <w:sz w:val="22"/>
          <w:szCs w:val="22"/>
          <w:u w:val="single"/>
        </w:rPr>
        <w:t>Agency Use of Information</w:t>
      </w:r>
    </w:p>
    <w:p w:rsidRPr="00251B17" w:rsidR="0078488D" w:rsidP="001619A7" w:rsidRDefault="0078488D" w14:paraId="0EF845A2" w14:textId="77777777">
      <w:pPr>
        <w:widowControl w:val="0"/>
        <w:rPr>
          <w:rFonts w:ascii="Arial" w:hAnsi="Arial" w:cs="Arial"/>
          <w:sz w:val="22"/>
          <w:szCs w:val="22"/>
          <w:u w:val="single"/>
        </w:rPr>
      </w:pPr>
    </w:p>
    <w:p w:rsidRPr="00251B17" w:rsidR="0078488D" w:rsidP="001619A7" w:rsidRDefault="0078488D" w14:paraId="65941E6F" w14:textId="7F6AC349">
      <w:pPr>
        <w:widowControl w:val="0"/>
        <w:ind w:left="1080"/>
        <w:rPr>
          <w:rFonts w:ascii="Arial" w:hAnsi="Arial" w:cs="Arial"/>
          <w:sz w:val="22"/>
          <w:szCs w:val="22"/>
        </w:rPr>
      </w:pPr>
      <w:r w:rsidRPr="00251B17">
        <w:rPr>
          <w:rFonts w:ascii="Arial" w:hAnsi="Arial" w:cs="Arial"/>
          <w:sz w:val="22"/>
          <w:szCs w:val="22"/>
        </w:rPr>
        <w:t>Analysts in the NRC’s Office of Nuclear Security and Incident Response (NSIR) review threat-related information to evaluate and assess potential threats to the NRC and its licensees.  Analysts coordinate threat</w:t>
      </w:r>
      <w:r w:rsidRPr="00251B17" w:rsidR="006D3BEA">
        <w:rPr>
          <w:rFonts w:ascii="Arial" w:hAnsi="Arial" w:cs="Arial"/>
          <w:sz w:val="22"/>
          <w:szCs w:val="22"/>
        </w:rPr>
        <w:t>-</w:t>
      </w:r>
      <w:r w:rsidRPr="00251B17">
        <w:rPr>
          <w:rFonts w:ascii="Arial" w:hAnsi="Arial" w:cs="Arial"/>
          <w:sz w:val="22"/>
          <w:szCs w:val="22"/>
        </w:rPr>
        <w:t xml:space="preserve">related information with the FBI, DHS, and other national-level intelligence agencies to assess the level of threat. </w:t>
      </w:r>
      <w:r w:rsidR="00EA20F3">
        <w:rPr>
          <w:rFonts w:ascii="Arial" w:hAnsi="Arial" w:cs="Arial"/>
          <w:sz w:val="22"/>
          <w:szCs w:val="22"/>
        </w:rPr>
        <w:t xml:space="preserve"> </w:t>
      </w:r>
      <w:r w:rsidR="00FA2AC7">
        <w:rPr>
          <w:rFonts w:ascii="Arial" w:hAnsi="Arial" w:cs="Arial"/>
          <w:sz w:val="22"/>
          <w:szCs w:val="22"/>
        </w:rPr>
        <w:t>The</w:t>
      </w:r>
      <w:r w:rsidRPr="00251B17">
        <w:rPr>
          <w:rFonts w:ascii="Arial" w:hAnsi="Arial" w:cs="Arial"/>
          <w:sz w:val="22"/>
          <w:szCs w:val="22"/>
        </w:rPr>
        <w:t xml:space="preserve"> PWS is also used as a vehicle to communicate threat</w:t>
      </w:r>
      <w:r w:rsidRPr="00251B17" w:rsidR="006D3BEA">
        <w:rPr>
          <w:rFonts w:ascii="Arial" w:hAnsi="Arial" w:cs="Arial"/>
          <w:sz w:val="22"/>
          <w:szCs w:val="22"/>
        </w:rPr>
        <w:t>-</w:t>
      </w:r>
      <w:r w:rsidRPr="00251B17">
        <w:rPr>
          <w:rFonts w:ascii="Arial" w:hAnsi="Arial" w:cs="Arial"/>
          <w:sz w:val="22"/>
          <w:szCs w:val="22"/>
        </w:rPr>
        <w:t>related information to NRC licensees.</w:t>
      </w:r>
    </w:p>
    <w:p w:rsidRPr="00251B17" w:rsidR="0078488D" w:rsidP="001619A7" w:rsidRDefault="0078488D" w14:paraId="7E606635" w14:textId="77777777">
      <w:pPr>
        <w:widowControl w:val="0"/>
        <w:rPr>
          <w:rFonts w:ascii="Arial" w:hAnsi="Arial" w:cs="Arial"/>
          <w:sz w:val="22"/>
          <w:szCs w:val="22"/>
          <w:u w:val="single"/>
        </w:rPr>
      </w:pPr>
    </w:p>
    <w:p w:rsidRPr="00251B17" w:rsidR="0078488D" w:rsidP="001619A7" w:rsidRDefault="0078488D" w14:paraId="0A2AF7F3" w14:textId="5B883452">
      <w:pPr>
        <w:widowControl w:val="0"/>
        <w:numPr>
          <w:ilvl w:val="0"/>
          <w:numId w:val="9"/>
        </w:numPr>
        <w:rPr>
          <w:rFonts w:ascii="Arial" w:hAnsi="Arial" w:cs="Arial"/>
          <w:sz w:val="22"/>
          <w:szCs w:val="22"/>
        </w:rPr>
      </w:pPr>
      <w:r w:rsidRPr="00251B17">
        <w:rPr>
          <w:rFonts w:ascii="Arial" w:hAnsi="Arial" w:cs="Arial"/>
          <w:sz w:val="22"/>
          <w:szCs w:val="22"/>
          <w:u w:val="single"/>
        </w:rPr>
        <w:t>Reduction of Burden Through Information Technology</w:t>
      </w:r>
      <w:r w:rsidRPr="00251B17">
        <w:rPr>
          <w:rFonts w:ascii="Arial" w:hAnsi="Arial" w:cs="Arial"/>
          <w:sz w:val="22"/>
          <w:szCs w:val="22"/>
        </w:rPr>
        <w:t xml:space="preserve">  </w:t>
      </w:r>
    </w:p>
    <w:p w:rsidRPr="00251B17" w:rsidR="005F0B5D" w:rsidP="001619A7" w:rsidRDefault="005F0B5D" w14:paraId="2D76E15F" w14:textId="77777777">
      <w:pPr>
        <w:widowControl w:val="0"/>
        <w:ind w:left="1080"/>
        <w:rPr>
          <w:rFonts w:ascii="Arial" w:hAnsi="Arial" w:cs="Arial"/>
          <w:sz w:val="22"/>
          <w:szCs w:val="22"/>
        </w:rPr>
      </w:pPr>
    </w:p>
    <w:p w:rsidRPr="00251B17" w:rsidR="00F31806" w:rsidP="00F31806" w:rsidRDefault="00F31806" w14:paraId="055EC6A4" w14:textId="474D3142">
      <w:pPr>
        <w:pStyle w:val="paragraph"/>
        <w:ind w:left="1080"/>
        <w:textAlignment w:val="baseline"/>
        <w:rPr>
          <w:rFonts w:ascii="Arial" w:hAnsi="Arial" w:cs="Arial"/>
          <w:sz w:val="22"/>
          <w:szCs w:val="22"/>
        </w:rPr>
      </w:pPr>
      <w:r w:rsidRPr="00251B17">
        <w:rPr>
          <w:rStyle w:val="normaltextrun1"/>
          <w:rFonts w:ascii="Arial" w:hAnsi="Arial" w:cs="Arial"/>
          <w:sz w:val="22"/>
          <w:szCs w:val="22"/>
        </w:rPr>
        <w:t xml:space="preserve">There are no legal obstacles to reducing the burden associated with this information collection. </w:t>
      </w:r>
      <w:r w:rsidR="00EA20F3">
        <w:rPr>
          <w:rStyle w:val="normaltextrun1"/>
          <w:rFonts w:ascii="Arial" w:hAnsi="Arial" w:cs="Arial"/>
          <w:sz w:val="22"/>
          <w:szCs w:val="22"/>
        </w:rPr>
        <w:t xml:space="preserve"> </w:t>
      </w:r>
      <w:r w:rsidRPr="00251B17">
        <w:rPr>
          <w:rStyle w:val="normaltextrun1"/>
          <w:rFonts w:ascii="Arial" w:hAnsi="Arial" w:cs="Arial"/>
          <w:sz w:val="22"/>
          <w:szCs w:val="22"/>
        </w:rPr>
        <w:t>The NRC encourages respondents to use information technology when it would be beneficial to them.</w:t>
      </w:r>
    </w:p>
    <w:p w:rsidRPr="00251B17" w:rsidR="000F36BF" w:rsidP="00F31806" w:rsidRDefault="000F36BF" w14:paraId="23F50573" w14:textId="77777777">
      <w:pPr>
        <w:pStyle w:val="paragraph"/>
        <w:ind w:left="1080"/>
        <w:textAlignment w:val="baseline"/>
        <w:rPr>
          <w:rStyle w:val="normaltextrun1"/>
          <w:rFonts w:ascii="Arial" w:hAnsi="Arial" w:cs="Arial"/>
          <w:sz w:val="22"/>
          <w:szCs w:val="22"/>
        </w:rPr>
      </w:pPr>
    </w:p>
    <w:p w:rsidRPr="00251B17" w:rsidR="00F31806" w:rsidP="00F31806" w:rsidRDefault="00F31806" w14:paraId="69569048" w14:textId="2BDA7DDF">
      <w:pPr>
        <w:pStyle w:val="paragraph"/>
        <w:ind w:left="1080"/>
        <w:textAlignment w:val="baseline"/>
        <w:rPr>
          <w:rFonts w:ascii="Arial" w:hAnsi="Arial" w:cs="Arial"/>
          <w:sz w:val="22"/>
          <w:szCs w:val="22"/>
        </w:rPr>
      </w:pPr>
      <w:r w:rsidRPr="00251B17">
        <w:rPr>
          <w:rStyle w:val="normaltextrun1"/>
          <w:rFonts w:ascii="Arial" w:hAnsi="Arial" w:cs="Arial"/>
          <w:sz w:val="22"/>
          <w:szCs w:val="22"/>
        </w:rPr>
        <w:t xml:space="preserve">The NRC issued </w:t>
      </w:r>
      <w:hyperlink w:tgtFrame="_blank" w:history="1" r:id="rId11">
        <w:r w:rsidRPr="00251B17">
          <w:rPr>
            <w:rStyle w:val="normaltextrun1"/>
            <w:rFonts w:ascii="Arial" w:hAnsi="Arial" w:cs="Arial"/>
            <w:i/>
            <w:iCs/>
            <w:color w:val="0000FF"/>
            <w:sz w:val="22"/>
            <w:szCs w:val="22"/>
            <w:u w:val="single"/>
          </w:rPr>
          <w:t>Guidance for Electronic Submissions to the NRC</w:t>
        </w:r>
      </w:hyperlink>
      <w:r w:rsidR="00965A54">
        <w:rPr>
          <w:rStyle w:val="normaltextrun1"/>
          <w:rFonts w:ascii="Arial" w:hAnsi="Arial" w:cs="Arial"/>
          <w:iCs/>
          <w:color w:val="0000FF"/>
          <w:sz w:val="22"/>
          <w:szCs w:val="22"/>
        </w:rPr>
        <w:t>,</w:t>
      </w:r>
      <w:r w:rsidRPr="00251B17">
        <w:rPr>
          <w:rStyle w:val="normaltextrun1"/>
          <w:rFonts w:ascii="Arial" w:hAnsi="Arial" w:cs="Arial"/>
          <w:sz w:val="22"/>
          <w:szCs w:val="22"/>
        </w:rPr>
        <w:t xml:space="preserve"> which provides direction for the electronic transmission and submittal of documents. </w:t>
      </w:r>
      <w:r w:rsidRPr="00251B17" w:rsidR="00613C10">
        <w:rPr>
          <w:rStyle w:val="normaltextrun1"/>
          <w:rFonts w:ascii="Arial" w:hAnsi="Arial" w:cs="Arial"/>
          <w:sz w:val="22"/>
          <w:szCs w:val="22"/>
        </w:rPr>
        <w:t xml:space="preserve"> </w:t>
      </w:r>
      <w:r w:rsidRPr="00251B17">
        <w:rPr>
          <w:rStyle w:val="normaltextrun1"/>
          <w:rFonts w:ascii="Arial" w:hAnsi="Arial" w:cs="Arial"/>
          <w:sz w:val="22"/>
          <w:szCs w:val="22"/>
        </w:rPr>
        <w:t xml:space="preserve">Electronic transmission and submittal of documents can be accomplished via the following avenues: </w:t>
      </w:r>
      <w:r w:rsidRPr="00251B17" w:rsidR="006802D7">
        <w:rPr>
          <w:rStyle w:val="normaltextrun1"/>
          <w:rFonts w:ascii="Arial" w:hAnsi="Arial" w:cs="Arial"/>
          <w:sz w:val="22"/>
          <w:szCs w:val="22"/>
        </w:rPr>
        <w:t xml:space="preserve"> </w:t>
      </w:r>
      <w:proofErr w:type="gramStart"/>
      <w:r w:rsidRPr="00251B17">
        <w:rPr>
          <w:rStyle w:val="normaltextrun1"/>
          <w:rFonts w:ascii="Arial" w:hAnsi="Arial" w:cs="Arial"/>
          <w:sz w:val="22"/>
          <w:szCs w:val="22"/>
        </w:rPr>
        <w:t>the</w:t>
      </w:r>
      <w:proofErr w:type="gramEnd"/>
      <w:r w:rsidRPr="00251B17">
        <w:rPr>
          <w:rStyle w:val="normaltextrun1"/>
          <w:rFonts w:ascii="Arial" w:hAnsi="Arial" w:cs="Arial"/>
          <w:sz w:val="22"/>
          <w:szCs w:val="22"/>
        </w:rPr>
        <w:t xml:space="preserve"> Electronic Information Exchange </w:t>
      </w:r>
      <w:r w:rsidR="00FA2AC7">
        <w:rPr>
          <w:rStyle w:val="normaltextrun1"/>
          <w:rFonts w:ascii="Arial" w:hAnsi="Arial" w:cs="Arial"/>
          <w:sz w:val="22"/>
          <w:szCs w:val="22"/>
        </w:rPr>
        <w:t>p</w:t>
      </w:r>
      <w:r w:rsidRPr="00251B17">
        <w:rPr>
          <w:rStyle w:val="normaltextrun1"/>
          <w:rFonts w:ascii="Arial" w:hAnsi="Arial" w:cs="Arial"/>
          <w:sz w:val="22"/>
          <w:szCs w:val="22"/>
        </w:rPr>
        <w:t>rocess, which is available from the NRC's “Electronic Submittals” Web page</w:t>
      </w:r>
      <w:r w:rsidR="008B7CCD">
        <w:rPr>
          <w:rStyle w:val="normaltextrun1"/>
          <w:rFonts w:ascii="Arial" w:hAnsi="Arial" w:cs="Arial"/>
          <w:sz w:val="22"/>
          <w:szCs w:val="22"/>
        </w:rPr>
        <w:t>;</w:t>
      </w:r>
      <w:r w:rsidRPr="00251B17">
        <w:rPr>
          <w:rStyle w:val="normaltextrun1"/>
          <w:rFonts w:ascii="Arial" w:hAnsi="Arial" w:cs="Arial"/>
          <w:sz w:val="22"/>
          <w:szCs w:val="22"/>
        </w:rPr>
        <w:t xml:space="preserve"> by </w:t>
      </w:r>
      <w:r w:rsidR="008B7CCD">
        <w:rPr>
          <w:rStyle w:val="normaltextrun1"/>
          <w:rFonts w:ascii="Arial" w:hAnsi="Arial" w:cs="Arial"/>
          <w:sz w:val="22"/>
          <w:szCs w:val="22"/>
        </w:rPr>
        <w:t>o</w:t>
      </w:r>
      <w:r w:rsidRPr="00251B17">
        <w:rPr>
          <w:rStyle w:val="normaltextrun1"/>
          <w:rFonts w:ascii="Arial" w:hAnsi="Arial" w:cs="Arial"/>
          <w:sz w:val="22"/>
          <w:szCs w:val="22"/>
        </w:rPr>
        <w:t xml:space="preserve">ptical </w:t>
      </w:r>
      <w:r w:rsidR="008B7CCD">
        <w:rPr>
          <w:rStyle w:val="normaltextrun1"/>
          <w:rFonts w:ascii="Arial" w:hAnsi="Arial" w:cs="Arial"/>
          <w:sz w:val="22"/>
          <w:szCs w:val="22"/>
        </w:rPr>
        <w:t>s</w:t>
      </w:r>
      <w:r w:rsidRPr="00251B17">
        <w:rPr>
          <w:rStyle w:val="normaltextrun1"/>
          <w:rFonts w:ascii="Arial" w:hAnsi="Arial" w:cs="Arial"/>
          <w:sz w:val="22"/>
          <w:szCs w:val="22"/>
        </w:rPr>
        <w:t xml:space="preserve">torage </w:t>
      </w:r>
      <w:r w:rsidR="008B7CCD">
        <w:rPr>
          <w:rStyle w:val="normaltextrun1"/>
          <w:rFonts w:ascii="Arial" w:hAnsi="Arial" w:cs="Arial"/>
          <w:sz w:val="22"/>
          <w:szCs w:val="22"/>
        </w:rPr>
        <w:t>m</w:t>
      </w:r>
      <w:r w:rsidRPr="00251B17">
        <w:rPr>
          <w:rStyle w:val="normaltextrun1"/>
          <w:rFonts w:ascii="Arial" w:hAnsi="Arial" w:cs="Arial"/>
          <w:sz w:val="22"/>
          <w:szCs w:val="22"/>
        </w:rPr>
        <w:t>edia (e.g.</w:t>
      </w:r>
      <w:r w:rsidR="00386DDD">
        <w:rPr>
          <w:rStyle w:val="normaltextrun1"/>
          <w:rFonts w:ascii="Arial" w:hAnsi="Arial" w:cs="Arial"/>
          <w:sz w:val="22"/>
          <w:szCs w:val="22"/>
        </w:rPr>
        <w:t>,</w:t>
      </w:r>
      <w:r w:rsidRPr="00251B17">
        <w:rPr>
          <w:rStyle w:val="normaltextrun1"/>
          <w:rFonts w:ascii="Arial" w:hAnsi="Arial" w:cs="Arial"/>
          <w:sz w:val="22"/>
          <w:szCs w:val="22"/>
        </w:rPr>
        <w:t xml:space="preserve"> CD-ROM, DVD)</w:t>
      </w:r>
      <w:r w:rsidR="00386DDD">
        <w:rPr>
          <w:rStyle w:val="normaltextrun1"/>
          <w:rFonts w:ascii="Arial" w:hAnsi="Arial" w:cs="Arial"/>
          <w:sz w:val="22"/>
          <w:szCs w:val="22"/>
        </w:rPr>
        <w:t>;</w:t>
      </w:r>
      <w:r w:rsidRPr="00251B17">
        <w:rPr>
          <w:rStyle w:val="normaltextrun1"/>
          <w:rFonts w:ascii="Arial" w:hAnsi="Arial" w:cs="Arial"/>
          <w:sz w:val="22"/>
          <w:szCs w:val="22"/>
        </w:rPr>
        <w:t xml:space="preserve"> by facsimile</w:t>
      </w:r>
      <w:r w:rsidR="00386DDD">
        <w:rPr>
          <w:rStyle w:val="normaltextrun1"/>
          <w:rFonts w:ascii="Arial" w:hAnsi="Arial" w:cs="Arial"/>
          <w:sz w:val="22"/>
          <w:szCs w:val="22"/>
        </w:rPr>
        <w:t>;</w:t>
      </w:r>
      <w:r w:rsidRPr="00251B17">
        <w:rPr>
          <w:rStyle w:val="normaltextrun1"/>
          <w:rFonts w:ascii="Arial" w:hAnsi="Arial" w:cs="Arial"/>
          <w:sz w:val="22"/>
          <w:szCs w:val="22"/>
        </w:rPr>
        <w:t xml:space="preserve"> </w:t>
      </w:r>
      <w:r w:rsidR="00EA20F3">
        <w:rPr>
          <w:rStyle w:val="normaltextrun1"/>
          <w:rFonts w:ascii="Arial" w:hAnsi="Arial" w:cs="Arial"/>
          <w:sz w:val="22"/>
          <w:szCs w:val="22"/>
        </w:rPr>
        <w:t xml:space="preserve">by telephone; </w:t>
      </w:r>
      <w:r w:rsidRPr="00251B17">
        <w:rPr>
          <w:rStyle w:val="normaltextrun1"/>
          <w:rFonts w:ascii="Arial" w:hAnsi="Arial" w:cs="Arial"/>
          <w:sz w:val="22"/>
          <w:szCs w:val="22"/>
        </w:rPr>
        <w:t xml:space="preserve">or by e-mail. </w:t>
      </w:r>
      <w:r w:rsidRPr="00251B17" w:rsidR="00AC4C05">
        <w:rPr>
          <w:rStyle w:val="normaltextrun1"/>
          <w:rFonts w:ascii="Arial" w:hAnsi="Arial" w:cs="Arial"/>
          <w:sz w:val="22"/>
          <w:szCs w:val="22"/>
        </w:rPr>
        <w:t xml:space="preserve"> </w:t>
      </w:r>
      <w:r w:rsidRPr="00251B17">
        <w:rPr>
          <w:rStyle w:val="normaltextrun1"/>
          <w:rFonts w:ascii="Arial" w:hAnsi="Arial" w:cs="Arial"/>
          <w:sz w:val="22"/>
          <w:szCs w:val="22"/>
        </w:rPr>
        <w:t xml:space="preserve">It is estimated that </w:t>
      </w:r>
      <w:r w:rsidRPr="00FA2AC7" w:rsidR="00FA2AC7">
        <w:rPr>
          <w:rStyle w:val="normaltextrun1"/>
          <w:rFonts w:ascii="Arial" w:hAnsi="Arial" w:cs="Arial"/>
          <w:sz w:val="22"/>
          <w:szCs w:val="22"/>
        </w:rPr>
        <w:t>none</w:t>
      </w:r>
      <w:r w:rsidR="00FA2AC7">
        <w:rPr>
          <w:rStyle w:val="normaltextrun1"/>
          <w:rFonts w:ascii="Arial" w:hAnsi="Arial" w:cs="Arial"/>
          <w:sz w:val="22"/>
          <w:szCs w:val="22"/>
        </w:rPr>
        <w:t xml:space="preserve"> </w:t>
      </w:r>
      <w:r w:rsidRPr="00251B17">
        <w:rPr>
          <w:rStyle w:val="normaltextrun1"/>
          <w:rFonts w:ascii="Arial" w:hAnsi="Arial" w:cs="Arial"/>
          <w:sz w:val="22"/>
          <w:szCs w:val="22"/>
        </w:rPr>
        <w:t>of the potential responses</w:t>
      </w:r>
      <w:r w:rsidR="00D11BD4">
        <w:rPr>
          <w:rStyle w:val="normaltextrun1"/>
          <w:rFonts w:ascii="Arial" w:hAnsi="Arial" w:cs="Arial"/>
          <w:sz w:val="22"/>
          <w:szCs w:val="22"/>
        </w:rPr>
        <w:t xml:space="preserve"> (</w:t>
      </w:r>
      <w:r w:rsidR="00427B63">
        <w:rPr>
          <w:rStyle w:val="normaltextrun1"/>
          <w:rFonts w:ascii="Arial" w:hAnsi="Arial" w:cs="Arial"/>
          <w:sz w:val="22"/>
          <w:szCs w:val="22"/>
        </w:rPr>
        <w:t xml:space="preserve">i.e., security reports from </w:t>
      </w:r>
      <w:r w:rsidR="00053A78">
        <w:rPr>
          <w:rStyle w:val="normaltextrun1"/>
          <w:rFonts w:ascii="Arial" w:hAnsi="Arial" w:cs="Arial"/>
          <w:sz w:val="22"/>
          <w:szCs w:val="22"/>
        </w:rPr>
        <w:t xml:space="preserve">NRC </w:t>
      </w:r>
      <w:r w:rsidR="00427B63">
        <w:rPr>
          <w:rStyle w:val="normaltextrun1"/>
          <w:rFonts w:ascii="Arial" w:hAnsi="Arial" w:cs="Arial"/>
          <w:sz w:val="22"/>
          <w:szCs w:val="22"/>
        </w:rPr>
        <w:t>licensees)</w:t>
      </w:r>
      <w:r w:rsidRPr="00251B17">
        <w:rPr>
          <w:rStyle w:val="normaltextrun1"/>
          <w:rFonts w:ascii="Arial" w:hAnsi="Arial" w:cs="Arial"/>
          <w:sz w:val="22"/>
          <w:szCs w:val="22"/>
        </w:rPr>
        <w:t xml:space="preserve"> </w:t>
      </w:r>
      <w:r w:rsidR="00EA20F3">
        <w:rPr>
          <w:rStyle w:val="normaltextrun1"/>
          <w:rFonts w:ascii="Arial" w:hAnsi="Arial" w:cs="Arial"/>
          <w:sz w:val="22"/>
          <w:szCs w:val="22"/>
        </w:rPr>
        <w:t>are</w:t>
      </w:r>
      <w:r w:rsidRPr="00251B17">
        <w:rPr>
          <w:rStyle w:val="normaltextrun1"/>
          <w:rFonts w:ascii="Arial" w:hAnsi="Arial" w:cs="Arial"/>
          <w:sz w:val="22"/>
          <w:szCs w:val="22"/>
        </w:rPr>
        <w:t xml:space="preserve"> filed electronically</w:t>
      </w:r>
      <w:r w:rsidRPr="00251B17" w:rsidR="00157659">
        <w:rPr>
          <w:rStyle w:val="normaltextrun1"/>
          <w:rFonts w:ascii="Arial" w:hAnsi="Arial" w:cs="Arial"/>
          <w:sz w:val="22"/>
          <w:szCs w:val="22"/>
        </w:rPr>
        <w:t xml:space="preserve"> and </w:t>
      </w:r>
      <w:r w:rsidRPr="001A7D4B" w:rsidR="00157659">
        <w:rPr>
          <w:rStyle w:val="normaltextrun1"/>
          <w:rFonts w:ascii="Arial" w:hAnsi="Arial" w:cs="Arial"/>
          <w:sz w:val="22"/>
          <w:szCs w:val="22"/>
        </w:rPr>
        <w:t>100</w:t>
      </w:r>
      <w:r w:rsidR="007E24BA">
        <w:rPr>
          <w:rStyle w:val="normaltextrun1"/>
          <w:rFonts w:ascii="Arial" w:hAnsi="Arial" w:cs="Arial"/>
          <w:sz w:val="22"/>
          <w:szCs w:val="22"/>
        </w:rPr>
        <w:t xml:space="preserve"> percent</w:t>
      </w:r>
      <w:r w:rsidRPr="00251B17" w:rsidR="00157659">
        <w:rPr>
          <w:rStyle w:val="normaltextrun1"/>
          <w:rFonts w:ascii="Arial" w:hAnsi="Arial" w:cs="Arial"/>
          <w:sz w:val="22"/>
          <w:szCs w:val="22"/>
        </w:rPr>
        <w:t xml:space="preserve"> are </w:t>
      </w:r>
      <w:r w:rsidR="00427B63">
        <w:rPr>
          <w:rStyle w:val="normaltextrun1"/>
          <w:rFonts w:ascii="Arial" w:hAnsi="Arial" w:cs="Arial"/>
          <w:sz w:val="22"/>
          <w:szCs w:val="22"/>
        </w:rPr>
        <w:t xml:space="preserve">reported to the NRC </w:t>
      </w:r>
      <w:r w:rsidRPr="00251B17" w:rsidR="00157659">
        <w:rPr>
          <w:rStyle w:val="normaltextrun1"/>
          <w:rFonts w:ascii="Arial" w:hAnsi="Arial" w:cs="Arial"/>
          <w:sz w:val="22"/>
          <w:szCs w:val="22"/>
        </w:rPr>
        <w:t>via telephone.</w:t>
      </w:r>
    </w:p>
    <w:p w:rsidRPr="00251B17" w:rsidR="00F31806" w:rsidP="00F31806" w:rsidRDefault="00F31806" w14:paraId="38EA10B2" w14:textId="77777777">
      <w:pPr>
        <w:pStyle w:val="paragraph"/>
        <w:ind w:left="1080"/>
        <w:textAlignment w:val="baseline"/>
        <w:rPr>
          <w:rFonts w:ascii="Arial" w:hAnsi="Arial" w:cs="Arial"/>
          <w:sz w:val="22"/>
          <w:szCs w:val="22"/>
        </w:rPr>
      </w:pPr>
      <w:r w:rsidRPr="00251B17">
        <w:rPr>
          <w:rStyle w:val="eop"/>
          <w:rFonts w:ascii="Arial" w:hAnsi="Arial" w:cs="Arial"/>
          <w:sz w:val="22"/>
          <w:szCs w:val="22"/>
        </w:rPr>
        <w:t> </w:t>
      </w:r>
    </w:p>
    <w:p w:rsidRPr="00251B17" w:rsidR="0078488D" w:rsidP="001619A7" w:rsidRDefault="0078488D" w14:paraId="413146B0" w14:textId="77777777">
      <w:pPr>
        <w:widowControl w:val="0"/>
        <w:numPr>
          <w:ilvl w:val="0"/>
          <w:numId w:val="9"/>
        </w:numPr>
        <w:rPr>
          <w:rFonts w:ascii="Arial" w:hAnsi="Arial" w:cs="Arial"/>
          <w:sz w:val="22"/>
          <w:szCs w:val="22"/>
          <w:u w:val="single"/>
        </w:rPr>
      </w:pPr>
      <w:r w:rsidRPr="00251B17">
        <w:rPr>
          <w:rFonts w:ascii="Arial" w:hAnsi="Arial" w:cs="Arial"/>
          <w:sz w:val="22"/>
          <w:szCs w:val="22"/>
          <w:u w:val="single"/>
        </w:rPr>
        <w:t>Effort to Identify Duplication and Use Similar Information</w:t>
      </w:r>
    </w:p>
    <w:p w:rsidRPr="00251B17" w:rsidR="0078488D" w:rsidP="001619A7" w:rsidRDefault="0078488D" w14:paraId="1A71AAB4" w14:textId="77777777">
      <w:pPr>
        <w:widowControl w:val="0"/>
        <w:rPr>
          <w:rFonts w:ascii="Arial" w:hAnsi="Arial" w:cs="Arial"/>
          <w:sz w:val="22"/>
          <w:szCs w:val="22"/>
          <w:u w:val="single"/>
        </w:rPr>
      </w:pPr>
    </w:p>
    <w:p w:rsidRPr="00251B17" w:rsidR="0078488D" w:rsidP="001619A7" w:rsidRDefault="0078488D" w14:paraId="15AE69ED" w14:textId="71701489">
      <w:pPr>
        <w:widowControl w:val="0"/>
        <w:ind w:left="1080"/>
        <w:rPr>
          <w:rFonts w:ascii="Arial" w:hAnsi="Arial" w:cs="Arial"/>
          <w:sz w:val="22"/>
          <w:szCs w:val="22"/>
        </w:rPr>
      </w:pPr>
      <w:r w:rsidRPr="00251B17">
        <w:rPr>
          <w:rFonts w:ascii="Arial" w:hAnsi="Arial" w:cs="Arial"/>
          <w:sz w:val="22"/>
          <w:szCs w:val="22"/>
        </w:rPr>
        <w:t xml:space="preserve">No sources of similar information are available.  There is no duplication of requirements.  </w:t>
      </w:r>
    </w:p>
    <w:p w:rsidRPr="00251B17" w:rsidR="0078488D" w:rsidP="001619A7" w:rsidRDefault="0078488D" w14:paraId="5F2254DB" w14:textId="77777777">
      <w:pPr>
        <w:widowControl w:val="0"/>
        <w:rPr>
          <w:rFonts w:ascii="Arial" w:hAnsi="Arial" w:cs="Arial"/>
          <w:sz w:val="22"/>
          <w:szCs w:val="22"/>
          <w:u w:val="single"/>
        </w:rPr>
      </w:pPr>
    </w:p>
    <w:p w:rsidRPr="00251B17" w:rsidR="0078488D" w:rsidP="001619A7" w:rsidRDefault="0078488D" w14:paraId="431E3265" w14:textId="77777777">
      <w:pPr>
        <w:widowControl w:val="0"/>
        <w:numPr>
          <w:ilvl w:val="0"/>
          <w:numId w:val="9"/>
        </w:numPr>
        <w:rPr>
          <w:rFonts w:ascii="Arial" w:hAnsi="Arial" w:cs="Arial"/>
          <w:sz w:val="22"/>
          <w:szCs w:val="22"/>
        </w:rPr>
      </w:pPr>
      <w:r w:rsidRPr="00251B17">
        <w:rPr>
          <w:rFonts w:ascii="Arial" w:hAnsi="Arial" w:cs="Arial"/>
          <w:sz w:val="22"/>
          <w:szCs w:val="22"/>
          <w:u w:val="single"/>
        </w:rPr>
        <w:t>Effort to Reduce Small Business Burden</w:t>
      </w:r>
    </w:p>
    <w:p w:rsidRPr="00251B17" w:rsidR="0078488D" w:rsidP="001619A7" w:rsidRDefault="0078488D" w14:paraId="7880288D" w14:textId="77777777">
      <w:pPr>
        <w:widowControl w:val="0"/>
        <w:rPr>
          <w:rFonts w:ascii="Arial" w:hAnsi="Arial" w:cs="Arial"/>
          <w:sz w:val="22"/>
          <w:szCs w:val="22"/>
          <w:u w:val="single"/>
        </w:rPr>
      </w:pPr>
    </w:p>
    <w:p w:rsidRPr="00251B17" w:rsidR="00496B8C" w:rsidP="001619A7" w:rsidRDefault="00496B8C" w14:paraId="2E1F9C67" w14:textId="781BA588">
      <w:pPr>
        <w:ind w:left="1080"/>
        <w:rPr>
          <w:rFonts w:ascii="Arial" w:hAnsi="Arial" w:cs="Arial"/>
          <w:sz w:val="22"/>
          <w:szCs w:val="22"/>
        </w:rPr>
      </w:pPr>
      <w:r w:rsidRPr="00251B17">
        <w:rPr>
          <w:rFonts w:ascii="Arial" w:hAnsi="Arial" w:cs="Arial"/>
          <w:sz w:val="22"/>
          <w:szCs w:val="22"/>
        </w:rPr>
        <w:t xml:space="preserve">One of the main purposes of this effort is to gather information needed without putting significant additional burden on small businesses. </w:t>
      </w:r>
      <w:r w:rsidRPr="00251B17" w:rsidR="001619A7">
        <w:rPr>
          <w:rFonts w:ascii="Arial" w:hAnsi="Arial" w:cs="Arial"/>
          <w:sz w:val="22"/>
          <w:szCs w:val="22"/>
        </w:rPr>
        <w:t xml:space="preserve"> </w:t>
      </w:r>
      <w:r w:rsidRPr="00251B17">
        <w:rPr>
          <w:rFonts w:ascii="Arial" w:hAnsi="Arial" w:cs="Arial"/>
          <w:sz w:val="22"/>
          <w:szCs w:val="22"/>
        </w:rPr>
        <w:t>Reporting suspicious incidents is voluntary for all respondents</w:t>
      </w:r>
      <w:r w:rsidR="00114322">
        <w:rPr>
          <w:rFonts w:ascii="Arial" w:hAnsi="Arial" w:cs="Arial"/>
          <w:sz w:val="22"/>
          <w:szCs w:val="22"/>
        </w:rPr>
        <w:t>,</w:t>
      </w:r>
      <w:r w:rsidRPr="00251B17">
        <w:rPr>
          <w:rFonts w:ascii="Arial" w:hAnsi="Arial" w:cs="Arial"/>
          <w:sz w:val="22"/>
          <w:szCs w:val="22"/>
        </w:rPr>
        <w:t xml:space="preserve"> and the number of questions on the information collection will be kept to a minimum. </w:t>
      </w:r>
      <w:r w:rsidRPr="00251B17" w:rsidR="001619A7">
        <w:rPr>
          <w:rFonts w:ascii="Arial" w:hAnsi="Arial" w:cs="Arial"/>
          <w:sz w:val="22"/>
          <w:szCs w:val="22"/>
        </w:rPr>
        <w:t xml:space="preserve"> </w:t>
      </w:r>
      <w:r w:rsidRPr="00251B17">
        <w:rPr>
          <w:rFonts w:ascii="Arial" w:hAnsi="Arial" w:cs="Arial"/>
          <w:sz w:val="22"/>
          <w:szCs w:val="22"/>
        </w:rPr>
        <w:t xml:space="preserve">However, small businesses, as well </w:t>
      </w:r>
      <w:r w:rsidRPr="00251B17">
        <w:rPr>
          <w:rFonts w:ascii="Arial" w:hAnsi="Arial" w:cs="Arial"/>
          <w:sz w:val="22"/>
          <w:szCs w:val="22"/>
        </w:rPr>
        <w:lastRenderedPageBreak/>
        <w:t xml:space="preserve">as the </w:t>
      </w:r>
      <w:r w:rsidR="00114322">
        <w:rPr>
          <w:rFonts w:ascii="Arial" w:hAnsi="Arial" w:cs="Arial"/>
          <w:sz w:val="22"/>
          <w:szCs w:val="22"/>
        </w:rPr>
        <w:t>NRC</w:t>
      </w:r>
      <w:r w:rsidRPr="00251B17">
        <w:rPr>
          <w:rFonts w:ascii="Arial" w:hAnsi="Arial" w:cs="Arial"/>
          <w:sz w:val="22"/>
          <w:szCs w:val="22"/>
        </w:rPr>
        <w:t>, will benefit by the government’s increased responsiveness to their needs.</w:t>
      </w:r>
    </w:p>
    <w:p w:rsidRPr="00251B17" w:rsidR="008204DD" w:rsidP="00AB63E7" w:rsidRDefault="008204DD" w14:paraId="68157D37" w14:textId="77777777">
      <w:pPr>
        <w:keepNext/>
        <w:keepLines/>
        <w:ind w:left="1080"/>
        <w:rPr>
          <w:rFonts w:ascii="Arial" w:hAnsi="Arial" w:cs="Arial"/>
          <w:sz w:val="22"/>
          <w:szCs w:val="22"/>
        </w:rPr>
      </w:pPr>
    </w:p>
    <w:p w:rsidRPr="00251B17" w:rsidR="0078488D" w:rsidP="00AB63E7" w:rsidRDefault="0078488D" w14:paraId="49EF919A" w14:textId="6C953C76">
      <w:pPr>
        <w:keepNext/>
        <w:keepLines/>
        <w:widowControl w:val="0"/>
        <w:numPr>
          <w:ilvl w:val="0"/>
          <w:numId w:val="9"/>
        </w:numPr>
        <w:rPr>
          <w:rFonts w:ascii="Arial" w:hAnsi="Arial" w:cs="Arial"/>
          <w:sz w:val="22"/>
          <w:szCs w:val="22"/>
        </w:rPr>
      </w:pPr>
      <w:r w:rsidRPr="00251B17">
        <w:rPr>
          <w:rFonts w:ascii="Arial" w:hAnsi="Arial" w:cs="Arial"/>
          <w:sz w:val="22"/>
          <w:szCs w:val="22"/>
          <w:u w:val="single"/>
        </w:rPr>
        <w:t xml:space="preserve">Consequences to Federal Program or Policy Activities if the Collection </w:t>
      </w:r>
      <w:r w:rsidRPr="00251B17" w:rsidR="006D3BEA">
        <w:rPr>
          <w:rFonts w:ascii="Arial" w:hAnsi="Arial" w:cs="Arial"/>
          <w:sz w:val="22"/>
          <w:szCs w:val="22"/>
          <w:u w:val="single"/>
        </w:rPr>
        <w:t>i</w:t>
      </w:r>
      <w:r w:rsidRPr="00251B17">
        <w:rPr>
          <w:rFonts w:ascii="Arial" w:hAnsi="Arial" w:cs="Arial"/>
          <w:sz w:val="22"/>
          <w:szCs w:val="22"/>
          <w:u w:val="single"/>
        </w:rPr>
        <w:t xml:space="preserve">s Not Conducted or </w:t>
      </w:r>
      <w:r w:rsidRPr="00251B17" w:rsidR="006D3BEA">
        <w:rPr>
          <w:rFonts w:ascii="Arial" w:hAnsi="Arial" w:cs="Arial"/>
          <w:sz w:val="22"/>
          <w:szCs w:val="22"/>
          <w:u w:val="single"/>
        </w:rPr>
        <w:t>i</w:t>
      </w:r>
      <w:r w:rsidRPr="00251B17">
        <w:rPr>
          <w:rFonts w:ascii="Arial" w:hAnsi="Arial" w:cs="Arial"/>
          <w:sz w:val="22"/>
          <w:szCs w:val="22"/>
          <w:u w:val="single"/>
        </w:rPr>
        <w:t>s Conducted Less Frequently</w:t>
      </w:r>
    </w:p>
    <w:p w:rsidRPr="00251B17" w:rsidR="0078488D" w:rsidP="00AB63E7" w:rsidRDefault="0078488D" w14:paraId="06B19C96" w14:textId="77777777">
      <w:pPr>
        <w:keepNext/>
        <w:keepLines/>
        <w:widowControl w:val="0"/>
        <w:rPr>
          <w:rFonts w:ascii="Arial" w:hAnsi="Arial" w:cs="Arial"/>
          <w:sz w:val="22"/>
          <w:szCs w:val="22"/>
        </w:rPr>
      </w:pPr>
    </w:p>
    <w:p w:rsidRPr="00251B17" w:rsidR="00794E1A" w:rsidP="00AB63E7" w:rsidRDefault="006A79A4" w14:paraId="66D0DF96" w14:textId="78A8FB9A">
      <w:pPr>
        <w:keepNext/>
        <w:keepLines/>
        <w:widowControl w:val="0"/>
        <w:ind w:left="1080"/>
        <w:rPr>
          <w:rFonts w:ascii="Arial" w:hAnsi="Arial" w:cs="Arial"/>
          <w:sz w:val="22"/>
          <w:szCs w:val="22"/>
        </w:rPr>
      </w:pPr>
      <w:r>
        <w:rPr>
          <w:rFonts w:ascii="Arial" w:hAnsi="Arial" w:cs="Arial"/>
          <w:sz w:val="22"/>
          <w:szCs w:val="22"/>
        </w:rPr>
        <w:t>NRC l</w:t>
      </w:r>
      <w:r w:rsidRPr="00251B17" w:rsidR="00794E1A">
        <w:rPr>
          <w:rFonts w:ascii="Arial" w:hAnsi="Arial" w:cs="Arial"/>
          <w:sz w:val="22"/>
          <w:szCs w:val="22"/>
        </w:rPr>
        <w:t xml:space="preserve">icensees report this information voluntarily on an ad-hoc basis, as suspicious incidents occur.  This reporting is necessary to allow </w:t>
      </w:r>
      <w:r w:rsidRPr="00251B17" w:rsidR="00A723AB">
        <w:rPr>
          <w:rFonts w:ascii="Arial" w:hAnsi="Arial" w:cs="Arial"/>
          <w:sz w:val="22"/>
          <w:szCs w:val="22"/>
        </w:rPr>
        <w:t xml:space="preserve">the NRC </w:t>
      </w:r>
      <w:r w:rsidRPr="00251B17" w:rsidR="00794E1A">
        <w:rPr>
          <w:rFonts w:ascii="Arial" w:hAnsi="Arial" w:cs="Arial"/>
          <w:sz w:val="22"/>
          <w:szCs w:val="22"/>
        </w:rPr>
        <w:t>to provide timely intelligence assessment</w:t>
      </w:r>
      <w:r w:rsidR="008B3ED2">
        <w:rPr>
          <w:rFonts w:ascii="Arial" w:hAnsi="Arial" w:cs="Arial"/>
          <w:sz w:val="22"/>
          <w:szCs w:val="22"/>
        </w:rPr>
        <w:t>s</w:t>
      </w:r>
      <w:r w:rsidRPr="00251B17" w:rsidR="00794E1A">
        <w:rPr>
          <w:rFonts w:ascii="Arial" w:hAnsi="Arial" w:cs="Arial"/>
          <w:sz w:val="22"/>
          <w:szCs w:val="22"/>
        </w:rPr>
        <w:t xml:space="preserve"> to prevent or mitigate potential threats to the NRC or its licensees.  </w:t>
      </w:r>
    </w:p>
    <w:p w:rsidRPr="00251B17" w:rsidR="00794E1A" w:rsidP="001619A7" w:rsidRDefault="00794E1A" w14:paraId="761E6710" w14:textId="77777777">
      <w:pPr>
        <w:widowControl w:val="0"/>
        <w:ind w:left="1080"/>
        <w:rPr>
          <w:rFonts w:ascii="Arial" w:hAnsi="Arial" w:cs="Arial"/>
          <w:sz w:val="22"/>
          <w:szCs w:val="22"/>
        </w:rPr>
      </w:pPr>
    </w:p>
    <w:p w:rsidRPr="00251B17" w:rsidR="0078488D" w:rsidP="001619A7" w:rsidRDefault="0078488D" w14:paraId="0764CE65" w14:textId="5B8A781D">
      <w:pPr>
        <w:widowControl w:val="0"/>
        <w:ind w:left="1080"/>
        <w:rPr>
          <w:rFonts w:ascii="Arial" w:hAnsi="Arial" w:cs="Arial"/>
          <w:sz w:val="22"/>
          <w:szCs w:val="22"/>
        </w:rPr>
      </w:pPr>
      <w:r w:rsidRPr="00251B17">
        <w:rPr>
          <w:rFonts w:ascii="Arial" w:hAnsi="Arial" w:cs="Arial"/>
          <w:sz w:val="22"/>
          <w:szCs w:val="22"/>
        </w:rPr>
        <w:t>If suspicious incident information was not collected, it would negatively affect the NRC’s ability to analyze threats to its licensees.  It wou</w:t>
      </w:r>
      <w:r w:rsidRPr="00251B17" w:rsidR="00E17F49">
        <w:rPr>
          <w:rFonts w:ascii="Arial" w:hAnsi="Arial" w:cs="Arial"/>
          <w:sz w:val="22"/>
          <w:szCs w:val="22"/>
        </w:rPr>
        <w:t>ld also create a void in threat</w:t>
      </w:r>
      <w:r w:rsidRPr="00251B17" w:rsidR="00E17F49">
        <w:rPr>
          <w:rFonts w:ascii="Arial" w:hAnsi="Arial" w:cs="Arial"/>
          <w:sz w:val="22"/>
          <w:szCs w:val="22"/>
        </w:rPr>
        <w:noBreakHyphen/>
      </w:r>
      <w:r w:rsidRPr="00251B17">
        <w:rPr>
          <w:rFonts w:ascii="Arial" w:hAnsi="Arial" w:cs="Arial"/>
          <w:sz w:val="22"/>
          <w:szCs w:val="22"/>
        </w:rPr>
        <w:t>related information pertaining to the nuclear sector in the Nati</w:t>
      </w:r>
      <w:r w:rsidRPr="00251B17" w:rsidR="00E17F49">
        <w:rPr>
          <w:rFonts w:ascii="Arial" w:hAnsi="Arial" w:cs="Arial"/>
          <w:sz w:val="22"/>
          <w:szCs w:val="22"/>
        </w:rPr>
        <w:t>onal Security Environment/</w:t>
      </w:r>
      <w:r w:rsidRPr="00251B17">
        <w:rPr>
          <w:rFonts w:ascii="Arial" w:hAnsi="Arial" w:cs="Arial"/>
          <w:sz w:val="22"/>
          <w:szCs w:val="22"/>
        </w:rPr>
        <w:t xml:space="preserve">SAR </w:t>
      </w:r>
      <w:r w:rsidR="007E24BA">
        <w:rPr>
          <w:rFonts w:ascii="Arial" w:hAnsi="Arial" w:cs="Arial"/>
          <w:sz w:val="22"/>
          <w:szCs w:val="22"/>
        </w:rPr>
        <w:t>p</w:t>
      </w:r>
      <w:r w:rsidRPr="00251B17">
        <w:rPr>
          <w:rFonts w:ascii="Arial" w:hAnsi="Arial" w:cs="Arial"/>
          <w:sz w:val="22"/>
          <w:szCs w:val="22"/>
        </w:rPr>
        <w:t>rogram.</w:t>
      </w:r>
    </w:p>
    <w:p w:rsidRPr="00251B17" w:rsidR="0078488D" w:rsidP="001619A7" w:rsidRDefault="0078488D" w14:paraId="414EBCA7" w14:textId="77777777">
      <w:pPr>
        <w:widowControl w:val="0"/>
        <w:rPr>
          <w:rFonts w:ascii="Arial" w:hAnsi="Arial" w:cs="Arial"/>
          <w:sz w:val="22"/>
          <w:szCs w:val="22"/>
        </w:rPr>
      </w:pPr>
    </w:p>
    <w:p w:rsidRPr="00251B17" w:rsidR="0078488D" w:rsidP="001619A7" w:rsidRDefault="0078488D" w14:paraId="04A822D8" w14:textId="0D7C0811">
      <w:pPr>
        <w:widowControl w:val="0"/>
        <w:numPr>
          <w:ilvl w:val="0"/>
          <w:numId w:val="9"/>
        </w:numPr>
        <w:rPr>
          <w:rFonts w:ascii="Arial" w:hAnsi="Arial" w:cs="Arial"/>
          <w:sz w:val="22"/>
          <w:szCs w:val="22"/>
          <w:u w:val="single"/>
        </w:rPr>
      </w:pPr>
      <w:r w:rsidRPr="00251B17">
        <w:rPr>
          <w:rFonts w:ascii="Arial" w:hAnsi="Arial" w:cs="Arial"/>
          <w:sz w:val="22"/>
          <w:szCs w:val="22"/>
          <w:u w:val="single"/>
        </w:rPr>
        <w:t xml:space="preserve">Circumstances Which Justify Variation from </w:t>
      </w:r>
      <w:r w:rsidRPr="00251B17" w:rsidR="002C5537">
        <w:rPr>
          <w:rFonts w:ascii="Arial" w:hAnsi="Arial" w:cs="Arial"/>
          <w:sz w:val="22"/>
          <w:szCs w:val="22"/>
          <w:u w:val="single"/>
        </w:rPr>
        <w:t>Office of Management and Budget Guidelines</w:t>
      </w:r>
    </w:p>
    <w:p w:rsidRPr="00251B17" w:rsidR="00794E1A" w:rsidP="001619A7" w:rsidRDefault="00794E1A" w14:paraId="414D7995" w14:textId="77777777">
      <w:pPr>
        <w:widowControl w:val="0"/>
        <w:ind w:left="1080"/>
        <w:rPr>
          <w:rFonts w:ascii="Arial" w:hAnsi="Arial" w:cs="Arial"/>
          <w:sz w:val="22"/>
          <w:szCs w:val="22"/>
        </w:rPr>
      </w:pPr>
    </w:p>
    <w:p w:rsidRPr="00251B17" w:rsidR="0078488D" w:rsidP="001619A7" w:rsidRDefault="00DE0ED3" w14:paraId="543E1D0C" w14:textId="05C94D6B">
      <w:pPr>
        <w:widowControl w:val="0"/>
        <w:ind w:left="1080"/>
        <w:rPr>
          <w:rFonts w:ascii="Arial" w:hAnsi="Arial" w:cs="Arial"/>
          <w:sz w:val="22"/>
          <w:szCs w:val="22"/>
        </w:rPr>
      </w:pPr>
      <w:r w:rsidRPr="00251B17">
        <w:rPr>
          <w:rFonts w:ascii="Arial" w:hAnsi="Arial" w:cs="Arial"/>
          <w:sz w:val="22"/>
          <w:szCs w:val="22"/>
        </w:rPr>
        <w:t>There exists no requirement for</w:t>
      </w:r>
      <w:r w:rsidR="005D6CDB">
        <w:rPr>
          <w:rFonts w:ascii="Arial" w:hAnsi="Arial" w:cs="Arial"/>
          <w:sz w:val="22"/>
          <w:szCs w:val="22"/>
        </w:rPr>
        <w:t xml:space="preserve"> NRC</w:t>
      </w:r>
      <w:r w:rsidRPr="00251B17">
        <w:rPr>
          <w:rFonts w:ascii="Arial" w:hAnsi="Arial" w:cs="Arial"/>
          <w:sz w:val="22"/>
          <w:szCs w:val="22"/>
        </w:rPr>
        <w:t xml:space="preserve"> licensees to report suspicious incidents on a routine reporting schedule.  Rather, licensees are encouraged to voluntarily report suspicious incidents on an as-needed basis as security incidents occur and/or as security incidents are identified</w:t>
      </w:r>
      <w:r w:rsidRPr="00251B17" w:rsidR="001C09E2">
        <w:rPr>
          <w:rFonts w:ascii="Arial" w:hAnsi="Arial" w:cs="Arial"/>
          <w:sz w:val="22"/>
          <w:szCs w:val="22"/>
        </w:rPr>
        <w:t xml:space="preserve">, which may lead to reporting more </w:t>
      </w:r>
      <w:r w:rsidRPr="00251B17" w:rsidR="00684FFA">
        <w:rPr>
          <w:rFonts w:ascii="Arial" w:hAnsi="Arial" w:cs="Arial"/>
          <w:sz w:val="22"/>
          <w:szCs w:val="22"/>
        </w:rPr>
        <w:t xml:space="preserve">often than quarterly. </w:t>
      </w:r>
      <w:r w:rsidRPr="00251B17" w:rsidR="009B53D6">
        <w:rPr>
          <w:rFonts w:ascii="Arial" w:hAnsi="Arial" w:cs="Arial"/>
          <w:sz w:val="22"/>
          <w:szCs w:val="22"/>
        </w:rPr>
        <w:t xml:space="preserve"> This immediate reporting is necessary to allow </w:t>
      </w:r>
      <w:r w:rsidRPr="00251B17" w:rsidR="00A723AB">
        <w:rPr>
          <w:rFonts w:ascii="Arial" w:hAnsi="Arial" w:cs="Arial"/>
          <w:sz w:val="22"/>
          <w:szCs w:val="22"/>
        </w:rPr>
        <w:t xml:space="preserve">the NRC </w:t>
      </w:r>
      <w:r w:rsidRPr="00251B17" w:rsidR="009B53D6">
        <w:rPr>
          <w:rFonts w:ascii="Arial" w:hAnsi="Arial" w:cs="Arial"/>
          <w:sz w:val="22"/>
          <w:szCs w:val="22"/>
        </w:rPr>
        <w:t xml:space="preserve">to provide timely intelligence assessment to prevent or mitigate potential threats to the NRC or its licensees.  </w:t>
      </w:r>
    </w:p>
    <w:p w:rsidRPr="00251B17" w:rsidR="0078488D" w:rsidP="001619A7" w:rsidRDefault="0078488D" w14:paraId="6DED3FFB" w14:textId="77777777">
      <w:pPr>
        <w:widowControl w:val="0"/>
        <w:rPr>
          <w:rFonts w:ascii="Arial" w:hAnsi="Arial" w:cs="Arial"/>
          <w:sz w:val="22"/>
          <w:szCs w:val="22"/>
          <w:u w:val="single"/>
        </w:rPr>
      </w:pPr>
    </w:p>
    <w:p w:rsidRPr="00251B17" w:rsidR="0078488D" w:rsidP="001619A7" w:rsidRDefault="0078488D" w14:paraId="41BC6C3B" w14:textId="77777777">
      <w:pPr>
        <w:numPr>
          <w:ilvl w:val="0"/>
          <w:numId w:val="9"/>
        </w:numPr>
        <w:rPr>
          <w:rFonts w:ascii="Arial" w:hAnsi="Arial" w:cs="Arial"/>
          <w:sz w:val="22"/>
          <w:szCs w:val="22"/>
        </w:rPr>
      </w:pPr>
      <w:r w:rsidRPr="00251B17">
        <w:rPr>
          <w:rFonts w:ascii="Arial" w:hAnsi="Arial" w:cs="Arial"/>
          <w:sz w:val="22"/>
          <w:szCs w:val="22"/>
          <w:u w:val="single"/>
        </w:rPr>
        <w:t>Consultations Outside the NRC</w:t>
      </w:r>
    </w:p>
    <w:p w:rsidRPr="00251B17" w:rsidR="009324E9" w:rsidP="001619A7" w:rsidRDefault="009324E9" w14:paraId="6DD7F862" w14:textId="77777777">
      <w:pPr>
        <w:ind w:left="1080"/>
        <w:rPr>
          <w:rFonts w:ascii="Arial" w:hAnsi="Arial" w:cs="Arial"/>
          <w:sz w:val="22"/>
          <w:szCs w:val="22"/>
          <w:u w:val="single"/>
        </w:rPr>
      </w:pPr>
    </w:p>
    <w:p w:rsidRPr="00251B17" w:rsidR="00C45C18" w:rsidP="001619A7" w:rsidRDefault="00C45C18" w14:paraId="3BB69B4E" w14:textId="0FF462CA">
      <w:pPr>
        <w:ind w:left="1080"/>
        <w:rPr>
          <w:rFonts w:ascii="Arial" w:hAnsi="Arial" w:cs="Arial"/>
          <w:sz w:val="22"/>
          <w:szCs w:val="22"/>
        </w:rPr>
      </w:pPr>
      <w:r w:rsidRPr="00251B17">
        <w:rPr>
          <w:rFonts w:ascii="Arial" w:hAnsi="Arial" w:cs="Arial"/>
          <w:sz w:val="22"/>
          <w:szCs w:val="22"/>
        </w:rPr>
        <w:t xml:space="preserve">Opportunity for public comment on the information collection requirements for this clearance package was published In the </w:t>
      </w:r>
      <w:r w:rsidRPr="00251B17">
        <w:rPr>
          <w:rFonts w:ascii="Arial" w:hAnsi="Arial" w:cs="Arial"/>
          <w:i/>
          <w:iCs/>
          <w:sz w:val="22"/>
          <w:szCs w:val="22"/>
        </w:rPr>
        <w:t>Federal Register</w:t>
      </w:r>
      <w:r w:rsidR="00DE43B7">
        <w:rPr>
          <w:rFonts w:ascii="Arial" w:hAnsi="Arial" w:cs="Arial"/>
          <w:i/>
          <w:iCs/>
          <w:sz w:val="22"/>
          <w:szCs w:val="22"/>
        </w:rPr>
        <w:t xml:space="preserve"> (FR)</w:t>
      </w:r>
      <w:r w:rsidRPr="00251B17">
        <w:rPr>
          <w:rFonts w:ascii="Arial" w:hAnsi="Arial" w:cs="Arial"/>
          <w:sz w:val="22"/>
          <w:szCs w:val="22"/>
        </w:rPr>
        <w:t xml:space="preserve"> on</w:t>
      </w:r>
      <w:r w:rsidR="007E24BA">
        <w:rPr>
          <w:rFonts w:ascii="Arial" w:hAnsi="Arial" w:cs="Arial"/>
          <w:sz w:val="22"/>
          <w:szCs w:val="22"/>
        </w:rPr>
        <w:t xml:space="preserve"> December</w:t>
      </w:r>
      <w:r w:rsidRPr="00251B17">
        <w:rPr>
          <w:rFonts w:ascii="Arial" w:hAnsi="Arial" w:cs="Arial"/>
          <w:sz w:val="22"/>
          <w:szCs w:val="22"/>
        </w:rPr>
        <w:t xml:space="preserve"> 9</w:t>
      </w:r>
      <w:r w:rsidR="007E24BA">
        <w:rPr>
          <w:rFonts w:ascii="Arial" w:hAnsi="Arial" w:cs="Arial"/>
          <w:sz w:val="22"/>
          <w:szCs w:val="22"/>
        </w:rPr>
        <w:t xml:space="preserve">, </w:t>
      </w:r>
      <w:r w:rsidRPr="00251B17">
        <w:rPr>
          <w:rFonts w:ascii="Arial" w:hAnsi="Arial" w:cs="Arial"/>
          <w:sz w:val="22"/>
          <w:szCs w:val="22"/>
        </w:rPr>
        <w:t>2019 (84</w:t>
      </w:r>
      <w:r w:rsidRPr="00251B17" w:rsidR="0001021E">
        <w:rPr>
          <w:rFonts w:ascii="Arial" w:hAnsi="Arial" w:cs="Arial"/>
          <w:sz w:val="22"/>
          <w:szCs w:val="22"/>
        </w:rPr>
        <w:t> </w:t>
      </w:r>
      <w:r w:rsidRPr="00251B17">
        <w:rPr>
          <w:rFonts w:ascii="Arial" w:hAnsi="Arial" w:cs="Arial"/>
          <w:sz w:val="22"/>
          <w:szCs w:val="22"/>
        </w:rPr>
        <w:t>FR</w:t>
      </w:r>
      <w:r w:rsidRPr="00251B17" w:rsidR="008204DD">
        <w:rPr>
          <w:rFonts w:ascii="Arial" w:hAnsi="Arial" w:cs="Arial"/>
          <w:sz w:val="22"/>
          <w:szCs w:val="22"/>
        </w:rPr>
        <w:t> </w:t>
      </w:r>
      <w:r w:rsidRPr="00251B17">
        <w:rPr>
          <w:rFonts w:ascii="Arial" w:hAnsi="Arial" w:cs="Arial"/>
          <w:sz w:val="22"/>
          <w:szCs w:val="22"/>
        </w:rPr>
        <w:t>67298</w:t>
      </w:r>
      <w:r w:rsidRPr="00251B17">
        <w:rPr>
          <w:rFonts w:ascii="Arial" w:hAnsi="Arial" w:cs="Arial"/>
          <w:color w:val="333333"/>
          <w:sz w:val="22"/>
          <w:szCs w:val="22"/>
        </w:rPr>
        <w:t>)</w:t>
      </w:r>
      <w:r w:rsidRPr="00251B17">
        <w:rPr>
          <w:rFonts w:ascii="Arial" w:hAnsi="Arial" w:cs="Arial"/>
          <w:sz w:val="22"/>
          <w:szCs w:val="22"/>
        </w:rPr>
        <w:t xml:space="preserve">. </w:t>
      </w:r>
      <w:r w:rsidRPr="00251B17" w:rsidR="0001021E">
        <w:rPr>
          <w:rFonts w:ascii="Arial" w:hAnsi="Arial" w:cs="Arial"/>
          <w:sz w:val="22"/>
          <w:szCs w:val="22"/>
        </w:rPr>
        <w:t xml:space="preserve"> </w:t>
      </w:r>
      <w:r w:rsidRPr="00251B17" w:rsidR="00EA2C1A">
        <w:rPr>
          <w:rFonts w:ascii="Arial" w:hAnsi="Arial" w:cs="Arial"/>
          <w:sz w:val="22"/>
          <w:szCs w:val="22"/>
        </w:rPr>
        <w:t xml:space="preserve">The NRC </w:t>
      </w:r>
      <w:r w:rsidRPr="00251B17" w:rsidR="000A2EB0">
        <w:rPr>
          <w:rFonts w:ascii="Arial" w:hAnsi="Arial" w:cs="Arial"/>
          <w:sz w:val="22"/>
          <w:szCs w:val="22"/>
        </w:rPr>
        <w:t xml:space="preserve">contacted </w:t>
      </w:r>
      <w:r w:rsidRPr="00251B17" w:rsidR="00EA2C1A">
        <w:rPr>
          <w:rFonts w:ascii="Arial" w:hAnsi="Arial" w:cs="Arial"/>
          <w:sz w:val="22"/>
          <w:szCs w:val="22"/>
        </w:rPr>
        <w:t>four potential resp</w:t>
      </w:r>
      <w:r w:rsidRPr="00251B17" w:rsidR="00735709">
        <w:rPr>
          <w:rFonts w:ascii="Arial" w:hAnsi="Arial" w:cs="Arial"/>
          <w:sz w:val="22"/>
          <w:szCs w:val="22"/>
        </w:rPr>
        <w:t>ondents vie e-mail to request feedback</w:t>
      </w:r>
      <w:r w:rsidRPr="00251B17" w:rsidR="005A53EA">
        <w:rPr>
          <w:rFonts w:ascii="Arial" w:hAnsi="Arial" w:cs="Arial"/>
          <w:sz w:val="22"/>
          <w:szCs w:val="22"/>
        </w:rPr>
        <w:t xml:space="preserve"> on the information collection.  </w:t>
      </w:r>
      <w:r w:rsidRPr="00251B17" w:rsidR="00421447">
        <w:rPr>
          <w:rFonts w:ascii="Arial" w:hAnsi="Arial" w:cs="Arial"/>
          <w:sz w:val="22"/>
          <w:szCs w:val="22"/>
        </w:rPr>
        <w:t xml:space="preserve">All four potential respondents were </w:t>
      </w:r>
      <w:r w:rsidRPr="00251B17" w:rsidR="0001747F">
        <w:rPr>
          <w:rFonts w:ascii="Arial" w:hAnsi="Arial" w:cs="Arial"/>
          <w:sz w:val="22"/>
          <w:szCs w:val="22"/>
        </w:rPr>
        <w:t>licensees that fall within the scope of</w:t>
      </w:r>
      <w:r w:rsidRPr="007E24BA" w:rsidR="007E24BA">
        <w:rPr>
          <w:rFonts w:ascii="Arial" w:hAnsi="Arial" w:cs="Arial"/>
          <w:sz w:val="22"/>
          <w:szCs w:val="22"/>
        </w:rPr>
        <w:t xml:space="preserve"> </w:t>
      </w:r>
      <w:r w:rsidR="000F7469">
        <w:rPr>
          <w:rFonts w:ascii="Arial" w:hAnsi="Arial" w:cs="Arial"/>
          <w:sz w:val="22"/>
          <w:szCs w:val="22"/>
        </w:rPr>
        <w:t xml:space="preserve">Title </w:t>
      </w:r>
      <w:r w:rsidR="006A79A4">
        <w:rPr>
          <w:rFonts w:ascii="Arial" w:hAnsi="Arial" w:cs="Arial"/>
          <w:sz w:val="22"/>
          <w:szCs w:val="22"/>
        </w:rPr>
        <w:t>10</w:t>
      </w:r>
      <w:r w:rsidR="000F7469">
        <w:rPr>
          <w:rFonts w:ascii="Arial" w:hAnsi="Arial" w:cs="Arial"/>
          <w:sz w:val="22"/>
          <w:szCs w:val="22"/>
        </w:rPr>
        <w:t xml:space="preserve"> of the</w:t>
      </w:r>
      <w:r w:rsidR="006A79A4">
        <w:rPr>
          <w:rFonts w:ascii="Arial" w:hAnsi="Arial" w:cs="Arial"/>
          <w:sz w:val="22"/>
          <w:szCs w:val="22"/>
        </w:rPr>
        <w:t xml:space="preserve"> </w:t>
      </w:r>
      <w:r w:rsidRPr="003738FA" w:rsidR="003738FA">
        <w:rPr>
          <w:rFonts w:ascii="Arial" w:hAnsi="Arial" w:eastAsia="Calibri" w:cs="Arial"/>
          <w:i/>
          <w:sz w:val="22"/>
          <w:szCs w:val="22"/>
        </w:rPr>
        <w:t xml:space="preserve">Code of Federal Regulations </w:t>
      </w:r>
      <w:r w:rsidRPr="000F7469" w:rsidR="003738FA">
        <w:rPr>
          <w:rFonts w:ascii="Arial" w:hAnsi="Arial" w:eastAsia="Calibri" w:cs="Arial"/>
          <w:sz w:val="22"/>
          <w:szCs w:val="22"/>
        </w:rPr>
        <w:t>(</w:t>
      </w:r>
      <w:r w:rsidRPr="000F7469" w:rsidR="000F7469">
        <w:rPr>
          <w:rFonts w:ascii="Arial" w:hAnsi="Arial" w:eastAsia="Calibri" w:cs="Arial"/>
          <w:sz w:val="22"/>
          <w:szCs w:val="22"/>
        </w:rPr>
        <w:t xml:space="preserve">10 </w:t>
      </w:r>
      <w:r w:rsidRPr="003738FA" w:rsidR="003738FA">
        <w:rPr>
          <w:rFonts w:ascii="Arial" w:hAnsi="Arial" w:eastAsia="Calibri" w:cs="Arial"/>
          <w:sz w:val="22"/>
          <w:szCs w:val="22"/>
        </w:rPr>
        <w:t xml:space="preserve">CFR) </w:t>
      </w:r>
      <w:r w:rsidR="006A79A4">
        <w:rPr>
          <w:rFonts w:ascii="Arial" w:hAnsi="Arial" w:cs="Arial"/>
          <w:sz w:val="22"/>
          <w:szCs w:val="22"/>
        </w:rPr>
        <w:t xml:space="preserve"> Part 95</w:t>
      </w:r>
      <w:r w:rsidRPr="00251B17" w:rsidR="006F0040">
        <w:rPr>
          <w:rFonts w:ascii="Arial" w:hAnsi="Arial" w:cs="Arial"/>
          <w:sz w:val="22"/>
          <w:szCs w:val="22"/>
        </w:rPr>
        <w:t>.</w:t>
      </w:r>
      <w:r w:rsidRPr="00251B17" w:rsidR="00264445">
        <w:rPr>
          <w:rFonts w:ascii="Arial" w:hAnsi="Arial" w:cs="Arial"/>
          <w:sz w:val="22"/>
          <w:szCs w:val="22"/>
        </w:rPr>
        <w:t xml:space="preserve">  </w:t>
      </w:r>
      <w:r w:rsidRPr="00251B17">
        <w:rPr>
          <w:rFonts w:ascii="Arial" w:hAnsi="Arial" w:cs="Arial"/>
          <w:sz w:val="22"/>
          <w:szCs w:val="22"/>
        </w:rPr>
        <w:t>No comments were received in responses to these consultations.</w:t>
      </w:r>
    </w:p>
    <w:p w:rsidRPr="00251B17" w:rsidR="001656EA" w:rsidP="001619A7" w:rsidRDefault="001656EA" w14:paraId="25A5AD36" w14:textId="77777777">
      <w:pPr>
        <w:rPr>
          <w:rFonts w:ascii="Arial" w:hAnsi="Arial" w:cs="Arial"/>
          <w:sz w:val="22"/>
          <w:szCs w:val="22"/>
        </w:rPr>
      </w:pPr>
    </w:p>
    <w:p w:rsidRPr="00251B17" w:rsidR="0078488D" w:rsidP="001619A7" w:rsidRDefault="0078488D" w14:paraId="07D8A87A" w14:textId="77777777">
      <w:pPr>
        <w:numPr>
          <w:ilvl w:val="0"/>
          <w:numId w:val="9"/>
        </w:numPr>
        <w:rPr>
          <w:rFonts w:ascii="Arial" w:hAnsi="Arial" w:cs="Arial"/>
          <w:sz w:val="22"/>
          <w:szCs w:val="22"/>
        </w:rPr>
      </w:pPr>
      <w:r w:rsidRPr="00251B17">
        <w:rPr>
          <w:rFonts w:ascii="Arial" w:hAnsi="Arial" w:cs="Arial"/>
          <w:sz w:val="22"/>
          <w:szCs w:val="22"/>
          <w:u w:val="single"/>
        </w:rPr>
        <w:t>Payment or Gift to Respondents</w:t>
      </w:r>
    </w:p>
    <w:p w:rsidRPr="00251B17" w:rsidR="0078488D" w:rsidP="001619A7" w:rsidRDefault="0078488D" w14:paraId="1DC40D77" w14:textId="77777777">
      <w:pPr>
        <w:rPr>
          <w:rFonts w:ascii="Arial" w:hAnsi="Arial" w:cs="Arial"/>
          <w:sz w:val="22"/>
          <w:szCs w:val="22"/>
        </w:rPr>
      </w:pPr>
    </w:p>
    <w:p w:rsidRPr="00251B17" w:rsidR="0078488D" w:rsidP="001619A7" w:rsidRDefault="00F30D51" w14:paraId="05454A1A" w14:textId="677BAC46">
      <w:pPr>
        <w:ind w:left="1080"/>
        <w:rPr>
          <w:rFonts w:ascii="Arial" w:hAnsi="Arial" w:cs="Arial"/>
          <w:sz w:val="22"/>
          <w:szCs w:val="22"/>
        </w:rPr>
      </w:pPr>
      <w:r>
        <w:rPr>
          <w:rFonts w:ascii="Arial" w:hAnsi="Arial" w:cs="Arial"/>
          <w:sz w:val="22"/>
          <w:szCs w:val="22"/>
        </w:rPr>
        <w:t>This section is n</w:t>
      </w:r>
      <w:r w:rsidRPr="00251B17" w:rsidR="0078488D">
        <w:rPr>
          <w:rFonts w:ascii="Arial" w:hAnsi="Arial" w:cs="Arial"/>
          <w:sz w:val="22"/>
          <w:szCs w:val="22"/>
        </w:rPr>
        <w:t>ot applicable.</w:t>
      </w:r>
    </w:p>
    <w:p w:rsidRPr="00251B17" w:rsidR="0078488D" w:rsidP="001619A7" w:rsidRDefault="0078488D" w14:paraId="4E387FF1" w14:textId="77777777">
      <w:pPr>
        <w:rPr>
          <w:rFonts w:ascii="Arial" w:hAnsi="Arial" w:cs="Arial"/>
          <w:sz w:val="22"/>
          <w:szCs w:val="22"/>
        </w:rPr>
      </w:pPr>
    </w:p>
    <w:p w:rsidRPr="00251B17" w:rsidR="0078488D" w:rsidP="001619A7" w:rsidRDefault="0078488D" w14:paraId="689118BD" w14:textId="77777777">
      <w:pPr>
        <w:numPr>
          <w:ilvl w:val="0"/>
          <w:numId w:val="9"/>
        </w:numPr>
        <w:rPr>
          <w:rFonts w:ascii="Arial" w:hAnsi="Arial" w:cs="Arial"/>
          <w:sz w:val="22"/>
          <w:szCs w:val="22"/>
        </w:rPr>
      </w:pPr>
      <w:r w:rsidRPr="00251B17">
        <w:rPr>
          <w:rFonts w:ascii="Arial" w:hAnsi="Arial" w:cs="Arial"/>
          <w:sz w:val="22"/>
          <w:szCs w:val="22"/>
          <w:u w:val="single"/>
        </w:rPr>
        <w:t>Confidentiality of Information</w:t>
      </w:r>
    </w:p>
    <w:p w:rsidRPr="00251B17" w:rsidR="005F0B5D" w:rsidP="001619A7" w:rsidRDefault="005F0B5D" w14:paraId="3ACCFFCC" w14:textId="77777777">
      <w:pPr>
        <w:ind w:left="1080"/>
        <w:rPr>
          <w:rFonts w:ascii="Arial" w:hAnsi="Arial" w:cs="Arial"/>
          <w:sz w:val="22"/>
          <w:szCs w:val="22"/>
          <w:u w:val="single"/>
        </w:rPr>
      </w:pPr>
    </w:p>
    <w:p w:rsidRPr="00251B17" w:rsidR="0078488D" w:rsidP="001619A7" w:rsidRDefault="0078488D" w14:paraId="657DFB17" w14:textId="4E63D157">
      <w:pPr>
        <w:ind w:left="1080"/>
        <w:rPr>
          <w:rFonts w:ascii="Arial" w:hAnsi="Arial" w:cs="Arial"/>
          <w:sz w:val="22"/>
          <w:szCs w:val="22"/>
        </w:rPr>
      </w:pPr>
      <w:r w:rsidRPr="00251B17">
        <w:rPr>
          <w:rFonts w:ascii="Arial" w:hAnsi="Arial" w:cs="Arial"/>
          <w:sz w:val="22"/>
          <w:szCs w:val="22"/>
        </w:rPr>
        <w:t xml:space="preserve">Confidential and proprietary information is protected in accordance with NRC regulations </w:t>
      </w:r>
      <w:r w:rsidR="006A79A4">
        <w:rPr>
          <w:rFonts w:ascii="Arial" w:hAnsi="Arial" w:cs="Arial"/>
          <w:sz w:val="22"/>
          <w:szCs w:val="22"/>
        </w:rPr>
        <w:t xml:space="preserve">at </w:t>
      </w:r>
      <w:r w:rsidRPr="007E24BA" w:rsidR="006D3BEA">
        <w:rPr>
          <w:rFonts w:ascii="Arial" w:hAnsi="Arial" w:cs="Arial"/>
          <w:sz w:val="22"/>
          <w:szCs w:val="22"/>
        </w:rPr>
        <w:t xml:space="preserve">10 </w:t>
      </w:r>
      <w:r w:rsidRPr="007E24BA">
        <w:rPr>
          <w:rFonts w:ascii="Arial" w:hAnsi="Arial" w:cs="Arial"/>
          <w:sz w:val="22"/>
          <w:szCs w:val="22"/>
        </w:rPr>
        <w:t>CFR</w:t>
      </w:r>
      <w:r w:rsidR="007E24BA">
        <w:rPr>
          <w:rFonts w:ascii="Arial" w:hAnsi="Arial" w:cs="Arial"/>
          <w:sz w:val="22"/>
          <w:szCs w:val="22"/>
        </w:rPr>
        <w:t xml:space="preserve"> </w:t>
      </w:r>
      <w:r w:rsidR="000F7469">
        <w:rPr>
          <w:rFonts w:ascii="Arial" w:hAnsi="Arial" w:cs="Arial"/>
          <w:sz w:val="22"/>
          <w:szCs w:val="22"/>
        </w:rPr>
        <w:t>paragraphs</w:t>
      </w:r>
      <w:r w:rsidR="006A79A4">
        <w:rPr>
          <w:rFonts w:ascii="Arial" w:hAnsi="Arial" w:cs="Arial"/>
          <w:sz w:val="22"/>
          <w:szCs w:val="22"/>
        </w:rPr>
        <w:t xml:space="preserve"> </w:t>
      </w:r>
      <w:r w:rsidRPr="007E24BA" w:rsidR="00E17F49">
        <w:rPr>
          <w:rFonts w:ascii="Arial" w:hAnsi="Arial" w:cs="Arial"/>
          <w:sz w:val="22"/>
          <w:szCs w:val="22"/>
        </w:rPr>
        <w:t xml:space="preserve">9.17(a) and </w:t>
      </w:r>
      <w:r w:rsidRPr="007E24BA">
        <w:rPr>
          <w:rFonts w:ascii="Arial" w:hAnsi="Arial" w:cs="Arial"/>
          <w:sz w:val="22"/>
          <w:szCs w:val="22"/>
        </w:rPr>
        <w:t>2.390(b).</w:t>
      </w:r>
      <w:r w:rsidRPr="00251B17">
        <w:rPr>
          <w:rFonts w:ascii="Arial" w:hAnsi="Arial" w:cs="Arial"/>
          <w:sz w:val="22"/>
          <w:szCs w:val="22"/>
        </w:rPr>
        <w:t xml:space="preserve">  Suspicious incident reports may contain </w:t>
      </w:r>
      <w:r w:rsidR="007E24BA">
        <w:rPr>
          <w:rFonts w:ascii="Arial" w:hAnsi="Arial" w:cs="Arial"/>
          <w:sz w:val="22"/>
          <w:szCs w:val="22"/>
        </w:rPr>
        <w:t>p</w:t>
      </w:r>
      <w:r w:rsidRPr="00251B17" w:rsidR="00811ACD">
        <w:rPr>
          <w:rFonts w:ascii="Arial" w:hAnsi="Arial" w:cs="Arial"/>
          <w:sz w:val="22"/>
          <w:szCs w:val="22"/>
        </w:rPr>
        <w:t xml:space="preserve">ersonally </w:t>
      </w:r>
      <w:r w:rsidR="007E24BA">
        <w:rPr>
          <w:rFonts w:ascii="Arial" w:hAnsi="Arial" w:cs="Arial"/>
          <w:sz w:val="22"/>
          <w:szCs w:val="22"/>
        </w:rPr>
        <w:t>i</w:t>
      </w:r>
      <w:r w:rsidRPr="00251B17" w:rsidR="00811ACD">
        <w:rPr>
          <w:rFonts w:ascii="Arial" w:hAnsi="Arial" w:cs="Arial"/>
          <w:sz w:val="22"/>
          <w:szCs w:val="22"/>
        </w:rPr>
        <w:t xml:space="preserve">dentifiable </w:t>
      </w:r>
      <w:r w:rsidR="007E24BA">
        <w:rPr>
          <w:rFonts w:ascii="Arial" w:hAnsi="Arial" w:cs="Arial"/>
          <w:sz w:val="22"/>
          <w:szCs w:val="22"/>
        </w:rPr>
        <w:t>i</w:t>
      </w:r>
      <w:r w:rsidRPr="00251B17" w:rsidR="00811ACD">
        <w:rPr>
          <w:rFonts w:ascii="Arial" w:hAnsi="Arial" w:cs="Arial"/>
          <w:sz w:val="22"/>
          <w:szCs w:val="22"/>
        </w:rPr>
        <w:t xml:space="preserve">nformation (PII) </w:t>
      </w:r>
      <w:r w:rsidRPr="00251B17">
        <w:rPr>
          <w:rFonts w:ascii="Arial" w:hAnsi="Arial" w:cs="Arial"/>
          <w:sz w:val="22"/>
          <w:szCs w:val="22"/>
        </w:rPr>
        <w:t>or other sensitive but unclassified information about the facility, security posture, security counter-measures, and other potential vulnerabilities.  For example, information may relate to identifying an individual or vehicle involved in a suspicious incident, such as:</w:t>
      </w:r>
      <w:r w:rsidRPr="00251B17" w:rsidR="006D3BEA">
        <w:rPr>
          <w:rFonts w:ascii="Arial" w:hAnsi="Arial" w:cs="Arial"/>
          <w:sz w:val="22"/>
          <w:szCs w:val="22"/>
        </w:rPr>
        <w:t xml:space="preserve"> </w:t>
      </w:r>
      <w:r w:rsidRPr="00251B17" w:rsidR="002C5537">
        <w:rPr>
          <w:rFonts w:ascii="Arial" w:hAnsi="Arial" w:cs="Arial"/>
          <w:sz w:val="22"/>
          <w:szCs w:val="22"/>
        </w:rPr>
        <w:t xml:space="preserve"> n</w:t>
      </w:r>
      <w:r w:rsidRPr="00251B17">
        <w:rPr>
          <w:rFonts w:ascii="Arial" w:hAnsi="Arial" w:cs="Arial"/>
          <w:sz w:val="22"/>
          <w:szCs w:val="22"/>
        </w:rPr>
        <w:t xml:space="preserve">ame, address, date of birth, vehicle make </w:t>
      </w:r>
      <w:r w:rsidRPr="00251B17" w:rsidR="00E17F49">
        <w:rPr>
          <w:rFonts w:ascii="Arial" w:hAnsi="Arial" w:cs="Arial"/>
          <w:sz w:val="22"/>
          <w:szCs w:val="22"/>
        </w:rPr>
        <w:t>and</w:t>
      </w:r>
      <w:r w:rsidRPr="00251B17">
        <w:rPr>
          <w:rFonts w:ascii="Arial" w:hAnsi="Arial" w:cs="Arial"/>
          <w:sz w:val="22"/>
          <w:szCs w:val="22"/>
        </w:rPr>
        <w:t xml:space="preserve"> model, license plate, </w:t>
      </w:r>
      <w:r w:rsidR="007E24BA">
        <w:rPr>
          <w:rFonts w:ascii="Arial" w:hAnsi="Arial" w:cs="Arial"/>
          <w:sz w:val="22"/>
          <w:szCs w:val="22"/>
        </w:rPr>
        <w:t>v</w:t>
      </w:r>
      <w:r w:rsidRPr="00251B17" w:rsidR="00E17F49">
        <w:rPr>
          <w:rFonts w:ascii="Arial" w:hAnsi="Arial" w:cs="Arial"/>
          <w:sz w:val="22"/>
          <w:szCs w:val="22"/>
        </w:rPr>
        <w:t xml:space="preserve">ehicle </w:t>
      </w:r>
      <w:r w:rsidR="007E24BA">
        <w:rPr>
          <w:rFonts w:ascii="Arial" w:hAnsi="Arial" w:cs="Arial"/>
          <w:sz w:val="22"/>
          <w:szCs w:val="22"/>
        </w:rPr>
        <w:t>i</w:t>
      </w:r>
      <w:r w:rsidRPr="00251B17" w:rsidR="00E17F49">
        <w:rPr>
          <w:rFonts w:ascii="Arial" w:hAnsi="Arial" w:cs="Arial"/>
          <w:sz w:val="22"/>
          <w:szCs w:val="22"/>
        </w:rPr>
        <w:t xml:space="preserve">dentification </w:t>
      </w:r>
      <w:r w:rsidR="007E24BA">
        <w:rPr>
          <w:rFonts w:ascii="Arial" w:hAnsi="Arial" w:cs="Arial"/>
          <w:sz w:val="22"/>
          <w:szCs w:val="22"/>
        </w:rPr>
        <w:t>n</w:t>
      </w:r>
      <w:r w:rsidRPr="00251B17" w:rsidR="00E17F49">
        <w:rPr>
          <w:rFonts w:ascii="Arial" w:hAnsi="Arial" w:cs="Arial"/>
          <w:sz w:val="22"/>
          <w:szCs w:val="22"/>
        </w:rPr>
        <w:t>umber</w:t>
      </w:r>
      <w:r w:rsidRPr="00251B17">
        <w:rPr>
          <w:rFonts w:ascii="Arial" w:hAnsi="Arial" w:cs="Arial"/>
          <w:sz w:val="22"/>
          <w:szCs w:val="22"/>
        </w:rPr>
        <w:t>, etc.  Access to PII and other sensitive but unclassified information is limited to select individuals within the NRC and FBI, and is redacted for all other PWS users.</w:t>
      </w:r>
    </w:p>
    <w:p w:rsidRPr="00251B17" w:rsidR="00430D96" w:rsidP="001619A7" w:rsidRDefault="00430D96" w14:paraId="4D171253" w14:textId="77777777">
      <w:pPr>
        <w:ind w:left="1080"/>
        <w:rPr>
          <w:rFonts w:ascii="Arial" w:hAnsi="Arial" w:cs="Arial"/>
          <w:sz w:val="22"/>
          <w:szCs w:val="22"/>
        </w:rPr>
      </w:pPr>
    </w:p>
    <w:p w:rsidRPr="00251B17" w:rsidR="002A6FF0" w:rsidP="001619A7" w:rsidRDefault="002A6FF0" w14:paraId="564113A4" w14:textId="438EF3FD">
      <w:pPr>
        <w:ind w:left="1080"/>
        <w:rPr>
          <w:rFonts w:ascii="Arial" w:hAnsi="Arial" w:cs="Arial"/>
          <w:iCs/>
          <w:color w:val="000000"/>
          <w:sz w:val="22"/>
          <w:szCs w:val="22"/>
        </w:rPr>
      </w:pPr>
      <w:r w:rsidRPr="00251B17">
        <w:rPr>
          <w:rFonts w:ascii="Arial" w:hAnsi="Arial" w:cs="Arial"/>
          <w:sz w:val="22"/>
          <w:szCs w:val="22"/>
        </w:rPr>
        <w:t xml:space="preserve">PWS administrators use the principle of least privilege when assigning access rights to PWS users.  All users, </w:t>
      </w:r>
      <w:r w:rsidR="00F603BF">
        <w:rPr>
          <w:rFonts w:ascii="Arial" w:hAnsi="Arial" w:cs="Arial"/>
          <w:sz w:val="22"/>
          <w:szCs w:val="22"/>
        </w:rPr>
        <w:t>including the</w:t>
      </w:r>
      <w:r w:rsidRPr="00251B17">
        <w:rPr>
          <w:rFonts w:ascii="Arial" w:hAnsi="Arial" w:cs="Arial"/>
          <w:sz w:val="22"/>
          <w:szCs w:val="22"/>
        </w:rPr>
        <w:t xml:space="preserve"> NRC staff; authorized nuclear industry officials; and Federal, State, and local government agencies, are assigned role</w:t>
      </w:r>
      <w:r w:rsidRPr="00251B17" w:rsidR="00E17F49">
        <w:rPr>
          <w:rFonts w:ascii="Arial" w:hAnsi="Arial" w:cs="Arial"/>
          <w:sz w:val="22"/>
          <w:szCs w:val="22"/>
        </w:rPr>
        <w:noBreakHyphen/>
      </w:r>
      <w:r w:rsidRPr="00251B17">
        <w:rPr>
          <w:rFonts w:ascii="Arial" w:hAnsi="Arial" w:cs="Arial"/>
          <w:sz w:val="22"/>
          <w:szCs w:val="22"/>
        </w:rPr>
        <w:t>based access ri</w:t>
      </w:r>
      <w:r w:rsidRPr="00251B17" w:rsidR="00884D39">
        <w:rPr>
          <w:rFonts w:ascii="Arial" w:hAnsi="Arial" w:cs="Arial"/>
          <w:sz w:val="22"/>
          <w:szCs w:val="22"/>
        </w:rPr>
        <w:t>ghts in PWS based on their need-to-</w:t>
      </w:r>
      <w:r w:rsidRPr="00251B17">
        <w:rPr>
          <w:rFonts w:ascii="Arial" w:hAnsi="Arial" w:cs="Arial"/>
          <w:sz w:val="22"/>
          <w:szCs w:val="22"/>
        </w:rPr>
        <w:t>know.</w:t>
      </w:r>
      <w:r w:rsidRPr="00251B17">
        <w:rPr>
          <w:rFonts w:ascii="Arial" w:hAnsi="Arial" w:cs="Arial"/>
          <w:iCs/>
          <w:color w:val="000000"/>
          <w:sz w:val="22"/>
          <w:szCs w:val="22"/>
        </w:rPr>
        <w:t xml:space="preserve">  PWS </w:t>
      </w:r>
      <w:r w:rsidRPr="00251B17" w:rsidR="00811ACD">
        <w:rPr>
          <w:rFonts w:ascii="Arial" w:hAnsi="Arial" w:cs="Arial"/>
          <w:iCs/>
          <w:color w:val="000000"/>
          <w:sz w:val="22"/>
          <w:szCs w:val="22"/>
        </w:rPr>
        <w:t>u</w:t>
      </w:r>
      <w:r w:rsidRPr="00251B17">
        <w:rPr>
          <w:rFonts w:ascii="Arial" w:hAnsi="Arial" w:cs="Arial"/>
          <w:iCs/>
          <w:color w:val="000000"/>
          <w:sz w:val="22"/>
          <w:szCs w:val="22"/>
        </w:rPr>
        <w:t xml:space="preserve">sers are also required to accept terms of service before being granted an account in </w:t>
      </w:r>
      <w:r w:rsidR="007E24BA">
        <w:rPr>
          <w:rFonts w:ascii="Arial" w:hAnsi="Arial" w:cs="Arial"/>
          <w:iCs/>
          <w:color w:val="000000"/>
          <w:sz w:val="22"/>
          <w:szCs w:val="22"/>
        </w:rPr>
        <w:t xml:space="preserve">the </w:t>
      </w:r>
      <w:r w:rsidRPr="00251B17">
        <w:rPr>
          <w:rFonts w:ascii="Arial" w:hAnsi="Arial" w:cs="Arial"/>
          <w:iCs/>
          <w:color w:val="000000"/>
          <w:sz w:val="22"/>
          <w:szCs w:val="22"/>
        </w:rPr>
        <w:t>PWS.  The NRC will not be able to ensure proper use of information by external users beyon</w:t>
      </w:r>
      <w:r w:rsidRPr="00251B17" w:rsidR="00884D39">
        <w:rPr>
          <w:rFonts w:ascii="Arial" w:hAnsi="Arial" w:cs="Arial"/>
          <w:iCs/>
          <w:color w:val="000000"/>
          <w:sz w:val="22"/>
          <w:szCs w:val="22"/>
        </w:rPr>
        <w:t>d limiting access based on need-to-</w:t>
      </w:r>
      <w:r w:rsidRPr="00251B17">
        <w:rPr>
          <w:rFonts w:ascii="Arial" w:hAnsi="Arial" w:cs="Arial"/>
          <w:iCs/>
          <w:color w:val="000000"/>
          <w:sz w:val="22"/>
          <w:szCs w:val="22"/>
        </w:rPr>
        <w:t xml:space="preserve">know.  FBI representatives are the only </w:t>
      </w:r>
      <w:r w:rsidR="002960B8">
        <w:rPr>
          <w:rFonts w:ascii="Arial" w:hAnsi="Arial" w:cs="Arial"/>
          <w:iCs/>
          <w:color w:val="000000"/>
          <w:sz w:val="22"/>
          <w:szCs w:val="22"/>
        </w:rPr>
        <w:t xml:space="preserve">other </w:t>
      </w:r>
      <w:r w:rsidRPr="00251B17">
        <w:rPr>
          <w:rFonts w:ascii="Arial" w:hAnsi="Arial" w:cs="Arial"/>
          <w:iCs/>
          <w:color w:val="000000"/>
          <w:sz w:val="22"/>
          <w:szCs w:val="22"/>
        </w:rPr>
        <w:t>users outside of the NRC that will have</w:t>
      </w:r>
      <w:r w:rsidR="00B86099">
        <w:rPr>
          <w:rFonts w:ascii="Arial" w:hAnsi="Arial" w:cs="Arial"/>
          <w:iCs/>
          <w:color w:val="000000"/>
          <w:sz w:val="22"/>
          <w:szCs w:val="22"/>
        </w:rPr>
        <w:t xml:space="preserve"> role-based </w:t>
      </w:r>
      <w:r w:rsidRPr="00251B17">
        <w:rPr>
          <w:rFonts w:ascii="Arial" w:hAnsi="Arial" w:cs="Arial"/>
          <w:iCs/>
          <w:color w:val="000000"/>
          <w:sz w:val="22"/>
          <w:szCs w:val="22"/>
        </w:rPr>
        <w:t>access</w:t>
      </w:r>
      <w:r w:rsidR="00C158B3">
        <w:rPr>
          <w:rFonts w:ascii="Arial" w:hAnsi="Arial" w:cs="Arial"/>
          <w:iCs/>
          <w:color w:val="000000"/>
          <w:sz w:val="22"/>
          <w:szCs w:val="22"/>
        </w:rPr>
        <w:t xml:space="preserve"> rights</w:t>
      </w:r>
      <w:r w:rsidRPr="00251B17">
        <w:rPr>
          <w:rFonts w:ascii="Arial" w:hAnsi="Arial" w:cs="Arial"/>
          <w:iCs/>
          <w:color w:val="000000"/>
          <w:sz w:val="22"/>
          <w:szCs w:val="22"/>
        </w:rPr>
        <w:t xml:space="preserve"> to any PII</w:t>
      </w:r>
      <w:r w:rsidR="00B86099">
        <w:rPr>
          <w:rFonts w:ascii="Arial" w:hAnsi="Arial" w:cs="Arial"/>
          <w:iCs/>
          <w:color w:val="000000"/>
          <w:sz w:val="22"/>
          <w:szCs w:val="22"/>
        </w:rPr>
        <w:t xml:space="preserve"> </w:t>
      </w:r>
      <w:r w:rsidR="00C158B3">
        <w:rPr>
          <w:rFonts w:ascii="Arial" w:hAnsi="Arial" w:cs="Arial"/>
          <w:iCs/>
          <w:color w:val="000000"/>
          <w:sz w:val="22"/>
          <w:szCs w:val="22"/>
        </w:rPr>
        <w:t>in the PWS</w:t>
      </w:r>
      <w:r w:rsidRPr="00251B17" w:rsidR="00522A2F">
        <w:rPr>
          <w:rFonts w:ascii="Arial" w:hAnsi="Arial" w:cs="Arial"/>
          <w:iCs/>
          <w:color w:val="000000"/>
          <w:sz w:val="22"/>
          <w:szCs w:val="22"/>
        </w:rPr>
        <w:t>.</w:t>
      </w:r>
    </w:p>
    <w:p w:rsidRPr="00251B17" w:rsidR="009B53D6" w:rsidP="001619A7" w:rsidRDefault="009B53D6" w14:paraId="199B589E" w14:textId="77777777">
      <w:pPr>
        <w:ind w:left="1080"/>
        <w:rPr>
          <w:rFonts w:ascii="Arial" w:hAnsi="Arial" w:cs="Arial"/>
          <w:sz w:val="22"/>
          <w:szCs w:val="22"/>
        </w:rPr>
      </w:pPr>
    </w:p>
    <w:p w:rsidRPr="00251B17" w:rsidR="009B53D6" w:rsidP="001619A7" w:rsidRDefault="009B53D6" w14:paraId="77A3574C" w14:textId="3E801D58">
      <w:pPr>
        <w:ind w:left="1080"/>
        <w:rPr>
          <w:rFonts w:ascii="Arial" w:hAnsi="Arial" w:cs="Arial"/>
          <w:sz w:val="22"/>
          <w:szCs w:val="22"/>
        </w:rPr>
      </w:pPr>
      <w:r w:rsidRPr="00251B17">
        <w:rPr>
          <w:rFonts w:ascii="Arial" w:hAnsi="Arial" w:cs="Arial"/>
          <w:sz w:val="22"/>
          <w:szCs w:val="22"/>
        </w:rPr>
        <w:t>To date, the NRC has approximately 20 representatives from the FBI who</w:t>
      </w:r>
      <w:r w:rsidRPr="00251B17" w:rsidR="00AB389D">
        <w:rPr>
          <w:rFonts w:ascii="Arial" w:hAnsi="Arial" w:cs="Arial"/>
          <w:sz w:val="22"/>
          <w:szCs w:val="22"/>
        </w:rPr>
        <w:t xml:space="preserve"> have access to</w:t>
      </w:r>
      <w:r w:rsidRPr="00251B17">
        <w:rPr>
          <w:rFonts w:ascii="Arial" w:hAnsi="Arial" w:cs="Arial"/>
          <w:sz w:val="22"/>
          <w:szCs w:val="22"/>
        </w:rPr>
        <w:t xml:space="preserve"> the PWS.  These individuals are not from a s</w:t>
      </w:r>
      <w:r w:rsidRPr="00251B17" w:rsidR="00884D39">
        <w:rPr>
          <w:rFonts w:ascii="Arial" w:hAnsi="Arial" w:cs="Arial"/>
          <w:sz w:val="22"/>
          <w:szCs w:val="22"/>
        </w:rPr>
        <w:t>pecific office within the FBI; r</w:t>
      </w:r>
      <w:r w:rsidRPr="00251B17">
        <w:rPr>
          <w:rFonts w:ascii="Arial" w:hAnsi="Arial" w:cs="Arial"/>
          <w:sz w:val="22"/>
          <w:szCs w:val="22"/>
        </w:rPr>
        <w:t>ather, they represent a variety of FBI offices, task forces, and directorates related</w:t>
      </w:r>
      <w:r w:rsidRPr="00251B17" w:rsidR="0004368F">
        <w:rPr>
          <w:rFonts w:ascii="Arial" w:hAnsi="Arial" w:cs="Arial"/>
          <w:sz w:val="22"/>
          <w:szCs w:val="22"/>
        </w:rPr>
        <w:t xml:space="preserve"> to weapons of mass destruction</w:t>
      </w:r>
      <w:r w:rsidRPr="00251B17">
        <w:rPr>
          <w:rFonts w:ascii="Arial" w:hAnsi="Arial" w:cs="Arial"/>
          <w:sz w:val="22"/>
          <w:szCs w:val="22"/>
        </w:rPr>
        <w:t xml:space="preserve">, critical infrastructure, and nuclear and radiological issues.  All requests from the FBI for accounts in the PWS are reviewed and approved by NSIR before being created.  </w:t>
      </w:r>
      <w:r w:rsidRPr="00251B17" w:rsidR="00177E21">
        <w:rPr>
          <w:rFonts w:ascii="Arial" w:hAnsi="Arial" w:cs="Arial"/>
          <w:sz w:val="22"/>
          <w:szCs w:val="22"/>
        </w:rPr>
        <w:t>.</w:t>
      </w:r>
    </w:p>
    <w:p w:rsidRPr="00251B17" w:rsidR="009B53D6" w:rsidP="001619A7" w:rsidRDefault="009B53D6" w14:paraId="5058FDC3" w14:textId="77777777">
      <w:pPr>
        <w:ind w:left="1080"/>
        <w:rPr>
          <w:rFonts w:ascii="Arial" w:hAnsi="Arial" w:cs="Arial"/>
          <w:sz w:val="22"/>
          <w:szCs w:val="22"/>
        </w:rPr>
      </w:pPr>
    </w:p>
    <w:p w:rsidRPr="00251B17" w:rsidR="009B53D6" w:rsidP="001619A7" w:rsidRDefault="009B53D6" w14:paraId="010C0520" w14:textId="5F13E09E">
      <w:pPr>
        <w:ind w:left="1080"/>
        <w:rPr>
          <w:rFonts w:ascii="Arial" w:hAnsi="Arial" w:cs="Arial"/>
          <w:sz w:val="22"/>
          <w:szCs w:val="22"/>
        </w:rPr>
      </w:pPr>
      <w:r w:rsidRPr="00251B17">
        <w:rPr>
          <w:rFonts w:ascii="Arial" w:hAnsi="Arial" w:cs="Arial"/>
          <w:sz w:val="22"/>
          <w:szCs w:val="22"/>
        </w:rPr>
        <w:t xml:space="preserve">A Privacy Impact Assessment was performed by the agency for the system in August 2011.  A </w:t>
      </w:r>
      <w:r w:rsidRPr="00251B17" w:rsidR="00811ACD">
        <w:rPr>
          <w:rFonts w:ascii="Arial" w:hAnsi="Arial" w:cs="Arial"/>
          <w:sz w:val="22"/>
          <w:szCs w:val="22"/>
        </w:rPr>
        <w:t xml:space="preserve">System of Records Notice </w:t>
      </w:r>
      <w:r w:rsidRPr="00251B17">
        <w:rPr>
          <w:rFonts w:ascii="Arial" w:hAnsi="Arial" w:cs="Arial"/>
          <w:sz w:val="22"/>
          <w:szCs w:val="22"/>
        </w:rPr>
        <w:t>is not required for this system because it is no</w:t>
      </w:r>
      <w:r w:rsidRPr="00251B17" w:rsidR="00811ACD">
        <w:rPr>
          <w:rFonts w:ascii="Arial" w:hAnsi="Arial" w:cs="Arial"/>
          <w:sz w:val="22"/>
          <w:szCs w:val="22"/>
        </w:rPr>
        <w:t>t searchable by PII</w:t>
      </w:r>
      <w:r w:rsidRPr="00251B17">
        <w:rPr>
          <w:rFonts w:ascii="Arial" w:hAnsi="Arial" w:cs="Arial"/>
          <w:sz w:val="22"/>
          <w:szCs w:val="22"/>
        </w:rPr>
        <w:t xml:space="preserve">.  The only searchable fields for </w:t>
      </w:r>
      <w:r w:rsidR="007E24BA">
        <w:rPr>
          <w:rFonts w:ascii="Arial" w:hAnsi="Arial" w:cs="Arial"/>
          <w:sz w:val="22"/>
          <w:szCs w:val="22"/>
        </w:rPr>
        <w:t>s</w:t>
      </w:r>
      <w:r w:rsidRPr="00251B17">
        <w:rPr>
          <w:rFonts w:ascii="Arial" w:hAnsi="Arial" w:cs="Arial"/>
          <w:sz w:val="22"/>
          <w:szCs w:val="22"/>
        </w:rPr>
        <w:t xml:space="preserve">uspicious </w:t>
      </w:r>
      <w:r w:rsidR="007E24BA">
        <w:rPr>
          <w:rFonts w:ascii="Arial" w:hAnsi="Arial" w:cs="Arial"/>
          <w:sz w:val="22"/>
          <w:szCs w:val="22"/>
        </w:rPr>
        <w:t>i</w:t>
      </w:r>
      <w:r w:rsidRPr="00251B17">
        <w:rPr>
          <w:rFonts w:ascii="Arial" w:hAnsi="Arial" w:cs="Arial"/>
          <w:sz w:val="22"/>
          <w:szCs w:val="22"/>
        </w:rPr>
        <w:t>ncidents are as follows:</w:t>
      </w:r>
      <w:r w:rsidRPr="00251B17" w:rsidR="006D3BEA">
        <w:rPr>
          <w:rFonts w:ascii="Arial" w:hAnsi="Arial" w:cs="Arial"/>
          <w:sz w:val="22"/>
          <w:szCs w:val="22"/>
        </w:rPr>
        <w:t xml:space="preserve"> </w:t>
      </w:r>
      <w:r w:rsidRPr="00251B17">
        <w:rPr>
          <w:rFonts w:ascii="Arial" w:hAnsi="Arial" w:cs="Arial"/>
          <w:sz w:val="22"/>
          <w:szCs w:val="22"/>
        </w:rPr>
        <w:t xml:space="preserve"> incident ID, date, region, reporting organization, site/licensee name, report category, current phase, status, and last updated (date).</w:t>
      </w:r>
      <w:r w:rsidRPr="00251B17" w:rsidR="00BE36A3">
        <w:rPr>
          <w:rFonts w:ascii="Arial" w:hAnsi="Arial" w:cs="Arial"/>
          <w:sz w:val="22"/>
          <w:szCs w:val="22"/>
        </w:rPr>
        <w:t xml:space="preserve">  </w:t>
      </w:r>
      <w:r w:rsidRPr="00251B17">
        <w:rPr>
          <w:rFonts w:ascii="Arial" w:hAnsi="Arial" w:cs="Arial"/>
          <w:sz w:val="22"/>
          <w:szCs w:val="22"/>
        </w:rPr>
        <w:t xml:space="preserve">In order to avoid any potential issues with searching </w:t>
      </w:r>
      <w:r w:rsidR="007E24BA">
        <w:rPr>
          <w:rFonts w:ascii="Arial" w:hAnsi="Arial" w:cs="Arial"/>
          <w:sz w:val="22"/>
          <w:szCs w:val="22"/>
        </w:rPr>
        <w:t xml:space="preserve">for </w:t>
      </w:r>
      <w:r w:rsidRPr="00251B17" w:rsidR="00811ACD">
        <w:rPr>
          <w:rFonts w:ascii="Arial" w:hAnsi="Arial" w:cs="Arial"/>
          <w:sz w:val="22"/>
          <w:szCs w:val="22"/>
        </w:rPr>
        <w:t>PII</w:t>
      </w:r>
      <w:r w:rsidRPr="00251B17">
        <w:rPr>
          <w:rFonts w:ascii="Arial" w:hAnsi="Arial" w:cs="Arial"/>
          <w:sz w:val="22"/>
          <w:szCs w:val="22"/>
        </w:rPr>
        <w:t>, the full-text search feature is limited to the Communication Documents and Cyber Related Documents Views.</w:t>
      </w:r>
    </w:p>
    <w:p w:rsidRPr="00251B17" w:rsidR="0078488D" w:rsidP="001619A7" w:rsidRDefault="0078488D" w14:paraId="2F019689" w14:textId="77777777">
      <w:pPr>
        <w:rPr>
          <w:rFonts w:ascii="Arial" w:hAnsi="Arial" w:cs="Arial"/>
          <w:sz w:val="22"/>
          <w:szCs w:val="22"/>
        </w:rPr>
      </w:pPr>
    </w:p>
    <w:p w:rsidRPr="008261CF" w:rsidR="008261CF" w:rsidP="001619A7" w:rsidRDefault="0078488D" w14:paraId="199B75CE" w14:textId="77777777">
      <w:pPr>
        <w:numPr>
          <w:ilvl w:val="0"/>
          <w:numId w:val="9"/>
        </w:numPr>
        <w:rPr>
          <w:rFonts w:ascii="Arial" w:hAnsi="Arial" w:cs="Arial"/>
          <w:sz w:val="22"/>
          <w:szCs w:val="22"/>
        </w:rPr>
      </w:pPr>
      <w:r w:rsidRPr="00251B17">
        <w:rPr>
          <w:rFonts w:ascii="Arial" w:hAnsi="Arial" w:cs="Arial"/>
          <w:sz w:val="22"/>
          <w:szCs w:val="22"/>
          <w:u w:val="single"/>
        </w:rPr>
        <w:t>Justification for Sensitive Questions</w:t>
      </w:r>
    </w:p>
    <w:p w:rsidR="008261CF" w:rsidP="008261CF" w:rsidRDefault="008261CF" w14:paraId="2110A74F" w14:textId="77777777">
      <w:pPr>
        <w:ind w:left="1080"/>
        <w:rPr>
          <w:rFonts w:ascii="Arial" w:hAnsi="Arial" w:cs="Arial"/>
          <w:sz w:val="22"/>
          <w:szCs w:val="22"/>
          <w:u w:val="single"/>
        </w:rPr>
      </w:pPr>
    </w:p>
    <w:p w:rsidR="0078488D" w:rsidP="008261CF" w:rsidRDefault="0078488D" w14:paraId="6AF8D484" w14:textId="6770B25E">
      <w:pPr>
        <w:ind w:left="1080"/>
        <w:rPr>
          <w:rFonts w:ascii="Arial" w:hAnsi="Arial" w:cs="Arial"/>
          <w:sz w:val="22"/>
          <w:szCs w:val="22"/>
        </w:rPr>
      </w:pPr>
      <w:r w:rsidRPr="00251B17">
        <w:rPr>
          <w:rFonts w:ascii="Arial" w:hAnsi="Arial" w:cs="Arial"/>
          <w:sz w:val="22"/>
          <w:szCs w:val="22"/>
        </w:rPr>
        <w:t xml:space="preserve">No </w:t>
      </w:r>
      <w:r w:rsidRPr="00251B17" w:rsidR="00B75896">
        <w:rPr>
          <w:rFonts w:ascii="Arial" w:hAnsi="Arial" w:cs="Arial"/>
          <w:sz w:val="22"/>
          <w:szCs w:val="22"/>
        </w:rPr>
        <w:t xml:space="preserve">questions of a </w:t>
      </w:r>
      <w:r w:rsidRPr="00251B17">
        <w:rPr>
          <w:rFonts w:ascii="Arial" w:hAnsi="Arial" w:cs="Arial"/>
          <w:sz w:val="22"/>
          <w:szCs w:val="22"/>
        </w:rPr>
        <w:t xml:space="preserve">sensitive </w:t>
      </w:r>
      <w:r w:rsidRPr="00251B17" w:rsidR="00B75896">
        <w:rPr>
          <w:rFonts w:ascii="Arial" w:hAnsi="Arial" w:cs="Arial"/>
          <w:sz w:val="22"/>
          <w:szCs w:val="22"/>
        </w:rPr>
        <w:t xml:space="preserve">nature are contained in any of the associated information collection requirements.  </w:t>
      </w:r>
    </w:p>
    <w:p w:rsidRPr="00251B17" w:rsidR="008261CF" w:rsidP="008261CF" w:rsidRDefault="008261CF" w14:paraId="6977B9C1" w14:textId="77777777">
      <w:pPr>
        <w:ind w:left="1080"/>
        <w:rPr>
          <w:rFonts w:ascii="Arial" w:hAnsi="Arial" w:cs="Arial"/>
          <w:sz w:val="22"/>
          <w:szCs w:val="22"/>
        </w:rPr>
      </w:pPr>
    </w:p>
    <w:p w:rsidRPr="00251B17" w:rsidR="0078488D" w:rsidP="001619A7" w:rsidRDefault="0078488D" w14:paraId="66FDC87B" w14:textId="77777777">
      <w:pPr>
        <w:numPr>
          <w:ilvl w:val="0"/>
          <w:numId w:val="9"/>
        </w:numPr>
        <w:rPr>
          <w:rFonts w:ascii="Arial" w:hAnsi="Arial" w:cs="Arial"/>
          <w:sz w:val="22"/>
          <w:szCs w:val="22"/>
        </w:rPr>
      </w:pPr>
      <w:r w:rsidRPr="00251B17">
        <w:rPr>
          <w:rFonts w:ascii="Arial" w:hAnsi="Arial" w:cs="Arial"/>
          <w:sz w:val="22"/>
          <w:szCs w:val="22"/>
          <w:u w:val="single"/>
        </w:rPr>
        <w:t>Estimated Burden and Burden Hour Cost</w:t>
      </w:r>
    </w:p>
    <w:p w:rsidRPr="00251B17" w:rsidR="005F0B5D" w:rsidP="001619A7" w:rsidRDefault="005F0B5D" w14:paraId="1136DB62" w14:textId="44568603">
      <w:pPr>
        <w:ind w:left="1080"/>
        <w:rPr>
          <w:rFonts w:ascii="Arial" w:hAnsi="Arial" w:cs="Arial"/>
          <w:sz w:val="22"/>
          <w:szCs w:val="22"/>
          <w:u w:val="single"/>
        </w:rPr>
      </w:pPr>
    </w:p>
    <w:p w:rsidRPr="00251B17" w:rsidR="00F94E09" w:rsidP="00F94E09" w:rsidRDefault="00F94E09" w14:paraId="7FF34919" w14:textId="68993105">
      <w:pPr>
        <w:ind w:left="1080"/>
        <w:rPr>
          <w:rFonts w:ascii="Arial" w:hAnsi="Arial" w:cs="Arial"/>
          <w:i/>
          <w:iCs/>
          <w:sz w:val="22"/>
          <w:szCs w:val="22"/>
        </w:rPr>
      </w:pPr>
      <w:r w:rsidRPr="00251B17">
        <w:rPr>
          <w:rFonts w:ascii="Arial" w:hAnsi="Arial" w:cs="Arial"/>
          <w:sz w:val="22"/>
          <w:szCs w:val="22"/>
        </w:rPr>
        <w:t>The</w:t>
      </w:r>
      <w:r>
        <w:rPr>
          <w:rFonts w:ascii="Arial" w:hAnsi="Arial" w:cs="Arial"/>
          <w:sz w:val="22"/>
          <w:szCs w:val="22"/>
        </w:rPr>
        <w:t xml:space="preserve"> NRC </w:t>
      </w:r>
      <w:r w:rsidR="00326055">
        <w:rPr>
          <w:rFonts w:ascii="Arial" w:hAnsi="Arial" w:cs="Arial"/>
          <w:sz w:val="22"/>
          <w:szCs w:val="22"/>
        </w:rPr>
        <w:t>assumes</w:t>
      </w:r>
      <w:r w:rsidR="00B85E46">
        <w:rPr>
          <w:rFonts w:ascii="Arial" w:hAnsi="Arial" w:cs="Arial"/>
          <w:sz w:val="22"/>
          <w:szCs w:val="22"/>
        </w:rPr>
        <w:t xml:space="preserve"> a</w:t>
      </w:r>
      <w:r w:rsidRPr="00251B17">
        <w:rPr>
          <w:rFonts w:ascii="Arial" w:hAnsi="Arial" w:cs="Arial"/>
          <w:sz w:val="22"/>
          <w:szCs w:val="22"/>
        </w:rPr>
        <w:t xml:space="preserve"> $275 hourly rate </w:t>
      </w:r>
      <w:r w:rsidR="00326055">
        <w:rPr>
          <w:rFonts w:ascii="Arial" w:hAnsi="Arial" w:cs="Arial"/>
          <w:sz w:val="22"/>
          <w:szCs w:val="22"/>
        </w:rPr>
        <w:t>for licensees to calculate their</w:t>
      </w:r>
      <w:r w:rsidR="00770FFE">
        <w:rPr>
          <w:rFonts w:ascii="Arial" w:hAnsi="Arial" w:cs="Arial"/>
          <w:sz w:val="22"/>
          <w:szCs w:val="22"/>
        </w:rPr>
        <w:t xml:space="preserve"> estimated</w:t>
      </w:r>
      <w:r w:rsidR="00326055">
        <w:rPr>
          <w:rFonts w:ascii="Arial" w:hAnsi="Arial" w:cs="Arial"/>
          <w:sz w:val="22"/>
          <w:szCs w:val="22"/>
        </w:rPr>
        <w:t xml:space="preserve"> hourly cost</w:t>
      </w:r>
      <w:r w:rsidRPr="00251B17">
        <w:rPr>
          <w:rFonts w:ascii="Arial" w:hAnsi="Arial" w:cs="Arial"/>
          <w:sz w:val="22"/>
          <w:szCs w:val="22"/>
        </w:rPr>
        <w:t xml:space="preserve"> burden</w:t>
      </w:r>
      <w:r w:rsidR="00B85E46">
        <w:rPr>
          <w:rFonts w:ascii="Arial" w:hAnsi="Arial" w:cs="Arial"/>
          <w:sz w:val="22"/>
          <w:szCs w:val="22"/>
        </w:rPr>
        <w:t xml:space="preserve">. </w:t>
      </w:r>
      <w:r w:rsidR="00A13C9B">
        <w:rPr>
          <w:rFonts w:ascii="Arial" w:hAnsi="Arial" w:cs="Arial"/>
          <w:sz w:val="22"/>
          <w:szCs w:val="22"/>
        </w:rPr>
        <w:t xml:space="preserve"> The $275 hourly rate</w:t>
      </w:r>
      <w:r w:rsidRPr="00251B17">
        <w:rPr>
          <w:rFonts w:ascii="Arial" w:hAnsi="Arial" w:cs="Arial"/>
          <w:sz w:val="22"/>
          <w:szCs w:val="22"/>
        </w:rPr>
        <w:t xml:space="preserve"> is based on the NRC’s fee for hourly rates as noted in 10 CFR </w:t>
      </w:r>
      <w:r w:rsidR="00FD6203">
        <w:rPr>
          <w:rFonts w:ascii="Arial" w:hAnsi="Arial" w:cs="Arial"/>
          <w:sz w:val="22"/>
          <w:szCs w:val="22"/>
        </w:rPr>
        <w:t>section</w:t>
      </w:r>
      <w:r w:rsidR="006A79A4">
        <w:rPr>
          <w:rFonts w:ascii="Arial" w:hAnsi="Arial" w:cs="Arial"/>
          <w:sz w:val="22"/>
          <w:szCs w:val="22"/>
        </w:rPr>
        <w:t xml:space="preserve"> </w:t>
      </w:r>
      <w:r w:rsidRPr="00251B17">
        <w:rPr>
          <w:rFonts w:ascii="Arial" w:hAnsi="Arial" w:cs="Arial"/>
          <w:sz w:val="22"/>
          <w:szCs w:val="22"/>
        </w:rPr>
        <w:t>170.20</w:t>
      </w:r>
      <w:r w:rsidR="006A79A4">
        <w:rPr>
          <w:rFonts w:ascii="Arial" w:hAnsi="Arial" w:cs="Arial"/>
          <w:sz w:val="22"/>
          <w:szCs w:val="22"/>
        </w:rPr>
        <w:t>,</w:t>
      </w:r>
      <w:r w:rsidRPr="00251B17">
        <w:rPr>
          <w:rFonts w:ascii="Arial" w:hAnsi="Arial" w:cs="Arial"/>
          <w:sz w:val="22"/>
          <w:szCs w:val="22"/>
        </w:rPr>
        <w:t xml:space="preserve"> “Average cost per professional staff-hour.”</w:t>
      </w:r>
      <w:r>
        <w:rPr>
          <w:rFonts w:ascii="Arial" w:hAnsi="Arial" w:cs="Arial"/>
          <w:sz w:val="22"/>
          <w:szCs w:val="22"/>
        </w:rPr>
        <w:t xml:space="preserve"> </w:t>
      </w:r>
      <w:r w:rsidRPr="00251B17">
        <w:rPr>
          <w:rFonts w:ascii="Arial" w:hAnsi="Arial" w:cs="Arial"/>
          <w:sz w:val="22"/>
          <w:szCs w:val="22"/>
        </w:rPr>
        <w:t xml:space="preserve"> For more information on the basis of this rate, see the Revision of Fee Schedules; Fee Recovery for Fiscal Year 2018 (83 FR 29622, June 25, 2018).</w:t>
      </w:r>
    </w:p>
    <w:p w:rsidR="00F94E09" w:rsidP="001619A7" w:rsidRDefault="00F94E09" w14:paraId="66664441" w14:textId="77777777">
      <w:pPr>
        <w:ind w:left="1080"/>
        <w:rPr>
          <w:rFonts w:ascii="Arial" w:hAnsi="Arial" w:cs="Arial"/>
          <w:sz w:val="22"/>
          <w:szCs w:val="22"/>
        </w:rPr>
      </w:pPr>
    </w:p>
    <w:p w:rsidRPr="00251B17" w:rsidR="00841F63" w:rsidP="001619A7" w:rsidRDefault="00770FFE" w14:paraId="046FA7F4" w14:textId="0F502235">
      <w:pPr>
        <w:ind w:left="1080"/>
        <w:rPr>
          <w:rFonts w:ascii="Arial" w:hAnsi="Arial" w:cs="Arial"/>
          <w:sz w:val="22"/>
          <w:szCs w:val="22"/>
        </w:rPr>
      </w:pPr>
      <w:r>
        <w:rPr>
          <w:rFonts w:ascii="Arial" w:hAnsi="Arial" w:cs="Arial"/>
          <w:sz w:val="22"/>
          <w:szCs w:val="22"/>
        </w:rPr>
        <w:t>T</w:t>
      </w:r>
      <w:r w:rsidRPr="00251B17" w:rsidR="0078488D">
        <w:rPr>
          <w:rFonts w:ascii="Arial" w:hAnsi="Arial" w:cs="Arial"/>
          <w:sz w:val="22"/>
          <w:szCs w:val="22"/>
        </w:rPr>
        <w:t xml:space="preserve">he NRC staff estimates that </w:t>
      </w:r>
      <w:r w:rsidRPr="00251B17" w:rsidR="00516A21">
        <w:rPr>
          <w:rFonts w:ascii="Arial" w:hAnsi="Arial" w:cs="Arial"/>
          <w:sz w:val="22"/>
          <w:szCs w:val="22"/>
        </w:rPr>
        <w:t>62</w:t>
      </w:r>
      <w:r w:rsidRPr="00251B17" w:rsidR="000320E8">
        <w:rPr>
          <w:rFonts w:ascii="Arial" w:hAnsi="Arial" w:cs="Arial"/>
          <w:sz w:val="22"/>
          <w:szCs w:val="22"/>
        </w:rPr>
        <w:t xml:space="preserve"> </w:t>
      </w:r>
      <w:r w:rsidRPr="00251B17" w:rsidR="0078488D">
        <w:rPr>
          <w:rFonts w:ascii="Arial" w:hAnsi="Arial" w:cs="Arial"/>
          <w:sz w:val="22"/>
          <w:szCs w:val="22"/>
        </w:rPr>
        <w:t xml:space="preserve">licensees will annually submit </w:t>
      </w:r>
      <w:r w:rsidRPr="00251B17" w:rsidR="00516A21">
        <w:rPr>
          <w:rFonts w:ascii="Arial" w:hAnsi="Arial" w:cs="Arial"/>
          <w:sz w:val="22"/>
          <w:szCs w:val="22"/>
        </w:rPr>
        <w:t>124</w:t>
      </w:r>
      <w:r w:rsidRPr="00251B17" w:rsidR="000320E8">
        <w:rPr>
          <w:rFonts w:ascii="Arial" w:hAnsi="Arial" w:cs="Arial"/>
          <w:sz w:val="22"/>
          <w:szCs w:val="22"/>
        </w:rPr>
        <w:t xml:space="preserve"> </w:t>
      </w:r>
      <w:r w:rsidRPr="00251B17" w:rsidR="0078488D">
        <w:rPr>
          <w:rFonts w:ascii="Arial" w:hAnsi="Arial" w:cs="Arial"/>
          <w:sz w:val="22"/>
          <w:szCs w:val="22"/>
        </w:rPr>
        <w:t xml:space="preserve">reports through </w:t>
      </w:r>
      <w:r w:rsidR="007E24BA">
        <w:rPr>
          <w:rFonts w:ascii="Arial" w:hAnsi="Arial" w:cs="Arial"/>
          <w:sz w:val="22"/>
          <w:szCs w:val="22"/>
        </w:rPr>
        <w:t xml:space="preserve">the </w:t>
      </w:r>
      <w:r w:rsidRPr="00251B17" w:rsidR="0078488D">
        <w:rPr>
          <w:rFonts w:ascii="Arial" w:hAnsi="Arial" w:cs="Arial"/>
          <w:sz w:val="22"/>
          <w:szCs w:val="22"/>
        </w:rPr>
        <w:t xml:space="preserve">PWS, and that each report will require 2 hours to prepare and submit.  The total licensee burden for this information collection is </w:t>
      </w:r>
      <w:r w:rsidRPr="00251B17" w:rsidR="00516A21">
        <w:rPr>
          <w:rFonts w:ascii="Arial" w:hAnsi="Arial" w:cs="Arial"/>
          <w:sz w:val="22"/>
          <w:szCs w:val="22"/>
        </w:rPr>
        <w:t>248</w:t>
      </w:r>
      <w:r w:rsidRPr="00251B17" w:rsidR="00141182">
        <w:rPr>
          <w:rFonts w:ascii="Arial" w:hAnsi="Arial" w:cs="Arial"/>
          <w:sz w:val="22"/>
          <w:szCs w:val="22"/>
        </w:rPr>
        <w:t xml:space="preserve"> </w:t>
      </w:r>
      <w:r w:rsidRPr="00251B17" w:rsidR="0078488D">
        <w:rPr>
          <w:rFonts w:ascii="Arial" w:hAnsi="Arial" w:cs="Arial"/>
          <w:sz w:val="22"/>
          <w:szCs w:val="22"/>
        </w:rPr>
        <w:t xml:space="preserve">hours </w:t>
      </w:r>
      <w:r w:rsidRPr="00251B17" w:rsidR="00516A21">
        <w:rPr>
          <w:rFonts w:ascii="Arial" w:hAnsi="Arial" w:cs="Arial"/>
          <w:sz w:val="22"/>
          <w:szCs w:val="22"/>
        </w:rPr>
        <w:t xml:space="preserve">(124 reports x 2 </w:t>
      </w:r>
      <w:r w:rsidRPr="00251B17" w:rsidR="007E24BA">
        <w:rPr>
          <w:rFonts w:ascii="Arial" w:hAnsi="Arial" w:cs="Arial"/>
          <w:sz w:val="22"/>
          <w:szCs w:val="22"/>
        </w:rPr>
        <w:t xml:space="preserve">hours </w:t>
      </w:r>
      <w:r w:rsidRPr="00251B17" w:rsidR="00516A21">
        <w:rPr>
          <w:rFonts w:ascii="Arial" w:hAnsi="Arial" w:cs="Arial"/>
          <w:sz w:val="22"/>
          <w:szCs w:val="22"/>
        </w:rPr>
        <w:t xml:space="preserve">= 248 </w:t>
      </w:r>
      <w:r w:rsidRPr="00251B17" w:rsidR="007E24BA">
        <w:rPr>
          <w:rFonts w:ascii="Arial" w:hAnsi="Arial" w:cs="Arial"/>
          <w:sz w:val="22"/>
          <w:szCs w:val="22"/>
        </w:rPr>
        <w:t>hours</w:t>
      </w:r>
      <w:r w:rsidR="007E24BA">
        <w:rPr>
          <w:rFonts w:ascii="Arial" w:hAnsi="Arial" w:cs="Arial"/>
          <w:sz w:val="22"/>
          <w:szCs w:val="22"/>
        </w:rPr>
        <w:t>)</w:t>
      </w:r>
      <w:r w:rsidRPr="00251B17" w:rsidR="007E24BA">
        <w:rPr>
          <w:rFonts w:ascii="Arial" w:hAnsi="Arial" w:cs="Arial"/>
          <w:sz w:val="22"/>
          <w:szCs w:val="22"/>
        </w:rPr>
        <w:t xml:space="preserve"> </w:t>
      </w:r>
      <w:r w:rsidRPr="00251B17" w:rsidR="0078488D">
        <w:rPr>
          <w:rFonts w:ascii="Arial" w:hAnsi="Arial" w:cs="Arial"/>
          <w:sz w:val="22"/>
          <w:szCs w:val="22"/>
        </w:rPr>
        <w:t>at a cost of $</w:t>
      </w:r>
      <w:r w:rsidRPr="00251B17" w:rsidR="00516A21">
        <w:rPr>
          <w:rFonts w:ascii="Arial" w:hAnsi="Arial" w:cs="Arial"/>
          <w:sz w:val="22"/>
          <w:szCs w:val="22"/>
        </w:rPr>
        <w:t>68,200</w:t>
      </w:r>
      <w:r w:rsidRPr="00251B17" w:rsidR="00FB5593">
        <w:rPr>
          <w:rFonts w:ascii="Arial" w:hAnsi="Arial" w:cs="Arial"/>
          <w:sz w:val="22"/>
          <w:szCs w:val="22"/>
        </w:rPr>
        <w:t xml:space="preserve"> </w:t>
      </w:r>
      <w:r w:rsidRPr="00251B17" w:rsidR="009A42DB">
        <w:rPr>
          <w:rFonts w:ascii="Arial" w:hAnsi="Arial" w:cs="Arial"/>
          <w:sz w:val="22"/>
          <w:szCs w:val="22"/>
        </w:rPr>
        <w:t>(</w:t>
      </w:r>
      <w:r w:rsidRPr="00251B17" w:rsidR="00516A21">
        <w:rPr>
          <w:rFonts w:ascii="Arial" w:hAnsi="Arial" w:cs="Arial"/>
          <w:sz w:val="22"/>
          <w:szCs w:val="22"/>
        </w:rPr>
        <w:t xml:space="preserve">248 </w:t>
      </w:r>
      <w:r w:rsidRPr="00251B17" w:rsidR="009A42DB">
        <w:rPr>
          <w:rFonts w:ascii="Arial" w:hAnsi="Arial" w:cs="Arial"/>
          <w:sz w:val="22"/>
          <w:szCs w:val="22"/>
        </w:rPr>
        <w:t>hours x $</w:t>
      </w:r>
      <w:r w:rsidRPr="00251B17" w:rsidR="00DD49D9">
        <w:rPr>
          <w:rFonts w:ascii="Arial" w:hAnsi="Arial" w:cs="Arial"/>
          <w:sz w:val="22"/>
          <w:szCs w:val="22"/>
        </w:rPr>
        <w:t>275</w:t>
      </w:r>
      <w:r w:rsidRPr="00251B17" w:rsidR="00DC387E">
        <w:rPr>
          <w:rFonts w:ascii="Arial" w:hAnsi="Arial" w:cs="Arial"/>
          <w:sz w:val="22"/>
          <w:szCs w:val="22"/>
        </w:rPr>
        <w:t>/</w:t>
      </w:r>
      <w:r w:rsidRPr="00251B17" w:rsidR="0078488D">
        <w:rPr>
          <w:rFonts w:ascii="Arial" w:hAnsi="Arial" w:cs="Arial"/>
          <w:sz w:val="22"/>
          <w:szCs w:val="22"/>
        </w:rPr>
        <w:t>h</w:t>
      </w:r>
      <w:r w:rsidRPr="00251B17" w:rsidR="00856D77">
        <w:rPr>
          <w:rFonts w:ascii="Arial" w:hAnsi="Arial" w:cs="Arial"/>
          <w:sz w:val="22"/>
          <w:szCs w:val="22"/>
        </w:rPr>
        <w:t>ou</w:t>
      </w:r>
      <w:r w:rsidRPr="00251B17" w:rsidR="00FD509F">
        <w:rPr>
          <w:rFonts w:ascii="Arial" w:hAnsi="Arial" w:cs="Arial"/>
          <w:sz w:val="22"/>
          <w:szCs w:val="22"/>
        </w:rPr>
        <w:t>r) (see Table 1)</w:t>
      </w:r>
      <w:r w:rsidRPr="00251B17" w:rsidR="0078488D">
        <w:rPr>
          <w:rFonts w:ascii="Arial" w:hAnsi="Arial" w:cs="Arial"/>
          <w:sz w:val="22"/>
          <w:szCs w:val="22"/>
        </w:rPr>
        <w:t>.</w:t>
      </w:r>
    </w:p>
    <w:p w:rsidRPr="00251B17" w:rsidR="00841F63" w:rsidP="001619A7" w:rsidRDefault="00841F63" w14:paraId="50D00EE1" w14:textId="77777777">
      <w:pPr>
        <w:ind w:left="1080"/>
        <w:rPr>
          <w:rFonts w:ascii="Arial" w:hAnsi="Arial" w:cs="Arial"/>
          <w:sz w:val="22"/>
          <w:szCs w:val="22"/>
        </w:rPr>
      </w:pPr>
    </w:p>
    <w:p w:rsidRPr="00251B17" w:rsidR="0078488D" w:rsidP="001619A7" w:rsidRDefault="0078488D" w14:paraId="351E365C" w14:textId="77777777">
      <w:pPr>
        <w:pStyle w:val="Level1"/>
        <w:widowControl/>
        <w:numPr>
          <w:ilvl w:val="0"/>
          <w:numId w:val="9"/>
        </w:numPr>
        <w:rPr>
          <w:rFonts w:ascii="Arial" w:hAnsi="Arial" w:cs="Arial"/>
          <w:sz w:val="22"/>
          <w:szCs w:val="22"/>
        </w:rPr>
      </w:pPr>
      <w:r w:rsidRPr="00251B17">
        <w:rPr>
          <w:rFonts w:ascii="Arial" w:hAnsi="Arial" w:cs="Arial"/>
          <w:sz w:val="22"/>
          <w:szCs w:val="22"/>
          <w:u w:val="single"/>
        </w:rPr>
        <w:t>Estimate of Other Additional Costs</w:t>
      </w:r>
    </w:p>
    <w:p w:rsidRPr="00251B17" w:rsidR="003B54DD" w:rsidP="001619A7" w:rsidRDefault="003B54DD" w14:paraId="3A7531C4" w14:textId="77777777">
      <w:pPr>
        <w:ind w:left="1080"/>
        <w:rPr>
          <w:rFonts w:ascii="Arial" w:hAnsi="Arial" w:cs="Arial"/>
          <w:sz w:val="22"/>
          <w:szCs w:val="22"/>
        </w:rPr>
      </w:pPr>
    </w:p>
    <w:p w:rsidRPr="00251B17" w:rsidR="0078488D" w:rsidP="001619A7" w:rsidRDefault="0078488D" w14:paraId="34A937B8" w14:textId="2ECE468C">
      <w:pPr>
        <w:ind w:left="1080"/>
        <w:rPr>
          <w:rFonts w:ascii="Arial" w:hAnsi="Arial" w:cs="Arial"/>
          <w:sz w:val="22"/>
          <w:szCs w:val="22"/>
        </w:rPr>
      </w:pPr>
      <w:r w:rsidRPr="00251B17">
        <w:rPr>
          <w:rFonts w:ascii="Arial" w:hAnsi="Arial" w:cs="Arial"/>
          <w:sz w:val="22"/>
          <w:szCs w:val="22"/>
        </w:rPr>
        <w:t>There are no additional costs.</w:t>
      </w:r>
    </w:p>
    <w:p w:rsidR="00FD6203" w:rsidRDefault="00FD6203" w14:paraId="5ACB6462" w14:textId="0B42BF90">
      <w:pPr>
        <w:rPr>
          <w:rFonts w:ascii="Arial" w:hAnsi="Arial" w:cs="Arial"/>
          <w:sz w:val="22"/>
          <w:szCs w:val="22"/>
        </w:rPr>
      </w:pPr>
      <w:r>
        <w:rPr>
          <w:rFonts w:ascii="Arial" w:hAnsi="Arial" w:cs="Arial"/>
          <w:sz w:val="22"/>
          <w:szCs w:val="22"/>
        </w:rPr>
        <w:br w:type="page"/>
      </w:r>
    </w:p>
    <w:p w:rsidRPr="00251B17" w:rsidR="0078488D" w:rsidP="001619A7" w:rsidRDefault="0078488D" w14:paraId="1ABBB1D6" w14:textId="77777777">
      <w:pPr>
        <w:pStyle w:val="Level1"/>
        <w:widowControl/>
        <w:rPr>
          <w:rFonts w:ascii="Arial" w:hAnsi="Arial" w:cs="Arial"/>
          <w:sz w:val="22"/>
          <w:szCs w:val="22"/>
        </w:rPr>
      </w:pPr>
    </w:p>
    <w:p w:rsidRPr="007E24BA" w:rsidR="0078488D" w:rsidP="001619A7" w:rsidRDefault="0078488D" w14:paraId="47D6FBF0" w14:textId="4F0D0F85">
      <w:pPr>
        <w:pStyle w:val="Level1"/>
        <w:widowControl/>
        <w:numPr>
          <w:ilvl w:val="0"/>
          <w:numId w:val="9"/>
        </w:numPr>
        <w:rPr>
          <w:rFonts w:ascii="Arial" w:hAnsi="Arial" w:cs="Arial"/>
          <w:sz w:val="22"/>
          <w:szCs w:val="22"/>
        </w:rPr>
      </w:pPr>
      <w:r w:rsidRPr="00251B17">
        <w:rPr>
          <w:rFonts w:ascii="Arial" w:hAnsi="Arial" w:cs="Arial"/>
          <w:sz w:val="22"/>
          <w:szCs w:val="22"/>
          <w:u w:val="single"/>
        </w:rPr>
        <w:t>Estimated Annualized Cost to the Federal Government</w:t>
      </w:r>
    </w:p>
    <w:p w:rsidRPr="00251B17" w:rsidR="007E24BA" w:rsidP="007E24BA" w:rsidRDefault="007E24BA" w14:paraId="431932D7" w14:textId="77777777">
      <w:pPr>
        <w:pStyle w:val="Level1"/>
        <w:widowControl/>
        <w:ind w:left="1080"/>
        <w:rPr>
          <w:rFonts w:ascii="Arial" w:hAnsi="Arial" w:cs="Arial"/>
          <w:sz w:val="22"/>
          <w:szCs w:val="22"/>
        </w:rPr>
      </w:pPr>
    </w:p>
    <w:p w:rsidRPr="00251B17" w:rsidR="009A42DB" w:rsidP="001619A7" w:rsidRDefault="0078488D" w14:paraId="1D463119" w14:textId="77777777">
      <w:pPr>
        <w:pStyle w:val="Level1"/>
        <w:widowControl/>
        <w:ind w:left="1080"/>
        <w:rPr>
          <w:rFonts w:ascii="Arial" w:hAnsi="Arial" w:cs="Arial"/>
          <w:sz w:val="22"/>
          <w:szCs w:val="22"/>
        </w:rPr>
      </w:pPr>
      <w:r w:rsidRPr="00251B17">
        <w:rPr>
          <w:rFonts w:ascii="Arial" w:hAnsi="Arial" w:cs="Arial"/>
          <w:sz w:val="22"/>
          <w:szCs w:val="22"/>
        </w:rPr>
        <w:t xml:space="preserve">The annual costs to the NRC include staff hours and contractual support: </w:t>
      </w:r>
    </w:p>
    <w:p w:rsidRPr="00251B17" w:rsidR="009A42DB" w:rsidP="001619A7" w:rsidRDefault="009A42DB" w14:paraId="28D65956" w14:textId="77777777">
      <w:pPr>
        <w:pStyle w:val="Level1"/>
        <w:widowControl/>
        <w:ind w:left="1080"/>
        <w:rPr>
          <w:rFonts w:ascii="Arial" w:hAnsi="Arial" w:cs="Arial"/>
          <w:sz w:val="22"/>
          <w:szCs w:val="22"/>
        </w:rPr>
      </w:pPr>
    </w:p>
    <w:p w:rsidRPr="00251B17" w:rsidR="0078488D" w:rsidP="001619A7" w:rsidRDefault="0078488D" w14:paraId="422DF622" w14:textId="47DF9AA4">
      <w:pPr>
        <w:pStyle w:val="Level1"/>
        <w:widowControl/>
        <w:ind w:left="1080"/>
        <w:rPr>
          <w:rFonts w:ascii="Arial" w:hAnsi="Arial" w:cs="Arial"/>
          <w:sz w:val="22"/>
          <w:szCs w:val="22"/>
        </w:rPr>
      </w:pPr>
      <w:r w:rsidRPr="00251B17">
        <w:rPr>
          <w:rFonts w:ascii="Arial" w:hAnsi="Arial" w:cs="Arial"/>
          <w:sz w:val="22"/>
          <w:szCs w:val="22"/>
        </w:rPr>
        <w:t>Staff Hours = 1</w:t>
      </w:r>
      <w:r w:rsidRPr="00251B17" w:rsidR="00DC387E">
        <w:rPr>
          <w:rFonts w:ascii="Arial" w:hAnsi="Arial" w:cs="Arial"/>
          <w:sz w:val="22"/>
          <w:szCs w:val="22"/>
        </w:rPr>
        <w:t>,</w:t>
      </w:r>
      <w:r w:rsidRPr="00251B17">
        <w:rPr>
          <w:rFonts w:ascii="Arial" w:hAnsi="Arial" w:cs="Arial"/>
          <w:sz w:val="22"/>
          <w:szCs w:val="22"/>
        </w:rPr>
        <w:t>000 hours per year</w:t>
      </w:r>
      <w:r w:rsidR="00A146CF">
        <w:rPr>
          <w:rFonts w:ascii="Arial" w:hAnsi="Arial" w:cs="Arial"/>
          <w:sz w:val="22"/>
          <w:szCs w:val="22"/>
        </w:rPr>
        <w:t>, at</w:t>
      </w:r>
      <w:r w:rsidRPr="00251B17">
        <w:rPr>
          <w:rFonts w:ascii="Arial" w:hAnsi="Arial" w:cs="Arial"/>
          <w:sz w:val="22"/>
          <w:szCs w:val="22"/>
        </w:rPr>
        <w:t xml:space="preserve"> $</w:t>
      </w:r>
      <w:r w:rsidRPr="00251B17" w:rsidR="00C5521A">
        <w:rPr>
          <w:rFonts w:ascii="Arial" w:hAnsi="Arial" w:cs="Arial"/>
          <w:sz w:val="22"/>
          <w:szCs w:val="22"/>
        </w:rPr>
        <w:t>275</w:t>
      </w:r>
      <w:r w:rsidRPr="00251B17">
        <w:rPr>
          <w:rFonts w:ascii="Arial" w:hAnsi="Arial" w:cs="Arial"/>
          <w:sz w:val="22"/>
          <w:szCs w:val="22"/>
        </w:rPr>
        <w:t>/h</w:t>
      </w:r>
      <w:r w:rsidRPr="00251B17" w:rsidR="00856D77">
        <w:rPr>
          <w:rFonts w:ascii="Arial" w:hAnsi="Arial" w:cs="Arial"/>
          <w:sz w:val="22"/>
          <w:szCs w:val="22"/>
        </w:rPr>
        <w:t>ou</w:t>
      </w:r>
      <w:r w:rsidRPr="00251B17">
        <w:rPr>
          <w:rFonts w:ascii="Arial" w:hAnsi="Arial" w:cs="Arial"/>
          <w:sz w:val="22"/>
          <w:szCs w:val="22"/>
        </w:rPr>
        <w:t>r = $</w:t>
      </w:r>
      <w:r w:rsidRPr="00251B17" w:rsidR="00067826">
        <w:rPr>
          <w:rFonts w:ascii="Arial" w:hAnsi="Arial" w:cs="Arial"/>
          <w:sz w:val="22"/>
          <w:szCs w:val="22"/>
        </w:rPr>
        <w:t>275</w:t>
      </w:r>
      <w:r w:rsidRPr="00251B17" w:rsidR="00490037">
        <w:rPr>
          <w:rFonts w:ascii="Arial" w:hAnsi="Arial" w:cs="Arial"/>
          <w:sz w:val="22"/>
          <w:szCs w:val="22"/>
        </w:rPr>
        <w:t>,000</w:t>
      </w:r>
    </w:p>
    <w:p w:rsidRPr="00251B17" w:rsidR="00EC3C4C" w:rsidP="001619A7" w:rsidRDefault="0078488D" w14:paraId="3F5BDD3A" w14:textId="77777777">
      <w:pPr>
        <w:pStyle w:val="Level1"/>
        <w:widowControl/>
        <w:ind w:left="1080"/>
        <w:rPr>
          <w:rFonts w:ascii="Arial" w:hAnsi="Arial" w:cs="Arial"/>
          <w:sz w:val="22"/>
          <w:szCs w:val="22"/>
        </w:rPr>
      </w:pPr>
      <w:r w:rsidRPr="00251B17">
        <w:rPr>
          <w:rFonts w:ascii="Arial" w:hAnsi="Arial" w:cs="Arial"/>
          <w:sz w:val="22"/>
          <w:szCs w:val="22"/>
        </w:rPr>
        <w:t>Contractual Support = $1</w:t>
      </w:r>
      <w:r w:rsidRPr="00251B17" w:rsidR="00BD4489">
        <w:rPr>
          <w:rFonts w:ascii="Arial" w:hAnsi="Arial" w:cs="Arial"/>
          <w:sz w:val="22"/>
          <w:szCs w:val="22"/>
        </w:rPr>
        <w:t>40,000</w:t>
      </w:r>
      <w:r w:rsidRPr="00251B17">
        <w:rPr>
          <w:rFonts w:ascii="Arial" w:hAnsi="Arial" w:cs="Arial"/>
          <w:sz w:val="22"/>
          <w:szCs w:val="22"/>
        </w:rPr>
        <w:t xml:space="preserve"> per year</w:t>
      </w:r>
      <w:r w:rsidRPr="00251B17" w:rsidR="00DC387E">
        <w:rPr>
          <w:rFonts w:ascii="Arial" w:hAnsi="Arial" w:cs="Arial"/>
          <w:sz w:val="22"/>
          <w:szCs w:val="22"/>
        </w:rPr>
        <w:t xml:space="preserve"> </w:t>
      </w:r>
      <w:r w:rsidRPr="00251B17" w:rsidR="00FD6D3C">
        <w:rPr>
          <w:rFonts w:ascii="Arial" w:hAnsi="Arial" w:cs="Arial"/>
          <w:sz w:val="22"/>
          <w:szCs w:val="22"/>
        </w:rPr>
        <w:t xml:space="preserve">= prior year cost (beginning with </w:t>
      </w:r>
      <w:r w:rsidRPr="00251B17" w:rsidR="007A7201">
        <w:rPr>
          <w:rFonts w:ascii="Arial" w:hAnsi="Arial" w:cs="Arial"/>
          <w:sz w:val="22"/>
          <w:szCs w:val="22"/>
        </w:rPr>
        <w:t xml:space="preserve">$126,435 </w:t>
      </w:r>
    </w:p>
    <w:p w:rsidRPr="00251B17" w:rsidR="0078488D" w:rsidP="001619A7" w:rsidRDefault="007A7201" w14:paraId="78485189" w14:textId="41BE3BFB">
      <w:pPr>
        <w:pStyle w:val="Level1"/>
        <w:widowControl/>
        <w:ind w:left="1080"/>
        <w:rPr>
          <w:rFonts w:ascii="Arial" w:hAnsi="Arial" w:cs="Arial"/>
          <w:sz w:val="22"/>
          <w:szCs w:val="22"/>
        </w:rPr>
      </w:pPr>
      <w:r w:rsidRPr="00251B17">
        <w:rPr>
          <w:rFonts w:ascii="Arial" w:hAnsi="Arial" w:cs="Arial"/>
          <w:sz w:val="22"/>
          <w:szCs w:val="22"/>
        </w:rPr>
        <w:t xml:space="preserve">+ approximately </w:t>
      </w:r>
      <w:r w:rsidRPr="00251B17" w:rsidR="00FD6D3C">
        <w:rPr>
          <w:rFonts w:ascii="Arial" w:hAnsi="Arial" w:cs="Arial"/>
          <w:sz w:val="22"/>
          <w:szCs w:val="22"/>
        </w:rPr>
        <w:t>5</w:t>
      </w:r>
      <w:r w:rsidRPr="00251B17">
        <w:rPr>
          <w:rFonts w:ascii="Arial" w:hAnsi="Arial" w:cs="Arial"/>
          <w:sz w:val="22"/>
          <w:szCs w:val="22"/>
        </w:rPr>
        <w:t>% for the costs of inflation and information technology modernization</w:t>
      </w:r>
      <w:r w:rsidRPr="00251B17" w:rsidR="00FD6D3C">
        <w:rPr>
          <w:rFonts w:ascii="Arial" w:hAnsi="Arial" w:cs="Arial"/>
          <w:sz w:val="22"/>
          <w:szCs w:val="22"/>
        </w:rPr>
        <w:t xml:space="preserve"> per year</w:t>
      </w:r>
      <w:r w:rsidRPr="00251B17" w:rsidR="00FB5593">
        <w:rPr>
          <w:rFonts w:ascii="Arial" w:hAnsi="Arial" w:cs="Arial"/>
          <w:sz w:val="22"/>
          <w:szCs w:val="22"/>
        </w:rPr>
        <w:t>)</w:t>
      </w:r>
    </w:p>
    <w:p w:rsidRPr="00251B17" w:rsidR="0078488D" w:rsidP="001619A7" w:rsidRDefault="00BD4489" w14:paraId="096CF726" w14:textId="207EBA19">
      <w:pPr>
        <w:pStyle w:val="Level1"/>
        <w:widowControl/>
        <w:ind w:left="1080"/>
        <w:rPr>
          <w:rFonts w:ascii="Arial" w:hAnsi="Arial" w:cs="Arial"/>
          <w:sz w:val="22"/>
          <w:szCs w:val="22"/>
        </w:rPr>
      </w:pPr>
      <w:r w:rsidRPr="00251B17">
        <w:rPr>
          <w:rFonts w:ascii="Arial" w:hAnsi="Arial" w:cs="Arial"/>
          <w:sz w:val="22"/>
          <w:szCs w:val="22"/>
        </w:rPr>
        <w:t>TOTAL COST = $</w:t>
      </w:r>
      <w:r w:rsidRPr="00251B17" w:rsidR="00FE66C3">
        <w:rPr>
          <w:rFonts w:ascii="Arial" w:hAnsi="Arial" w:cs="Arial"/>
          <w:sz w:val="22"/>
          <w:szCs w:val="22"/>
        </w:rPr>
        <w:t>415</w:t>
      </w:r>
      <w:r w:rsidRPr="00251B17" w:rsidR="008C2FF1">
        <w:rPr>
          <w:rFonts w:ascii="Arial" w:hAnsi="Arial" w:cs="Arial"/>
          <w:sz w:val="22"/>
          <w:szCs w:val="22"/>
        </w:rPr>
        <w:t>,000</w:t>
      </w:r>
    </w:p>
    <w:p w:rsidRPr="00251B17" w:rsidR="0078488D" w:rsidP="001619A7" w:rsidRDefault="0078488D" w14:paraId="34522261" w14:textId="77777777">
      <w:pPr>
        <w:pStyle w:val="Level1"/>
        <w:widowControl/>
        <w:rPr>
          <w:rFonts w:ascii="Arial" w:hAnsi="Arial" w:cs="Arial"/>
          <w:sz w:val="22"/>
          <w:szCs w:val="22"/>
        </w:rPr>
      </w:pPr>
    </w:p>
    <w:p w:rsidRPr="00251B17" w:rsidR="0078488D" w:rsidP="001619A7" w:rsidRDefault="0078488D" w14:paraId="4DFDB835" w14:textId="77777777">
      <w:pPr>
        <w:widowControl w:val="0"/>
        <w:numPr>
          <w:ilvl w:val="0"/>
          <w:numId w:val="9"/>
        </w:numPr>
        <w:rPr>
          <w:rFonts w:ascii="Arial" w:hAnsi="Arial" w:cs="Arial"/>
          <w:sz w:val="22"/>
          <w:szCs w:val="22"/>
          <w:u w:val="single"/>
        </w:rPr>
      </w:pPr>
      <w:r w:rsidRPr="00251B17">
        <w:rPr>
          <w:rFonts w:ascii="Arial" w:hAnsi="Arial" w:cs="Arial"/>
          <w:sz w:val="22"/>
          <w:szCs w:val="22"/>
          <w:u w:val="single"/>
        </w:rPr>
        <w:t>Reasons for Change in Burden or Cost</w:t>
      </w:r>
    </w:p>
    <w:p w:rsidRPr="00251B17" w:rsidR="00E517C1" w:rsidP="001619A7" w:rsidRDefault="00E517C1" w14:paraId="711AB865" w14:textId="38B621EF">
      <w:pPr>
        <w:widowControl w:val="0"/>
        <w:ind w:left="1080"/>
        <w:rPr>
          <w:rFonts w:ascii="Arial" w:hAnsi="Arial" w:cs="Arial"/>
          <w:sz w:val="22"/>
          <w:szCs w:val="22"/>
          <w:u w:val="single"/>
        </w:rPr>
      </w:pPr>
    </w:p>
    <w:p w:rsidRPr="00251B17" w:rsidR="00E517C1" w:rsidP="001619A7" w:rsidRDefault="008B0AB6" w14:paraId="36F029E9" w14:textId="74412592">
      <w:pPr>
        <w:ind w:left="1080"/>
        <w:rPr>
          <w:rFonts w:ascii="Arial" w:hAnsi="Arial" w:cs="Arial"/>
          <w:sz w:val="22"/>
          <w:szCs w:val="22"/>
        </w:rPr>
      </w:pPr>
      <w:r w:rsidRPr="00251B17">
        <w:rPr>
          <w:rFonts w:ascii="Arial" w:hAnsi="Arial" w:cs="Arial"/>
          <w:sz w:val="22"/>
          <w:szCs w:val="22"/>
        </w:rPr>
        <w:t xml:space="preserve">There has been no change in the burden or the number of responses; however, </w:t>
      </w:r>
      <w:r w:rsidRPr="00251B17" w:rsidR="00E517C1">
        <w:rPr>
          <w:rFonts w:ascii="Arial" w:hAnsi="Arial" w:cs="Arial"/>
          <w:sz w:val="22"/>
          <w:szCs w:val="22"/>
        </w:rPr>
        <w:t xml:space="preserve">the respondent cost </w:t>
      </w:r>
      <w:r w:rsidRPr="00251B17">
        <w:rPr>
          <w:rFonts w:ascii="Arial" w:hAnsi="Arial" w:cs="Arial"/>
          <w:sz w:val="22"/>
          <w:szCs w:val="22"/>
        </w:rPr>
        <w:t xml:space="preserve">increased </w:t>
      </w:r>
      <w:r w:rsidRPr="00251B17" w:rsidR="00E517C1">
        <w:rPr>
          <w:rFonts w:ascii="Arial" w:hAnsi="Arial" w:cs="Arial"/>
          <w:sz w:val="22"/>
          <w:szCs w:val="22"/>
        </w:rPr>
        <w:t xml:space="preserve">due to the </w:t>
      </w:r>
      <w:r w:rsidRPr="00251B17" w:rsidR="00C5521A">
        <w:rPr>
          <w:rFonts w:ascii="Arial" w:hAnsi="Arial" w:cs="Arial"/>
          <w:sz w:val="22"/>
          <w:szCs w:val="22"/>
        </w:rPr>
        <w:t xml:space="preserve">increase </w:t>
      </w:r>
      <w:r w:rsidRPr="00251B17" w:rsidR="00E517C1">
        <w:rPr>
          <w:rFonts w:ascii="Arial" w:hAnsi="Arial" w:cs="Arial"/>
          <w:sz w:val="22"/>
          <w:szCs w:val="22"/>
        </w:rPr>
        <w:t>in the fee rate from $</w:t>
      </w:r>
      <w:r w:rsidRPr="00251B17" w:rsidR="00C5521A">
        <w:rPr>
          <w:rFonts w:ascii="Arial" w:hAnsi="Arial" w:cs="Arial"/>
          <w:sz w:val="22"/>
          <w:szCs w:val="22"/>
        </w:rPr>
        <w:t xml:space="preserve">265 </w:t>
      </w:r>
      <w:r w:rsidRPr="00251B17" w:rsidR="00E517C1">
        <w:rPr>
          <w:rFonts w:ascii="Arial" w:hAnsi="Arial" w:cs="Arial"/>
          <w:sz w:val="22"/>
          <w:szCs w:val="22"/>
        </w:rPr>
        <w:t>to $</w:t>
      </w:r>
      <w:r w:rsidRPr="00251B17" w:rsidR="00C5521A">
        <w:rPr>
          <w:rFonts w:ascii="Arial" w:hAnsi="Arial" w:cs="Arial"/>
          <w:sz w:val="22"/>
          <w:szCs w:val="22"/>
        </w:rPr>
        <w:t>275</w:t>
      </w:r>
      <w:r w:rsidRPr="00251B17" w:rsidR="00E517C1">
        <w:rPr>
          <w:rFonts w:ascii="Arial" w:hAnsi="Arial" w:cs="Arial"/>
          <w:sz w:val="22"/>
          <w:szCs w:val="22"/>
        </w:rPr>
        <w:t>/hour.</w:t>
      </w:r>
    </w:p>
    <w:p w:rsidRPr="00251B17" w:rsidR="00E517C1" w:rsidP="001619A7" w:rsidRDefault="00E517C1" w14:paraId="16E3640D" w14:textId="77777777">
      <w:pPr>
        <w:ind w:left="1080"/>
        <w:rPr>
          <w:rFonts w:ascii="Arial" w:hAnsi="Arial" w:cs="Arial"/>
          <w:sz w:val="22"/>
          <w:szCs w:val="22"/>
        </w:rPr>
      </w:pPr>
    </w:p>
    <w:p w:rsidRPr="00251B17" w:rsidR="0078488D" w:rsidP="001619A7" w:rsidRDefault="0078488D" w14:paraId="4138090B" w14:textId="77777777">
      <w:pPr>
        <w:pStyle w:val="Level1"/>
        <w:numPr>
          <w:ilvl w:val="0"/>
          <w:numId w:val="9"/>
        </w:numPr>
        <w:rPr>
          <w:rFonts w:ascii="Arial" w:hAnsi="Arial" w:cs="Arial"/>
          <w:sz w:val="22"/>
          <w:szCs w:val="22"/>
        </w:rPr>
      </w:pPr>
      <w:r w:rsidRPr="00251B17">
        <w:rPr>
          <w:rFonts w:ascii="Arial" w:hAnsi="Arial" w:cs="Arial"/>
          <w:sz w:val="22"/>
          <w:szCs w:val="22"/>
          <w:u w:val="single"/>
        </w:rPr>
        <w:t>Publication for Statistical Use</w:t>
      </w:r>
    </w:p>
    <w:p w:rsidRPr="00251B17" w:rsidR="0078488D" w:rsidP="001619A7" w:rsidRDefault="0078488D" w14:paraId="1DBFB39B" w14:textId="77777777">
      <w:pPr>
        <w:pStyle w:val="Level1"/>
        <w:rPr>
          <w:rFonts w:ascii="Arial" w:hAnsi="Arial" w:cs="Arial"/>
          <w:sz w:val="22"/>
          <w:szCs w:val="22"/>
        </w:rPr>
      </w:pPr>
    </w:p>
    <w:p w:rsidRPr="00251B17" w:rsidR="0078488D" w:rsidP="001619A7" w:rsidRDefault="0078488D" w14:paraId="5E59F528" w14:textId="683C5ED1">
      <w:pPr>
        <w:pStyle w:val="Level1"/>
        <w:ind w:left="1080"/>
        <w:rPr>
          <w:rFonts w:ascii="Arial" w:hAnsi="Arial" w:cs="Arial"/>
          <w:sz w:val="22"/>
          <w:szCs w:val="22"/>
        </w:rPr>
      </w:pPr>
      <w:r w:rsidRPr="00251B17">
        <w:rPr>
          <w:rFonts w:ascii="Arial" w:hAnsi="Arial" w:cs="Arial"/>
          <w:sz w:val="22"/>
          <w:szCs w:val="22"/>
        </w:rPr>
        <w:t xml:space="preserve">Due to the sensitivity of the information contained in </w:t>
      </w:r>
      <w:r w:rsidR="007E24BA">
        <w:rPr>
          <w:rFonts w:ascii="Arial" w:hAnsi="Arial" w:cs="Arial"/>
          <w:sz w:val="22"/>
          <w:szCs w:val="22"/>
        </w:rPr>
        <w:t xml:space="preserve">the </w:t>
      </w:r>
      <w:r w:rsidRPr="00251B17">
        <w:rPr>
          <w:rFonts w:ascii="Arial" w:hAnsi="Arial" w:cs="Arial"/>
          <w:sz w:val="22"/>
          <w:szCs w:val="22"/>
        </w:rPr>
        <w:t xml:space="preserve">PWS, all information is considered OFFICIAL USE ONLY and </w:t>
      </w:r>
      <w:r w:rsidR="00B32005">
        <w:rPr>
          <w:rFonts w:ascii="Arial" w:hAnsi="Arial" w:cs="Arial"/>
          <w:sz w:val="22"/>
          <w:szCs w:val="22"/>
        </w:rPr>
        <w:t xml:space="preserve">will </w:t>
      </w:r>
      <w:r w:rsidRPr="00251B17">
        <w:rPr>
          <w:rFonts w:ascii="Arial" w:hAnsi="Arial" w:cs="Arial"/>
          <w:sz w:val="22"/>
          <w:szCs w:val="22"/>
        </w:rPr>
        <w:t>not be shared publicly.</w:t>
      </w:r>
    </w:p>
    <w:p w:rsidRPr="00251B17" w:rsidR="0078488D" w:rsidP="001619A7" w:rsidRDefault="0078488D" w14:paraId="3C1EF40C" w14:textId="77777777">
      <w:pPr>
        <w:pStyle w:val="Level1"/>
        <w:rPr>
          <w:rFonts w:ascii="Arial" w:hAnsi="Arial" w:cs="Arial"/>
          <w:sz w:val="22"/>
          <w:szCs w:val="22"/>
        </w:rPr>
      </w:pPr>
    </w:p>
    <w:p w:rsidRPr="00251B17" w:rsidR="0078488D" w:rsidP="001619A7" w:rsidRDefault="0078488D" w14:paraId="0A853526" w14:textId="77777777">
      <w:pPr>
        <w:pStyle w:val="Level1"/>
        <w:numPr>
          <w:ilvl w:val="0"/>
          <w:numId w:val="9"/>
        </w:numPr>
        <w:rPr>
          <w:rFonts w:ascii="Arial" w:hAnsi="Arial" w:cs="Arial"/>
          <w:sz w:val="22"/>
          <w:szCs w:val="22"/>
        </w:rPr>
      </w:pPr>
      <w:r w:rsidRPr="00251B17">
        <w:rPr>
          <w:rFonts w:ascii="Arial" w:hAnsi="Arial" w:cs="Arial"/>
          <w:sz w:val="22"/>
          <w:szCs w:val="22"/>
          <w:u w:val="single"/>
        </w:rPr>
        <w:t>Reason for Not Displaying the Expiration Date</w:t>
      </w:r>
    </w:p>
    <w:p w:rsidRPr="00251B17" w:rsidR="0078488D" w:rsidP="001619A7" w:rsidRDefault="0078488D" w14:paraId="33549C8A" w14:textId="77777777">
      <w:pPr>
        <w:pStyle w:val="Level1"/>
        <w:rPr>
          <w:rFonts w:ascii="Arial" w:hAnsi="Arial" w:cs="Arial"/>
          <w:sz w:val="22"/>
          <w:szCs w:val="22"/>
        </w:rPr>
      </w:pPr>
    </w:p>
    <w:p w:rsidRPr="00251B17" w:rsidR="0078488D" w:rsidP="001619A7" w:rsidRDefault="00F61C20" w14:paraId="50063AA4" w14:textId="154F27C3">
      <w:pPr>
        <w:pStyle w:val="Level1"/>
        <w:ind w:left="1080"/>
        <w:rPr>
          <w:rFonts w:ascii="Arial" w:hAnsi="Arial" w:cs="Arial"/>
          <w:sz w:val="22"/>
          <w:szCs w:val="22"/>
        </w:rPr>
      </w:pPr>
      <w:r>
        <w:rPr>
          <w:rFonts w:ascii="Arial" w:hAnsi="Arial" w:cs="Arial"/>
          <w:sz w:val="22"/>
          <w:szCs w:val="22"/>
        </w:rPr>
        <w:t>This section is n</w:t>
      </w:r>
      <w:r w:rsidRPr="00251B17" w:rsidR="0078488D">
        <w:rPr>
          <w:rFonts w:ascii="Arial" w:hAnsi="Arial" w:cs="Arial"/>
          <w:sz w:val="22"/>
          <w:szCs w:val="22"/>
        </w:rPr>
        <w:t xml:space="preserve">ot </w:t>
      </w:r>
      <w:r>
        <w:rPr>
          <w:rFonts w:ascii="Arial" w:hAnsi="Arial" w:cs="Arial"/>
          <w:sz w:val="22"/>
          <w:szCs w:val="22"/>
        </w:rPr>
        <w:t>a</w:t>
      </w:r>
      <w:r w:rsidRPr="00251B17" w:rsidR="0078488D">
        <w:rPr>
          <w:rFonts w:ascii="Arial" w:hAnsi="Arial" w:cs="Arial"/>
          <w:sz w:val="22"/>
          <w:szCs w:val="22"/>
        </w:rPr>
        <w:t xml:space="preserve">pplicable. </w:t>
      </w:r>
    </w:p>
    <w:p w:rsidRPr="00251B17" w:rsidR="0078488D" w:rsidP="001619A7" w:rsidRDefault="0078488D" w14:paraId="1A047D9F" w14:textId="77777777">
      <w:pPr>
        <w:pStyle w:val="Level1"/>
        <w:rPr>
          <w:rFonts w:ascii="Arial" w:hAnsi="Arial" w:cs="Arial"/>
          <w:sz w:val="22"/>
          <w:szCs w:val="22"/>
        </w:rPr>
      </w:pPr>
    </w:p>
    <w:p w:rsidRPr="00251B17" w:rsidR="0078488D" w:rsidP="001619A7" w:rsidRDefault="0078488D" w14:paraId="395400A6" w14:textId="77777777">
      <w:pPr>
        <w:pStyle w:val="Level1"/>
        <w:numPr>
          <w:ilvl w:val="0"/>
          <w:numId w:val="9"/>
        </w:numPr>
        <w:rPr>
          <w:rFonts w:ascii="Arial" w:hAnsi="Arial" w:cs="Arial"/>
          <w:sz w:val="22"/>
          <w:szCs w:val="22"/>
        </w:rPr>
      </w:pPr>
      <w:r w:rsidRPr="00251B17">
        <w:rPr>
          <w:rFonts w:ascii="Arial" w:hAnsi="Arial" w:cs="Arial"/>
          <w:sz w:val="22"/>
          <w:szCs w:val="22"/>
          <w:u w:val="single"/>
        </w:rPr>
        <w:t>Exceptions to the Certification Statement</w:t>
      </w:r>
    </w:p>
    <w:p w:rsidRPr="00251B17" w:rsidR="0078488D" w:rsidP="001619A7" w:rsidRDefault="0078488D" w14:paraId="66A9A982" w14:textId="77777777">
      <w:pPr>
        <w:pStyle w:val="Level1"/>
        <w:rPr>
          <w:rFonts w:ascii="Arial" w:hAnsi="Arial" w:cs="Arial"/>
          <w:sz w:val="22"/>
          <w:szCs w:val="22"/>
          <w:u w:val="single"/>
        </w:rPr>
      </w:pPr>
    </w:p>
    <w:p w:rsidRPr="00251B17" w:rsidR="0078488D" w:rsidP="00FB1FF4" w:rsidRDefault="0078488D" w14:paraId="39103133" w14:textId="6BAC2111">
      <w:pPr>
        <w:pStyle w:val="Level1"/>
        <w:ind w:left="1080"/>
        <w:rPr>
          <w:rFonts w:ascii="Arial" w:hAnsi="Arial" w:cs="Arial"/>
          <w:sz w:val="22"/>
          <w:szCs w:val="22"/>
        </w:rPr>
      </w:pPr>
      <w:r w:rsidRPr="00251B17">
        <w:rPr>
          <w:rFonts w:ascii="Arial" w:hAnsi="Arial" w:cs="Arial"/>
          <w:sz w:val="22"/>
          <w:szCs w:val="22"/>
        </w:rPr>
        <w:t>None.</w:t>
      </w:r>
    </w:p>
    <w:p w:rsidRPr="00251B17" w:rsidR="0025350D" w:rsidP="00FB1FF4" w:rsidRDefault="0025350D" w14:paraId="457D7A05" w14:textId="77777777">
      <w:pPr>
        <w:pStyle w:val="Level1"/>
        <w:ind w:left="1080"/>
        <w:rPr>
          <w:rFonts w:ascii="Arial" w:hAnsi="Arial" w:cs="Arial"/>
          <w:sz w:val="22"/>
          <w:szCs w:val="22"/>
        </w:rPr>
      </w:pPr>
    </w:p>
    <w:p w:rsidRPr="00251B17" w:rsidR="0078488D" w:rsidP="001619A7" w:rsidRDefault="0078488D" w14:paraId="3D3C394F" w14:textId="77777777">
      <w:pPr>
        <w:widowControl w:val="0"/>
        <w:numPr>
          <w:ilvl w:val="0"/>
          <w:numId w:val="8"/>
        </w:numPr>
        <w:rPr>
          <w:rFonts w:ascii="Arial" w:hAnsi="Arial" w:cs="Arial"/>
          <w:sz w:val="22"/>
          <w:szCs w:val="22"/>
        </w:rPr>
      </w:pPr>
      <w:r w:rsidRPr="00251B17">
        <w:rPr>
          <w:rFonts w:ascii="Arial" w:hAnsi="Arial" w:cs="Arial"/>
          <w:sz w:val="22"/>
          <w:szCs w:val="22"/>
        </w:rPr>
        <w:t>COLLECTIONS OF INFORMATION EMPLOYING STATISTICAL METHODS</w:t>
      </w:r>
    </w:p>
    <w:p w:rsidRPr="00251B17" w:rsidR="0078488D" w:rsidP="001619A7" w:rsidRDefault="0078488D" w14:paraId="4A6F65FD" w14:textId="77777777">
      <w:pPr>
        <w:widowControl w:val="0"/>
        <w:rPr>
          <w:rFonts w:ascii="Arial" w:hAnsi="Arial" w:cs="Arial"/>
          <w:sz w:val="22"/>
          <w:szCs w:val="22"/>
          <w:u w:val="single"/>
        </w:rPr>
      </w:pPr>
    </w:p>
    <w:p w:rsidRPr="00251B17" w:rsidR="0078488D" w:rsidP="001619A7" w:rsidRDefault="00F61C20" w14:paraId="2EA87008" w14:textId="18B52F25">
      <w:pPr>
        <w:widowControl w:val="0"/>
        <w:ind w:left="720"/>
        <w:rPr>
          <w:rFonts w:ascii="Arial" w:hAnsi="Arial" w:cs="Arial"/>
          <w:sz w:val="22"/>
          <w:szCs w:val="22"/>
        </w:rPr>
      </w:pPr>
      <w:r>
        <w:rPr>
          <w:rFonts w:ascii="Arial" w:hAnsi="Arial" w:cs="Arial"/>
          <w:sz w:val="22"/>
          <w:szCs w:val="22"/>
        </w:rPr>
        <w:t>This section is n</w:t>
      </w:r>
      <w:r w:rsidRPr="00251B17" w:rsidR="0078488D">
        <w:rPr>
          <w:rFonts w:ascii="Arial" w:hAnsi="Arial" w:cs="Arial"/>
          <w:sz w:val="22"/>
          <w:szCs w:val="22"/>
        </w:rPr>
        <w:t>ot applicable.</w:t>
      </w:r>
    </w:p>
    <w:p w:rsidR="0078488D" w:rsidP="001619A7" w:rsidRDefault="0078488D" w14:paraId="0EDEA393" w14:textId="72D469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u w:val="single"/>
        </w:rPr>
      </w:pPr>
      <w:r w:rsidRPr="00251B17">
        <w:rPr>
          <w:rFonts w:ascii="Arial" w:hAnsi="Arial" w:cs="Arial"/>
          <w:sz w:val="22"/>
          <w:szCs w:val="22"/>
        </w:rPr>
        <w:br w:type="page"/>
      </w:r>
      <w:r w:rsidRPr="00251B17">
        <w:rPr>
          <w:rFonts w:ascii="Arial" w:hAnsi="Arial" w:cs="Arial"/>
          <w:sz w:val="22"/>
          <w:szCs w:val="22"/>
          <w:u w:val="single"/>
        </w:rPr>
        <w:lastRenderedPageBreak/>
        <w:t>TABLE 1</w:t>
      </w:r>
    </w:p>
    <w:p w:rsidRPr="00251B17" w:rsidR="000E286C" w:rsidP="001619A7" w:rsidRDefault="000E286C" w14:paraId="59D542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u w:val="single"/>
        </w:rPr>
      </w:pPr>
    </w:p>
    <w:p w:rsidR="0078488D" w:rsidP="001619A7" w:rsidRDefault="0078488D" w14:paraId="0E35E884" w14:textId="7CD546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r w:rsidRPr="00251B17">
        <w:rPr>
          <w:rFonts w:ascii="Arial" w:hAnsi="Arial" w:cs="Arial"/>
          <w:sz w:val="22"/>
          <w:szCs w:val="22"/>
        </w:rPr>
        <w:t xml:space="preserve">ANNUALIZED REPORTING BURDEN </w:t>
      </w:r>
    </w:p>
    <w:p w:rsidRPr="00251B17" w:rsidR="000E286C" w:rsidP="001619A7" w:rsidRDefault="000E286C" w14:paraId="196722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cs="Arial"/>
          <w:sz w:val="22"/>
          <w:szCs w:val="22"/>
        </w:rPr>
      </w:pPr>
    </w:p>
    <w:tbl>
      <w:tblPr>
        <w:tblW w:w="9358" w:type="dxa"/>
        <w:jc w:val="center"/>
        <w:tblLayout w:type="fixed"/>
        <w:tblCellMar>
          <w:top w:w="43" w:type="dxa"/>
          <w:left w:w="43" w:type="dxa"/>
          <w:bottom w:w="43" w:type="dxa"/>
          <w:right w:w="43" w:type="dxa"/>
        </w:tblCellMar>
        <w:tblLook w:val="04A0" w:firstRow="1" w:lastRow="0" w:firstColumn="1" w:lastColumn="0" w:noHBand="0" w:noVBand="1"/>
      </w:tblPr>
      <w:tblGrid>
        <w:gridCol w:w="2242"/>
        <w:gridCol w:w="1440"/>
        <w:gridCol w:w="1350"/>
        <w:gridCol w:w="1350"/>
        <w:gridCol w:w="1583"/>
        <w:gridCol w:w="1393"/>
      </w:tblGrid>
      <w:tr w:rsidRPr="00251B17" w:rsidR="001310A0" w:rsidTr="000A74F2" w14:paraId="7CDCE458" w14:textId="77777777">
        <w:trPr>
          <w:trHeight w:val="1139"/>
          <w:jc w:val="center"/>
        </w:trPr>
        <w:tc>
          <w:tcPr>
            <w:tcW w:w="2242"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4525C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Section</w:t>
            </w:r>
          </w:p>
        </w:tc>
        <w:tc>
          <w:tcPr>
            <w:tcW w:w="1440"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553FDF33" w14:textId="441006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No. of Respondents</w:t>
            </w:r>
          </w:p>
        </w:tc>
        <w:tc>
          <w:tcPr>
            <w:tcW w:w="1350"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1310A0" w14:paraId="05448554" w14:textId="26E818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Responses per Respondent</w:t>
            </w:r>
          </w:p>
        </w:tc>
        <w:tc>
          <w:tcPr>
            <w:tcW w:w="1350"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76C72543" w14:textId="54A627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Total No. of Responses</w:t>
            </w:r>
          </w:p>
        </w:tc>
        <w:tc>
          <w:tcPr>
            <w:tcW w:w="1583"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50ED7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Burden Hours per Response</w:t>
            </w:r>
          </w:p>
        </w:tc>
        <w:tc>
          <w:tcPr>
            <w:tcW w:w="1393"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4061A3FC" w14:textId="7722FE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Total Annual Reporting Burden (</w:t>
            </w:r>
            <w:r w:rsidRPr="00251B17" w:rsidR="007E24BA">
              <w:rPr>
                <w:rFonts w:ascii="Arial" w:hAnsi="Arial" w:cs="Arial"/>
                <w:sz w:val="22"/>
                <w:szCs w:val="22"/>
              </w:rPr>
              <w:t>hours</w:t>
            </w:r>
            <w:r w:rsidRPr="00251B17">
              <w:rPr>
                <w:rFonts w:ascii="Arial" w:hAnsi="Arial" w:cs="Arial"/>
                <w:sz w:val="22"/>
                <w:szCs w:val="22"/>
              </w:rPr>
              <w:t>)</w:t>
            </w:r>
          </w:p>
        </w:tc>
      </w:tr>
      <w:tr w:rsidRPr="00251B17" w:rsidR="001310A0" w:rsidTr="000A74F2" w14:paraId="06894A0F" w14:textId="77777777">
        <w:trPr>
          <w:trHeight w:val="869"/>
          <w:jc w:val="center"/>
        </w:trPr>
        <w:tc>
          <w:tcPr>
            <w:tcW w:w="2242" w:type="dxa"/>
            <w:tcBorders>
              <w:top w:val="single" w:color="000000" w:sz="6" w:space="0"/>
              <w:left w:val="single" w:color="000000" w:sz="6" w:space="0"/>
              <w:bottom w:val="single" w:color="000000" w:sz="6" w:space="0"/>
              <w:right w:val="single" w:color="000000" w:sz="6" w:space="0"/>
            </w:tcBorders>
            <w:vAlign w:val="center"/>
            <w:hideMark/>
          </w:tcPr>
          <w:p w:rsidRPr="00251B17" w:rsidR="001310A0" w:rsidP="009101FF" w:rsidRDefault="001310A0" w14:paraId="4130F017" w14:textId="2CDA9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 xml:space="preserve">Voluntary Suspicious Incident Reporting for </w:t>
            </w:r>
            <w:r w:rsidR="009101FF">
              <w:rPr>
                <w:rFonts w:ascii="Arial" w:hAnsi="Arial" w:cs="Arial"/>
                <w:sz w:val="22"/>
                <w:szCs w:val="22"/>
              </w:rPr>
              <w:br/>
            </w:r>
            <w:r w:rsidRPr="00251B17">
              <w:rPr>
                <w:rFonts w:ascii="Arial" w:hAnsi="Arial" w:cs="Arial"/>
                <w:sz w:val="22"/>
                <w:szCs w:val="22"/>
              </w:rPr>
              <w:t xml:space="preserve">CY </w:t>
            </w:r>
            <w:r w:rsidRPr="00251B17" w:rsidR="00B7029D">
              <w:rPr>
                <w:rFonts w:ascii="Arial" w:hAnsi="Arial" w:cs="Arial"/>
                <w:sz w:val="22"/>
                <w:szCs w:val="22"/>
              </w:rPr>
              <w:t>2018</w:t>
            </w:r>
          </w:p>
        </w:tc>
        <w:tc>
          <w:tcPr>
            <w:tcW w:w="1440"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0875EF" w14:paraId="0D778065" w14:textId="0B534B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62</w:t>
            </w:r>
          </w:p>
        </w:tc>
        <w:tc>
          <w:tcPr>
            <w:tcW w:w="1350"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FB5593" w14:paraId="2A3B3CAB" w14:textId="2B0A73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2</w:t>
            </w:r>
          </w:p>
        </w:tc>
        <w:tc>
          <w:tcPr>
            <w:tcW w:w="1350"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0875EF" w14:paraId="620B2402" w14:textId="1577AC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124</w:t>
            </w:r>
          </w:p>
        </w:tc>
        <w:tc>
          <w:tcPr>
            <w:tcW w:w="1583"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1310A0" w14:paraId="607143EE" w14:textId="03C8B8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2</w:t>
            </w:r>
          </w:p>
        </w:tc>
        <w:tc>
          <w:tcPr>
            <w:tcW w:w="1393" w:type="dxa"/>
            <w:tcBorders>
              <w:top w:val="single" w:color="000000" w:sz="6" w:space="0"/>
              <w:left w:val="single" w:color="000000" w:sz="6" w:space="0"/>
              <w:bottom w:val="single" w:color="000000" w:sz="6" w:space="0"/>
              <w:right w:val="single" w:color="000000" w:sz="6" w:space="0"/>
            </w:tcBorders>
            <w:vAlign w:val="center"/>
          </w:tcPr>
          <w:p w:rsidRPr="00251B17" w:rsidR="001310A0" w:rsidP="009101FF" w:rsidRDefault="000875EF" w14:paraId="7447EE2E" w14:textId="2B1528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2"/>
                <w:szCs w:val="22"/>
              </w:rPr>
            </w:pPr>
            <w:r w:rsidRPr="00251B17">
              <w:rPr>
                <w:rFonts w:ascii="Arial" w:hAnsi="Arial" w:cs="Arial"/>
                <w:sz w:val="22"/>
                <w:szCs w:val="22"/>
              </w:rPr>
              <w:t>248</w:t>
            </w:r>
          </w:p>
        </w:tc>
      </w:tr>
    </w:tbl>
    <w:p w:rsidRPr="00251B17" w:rsidR="0078488D" w:rsidP="009101FF" w:rsidRDefault="0078488D" w14:paraId="0CF5C2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i/>
          <w:sz w:val="22"/>
          <w:szCs w:val="22"/>
        </w:rPr>
      </w:pPr>
    </w:p>
    <w:p w:rsidRPr="00251B17" w:rsidR="0078488D" w:rsidP="001619A7" w:rsidRDefault="0078488D" w14:paraId="649319CE" w14:textId="1CF04D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251B17">
        <w:rPr>
          <w:rFonts w:ascii="Arial" w:hAnsi="Arial" w:cs="Arial"/>
          <w:sz w:val="22"/>
          <w:szCs w:val="22"/>
        </w:rPr>
        <w:t>TOTAL BURDEN HOURS:</w:t>
      </w:r>
      <w:r w:rsidRPr="00251B17">
        <w:rPr>
          <w:rFonts w:ascii="Arial" w:hAnsi="Arial" w:cs="Arial"/>
          <w:sz w:val="22"/>
          <w:szCs w:val="22"/>
        </w:rPr>
        <w:tab/>
      </w:r>
      <w:r w:rsidRPr="00251B17">
        <w:rPr>
          <w:rFonts w:ascii="Arial" w:hAnsi="Arial" w:cs="Arial"/>
          <w:sz w:val="22"/>
          <w:szCs w:val="22"/>
        </w:rPr>
        <w:tab/>
      </w:r>
      <w:r w:rsidRPr="00251B17" w:rsidR="000875EF">
        <w:rPr>
          <w:rFonts w:ascii="Arial" w:hAnsi="Arial" w:cs="Arial"/>
          <w:sz w:val="22"/>
          <w:szCs w:val="22"/>
        </w:rPr>
        <w:t>248</w:t>
      </w:r>
      <w:r w:rsidRPr="00251B17" w:rsidR="008240D6">
        <w:rPr>
          <w:rFonts w:ascii="Arial" w:hAnsi="Arial" w:cs="Arial"/>
          <w:sz w:val="22"/>
          <w:szCs w:val="22"/>
        </w:rPr>
        <w:t xml:space="preserve"> </w:t>
      </w:r>
      <w:r w:rsidRPr="00251B17">
        <w:rPr>
          <w:rFonts w:ascii="Arial" w:hAnsi="Arial" w:cs="Arial"/>
          <w:sz w:val="22"/>
          <w:szCs w:val="22"/>
        </w:rPr>
        <w:t>hours (</w:t>
      </w:r>
      <w:r w:rsidRPr="00251B17" w:rsidR="000875EF">
        <w:rPr>
          <w:rFonts w:ascii="Arial" w:hAnsi="Arial" w:cs="Arial"/>
          <w:sz w:val="22"/>
          <w:szCs w:val="22"/>
        </w:rPr>
        <w:t>248</w:t>
      </w:r>
      <w:r w:rsidRPr="00251B17" w:rsidR="008240D6">
        <w:rPr>
          <w:rFonts w:ascii="Arial" w:hAnsi="Arial" w:cs="Arial"/>
          <w:sz w:val="22"/>
          <w:szCs w:val="22"/>
        </w:rPr>
        <w:t xml:space="preserve"> </w:t>
      </w:r>
      <w:r w:rsidRPr="00251B17">
        <w:rPr>
          <w:rFonts w:ascii="Arial" w:hAnsi="Arial" w:cs="Arial"/>
          <w:sz w:val="22"/>
          <w:szCs w:val="22"/>
        </w:rPr>
        <w:t>hours reporting + 0 hours third</w:t>
      </w:r>
      <w:r w:rsidR="007E24BA">
        <w:rPr>
          <w:rFonts w:ascii="Arial" w:hAnsi="Arial" w:cs="Arial"/>
          <w:sz w:val="22"/>
          <w:szCs w:val="22"/>
        </w:rPr>
        <w:noBreakHyphen/>
      </w:r>
      <w:r w:rsidRPr="00251B17">
        <w:rPr>
          <w:rFonts w:ascii="Arial" w:hAnsi="Arial" w:cs="Arial"/>
          <w:sz w:val="22"/>
          <w:szCs w:val="22"/>
        </w:rPr>
        <w:t>party notification + 0 hours recordkeeping)</w:t>
      </w:r>
    </w:p>
    <w:p w:rsidRPr="00251B17" w:rsidR="00BB5CE3" w:rsidP="001619A7" w:rsidRDefault="00BB5CE3" w14:paraId="450A0D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p>
    <w:p w:rsidRPr="00251B17" w:rsidR="0078488D" w:rsidP="001619A7" w:rsidRDefault="0078488D" w14:paraId="7A51D2D8" w14:textId="5CAB6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251B17">
        <w:rPr>
          <w:rFonts w:ascii="Arial" w:hAnsi="Arial" w:cs="Arial"/>
          <w:sz w:val="22"/>
          <w:szCs w:val="22"/>
        </w:rPr>
        <w:t>TOTAL BURDEN HOUR COST:</w:t>
      </w:r>
      <w:r w:rsidRPr="00251B17">
        <w:rPr>
          <w:rFonts w:ascii="Arial" w:hAnsi="Arial" w:cs="Arial"/>
          <w:sz w:val="22"/>
          <w:szCs w:val="22"/>
        </w:rPr>
        <w:tab/>
        <w:t>$</w:t>
      </w:r>
      <w:r w:rsidRPr="00251B17" w:rsidR="000875EF">
        <w:rPr>
          <w:rFonts w:ascii="Arial" w:hAnsi="Arial" w:cs="Arial"/>
          <w:sz w:val="22"/>
          <w:szCs w:val="22"/>
        </w:rPr>
        <w:t>68,200</w:t>
      </w:r>
      <w:r w:rsidRPr="00251B17">
        <w:rPr>
          <w:rFonts w:ascii="Arial" w:hAnsi="Arial" w:cs="Arial"/>
          <w:sz w:val="22"/>
          <w:szCs w:val="22"/>
        </w:rPr>
        <w:t xml:space="preserve"> (</w:t>
      </w:r>
      <w:r w:rsidRPr="00251B17" w:rsidR="000875EF">
        <w:rPr>
          <w:rFonts w:ascii="Arial" w:hAnsi="Arial" w:cs="Arial"/>
          <w:sz w:val="22"/>
          <w:szCs w:val="22"/>
        </w:rPr>
        <w:t>248</w:t>
      </w:r>
      <w:r w:rsidRPr="00251B17" w:rsidR="00941FE6">
        <w:rPr>
          <w:rFonts w:ascii="Arial" w:hAnsi="Arial" w:cs="Arial"/>
          <w:sz w:val="22"/>
          <w:szCs w:val="22"/>
        </w:rPr>
        <w:t xml:space="preserve"> </w:t>
      </w:r>
      <w:r w:rsidRPr="00251B17">
        <w:rPr>
          <w:rFonts w:ascii="Arial" w:hAnsi="Arial" w:cs="Arial"/>
          <w:sz w:val="22"/>
          <w:szCs w:val="22"/>
        </w:rPr>
        <w:t>h</w:t>
      </w:r>
      <w:r w:rsidRPr="00251B17" w:rsidR="008E0B11">
        <w:rPr>
          <w:rFonts w:ascii="Arial" w:hAnsi="Arial" w:cs="Arial"/>
          <w:sz w:val="22"/>
          <w:szCs w:val="22"/>
        </w:rPr>
        <w:t>ou</w:t>
      </w:r>
      <w:r w:rsidRPr="00251B17">
        <w:rPr>
          <w:rFonts w:ascii="Arial" w:hAnsi="Arial" w:cs="Arial"/>
          <w:sz w:val="22"/>
          <w:szCs w:val="22"/>
        </w:rPr>
        <w:t>rs x $</w:t>
      </w:r>
      <w:r w:rsidRPr="00251B17" w:rsidR="00941FE6">
        <w:rPr>
          <w:rFonts w:ascii="Arial" w:hAnsi="Arial" w:cs="Arial"/>
          <w:sz w:val="22"/>
          <w:szCs w:val="22"/>
        </w:rPr>
        <w:t>275</w:t>
      </w:r>
      <w:r w:rsidRPr="00251B17">
        <w:rPr>
          <w:rFonts w:ascii="Arial" w:hAnsi="Arial" w:cs="Arial"/>
          <w:sz w:val="22"/>
          <w:szCs w:val="22"/>
        </w:rPr>
        <w:t>/h</w:t>
      </w:r>
      <w:r w:rsidRPr="00251B17" w:rsidR="008E0B11">
        <w:rPr>
          <w:rFonts w:ascii="Arial" w:hAnsi="Arial" w:cs="Arial"/>
          <w:sz w:val="22"/>
          <w:szCs w:val="22"/>
        </w:rPr>
        <w:t>ou</w:t>
      </w:r>
      <w:r w:rsidRPr="00251B17">
        <w:rPr>
          <w:rFonts w:ascii="Arial" w:hAnsi="Arial" w:cs="Arial"/>
          <w:sz w:val="22"/>
          <w:szCs w:val="22"/>
        </w:rPr>
        <w:t>r)</w:t>
      </w:r>
    </w:p>
    <w:p w:rsidRPr="00251B17" w:rsidR="00BB5CE3" w:rsidP="001619A7" w:rsidRDefault="00BB5CE3" w14:paraId="2DBCF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Pr="00251B17" w:rsidR="0078488D" w:rsidP="001619A7" w:rsidRDefault="0078488D" w14:paraId="3012A59A" w14:textId="49EC88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r w:rsidRPr="00251B17">
        <w:rPr>
          <w:rFonts w:ascii="Arial" w:hAnsi="Arial" w:cs="Arial"/>
          <w:sz w:val="22"/>
          <w:szCs w:val="22"/>
        </w:rPr>
        <w:t>ANNUAL RESPONDENTS:</w:t>
      </w:r>
      <w:r w:rsidRPr="00251B17">
        <w:rPr>
          <w:rFonts w:ascii="Arial" w:hAnsi="Arial" w:cs="Arial"/>
          <w:sz w:val="22"/>
          <w:szCs w:val="22"/>
        </w:rPr>
        <w:tab/>
      </w:r>
      <w:r w:rsidRPr="00251B17">
        <w:rPr>
          <w:rFonts w:ascii="Arial" w:hAnsi="Arial" w:cs="Arial"/>
          <w:sz w:val="22"/>
          <w:szCs w:val="22"/>
        </w:rPr>
        <w:tab/>
      </w:r>
      <w:r w:rsidRPr="00251B17" w:rsidR="00257C57">
        <w:rPr>
          <w:rFonts w:ascii="Arial" w:hAnsi="Arial" w:cs="Arial"/>
          <w:sz w:val="22"/>
          <w:szCs w:val="22"/>
        </w:rPr>
        <w:t>62</w:t>
      </w:r>
      <w:r w:rsidRPr="00251B17" w:rsidR="00737DF9">
        <w:rPr>
          <w:rFonts w:ascii="Arial" w:hAnsi="Arial" w:cs="Arial"/>
          <w:sz w:val="22"/>
          <w:szCs w:val="22"/>
        </w:rPr>
        <w:t xml:space="preserve"> </w:t>
      </w:r>
      <w:r w:rsidRPr="00251B17">
        <w:rPr>
          <w:rFonts w:ascii="Arial" w:hAnsi="Arial" w:cs="Arial"/>
          <w:sz w:val="22"/>
          <w:szCs w:val="22"/>
        </w:rPr>
        <w:t>respondents (none required)</w:t>
      </w:r>
    </w:p>
    <w:p w:rsidRPr="00251B17" w:rsidR="00BB5CE3" w:rsidP="001619A7" w:rsidRDefault="00BB5CE3" w14:paraId="463A02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Pr="00251B17" w:rsidR="0078488D" w:rsidP="002919BB" w:rsidRDefault="0078488D" w14:paraId="6614C225" w14:textId="24F843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z w:val="22"/>
          <w:szCs w:val="22"/>
        </w:rPr>
      </w:pPr>
      <w:r w:rsidRPr="00251B17">
        <w:rPr>
          <w:rFonts w:ascii="Arial" w:hAnsi="Arial" w:cs="Arial"/>
          <w:sz w:val="22"/>
          <w:szCs w:val="22"/>
        </w:rPr>
        <w:t>RESPONSES:</w:t>
      </w:r>
      <w:r w:rsidRPr="00251B17">
        <w:rPr>
          <w:rFonts w:ascii="Arial" w:hAnsi="Arial" w:cs="Arial"/>
          <w:sz w:val="22"/>
          <w:szCs w:val="22"/>
        </w:rPr>
        <w:tab/>
      </w:r>
      <w:r w:rsidRPr="00251B17">
        <w:rPr>
          <w:rFonts w:ascii="Arial" w:hAnsi="Arial" w:cs="Arial"/>
          <w:sz w:val="22"/>
          <w:szCs w:val="22"/>
        </w:rPr>
        <w:tab/>
      </w:r>
      <w:r w:rsidRPr="00251B17">
        <w:rPr>
          <w:rFonts w:ascii="Arial" w:hAnsi="Arial" w:cs="Arial"/>
          <w:sz w:val="22"/>
          <w:szCs w:val="22"/>
        </w:rPr>
        <w:tab/>
      </w:r>
      <w:r w:rsidRPr="00251B17">
        <w:rPr>
          <w:rFonts w:ascii="Arial" w:hAnsi="Arial" w:cs="Arial"/>
          <w:sz w:val="22"/>
          <w:szCs w:val="22"/>
        </w:rPr>
        <w:tab/>
      </w:r>
      <w:r w:rsidRPr="00251B17" w:rsidR="00257C57">
        <w:rPr>
          <w:rFonts w:ascii="Arial" w:hAnsi="Arial" w:cs="Arial"/>
          <w:sz w:val="22"/>
          <w:szCs w:val="22"/>
        </w:rPr>
        <w:t>124</w:t>
      </w:r>
      <w:r w:rsidRPr="00251B17" w:rsidR="00737DF9">
        <w:rPr>
          <w:rFonts w:ascii="Arial" w:hAnsi="Arial" w:cs="Arial"/>
          <w:sz w:val="22"/>
          <w:szCs w:val="22"/>
        </w:rPr>
        <w:t xml:space="preserve"> </w:t>
      </w:r>
      <w:r w:rsidRPr="00251B17">
        <w:rPr>
          <w:rFonts w:ascii="Arial" w:hAnsi="Arial" w:cs="Arial"/>
          <w:sz w:val="22"/>
          <w:szCs w:val="22"/>
        </w:rPr>
        <w:t>responses (</w:t>
      </w:r>
      <w:r w:rsidRPr="00251B17" w:rsidR="00257C57">
        <w:rPr>
          <w:rFonts w:ascii="Arial" w:hAnsi="Arial" w:cs="Arial"/>
          <w:sz w:val="22"/>
          <w:szCs w:val="22"/>
        </w:rPr>
        <w:t>124</w:t>
      </w:r>
      <w:r w:rsidRPr="00251B17" w:rsidR="00737DF9">
        <w:rPr>
          <w:rFonts w:ascii="Arial" w:hAnsi="Arial" w:cs="Arial"/>
          <w:sz w:val="22"/>
          <w:szCs w:val="22"/>
        </w:rPr>
        <w:t xml:space="preserve"> </w:t>
      </w:r>
      <w:r w:rsidRPr="00251B17">
        <w:rPr>
          <w:rFonts w:ascii="Arial" w:hAnsi="Arial" w:cs="Arial"/>
          <w:sz w:val="22"/>
          <w:szCs w:val="22"/>
        </w:rPr>
        <w:t>reporting responses + 0 third</w:t>
      </w:r>
      <w:r w:rsidR="007E24BA">
        <w:rPr>
          <w:rFonts w:ascii="Arial" w:hAnsi="Arial" w:cs="Arial"/>
          <w:sz w:val="22"/>
          <w:szCs w:val="22"/>
        </w:rPr>
        <w:noBreakHyphen/>
      </w:r>
      <w:r w:rsidRPr="00251B17">
        <w:rPr>
          <w:rFonts w:ascii="Arial" w:hAnsi="Arial" w:cs="Arial"/>
          <w:sz w:val="22"/>
          <w:szCs w:val="22"/>
        </w:rPr>
        <w:t>party</w:t>
      </w:r>
      <w:r w:rsidRPr="00251B17" w:rsidR="002F2786">
        <w:rPr>
          <w:rFonts w:ascii="Arial" w:hAnsi="Arial" w:cs="Arial"/>
          <w:sz w:val="22"/>
          <w:szCs w:val="22"/>
        </w:rPr>
        <w:t xml:space="preserve"> </w:t>
      </w:r>
      <w:r w:rsidRPr="00251B17" w:rsidR="00A94667">
        <w:rPr>
          <w:rFonts w:ascii="Arial" w:hAnsi="Arial" w:cs="Arial"/>
          <w:sz w:val="22"/>
          <w:szCs w:val="22"/>
        </w:rPr>
        <w:t>re</w:t>
      </w:r>
      <w:r w:rsidRPr="00251B17">
        <w:rPr>
          <w:rFonts w:ascii="Arial" w:hAnsi="Arial" w:cs="Arial"/>
          <w:sz w:val="22"/>
          <w:szCs w:val="22"/>
        </w:rPr>
        <w:t>sponses + 0 recordkeepers)</w:t>
      </w:r>
    </w:p>
    <w:p w:rsidRPr="00251B17" w:rsidR="0078488D" w:rsidP="001619A7" w:rsidRDefault="0078488D" w14:paraId="4568E2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cs="Arial"/>
          <w:sz w:val="22"/>
          <w:szCs w:val="22"/>
        </w:rPr>
      </w:pPr>
    </w:p>
    <w:p w:rsidRPr="00251B17" w:rsidR="0078488D" w:rsidP="001619A7" w:rsidRDefault="0078488D" w14:paraId="63C35965" w14:textId="77777777">
      <w:pPr>
        <w:widowControl w:val="0"/>
        <w:ind w:left="720"/>
        <w:rPr>
          <w:rFonts w:ascii="Arial" w:hAnsi="Arial" w:cs="Arial"/>
          <w:sz w:val="22"/>
          <w:szCs w:val="22"/>
        </w:rPr>
      </w:pPr>
    </w:p>
    <w:p w:rsidRPr="00251B17" w:rsidR="00DC387E" w:rsidP="001619A7" w:rsidRDefault="00DC387E" w14:paraId="77C34722" w14:textId="77777777">
      <w:pPr>
        <w:widowControl w:val="0"/>
        <w:ind w:left="720"/>
        <w:rPr>
          <w:rFonts w:ascii="Arial" w:hAnsi="Arial" w:cs="Arial"/>
          <w:sz w:val="22"/>
          <w:szCs w:val="22"/>
        </w:rPr>
      </w:pPr>
    </w:p>
    <w:p w:rsidRPr="00251B17" w:rsidR="00594502" w:rsidP="001619A7" w:rsidRDefault="00594502" w14:paraId="584963D0" w14:textId="77777777">
      <w:pPr>
        <w:rPr>
          <w:rFonts w:ascii="Arial" w:hAnsi="Arial" w:cs="Arial"/>
          <w:sz w:val="22"/>
          <w:szCs w:val="22"/>
        </w:rPr>
      </w:pPr>
    </w:p>
    <w:sectPr w:rsidRPr="00251B17" w:rsidR="00594502" w:rsidSect="00D925C7">
      <w:footerReference w:type="even" r:id="rId12"/>
      <w:footerReference w:type="default" r:id="rId1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CF322" w14:textId="77777777" w:rsidR="00151B14" w:rsidRDefault="00151B14">
      <w:r>
        <w:separator/>
      </w:r>
    </w:p>
  </w:endnote>
  <w:endnote w:type="continuationSeparator" w:id="0">
    <w:p w14:paraId="05249C18" w14:textId="77777777" w:rsidR="00151B14" w:rsidRDefault="00151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31EF4" w14:textId="77777777" w:rsidR="00E9203D" w:rsidRDefault="00E9203D"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72518" w14:textId="77777777" w:rsidR="00E9203D" w:rsidRDefault="00E9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0DD4" w14:textId="77777777" w:rsidR="00E9203D" w:rsidRPr="001619A7" w:rsidRDefault="00E9203D" w:rsidP="00093A4B">
    <w:pPr>
      <w:pStyle w:val="Footer"/>
      <w:framePr w:wrap="around" w:vAnchor="text" w:hAnchor="margin" w:xAlign="center" w:y="1"/>
      <w:rPr>
        <w:rStyle w:val="PageNumber"/>
        <w:rFonts w:ascii="Arial" w:hAnsi="Arial" w:cs="Arial"/>
        <w:sz w:val="22"/>
        <w:szCs w:val="22"/>
      </w:rPr>
    </w:pPr>
    <w:r w:rsidRPr="00115667">
      <w:rPr>
        <w:rStyle w:val="PageNumber"/>
        <w:rFonts w:ascii="Arial" w:hAnsi="Arial" w:cs="Arial"/>
        <w:sz w:val="22"/>
        <w:szCs w:val="22"/>
      </w:rPr>
      <w:fldChar w:fldCharType="begin"/>
    </w:r>
    <w:r w:rsidRPr="00115667">
      <w:rPr>
        <w:rStyle w:val="PageNumber"/>
        <w:rFonts w:ascii="Arial" w:hAnsi="Arial" w:cs="Arial"/>
        <w:sz w:val="22"/>
        <w:szCs w:val="22"/>
      </w:rPr>
      <w:instrText xml:space="preserve">PAGE  </w:instrText>
    </w:r>
    <w:r w:rsidRPr="00115667">
      <w:rPr>
        <w:rStyle w:val="PageNumber"/>
        <w:rFonts w:ascii="Arial" w:hAnsi="Arial" w:cs="Arial"/>
        <w:sz w:val="22"/>
        <w:szCs w:val="22"/>
      </w:rPr>
      <w:fldChar w:fldCharType="separate"/>
    </w:r>
    <w:r>
      <w:rPr>
        <w:rStyle w:val="PageNumber"/>
        <w:rFonts w:ascii="Arial" w:hAnsi="Arial" w:cs="Arial"/>
        <w:noProof/>
        <w:sz w:val="22"/>
        <w:szCs w:val="22"/>
      </w:rPr>
      <w:t>1</w:t>
    </w:r>
    <w:r w:rsidRPr="00115667">
      <w:rPr>
        <w:rStyle w:val="PageNumber"/>
        <w:rFonts w:ascii="Arial" w:hAnsi="Arial" w:cs="Arial"/>
        <w:sz w:val="22"/>
        <w:szCs w:val="22"/>
      </w:rPr>
      <w:fldChar w:fldCharType="end"/>
    </w:r>
  </w:p>
  <w:p w14:paraId="17FC6079" w14:textId="77777777" w:rsidR="00E9203D" w:rsidRPr="001619A7" w:rsidRDefault="00E9203D" w:rsidP="001619A7">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54F46" w14:textId="77777777" w:rsidR="00151B14" w:rsidRDefault="00151B14">
      <w:r>
        <w:separator/>
      </w:r>
    </w:p>
  </w:footnote>
  <w:footnote w:type="continuationSeparator" w:id="0">
    <w:p w14:paraId="7B7A4903" w14:textId="77777777" w:rsidR="00151B14" w:rsidRDefault="00151B14">
      <w:r>
        <w:continuationSeparator/>
      </w:r>
    </w:p>
  </w:footnote>
  <w:footnote w:id="1">
    <w:p w14:paraId="1B871233" w14:textId="77777777" w:rsidR="00E9203D" w:rsidRDefault="00E9203D" w:rsidP="0078488D">
      <w:pPr>
        <w:pStyle w:val="FootnoteText"/>
        <w:rPr>
          <w:rFonts w:ascii="Arial" w:eastAsia="Calibri" w:hAnsi="Arial" w:cs="Arial"/>
          <w:sz w:val="16"/>
          <w:szCs w:val="16"/>
        </w:rPr>
      </w:pPr>
      <w:r>
        <w:rPr>
          <w:rStyle w:val="FootnoteReference"/>
          <w:rFonts w:ascii="Arial" w:hAnsi="Arial" w:cs="Arial"/>
          <w:sz w:val="16"/>
          <w:szCs w:val="16"/>
        </w:rPr>
        <w:t>[1]</w:t>
      </w:r>
      <w:r>
        <w:rPr>
          <w:rFonts w:ascii="Arial" w:hAnsi="Arial" w:cs="Arial"/>
          <w:sz w:val="16"/>
          <w:szCs w:val="16"/>
        </w:rPr>
        <w:t xml:space="preserve"> “Terrorist Threats to the U.S. Homeland: Reporting Guide for Critical Infrastructure and Key Resource Owners and Operators,” DHS/FBI, January 2005.</w:t>
      </w:r>
    </w:p>
  </w:footnote>
  <w:footnote w:id="2">
    <w:p w14:paraId="27D1E4ED" w14:textId="77777777" w:rsidR="00E9203D" w:rsidRDefault="00E9203D" w:rsidP="0078488D">
      <w:pPr>
        <w:pStyle w:val="FootnoteText"/>
      </w:pPr>
      <w:r>
        <w:rPr>
          <w:rStyle w:val="FootnoteReference"/>
          <w:rFonts w:ascii="Arial" w:hAnsi="Arial" w:cs="Arial"/>
          <w:sz w:val="16"/>
          <w:szCs w:val="16"/>
        </w:rPr>
        <w:t>[2]</w:t>
      </w:r>
      <w:r>
        <w:rPr>
          <w:rFonts w:ascii="Arial" w:hAnsi="Arial" w:cs="Arial"/>
          <w:sz w:val="16"/>
          <w:szCs w:val="16"/>
        </w:rPr>
        <w:t xml:space="preserve"> “Recommended Practice: Developing an Industrial Control Systems Cyber-security Incident Response Capability,” DHS, October 2009.</w:t>
      </w:r>
    </w:p>
  </w:footnote>
  <w:footnote w:id="3">
    <w:p w14:paraId="3A482CFE" w14:textId="77777777" w:rsidR="00E9203D" w:rsidRDefault="00E9203D" w:rsidP="00531060">
      <w:pPr>
        <w:pStyle w:val="FootnoteText"/>
      </w:pPr>
      <w:r>
        <w:rPr>
          <w:rStyle w:val="FootnoteReference"/>
          <w:rFonts w:ascii="Arial" w:hAnsi="Arial" w:cs="Arial"/>
          <w:sz w:val="16"/>
          <w:szCs w:val="16"/>
        </w:rPr>
        <w:t>[3]</w:t>
      </w:r>
      <w:r>
        <w:rPr>
          <w:rFonts w:ascii="Arial" w:hAnsi="Arial" w:cs="Arial"/>
          <w:sz w:val="16"/>
          <w:szCs w:val="16"/>
        </w:rPr>
        <w:t xml:space="preserve"> “Reporting Suspicious Activity Criteria,” NRC, October 2004.</w:t>
      </w:r>
    </w:p>
  </w:footnote>
  <w:footnote w:id="4">
    <w:p w14:paraId="7DF2DE64" w14:textId="77777777" w:rsidR="00E9203D" w:rsidRDefault="00E9203D" w:rsidP="00531060">
      <w:pPr>
        <w:pStyle w:val="FootnoteText"/>
      </w:pPr>
      <w:r>
        <w:rPr>
          <w:rStyle w:val="FootnoteReference"/>
          <w:rFonts w:ascii="Arial" w:hAnsi="Arial" w:cs="Arial"/>
          <w:sz w:val="16"/>
          <w:szCs w:val="16"/>
        </w:rPr>
        <w:t>[4]</w:t>
      </w:r>
      <w:r>
        <w:rPr>
          <w:rFonts w:ascii="Arial" w:hAnsi="Arial" w:cs="Arial"/>
          <w:sz w:val="16"/>
          <w:szCs w:val="16"/>
        </w:rPr>
        <w:t xml:space="preserve"> “Updated Criteria to Reporting Suspicious Activity Associated with Cyber Security Incidents,” NRC, January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04579A2"/>
    <w:multiLevelType w:val="hybridMultilevel"/>
    <w:tmpl w:val="320A11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4"/>
  </w:num>
  <w:num w:numId="6">
    <w:abstractNumId w:val="2"/>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F1"/>
    <w:rsid w:val="00000BB1"/>
    <w:rsid w:val="00001D15"/>
    <w:rsid w:val="00004ACB"/>
    <w:rsid w:val="0000554C"/>
    <w:rsid w:val="00007420"/>
    <w:rsid w:val="0001021E"/>
    <w:rsid w:val="000115B4"/>
    <w:rsid w:val="0001747F"/>
    <w:rsid w:val="00030269"/>
    <w:rsid w:val="000320E8"/>
    <w:rsid w:val="00040EFC"/>
    <w:rsid w:val="0004368F"/>
    <w:rsid w:val="00052575"/>
    <w:rsid w:val="0005293F"/>
    <w:rsid w:val="00053790"/>
    <w:rsid w:val="00053A78"/>
    <w:rsid w:val="000555DF"/>
    <w:rsid w:val="00067826"/>
    <w:rsid w:val="00070AAE"/>
    <w:rsid w:val="000745CA"/>
    <w:rsid w:val="000766A3"/>
    <w:rsid w:val="00084B62"/>
    <w:rsid w:val="000875EF"/>
    <w:rsid w:val="00093A4B"/>
    <w:rsid w:val="000943EC"/>
    <w:rsid w:val="000A2EB0"/>
    <w:rsid w:val="000A466F"/>
    <w:rsid w:val="000A74F2"/>
    <w:rsid w:val="000B49C6"/>
    <w:rsid w:val="000D2330"/>
    <w:rsid w:val="000D43B2"/>
    <w:rsid w:val="000D673D"/>
    <w:rsid w:val="000E286C"/>
    <w:rsid w:val="000E357E"/>
    <w:rsid w:val="000E40D0"/>
    <w:rsid w:val="000E7BD0"/>
    <w:rsid w:val="000F076B"/>
    <w:rsid w:val="000F36BF"/>
    <w:rsid w:val="000F49AC"/>
    <w:rsid w:val="000F7469"/>
    <w:rsid w:val="00102AC8"/>
    <w:rsid w:val="00107D63"/>
    <w:rsid w:val="0011101F"/>
    <w:rsid w:val="00111C0A"/>
    <w:rsid w:val="00114322"/>
    <w:rsid w:val="00115667"/>
    <w:rsid w:val="001310A0"/>
    <w:rsid w:val="00141182"/>
    <w:rsid w:val="001417F2"/>
    <w:rsid w:val="00151B14"/>
    <w:rsid w:val="00153090"/>
    <w:rsid w:val="00155205"/>
    <w:rsid w:val="00157659"/>
    <w:rsid w:val="001619A7"/>
    <w:rsid w:val="001656EA"/>
    <w:rsid w:val="001723EF"/>
    <w:rsid w:val="00172AEF"/>
    <w:rsid w:val="00177E21"/>
    <w:rsid w:val="001822F2"/>
    <w:rsid w:val="001828F7"/>
    <w:rsid w:val="001A6D0C"/>
    <w:rsid w:val="001A7D4B"/>
    <w:rsid w:val="001B3F42"/>
    <w:rsid w:val="001B588C"/>
    <w:rsid w:val="001C09E2"/>
    <w:rsid w:val="001D006E"/>
    <w:rsid w:val="001E5501"/>
    <w:rsid w:val="00204017"/>
    <w:rsid w:val="00215422"/>
    <w:rsid w:val="00221E36"/>
    <w:rsid w:val="0022320C"/>
    <w:rsid w:val="00226764"/>
    <w:rsid w:val="00231496"/>
    <w:rsid w:val="00231B6F"/>
    <w:rsid w:val="00251B17"/>
    <w:rsid w:val="0025350D"/>
    <w:rsid w:val="00253B27"/>
    <w:rsid w:val="00255847"/>
    <w:rsid w:val="00255973"/>
    <w:rsid w:val="00255C93"/>
    <w:rsid w:val="00257C57"/>
    <w:rsid w:val="00263507"/>
    <w:rsid w:val="00264102"/>
    <w:rsid w:val="00264445"/>
    <w:rsid w:val="00265193"/>
    <w:rsid w:val="002919BB"/>
    <w:rsid w:val="0029256A"/>
    <w:rsid w:val="002960B8"/>
    <w:rsid w:val="002A64F1"/>
    <w:rsid w:val="002A653F"/>
    <w:rsid w:val="002A6FF0"/>
    <w:rsid w:val="002B68EE"/>
    <w:rsid w:val="002C5537"/>
    <w:rsid w:val="002C5A86"/>
    <w:rsid w:val="002D40EA"/>
    <w:rsid w:val="002E5C09"/>
    <w:rsid w:val="002F2786"/>
    <w:rsid w:val="00313A85"/>
    <w:rsid w:val="00321342"/>
    <w:rsid w:val="00323CA1"/>
    <w:rsid w:val="00326055"/>
    <w:rsid w:val="003340EA"/>
    <w:rsid w:val="00334724"/>
    <w:rsid w:val="00346F9E"/>
    <w:rsid w:val="00357B0D"/>
    <w:rsid w:val="00364EBE"/>
    <w:rsid w:val="003738FA"/>
    <w:rsid w:val="00373B46"/>
    <w:rsid w:val="00376622"/>
    <w:rsid w:val="00380701"/>
    <w:rsid w:val="003812A6"/>
    <w:rsid w:val="00386162"/>
    <w:rsid w:val="00386DDD"/>
    <w:rsid w:val="00387282"/>
    <w:rsid w:val="00391CC1"/>
    <w:rsid w:val="00395D9B"/>
    <w:rsid w:val="003A4038"/>
    <w:rsid w:val="003A5641"/>
    <w:rsid w:val="003B3EFA"/>
    <w:rsid w:val="003B415A"/>
    <w:rsid w:val="003B54DD"/>
    <w:rsid w:val="003E35F8"/>
    <w:rsid w:val="003F620D"/>
    <w:rsid w:val="004044F1"/>
    <w:rsid w:val="00405652"/>
    <w:rsid w:val="0041242D"/>
    <w:rsid w:val="00412C3C"/>
    <w:rsid w:val="00421447"/>
    <w:rsid w:val="00427B63"/>
    <w:rsid w:val="00430D96"/>
    <w:rsid w:val="00437AB9"/>
    <w:rsid w:val="004475D0"/>
    <w:rsid w:val="00452FBF"/>
    <w:rsid w:val="00455822"/>
    <w:rsid w:val="004563E9"/>
    <w:rsid w:val="00473ED3"/>
    <w:rsid w:val="00474FCD"/>
    <w:rsid w:val="00490037"/>
    <w:rsid w:val="00496B8C"/>
    <w:rsid w:val="004A4A51"/>
    <w:rsid w:val="004A6B43"/>
    <w:rsid w:val="004A6CA6"/>
    <w:rsid w:val="004A6DCA"/>
    <w:rsid w:val="004B02D7"/>
    <w:rsid w:val="004B0E9C"/>
    <w:rsid w:val="004B20D6"/>
    <w:rsid w:val="004B476D"/>
    <w:rsid w:val="004B7689"/>
    <w:rsid w:val="004C017E"/>
    <w:rsid w:val="004F15F4"/>
    <w:rsid w:val="005038CF"/>
    <w:rsid w:val="00512930"/>
    <w:rsid w:val="00514702"/>
    <w:rsid w:val="00516A21"/>
    <w:rsid w:val="00522A2F"/>
    <w:rsid w:val="005240AE"/>
    <w:rsid w:val="00531060"/>
    <w:rsid w:val="005337AC"/>
    <w:rsid w:val="005337CB"/>
    <w:rsid w:val="00540683"/>
    <w:rsid w:val="00542FAD"/>
    <w:rsid w:val="00566D41"/>
    <w:rsid w:val="00576BBC"/>
    <w:rsid w:val="00593AA7"/>
    <w:rsid w:val="005941A6"/>
    <w:rsid w:val="00594502"/>
    <w:rsid w:val="005A0FBF"/>
    <w:rsid w:val="005A53EA"/>
    <w:rsid w:val="005B753C"/>
    <w:rsid w:val="005B7AC5"/>
    <w:rsid w:val="005C4E90"/>
    <w:rsid w:val="005D6CDB"/>
    <w:rsid w:val="005F0B5D"/>
    <w:rsid w:val="005F4650"/>
    <w:rsid w:val="005F5B2F"/>
    <w:rsid w:val="00602FE8"/>
    <w:rsid w:val="00613C10"/>
    <w:rsid w:val="0062046F"/>
    <w:rsid w:val="006241A4"/>
    <w:rsid w:val="00625B26"/>
    <w:rsid w:val="0063343A"/>
    <w:rsid w:val="00645EB8"/>
    <w:rsid w:val="00647A7D"/>
    <w:rsid w:val="006507E8"/>
    <w:rsid w:val="006630A5"/>
    <w:rsid w:val="00665D73"/>
    <w:rsid w:val="00667998"/>
    <w:rsid w:val="00674DAF"/>
    <w:rsid w:val="006802D7"/>
    <w:rsid w:val="00684FFA"/>
    <w:rsid w:val="00685EF7"/>
    <w:rsid w:val="00686594"/>
    <w:rsid w:val="00686E66"/>
    <w:rsid w:val="006A70C1"/>
    <w:rsid w:val="006A7791"/>
    <w:rsid w:val="006A79A4"/>
    <w:rsid w:val="006B0FD6"/>
    <w:rsid w:val="006B6768"/>
    <w:rsid w:val="006D2D01"/>
    <w:rsid w:val="006D33AA"/>
    <w:rsid w:val="006D3BEA"/>
    <w:rsid w:val="006E33ED"/>
    <w:rsid w:val="006F0040"/>
    <w:rsid w:val="006F05BD"/>
    <w:rsid w:val="006F1A0A"/>
    <w:rsid w:val="006F60A2"/>
    <w:rsid w:val="00710C6E"/>
    <w:rsid w:val="0071564A"/>
    <w:rsid w:val="00716426"/>
    <w:rsid w:val="00717646"/>
    <w:rsid w:val="00735709"/>
    <w:rsid w:val="00737DF9"/>
    <w:rsid w:val="00746C87"/>
    <w:rsid w:val="007513F3"/>
    <w:rsid w:val="00766ADA"/>
    <w:rsid w:val="007706DE"/>
    <w:rsid w:val="00770FFE"/>
    <w:rsid w:val="00771AD1"/>
    <w:rsid w:val="00772A84"/>
    <w:rsid w:val="007842CF"/>
    <w:rsid w:val="0078488D"/>
    <w:rsid w:val="00784DF4"/>
    <w:rsid w:val="00792A4A"/>
    <w:rsid w:val="00794C4C"/>
    <w:rsid w:val="00794E1A"/>
    <w:rsid w:val="007962BA"/>
    <w:rsid w:val="007A7201"/>
    <w:rsid w:val="007B0D75"/>
    <w:rsid w:val="007B1676"/>
    <w:rsid w:val="007B45E6"/>
    <w:rsid w:val="007C33EB"/>
    <w:rsid w:val="007C60E8"/>
    <w:rsid w:val="007D21DC"/>
    <w:rsid w:val="007D658D"/>
    <w:rsid w:val="007E24BA"/>
    <w:rsid w:val="007E514F"/>
    <w:rsid w:val="007F4359"/>
    <w:rsid w:val="007F6965"/>
    <w:rsid w:val="00806545"/>
    <w:rsid w:val="0081059F"/>
    <w:rsid w:val="00811ACD"/>
    <w:rsid w:val="00816A44"/>
    <w:rsid w:val="00817C3C"/>
    <w:rsid w:val="008204DD"/>
    <w:rsid w:val="008240D6"/>
    <w:rsid w:val="008261CF"/>
    <w:rsid w:val="008350B3"/>
    <w:rsid w:val="00836CA3"/>
    <w:rsid w:val="00841F63"/>
    <w:rsid w:val="00843E89"/>
    <w:rsid w:val="008440F0"/>
    <w:rsid w:val="00846C26"/>
    <w:rsid w:val="0085168E"/>
    <w:rsid w:val="00855CCD"/>
    <w:rsid w:val="00856D77"/>
    <w:rsid w:val="00857B6F"/>
    <w:rsid w:val="0086114E"/>
    <w:rsid w:val="008707D4"/>
    <w:rsid w:val="00871148"/>
    <w:rsid w:val="00874819"/>
    <w:rsid w:val="0088396F"/>
    <w:rsid w:val="00884D39"/>
    <w:rsid w:val="00884F64"/>
    <w:rsid w:val="008919A6"/>
    <w:rsid w:val="00892E93"/>
    <w:rsid w:val="008A0D1F"/>
    <w:rsid w:val="008A5D63"/>
    <w:rsid w:val="008B0AB6"/>
    <w:rsid w:val="008B3ED2"/>
    <w:rsid w:val="008B7CCD"/>
    <w:rsid w:val="008C1E8D"/>
    <w:rsid w:val="008C2FF1"/>
    <w:rsid w:val="008C75A7"/>
    <w:rsid w:val="008D33A0"/>
    <w:rsid w:val="008E0B11"/>
    <w:rsid w:val="008E0C81"/>
    <w:rsid w:val="008E277F"/>
    <w:rsid w:val="008E50CA"/>
    <w:rsid w:val="008E5982"/>
    <w:rsid w:val="009012B2"/>
    <w:rsid w:val="00906BC2"/>
    <w:rsid w:val="009101FF"/>
    <w:rsid w:val="009157BC"/>
    <w:rsid w:val="009161F2"/>
    <w:rsid w:val="00920CE6"/>
    <w:rsid w:val="009216F1"/>
    <w:rsid w:val="00927CF4"/>
    <w:rsid w:val="0093046E"/>
    <w:rsid w:val="009315B5"/>
    <w:rsid w:val="009324E9"/>
    <w:rsid w:val="009355CD"/>
    <w:rsid w:val="0093617E"/>
    <w:rsid w:val="00941FE6"/>
    <w:rsid w:val="0094327E"/>
    <w:rsid w:val="009448D8"/>
    <w:rsid w:val="00947E45"/>
    <w:rsid w:val="00954A91"/>
    <w:rsid w:val="00955B6E"/>
    <w:rsid w:val="0095736B"/>
    <w:rsid w:val="00965A54"/>
    <w:rsid w:val="00967852"/>
    <w:rsid w:val="009744B1"/>
    <w:rsid w:val="00983F65"/>
    <w:rsid w:val="00984291"/>
    <w:rsid w:val="009A203B"/>
    <w:rsid w:val="009A42DB"/>
    <w:rsid w:val="009B5062"/>
    <w:rsid w:val="009B53D6"/>
    <w:rsid w:val="009C0603"/>
    <w:rsid w:val="009C2660"/>
    <w:rsid w:val="009C277F"/>
    <w:rsid w:val="009E2863"/>
    <w:rsid w:val="00A0534A"/>
    <w:rsid w:val="00A10B05"/>
    <w:rsid w:val="00A11C85"/>
    <w:rsid w:val="00A139E0"/>
    <w:rsid w:val="00A13C9B"/>
    <w:rsid w:val="00A146CF"/>
    <w:rsid w:val="00A229CD"/>
    <w:rsid w:val="00A325C5"/>
    <w:rsid w:val="00A34955"/>
    <w:rsid w:val="00A37A53"/>
    <w:rsid w:val="00A45BFD"/>
    <w:rsid w:val="00A45E3A"/>
    <w:rsid w:val="00A57D63"/>
    <w:rsid w:val="00A702B9"/>
    <w:rsid w:val="00A723AB"/>
    <w:rsid w:val="00A768A2"/>
    <w:rsid w:val="00A94667"/>
    <w:rsid w:val="00A96520"/>
    <w:rsid w:val="00AA3A14"/>
    <w:rsid w:val="00AB0F2F"/>
    <w:rsid w:val="00AB389D"/>
    <w:rsid w:val="00AB63E7"/>
    <w:rsid w:val="00AC123B"/>
    <w:rsid w:val="00AC4C05"/>
    <w:rsid w:val="00AD34CB"/>
    <w:rsid w:val="00AD740B"/>
    <w:rsid w:val="00AE181A"/>
    <w:rsid w:val="00AE317A"/>
    <w:rsid w:val="00AE5004"/>
    <w:rsid w:val="00AF5633"/>
    <w:rsid w:val="00B05234"/>
    <w:rsid w:val="00B1496D"/>
    <w:rsid w:val="00B20A87"/>
    <w:rsid w:val="00B32005"/>
    <w:rsid w:val="00B3778B"/>
    <w:rsid w:val="00B4161F"/>
    <w:rsid w:val="00B46B20"/>
    <w:rsid w:val="00B47FF9"/>
    <w:rsid w:val="00B52C85"/>
    <w:rsid w:val="00B54E71"/>
    <w:rsid w:val="00B60B50"/>
    <w:rsid w:val="00B61C17"/>
    <w:rsid w:val="00B7029D"/>
    <w:rsid w:val="00B72DDD"/>
    <w:rsid w:val="00B75896"/>
    <w:rsid w:val="00B81E35"/>
    <w:rsid w:val="00B85E46"/>
    <w:rsid w:val="00B86099"/>
    <w:rsid w:val="00B9386D"/>
    <w:rsid w:val="00BB171B"/>
    <w:rsid w:val="00BB5231"/>
    <w:rsid w:val="00BB5CE3"/>
    <w:rsid w:val="00BB655B"/>
    <w:rsid w:val="00BB7241"/>
    <w:rsid w:val="00BC4A89"/>
    <w:rsid w:val="00BD25C7"/>
    <w:rsid w:val="00BD3B1D"/>
    <w:rsid w:val="00BD4489"/>
    <w:rsid w:val="00BE0CCC"/>
    <w:rsid w:val="00BE3485"/>
    <w:rsid w:val="00BE36A3"/>
    <w:rsid w:val="00BF14D0"/>
    <w:rsid w:val="00C01197"/>
    <w:rsid w:val="00C02764"/>
    <w:rsid w:val="00C102CD"/>
    <w:rsid w:val="00C14B24"/>
    <w:rsid w:val="00C158B3"/>
    <w:rsid w:val="00C242A2"/>
    <w:rsid w:val="00C35CAA"/>
    <w:rsid w:val="00C4268D"/>
    <w:rsid w:val="00C45C18"/>
    <w:rsid w:val="00C5521A"/>
    <w:rsid w:val="00C6782C"/>
    <w:rsid w:val="00C8157E"/>
    <w:rsid w:val="00C87909"/>
    <w:rsid w:val="00C93159"/>
    <w:rsid w:val="00C9575F"/>
    <w:rsid w:val="00C96898"/>
    <w:rsid w:val="00C97D08"/>
    <w:rsid w:val="00CB3A94"/>
    <w:rsid w:val="00CD2CFC"/>
    <w:rsid w:val="00CD55F5"/>
    <w:rsid w:val="00CD5FA0"/>
    <w:rsid w:val="00CD7004"/>
    <w:rsid w:val="00CE0A4C"/>
    <w:rsid w:val="00CE4BA4"/>
    <w:rsid w:val="00CF28F3"/>
    <w:rsid w:val="00D045AC"/>
    <w:rsid w:val="00D05844"/>
    <w:rsid w:val="00D10E9F"/>
    <w:rsid w:val="00D11BD4"/>
    <w:rsid w:val="00D25FDD"/>
    <w:rsid w:val="00D26BA8"/>
    <w:rsid w:val="00D32E3B"/>
    <w:rsid w:val="00D41419"/>
    <w:rsid w:val="00D46D68"/>
    <w:rsid w:val="00D53543"/>
    <w:rsid w:val="00D83C24"/>
    <w:rsid w:val="00D871AC"/>
    <w:rsid w:val="00D90AA2"/>
    <w:rsid w:val="00D90C7C"/>
    <w:rsid w:val="00D91D6C"/>
    <w:rsid w:val="00D925C7"/>
    <w:rsid w:val="00DB5AEC"/>
    <w:rsid w:val="00DB6227"/>
    <w:rsid w:val="00DB6FE6"/>
    <w:rsid w:val="00DC2BD0"/>
    <w:rsid w:val="00DC387E"/>
    <w:rsid w:val="00DC6755"/>
    <w:rsid w:val="00DD35C5"/>
    <w:rsid w:val="00DD49D9"/>
    <w:rsid w:val="00DD5A05"/>
    <w:rsid w:val="00DD6420"/>
    <w:rsid w:val="00DE0ED3"/>
    <w:rsid w:val="00DE43B7"/>
    <w:rsid w:val="00DE65D3"/>
    <w:rsid w:val="00DF1A8F"/>
    <w:rsid w:val="00DF47D8"/>
    <w:rsid w:val="00DF4B27"/>
    <w:rsid w:val="00E05420"/>
    <w:rsid w:val="00E17F49"/>
    <w:rsid w:val="00E42233"/>
    <w:rsid w:val="00E44B18"/>
    <w:rsid w:val="00E517C1"/>
    <w:rsid w:val="00E67782"/>
    <w:rsid w:val="00E67F3F"/>
    <w:rsid w:val="00E810B1"/>
    <w:rsid w:val="00E83458"/>
    <w:rsid w:val="00E9203D"/>
    <w:rsid w:val="00E95C07"/>
    <w:rsid w:val="00EA20F3"/>
    <w:rsid w:val="00EA29A1"/>
    <w:rsid w:val="00EA2C1A"/>
    <w:rsid w:val="00EA6522"/>
    <w:rsid w:val="00EA7329"/>
    <w:rsid w:val="00EB2BEA"/>
    <w:rsid w:val="00EB5E70"/>
    <w:rsid w:val="00EC195B"/>
    <w:rsid w:val="00EC3C4C"/>
    <w:rsid w:val="00EF11EC"/>
    <w:rsid w:val="00EF2142"/>
    <w:rsid w:val="00EF2A55"/>
    <w:rsid w:val="00EF571A"/>
    <w:rsid w:val="00EF6D11"/>
    <w:rsid w:val="00EF734C"/>
    <w:rsid w:val="00F01165"/>
    <w:rsid w:val="00F019DF"/>
    <w:rsid w:val="00F023DB"/>
    <w:rsid w:val="00F04762"/>
    <w:rsid w:val="00F06F36"/>
    <w:rsid w:val="00F155DB"/>
    <w:rsid w:val="00F24F3A"/>
    <w:rsid w:val="00F255E5"/>
    <w:rsid w:val="00F30D51"/>
    <w:rsid w:val="00F31806"/>
    <w:rsid w:val="00F3192E"/>
    <w:rsid w:val="00F35C14"/>
    <w:rsid w:val="00F50E98"/>
    <w:rsid w:val="00F51977"/>
    <w:rsid w:val="00F603BF"/>
    <w:rsid w:val="00F61C20"/>
    <w:rsid w:val="00F6787C"/>
    <w:rsid w:val="00F813CE"/>
    <w:rsid w:val="00F8237D"/>
    <w:rsid w:val="00F864B2"/>
    <w:rsid w:val="00F94E09"/>
    <w:rsid w:val="00F979A6"/>
    <w:rsid w:val="00FA2AC7"/>
    <w:rsid w:val="00FA4155"/>
    <w:rsid w:val="00FA449F"/>
    <w:rsid w:val="00FA4504"/>
    <w:rsid w:val="00FA6DAE"/>
    <w:rsid w:val="00FB1FF4"/>
    <w:rsid w:val="00FB5593"/>
    <w:rsid w:val="00FC62E8"/>
    <w:rsid w:val="00FD1E84"/>
    <w:rsid w:val="00FD3CFC"/>
    <w:rsid w:val="00FD509F"/>
    <w:rsid w:val="00FD6203"/>
    <w:rsid w:val="00FD6D3C"/>
    <w:rsid w:val="00FE66C3"/>
    <w:rsid w:val="00FF1E61"/>
    <w:rsid w:val="00FF5404"/>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E79A67"/>
  <w15:docId w15:val="{B3F0EC79-4441-48EF-A428-8D7015F1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FootnoteText">
    <w:name w:val="footnote text"/>
    <w:basedOn w:val="Normal"/>
    <w:link w:val="FootnoteTextChar"/>
    <w:uiPriority w:val="99"/>
    <w:rsid w:val="00C96898"/>
    <w:rPr>
      <w:sz w:val="20"/>
    </w:rPr>
  </w:style>
  <w:style w:type="character" w:customStyle="1" w:styleId="FootnoteTextChar">
    <w:name w:val="Footnote Text Char"/>
    <w:basedOn w:val="DefaultParagraphFont"/>
    <w:link w:val="FootnoteText"/>
    <w:uiPriority w:val="99"/>
    <w:rsid w:val="00C96898"/>
  </w:style>
  <w:style w:type="character" w:styleId="FootnoteReference">
    <w:name w:val="footnote reference"/>
    <w:basedOn w:val="DefaultParagraphFont"/>
    <w:uiPriority w:val="99"/>
    <w:rsid w:val="00C96898"/>
    <w:rPr>
      <w:vertAlign w:val="superscript"/>
    </w:rPr>
  </w:style>
  <w:style w:type="paragraph" w:styleId="BalloonText">
    <w:name w:val="Balloon Text"/>
    <w:basedOn w:val="Normal"/>
    <w:link w:val="BalloonTextChar"/>
    <w:rsid w:val="00BB655B"/>
    <w:rPr>
      <w:rFonts w:ascii="Tahoma" w:hAnsi="Tahoma" w:cs="Tahoma"/>
      <w:sz w:val="16"/>
      <w:szCs w:val="16"/>
    </w:rPr>
  </w:style>
  <w:style w:type="character" w:customStyle="1" w:styleId="BalloonTextChar">
    <w:name w:val="Balloon Text Char"/>
    <w:basedOn w:val="DefaultParagraphFont"/>
    <w:link w:val="BalloonText"/>
    <w:rsid w:val="00BB655B"/>
    <w:rPr>
      <w:rFonts w:ascii="Tahoma" w:hAnsi="Tahoma" w:cs="Tahoma"/>
      <w:sz w:val="16"/>
      <w:szCs w:val="16"/>
    </w:rPr>
  </w:style>
  <w:style w:type="character" w:styleId="CommentReference">
    <w:name w:val="annotation reference"/>
    <w:basedOn w:val="DefaultParagraphFont"/>
    <w:rsid w:val="009744B1"/>
    <w:rPr>
      <w:sz w:val="16"/>
      <w:szCs w:val="16"/>
    </w:rPr>
  </w:style>
  <w:style w:type="paragraph" w:styleId="CommentText">
    <w:name w:val="annotation text"/>
    <w:basedOn w:val="Normal"/>
    <w:link w:val="CommentTextChar"/>
    <w:rsid w:val="009744B1"/>
    <w:rPr>
      <w:sz w:val="20"/>
    </w:rPr>
  </w:style>
  <w:style w:type="character" w:customStyle="1" w:styleId="CommentTextChar">
    <w:name w:val="Comment Text Char"/>
    <w:basedOn w:val="DefaultParagraphFont"/>
    <w:link w:val="CommentText"/>
    <w:rsid w:val="009744B1"/>
  </w:style>
  <w:style w:type="paragraph" w:styleId="CommentSubject">
    <w:name w:val="annotation subject"/>
    <w:basedOn w:val="CommentText"/>
    <w:next w:val="CommentText"/>
    <w:link w:val="CommentSubjectChar"/>
    <w:rsid w:val="009744B1"/>
    <w:rPr>
      <w:b/>
      <w:bCs/>
    </w:rPr>
  </w:style>
  <w:style w:type="character" w:customStyle="1" w:styleId="CommentSubjectChar">
    <w:name w:val="Comment Subject Char"/>
    <w:basedOn w:val="CommentTextChar"/>
    <w:link w:val="CommentSubject"/>
    <w:rsid w:val="009744B1"/>
    <w:rPr>
      <w:b/>
      <w:bCs/>
    </w:rPr>
  </w:style>
  <w:style w:type="paragraph" w:styleId="ListParagraph">
    <w:name w:val="List Paragraph"/>
    <w:basedOn w:val="Normal"/>
    <w:uiPriority w:val="34"/>
    <w:qFormat/>
    <w:rsid w:val="00D045AC"/>
    <w:pPr>
      <w:ind w:left="720"/>
      <w:contextualSpacing/>
    </w:pPr>
  </w:style>
  <w:style w:type="paragraph" w:styleId="Header">
    <w:name w:val="header"/>
    <w:basedOn w:val="Normal"/>
    <w:link w:val="HeaderChar"/>
    <w:rsid w:val="00115667"/>
    <w:pPr>
      <w:tabs>
        <w:tab w:val="center" w:pos="4680"/>
        <w:tab w:val="right" w:pos="9360"/>
      </w:tabs>
    </w:pPr>
  </w:style>
  <w:style w:type="character" w:customStyle="1" w:styleId="HeaderChar">
    <w:name w:val="Header Char"/>
    <w:basedOn w:val="DefaultParagraphFont"/>
    <w:link w:val="Header"/>
    <w:rsid w:val="00115667"/>
    <w:rPr>
      <w:sz w:val="24"/>
    </w:rPr>
  </w:style>
  <w:style w:type="paragraph" w:styleId="EndnoteText">
    <w:name w:val="endnote text"/>
    <w:basedOn w:val="Normal"/>
    <w:link w:val="EndnoteTextChar"/>
    <w:rsid w:val="00531060"/>
    <w:rPr>
      <w:sz w:val="20"/>
    </w:rPr>
  </w:style>
  <w:style w:type="character" w:customStyle="1" w:styleId="EndnoteTextChar">
    <w:name w:val="Endnote Text Char"/>
    <w:basedOn w:val="DefaultParagraphFont"/>
    <w:link w:val="EndnoteText"/>
    <w:rsid w:val="00531060"/>
  </w:style>
  <w:style w:type="character" w:styleId="EndnoteReference">
    <w:name w:val="endnote reference"/>
    <w:basedOn w:val="DefaultParagraphFont"/>
    <w:rsid w:val="00531060"/>
    <w:rPr>
      <w:vertAlign w:val="superscript"/>
    </w:rPr>
  </w:style>
  <w:style w:type="paragraph" w:customStyle="1" w:styleId="paragraph">
    <w:name w:val="paragraph"/>
    <w:basedOn w:val="Normal"/>
    <w:rsid w:val="00F31806"/>
    <w:rPr>
      <w:szCs w:val="24"/>
    </w:rPr>
  </w:style>
  <w:style w:type="character" w:customStyle="1" w:styleId="normaltextrun1">
    <w:name w:val="normaltextrun1"/>
    <w:basedOn w:val="DefaultParagraphFont"/>
    <w:rsid w:val="00F31806"/>
  </w:style>
  <w:style w:type="character" w:customStyle="1" w:styleId="eop">
    <w:name w:val="eop"/>
    <w:basedOn w:val="DefaultParagraphFont"/>
    <w:rsid w:val="00F31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1009">
      <w:bodyDiv w:val="1"/>
      <w:marLeft w:val="0"/>
      <w:marRight w:val="0"/>
      <w:marTop w:val="0"/>
      <w:marBottom w:val="0"/>
      <w:divBdr>
        <w:top w:val="none" w:sz="0" w:space="0" w:color="auto"/>
        <w:left w:val="none" w:sz="0" w:space="0" w:color="auto"/>
        <w:bottom w:val="none" w:sz="0" w:space="0" w:color="auto"/>
        <w:right w:val="none" w:sz="0" w:space="0" w:color="auto"/>
      </w:divBdr>
    </w:div>
    <w:div w:id="222180452">
      <w:bodyDiv w:val="1"/>
      <w:marLeft w:val="0"/>
      <w:marRight w:val="0"/>
      <w:marTop w:val="0"/>
      <w:marBottom w:val="0"/>
      <w:divBdr>
        <w:top w:val="none" w:sz="0" w:space="0" w:color="auto"/>
        <w:left w:val="none" w:sz="0" w:space="0" w:color="auto"/>
        <w:bottom w:val="none" w:sz="0" w:space="0" w:color="auto"/>
        <w:right w:val="none" w:sz="0" w:space="0" w:color="auto"/>
      </w:divBdr>
    </w:div>
    <w:div w:id="806120899">
      <w:bodyDiv w:val="1"/>
      <w:marLeft w:val="0"/>
      <w:marRight w:val="0"/>
      <w:marTop w:val="0"/>
      <w:marBottom w:val="0"/>
      <w:divBdr>
        <w:top w:val="none" w:sz="0" w:space="0" w:color="auto"/>
        <w:left w:val="none" w:sz="0" w:space="0" w:color="auto"/>
        <w:bottom w:val="none" w:sz="0" w:space="0" w:color="auto"/>
        <w:right w:val="none" w:sz="0" w:space="0" w:color="auto"/>
      </w:divBdr>
    </w:div>
    <w:div w:id="825824210">
      <w:bodyDiv w:val="1"/>
      <w:marLeft w:val="0"/>
      <w:marRight w:val="0"/>
      <w:marTop w:val="0"/>
      <w:marBottom w:val="0"/>
      <w:divBdr>
        <w:top w:val="none" w:sz="0" w:space="0" w:color="auto"/>
        <w:left w:val="none" w:sz="0" w:space="0" w:color="auto"/>
        <w:bottom w:val="none" w:sz="0" w:space="0" w:color="auto"/>
        <w:right w:val="none" w:sz="0" w:space="0" w:color="auto"/>
      </w:divBdr>
    </w:div>
    <w:div w:id="860514562">
      <w:bodyDiv w:val="1"/>
      <w:marLeft w:val="0"/>
      <w:marRight w:val="0"/>
      <w:marTop w:val="0"/>
      <w:marBottom w:val="0"/>
      <w:divBdr>
        <w:top w:val="none" w:sz="0" w:space="0" w:color="auto"/>
        <w:left w:val="none" w:sz="0" w:space="0" w:color="auto"/>
        <w:bottom w:val="none" w:sz="0" w:space="0" w:color="auto"/>
        <w:right w:val="none" w:sz="0" w:space="0" w:color="auto"/>
      </w:divBdr>
      <w:divsChild>
        <w:div w:id="1996689384">
          <w:marLeft w:val="0"/>
          <w:marRight w:val="0"/>
          <w:marTop w:val="0"/>
          <w:marBottom w:val="0"/>
          <w:divBdr>
            <w:top w:val="none" w:sz="0" w:space="0" w:color="auto"/>
            <w:left w:val="none" w:sz="0" w:space="0" w:color="auto"/>
            <w:bottom w:val="none" w:sz="0" w:space="0" w:color="auto"/>
            <w:right w:val="none" w:sz="0" w:space="0" w:color="auto"/>
          </w:divBdr>
          <w:divsChild>
            <w:div w:id="212811159">
              <w:marLeft w:val="0"/>
              <w:marRight w:val="0"/>
              <w:marTop w:val="0"/>
              <w:marBottom w:val="0"/>
              <w:divBdr>
                <w:top w:val="none" w:sz="0" w:space="0" w:color="auto"/>
                <w:left w:val="none" w:sz="0" w:space="0" w:color="auto"/>
                <w:bottom w:val="none" w:sz="0" w:space="0" w:color="auto"/>
                <w:right w:val="none" w:sz="0" w:space="0" w:color="auto"/>
              </w:divBdr>
              <w:divsChild>
                <w:div w:id="2092190145">
                  <w:marLeft w:val="0"/>
                  <w:marRight w:val="0"/>
                  <w:marTop w:val="0"/>
                  <w:marBottom w:val="0"/>
                  <w:divBdr>
                    <w:top w:val="none" w:sz="0" w:space="0" w:color="auto"/>
                    <w:left w:val="none" w:sz="0" w:space="0" w:color="auto"/>
                    <w:bottom w:val="none" w:sz="0" w:space="0" w:color="auto"/>
                    <w:right w:val="none" w:sz="0" w:space="0" w:color="auto"/>
                  </w:divBdr>
                  <w:divsChild>
                    <w:div w:id="1103111797">
                      <w:marLeft w:val="0"/>
                      <w:marRight w:val="0"/>
                      <w:marTop w:val="0"/>
                      <w:marBottom w:val="0"/>
                      <w:divBdr>
                        <w:top w:val="none" w:sz="0" w:space="0" w:color="auto"/>
                        <w:left w:val="none" w:sz="0" w:space="0" w:color="auto"/>
                        <w:bottom w:val="none" w:sz="0" w:space="0" w:color="auto"/>
                        <w:right w:val="none" w:sz="0" w:space="0" w:color="auto"/>
                      </w:divBdr>
                      <w:divsChild>
                        <w:div w:id="1231504891">
                          <w:marLeft w:val="0"/>
                          <w:marRight w:val="0"/>
                          <w:marTop w:val="0"/>
                          <w:marBottom w:val="0"/>
                          <w:divBdr>
                            <w:top w:val="none" w:sz="0" w:space="0" w:color="auto"/>
                            <w:left w:val="none" w:sz="0" w:space="0" w:color="auto"/>
                            <w:bottom w:val="none" w:sz="0" w:space="0" w:color="auto"/>
                            <w:right w:val="none" w:sz="0" w:space="0" w:color="auto"/>
                          </w:divBdr>
                          <w:divsChild>
                            <w:div w:id="1792043281">
                              <w:marLeft w:val="0"/>
                              <w:marRight w:val="0"/>
                              <w:marTop w:val="0"/>
                              <w:marBottom w:val="0"/>
                              <w:divBdr>
                                <w:top w:val="none" w:sz="0" w:space="0" w:color="auto"/>
                                <w:left w:val="none" w:sz="0" w:space="0" w:color="auto"/>
                                <w:bottom w:val="none" w:sz="0" w:space="0" w:color="auto"/>
                                <w:right w:val="none" w:sz="0" w:space="0" w:color="auto"/>
                              </w:divBdr>
                              <w:divsChild>
                                <w:div w:id="968509267">
                                  <w:marLeft w:val="0"/>
                                  <w:marRight w:val="0"/>
                                  <w:marTop w:val="0"/>
                                  <w:marBottom w:val="0"/>
                                  <w:divBdr>
                                    <w:top w:val="none" w:sz="0" w:space="0" w:color="auto"/>
                                    <w:left w:val="none" w:sz="0" w:space="0" w:color="auto"/>
                                    <w:bottom w:val="none" w:sz="0" w:space="0" w:color="auto"/>
                                    <w:right w:val="none" w:sz="0" w:space="0" w:color="auto"/>
                                  </w:divBdr>
                                  <w:divsChild>
                                    <w:div w:id="861044643">
                                      <w:marLeft w:val="0"/>
                                      <w:marRight w:val="0"/>
                                      <w:marTop w:val="0"/>
                                      <w:marBottom w:val="0"/>
                                      <w:divBdr>
                                        <w:top w:val="none" w:sz="0" w:space="0" w:color="auto"/>
                                        <w:left w:val="none" w:sz="0" w:space="0" w:color="auto"/>
                                        <w:bottom w:val="none" w:sz="0" w:space="0" w:color="auto"/>
                                        <w:right w:val="none" w:sz="0" w:space="0" w:color="auto"/>
                                      </w:divBdr>
                                      <w:divsChild>
                                        <w:div w:id="162744366">
                                          <w:marLeft w:val="0"/>
                                          <w:marRight w:val="0"/>
                                          <w:marTop w:val="0"/>
                                          <w:marBottom w:val="0"/>
                                          <w:divBdr>
                                            <w:top w:val="none" w:sz="0" w:space="0" w:color="auto"/>
                                            <w:left w:val="none" w:sz="0" w:space="0" w:color="auto"/>
                                            <w:bottom w:val="none" w:sz="0" w:space="0" w:color="auto"/>
                                            <w:right w:val="none" w:sz="0" w:space="0" w:color="auto"/>
                                          </w:divBdr>
                                          <w:divsChild>
                                            <w:div w:id="1781683286">
                                              <w:marLeft w:val="0"/>
                                              <w:marRight w:val="0"/>
                                              <w:marTop w:val="0"/>
                                              <w:marBottom w:val="0"/>
                                              <w:divBdr>
                                                <w:top w:val="none" w:sz="0" w:space="0" w:color="auto"/>
                                                <w:left w:val="none" w:sz="0" w:space="0" w:color="auto"/>
                                                <w:bottom w:val="none" w:sz="0" w:space="0" w:color="auto"/>
                                                <w:right w:val="none" w:sz="0" w:space="0" w:color="auto"/>
                                              </w:divBdr>
                                              <w:divsChild>
                                                <w:div w:id="133134831">
                                                  <w:marLeft w:val="0"/>
                                                  <w:marRight w:val="0"/>
                                                  <w:marTop w:val="0"/>
                                                  <w:marBottom w:val="0"/>
                                                  <w:divBdr>
                                                    <w:top w:val="none" w:sz="0" w:space="0" w:color="auto"/>
                                                    <w:left w:val="none" w:sz="0" w:space="0" w:color="auto"/>
                                                    <w:bottom w:val="none" w:sz="0" w:space="0" w:color="auto"/>
                                                    <w:right w:val="none" w:sz="0" w:space="0" w:color="auto"/>
                                                  </w:divBdr>
                                                  <w:divsChild>
                                                    <w:div w:id="177893451">
                                                      <w:marLeft w:val="0"/>
                                                      <w:marRight w:val="0"/>
                                                      <w:marTop w:val="0"/>
                                                      <w:marBottom w:val="0"/>
                                                      <w:divBdr>
                                                        <w:top w:val="single" w:sz="6" w:space="0" w:color="ABABAB"/>
                                                        <w:left w:val="single" w:sz="6" w:space="0" w:color="ABABAB"/>
                                                        <w:bottom w:val="none" w:sz="0" w:space="0" w:color="auto"/>
                                                        <w:right w:val="single" w:sz="6" w:space="0" w:color="ABABAB"/>
                                                      </w:divBdr>
                                                      <w:divsChild>
                                                        <w:div w:id="1750228562">
                                                          <w:marLeft w:val="0"/>
                                                          <w:marRight w:val="0"/>
                                                          <w:marTop w:val="0"/>
                                                          <w:marBottom w:val="0"/>
                                                          <w:divBdr>
                                                            <w:top w:val="none" w:sz="0" w:space="0" w:color="auto"/>
                                                            <w:left w:val="none" w:sz="0" w:space="0" w:color="auto"/>
                                                            <w:bottom w:val="none" w:sz="0" w:space="0" w:color="auto"/>
                                                            <w:right w:val="none" w:sz="0" w:space="0" w:color="auto"/>
                                                          </w:divBdr>
                                                          <w:divsChild>
                                                            <w:div w:id="333531647">
                                                              <w:marLeft w:val="0"/>
                                                              <w:marRight w:val="0"/>
                                                              <w:marTop w:val="0"/>
                                                              <w:marBottom w:val="0"/>
                                                              <w:divBdr>
                                                                <w:top w:val="none" w:sz="0" w:space="0" w:color="auto"/>
                                                                <w:left w:val="none" w:sz="0" w:space="0" w:color="auto"/>
                                                                <w:bottom w:val="none" w:sz="0" w:space="0" w:color="auto"/>
                                                                <w:right w:val="none" w:sz="0" w:space="0" w:color="auto"/>
                                                              </w:divBdr>
                                                              <w:divsChild>
                                                                <w:div w:id="1554540702">
                                                                  <w:marLeft w:val="0"/>
                                                                  <w:marRight w:val="0"/>
                                                                  <w:marTop w:val="0"/>
                                                                  <w:marBottom w:val="0"/>
                                                                  <w:divBdr>
                                                                    <w:top w:val="none" w:sz="0" w:space="0" w:color="auto"/>
                                                                    <w:left w:val="none" w:sz="0" w:space="0" w:color="auto"/>
                                                                    <w:bottom w:val="none" w:sz="0" w:space="0" w:color="auto"/>
                                                                    <w:right w:val="none" w:sz="0" w:space="0" w:color="auto"/>
                                                                  </w:divBdr>
                                                                  <w:divsChild>
                                                                    <w:div w:id="178468023">
                                                                      <w:marLeft w:val="0"/>
                                                                      <w:marRight w:val="0"/>
                                                                      <w:marTop w:val="0"/>
                                                                      <w:marBottom w:val="0"/>
                                                                      <w:divBdr>
                                                                        <w:top w:val="none" w:sz="0" w:space="0" w:color="auto"/>
                                                                        <w:left w:val="none" w:sz="0" w:space="0" w:color="auto"/>
                                                                        <w:bottom w:val="none" w:sz="0" w:space="0" w:color="auto"/>
                                                                        <w:right w:val="none" w:sz="0" w:space="0" w:color="auto"/>
                                                                      </w:divBdr>
                                                                      <w:divsChild>
                                                                        <w:div w:id="62219184">
                                                                          <w:marLeft w:val="0"/>
                                                                          <w:marRight w:val="0"/>
                                                                          <w:marTop w:val="0"/>
                                                                          <w:marBottom w:val="0"/>
                                                                          <w:divBdr>
                                                                            <w:top w:val="none" w:sz="0" w:space="0" w:color="auto"/>
                                                                            <w:left w:val="none" w:sz="0" w:space="0" w:color="auto"/>
                                                                            <w:bottom w:val="none" w:sz="0" w:space="0" w:color="auto"/>
                                                                            <w:right w:val="none" w:sz="0" w:space="0" w:color="auto"/>
                                                                          </w:divBdr>
                                                                          <w:divsChild>
                                                                            <w:div w:id="210000842">
                                                                              <w:marLeft w:val="0"/>
                                                                              <w:marRight w:val="0"/>
                                                                              <w:marTop w:val="0"/>
                                                                              <w:marBottom w:val="0"/>
                                                                              <w:divBdr>
                                                                                <w:top w:val="none" w:sz="0" w:space="0" w:color="auto"/>
                                                                                <w:left w:val="none" w:sz="0" w:space="0" w:color="auto"/>
                                                                                <w:bottom w:val="none" w:sz="0" w:space="0" w:color="auto"/>
                                                                                <w:right w:val="none" w:sz="0" w:space="0" w:color="auto"/>
                                                                              </w:divBdr>
                                                                              <w:divsChild>
                                                                                <w:div w:id="1004674112">
                                                                                  <w:marLeft w:val="0"/>
                                                                                  <w:marRight w:val="0"/>
                                                                                  <w:marTop w:val="0"/>
                                                                                  <w:marBottom w:val="0"/>
                                                                                  <w:divBdr>
                                                                                    <w:top w:val="none" w:sz="0" w:space="0" w:color="auto"/>
                                                                                    <w:left w:val="none" w:sz="0" w:space="0" w:color="auto"/>
                                                                                    <w:bottom w:val="none" w:sz="0" w:space="0" w:color="auto"/>
                                                                                    <w:right w:val="none" w:sz="0" w:space="0" w:color="auto"/>
                                                                                  </w:divBdr>
                                                                                </w:div>
                                                                                <w:div w:id="1213347860">
                                                                                  <w:marLeft w:val="0"/>
                                                                                  <w:marRight w:val="0"/>
                                                                                  <w:marTop w:val="0"/>
                                                                                  <w:marBottom w:val="0"/>
                                                                                  <w:divBdr>
                                                                                    <w:top w:val="none" w:sz="0" w:space="0" w:color="auto"/>
                                                                                    <w:left w:val="none" w:sz="0" w:space="0" w:color="auto"/>
                                                                                    <w:bottom w:val="none" w:sz="0" w:space="0" w:color="auto"/>
                                                                                    <w:right w:val="none" w:sz="0" w:space="0" w:color="auto"/>
                                                                                  </w:divBdr>
                                                                                </w:div>
                                                                                <w:div w:id="1977831887">
                                                                                  <w:marLeft w:val="0"/>
                                                                                  <w:marRight w:val="0"/>
                                                                                  <w:marTop w:val="0"/>
                                                                                  <w:marBottom w:val="0"/>
                                                                                  <w:divBdr>
                                                                                    <w:top w:val="none" w:sz="0" w:space="0" w:color="auto"/>
                                                                                    <w:left w:val="none" w:sz="0" w:space="0" w:color="auto"/>
                                                                                    <w:bottom w:val="none" w:sz="0" w:space="0" w:color="auto"/>
                                                                                    <w:right w:val="none" w:sz="0" w:space="0" w:color="auto"/>
                                                                                  </w:divBdr>
                                                                                </w:div>
                                                                                <w:div w:id="116410223">
                                                                                  <w:marLeft w:val="0"/>
                                                                                  <w:marRight w:val="0"/>
                                                                                  <w:marTop w:val="0"/>
                                                                                  <w:marBottom w:val="0"/>
                                                                                  <w:divBdr>
                                                                                    <w:top w:val="none" w:sz="0" w:space="0" w:color="auto"/>
                                                                                    <w:left w:val="none" w:sz="0" w:space="0" w:color="auto"/>
                                                                                    <w:bottom w:val="none" w:sz="0" w:space="0" w:color="auto"/>
                                                                                    <w:right w:val="none" w:sz="0" w:space="0" w:color="auto"/>
                                                                                  </w:divBdr>
                                                                                </w:div>
                                                                                <w:div w:id="1389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8688355">
      <w:bodyDiv w:val="1"/>
      <w:marLeft w:val="0"/>
      <w:marRight w:val="0"/>
      <w:marTop w:val="0"/>
      <w:marBottom w:val="0"/>
      <w:divBdr>
        <w:top w:val="none" w:sz="0" w:space="0" w:color="auto"/>
        <w:left w:val="none" w:sz="0" w:space="0" w:color="auto"/>
        <w:bottom w:val="none" w:sz="0" w:space="0" w:color="auto"/>
        <w:right w:val="none" w:sz="0" w:space="0" w:color="auto"/>
      </w:divBdr>
    </w:div>
    <w:div w:id="1298878829">
      <w:bodyDiv w:val="1"/>
      <w:marLeft w:val="0"/>
      <w:marRight w:val="0"/>
      <w:marTop w:val="0"/>
      <w:marBottom w:val="0"/>
      <w:divBdr>
        <w:top w:val="none" w:sz="0" w:space="0" w:color="auto"/>
        <w:left w:val="none" w:sz="0" w:space="0" w:color="auto"/>
        <w:bottom w:val="none" w:sz="0" w:space="0" w:color="auto"/>
        <w:right w:val="none" w:sz="0" w:space="0" w:color="auto"/>
      </w:divBdr>
    </w:div>
    <w:div w:id="1324502336">
      <w:bodyDiv w:val="1"/>
      <w:marLeft w:val="0"/>
      <w:marRight w:val="0"/>
      <w:marTop w:val="0"/>
      <w:marBottom w:val="0"/>
      <w:divBdr>
        <w:top w:val="none" w:sz="0" w:space="0" w:color="auto"/>
        <w:left w:val="none" w:sz="0" w:space="0" w:color="auto"/>
        <w:bottom w:val="none" w:sz="0" w:space="0" w:color="auto"/>
        <w:right w:val="none" w:sz="0" w:space="0" w:color="auto"/>
      </w:divBdr>
    </w:div>
    <w:div w:id="1629583374">
      <w:bodyDiv w:val="1"/>
      <w:marLeft w:val="0"/>
      <w:marRight w:val="0"/>
      <w:marTop w:val="0"/>
      <w:marBottom w:val="0"/>
      <w:divBdr>
        <w:top w:val="none" w:sz="0" w:space="0" w:color="auto"/>
        <w:left w:val="none" w:sz="0" w:space="0" w:color="auto"/>
        <w:bottom w:val="none" w:sz="0" w:space="0" w:color="auto"/>
        <w:right w:val="none" w:sz="0" w:space="0" w:color="auto"/>
      </w:divBdr>
    </w:div>
    <w:div w:id="208044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bb7ed5730fad065904ffcfc7f432cd4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ce475ec4c0ebd1567a39681dcacb8acb"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24CA4-72B9-45BB-B25D-8C79AEACD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B2B405-A148-4F3B-992D-3F458710411F}">
  <ds:schemaRefs>
    <ds:schemaRef ds:uri="http://purl.org/dc/terms/"/>
    <ds:schemaRef ds:uri="http://schemas.microsoft.com/office/2006/metadata/properties"/>
    <ds:schemaRef ds:uri="http://schemas.microsoft.com/office/2006/documentManagement/types"/>
    <ds:schemaRef ds:uri="http://schemas.microsoft.com/sharepoint/v3"/>
    <ds:schemaRef ds:uri="11fd957d-147f-41f6-a058-03b42122ddbc"/>
    <ds:schemaRef ds:uri="http://purl.org/dc/elements/1.1/"/>
    <ds:schemaRef ds:uri="http://schemas.microsoft.com/office/infopath/2007/PartnerControls"/>
    <ds:schemaRef ds:uri="http://schemas.openxmlformats.org/package/2006/metadata/core-properties"/>
    <ds:schemaRef ds:uri="bb0d2465-af00-4b81-a931-20baeeea6c93"/>
    <ds:schemaRef ds:uri="http://www.w3.org/XML/1998/namespace"/>
    <ds:schemaRef ds:uri="http://purl.org/dc/dcmitype/"/>
  </ds:schemaRefs>
</ds:datastoreItem>
</file>

<file path=customXml/itemProps3.xml><?xml version="1.0" encoding="utf-8"?>
<ds:datastoreItem xmlns:ds="http://schemas.openxmlformats.org/officeDocument/2006/customXml" ds:itemID="{ABB7D944-814F-42F8-BFFA-C3254F6B7ABF}">
  <ds:schemaRefs>
    <ds:schemaRef ds:uri="http://schemas.microsoft.com/sharepoint/v3/contenttype/forms"/>
  </ds:schemaRefs>
</ds:datastoreItem>
</file>

<file path=customXml/itemProps4.xml><?xml version="1.0" encoding="utf-8"?>
<ds:datastoreItem xmlns:ds="http://schemas.openxmlformats.org/officeDocument/2006/customXml" ds:itemID="{DFB45F9B-3391-4789-9610-3B22A2525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1810</Words>
  <Characters>10423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Fishman, Lisa</cp:lastModifiedBy>
  <cp:revision>2</cp:revision>
  <cp:lastPrinted>2020-02-27T16:17:00Z</cp:lastPrinted>
  <dcterms:created xsi:type="dcterms:W3CDTF">2020-04-03T16:32:00Z</dcterms:created>
  <dcterms:modified xsi:type="dcterms:W3CDTF">2020-04-03T16:32:00Z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