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E75" w:rsidRDefault="00972E75" w14:paraId="3B9E7483" w14:textId="77777777">
      <w:pPr>
        <w:pStyle w:val="BodyText"/>
        <w:rPr>
          <w:rFonts w:ascii="Times New Roman"/>
          <w:sz w:val="20"/>
        </w:rPr>
      </w:pPr>
      <w:bookmarkStart w:name="_GoBack" w:id="0"/>
      <w:bookmarkEnd w:id="0"/>
    </w:p>
    <w:p w:rsidR="00DB472C" w:rsidP="00302B46" w:rsidRDefault="004164C6" w14:paraId="48E8A7D2" w14:textId="77777777">
      <w:pPr>
        <w:pStyle w:val="BodyText"/>
        <w:jc w:val="center"/>
      </w:pPr>
      <w:r>
        <w:t>FINAL</w:t>
      </w:r>
      <w:r w:rsidR="00C82F0A">
        <w:t xml:space="preserve"> </w:t>
      </w:r>
      <w:r w:rsidR="00DB472C">
        <w:t xml:space="preserve">OMB </w:t>
      </w:r>
      <w:r w:rsidR="00C82F0A">
        <w:t>SUPPORTING</w:t>
      </w:r>
    </w:p>
    <w:p w:rsidR="00BD1BFA" w:rsidP="00302B46" w:rsidRDefault="00EE77F3" w14:paraId="207B0227" w14:textId="77777777">
      <w:pPr>
        <w:pStyle w:val="BodyText"/>
        <w:jc w:val="center"/>
      </w:pPr>
      <w:r>
        <w:t>STATEMENT</w:t>
      </w:r>
      <w:r w:rsidR="00275D81">
        <w:t xml:space="preserve"> FOR</w:t>
      </w:r>
    </w:p>
    <w:p w:rsidR="009764F2" w:rsidP="00302B46" w:rsidRDefault="00275D81" w14:paraId="2A0E43FF" w14:textId="77777777">
      <w:pPr>
        <w:pStyle w:val="BodyText"/>
        <w:jc w:val="center"/>
      </w:pPr>
      <w:r>
        <w:t>10 CFR PART</w:t>
      </w:r>
      <w:r w:rsidR="004164C6">
        <w:t xml:space="preserve"> </w:t>
      </w:r>
      <w:r>
        <w:t>55</w:t>
      </w:r>
    </w:p>
    <w:p w:rsidR="00972E75" w:rsidP="00302B46" w:rsidRDefault="00275D81" w14:paraId="00535F76" w14:textId="77777777">
      <w:pPr>
        <w:pStyle w:val="BodyText"/>
        <w:jc w:val="center"/>
      </w:pPr>
      <w:r>
        <w:t xml:space="preserve">OPERATORS' </w:t>
      </w:r>
      <w:r w:rsidR="00EE77F3">
        <w:t>LICENSES</w:t>
      </w:r>
    </w:p>
    <w:p w:rsidR="00DB472C" w:rsidP="00302B46" w:rsidRDefault="00DB472C" w14:paraId="1981F2D5" w14:textId="77777777">
      <w:pPr>
        <w:pStyle w:val="BodyText"/>
        <w:jc w:val="center"/>
      </w:pPr>
      <w:r>
        <w:t>(3150-0018)</w:t>
      </w:r>
    </w:p>
    <w:p w:rsidR="00972E75" w:rsidP="00302B46" w:rsidRDefault="00972E75" w14:paraId="294D9B5D" w14:textId="77777777">
      <w:pPr>
        <w:pStyle w:val="BodyText"/>
        <w:ind w:left="4320"/>
        <w:rPr>
          <w:sz w:val="21"/>
        </w:rPr>
      </w:pPr>
    </w:p>
    <w:p w:rsidR="007465F2" w:rsidP="00302B46" w:rsidRDefault="00EE77F3" w14:paraId="214E19A8" w14:textId="77777777">
      <w:pPr>
        <w:pStyle w:val="BodyText"/>
        <w:spacing w:line="477" w:lineRule="auto"/>
        <w:jc w:val="center"/>
      </w:pPr>
      <w:r>
        <w:t>E</w:t>
      </w:r>
      <w:r w:rsidR="00DB472C">
        <w:t>XTENSION</w:t>
      </w:r>
    </w:p>
    <w:p w:rsidR="00302B46" w:rsidP="007465F2" w:rsidRDefault="00302B46" w14:paraId="4C3B0A09" w14:textId="77777777">
      <w:pPr>
        <w:pStyle w:val="BodyText"/>
        <w:spacing w:line="477" w:lineRule="auto"/>
        <w:ind w:right="2794"/>
        <w:rPr>
          <w:smallCaps/>
          <w:u w:val="single"/>
        </w:rPr>
      </w:pPr>
    </w:p>
    <w:p w:rsidRPr="00302B46" w:rsidR="00972E75" w:rsidP="007465F2" w:rsidRDefault="00EE77F3" w14:paraId="0FFCEA77" w14:textId="77777777">
      <w:pPr>
        <w:pStyle w:val="BodyText"/>
        <w:spacing w:line="477" w:lineRule="auto"/>
        <w:ind w:right="2794"/>
      </w:pPr>
      <w:r w:rsidRPr="00302B46">
        <w:rPr>
          <w:u w:val="single"/>
        </w:rPr>
        <w:t>D</w:t>
      </w:r>
      <w:r w:rsidR="00302B46">
        <w:rPr>
          <w:u w:val="single"/>
        </w:rPr>
        <w:t>escription of the</w:t>
      </w:r>
      <w:r w:rsidRPr="00302B46">
        <w:rPr>
          <w:u w:val="single"/>
        </w:rPr>
        <w:t xml:space="preserve"> I</w:t>
      </w:r>
      <w:r w:rsidR="00302B46">
        <w:rPr>
          <w:u w:val="single"/>
        </w:rPr>
        <w:t>nformation</w:t>
      </w:r>
      <w:r w:rsidRPr="00302B46">
        <w:rPr>
          <w:u w:val="single"/>
        </w:rPr>
        <w:t xml:space="preserve"> C</w:t>
      </w:r>
      <w:r w:rsidR="00302B46">
        <w:rPr>
          <w:u w:val="single"/>
        </w:rPr>
        <w:t>ollection</w:t>
      </w:r>
    </w:p>
    <w:p w:rsidR="005B7D3B" w:rsidP="00275D81" w:rsidRDefault="00EE77F3" w14:paraId="74BB9FFC" w14:textId="77777777">
      <w:pPr>
        <w:pStyle w:val="BodyText"/>
        <w:ind w:left="100" w:right="261"/>
      </w:pPr>
      <w:r>
        <w:t xml:space="preserve">The Nuclear Regulatory Commission’s </w:t>
      </w:r>
      <w:r w:rsidR="005B7D3B">
        <w:t xml:space="preserve">(NRC) </w:t>
      </w:r>
      <w:r>
        <w:t xml:space="preserve">regulations in 10 CFR </w:t>
      </w:r>
      <w:r w:rsidR="00315521">
        <w:t xml:space="preserve">Part </w:t>
      </w:r>
      <w:r>
        <w:t xml:space="preserve">55 establish: </w:t>
      </w:r>
      <w:r w:rsidR="00275D81">
        <w:t xml:space="preserve"> </w:t>
      </w:r>
    </w:p>
    <w:p w:rsidR="00972E75" w:rsidP="00275D81" w:rsidRDefault="00EE77F3" w14:paraId="5CF56EB2" w14:textId="77777777">
      <w:pPr>
        <w:pStyle w:val="BodyText"/>
        <w:ind w:left="100" w:right="261"/>
      </w:pPr>
      <w:r>
        <w:t>(1) procedures and criteria for the issuance of licenses to operators and senior operators of utilization facilities (which are licensed pursuant to the Atomic Energy Act of 1954, as amended, 10 CFR</w:t>
      </w:r>
      <w:r w:rsidR="00315521">
        <w:t xml:space="preserve"> Part</w:t>
      </w:r>
      <w:r>
        <w:t xml:space="preserve"> 50, and 10 CFR </w:t>
      </w:r>
      <w:r w:rsidR="00315521">
        <w:t xml:space="preserve">Part </w:t>
      </w:r>
      <w:r>
        <w:t>52); (2) the terms and conditions upon which the Commission will issue or modify the operators’ licenses; and (3) the terms and conditions to maintain and renew the operators’ licenses.</w:t>
      </w:r>
    </w:p>
    <w:p w:rsidR="00972E75" w:rsidP="00275D81" w:rsidRDefault="00972E75" w14:paraId="4EA48F16" w14:textId="77777777">
      <w:pPr>
        <w:pStyle w:val="BodyText"/>
        <w:rPr>
          <w:sz w:val="21"/>
        </w:rPr>
      </w:pPr>
    </w:p>
    <w:p w:rsidR="00972E75" w:rsidP="00275D81" w:rsidRDefault="00EE77F3" w14:paraId="1A121277" w14:textId="77777777">
      <w:pPr>
        <w:pStyle w:val="BodyText"/>
        <w:ind w:left="100" w:right="113"/>
      </w:pPr>
      <w:proofErr w:type="gramStart"/>
      <w:r>
        <w:t>The majority of</w:t>
      </w:r>
      <w:proofErr w:type="gramEnd"/>
      <w:r>
        <w:t xml:space="preserve"> the information collection requirements related to </w:t>
      </w:r>
      <w:r w:rsidR="00DB0C22">
        <w:t>this Part</w:t>
      </w:r>
      <w:r>
        <w:t xml:space="preserve"> apply to the holders of</w:t>
      </w:r>
      <w:r w:rsidR="00DB0C22">
        <w:t xml:space="preserve"> </w:t>
      </w:r>
      <w:r>
        <w:t>and applicants for</w:t>
      </w:r>
      <w:r w:rsidR="00DB0C22">
        <w:t xml:space="preserve"> a</w:t>
      </w:r>
      <w:r>
        <w:t xml:space="preserve"> utilization facility operating licenses (as defined in 10 CFR </w:t>
      </w:r>
      <w:r w:rsidR="00315521">
        <w:t xml:space="preserve">Part </w:t>
      </w:r>
      <w:r>
        <w:t xml:space="preserve">50 and </w:t>
      </w:r>
      <w:r w:rsidR="00315521">
        <w:t xml:space="preserve">Part </w:t>
      </w:r>
      <w:r>
        <w:t xml:space="preserve">52).  </w:t>
      </w:r>
      <w:r w:rsidR="00DB0C22">
        <w:t xml:space="preserve">The remaining </w:t>
      </w:r>
      <w:r>
        <w:t xml:space="preserve">information collections apply to the holders of, or applicants for, an individual operator's license (i.e., operators and senior operators as defined in 10 CFR </w:t>
      </w:r>
      <w:r w:rsidR="00315521">
        <w:t xml:space="preserve">Part </w:t>
      </w:r>
      <w:r>
        <w:t>55).</w:t>
      </w:r>
    </w:p>
    <w:p w:rsidR="00972E75" w:rsidP="00275D81" w:rsidRDefault="00972E75" w14:paraId="425B200B" w14:textId="77777777">
      <w:pPr>
        <w:pStyle w:val="BodyText"/>
        <w:rPr>
          <w:sz w:val="21"/>
        </w:rPr>
      </w:pPr>
    </w:p>
    <w:p w:rsidR="00972E75" w:rsidP="00275D81" w:rsidRDefault="00EE77F3" w14:paraId="3CE92468" w14:textId="77777777">
      <w:pPr>
        <w:pStyle w:val="BodyText"/>
        <w:ind w:left="100" w:right="174"/>
      </w:pPr>
      <w:r>
        <w:t xml:space="preserve">This supporting statement provides a comprehensive overview of the information collection requirements specified in 10 CFR </w:t>
      </w:r>
      <w:r w:rsidR="00315521">
        <w:t xml:space="preserve">Part </w:t>
      </w:r>
      <w:r>
        <w:t xml:space="preserve">55. </w:t>
      </w:r>
      <w:r w:rsidR="00275D81">
        <w:t xml:space="preserve"> </w:t>
      </w:r>
      <w:r w:rsidR="00DB0C22">
        <w:t xml:space="preserve">There are additional information collections in 10 CFR Part 55 that are covered by other OMB clearances and are not addressed in this supporting statement.  These are </w:t>
      </w:r>
      <w:r>
        <w:t>NRC Form 396, “Certification of Medical Examination by Facility Licensee” (OMB Clearance No. 3150-0024), NRC Form 398, “Personal Qualification Statement – Licensee” (OMB Clearance No. 3150- 0090) and NRC Form 536, “Operator Licensing Examination Data” (OMB Clearance No. 3150- 0131).</w:t>
      </w:r>
    </w:p>
    <w:p w:rsidR="00ED60D0" w:rsidP="00275D81" w:rsidRDefault="00ED60D0" w14:paraId="57267E86" w14:textId="77777777">
      <w:pPr>
        <w:pStyle w:val="BodyText"/>
        <w:ind w:left="100" w:right="174"/>
      </w:pPr>
    </w:p>
    <w:p w:rsidR="00ED60D0" w:rsidP="00275D81" w:rsidRDefault="00DB0C22" w14:paraId="7AD0C539" w14:textId="77777777">
      <w:pPr>
        <w:pStyle w:val="BodyText"/>
        <w:ind w:left="100" w:right="174"/>
      </w:pPr>
      <w:r>
        <w:t xml:space="preserve">Specific </w:t>
      </w:r>
      <w:r w:rsidR="00ED60D0">
        <w:t xml:space="preserve">information collection requirements include filing applications for an exemption, which include general license information as well as information specific to the request, written examinations </w:t>
      </w:r>
      <w:r w:rsidR="00E22A0C">
        <w:t xml:space="preserve">and operating tests </w:t>
      </w:r>
      <w:r w:rsidR="00ED60D0">
        <w:t xml:space="preserve">prepared by facility licenses, request to use a simulation facility, </w:t>
      </w:r>
      <w:r w:rsidR="00E22A0C">
        <w:t xml:space="preserve">request to certify a Commission approved simulator, </w:t>
      </w:r>
      <w:r w:rsidR="00ED60D0">
        <w:t>copies of requalification written examinations and/or annual operating tests.</w:t>
      </w:r>
    </w:p>
    <w:p w:rsidR="00972E75" w:rsidP="00275D81" w:rsidRDefault="00972E75" w14:paraId="362B2726" w14:textId="77777777">
      <w:pPr>
        <w:pStyle w:val="BodyText"/>
        <w:rPr>
          <w:sz w:val="21"/>
        </w:rPr>
      </w:pPr>
    </w:p>
    <w:p w:rsidRPr="00DB472C" w:rsidR="00972E75" w:rsidP="00275D81" w:rsidRDefault="00EE77F3" w14:paraId="3089B7FE" w14:textId="77777777">
      <w:pPr>
        <w:pStyle w:val="ListParagraph"/>
        <w:numPr>
          <w:ilvl w:val="1"/>
          <w:numId w:val="3"/>
        </w:numPr>
        <w:tabs>
          <w:tab w:val="left" w:pos="839"/>
          <w:tab w:val="left" w:pos="841"/>
        </w:tabs>
        <w:ind w:hanging="720"/>
      </w:pPr>
      <w:r w:rsidRPr="00DB472C">
        <w:t>JUSTIFICATION</w:t>
      </w:r>
    </w:p>
    <w:p w:rsidR="00972E75" w:rsidP="00275D81" w:rsidRDefault="00972E75" w14:paraId="2E646749" w14:textId="77777777">
      <w:pPr>
        <w:pStyle w:val="BodyText"/>
        <w:rPr>
          <w:sz w:val="13"/>
        </w:rPr>
      </w:pPr>
    </w:p>
    <w:p w:rsidR="00972E75" w:rsidP="00275D81" w:rsidRDefault="00EE77F3" w14:paraId="5CDB3775" w14:textId="77777777">
      <w:pPr>
        <w:pStyle w:val="ListParagraph"/>
        <w:numPr>
          <w:ilvl w:val="2"/>
          <w:numId w:val="3"/>
        </w:numPr>
        <w:tabs>
          <w:tab w:val="left" w:pos="839"/>
          <w:tab w:val="left" w:pos="841"/>
        </w:tabs>
        <w:ind w:hanging="720"/>
      </w:pPr>
      <w:r>
        <w:rPr>
          <w:u w:val="single"/>
        </w:rPr>
        <w:t>Need for and Practical Utility of the Collection of</w:t>
      </w:r>
      <w:r>
        <w:rPr>
          <w:spacing w:val="-11"/>
          <w:u w:val="single"/>
        </w:rPr>
        <w:t xml:space="preserve"> </w:t>
      </w:r>
      <w:r>
        <w:rPr>
          <w:u w:val="single"/>
        </w:rPr>
        <w:t>Information</w:t>
      </w:r>
    </w:p>
    <w:p w:rsidR="00972E75" w:rsidP="00275D81" w:rsidRDefault="00972E75" w14:paraId="60EB5879" w14:textId="77777777">
      <w:pPr>
        <w:pStyle w:val="BodyText"/>
        <w:rPr>
          <w:sz w:val="13"/>
        </w:rPr>
      </w:pPr>
    </w:p>
    <w:p w:rsidR="00F470CB" w:rsidP="00275D81" w:rsidRDefault="00F470CB" w14:paraId="3FADF30C" w14:textId="77777777">
      <w:pPr>
        <w:ind w:left="1080"/>
      </w:pPr>
    </w:p>
    <w:p w:rsidRPr="000C311D" w:rsidR="00F470CB" w:rsidP="00275D81" w:rsidRDefault="00F470CB" w14:paraId="0F51EC14" w14:textId="77777777">
      <w:pPr>
        <w:ind w:left="810"/>
      </w:pPr>
      <w:r w:rsidRPr="000C311D">
        <w:t xml:space="preserve">The information is needed in order to determine licensee compliance with the regulations set forth in 10 CFR Part </w:t>
      </w:r>
      <w:r>
        <w:t>55.</w:t>
      </w:r>
      <w:r w:rsidR="001670A9">
        <w:t xml:space="preserve">  </w:t>
      </w:r>
      <w:r w:rsidR="00EC774D">
        <w:t xml:space="preserve">The information is used for NRC-developed initial licensed operator examinations, and to </w:t>
      </w:r>
      <w:r w:rsidR="001670A9">
        <w:t>evaluate exemptions from the 10 CFR Part 55 regulations</w:t>
      </w:r>
      <w:r w:rsidR="00EC774D">
        <w:t xml:space="preserve"> for operator license applicants</w:t>
      </w:r>
      <w:r w:rsidR="001670A9">
        <w:t xml:space="preserve">, changes in licensed operator medical conditions, the quality of facility-developed initial licensed operator examinations, requests to waive examination requirements, </w:t>
      </w:r>
      <w:r w:rsidR="00EC774D">
        <w:t xml:space="preserve">compliance with operator license conditions, operator license renewal, and the licensed operator requalification </w:t>
      </w:r>
      <w:r w:rsidR="00EC774D">
        <w:lastRenderedPageBreak/>
        <w:t xml:space="preserve">program.  </w:t>
      </w:r>
    </w:p>
    <w:p w:rsidRPr="000C311D" w:rsidR="00F470CB" w:rsidP="00275D81" w:rsidRDefault="00F470CB" w14:paraId="54DA7123" w14:textId="77777777">
      <w:pPr>
        <w:ind w:left="1080"/>
      </w:pPr>
    </w:p>
    <w:p w:rsidR="00972E75" w:rsidP="00275D81" w:rsidRDefault="00F470CB" w14:paraId="5B333C8E" w14:textId="77777777">
      <w:pPr>
        <w:ind w:left="810"/>
        <w:rPr>
          <w:sz w:val="21"/>
        </w:rPr>
      </w:pPr>
      <w:r w:rsidRPr="000C311D">
        <w:t>Details of these regulations can be found at the end of this supporting statement in “Description of Requirements</w:t>
      </w:r>
      <w:r w:rsidR="00B05354">
        <w:t>.</w:t>
      </w:r>
      <w:r w:rsidRPr="000C311D">
        <w:t>”</w:t>
      </w:r>
      <w:r w:rsidR="00315521">
        <w:br/>
      </w:r>
    </w:p>
    <w:p w:rsidR="00972E75" w:rsidP="00275D81" w:rsidRDefault="00EE77F3" w14:paraId="57A7028E" w14:textId="77777777">
      <w:pPr>
        <w:pStyle w:val="ListParagraph"/>
        <w:numPr>
          <w:ilvl w:val="2"/>
          <w:numId w:val="3"/>
        </w:numPr>
        <w:tabs>
          <w:tab w:val="left" w:pos="839"/>
          <w:tab w:val="left" w:pos="840"/>
        </w:tabs>
        <w:ind w:left="839" w:hanging="719"/>
      </w:pPr>
      <w:r>
        <w:rPr>
          <w:u w:val="single"/>
        </w:rPr>
        <w:t>Agency Use of</w:t>
      </w:r>
      <w:r>
        <w:rPr>
          <w:spacing w:val="-5"/>
          <w:u w:val="single"/>
        </w:rPr>
        <w:t xml:space="preserve"> </w:t>
      </w:r>
      <w:r>
        <w:rPr>
          <w:u w:val="single"/>
        </w:rPr>
        <w:t>Information</w:t>
      </w:r>
    </w:p>
    <w:p w:rsidR="00972E75" w:rsidP="00275D81" w:rsidRDefault="00972E75" w14:paraId="3D19DBCD" w14:textId="77777777">
      <w:pPr>
        <w:pStyle w:val="BodyText"/>
        <w:rPr>
          <w:sz w:val="13"/>
        </w:rPr>
      </w:pPr>
    </w:p>
    <w:p w:rsidR="00972E75" w:rsidP="00275D81" w:rsidRDefault="00EE77F3" w14:paraId="241215A0" w14:textId="77777777">
      <w:pPr>
        <w:pStyle w:val="BodyText"/>
        <w:ind w:left="840" w:right="221"/>
      </w:pPr>
      <w:r>
        <w:t xml:space="preserve">The NRC will use the reports and records required by 10 CFR </w:t>
      </w:r>
      <w:r w:rsidR="00315521">
        <w:t xml:space="preserve">Part </w:t>
      </w:r>
      <w:r>
        <w:t>55 for one or more of the following purposes:</w:t>
      </w:r>
    </w:p>
    <w:p w:rsidR="00972E75" w:rsidRDefault="00972E75" w14:paraId="64D45FE8" w14:textId="77777777">
      <w:pPr>
        <w:pStyle w:val="BodyText"/>
        <w:spacing w:before="9"/>
        <w:rPr>
          <w:sz w:val="21"/>
        </w:rPr>
      </w:pPr>
    </w:p>
    <w:p w:rsidR="00972E75" w:rsidRDefault="00EE77F3" w14:paraId="42703DBE" w14:textId="77777777">
      <w:pPr>
        <w:pStyle w:val="ListParagraph"/>
        <w:numPr>
          <w:ilvl w:val="3"/>
          <w:numId w:val="3"/>
        </w:numPr>
        <w:tabs>
          <w:tab w:val="left" w:pos="1560"/>
          <w:tab w:val="left" w:pos="1561"/>
        </w:tabs>
        <w:ind w:right="140" w:hanging="720"/>
      </w:pPr>
      <w:r>
        <w:t>preparation, review, and approval of the written examinations and operating tests used to determine if the applicants for operator licenses have learned to operate the facility competently and safely and, additionally, to determine if applicants for senior operator licenses have learned to safely and competently direct the activities of licensed</w:t>
      </w:r>
      <w:r>
        <w:rPr>
          <w:spacing w:val="-7"/>
        </w:rPr>
        <w:t xml:space="preserve"> </w:t>
      </w:r>
      <w:r>
        <w:t>operators;</w:t>
      </w:r>
    </w:p>
    <w:p w:rsidR="00972E75" w:rsidP="00275D81" w:rsidRDefault="00972E75" w14:paraId="66FD8287" w14:textId="77777777">
      <w:pPr>
        <w:pStyle w:val="BodyText"/>
        <w:rPr>
          <w:sz w:val="21"/>
        </w:rPr>
      </w:pPr>
    </w:p>
    <w:p w:rsidR="00972E75" w:rsidRDefault="00EE77F3" w14:paraId="26857373" w14:textId="77777777">
      <w:pPr>
        <w:pStyle w:val="ListParagraph"/>
        <w:numPr>
          <w:ilvl w:val="3"/>
          <w:numId w:val="3"/>
        </w:numPr>
        <w:tabs>
          <w:tab w:val="left" w:pos="1560"/>
          <w:tab w:val="left" w:pos="1561"/>
        </w:tabs>
        <w:spacing w:before="1"/>
        <w:ind w:right="223" w:hanging="720"/>
      </w:pPr>
      <w:r>
        <w:t>review and approval of operator license applications (</w:t>
      </w:r>
      <w:r w:rsidR="00BD1BFA">
        <w:t xml:space="preserve">i.e., </w:t>
      </w:r>
      <w:r>
        <w:t>initial, retake, upgrade and renewal);</w:t>
      </w:r>
    </w:p>
    <w:p w:rsidR="00E22A0C" w:rsidP="00E22A0C" w:rsidRDefault="00E22A0C" w14:paraId="68AAC6A9" w14:textId="77777777">
      <w:pPr>
        <w:pStyle w:val="ListParagraph"/>
        <w:tabs>
          <w:tab w:val="left" w:pos="1560"/>
          <w:tab w:val="left" w:pos="1561"/>
        </w:tabs>
        <w:spacing w:before="1"/>
        <w:ind w:right="223" w:firstLine="0"/>
      </w:pPr>
    </w:p>
    <w:p w:rsidR="00972E75" w:rsidRDefault="00EE77F3" w14:paraId="7A9430F6" w14:textId="77777777">
      <w:pPr>
        <w:pStyle w:val="ListParagraph"/>
        <w:numPr>
          <w:ilvl w:val="3"/>
          <w:numId w:val="3"/>
        </w:numPr>
        <w:tabs>
          <w:tab w:val="left" w:pos="1560"/>
          <w:tab w:val="left" w:pos="1561"/>
        </w:tabs>
        <w:ind w:right="1117" w:hanging="720"/>
      </w:pPr>
      <w:r>
        <w:t>review and evaluation of the licensed operator requalification programs conducted by facility licensees;</w:t>
      </w:r>
      <w:r>
        <w:rPr>
          <w:spacing w:val="-7"/>
        </w:rPr>
        <w:t xml:space="preserve"> </w:t>
      </w:r>
      <w:r>
        <w:t>and</w:t>
      </w:r>
    </w:p>
    <w:p w:rsidR="00972E75" w:rsidRDefault="00972E75" w14:paraId="222738F7" w14:textId="77777777">
      <w:pPr>
        <w:pStyle w:val="BodyText"/>
        <w:spacing w:before="10"/>
        <w:rPr>
          <w:sz w:val="21"/>
        </w:rPr>
      </w:pPr>
    </w:p>
    <w:p w:rsidR="00972E75" w:rsidRDefault="00EE77F3" w14:paraId="55C12F46" w14:textId="77777777">
      <w:pPr>
        <w:pStyle w:val="ListParagraph"/>
        <w:numPr>
          <w:ilvl w:val="3"/>
          <w:numId w:val="3"/>
        </w:numPr>
        <w:tabs>
          <w:tab w:val="left" w:pos="1560"/>
          <w:tab w:val="left" w:pos="1561"/>
        </w:tabs>
        <w:ind w:hanging="720"/>
      </w:pPr>
      <w:r>
        <w:t>review</w:t>
      </w:r>
      <w:r w:rsidR="004164C6">
        <w:t xml:space="preserve"> </w:t>
      </w:r>
      <w:r>
        <w:t>of facility licensees’ plans for, and performance testing of,</w:t>
      </w:r>
      <w:r>
        <w:rPr>
          <w:spacing w:val="-15"/>
        </w:rPr>
        <w:t xml:space="preserve"> </w:t>
      </w:r>
      <w:r>
        <w:t>simulators.</w:t>
      </w:r>
    </w:p>
    <w:p w:rsidR="00972E75" w:rsidRDefault="00972E75" w14:paraId="6F3F7E92" w14:textId="77777777">
      <w:pPr>
        <w:pStyle w:val="BodyText"/>
        <w:spacing w:before="1"/>
        <w:rPr>
          <w:sz w:val="16"/>
        </w:rPr>
      </w:pPr>
    </w:p>
    <w:p w:rsidR="00972E75" w:rsidRDefault="00EE77F3" w14:paraId="71E7A7B0" w14:textId="77777777">
      <w:pPr>
        <w:pStyle w:val="ListParagraph"/>
        <w:numPr>
          <w:ilvl w:val="2"/>
          <w:numId w:val="3"/>
        </w:numPr>
        <w:tabs>
          <w:tab w:val="left" w:pos="839"/>
          <w:tab w:val="left" w:pos="841"/>
        </w:tabs>
        <w:spacing w:before="92"/>
        <w:ind w:hanging="720"/>
      </w:pPr>
      <w:r>
        <w:rPr>
          <w:u w:val="single"/>
        </w:rPr>
        <w:t>Reduction of Burden through Information</w:t>
      </w:r>
      <w:r>
        <w:rPr>
          <w:spacing w:val="-12"/>
          <w:u w:val="single"/>
        </w:rPr>
        <w:t xml:space="preserve"> </w:t>
      </w:r>
      <w:r>
        <w:rPr>
          <w:u w:val="single"/>
        </w:rPr>
        <w:t>Technology</w:t>
      </w:r>
    </w:p>
    <w:p w:rsidR="00972E75" w:rsidRDefault="00972E75" w14:paraId="5F19067E" w14:textId="77777777">
      <w:pPr>
        <w:pStyle w:val="BodyText"/>
        <w:spacing w:before="8"/>
        <w:rPr>
          <w:sz w:val="13"/>
        </w:rPr>
      </w:pPr>
    </w:p>
    <w:p w:rsidR="00972E75" w:rsidP="00275D81" w:rsidRDefault="00565DDB" w14:paraId="5E1AFDD7" w14:textId="77777777">
      <w:pPr>
        <w:pStyle w:val="BodyText"/>
        <w:ind w:left="835" w:right="144"/>
      </w:pPr>
      <w:r w:rsidRPr="00565DDB">
        <w:t xml:space="preserve">There are no legal obstacles to reducing the burden associated with this information collection.  The NRC encourages respondents to use information technology when it is beneficial.  The NRC has issued </w:t>
      </w:r>
      <w:hyperlink w:history="1" r:id="rId11">
        <w:r w:rsidRPr="00565DDB">
          <w:rPr>
            <w:rStyle w:val="Hyperlink"/>
            <w:i/>
          </w:rPr>
          <w:t>Guidance for Electronic Submissions to the NRC</w:t>
        </w:r>
      </w:hyperlink>
      <w:r w:rsidRPr="00565DDB">
        <w:t xml:space="preserve"> which provides direction for the electronic transmission and submittal of documents to the NRC.  Electronic transmission and submittal of documents can be accomplished via the following avenues: </w:t>
      </w:r>
      <w:proofErr w:type="gramStart"/>
      <w:r w:rsidRPr="00565DDB">
        <w:t>the</w:t>
      </w:r>
      <w:proofErr w:type="gramEnd"/>
      <w:r w:rsidRPr="00565DDB">
        <w:t xml:space="preserve"> Electronic Information Exchange (EIE) process, which is available from the NRC's “Electronic Submittals” Web page, by Optical Storage Media (OSM) (e.g. CD-ROM, DVD), by facsimile or by e-mail.  Respondents </w:t>
      </w:r>
      <w:proofErr w:type="gramStart"/>
      <w:r w:rsidRPr="00565DDB">
        <w:t>are able to</w:t>
      </w:r>
      <w:proofErr w:type="gramEnd"/>
      <w:r w:rsidRPr="00565DDB">
        <w:t xml:space="preserve"> submit the requested information using fillable-fillable forms and/or computer-readable formatted forms</w:t>
      </w:r>
      <w:r>
        <w:t xml:space="preserve">. </w:t>
      </w:r>
      <w:r w:rsidR="00EE77F3">
        <w:t xml:space="preserve">It is estimated that approximately </w:t>
      </w:r>
      <w:r w:rsidR="00315521">
        <w:t>9</w:t>
      </w:r>
      <w:r>
        <w:t>0</w:t>
      </w:r>
      <w:r w:rsidR="00EE77F3">
        <w:t xml:space="preserve">% of the potential responses for 10 CFR Part 55 are filed electronically. </w:t>
      </w:r>
      <w:r w:rsidR="000D23F6">
        <w:t xml:space="preserve"> </w:t>
      </w:r>
      <w:r w:rsidR="00315521">
        <w:t>Approximately 95</w:t>
      </w:r>
      <w:r w:rsidR="00EE77F3">
        <w:t>% of draft examinations and back-up information are submitted to the NRC and reviewed by the NRC electronically.</w:t>
      </w:r>
    </w:p>
    <w:p w:rsidR="00C82F0A" w:rsidRDefault="00C82F0A" w14:paraId="4C891ACA" w14:textId="77777777">
      <w:pPr>
        <w:pStyle w:val="BodyText"/>
        <w:spacing w:before="93"/>
        <w:ind w:left="840" w:right="143"/>
      </w:pPr>
    </w:p>
    <w:p w:rsidR="00972E75" w:rsidRDefault="00EE77F3" w14:paraId="42D5909F" w14:textId="77777777">
      <w:pPr>
        <w:pStyle w:val="ListParagraph"/>
        <w:numPr>
          <w:ilvl w:val="2"/>
          <w:numId w:val="3"/>
        </w:numPr>
        <w:tabs>
          <w:tab w:val="left" w:pos="839"/>
          <w:tab w:val="left" w:pos="840"/>
        </w:tabs>
        <w:ind w:left="839" w:hanging="719"/>
      </w:pPr>
      <w:r>
        <w:rPr>
          <w:u w:val="single"/>
        </w:rPr>
        <w:t>Effort to Identify Duplication and Use Similar</w:t>
      </w:r>
      <w:r>
        <w:rPr>
          <w:spacing w:val="-12"/>
          <w:u w:val="single"/>
        </w:rPr>
        <w:t xml:space="preserve"> </w:t>
      </w:r>
      <w:r>
        <w:rPr>
          <w:u w:val="single"/>
        </w:rPr>
        <w:t>Information</w:t>
      </w:r>
    </w:p>
    <w:p w:rsidR="00972E75" w:rsidRDefault="00972E75" w14:paraId="161A0A6B" w14:textId="77777777">
      <w:pPr>
        <w:pStyle w:val="BodyText"/>
        <w:spacing w:before="8"/>
        <w:rPr>
          <w:sz w:val="13"/>
        </w:rPr>
      </w:pPr>
    </w:p>
    <w:p w:rsidR="00565DDB" w:rsidP="009473FC" w:rsidRDefault="009473FC" w14:paraId="000E5882" w14:textId="77777777">
      <w:pPr>
        <w:tabs>
          <w:tab w:val="left" w:pos="810"/>
          <w:tab w:val="left" w:pos="839"/>
        </w:tabs>
        <w:ind w:left="810"/>
      </w:pPr>
      <w:r>
        <w:tab/>
      </w:r>
      <w:r w:rsidR="00EE77F3">
        <w:t xml:space="preserve">No sources of similar information are available. </w:t>
      </w:r>
      <w:r w:rsidR="00081677">
        <w:t xml:space="preserve"> </w:t>
      </w:r>
      <w:r w:rsidR="00EE77F3">
        <w:t xml:space="preserve">There is no duplication of requirements. </w:t>
      </w:r>
      <w:r>
        <w:br/>
      </w:r>
    </w:p>
    <w:p w:rsidR="00972E75" w:rsidP="002031AF" w:rsidRDefault="00EE77F3" w14:paraId="41661817" w14:textId="77777777">
      <w:pPr>
        <w:pStyle w:val="ListParagraph"/>
        <w:numPr>
          <w:ilvl w:val="2"/>
          <w:numId w:val="3"/>
        </w:numPr>
        <w:tabs>
          <w:tab w:val="left" w:pos="839"/>
          <w:tab w:val="left" w:pos="841"/>
        </w:tabs>
        <w:ind w:hanging="720"/>
      </w:pPr>
      <w:r>
        <w:rPr>
          <w:u w:val="single"/>
        </w:rPr>
        <w:t>Effort to Reduce Small Business</w:t>
      </w:r>
      <w:r>
        <w:rPr>
          <w:spacing w:val="-7"/>
          <w:u w:val="single"/>
        </w:rPr>
        <w:t xml:space="preserve"> </w:t>
      </w:r>
      <w:r>
        <w:rPr>
          <w:u w:val="single"/>
        </w:rPr>
        <w:t>Burden</w:t>
      </w:r>
    </w:p>
    <w:p w:rsidR="00972E75" w:rsidRDefault="00972E75" w14:paraId="04B71249" w14:textId="77777777">
      <w:pPr>
        <w:pStyle w:val="BodyText"/>
        <w:spacing w:before="8"/>
        <w:rPr>
          <w:sz w:val="13"/>
        </w:rPr>
      </w:pPr>
    </w:p>
    <w:p w:rsidR="00972E75" w:rsidRDefault="00EE77F3" w14:paraId="7E453928" w14:textId="77777777">
      <w:pPr>
        <w:pStyle w:val="BodyText"/>
        <w:spacing w:before="93"/>
        <w:ind w:left="840"/>
      </w:pPr>
      <w:r>
        <w:t>No small businesses are affected by these information collection requirements.</w:t>
      </w:r>
    </w:p>
    <w:p w:rsidR="00302B46" w:rsidRDefault="00302B46" w14:paraId="40AEAE0A" w14:textId="77777777">
      <w:pPr>
        <w:rPr>
          <w:sz w:val="21"/>
        </w:rPr>
      </w:pPr>
      <w:r>
        <w:rPr>
          <w:sz w:val="21"/>
        </w:rPr>
        <w:br w:type="page"/>
      </w:r>
    </w:p>
    <w:p w:rsidR="00972E75" w:rsidRDefault="00EE77F3" w14:paraId="08578EE0" w14:textId="77777777">
      <w:pPr>
        <w:pStyle w:val="ListParagraph"/>
        <w:numPr>
          <w:ilvl w:val="2"/>
          <w:numId w:val="3"/>
        </w:numPr>
        <w:tabs>
          <w:tab w:val="left" w:pos="839"/>
          <w:tab w:val="left" w:pos="841"/>
        </w:tabs>
        <w:ind w:right="1194" w:hanging="720"/>
      </w:pPr>
      <w:r>
        <w:rPr>
          <w:u w:val="single"/>
        </w:rPr>
        <w:lastRenderedPageBreak/>
        <w:t>Consequences to Federal Program or Policy Activities if the Collection Is Not Conducted, or is Conducted Less</w:t>
      </w:r>
      <w:r>
        <w:rPr>
          <w:spacing w:val="-8"/>
          <w:u w:val="single"/>
        </w:rPr>
        <w:t xml:space="preserve"> </w:t>
      </w:r>
      <w:r>
        <w:rPr>
          <w:u w:val="single"/>
        </w:rPr>
        <w:t>Frequently</w:t>
      </w:r>
    </w:p>
    <w:p w:rsidR="00972E75" w:rsidRDefault="00972E75" w14:paraId="2210E7AA" w14:textId="77777777">
      <w:pPr>
        <w:pStyle w:val="BodyText"/>
        <w:spacing w:before="8"/>
        <w:rPr>
          <w:sz w:val="13"/>
        </w:rPr>
      </w:pPr>
    </w:p>
    <w:p w:rsidR="00972E75" w:rsidRDefault="00EE77F3" w14:paraId="7D9438C0" w14:textId="77777777">
      <w:pPr>
        <w:pStyle w:val="BodyText"/>
        <w:spacing w:before="93"/>
        <w:ind w:left="840" w:right="130"/>
      </w:pPr>
      <w:r>
        <w:t xml:space="preserve">The information collections under 10 CFR </w:t>
      </w:r>
      <w:r w:rsidR="00315521">
        <w:t xml:space="preserve">Part </w:t>
      </w:r>
      <w:r>
        <w:t>55 are conducted "one time only" or "as required." No other frequency of collection is assigned. If the information collections were not conducted, the NRC would not be able to fulfill its statutory responsibility to determine the qualifications of applicants for operator licenses, including the preparation and approval of initial operator licensing examinations, or to oversee simulator and requalification training and examination programs.</w:t>
      </w:r>
    </w:p>
    <w:p w:rsidR="00972E75" w:rsidRDefault="00972E75" w14:paraId="3A520F58" w14:textId="77777777">
      <w:pPr>
        <w:pStyle w:val="BodyText"/>
        <w:spacing w:before="9"/>
        <w:rPr>
          <w:sz w:val="21"/>
        </w:rPr>
      </w:pPr>
    </w:p>
    <w:p w:rsidR="00972E75" w:rsidRDefault="00EE77F3" w14:paraId="79236487" w14:textId="77777777">
      <w:pPr>
        <w:pStyle w:val="ListParagraph"/>
        <w:numPr>
          <w:ilvl w:val="2"/>
          <w:numId w:val="3"/>
        </w:numPr>
        <w:tabs>
          <w:tab w:val="left" w:pos="839"/>
          <w:tab w:val="left" w:pos="840"/>
        </w:tabs>
        <w:ind w:hanging="720"/>
      </w:pPr>
      <w:r>
        <w:rPr>
          <w:u w:val="single"/>
        </w:rPr>
        <w:t>Circumstances Which Justify Variation from OMB</w:t>
      </w:r>
      <w:r>
        <w:rPr>
          <w:spacing w:val="-11"/>
          <w:u w:val="single"/>
        </w:rPr>
        <w:t xml:space="preserve"> </w:t>
      </w:r>
      <w:r>
        <w:rPr>
          <w:u w:val="single"/>
        </w:rPr>
        <w:t>Guidelines</w:t>
      </w:r>
    </w:p>
    <w:p w:rsidR="00972E75" w:rsidRDefault="00972E75" w14:paraId="5DD48CC5" w14:textId="77777777">
      <w:pPr>
        <w:pStyle w:val="BodyText"/>
        <w:spacing w:before="8"/>
        <w:rPr>
          <w:sz w:val="13"/>
        </w:rPr>
      </w:pPr>
    </w:p>
    <w:p w:rsidR="00972E75" w:rsidRDefault="00EE77F3" w14:paraId="3E2959FA" w14:textId="77777777">
      <w:pPr>
        <w:pStyle w:val="BodyText"/>
        <w:spacing w:before="93"/>
        <w:ind w:left="840" w:right="130"/>
      </w:pPr>
      <w:r>
        <w:t>Procedures must be retained for the life of the facility licen</w:t>
      </w:r>
      <w:r w:rsidR="00315521">
        <w:t xml:space="preserve">se. </w:t>
      </w:r>
      <w:r w:rsidR="000D23F6">
        <w:t xml:space="preserve"> </w:t>
      </w:r>
      <w:r w:rsidR="00315521">
        <w:t>Operators are licensed for six</w:t>
      </w:r>
      <w:r>
        <w:t xml:space="preserve"> years and facility licensees must retain certifications and other data associated with operator licenses for inspection by the NRC to ensure operational safety at nuclear reactor facilities.</w:t>
      </w:r>
    </w:p>
    <w:p w:rsidR="00972E75" w:rsidRDefault="00EE77F3" w14:paraId="536DA1B0" w14:textId="77777777">
      <w:pPr>
        <w:pStyle w:val="ListParagraph"/>
        <w:numPr>
          <w:ilvl w:val="2"/>
          <w:numId w:val="3"/>
        </w:numPr>
        <w:tabs>
          <w:tab w:val="left" w:pos="839"/>
          <w:tab w:val="left" w:pos="840"/>
        </w:tabs>
        <w:spacing w:before="179"/>
        <w:ind w:hanging="720"/>
      </w:pPr>
      <w:r>
        <w:rPr>
          <w:u w:val="single"/>
        </w:rPr>
        <w:t>Consultations Outside the</w:t>
      </w:r>
      <w:r>
        <w:rPr>
          <w:spacing w:val="-8"/>
          <w:u w:val="single"/>
        </w:rPr>
        <w:t xml:space="preserve"> </w:t>
      </w:r>
      <w:r>
        <w:rPr>
          <w:u w:val="single"/>
        </w:rPr>
        <w:t>NRC</w:t>
      </w:r>
    </w:p>
    <w:p w:rsidR="00972E75" w:rsidRDefault="00972E75" w14:paraId="2FE0BCEC" w14:textId="77777777">
      <w:pPr>
        <w:pStyle w:val="BodyText"/>
        <w:spacing w:before="11"/>
        <w:rPr>
          <w:sz w:val="19"/>
        </w:rPr>
      </w:pPr>
    </w:p>
    <w:p w:rsidR="00972E75" w:rsidP="004164C6" w:rsidRDefault="004164C6" w14:paraId="5BBC775C" w14:textId="77777777">
      <w:pPr>
        <w:ind w:left="839"/>
      </w:pPr>
      <w:r w:rsidRPr="00097A23">
        <w:t xml:space="preserve">Opportunity for public comment on the information collection requirements for this clearance package was published in the </w:t>
      </w:r>
      <w:r w:rsidRPr="00097A23">
        <w:rPr>
          <w:i/>
        </w:rPr>
        <w:t>Federal Register</w:t>
      </w:r>
      <w:r w:rsidRPr="00097A23">
        <w:t xml:space="preserve"> on </w:t>
      </w:r>
      <w:r>
        <w:t>November</w:t>
      </w:r>
      <w:r w:rsidRPr="00097A23">
        <w:t xml:space="preserve"> </w:t>
      </w:r>
      <w:r>
        <w:t>28</w:t>
      </w:r>
      <w:r w:rsidRPr="00097A23">
        <w:t xml:space="preserve">, 2018 (83 FR </w:t>
      </w:r>
      <w:r>
        <w:t>61169</w:t>
      </w:r>
      <w:r w:rsidRPr="00097A23">
        <w:t>).  Additionally, we contacted via email nine potential respondents in the areas of operating and non-power reactor owner/operator licensee’s representatives from Dominion Generation, Exelon Generation Co., LLC, Florida Power &amp; Light Co, Southern Nuclear Operating Co., Tennessee Valley Authority and the University of Missouri-Columbia.  Of the nine potential respondents contacted, no respondent replied.  Further, no comments were received from the published Federal Register Notice.</w:t>
      </w:r>
      <w:r w:rsidR="00315521">
        <w:br/>
      </w:r>
    </w:p>
    <w:p w:rsidR="00972E75" w:rsidRDefault="00EE77F3" w14:paraId="683BE527" w14:textId="77777777">
      <w:pPr>
        <w:pStyle w:val="ListParagraph"/>
        <w:numPr>
          <w:ilvl w:val="2"/>
          <w:numId w:val="3"/>
        </w:numPr>
        <w:tabs>
          <w:tab w:val="left" w:pos="839"/>
          <w:tab w:val="left" w:pos="840"/>
        </w:tabs>
        <w:ind w:left="839" w:hanging="719"/>
      </w:pPr>
      <w:r>
        <w:rPr>
          <w:u w:val="single"/>
        </w:rPr>
        <w:t>Payment or Gift to</w:t>
      </w:r>
      <w:r>
        <w:rPr>
          <w:spacing w:val="-6"/>
          <w:u w:val="single"/>
        </w:rPr>
        <w:t xml:space="preserve"> </w:t>
      </w:r>
      <w:r>
        <w:rPr>
          <w:u w:val="single"/>
        </w:rPr>
        <w:t>Respondents</w:t>
      </w:r>
    </w:p>
    <w:p w:rsidR="00972E75" w:rsidRDefault="00972E75" w14:paraId="5CD2F61D" w14:textId="77777777">
      <w:pPr>
        <w:pStyle w:val="BodyText"/>
        <w:spacing w:before="9"/>
        <w:rPr>
          <w:sz w:val="13"/>
        </w:rPr>
      </w:pPr>
    </w:p>
    <w:p w:rsidR="00972E75" w:rsidRDefault="00EE77F3" w14:paraId="2438946C" w14:textId="77777777">
      <w:pPr>
        <w:pStyle w:val="BodyText"/>
        <w:spacing w:before="92"/>
        <w:ind w:left="840"/>
      </w:pPr>
      <w:r>
        <w:t>Not applicable.</w:t>
      </w:r>
    </w:p>
    <w:p w:rsidR="00972E75" w:rsidRDefault="00972E75" w14:paraId="29A2BD91" w14:textId="77777777">
      <w:pPr>
        <w:pStyle w:val="BodyText"/>
        <w:spacing w:before="8"/>
        <w:rPr>
          <w:sz w:val="21"/>
        </w:rPr>
      </w:pPr>
    </w:p>
    <w:p w:rsidR="00972E75" w:rsidRDefault="00EE77F3" w14:paraId="634F1E58" w14:textId="77777777">
      <w:pPr>
        <w:pStyle w:val="ListParagraph"/>
        <w:numPr>
          <w:ilvl w:val="2"/>
          <w:numId w:val="3"/>
        </w:numPr>
        <w:tabs>
          <w:tab w:val="left" w:pos="839"/>
          <w:tab w:val="left" w:pos="840"/>
        </w:tabs>
        <w:spacing w:before="1"/>
        <w:ind w:left="839" w:hanging="719"/>
      </w:pPr>
      <w:r>
        <w:rPr>
          <w:u w:val="single"/>
        </w:rPr>
        <w:t>Confidentiality of</w:t>
      </w:r>
      <w:r>
        <w:rPr>
          <w:spacing w:val="-5"/>
          <w:u w:val="single"/>
        </w:rPr>
        <w:t xml:space="preserve"> </w:t>
      </w:r>
      <w:r>
        <w:rPr>
          <w:u w:val="single"/>
        </w:rPr>
        <w:t>Information</w:t>
      </w:r>
    </w:p>
    <w:p w:rsidR="00972E75" w:rsidRDefault="00972E75" w14:paraId="6D4BF86C" w14:textId="77777777">
      <w:pPr>
        <w:pStyle w:val="BodyText"/>
        <w:spacing w:before="3"/>
        <w:rPr>
          <w:sz w:val="20"/>
        </w:rPr>
      </w:pPr>
    </w:p>
    <w:p w:rsidR="00972E75" w:rsidRDefault="00EE77F3" w14:paraId="16863B00" w14:textId="77777777">
      <w:pPr>
        <w:pStyle w:val="BodyText"/>
        <w:ind w:left="840" w:right="111"/>
      </w:pPr>
      <w:r>
        <w:t>Confidential and proprietary information is protected in accordance with NRC regulations at 10 CFR 9.17(a) and 10 CFR 2.390(b).</w:t>
      </w:r>
    </w:p>
    <w:p w:rsidR="00972E75" w:rsidRDefault="00972E75" w14:paraId="36923AE7" w14:textId="77777777">
      <w:pPr>
        <w:pStyle w:val="BodyText"/>
        <w:spacing w:before="9"/>
        <w:rPr>
          <w:sz w:val="21"/>
        </w:rPr>
      </w:pPr>
    </w:p>
    <w:p w:rsidR="00972E75" w:rsidRDefault="00EE77F3" w14:paraId="22EA89D6" w14:textId="77777777">
      <w:pPr>
        <w:pStyle w:val="ListParagraph"/>
        <w:numPr>
          <w:ilvl w:val="2"/>
          <w:numId w:val="3"/>
        </w:numPr>
        <w:tabs>
          <w:tab w:val="left" w:pos="839"/>
          <w:tab w:val="left" w:pos="841"/>
        </w:tabs>
        <w:ind w:hanging="720"/>
      </w:pPr>
      <w:r>
        <w:rPr>
          <w:u w:val="single"/>
        </w:rPr>
        <w:t>Justification for Sensitive</w:t>
      </w:r>
      <w:r>
        <w:rPr>
          <w:spacing w:val="-6"/>
          <w:u w:val="single"/>
        </w:rPr>
        <w:t xml:space="preserve"> </w:t>
      </w:r>
      <w:r>
        <w:rPr>
          <w:u w:val="single"/>
        </w:rPr>
        <w:t>Questions</w:t>
      </w:r>
    </w:p>
    <w:p w:rsidR="00972E75" w:rsidRDefault="00972E75" w14:paraId="1AB68906" w14:textId="77777777">
      <w:pPr>
        <w:pStyle w:val="BodyText"/>
        <w:spacing w:before="8"/>
        <w:rPr>
          <w:sz w:val="13"/>
        </w:rPr>
      </w:pPr>
    </w:p>
    <w:p w:rsidR="00972E75" w:rsidRDefault="00EE77F3" w14:paraId="67B35A15" w14:textId="77777777">
      <w:pPr>
        <w:pStyle w:val="BodyText"/>
        <w:spacing w:before="93"/>
        <w:ind w:left="840" w:right="87"/>
      </w:pPr>
      <w:r w:rsidRPr="00412F7A">
        <w:t>Th</w:t>
      </w:r>
      <w:r w:rsidRPr="00412F7A" w:rsidR="00412F7A">
        <w:t xml:space="preserve">e NRC uses the </w:t>
      </w:r>
      <w:r w:rsidR="002E1650">
        <w:t xml:space="preserve">medical </w:t>
      </w:r>
      <w:r w:rsidRPr="00412F7A" w:rsidR="00412F7A">
        <w:t xml:space="preserve">information collected to ensure that </w:t>
      </w:r>
      <w:r w:rsidR="00412F7A">
        <w:t xml:space="preserve">facility </w:t>
      </w:r>
      <w:r w:rsidRPr="00412F7A" w:rsidR="00412F7A">
        <w:t xml:space="preserve">licensees meet the requirements of the requalification program and maintain operator license conditions such that </w:t>
      </w:r>
      <w:r w:rsidR="00412F7A">
        <w:t xml:space="preserve">licensed </w:t>
      </w:r>
      <w:r w:rsidRPr="00412F7A" w:rsidR="00412F7A">
        <w:t>operators continue to meet the requirements for licensing as set forth in 10 CFR Part 55.</w:t>
      </w:r>
      <w:r w:rsidR="00605A42">
        <w:t xml:space="preserve">  </w:t>
      </w:r>
      <w:r w:rsidR="002522EA">
        <w:rPr>
          <w:color w:val="000000"/>
        </w:rPr>
        <w:t>The NRC Privacy Officer has determined there are no Privacy Act implications because the information is collected by a third party.</w:t>
      </w:r>
    </w:p>
    <w:p w:rsidR="00972E75" w:rsidRDefault="00972E75" w14:paraId="6693CC97" w14:textId="77777777">
      <w:pPr>
        <w:pStyle w:val="BodyText"/>
        <w:spacing w:before="9"/>
        <w:rPr>
          <w:sz w:val="21"/>
        </w:rPr>
      </w:pPr>
    </w:p>
    <w:p w:rsidR="00972E75" w:rsidRDefault="00EE77F3" w14:paraId="4F1CAB73" w14:textId="77777777">
      <w:pPr>
        <w:pStyle w:val="ListParagraph"/>
        <w:numPr>
          <w:ilvl w:val="2"/>
          <w:numId w:val="3"/>
        </w:numPr>
        <w:tabs>
          <w:tab w:val="left" w:pos="839"/>
          <w:tab w:val="left" w:pos="840"/>
        </w:tabs>
        <w:ind w:hanging="720"/>
      </w:pPr>
      <w:r>
        <w:rPr>
          <w:u w:val="single"/>
        </w:rPr>
        <w:t>Industry Burden and Burden Hour</w:t>
      </w:r>
      <w:r>
        <w:rPr>
          <w:spacing w:val="-8"/>
          <w:u w:val="single"/>
        </w:rPr>
        <w:t xml:space="preserve"> </w:t>
      </w:r>
      <w:r>
        <w:rPr>
          <w:u w:val="single"/>
        </w:rPr>
        <w:t>Cost</w:t>
      </w:r>
    </w:p>
    <w:p w:rsidR="00972E75" w:rsidRDefault="00972E75" w14:paraId="19EA3884" w14:textId="77777777">
      <w:pPr>
        <w:pStyle w:val="BodyText"/>
        <w:spacing w:before="8"/>
        <w:rPr>
          <w:sz w:val="13"/>
        </w:rPr>
      </w:pPr>
    </w:p>
    <w:p w:rsidR="00972E75" w:rsidRDefault="00EE77F3" w14:paraId="4986DC58" w14:textId="77777777">
      <w:pPr>
        <w:pStyle w:val="BodyText"/>
        <w:spacing w:before="93"/>
        <w:ind w:left="840" w:right="611"/>
      </w:pPr>
      <w:r>
        <w:t>The annual reporting and recordkeeping burdens summarized below are detailed in Tables 1 and 2.</w:t>
      </w:r>
    </w:p>
    <w:p w:rsidR="00972E75" w:rsidRDefault="00972E75" w14:paraId="55C0053E" w14:textId="77777777">
      <w:pPr>
        <w:pStyle w:val="BodyText"/>
        <w:spacing w:before="9"/>
        <w:rPr>
          <w:sz w:val="21"/>
        </w:rPr>
      </w:pPr>
    </w:p>
    <w:p w:rsidR="00972E75" w:rsidP="002E1650" w:rsidRDefault="002E1650" w14:paraId="4295FD3B" w14:textId="77777777">
      <w:pPr>
        <w:pStyle w:val="BodyText"/>
        <w:ind w:firstLine="630"/>
      </w:pPr>
      <w:r>
        <w:t xml:space="preserve">   </w:t>
      </w:r>
      <w:r w:rsidR="00EE77F3">
        <w:t xml:space="preserve">Total burden hours are: </w:t>
      </w:r>
      <w:r w:rsidR="006B6C2A">
        <w:t>172,915</w:t>
      </w:r>
      <w:r w:rsidR="00EE77F3">
        <w:t xml:space="preserve"> (</w:t>
      </w:r>
      <w:r w:rsidR="00412F7A">
        <w:t>150</w:t>
      </w:r>
      <w:r w:rsidR="00EE77F3">
        <w:t>,</w:t>
      </w:r>
      <w:r w:rsidR="006B6C2A">
        <w:t>869</w:t>
      </w:r>
      <w:r w:rsidR="00EE77F3">
        <w:t xml:space="preserve"> reporting + </w:t>
      </w:r>
      <w:r w:rsidR="00412F7A">
        <w:t>22</w:t>
      </w:r>
      <w:r w:rsidR="00EE77F3">
        <w:t>,</w:t>
      </w:r>
      <w:r w:rsidR="00412F7A">
        <w:t>046</w:t>
      </w:r>
      <w:r w:rsidR="00EE77F3">
        <w:t xml:space="preserve"> recordkeeping).</w:t>
      </w:r>
    </w:p>
    <w:p w:rsidR="00972E75" w:rsidP="002E1650" w:rsidRDefault="00EE77F3" w14:paraId="0F2094E2" w14:textId="77777777">
      <w:pPr>
        <w:pStyle w:val="BodyText"/>
        <w:ind w:left="810" w:right="506"/>
      </w:pPr>
      <w:r>
        <w:t>Total burden cost: $</w:t>
      </w:r>
      <w:r w:rsidR="00412F7A">
        <w:t>45,</w:t>
      </w:r>
      <w:r w:rsidR="006B6C2A">
        <w:t>476,645</w:t>
      </w:r>
      <w:r>
        <w:t xml:space="preserve"> ($</w:t>
      </w:r>
      <w:r w:rsidR="00412F7A">
        <w:t>39,6</w:t>
      </w:r>
      <w:r w:rsidR="006B6C2A">
        <w:t>78</w:t>
      </w:r>
      <w:r w:rsidR="00412F7A">
        <w:t>,</w:t>
      </w:r>
      <w:r w:rsidR="006B6C2A">
        <w:t>54</w:t>
      </w:r>
      <w:r w:rsidR="00412F7A">
        <w:t>7</w:t>
      </w:r>
      <w:r>
        <w:t xml:space="preserve"> reporting + $</w:t>
      </w:r>
      <w:r w:rsidR="00412F7A">
        <w:t>5,798,098</w:t>
      </w:r>
      <w:r>
        <w:t xml:space="preserve"> recordkeeping) Total respondents and recordkeepers:  9</w:t>
      </w:r>
      <w:r w:rsidR="00412F7A">
        <w:t>6 (64</w:t>
      </w:r>
      <w:r>
        <w:t xml:space="preserve"> Power sites + 31 Non-power sites</w:t>
      </w:r>
      <w:r w:rsidR="00412F7A">
        <w:t xml:space="preserve"> + 1 site under construction</w:t>
      </w:r>
      <w:r>
        <w:t>).</w:t>
      </w:r>
    </w:p>
    <w:p w:rsidR="00D73FC3" w:rsidP="002E1650" w:rsidRDefault="00D73FC3" w14:paraId="6FFC4A69" w14:textId="77777777">
      <w:pPr>
        <w:pStyle w:val="BodyText"/>
        <w:ind w:left="810" w:right="506"/>
      </w:pPr>
    </w:p>
    <w:p w:rsidR="00181C2D" w:rsidP="009A6328" w:rsidRDefault="00181C2D" w14:paraId="3CBF93B5" w14:textId="77777777">
      <w:pPr>
        <w:ind w:left="810"/>
        <w:rPr>
          <w:rFonts w:eastAsiaTheme="minorHAnsi"/>
          <w:i/>
          <w:iCs/>
        </w:rPr>
      </w:pPr>
      <w:r>
        <w:t xml:space="preserve">The $275 hourly rate used in the burden estimates is based on the Nuclear Regulatory Commission’s fee for hourly rates as noted in 10 CFR 170.20 “Average cost per professional staff-hour.”  For more information </w:t>
      </w:r>
      <w:proofErr w:type="gramStart"/>
      <w:r>
        <w:t>on the basis of</w:t>
      </w:r>
      <w:proofErr w:type="gramEnd"/>
      <w:r>
        <w:t xml:space="preserve"> this rate, see the Revision of Fee Schedules; Fee Recovery for Fiscal Year 2018 (83 FR 29622, June 25, 2018).</w:t>
      </w:r>
    </w:p>
    <w:p w:rsidR="002E1650" w:rsidP="002E1650" w:rsidRDefault="002E1650" w14:paraId="1C926072" w14:textId="77777777">
      <w:pPr>
        <w:pStyle w:val="BodyText"/>
        <w:ind w:right="506"/>
      </w:pPr>
    </w:p>
    <w:p w:rsidR="00972E75" w:rsidRDefault="00EE77F3" w14:paraId="368AB926" w14:textId="77777777">
      <w:pPr>
        <w:pStyle w:val="ListParagraph"/>
        <w:numPr>
          <w:ilvl w:val="2"/>
          <w:numId w:val="3"/>
        </w:numPr>
        <w:tabs>
          <w:tab w:val="left" w:pos="839"/>
          <w:tab w:val="left" w:pos="840"/>
        </w:tabs>
        <w:spacing w:before="7"/>
        <w:ind w:left="839" w:hanging="719"/>
      </w:pPr>
      <w:r>
        <w:rPr>
          <w:u w:val="single"/>
        </w:rPr>
        <w:t>Estimate of Additional Industry</w:t>
      </w:r>
      <w:r>
        <w:rPr>
          <w:spacing w:val="-8"/>
          <w:u w:val="single"/>
        </w:rPr>
        <w:t xml:space="preserve"> </w:t>
      </w:r>
      <w:r>
        <w:rPr>
          <w:u w:val="single"/>
        </w:rPr>
        <w:t>Costs</w:t>
      </w:r>
    </w:p>
    <w:p w:rsidR="00972E75" w:rsidRDefault="00972E75" w14:paraId="02EDC871" w14:textId="77777777">
      <w:pPr>
        <w:pStyle w:val="BodyText"/>
        <w:spacing w:before="8"/>
        <w:rPr>
          <w:sz w:val="13"/>
        </w:rPr>
      </w:pPr>
    </w:p>
    <w:p w:rsidR="00972E75" w:rsidRDefault="00EE77F3" w14:paraId="772F3E29" w14:textId="77777777">
      <w:pPr>
        <w:pStyle w:val="BodyText"/>
        <w:spacing w:before="93"/>
        <w:ind w:left="840" w:right="232"/>
      </w:pPr>
      <w:r>
        <w:t xml:space="preserve">The quantity of records to be maintained is proportional to the recordkeeping burden. Based on the number of pages maintained for a typical clearance, the records storage cost has been determined to be equal to 0.04 percent of the recordkeeping burden cost. </w:t>
      </w:r>
      <w:r w:rsidR="000D23F6">
        <w:t xml:space="preserve"> </w:t>
      </w:r>
      <w:r>
        <w:t>The storage cost for this clearance is $</w:t>
      </w:r>
      <w:r w:rsidR="00412F7A">
        <w:t>2,</w:t>
      </w:r>
      <w:r w:rsidR="00211E66">
        <w:t>425</w:t>
      </w:r>
      <w:r w:rsidR="00412F7A">
        <w:t xml:space="preserve"> (22,046 </w:t>
      </w:r>
      <w:r>
        <w:t>recordkeeping hours x $</w:t>
      </w:r>
      <w:r w:rsidR="00097B43">
        <w:t>2</w:t>
      </w:r>
      <w:r w:rsidR="00211E66">
        <w:t>75</w:t>
      </w:r>
      <w:r>
        <w:t xml:space="preserve"> per hour x .0004).</w:t>
      </w:r>
    </w:p>
    <w:p w:rsidR="00FD31BC" w:rsidP="00BD1BFA" w:rsidRDefault="00FD31BC" w14:paraId="6A70A40E" w14:textId="77777777">
      <w:pPr>
        <w:pStyle w:val="BodyText"/>
        <w:ind w:right="220"/>
      </w:pPr>
    </w:p>
    <w:p w:rsidR="00FD31BC" w:rsidRDefault="00EE77F3" w14:paraId="7E5292E9" w14:textId="77777777">
      <w:pPr>
        <w:pStyle w:val="BodyText"/>
        <w:ind w:left="840" w:right="220"/>
      </w:pPr>
      <w:r>
        <w:t>The annual cost to reproduce the examinations for initial operator licensing is estimated to be $</w:t>
      </w:r>
      <w:r w:rsidR="00412F7A">
        <w:t>6,750 (45</w:t>
      </w:r>
      <w:r>
        <w:t xml:space="preserve"> licensee sites x </w:t>
      </w:r>
      <w:r w:rsidR="00412F7A">
        <w:t>1500</w:t>
      </w:r>
      <w:r>
        <w:t xml:space="preserve"> pages per </w:t>
      </w:r>
    </w:p>
    <w:p w:rsidR="00972E75" w:rsidRDefault="00EE77F3" w14:paraId="40DAEF14" w14:textId="77777777">
      <w:pPr>
        <w:pStyle w:val="BodyText"/>
        <w:ind w:left="840" w:right="220"/>
      </w:pPr>
      <w:r>
        <w:t>examination x $.</w:t>
      </w:r>
      <w:r w:rsidR="00412F7A">
        <w:t>10</w:t>
      </w:r>
      <w:r>
        <w:t xml:space="preserve"> per page).</w:t>
      </w:r>
    </w:p>
    <w:p w:rsidR="00972E75" w:rsidRDefault="00972E75" w14:paraId="2A12A49D" w14:textId="77777777">
      <w:pPr>
        <w:pStyle w:val="BodyText"/>
        <w:spacing w:before="9"/>
        <w:rPr>
          <w:sz w:val="21"/>
        </w:rPr>
      </w:pPr>
    </w:p>
    <w:p w:rsidR="00972E75" w:rsidRDefault="00EE77F3" w14:paraId="2841E66A" w14:textId="77777777">
      <w:pPr>
        <w:pStyle w:val="BodyText"/>
        <w:ind w:left="840"/>
      </w:pPr>
      <w:r>
        <w:t>Total Other Additional Costs are $</w:t>
      </w:r>
      <w:r w:rsidR="00412F7A">
        <w:t>9,</w:t>
      </w:r>
      <w:r w:rsidR="00211E66">
        <w:t>175</w:t>
      </w:r>
      <w:r>
        <w:t xml:space="preserve"> ($2,</w:t>
      </w:r>
      <w:r w:rsidR="00211E66">
        <w:t>425</w:t>
      </w:r>
      <w:r>
        <w:t xml:space="preserve"> + $</w:t>
      </w:r>
      <w:r w:rsidR="00412F7A">
        <w:t>6,750</w:t>
      </w:r>
      <w:r>
        <w:t>).</w:t>
      </w:r>
    </w:p>
    <w:p w:rsidR="00412F7A" w:rsidRDefault="00412F7A" w14:paraId="03314003" w14:textId="77777777">
      <w:pPr>
        <w:pStyle w:val="BodyText"/>
        <w:ind w:left="840"/>
      </w:pPr>
    </w:p>
    <w:p w:rsidR="00972E75" w:rsidRDefault="00EE77F3" w14:paraId="13715BDB" w14:textId="77777777">
      <w:pPr>
        <w:pStyle w:val="ListParagraph"/>
        <w:numPr>
          <w:ilvl w:val="2"/>
          <w:numId w:val="3"/>
        </w:numPr>
        <w:tabs>
          <w:tab w:val="left" w:pos="839"/>
          <w:tab w:val="left" w:pos="840"/>
        </w:tabs>
        <w:spacing w:before="25"/>
        <w:ind w:left="839" w:hanging="719"/>
      </w:pPr>
      <w:r>
        <w:rPr>
          <w:u w:val="single"/>
        </w:rPr>
        <w:t>Estimated Annualized Cost to the Federal</w:t>
      </w:r>
      <w:r>
        <w:rPr>
          <w:spacing w:val="-12"/>
          <w:u w:val="single"/>
        </w:rPr>
        <w:t xml:space="preserve"> </w:t>
      </w:r>
      <w:r>
        <w:rPr>
          <w:u w:val="single"/>
        </w:rPr>
        <w:t>Government</w:t>
      </w:r>
    </w:p>
    <w:p w:rsidR="00972E75" w:rsidRDefault="00972E75" w14:paraId="7EDD8CD7" w14:textId="77777777">
      <w:pPr>
        <w:pStyle w:val="BodyText"/>
        <w:spacing w:before="8"/>
        <w:rPr>
          <w:sz w:val="13"/>
        </w:rPr>
      </w:pPr>
    </w:p>
    <w:p w:rsidR="00BD1BFA" w:rsidP="00BD1BFA" w:rsidRDefault="008613E3" w14:paraId="1471125D" w14:textId="77777777">
      <w:pPr>
        <w:pStyle w:val="BodyText"/>
        <w:spacing w:before="93"/>
        <w:ind w:left="840" w:right="188"/>
      </w:pPr>
      <w:r w:rsidRPr="008613E3">
        <w:t xml:space="preserve">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w:t>
      </w:r>
      <w:r w:rsidR="00BD1BFA">
        <w:t>relevant operational expenses</w:t>
      </w:r>
    </w:p>
    <w:p w:rsidR="00972E75" w:rsidRDefault="00EE77F3" w14:paraId="50DA2FCF" w14:textId="77777777">
      <w:pPr>
        <w:pStyle w:val="BodyText"/>
        <w:spacing w:before="93"/>
        <w:ind w:left="840" w:right="188"/>
      </w:pPr>
      <w:r w:rsidRPr="006B6C2A">
        <w:t>The annual burden and cost to the Federal Government is shown on Tab</w:t>
      </w:r>
      <w:r w:rsidRPr="00504DDC">
        <w:t>le 3.</w:t>
      </w:r>
      <w:r w:rsidR="00FD31BC">
        <w:t xml:space="preserve"> </w:t>
      </w:r>
      <w:r w:rsidRPr="00504DDC">
        <w:t xml:space="preserve"> The total annual Federal Government burden is </w:t>
      </w:r>
      <w:r w:rsidRPr="00504DDC" w:rsidR="00504DDC">
        <w:t>29,047</w:t>
      </w:r>
      <w:r w:rsidRPr="00504DDC">
        <w:t xml:space="preserve"> hours and the total annual Federal Government cost is estimated to be </w:t>
      </w:r>
      <w:r w:rsidRPr="00504DDC" w:rsidR="00504DDC">
        <w:t>$7,639,361</w:t>
      </w:r>
      <w:r w:rsidRPr="00504DDC">
        <w:t>.</w:t>
      </w:r>
      <w:r>
        <w:t xml:space="preserve"> </w:t>
      </w:r>
    </w:p>
    <w:p w:rsidR="00972E75" w:rsidRDefault="00972E75" w14:paraId="5D68F09D" w14:textId="77777777">
      <w:pPr>
        <w:pStyle w:val="BodyText"/>
        <w:spacing w:before="9"/>
        <w:rPr>
          <w:sz w:val="21"/>
        </w:rPr>
      </w:pPr>
    </w:p>
    <w:p w:rsidR="00972E75" w:rsidRDefault="00EE77F3" w14:paraId="1DE39DC4" w14:textId="77777777">
      <w:pPr>
        <w:pStyle w:val="ListParagraph"/>
        <w:numPr>
          <w:ilvl w:val="2"/>
          <w:numId w:val="3"/>
        </w:numPr>
        <w:tabs>
          <w:tab w:val="left" w:pos="839"/>
          <w:tab w:val="left" w:pos="840"/>
        </w:tabs>
        <w:ind w:left="839" w:hanging="719"/>
      </w:pPr>
      <w:r>
        <w:rPr>
          <w:u w:val="single"/>
        </w:rPr>
        <w:t>Reasons for Change in Industry Burden and</w:t>
      </w:r>
      <w:r>
        <w:rPr>
          <w:spacing w:val="-11"/>
          <w:u w:val="single"/>
        </w:rPr>
        <w:t xml:space="preserve"> </w:t>
      </w:r>
      <w:r>
        <w:rPr>
          <w:u w:val="single"/>
        </w:rPr>
        <w:t>Cost</w:t>
      </w:r>
    </w:p>
    <w:p w:rsidR="00972E75" w:rsidRDefault="00972E75" w14:paraId="40281CCE" w14:textId="77777777">
      <w:pPr>
        <w:pStyle w:val="BodyText"/>
        <w:spacing w:before="8"/>
        <w:rPr>
          <w:sz w:val="13"/>
        </w:rPr>
      </w:pPr>
    </w:p>
    <w:p w:rsidR="00972E75" w:rsidRDefault="00EE77F3" w14:paraId="5DE5D1F1" w14:textId="77777777">
      <w:pPr>
        <w:pStyle w:val="BodyText"/>
        <w:spacing w:before="93"/>
        <w:ind w:left="840" w:right="143"/>
      </w:pPr>
      <w:r>
        <w:t xml:space="preserve">The industry burden </w:t>
      </w:r>
      <w:r w:rsidR="00FA6D74">
        <w:t>decreased</w:t>
      </w:r>
      <w:r>
        <w:t xml:space="preserve"> by </w:t>
      </w:r>
      <w:r w:rsidR="00FA6D74">
        <w:t>39,</w:t>
      </w:r>
      <w:r w:rsidR="006B6C2A">
        <w:t>13</w:t>
      </w:r>
      <w:r w:rsidR="00FA6D74">
        <w:t>7</w:t>
      </w:r>
      <w:r>
        <w:t xml:space="preserve"> hours from </w:t>
      </w:r>
      <w:r w:rsidR="00FA6D74">
        <w:t>212,052</w:t>
      </w:r>
      <w:r>
        <w:t xml:space="preserve"> to </w:t>
      </w:r>
      <w:r w:rsidR="00FA6D74">
        <w:t>172,</w:t>
      </w:r>
      <w:r w:rsidR="006B6C2A">
        <w:t>91</w:t>
      </w:r>
      <w:r w:rsidR="00FA6D74">
        <w:t>5</w:t>
      </w:r>
      <w:r>
        <w:t xml:space="preserve"> hours. These changes are based on NRC and industry staff experiences and are specifically addressed below.</w:t>
      </w:r>
    </w:p>
    <w:p w:rsidR="00972E75" w:rsidRDefault="00972E75" w14:paraId="54B3F2DA" w14:textId="77777777">
      <w:pPr>
        <w:pStyle w:val="BodyText"/>
        <w:spacing w:before="9"/>
        <w:rPr>
          <w:sz w:val="21"/>
        </w:rPr>
      </w:pPr>
    </w:p>
    <w:p w:rsidR="00972E75" w:rsidRDefault="00EE77F3" w14:paraId="1678690B" w14:textId="77777777">
      <w:pPr>
        <w:pStyle w:val="BodyText"/>
        <w:ind w:left="840" w:right="806"/>
      </w:pPr>
      <w:r>
        <w:t xml:space="preserve">In general, the number of respondents licensed under 10 CFR Parts 50 and 52 decreased by </w:t>
      </w:r>
      <w:r w:rsidR="00FA6D74">
        <w:t>2</w:t>
      </w:r>
      <w:r>
        <w:t xml:space="preserve"> from </w:t>
      </w:r>
      <w:r w:rsidR="00FA6D74">
        <w:t>98</w:t>
      </w:r>
      <w:r>
        <w:t xml:space="preserve"> to </w:t>
      </w:r>
      <w:r w:rsidR="00FA6D74">
        <w:t>96 (65</w:t>
      </w:r>
      <w:r>
        <w:t xml:space="preserve"> Power Sites + 31 Non-power Sites)</w:t>
      </w:r>
      <w:r w:rsidR="00FA6D74">
        <w:t xml:space="preserve"> due to the decommissioning of 2 power sites in 2015 and 2018</w:t>
      </w:r>
      <w:r w:rsidR="00BF7F50">
        <w:t xml:space="preserve"> and therefore are no longer required to report under Part 55</w:t>
      </w:r>
      <w:r>
        <w:t>.</w:t>
      </w:r>
    </w:p>
    <w:p w:rsidR="00972E75" w:rsidRDefault="00972E75" w14:paraId="2462884A" w14:textId="77777777">
      <w:pPr>
        <w:pStyle w:val="BodyText"/>
        <w:spacing w:before="9"/>
        <w:rPr>
          <w:sz w:val="21"/>
        </w:rPr>
      </w:pPr>
    </w:p>
    <w:p w:rsidR="00972E75" w:rsidRDefault="00EE77F3" w14:paraId="731348AF" w14:textId="77777777">
      <w:pPr>
        <w:pStyle w:val="BodyText"/>
        <w:ind w:left="840" w:right="408"/>
      </w:pPr>
      <w:r>
        <w:t xml:space="preserve">Overall, the estimated reporting burden </w:t>
      </w:r>
      <w:r w:rsidR="00C831FC">
        <w:t>and</w:t>
      </w:r>
      <w:r>
        <w:t xml:space="preserve"> estimated recordkeeping burden decreased, as follows:</w:t>
      </w:r>
    </w:p>
    <w:p w:rsidR="00972E75" w:rsidRDefault="00972E75" w14:paraId="45D85E8E" w14:textId="77777777">
      <w:pPr>
        <w:pStyle w:val="BodyText"/>
      </w:pPr>
    </w:p>
    <w:tbl>
      <w:tblPr>
        <w:tblW w:w="0" w:type="auto"/>
        <w:tblInd w:w="7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0"/>
        <w:gridCol w:w="1530"/>
        <w:gridCol w:w="2352"/>
        <w:gridCol w:w="1458"/>
      </w:tblGrid>
      <w:tr w:rsidR="00972E75" w14:paraId="1CFE23C5" w14:textId="77777777">
        <w:trPr>
          <w:trHeight w:val="288" w:hRule="exact"/>
        </w:trPr>
        <w:tc>
          <w:tcPr>
            <w:tcW w:w="1780" w:type="dxa"/>
            <w:vMerge w:val="restart"/>
            <w:tcBorders>
              <w:top w:val="nil"/>
              <w:left w:val="nil"/>
            </w:tcBorders>
          </w:tcPr>
          <w:p w:rsidR="00972E75" w:rsidRDefault="00972E75" w14:paraId="18B04687" w14:textId="77777777"/>
        </w:tc>
        <w:tc>
          <w:tcPr>
            <w:tcW w:w="5340" w:type="dxa"/>
            <w:gridSpan w:val="3"/>
          </w:tcPr>
          <w:p w:rsidR="00972E75" w:rsidRDefault="00EE77F3" w14:paraId="3D8E73D2" w14:textId="77777777">
            <w:pPr>
              <w:pStyle w:val="TableParagraph"/>
              <w:spacing w:before="25"/>
              <w:ind w:left="1768"/>
              <w:rPr>
                <w:b/>
              </w:rPr>
            </w:pPr>
            <w:r>
              <w:rPr>
                <w:b/>
              </w:rPr>
              <w:t>BURDEN HOURS</w:t>
            </w:r>
          </w:p>
        </w:tc>
      </w:tr>
      <w:tr w:rsidR="00972E75" w14:paraId="22747C61" w14:textId="77777777">
        <w:trPr>
          <w:trHeight w:val="514" w:hRule="exact"/>
        </w:trPr>
        <w:tc>
          <w:tcPr>
            <w:tcW w:w="1780" w:type="dxa"/>
            <w:vMerge/>
            <w:tcBorders>
              <w:left w:val="nil"/>
            </w:tcBorders>
          </w:tcPr>
          <w:p w:rsidR="00972E75" w:rsidRDefault="00972E75" w14:paraId="5CAF064B" w14:textId="77777777"/>
        </w:tc>
        <w:tc>
          <w:tcPr>
            <w:tcW w:w="1530" w:type="dxa"/>
          </w:tcPr>
          <w:p w:rsidR="00972E75" w:rsidRDefault="00EE77F3" w14:paraId="41916142" w14:textId="77777777">
            <w:pPr>
              <w:pStyle w:val="TableParagraph"/>
              <w:spacing w:before="2" w:line="252" w:lineRule="exact"/>
              <w:ind w:left="301" w:right="232" w:hanging="48"/>
            </w:pPr>
            <w:r>
              <w:t>Previously</w:t>
            </w:r>
            <w:r>
              <w:rPr>
                <w:w w:val="99"/>
              </w:rPr>
              <w:t xml:space="preserve"> </w:t>
            </w:r>
            <w:r>
              <w:t>approved</w:t>
            </w:r>
          </w:p>
        </w:tc>
        <w:tc>
          <w:tcPr>
            <w:tcW w:w="2352" w:type="dxa"/>
          </w:tcPr>
          <w:p w:rsidR="00972E75" w:rsidRDefault="00972E75" w14:paraId="014CFE0B" w14:textId="77777777">
            <w:pPr>
              <w:pStyle w:val="TableParagraph"/>
              <w:spacing w:before="8"/>
              <w:ind w:left="0"/>
              <w:rPr>
                <w:sz w:val="21"/>
              </w:rPr>
            </w:pPr>
          </w:p>
          <w:p w:rsidR="00972E75" w:rsidRDefault="00EE77F3" w14:paraId="01BA900A" w14:textId="77777777">
            <w:pPr>
              <w:pStyle w:val="TableParagraph"/>
              <w:spacing w:before="0"/>
              <w:ind w:left="363"/>
            </w:pPr>
            <w:r>
              <w:t>Current Request</w:t>
            </w:r>
          </w:p>
        </w:tc>
        <w:tc>
          <w:tcPr>
            <w:tcW w:w="1458" w:type="dxa"/>
          </w:tcPr>
          <w:p w:rsidR="00972E75" w:rsidRDefault="00972E75" w14:paraId="6D349145" w14:textId="77777777">
            <w:pPr>
              <w:pStyle w:val="TableParagraph"/>
              <w:spacing w:before="8"/>
              <w:ind w:left="0"/>
              <w:rPr>
                <w:sz w:val="21"/>
              </w:rPr>
            </w:pPr>
          </w:p>
          <w:p w:rsidR="00972E75" w:rsidRDefault="00EE77F3" w14:paraId="14B5EDE7" w14:textId="77777777">
            <w:pPr>
              <w:pStyle w:val="TableParagraph"/>
              <w:spacing w:before="0"/>
              <w:ind w:left="339"/>
            </w:pPr>
            <w:r>
              <w:t>Change</w:t>
            </w:r>
          </w:p>
        </w:tc>
      </w:tr>
      <w:tr w:rsidR="00972E75" w14:paraId="16C95A22" w14:textId="77777777">
        <w:trPr>
          <w:trHeight w:val="288" w:hRule="exact"/>
        </w:trPr>
        <w:tc>
          <w:tcPr>
            <w:tcW w:w="1780" w:type="dxa"/>
          </w:tcPr>
          <w:p w:rsidR="00972E75" w:rsidRDefault="00EE77F3" w14:paraId="69D45753" w14:textId="77777777">
            <w:pPr>
              <w:pStyle w:val="TableParagraph"/>
              <w:spacing w:before="24"/>
              <w:ind w:left="103"/>
            </w:pPr>
            <w:r>
              <w:t>Reporting</w:t>
            </w:r>
          </w:p>
        </w:tc>
        <w:tc>
          <w:tcPr>
            <w:tcW w:w="1530" w:type="dxa"/>
          </w:tcPr>
          <w:p w:rsidR="00972E75" w:rsidRDefault="00C831FC" w14:paraId="1226ECF0" w14:textId="77777777">
            <w:pPr>
              <w:pStyle w:val="TableParagraph"/>
              <w:spacing w:before="24"/>
              <w:ind w:left="0" w:right="101"/>
              <w:jc w:val="right"/>
            </w:pPr>
            <w:r>
              <w:rPr>
                <w:w w:val="95"/>
              </w:rPr>
              <w:t>188,647</w:t>
            </w:r>
          </w:p>
        </w:tc>
        <w:tc>
          <w:tcPr>
            <w:tcW w:w="2352" w:type="dxa"/>
          </w:tcPr>
          <w:p w:rsidR="00972E75" w:rsidP="006B6C2A" w:rsidRDefault="00C831FC" w14:paraId="7A5C683C" w14:textId="77777777">
            <w:pPr>
              <w:pStyle w:val="TableParagraph"/>
              <w:spacing w:before="24"/>
              <w:ind w:left="0" w:right="102"/>
              <w:jc w:val="right"/>
            </w:pPr>
            <w:r>
              <w:rPr>
                <w:w w:val="95"/>
              </w:rPr>
              <w:t>150,</w:t>
            </w:r>
            <w:r w:rsidR="006B6C2A">
              <w:rPr>
                <w:w w:val="95"/>
              </w:rPr>
              <w:t>86</w:t>
            </w:r>
            <w:r>
              <w:rPr>
                <w:w w:val="95"/>
              </w:rPr>
              <w:t>9</w:t>
            </w:r>
          </w:p>
        </w:tc>
        <w:tc>
          <w:tcPr>
            <w:tcW w:w="1458" w:type="dxa"/>
          </w:tcPr>
          <w:p w:rsidR="00972E75" w:rsidP="006B6C2A" w:rsidRDefault="00C831FC" w14:paraId="4617B6B7" w14:textId="77777777">
            <w:pPr>
              <w:pStyle w:val="TableParagraph"/>
              <w:spacing w:before="24"/>
              <w:ind w:left="0" w:right="100"/>
              <w:jc w:val="right"/>
            </w:pPr>
            <w:r>
              <w:t>-37,</w:t>
            </w:r>
            <w:r w:rsidR="006B6C2A">
              <w:t>778</w:t>
            </w:r>
          </w:p>
        </w:tc>
      </w:tr>
      <w:tr w:rsidR="00972E75" w14:paraId="66E281A4" w14:textId="77777777">
        <w:trPr>
          <w:trHeight w:val="288" w:hRule="exact"/>
        </w:trPr>
        <w:tc>
          <w:tcPr>
            <w:tcW w:w="1780" w:type="dxa"/>
          </w:tcPr>
          <w:p w:rsidR="00972E75" w:rsidRDefault="00EE77F3" w14:paraId="4593810D" w14:textId="77777777">
            <w:pPr>
              <w:pStyle w:val="TableParagraph"/>
              <w:spacing w:before="24"/>
              <w:ind w:left="103"/>
            </w:pPr>
            <w:r>
              <w:t>Recordkeeping</w:t>
            </w:r>
          </w:p>
        </w:tc>
        <w:tc>
          <w:tcPr>
            <w:tcW w:w="1530" w:type="dxa"/>
          </w:tcPr>
          <w:p w:rsidR="00972E75" w:rsidRDefault="00C831FC" w14:paraId="46CA9A20" w14:textId="77777777">
            <w:pPr>
              <w:pStyle w:val="TableParagraph"/>
              <w:spacing w:before="24"/>
              <w:ind w:left="0" w:right="101"/>
              <w:jc w:val="right"/>
            </w:pPr>
            <w:r>
              <w:rPr>
                <w:w w:val="95"/>
              </w:rPr>
              <w:t>23,405</w:t>
            </w:r>
          </w:p>
        </w:tc>
        <w:tc>
          <w:tcPr>
            <w:tcW w:w="2352" w:type="dxa"/>
          </w:tcPr>
          <w:p w:rsidR="00972E75" w:rsidRDefault="00C831FC" w14:paraId="6587A5A0" w14:textId="77777777">
            <w:pPr>
              <w:pStyle w:val="TableParagraph"/>
              <w:spacing w:before="24"/>
              <w:ind w:left="0" w:right="103"/>
              <w:jc w:val="right"/>
            </w:pPr>
            <w:r>
              <w:rPr>
                <w:w w:val="95"/>
              </w:rPr>
              <w:t>22,046</w:t>
            </w:r>
          </w:p>
        </w:tc>
        <w:tc>
          <w:tcPr>
            <w:tcW w:w="1458" w:type="dxa"/>
          </w:tcPr>
          <w:p w:rsidR="00972E75" w:rsidP="00C831FC" w:rsidRDefault="00EE77F3" w14:paraId="1FE9C976" w14:textId="77777777">
            <w:pPr>
              <w:pStyle w:val="TableParagraph"/>
              <w:spacing w:before="24"/>
              <w:ind w:left="0" w:right="100"/>
              <w:jc w:val="right"/>
            </w:pPr>
            <w:r>
              <w:rPr>
                <w:w w:val="95"/>
              </w:rPr>
              <w:t>-</w:t>
            </w:r>
            <w:r w:rsidR="00C831FC">
              <w:rPr>
                <w:w w:val="95"/>
              </w:rPr>
              <w:t>1,359</w:t>
            </w:r>
          </w:p>
        </w:tc>
      </w:tr>
      <w:tr w:rsidR="00972E75" w14:paraId="3ADFFDA2" w14:textId="77777777">
        <w:trPr>
          <w:trHeight w:val="288" w:hRule="exact"/>
        </w:trPr>
        <w:tc>
          <w:tcPr>
            <w:tcW w:w="1780" w:type="dxa"/>
          </w:tcPr>
          <w:p w:rsidR="00972E75" w:rsidRDefault="00EE77F3" w14:paraId="1A945F40" w14:textId="77777777">
            <w:pPr>
              <w:pStyle w:val="TableParagraph"/>
              <w:spacing w:before="24"/>
              <w:ind w:left="103"/>
            </w:pPr>
            <w:r>
              <w:t>TOTAL</w:t>
            </w:r>
          </w:p>
        </w:tc>
        <w:tc>
          <w:tcPr>
            <w:tcW w:w="1530" w:type="dxa"/>
          </w:tcPr>
          <w:p w:rsidR="00972E75" w:rsidRDefault="00C831FC" w14:paraId="4916D897" w14:textId="77777777">
            <w:pPr>
              <w:pStyle w:val="TableParagraph"/>
              <w:spacing w:before="24"/>
              <w:ind w:left="0" w:right="100"/>
              <w:jc w:val="right"/>
            </w:pPr>
            <w:r>
              <w:rPr>
                <w:w w:val="95"/>
              </w:rPr>
              <w:t>212,052</w:t>
            </w:r>
          </w:p>
        </w:tc>
        <w:tc>
          <w:tcPr>
            <w:tcW w:w="2352" w:type="dxa"/>
          </w:tcPr>
          <w:p w:rsidR="00972E75" w:rsidP="006B6C2A" w:rsidRDefault="00C831FC" w14:paraId="0C7FF77E" w14:textId="77777777">
            <w:pPr>
              <w:pStyle w:val="TableParagraph"/>
              <w:spacing w:before="24"/>
              <w:ind w:left="0" w:right="102"/>
              <w:jc w:val="right"/>
            </w:pPr>
            <w:r>
              <w:rPr>
                <w:w w:val="95"/>
              </w:rPr>
              <w:t>172,</w:t>
            </w:r>
            <w:r w:rsidR="006B6C2A">
              <w:rPr>
                <w:w w:val="95"/>
              </w:rPr>
              <w:t>91</w:t>
            </w:r>
            <w:r>
              <w:rPr>
                <w:w w:val="95"/>
              </w:rPr>
              <w:t>5</w:t>
            </w:r>
          </w:p>
        </w:tc>
        <w:tc>
          <w:tcPr>
            <w:tcW w:w="1458" w:type="dxa"/>
          </w:tcPr>
          <w:p w:rsidR="00972E75" w:rsidRDefault="005F63A0" w14:paraId="24466010" w14:textId="77777777">
            <w:pPr>
              <w:pStyle w:val="TableParagraph"/>
              <w:spacing w:before="24"/>
              <w:ind w:left="0" w:right="100"/>
              <w:jc w:val="right"/>
            </w:pPr>
            <w:r>
              <w:rPr>
                <w:w w:val="95"/>
              </w:rPr>
              <w:t>-</w:t>
            </w:r>
            <w:r w:rsidR="00C831FC">
              <w:rPr>
                <w:w w:val="95"/>
              </w:rPr>
              <w:t>3</w:t>
            </w:r>
            <w:r w:rsidR="006B6C2A">
              <w:rPr>
                <w:w w:val="95"/>
              </w:rPr>
              <w:t>9,13</w:t>
            </w:r>
            <w:r w:rsidR="00C831FC">
              <w:rPr>
                <w:w w:val="95"/>
              </w:rPr>
              <w:t>7</w:t>
            </w:r>
          </w:p>
        </w:tc>
      </w:tr>
    </w:tbl>
    <w:p w:rsidR="00972E75" w:rsidRDefault="00972E75" w14:paraId="3E12160E" w14:textId="77777777">
      <w:pPr>
        <w:pStyle w:val="BodyText"/>
        <w:spacing w:before="8"/>
        <w:rPr>
          <w:sz w:val="21"/>
        </w:rPr>
      </w:pPr>
    </w:p>
    <w:p w:rsidR="00972E75" w:rsidRDefault="006B6C2A" w14:paraId="56E4E7A2" w14:textId="77777777">
      <w:pPr>
        <w:pStyle w:val="BodyText"/>
        <w:ind w:left="840"/>
      </w:pPr>
      <w:r>
        <w:t>Two</w:t>
      </w:r>
      <w:r w:rsidR="00EE77F3">
        <w:t xml:space="preserve"> requirements account for most of the burden </w:t>
      </w:r>
      <w:r w:rsidR="00C831FC">
        <w:t>change</w:t>
      </w:r>
      <w:r w:rsidR="00EE77F3">
        <w:t xml:space="preserve"> for reporting:</w:t>
      </w:r>
    </w:p>
    <w:p w:rsidR="00972E75" w:rsidRDefault="00972E75" w14:paraId="269715CF" w14:textId="77777777">
      <w:pPr>
        <w:pStyle w:val="BodyText"/>
        <w:spacing w:before="7"/>
        <w:rPr>
          <w:sz w:val="23"/>
        </w:rPr>
      </w:pPr>
    </w:p>
    <w:p w:rsidR="00972E75" w:rsidRDefault="00EE77F3" w14:paraId="0D2C6584" w14:textId="77777777">
      <w:pPr>
        <w:pStyle w:val="ListParagraph"/>
        <w:numPr>
          <w:ilvl w:val="0"/>
          <w:numId w:val="2"/>
        </w:numPr>
        <w:tabs>
          <w:tab w:val="left" w:pos="1559"/>
          <w:tab w:val="left" w:pos="1561"/>
        </w:tabs>
        <w:spacing w:before="1" w:line="252" w:lineRule="exact"/>
        <w:ind w:right="146" w:hanging="360"/>
      </w:pPr>
      <w:r>
        <w:t xml:space="preserve">The NRC staff </w:t>
      </w:r>
      <w:r w:rsidR="00C831FC">
        <w:t>decreased the number of power reactor respondents under 55.40(b)(1) and (3) to indicate the number of examinations that the facility licensees would develop from 45 to 41.</w:t>
      </w:r>
      <w:r w:rsidR="00D524CF">
        <w:t xml:space="preserve">  This decreased the number of hours from 112,500 to 102,500.</w:t>
      </w:r>
    </w:p>
    <w:p w:rsidR="00972E75" w:rsidRDefault="00972E75" w14:paraId="7B3F3F15" w14:textId="77777777">
      <w:pPr>
        <w:pStyle w:val="BodyText"/>
        <w:spacing w:before="4"/>
        <w:rPr>
          <w:sz w:val="23"/>
        </w:rPr>
      </w:pPr>
    </w:p>
    <w:p w:rsidRPr="00FD31BC" w:rsidR="00FD31BC" w:rsidP="006B6C2A" w:rsidRDefault="00EE77F3" w14:paraId="4464096E" w14:textId="77777777">
      <w:pPr>
        <w:pStyle w:val="ListParagraph"/>
        <w:numPr>
          <w:ilvl w:val="0"/>
          <w:numId w:val="2"/>
        </w:numPr>
        <w:tabs>
          <w:tab w:val="left" w:pos="1559"/>
          <w:tab w:val="left" w:pos="1561"/>
        </w:tabs>
        <w:spacing w:before="9" w:line="252" w:lineRule="exact"/>
        <w:ind w:right="109" w:hanging="360"/>
        <w:rPr>
          <w:sz w:val="21"/>
        </w:rPr>
      </w:pPr>
      <w:r>
        <w:t xml:space="preserve">The NRC staff </w:t>
      </w:r>
      <w:r w:rsidR="00C831FC">
        <w:t>decreased the number of power reactor respondents under 55.59(</w:t>
      </w:r>
      <w:r w:rsidR="00250375">
        <w:t>c)</w:t>
      </w:r>
      <w:r w:rsidR="00C831FC">
        <w:t xml:space="preserve"> from 67 to 32 to account for the fact that </w:t>
      </w:r>
      <w:r w:rsidR="002E1650">
        <w:t xml:space="preserve">the </w:t>
      </w:r>
      <w:r w:rsidR="00C831FC">
        <w:t xml:space="preserve">requalification </w:t>
      </w:r>
    </w:p>
    <w:p w:rsidR="00BD1BFA" w:rsidP="00BD1BFA" w:rsidRDefault="00BD1BFA" w14:paraId="4CCAA417" w14:textId="0FCFD4E0">
      <w:pPr>
        <w:tabs>
          <w:tab w:val="left" w:pos="1559"/>
          <w:tab w:val="left" w:pos="1561"/>
        </w:tabs>
        <w:spacing w:before="9" w:line="252" w:lineRule="exact"/>
        <w:ind w:left="1559" w:right="109"/>
        <w:rPr>
          <w:sz w:val="21"/>
        </w:rPr>
      </w:pPr>
      <w:r>
        <w:tab/>
        <w:t>c</w:t>
      </w:r>
      <w:r w:rsidR="002E1650">
        <w:t xml:space="preserve">ycle and inspection </w:t>
      </w:r>
      <w:proofErr w:type="gramStart"/>
      <w:r w:rsidR="00C831FC">
        <w:t>occurs</w:t>
      </w:r>
      <w:proofErr w:type="gramEnd"/>
      <w:r w:rsidR="00C831FC">
        <w:t xml:space="preserve"> on a biennial frequency</w:t>
      </w:r>
      <w:r w:rsidR="00EE77F3">
        <w:t>.</w:t>
      </w:r>
      <w:r w:rsidR="00D524CF">
        <w:t xml:space="preserve">  This decreased the number of hours from </w:t>
      </w:r>
      <w:r w:rsidR="0047077D">
        <w:t>85</w:t>
      </w:r>
      <w:r w:rsidR="00D524CF">
        <w:t>,</w:t>
      </w:r>
      <w:r w:rsidR="0047077D">
        <w:t>09</w:t>
      </w:r>
      <w:r w:rsidR="00D524CF">
        <w:t xml:space="preserve">0 to </w:t>
      </w:r>
      <w:r w:rsidR="0047077D">
        <w:t>40,640</w:t>
      </w:r>
      <w:r w:rsidR="00B53123">
        <w:t xml:space="preserve"> (a decrease of 44,450 hours)</w:t>
      </w:r>
      <w:r w:rsidR="0047077D">
        <w:t>.</w:t>
      </w:r>
    </w:p>
    <w:p w:rsidRPr="00BD1BFA" w:rsidR="00014BEB" w:rsidP="00BD1BFA" w:rsidRDefault="00014BEB" w14:paraId="1505EC1C" w14:textId="77777777">
      <w:pPr>
        <w:tabs>
          <w:tab w:val="left" w:pos="1559"/>
          <w:tab w:val="left" w:pos="1561"/>
        </w:tabs>
        <w:spacing w:before="9" w:line="252" w:lineRule="exact"/>
        <w:ind w:left="1559" w:right="109"/>
        <w:rPr>
          <w:sz w:val="21"/>
        </w:rPr>
      </w:pPr>
    </w:p>
    <w:p w:rsidR="00972E75" w:rsidRDefault="00EE77F3" w14:paraId="1F3FBB47" w14:textId="77777777">
      <w:pPr>
        <w:pStyle w:val="BodyText"/>
        <w:ind w:left="839"/>
      </w:pPr>
      <w:r>
        <w:t xml:space="preserve">In addition, there </w:t>
      </w:r>
      <w:r w:rsidR="00C831FC">
        <w:t>was</w:t>
      </w:r>
      <w:r>
        <w:t xml:space="preserve"> </w:t>
      </w:r>
      <w:r w:rsidR="00C831FC">
        <w:t>one major decrease</w:t>
      </w:r>
      <w:r>
        <w:t xml:space="preserve"> in recordkeeping burden:</w:t>
      </w:r>
    </w:p>
    <w:p w:rsidR="00972E75" w:rsidRDefault="00972E75" w14:paraId="6B0042BF" w14:textId="77777777">
      <w:pPr>
        <w:pStyle w:val="BodyText"/>
        <w:spacing w:before="8"/>
        <w:rPr>
          <w:sz w:val="23"/>
        </w:rPr>
      </w:pPr>
    </w:p>
    <w:p w:rsidR="00972E75" w:rsidRDefault="00EE77F3" w14:paraId="040D7CD2" w14:textId="77777777">
      <w:pPr>
        <w:pStyle w:val="ListParagraph"/>
        <w:numPr>
          <w:ilvl w:val="0"/>
          <w:numId w:val="1"/>
        </w:numPr>
        <w:tabs>
          <w:tab w:val="left" w:pos="1199"/>
          <w:tab w:val="left" w:pos="1201"/>
        </w:tabs>
        <w:spacing w:line="252" w:lineRule="exact"/>
        <w:ind w:right="424" w:hanging="360"/>
      </w:pPr>
      <w:r>
        <w:t xml:space="preserve">The </w:t>
      </w:r>
      <w:r w:rsidR="00C831FC">
        <w:t>number of recordkeepers</w:t>
      </w:r>
      <w:r>
        <w:t xml:space="preserve"> for 50.</w:t>
      </w:r>
      <w:r w:rsidR="00C831FC">
        <w:t>40(b</w:t>
      </w:r>
      <w:r>
        <w:t xml:space="preserve">)(2) for records associated with </w:t>
      </w:r>
      <w:r w:rsidR="00C831FC">
        <w:t>initial license examination at power reactor facilities</w:t>
      </w:r>
      <w:r>
        <w:t xml:space="preserve">, decreased from </w:t>
      </w:r>
      <w:r w:rsidR="00C831FC">
        <w:t>65</w:t>
      </w:r>
      <w:r w:rsidR="00D524CF">
        <w:t xml:space="preserve"> to 45</w:t>
      </w:r>
      <w:r>
        <w:t xml:space="preserve"> power reactor </w:t>
      </w:r>
      <w:r w:rsidR="00D524CF">
        <w:t>facilities</w:t>
      </w:r>
      <w:r>
        <w:t xml:space="preserve"> </w:t>
      </w:r>
      <w:r w:rsidR="00D524CF">
        <w:t>because 45 examinations are performed each year</w:t>
      </w:r>
      <w:r>
        <w:t>.</w:t>
      </w:r>
      <w:r w:rsidR="00D524CF">
        <w:t xml:space="preserve">  This reduced the burden by 440 hours.</w:t>
      </w:r>
    </w:p>
    <w:p w:rsidR="00972E75" w:rsidRDefault="00972E75" w14:paraId="147A3944" w14:textId="77777777">
      <w:pPr>
        <w:pStyle w:val="BodyText"/>
        <w:spacing w:before="5"/>
        <w:rPr>
          <w:sz w:val="21"/>
        </w:rPr>
      </w:pPr>
    </w:p>
    <w:p w:rsidR="00972E75" w:rsidRDefault="00EE77F3" w14:paraId="2FF3A94A" w14:textId="77777777">
      <w:pPr>
        <w:pStyle w:val="BodyText"/>
        <w:ind w:left="839"/>
      </w:pPr>
      <w:r>
        <w:t>Other changes, based on NRC staff experience include:</w:t>
      </w:r>
    </w:p>
    <w:p w:rsidR="00D524CF" w:rsidRDefault="00D524CF" w14:paraId="31B24F94" w14:textId="77777777">
      <w:pPr>
        <w:pStyle w:val="BodyText"/>
        <w:ind w:left="839"/>
      </w:pPr>
    </w:p>
    <w:p w:rsidR="00D524CF" w:rsidP="00625996" w:rsidRDefault="00D524CF" w14:paraId="20A3B67C" w14:textId="470A11ED">
      <w:pPr>
        <w:pStyle w:val="ListParagraph"/>
        <w:numPr>
          <w:ilvl w:val="0"/>
          <w:numId w:val="1"/>
        </w:numPr>
        <w:tabs>
          <w:tab w:val="left" w:pos="1199"/>
          <w:tab w:val="left" w:pos="1201"/>
        </w:tabs>
        <w:spacing w:line="252" w:lineRule="exact"/>
        <w:ind w:right="424"/>
      </w:pPr>
      <w:r>
        <w:t>The NRC staff added a</w:t>
      </w:r>
      <w:r w:rsidR="009056D1">
        <w:t xml:space="preserve"> line to the burden table</w:t>
      </w:r>
      <w:r w:rsidR="0018706D">
        <w:t xml:space="preserve"> </w:t>
      </w:r>
      <w:r>
        <w:t xml:space="preserve">to account for power reactor facility burden on initial examinations that are developed by the NRC under 55.40(c).  This </w:t>
      </w:r>
      <w:r w:rsidR="00625996">
        <w:t xml:space="preserve">correction </w:t>
      </w:r>
      <w:r>
        <w:t xml:space="preserve">increased the number of </w:t>
      </w:r>
      <w:r w:rsidR="00ED5F03">
        <w:t xml:space="preserve">burden </w:t>
      </w:r>
      <w:r>
        <w:t>hours from 0 to 5,000.</w:t>
      </w:r>
      <w:r w:rsidR="00ED5F03">
        <w:t xml:space="preserve">  The burden on industry per response is 1</w:t>
      </w:r>
      <w:r w:rsidR="00625996">
        <w:t>,</w:t>
      </w:r>
      <w:r w:rsidR="00ED5F03">
        <w:t>250 hours.</w:t>
      </w:r>
      <w:r w:rsidRPr="00625996" w:rsidR="00625996">
        <w:t xml:space="preserve"> </w:t>
      </w:r>
      <w:r w:rsidR="00625996">
        <w:t>T</w:t>
      </w:r>
      <w:r w:rsidRPr="00625996" w:rsidR="00625996">
        <w:t xml:space="preserve">his is not a new information collection or NRC requirement.  </w:t>
      </w:r>
      <w:r w:rsidR="00625996">
        <w:t>The NRC has</w:t>
      </w:r>
      <w:r w:rsidRPr="00625996" w:rsidR="00625996">
        <w:t xml:space="preserve"> always developed one initial examination per region (for a total of four) each year</w:t>
      </w:r>
      <w:r w:rsidR="00625996">
        <w:t>; however, t</w:t>
      </w:r>
      <w:r w:rsidRPr="00625996" w:rsidR="00625996">
        <w:t>his was not properly accounted for previously, as it was considered as part of the facility developed examination burden.</w:t>
      </w:r>
    </w:p>
    <w:p w:rsidR="0018706D" w:rsidP="0018706D" w:rsidRDefault="0018706D" w14:paraId="685E792D" w14:textId="77777777">
      <w:pPr>
        <w:pStyle w:val="ListParagraph"/>
        <w:tabs>
          <w:tab w:val="left" w:pos="1199"/>
          <w:tab w:val="left" w:pos="1201"/>
        </w:tabs>
        <w:spacing w:line="252" w:lineRule="exact"/>
        <w:ind w:left="1200" w:right="424" w:firstLine="0"/>
      </w:pPr>
    </w:p>
    <w:p w:rsidR="00F6642D" w:rsidP="00F6642D" w:rsidRDefault="00F6642D" w14:paraId="4A0F7C66" w14:textId="582A191B">
      <w:pPr>
        <w:pStyle w:val="ListParagraph"/>
        <w:numPr>
          <w:ilvl w:val="0"/>
          <w:numId w:val="1"/>
        </w:numPr>
        <w:tabs>
          <w:tab w:val="left" w:pos="1199"/>
          <w:tab w:val="left" w:pos="1201"/>
        </w:tabs>
        <w:spacing w:line="252" w:lineRule="exact"/>
        <w:ind w:right="424"/>
      </w:pPr>
      <w:r>
        <w:t xml:space="preserve">In the previous renewal, reporting burden for the entire </w:t>
      </w:r>
      <w:proofErr w:type="gramStart"/>
      <w:r>
        <w:t>requalification  operating</w:t>
      </w:r>
      <w:proofErr w:type="gramEnd"/>
      <w:r>
        <w:t xml:space="preserve"> test was captured in a single line on the burden table at 1,270 hours per response.  However,</w:t>
      </w:r>
      <w:r w:rsidR="0018706D">
        <w:t xml:space="preserve"> the burden table was revised to better reflect that</w:t>
      </w:r>
      <w:r>
        <w:t xml:space="preserve"> power reactor facilities have three burden requirements related t</w:t>
      </w:r>
      <w:r w:rsidR="00982DB9">
        <w:t>o requalification under 55.59:</w:t>
      </w:r>
    </w:p>
    <w:p w:rsidR="00F6642D" w:rsidP="00BD5B93" w:rsidRDefault="00F6642D" w14:paraId="5E71A2FD" w14:textId="158990A1">
      <w:pPr>
        <w:pStyle w:val="ListParagraph"/>
        <w:numPr>
          <w:ilvl w:val="2"/>
          <w:numId w:val="1"/>
        </w:numPr>
        <w:tabs>
          <w:tab w:val="left" w:pos="1199"/>
          <w:tab w:val="left" w:pos="1201"/>
        </w:tabs>
        <w:spacing w:line="252" w:lineRule="exact"/>
        <w:ind w:right="424"/>
      </w:pPr>
      <w:r>
        <w:t xml:space="preserve">There is a burden associated with support for the full requalification inspection – this was previously listed for all power facilities under 55.59(a) </w:t>
      </w:r>
      <w:r w:rsidR="0018706D">
        <w:t xml:space="preserve">and was estimated as an annual burden.  Because this is </w:t>
      </w:r>
      <w:proofErr w:type="gramStart"/>
      <w:r w:rsidR="0018706D">
        <w:t>actually a</w:t>
      </w:r>
      <w:proofErr w:type="gramEnd"/>
      <w:r w:rsidR="0018706D">
        <w:t xml:space="preserve"> biennial burden, it was</w:t>
      </w:r>
      <w:r>
        <w:t xml:space="preserve"> determined to be more accurately captured as half of all power facilities </w:t>
      </w:r>
      <w:r w:rsidR="0018706D">
        <w:t>annually</w:t>
      </w:r>
      <w:r>
        <w:t xml:space="preserve"> under 55.59(c), which requires the facility to provide documents in support of Commission inspections</w:t>
      </w:r>
      <w:r w:rsidR="00982DB9">
        <w:t xml:space="preserve"> (1,270 hours per response)</w:t>
      </w:r>
      <w:r>
        <w:t xml:space="preserve">.  The facilities are required </w:t>
      </w:r>
      <w:r>
        <w:lastRenderedPageBreak/>
        <w:t xml:space="preserve">to support a requalification inspection every other year.  </w:t>
      </w:r>
      <w:r w:rsidR="0018706D">
        <w:t>The change from calculating this as an annual burden to calculating it as a biennial burden (and thus reducing the number of respondents by half) resulted in a decrease in burden of 44,450 hours.</w:t>
      </w:r>
    </w:p>
    <w:p w:rsidR="00F6642D" w:rsidP="00BD5B93" w:rsidRDefault="00F6642D" w14:paraId="5E97A65C" w14:textId="196DE122">
      <w:pPr>
        <w:pStyle w:val="ListParagraph"/>
        <w:numPr>
          <w:ilvl w:val="2"/>
          <w:numId w:val="1"/>
        </w:numPr>
        <w:tabs>
          <w:tab w:val="left" w:pos="1199"/>
          <w:tab w:val="left" w:pos="1201"/>
        </w:tabs>
        <w:spacing w:line="252" w:lineRule="exact"/>
        <w:ind w:right="424"/>
      </w:pPr>
      <w:r>
        <w:t xml:space="preserve">There is a second burden associated with reporting the annual test pass rates.  </w:t>
      </w:r>
      <w:r w:rsidR="00982DB9">
        <w:t xml:space="preserve">This is an existing </w:t>
      </w:r>
      <w:proofErr w:type="gramStart"/>
      <w:r w:rsidR="00982DB9">
        <w:t>requirement</w:t>
      </w:r>
      <w:proofErr w:type="gramEnd"/>
      <w:r w:rsidR="00982DB9">
        <w:t xml:space="preserve"> but th</w:t>
      </w:r>
      <w:r>
        <w:t>is burden was not previously captured in the prior submission.  It was determined that this burden was best reflected under 55.59(a)(2) for half of the power reactor f</w:t>
      </w:r>
      <w:r w:rsidR="0018706D">
        <w:t>acilities on a yearly basis (10 hours per response for 32 respondents, an increase of 320 hours).</w:t>
      </w:r>
    </w:p>
    <w:p w:rsidR="00F6642D" w:rsidP="00BD5B93" w:rsidRDefault="00F6642D" w14:paraId="64116255" w14:textId="5E56E49C">
      <w:pPr>
        <w:pStyle w:val="ListParagraph"/>
        <w:numPr>
          <w:ilvl w:val="2"/>
          <w:numId w:val="1"/>
        </w:numPr>
        <w:tabs>
          <w:tab w:val="left" w:pos="1199"/>
          <w:tab w:val="left" w:pos="1201"/>
        </w:tabs>
        <w:spacing w:line="252" w:lineRule="exact"/>
        <w:ind w:right="424"/>
      </w:pPr>
      <w:r>
        <w:t>Finally, the facilities are required to document participation of licensed operators in the requalification program, which was previously documented under 55.59(c), but was determined to be more accurately reflected under 55.59(c)(5), as that is the specific portion of t</w:t>
      </w:r>
      <w:r w:rsidR="0018706D">
        <w:t>hat regulation that requires it (6 hours per respondent for 64 respondents, an increase of 384 hours).</w:t>
      </w:r>
    </w:p>
    <w:p w:rsidR="00982DB9" w:rsidP="00982DB9" w:rsidRDefault="00982DB9" w14:paraId="1FD5BDD5" w14:textId="77777777">
      <w:pPr>
        <w:tabs>
          <w:tab w:val="left" w:pos="1199"/>
          <w:tab w:val="left" w:pos="1201"/>
        </w:tabs>
        <w:spacing w:line="252" w:lineRule="exact"/>
        <w:ind w:right="424"/>
      </w:pPr>
    </w:p>
    <w:p w:rsidR="006B6C2A" w:rsidP="00982DB9" w:rsidRDefault="00F6642D" w14:paraId="439C8518" w14:textId="46494AC8">
      <w:pPr>
        <w:tabs>
          <w:tab w:val="left" w:pos="1199"/>
          <w:tab w:val="left" w:pos="1201"/>
        </w:tabs>
        <w:spacing w:line="252" w:lineRule="exact"/>
        <w:ind w:left="1199" w:right="424"/>
      </w:pPr>
      <w:r>
        <w:t>Note that non-power reactors do not have the same NRC inspection programs as the power reactor inspection program, and therefore they have different burdens listed.</w:t>
      </w:r>
    </w:p>
    <w:p w:rsidR="000D23F6" w:rsidP="000D23F6" w:rsidRDefault="000D23F6" w14:paraId="66AABF96" w14:textId="77777777">
      <w:pPr>
        <w:pStyle w:val="ListParagraph"/>
        <w:tabs>
          <w:tab w:val="left" w:pos="1199"/>
          <w:tab w:val="left" w:pos="1201"/>
        </w:tabs>
        <w:spacing w:line="252" w:lineRule="exact"/>
        <w:ind w:left="1200" w:right="424" w:firstLine="0"/>
      </w:pPr>
    </w:p>
    <w:p w:rsidR="00D524CF" w:rsidP="00911DC7" w:rsidRDefault="006B6C2A" w14:paraId="3F84BD7A" w14:textId="14508DB5">
      <w:pPr>
        <w:pStyle w:val="ListParagraph"/>
        <w:numPr>
          <w:ilvl w:val="0"/>
          <w:numId w:val="1"/>
        </w:numPr>
        <w:tabs>
          <w:tab w:val="left" w:pos="1199"/>
          <w:tab w:val="left" w:pos="1201"/>
        </w:tabs>
        <w:spacing w:line="252" w:lineRule="exact"/>
        <w:ind w:right="424"/>
      </w:pPr>
      <w:r>
        <w:t xml:space="preserve">The NRC staff added </w:t>
      </w:r>
      <w:r w:rsidR="009056D1">
        <w:t>a line to the burden table</w:t>
      </w:r>
      <w:r>
        <w:t xml:space="preserve"> under 55.31(b) for </w:t>
      </w:r>
      <w:r w:rsidR="009056D1">
        <w:t>non-power sites</w:t>
      </w:r>
      <w:r>
        <w:t xml:space="preserve">.  This increased the </w:t>
      </w:r>
      <w:r w:rsidR="002859AD">
        <w:t>burden by 120 hours (5 respondents x 24 hours per respondent)</w:t>
      </w:r>
      <w:r>
        <w:t>.</w:t>
      </w:r>
      <w:r w:rsidR="00ED5F03">
        <w:t xml:space="preserve">  </w:t>
      </w:r>
      <w:r w:rsidRPr="00911DC7" w:rsidR="00911DC7">
        <w:t xml:space="preserve">55.31(b) allows the Commission to require further information under affirmation in order to enable it to determine whether to grant or deny the application or whether to revoke, modify, or suspend the license.  The previous </w:t>
      </w:r>
      <w:r w:rsidR="009056D1">
        <w:t>submission</w:t>
      </w:r>
      <w:r w:rsidRPr="00911DC7" w:rsidR="00911DC7">
        <w:t xml:space="preserve"> assessed burden for power </w:t>
      </w:r>
      <w:proofErr w:type="gramStart"/>
      <w:r w:rsidRPr="00911DC7" w:rsidR="00911DC7">
        <w:t>reactors, but</w:t>
      </w:r>
      <w:proofErr w:type="gramEnd"/>
      <w:r w:rsidRPr="00911DC7" w:rsidR="00911DC7">
        <w:t xml:space="preserve"> did not assess any burden associated with </w:t>
      </w:r>
      <w:r w:rsidR="009056D1">
        <w:t>non-power sites</w:t>
      </w:r>
      <w:r w:rsidRPr="00911DC7" w:rsidR="00911DC7">
        <w:t xml:space="preserve">, even though this allowance has been used (as an example, the NRC may request additional medical information to make a determination of medical fitness).  The research and test reactor branch provided an estimate of the probable number of respondents and estimated burden for this item, which </w:t>
      </w:r>
      <w:r w:rsidR="009056D1">
        <w:t>w</w:t>
      </w:r>
      <w:r w:rsidRPr="00911DC7" w:rsidR="00911DC7">
        <w:t xml:space="preserve">as not </w:t>
      </w:r>
      <w:r w:rsidR="009056D1">
        <w:t>included in previous submission</w:t>
      </w:r>
      <w:r w:rsidRPr="00911DC7" w:rsidR="00911DC7">
        <w:t>.  There are no new information collections or NRC requirements associated with this.</w:t>
      </w:r>
      <w:r w:rsidR="00346191">
        <w:br/>
      </w:r>
    </w:p>
    <w:p w:rsidR="00346191" w:rsidP="00D524CF" w:rsidRDefault="00346191" w14:paraId="6265BEF2" w14:textId="77777777">
      <w:pPr>
        <w:pStyle w:val="ListParagraph"/>
        <w:numPr>
          <w:ilvl w:val="0"/>
          <w:numId w:val="1"/>
        </w:numPr>
        <w:tabs>
          <w:tab w:val="left" w:pos="1199"/>
          <w:tab w:val="left" w:pos="1201"/>
        </w:tabs>
        <w:spacing w:line="252" w:lineRule="exact"/>
        <w:ind w:right="424" w:hanging="360"/>
      </w:pPr>
      <w:r>
        <w:t>The NRC staff added a second item under recordkeeping for 55.46(d)(1) for recordkeeping associated with the Commission-approved simulation facility.  Therefore, there are only 64 respondents listed under the first item.</w:t>
      </w:r>
      <w:r w:rsidR="006B6C2A">
        <w:t xml:space="preserve">  The total number of hours for the two items remain unchanged.</w:t>
      </w:r>
      <w:r>
        <w:br/>
      </w:r>
    </w:p>
    <w:p w:rsidR="00346191" w:rsidP="00D524CF" w:rsidRDefault="00ED5F03" w14:paraId="745B2AA5" w14:textId="77777777">
      <w:pPr>
        <w:pStyle w:val="ListParagraph"/>
        <w:numPr>
          <w:ilvl w:val="0"/>
          <w:numId w:val="1"/>
        </w:numPr>
        <w:tabs>
          <w:tab w:val="left" w:pos="1199"/>
          <w:tab w:val="left" w:pos="1201"/>
        </w:tabs>
        <w:spacing w:line="252" w:lineRule="exact"/>
        <w:ind w:right="424" w:hanging="360"/>
      </w:pPr>
      <w:r>
        <w:t xml:space="preserve">The NRC staff </w:t>
      </w:r>
      <w:r w:rsidR="00346191">
        <w:t>included power reactor facilities with a</w:t>
      </w:r>
      <w:r w:rsidR="00AE6D3C">
        <w:t>n accredited</w:t>
      </w:r>
      <w:r w:rsidR="00346191">
        <w:t xml:space="preserve"> requalification program, </w:t>
      </w:r>
      <w:r>
        <w:t xml:space="preserve">this would not </w:t>
      </w:r>
      <w:r w:rsidR="00346191">
        <w:t>include the facility under construction.  Therefore, a total of 64 power reactor respondents under 55.59(a)(</w:t>
      </w:r>
      <w:r w:rsidR="00250375">
        <w:t>2)</w:t>
      </w:r>
      <w:r w:rsidR="00346191">
        <w:t xml:space="preserve"> and 55.59(</w:t>
      </w:r>
      <w:r w:rsidR="00250375">
        <w:t>c)</w:t>
      </w:r>
      <w:r w:rsidR="00AE6D3C">
        <w:t xml:space="preserve"> and 64 power reactor respondents under 55.59(c)(5).</w:t>
      </w:r>
    </w:p>
    <w:p w:rsidR="00972E75" w:rsidRDefault="00972E75" w14:paraId="687FE8E3" w14:textId="77777777">
      <w:pPr>
        <w:pStyle w:val="BodyText"/>
        <w:spacing w:before="5"/>
        <w:rPr>
          <w:sz w:val="21"/>
        </w:rPr>
      </w:pPr>
    </w:p>
    <w:p w:rsidRPr="00BD1BFA" w:rsidR="00972E75" w:rsidP="00BD1BFA" w:rsidRDefault="00EE77F3" w14:paraId="0E162A81" w14:textId="77777777">
      <w:pPr>
        <w:pStyle w:val="BodyText"/>
        <w:spacing w:before="1"/>
        <w:ind w:left="795" w:right="192"/>
      </w:pPr>
      <w:r>
        <w:t>In addition, the hourly rate used to calculate licens</w:t>
      </w:r>
      <w:r w:rsidR="00D524CF">
        <w:t xml:space="preserve">ee costs has </w:t>
      </w:r>
      <w:r w:rsidR="000773CF">
        <w:t>in</w:t>
      </w:r>
      <w:r w:rsidR="00D524CF">
        <w:t>creased from $268</w:t>
      </w:r>
      <w:r w:rsidR="002E1650">
        <w:t>/</w:t>
      </w:r>
      <w:proofErr w:type="spellStart"/>
      <w:r w:rsidR="002E1650">
        <w:t>hr</w:t>
      </w:r>
      <w:proofErr w:type="spellEnd"/>
      <w:r>
        <w:t xml:space="preserve"> </w:t>
      </w:r>
      <w:r w:rsidR="00D524CF">
        <w:t>to $2</w:t>
      </w:r>
      <w:r w:rsidR="00ED5F03">
        <w:t>75</w:t>
      </w:r>
      <w:r>
        <w:t>/hr.</w:t>
      </w:r>
    </w:p>
    <w:p w:rsidR="00972E75" w:rsidRDefault="00EE77F3" w14:paraId="036948C5" w14:textId="77777777">
      <w:pPr>
        <w:pStyle w:val="ListParagraph"/>
        <w:numPr>
          <w:ilvl w:val="2"/>
          <w:numId w:val="3"/>
        </w:numPr>
        <w:tabs>
          <w:tab w:val="left" w:pos="840"/>
          <w:tab w:val="left" w:pos="841"/>
        </w:tabs>
        <w:spacing w:before="209"/>
        <w:ind w:hanging="720"/>
      </w:pPr>
      <w:r>
        <w:rPr>
          <w:u w:val="single"/>
        </w:rPr>
        <w:t>Publication for Statistical</w:t>
      </w:r>
      <w:r>
        <w:rPr>
          <w:spacing w:val="-5"/>
          <w:u w:val="single"/>
        </w:rPr>
        <w:t xml:space="preserve"> </w:t>
      </w:r>
      <w:r>
        <w:rPr>
          <w:u w:val="single"/>
        </w:rPr>
        <w:t>Use</w:t>
      </w:r>
    </w:p>
    <w:p w:rsidR="00972E75" w:rsidRDefault="00972E75" w14:paraId="79195FFD" w14:textId="77777777">
      <w:pPr>
        <w:pStyle w:val="BodyText"/>
        <w:spacing w:before="1"/>
        <w:rPr>
          <w:sz w:val="16"/>
        </w:rPr>
      </w:pPr>
    </w:p>
    <w:p w:rsidR="00972E75" w:rsidRDefault="00EE77F3" w14:paraId="5D84767A" w14:textId="77777777">
      <w:pPr>
        <w:pStyle w:val="BodyText"/>
        <w:spacing w:before="92"/>
        <w:ind w:left="839"/>
      </w:pPr>
      <w:r>
        <w:t>This information will not be published for statistical use.</w:t>
      </w:r>
    </w:p>
    <w:p w:rsidR="00972E75" w:rsidRDefault="00972E75" w14:paraId="3DC2130B" w14:textId="77777777">
      <w:pPr>
        <w:pStyle w:val="BodyText"/>
        <w:spacing w:before="9"/>
        <w:rPr>
          <w:sz w:val="21"/>
        </w:rPr>
      </w:pPr>
    </w:p>
    <w:p w:rsidR="00972E75" w:rsidRDefault="00EE77F3" w14:paraId="596155FA" w14:textId="77777777">
      <w:pPr>
        <w:pStyle w:val="ListParagraph"/>
        <w:numPr>
          <w:ilvl w:val="2"/>
          <w:numId w:val="3"/>
        </w:numPr>
        <w:tabs>
          <w:tab w:val="left" w:pos="839"/>
          <w:tab w:val="left" w:pos="840"/>
        </w:tabs>
        <w:ind w:left="839" w:hanging="719"/>
      </w:pPr>
      <w:r>
        <w:rPr>
          <w:u w:val="single"/>
        </w:rPr>
        <w:lastRenderedPageBreak/>
        <w:t>Reason for Not Displaying the Expiration</w:t>
      </w:r>
      <w:r>
        <w:rPr>
          <w:spacing w:val="-9"/>
          <w:u w:val="single"/>
        </w:rPr>
        <w:t xml:space="preserve"> </w:t>
      </w:r>
      <w:r>
        <w:rPr>
          <w:u w:val="single"/>
        </w:rPr>
        <w:t>Date</w:t>
      </w:r>
    </w:p>
    <w:p w:rsidR="00972E75" w:rsidRDefault="00972E75" w14:paraId="062C2E84" w14:textId="77777777">
      <w:pPr>
        <w:pStyle w:val="BodyText"/>
        <w:spacing w:before="9"/>
        <w:rPr>
          <w:sz w:val="13"/>
        </w:rPr>
      </w:pPr>
    </w:p>
    <w:p w:rsidR="00EC70FF" w:rsidRDefault="00EE77F3" w14:paraId="6801377F" w14:textId="77777777">
      <w:pPr>
        <w:pStyle w:val="BodyText"/>
        <w:spacing w:before="92"/>
        <w:ind w:left="840" w:right="90"/>
      </w:pPr>
      <w:r>
        <w:t xml:space="preserve">The recordkeeping and reporting requirements for this information collection are associated with regulations and are not submitted on instruments such as forms or surveys. </w:t>
      </w:r>
      <w:r w:rsidR="000D23F6">
        <w:t xml:space="preserve"> </w:t>
      </w:r>
      <w:r>
        <w:t xml:space="preserve">For this reason, there are no data instruments on which to display an OMB expiration date. </w:t>
      </w:r>
      <w:r w:rsidR="00E47C11">
        <w:t xml:space="preserve"> </w:t>
      </w:r>
      <w:r>
        <w:t>Further, amending the regulatory text of the CFR to display</w:t>
      </w:r>
      <w:r w:rsidR="00ED5F03">
        <w:t xml:space="preserve"> </w:t>
      </w:r>
      <w:r>
        <w:t>information that, in an annual publication, could become obsolete would be unduly burdensome and too difficult to keep current.</w:t>
      </w:r>
    </w:p>
    <w:p w:rsidR="00EC70FF" w:rsidRDefault="00EC70FF" w14:paraId="11BAF029" w14:textId="77777777">
      <w:pPr>
        <w:pStyle w:val="BodyText"/>
        <w:spacing w:before="92"/>
        <w:ind w:left="840" w:right="90"/>
      </w:pPr>
    </w:p>
    <w:p w:rsidR="00972E75" w:rsidRDefault="00EE77F3" w14:paraId="4B9C1362" w14:textId="77777777">
      <w:pPr>
        <w:pStyle w:val="ListParagraph"/>
        <w:numPr>
          <w:ilvl w:val="2"/>
          <w:numId w:val="3"/>
        </w:numPr>
        <w:tabs>
          <w:tab w:val="left" w:pos="839"/>
          <w:tab w:val="left" w:pos="840"/>
        </w:tabs>
        <w:ind w:left="839" w:hanging="719"/>
      </w:pPr>
      <w:r>
        <w:rPr>
          <w:u w:val="single"/>
        </w:rPr>
        <w:t>Exceptions to the Certification</w:t>
      </w:r>
      <w:r>
        <w:rPr>
          <w:spacing w:val="-6"/>
          <w:u w:val="single"/>
        </w:rPr>
        <w:t xml:space="preserve"> </w:t>
      </w:r>
      <w:r>
        <w:rPr>
          <w:u w:val="single"/>
        </w:rPr>
        <w:t>Statement</w:t>
      </w:r>
    </w:p>
    <w:p w:rsidR="00972E75" w:rsidRDefault="00972E75" w14:paraId="3DA0832C" w14:textId="77777777">
      <w:pPr>
        <w:pStyle w:val="BodyText"/>
        <w:spacing w:before="9"/>
        <w:rPr>
          <w:sz w:val="13"/>
        </w:rPr>
      </w:pPr>
    </w:p>
    <w:p w:rsidR="00972E75" w:rsidRDefault="00EE77F3" w14:paraId="51D51064" w14:textId="77777777">
      <w:pPr>
        <w:pStyle w:val="BodyText"/>
        <w:spacing w:before="92"/>
        <w:ind w:left="840"/>
      </w:pPr>
      <w:r>
        <w:t>There are no exceptions.</w:t>
      </w:r>
    </w:p>
    <w:p w:rsidR="00972E75" w:rsidRDefault="00972E75" w14:paraId="75E2AB42" w14:textId="77777777">
      <w:pPr>
        <w:pStyle w:val="BodyText"/>
        <w:spacing w:before="8"/>
        <w:rPr>
          <w:sz w:val="21"/>
        </w:rPr>
      </w:pPr>
    </w:p>
    <w:p w:rsidR="00972E75" w:rsidRDefault="00EE77F3" w14:paraId="13D10880" w14:textId="77777777">
      <w:pPr>
        <w:pStyle w:val="ListParagraph"/>
        <w:numPr>
          <w:ilvl w:val="1"/>
          <w:numId w:val="3"/>
        </w:numPr>
        <w:tabs>
          <w:tab w:val="left" w:pos="839"/>
          <w:tab w:val="left" w:pos="840"/>
        </w:tabs>
        <w:spacing w:before="1"/>
        <w:ind w:left="839" w:hanging="719"/>
      </w:pPr>
      <w:r>
        <w:rPr>
          <w:u w:val="single"/>
        </w:rPr>
        <w:t>COLLECTIONS</w:t>
      </w:r>
      <w:r>
        <w:rPr>
          <w:spacing w:val="-10"/>
          <w:u w:val="single"/>
        </w:rPr>
        <w:t xml:space="preserve"> </w:t>
      </w:r>
      <w:r>
        <w:rPr>
          <w:u w:val="single"/>
        </w:rPr>
        <w:t>OF</w:t>
      </w:r>
      <w:r>
        <w:rPr>
          <w:spacing w:val="-10"/>
          <w:u w:val="single"/>
        </w:rPr>
        <w:t xml:space="preserve"> </w:t>
      </w:r>
      <w:r>
        <w:rPr>
          <w:u w:val="single"/>
        </w:rPr>
        <w:t>INFORMATION</w:t>
      </w:r>
      <w:r>
        <w:rPr>
          <w:spacing w:val="-11"/>
          <w:u w:val="single"/>
        </w:rPr>
        <w:t xml:space="preserve"> </w:t>
      </w:r>
      <w:r>
        <w:rPr>
          <w:u w:val="single"/>
        </w:rPr>
        <w:t>EMPLOYING</w:t>
      </w:r>
      <w:r>
        <w:rPr>
          <w:spacing w:val="-10"/>
          <w:u w:val="single"/>
        </w:rPr>
        <w:t xml:space="preserve"> </w:t>
      </w:r>
      <w:r>
        <w:rPr>
          <w:u w:val="single"/>
        </w:rPr>
        <w:t>STATISTICAL</w:t>
      </w:r>
      <w:r>
        <w:rPr>
          <w:spacing w:val="-10"/>
          <w:u w:val="single"/>
        </w:rPr>
        <w:t xml:space="preserve"> </w:t>
      </w:r>
      <w:r>
        <w:rPr>
          <w:u w:val="single"/>
        </w:rPr>
        <w:t>METHODS</w:t>
      </w:r>
    </w:p>
    <w:p w:rsidR="00972E75" w:rsidRDefault="00972E75" w14:paraId="553FE459" w14:textId="77777777">
      <w:pPr>
        <w:pStyle w:val="BodyText"/>
        <w:spacing w:before="9"/>
        <w:rPr>
          <w:sz w:val="13"/>
        </w:rPr>
      </w:pPr>
    </w:p>
    <w:p w:rsidR="00972E75" w:rsidRDefault="00EE77F3" w14:paraId="0F281FF9" w14:textId="77777777">
      <w:pPr>
        <w:pStyle w:val="BodyText"/>
        <w:spacing w:before="92"/>
        <w:ind w:left="840"/>
      </w:pPr>
      <w:r>
        <w:t>Not applicable.</w:t>
      </w:r>
    </w:p>
    <w:p w:rsidR="00972E75" w:rsidRDefault="00972E75" w14:paraId="115F4DAE" w14:textId="77777777"/>
    <w:p w:rsidR="00ED60D0" w:rsidRDefault="00ED60D0" w14:paraId="1033C4DC" w14:textId="77777777">
      <w:r>
        <w:br w:type="page"/>
      </w:r>
    </w:p>
    <w:p w:rsidR="00ED60D0" w:rsidRDefault="00ED60D0" w14:paraId="2D13EBB0" w14:textId="77777777"/>
    <w:p w:rsidR="00ED60D0" w:rsidP="00E22A0C" w:rsidRDefault="00ED60D0" w14:paraId="70458884" w14:textId="77777777">
      <w:pPr>
        <w:jc w:val="center"/>
      </w:pPr>
      <w:r>
        <w:t>DESCRIPTION OF INFORMATION COLLECTION REQUIREMENTS</w:t>
      </w:r>
    </w:p>
    <w:p w:rsidR="00ED60D0" w:rsidP="00E22A0C" w:rsidRDefault="00ED60D0" w14:paraId="36931808" w14:textId="77777777">
      <w:pPr>
        <w:jc w:val="center"/>
      </w:pPr>
      <w:r>
        <w:t>CONTAINED IN</w:t>
      </w:r>
    </w:p>
    <w:p w:rsidR="00ED60D0" w:rsidP="00E22A0C" w:rsidRDefault="00ED60D0" w14:paraId="440DA9EC" w14:textId="77777777">
      <w:pPr>
        <w:jc w:val="center"/>
      </w:pPr>
      <w:r>
        <w:t>10 CFR PART 55</w:t>
      </w:r>
    </w:p>
    <w:p w:rsidR="00ED60D0" w:rsidP="00E22A0C" w:rsidRDefault="00ED60D0" w14:paraId="5B3C935B" w14:textId="77777777">
      <w:pPr>
        <w:jc w:val="center"/>
      </w:pPr>
      <w:r>
        <w:t>OPERATORS’ LICENSES</w:t>
      </w:r>
    </w:p>
    <w:p w:rsidR="00ED60D0" w:rsidP="00E22A0C" w:rsidRDefault="00ED60D0" w14:paraId="3DEDF4FB" w14:textId="77777777">
      <w:pPr>
        <w:jc w:val="center"/>
      </w:pPr>
      <w:r>
        <w:t>3150-0018</w:t>
      </w:r>
    </w:p>
    <w:p w:rsidR="00ED60D0" w:rsidRDefault="00ED60D0" w14:paraId="6CDC22BD" w14:textId="77777777"/>
    <w:p w:rsidR="00AE6D3C" w:rsidRDefault="00AE6D3C" w14:paraId="542D9988" w14:textId="77777777">
      <w:r>
        <w:t>The following CFR references specify the type of information that is collected under this OPM clearance.</w:t>
      </w:r>
    </w:p>
    <w:p w:rsidR="00AE6D3C" w:rsidRDefault="00AE6D3C" w14:paraId="7467CD65" w14:textId="77777777"/>
    <w:p w:rsidR="00ED60D0" w:rsidP="00ED60D0" w:rsidRDefault="00ED60D0" w14:paraId="4D3F9779" w14:textId="77777777">
      <w:pPr>
        <w:pStyle w:val="BodyText"/>
        <w:spacing w:line="252" w:lineRule="exact"/>
      </w:pPr>
      <w:r>
        <w:t>§55.11:  Application for exemption from the requirements of the regulations in</w:t>
      </w:r>
    </w:p>
    <w:p w:rsidR="00ED60D0" w:rsidP="00ED60D0" w:rsidRDefault="00ED60D0" w14:paraId="1BA2D97F" w14:textId="77777777">
      <w:pPr>
        <w:pStyle w:val="BodyText"/>
        <w:ind w:right="141"/>
      </w:pPr>
      <w:r>
        <w:t xml:space="preserve">10 CFR 55. Facility licensees are expected to comply with the regulations unless they provide </w:t>
      </w:r>
      <w:proofErr w:type="gramStart"/>
      <w:r>
        <w:t>sufficient</w:t>
      </w:r>
      <w:proofErr w:type="gramEnd"/>
      <w:r>
        <w:t xml:space="preserve"> information for the Commission to determine that a specific exemption is authorized by law, will not endanger life or property, and is otherwise in the public</w:t>
      </w:r>
      <w:r>
        <w:rPr>
          <w:spacing w:val="-6"/>
        </w:rPr>
        <w:t xml:space="preserve"> </w:t>
      </w:r>
      <w:r>
        <w:t>interest.</w:t>
      </w:r>
    </w:p>
    <w:p w:rsidR="00ED60D0" w:rsidP="00ED60D0" w:rsidRDefault="00ED60D0" w14:paraId="517E9D20" w14:textId="77777777">
      <w:pPr>
        <w:pStyle w:val="BodyText"/>
        <w:spacing w:before="10"/>
        <w:rPr>
          <w:sz w:val="21"/>
        </w:rPr>
      </w:pPr>
    </w:p>
    <w:p w:rsidR="00ED60D0" w:rsidP="00ED60D0" w:rsidRDefault="00ED60D0" w14:paraId="015EB31D" w14:textId="77777777">
      <w:pPr>
        <w:pStyle w:val="BodyText"/>
        <w:ind w:right="247"/>
      </w:pPr>
      <w:r>
        <w:t xml:space="preserve">§55.31(a) and (d): </w:t>
      </w:r>
      <w:r w:rsidR="000D23F6">
        <w:t xml:space="preserve"> </w:t>
      </w:r>
      <w:r>
        <w:t xml:space="preserve">Application that a written examination and operating test be administered and certification on NRC Form 398, "Personal Qualification Statement - Licensee," that the applicant has completed the facility licensee's requirements for licensing (currently approved under OMB Clearance No. 3150- 0090). </w:t>
      </w:r>
      <w:r w:rsidR="000D23F6">
        <w:t xml:space="preserve"> </w:t>
      </w:r>
      <w:r>
        <w:t>In practice, per NUREG-1021, power reactor facility licensees must also submit a written request for the NRC to administer the generic fundamentals examination (GFE) in advance of the formal license application.</w:t>
      </w:r>
    </w:p>
    <w:p w:rsidR="00ED60D0" w:rsidP="00ED60D0" w:rsidRDefault="00ED60D0" w14:paraId="290A14E3" w14:textId="77777777">
      <w:pPr>
        <w:pStyle w:val="BodyText"/>
        <w:spacing w:before="9"/>
        <w:rPr>
          <w:sz w:val="21"/>
        </w:rPr>
      </w:pPr>
    </w:p>
    <w:p w:rsidR="00ED60D0" w:rsidP="00ED60D0" w:rsidRDefault="00ED60D0" w14:paraId="02D00889" w14:textId="77777777">
      <w:pPr>
        <w:pStyle w:val="BodyText"/>
        <w:ind w:right="132"/>
      </w:pPr>
      <w:r>
        <w:t>§55.31(b):  Additional information as necessary for the NRC to determine whether to grant or deny the license application or revoke, modify or suspend the license.</w:t>
      </w:r>
    </w:p>
    <w:p w:rsidR="00ED60D0" w:rsidP="00ED60D0" w:rsidRDefault="00ED60D0" w14:paraId="01E41400" w14:textId="77777777">
      <w:pPr>
        <w:pStyle w:val="BodyText"/>
        <w:spacing w:before="9"/>
        <w:rPr>
          <w:sz w:val="21"/>
        </w:rPr>
      </w:pPr>
    </w:p>
    <w:p w:rsidR="00ED60D0" w:rsidP="00ED60D0" w:rsidRDefault="00ED60D0" w14:paraId="25E003E1" w14:textId="77777777">
      <w:pPr>
        <w:pStyle w:val="BodyText"/>
        <w:ind w:right="108"/>
      </w:pPr>
      <w:r>
        <w:t xml:space="preserve">§55.40(a) and (d): </w:t>
      </w:r>
      <w:r w:rsidR="000D23F6">
        <w:t xml:space="preserve"> </w:t>
      </w:r>
      <w:r>
        <w:t xml:space="preserve">Information regarding exam content for operators. </w:t>
      </w:r>
      <w:r w:rsidR="000D23F6">
        <w:t xml:space="preserve"> </w:t>
      </w:r>
      <w:r>
        <w:t>This information is needed for the NRC to prepare the site-specific written and operating tests that applicants must pass in order to obtain an operator’s license.</w:t>
      </w:r>
    </w:p>
    <w:p w:rsidR="00ED60D0" w:rsidP="00ED60D0" w:rsidRDefault="00ED60D0" w14:paraId="1E01A697" w14:textId="77777777">
      <w:pPr>
        <w:pStyle w:val="BodyText"/>
        <w:spacing w:before="9"/>
        <w:rPr>
          <w:sz w:val="21"/>
        </w:rPr>
      </w:pPr>
    </w:p>
    <w:p w:rsidR="00ED60D0" w:rsidP="00ED60D0" w:rsidRDefault="00ED60D0" w14:paraId="4060ACDC" w14:textId="77777777">
      <w:pPr>
        <w:pStyle w:val="BodyText"/>
        <w:ind w:right="111"/>
      </w:pPr>
      <w:r>
        <w:t xml:space="preserve">§55.40(b) (1) and (3): </w:t>
      </w:r>
      <w:r w:rsidR="000D23F6">
        <w:t xml:space="preserve"> </w:t>
      </w:r>
      <w:r>
        <w:t xml:space="preserve">The written examinations required by §55.41 and §55.43 and the operating tests required by §55.45. </w:t>
      </w:r>
      <w:r w:rsidR="000D23F6">
        <w:t xml:space="preserve"> </w:t>
      </w:r>
      <w:r>
        <w:t>In lieu of submitting information from which the NRC will prepare the licensing examinations, power reactor facility licensees may prepare the examinations themselves and submit them to the NRC for review and approval.</w:t>
      </w:r>
    </w:p>
    <w:p w:rsidR="00ED60D0" w:rsidP="00ED60D0" w:rsidRDefault="00ED60D0" w14:paraId="57D44661" w14:textId="77777777">
      <w:pPr>
        <w:pStyle w:val="BodyText"/>
        <w:spacing w:before="9"/>
        <w:rPr>
          <w:sz w:val="21"/>
        </w:rPr>
      </w:pPr>
    </w:p>
    <w:p w:rsidR="00ED60D0" w:rsidP="00ED60D0" w:rsidRDefault="00ED60D0" w14:paraId="059CE04B" w14:textId="77777777">
      <w:pPr>
        <w:pStyle w:val="BodyText"/>
        <w:ind w:right="292"/>
      </w:pPr>
      <w:r>
        <w:t xml:space="preserve">§55.40(c): </w:t>
      </w:r>
      <w:r w:rsidR="000D23F6">
        <w:t xml:space="preserve"> </w:t>
      </w:r>
      <w:r>
        <w:t xml:space="preserve">Written request for the NRC to prepare, proctor, and grade the required licensing examinations. </w:t>
      </w:r>
      <w:r w:rsidR="000D23F6">
        <w:t xml:space="preserve"> </w:t>
      </w:r>
      <w:r>
        <w:t xml:space="preserve">Preparing a site-specific power reactor licensing examination requires significantly more resources than reviewing and approving a facility-prepared examination; therefore, a written request provides the basis to budget and schedule the resources. </w:t>
      </w:r>
      <w:r w:rsidR="000D23F6">
        <w:t xml:space="preserve"> </w:t>
      </w:r>
      <w:r>
        <w:t>NRC Form 536 (currently approved under OMB Clearance No. 3150-0131) can be used for this purpose.</w:t>
      </w:r>
    </w:p>
    <w:p w:rsidR="00ED60D0" w:rsidP="00ED60D0" w:rsidRDefault="00ED60D0" w14:paraId="6E5543AF" w14:textId="77777777">
      <w:pPr>
        <w:pStyle w:val="BodyText"/>
        <w:spacing w:before="9"/>
        <w:rPr>
          <w:sz w:val="21"/>
        </w:rPr>
      </w:pPr>
    </w:p>
    <w:p w:rsidR="00ED60D0" w:rsidP="00ED60D0" w:rsidRDefault="00ED60D0" w14:paraId="58127161" w14:textId="77777777">
      <w:pPr>
        <w:pStyle w:val="BodyText"/>
        <w:ind w:right="182"/>
      </w:pPr>
      <w:r>
        <w:t xml:space="preserve">§55.46(b): </w:t>
      </w:r>
      <w:r w:rsidR="000D23F6">
        <w:t xml:space="preserve"> </w:t>
      </w:r>
      <w:r>
        <w:t xml:space="preserve">Power reactor facility licensees that propose to use a simulation facility, other than a plant-referenced simulator, or the plant in the administration of operating tests under §55.45(b) (1) or (3) shall request approval from the Commission. </w:t>
      </w:r>
      <w:r w:rsidR="000D23F6">
        <w:t xml:space="preserve"> </w:t>
      </w:r>
      <w:r>
        <w:t>This is necessary to ensure the consistency and validity of the operating tests upon which licensing decisions are based.</w:t>
      </w:r>
    </w:p>
    <w:p w:rsidR="00ED60D0" w:rsidP="00ED60D0" w:rsidRDefault="00ED60D0" w14:paraId="56948A27" w14:textId="77777777">
      <w:pPr>
        <w:pStyle w:val="BodyText"/>
        <w:spacing w:before="9"/>
        <w:rPr>
          <w:sz w:val="21"/>
        </w:rPr>
      </w:pPr>
    </w:p>
    <w:p w:rsidR="00ED60D0" w:rsidP="00ED60D0" w:rsidRDefault="00ED60D0" w14:paraId="1B84D3EF" w14:textId="77777777">
      <w:pPr>
        <w:pStyle w:val="BodyText"/>
        <w:ind w:right="108"/>
      </w:pPr>
      <w:r>
        <w:t>§55.59(a)(2)(iii):</w:t>
      </w:r>
      <w:r w:rsidR="000D23F6">
        <w:t xml:space="preserve"> </w:t>
      </w:r>
      <w:r>
        <w:t xml:space="preserve"> In lieu of the Commission accepting a certification by the facility licensee that the licensee has passed written examinations and operating tests administered by the facility licensee within its Commission-approved program developed by using a systems approach to training under paragraph (c) of this section, the Commission may administer a comprehensive requalification written examination and an annual operating test.</w:t>
      </w:r>
    </w:p>
    <w:p w:rsidR="00ED60D0" w:rsidP="00ED60D0" w:rsidRDefault="00ED60D0" w14:paraId="51C34287" w14:textId="77777777">
      <w:pPr>
        <w:pStyle w:val="BodyText"/>
        <w:rPr>
          <w:sz w:val="24"/>
        </w:rPr>
      </w:pPr>
    </w:p>
    <w:p w:rsidR="00ED60D0" w:rsidP="00ED60D0" w:rsidRDefault="00ED60D0" w14:paraId="4ADC128E" w14:textId="77777777">
      <w:pPr>
        <w:pStyle w:val="BodyText"/>
        <w:ind w:right="108"/>
      </w:pPr>
      <w:r>
        <w:t xml:space="preserve">§55.59(c): </w:t>
      </w:r>
      <w:r w:rsidR="000D23F6">
        <w:t xml:space="preserve"> </w:t>
      </w:r>
      <w:r>
        <w:t xml:space="preserve">Have a requalification program and, upon request, submit to the Commission a copy of comprehensive requalification written examinations or annual operating tests. </w:t>
      </w:r>
      <w:r w:rsidR="000D23F6">
        <w:t xml:space="preserve"> </w:t>
      </w:r>
      <w:r>
        <w:t>This improves efficiency by enabling the NRC staff to review these materials before traveling to the site for a licensed operator requalification program inspection.</w:t>
      </w:r>
    </w:p>
    <w:p w:rsidR="00AE6D3C" w:rsidP="00ED60D0" w:rsidRDefault="00AE6D3C" w14:paraId="77C09F6F" w14:textId="77777777">
      <w:pPr>
        <w:pStyle w:val="BodyText"/>
        <w:ind w:right="108"/>
      </w:pPr>
    </w:p>
    <w:p w:rsidR="00ED60D0" w:rsidP="00AE6D3C" w:rsidRDefault="00ED60D0" w14:paraId="33B15AF6" w14:textId="77777777">
      <w:pPr>
        <w:pStyle w:val="BodyText"/>
        <w:tabs>
          <w:tab w:val="left" w:pos="1559"/>
        </w:tabs>
        <w:spacing w:before="25"/>
      </w:pPr>
      <w:r>
        <w:t>Facility licensees are required to maintain the following</w:t>
      </w:r>
      <w:r>
        <w:rPr>
          <w:spacing w:val="-14"/>
        </w:rPr>
        <w:t xml:space="preserve"> </w:t>
      </w:r>
      <w:r>
        <w:t>documentation:</w:t>
      </w:r>
    </w:p>
    <w:p w:rsidR="00ED60D0" w:rsidP="00ED60D0" w:rsidRDefault="00ED60D0" w14:paraId="35FB701A" w14:textId="77777777">
      <w:pPr>
        <w:pStyle w:val="BodyText"/>
        <w:spacing w:before="9"/>
        <w:rPr>
          <w:sz w:val="21"/>
        </w:rPr>
      </w:pPr>
    </w:p>
    <w:p w:rsidR="00ED60D0" w:rsidP="00AE6D3C" w:rsidRDefault="00ED60D0" w14:paraId="0A085C08" w14:textId="77777777">
      <w:pPr>
        <w:pStyle w:val="BodyText"/>
        <w:ind w:right="943"/>
      </w:pPr>
      <w:r>
        <w:t>§55.40(b)(2):</w:t>
      </w:r>
      <w:r w:rsidR="000D23F6">
        <w:t xml:space="preserve"> </w:t>
      </w:r>
      <w:r>
        <w:t xml:space="preserve"> Establish, implement and maintain procedures to control examination security and integrity and have them available during facility inspections.</w:t>
      </w:r>
    </w:p>
    <w:p w:rsidR="00ED60D0" w:rsidP="00ED60D0" w:rsidRDefault="00ED60D0" w14:paraId="7DBF566D" w14:textId="77777777">
      <w:pPr>
        <w:pStyle w:val="BodyText"/>
        <w:spacing w:before="9"/>
        <w:rPr>
          <w:sz w:val="21"/>
        </w:rPr>
      </w:pPr>
    </w:p>
    <w:p w:rsidR="00ED60D0" w:rsidP="00AE6D3C" w:rsidRDefault="00ED60D0" w14:paraId="3063844B" w14:textId="77777777">
      <w:pPr>
        <w:pStyle w:val="BodyText"/>
        <w:ind w:right="140"/>
      </w:pPr>
      <w:r>
        <w:t>§55.46(d)(1):</w:t>
      </w:r>
      <w:r w:rsidR="000D23F6">
        <w:t xml:space="preserve"> </w:t>
      </w:r>
      <w:r>
        <w:t xml:space="preserve"> The results of the simulation facility performance tests are required to be retained for four years after completing the tests or until superseded by updated test results. The NRC staff will review uncorrected performance deficiencies to ensure that the operating tests administered per §55.45(b) are valid.</w:t>
      </w:r>
    </w:p>
    <w:p w:rsidR="00ED60D0" w:rsidP="00ED60D0" w:rsidRDefault="00ED60D0" w14:paraId="74D6EBE9" w14:textId="77777777">
      <w:pPr>
        <w:pStyle w:val="BodyText"/>
        <w:spacing w:before="9"/>
        <w:rPr>
          <w:sz w:val="21"/>
        </w:rPr>
      </w:pPr>
    </w:p>
    <w:p w:rsidR="00ED60D0" w:rsidP="00AE6D3C" w:rsidRDefault="00ED60D0" w14:paraId="74255276" w14:textId="77777777">
      <w:pPr>
        <w:pStyle w:val="BodyText"/>
        <w:ind w:right="111"/>
      </w:pPr>
      <w:r>
        <w:t xml:space="preserve">§55.53(f):  Certification that the qualifications and status of a licensee who has not been actively performing the functions of an operator are current and valid. </w:t>
      </w:r>
      <w:r w:rsidR="000D23F6">
        <w:t xml:space="preserve"> </w:t>
      </w:r>
      <w:r>
        <w:t xml:space="preserve">This certification, which, in practice, is not submitted to the NRC but subject to inspection on-site, ensures that licensed operators who have not maintained their watch-standing proficiency are fully qualified before they </w:t>
      </w:r>
      <w:proofErr w:type="gramStart"/>
      <w:r>
        <w:t>are allowed to</w:t>
      </w:r>
      <w:proofErr w:type="gramEnd"/>
      <w:r>
        <w:t xml:space="preserve"> resume licensed duties.</w:t>
      </w:r>
    </w:p>
    <w:p w:rsidR="00ED60D0" w:rsidP="00ED60D0" w:rsidRDefault="00ED60D0" w14:paraId="56D96CC8" w14:textId="77777777">
      <w:pPr>
        <w:pStyle w:val="BodyText"/>
        <w:spacing w:before="9"/>
        <w:rPr>
          <w:sz w:val="21"/>
        </w:rPr>
      </w:pPr>
    </w:p>
    <w:p w:rsidR="00ED60D0" w:rsidP="00AE6D3C" w:rsidRDefault="00ED60D0" w14:paraId="6E2F0E7E" w14:textId="77777777">
      <w:pPr>
        <w:pStyle w:val="BodyText"/>
      </w:pPr>
      <w:r>
        <w:t>§55.59(b):</w:t>
      </w:r>
      <w:r w:rsidR="000D23F6">
        <w:t xml:space="preserve"> </w:t>
      </w:r>
      <w:r>
        <w:t xml:space="preserve"> Evidence of successful completion of additional training, if necessary.</w:t>
      </w:r>
      <w:r w:rsidR="000D23F6">
        <w:t xml:space="preserve"> </w:t>
      </w:r>
      <w:r>
        <w:t xml:space="preserve"> Licensed operators are required to complete a requalification training and examination program to maintain the knowledge, skills, and abilities needed to safely perform licensed duti</w:t>
      </w:r>
      <w:r w:rsidR="00AE6D3C">
        <w:t xml:space="preserve">es.  </w:t>
      </w:r>
      <w:r w:rsidR="002E1650">
        <w:t xml:space="preserve">This is </w:t>
      </w:r>
      <w:r w:rsidR="00BD1BFA">
        <w:t>i</w:t>
      </w:r>
      <w:r w:rsidR="00AE6D3C">
        <w:t>ncluded with 55.59(c)(5)(</w:t>
      </w:r>
      <w:proofErr w:type="spellStart"/>
      <w:r w:rsidR="00AE6D3C">
        <w:t>i</w:t>
      </w:r>
      <w:proofErr w:type="spellEnd"/>
      <w:r>
        <w:t>) reporting.</w:t>
      </w:r>
    </w:p>
    <w:p w:rsidR="00ED60D0" w:rsidP="00ED60D0" w:rsidRDefault="00ED60D0" w14:paraId="1E4BEFD0" w14:textId="77777777">
      <w:pPr>
        <w:pStyle w:val="BodyText"/>
        <w:spacing w:before="9"/>
        <w:rPr>
          <w:sz w:val="21"/>
        </w:rPr>
      </w:pPr>
    </w:p>
    <w:p w:rsidR="00ED60D0" w:rsidP="00AE6D3C" w:rsidRDefault="00AE6D3C" w14:paraId="623BB1BD" w14:textId="77777777">
      <w:pPr>
        <w:pStyle w:val="BodyText"/>
        <w:ind w:right="140"/>
      </w:pPr>
      <w:r>
        <w:t>§55.59(c)(5)(</w:t>
      </w:r>
      <w:proofErr w:type="spellStart"/>
      <w:r>
        <w:t>i</w:t>
      </w:r>
      <w:proofErr w:type="spellEnd"/>
      <w:r w:rsidR="00ED60D0">
        <w:t>):</w:t>
      </w:r>
      <w:r w:rsidR="000D23F6">
        <w:t xml:space="preserve"> </w:t>
      </w:r>
      <w:r w:rsidR="00ED60D0">
        <w:t xml:space="preserve"> Maintain records of operator participation in the requalification program until the operator’s license is renewed.</w:t>
      </w:r>
      <w:r w:rsidR="000D23F6">
        <w:t xml:space="preserve"> </w:t>
      </w:r>
      <w:r w:rsidR="00ED60D0">
        <w:t xml:space="preserve"> This enables the facility licensee to</w:t>
      </w:r>
      <w:r w:rsidR="00BD1BFA">
        <w:t xml:space="preserve"> certify, pursuant to §55.57(a)</w:t>
      </w:r>
      <w:r w:rsidR="00ED60D0">
        <w:t>(4), that a license renewal applicant has satisfactorily completed the requalification program during the 6-year term of the license.</w:t>
      </w:r>
    </w:p>
    <w:p w:rsidR="00ED60D0" w:rsidRDefault="00ED60D0" w14:paraId="271E7BD3" w14:textId="77777777"/>
    <w:p w:rsidR="00ED60D0" w:rsidP="00ED60D0" w:rsidRDefault="00ED60D0" w14:paraId="57811129" w14:textId="77777777">
      <w:r>
        <w:br w:type="page"/>
      </w:r>
    </w:p>
    <w:p w:rsidR="00ED60D0" w:rsidRDefault="00ED60D0" w14:paraId="0D7C44FD" w14:textId="77777777"/>
    <w:p w:rsidR="00ED60D0" w:rsidP="00E22A0C" w:rsidRDefault="00A72FF8" w14:paraId="736F5162" w14:textId="77777777">
      <w:pPr>
        <w:jc w:val="center"/>
      </w:pPr>
      <w:r>
        <w:t>GUIDANCE DOCUMENTS FOR INFORMATION COLLECTION REQUIREMENTS</w:t>
      </w:r>
    </w:p>
    <w:p w:rsidR="00A72FF8" w:rsidP="00E22A0C" w:rsidRDefault="00A72FF8" w14:paraId="109214A4" w14:textId="77777777">
      <w:pPr>
        <w:jc w:val="center"/>
      </w:pPr>
      <w:r>
        <w:t>CONTAINED IN</w:t>
      </w:r>
    </w:p>
    <w:p w:rsidR="00A72FF8" w:rsidP="00E22A0C" w:rsidRDefault="00A72FF8" w14:paraId="4F2E8AC1" w14:textId="77777777">
      <w:pPr>
        <w:jc w:val="center"/>
      </w:pPr>
      <w:r>
        <w:t>10 CFR PART 55</w:t>
      </w:r>
    </w:p>
    <w:p w:rsidR="00A72FF8" w:rsidP="00E22A0C" w:rsidRDefault="00A72FF8" w14:paraId="478DEA46" w14:textId="77777777">
      <w:pPr>
        <w:jc w:val="center"/>
      </w:pPr>
      <w:r>
        <w:t>REQUIREMENTS FOR RENEWAL OF OPERATORS’ LICENSES</w:t>
      </w:r>
    </w:p>
    <w:p w:rsidR="00A72FF8" w:rsidP="00E22A0C" w:rsidRDefault="00A72FF8" w14:paraId="2A61694E" w14:textId="77777777">
      <w:pPr>
        <w:jc w:val="center"/>
      </w:pPr>
      <w:r>
        <w:t>3150-0018</w:t>
      </w:r>
    </w:p>
    <w:p w:rsidR="00A72FF8" w:rsidP="00E22A0C" w:rsidRDefault="00A72FF8" w14:paraId="7611A20F" w14:textId="77777777">
      <w:pPr>
        <w:jc w:val="center"/>
      </w:pPr>
    </w:p>
    <w:p w:rsidR="00507C70" w:rsidP="00E22A0C" w:rsidRDefault="00507C70" w14:paraId="1D8319A7" w14:textId="77777777">
      <w:pPr>
        <w:jc w:val="center"/>
      </w:pPr>
    </w:p>
    <w:tbl>
      <w:tblPr>
        <w:tblStyle w:val="TableGrid"/>
        <w:tblW w:w="0" w:type="auto"/>
        <w:tblLook w:val="04A0" w:firstRow="1" w:lastRow="0" w:firstColumn="1" w:lastColumn="0" w:noHBand="0" w:noVBand="1"/>
      </w:tblPr>
      <w:tblGrid>
        <w:gridCol w:w="4745"/>
        <w:gridCol w:w="4745"/>
      </w:tblGrid>
      <w:tr w:rsidR="00507C70" w:rsidTr="00507C70" w14:paraId="3CB29DC1" w14:textId="77777777">
        <w:tc>
          <w:tcPr>
            <w:tcW w:w="4745" w:type="dxa"/>
          </w:tcPr>
          <w:p w:rsidR="00507C70" w:rsidP="00A72FF8" w:rsidRDefault="00507C70" w14:paraId="497BED6A" w14:textId="77777777">
            <w:pPr>
              <w:jc w:val="center"/>
            </w:pPr>
            <w:r>
              <w:t>Title</w:t>
            </w:r>
          </w:p>
        </w:tc>
        <w:tc>
          <w:tcPr>
            <w:tcW w:w="4745" w:type="dxa"/>
          </w:tcPr>
          <w:p w:rsidR="00507C70" w:rsidP="00A72FF8" w:rsidRDefault="00507C70" w14:paraId="324FDBDE" w14:textId="77777777">
            <w:pPr>
              <w:jc w:val="center"/>
            </w:pPr>
            <w:r>
              <w:t>Accession number</w:t>
            </w:r>
          </w:p>
        </w:tc>
      </w:tr>
      <w:tr w:rsidR="00507C70" w:rsidTr="00507C70" w14:paraId="42A17C76" w14:textId="77777777">
        <w:tc>
          <w:tcPr>
            <w:tcW w:w="4745" w:type="dxa"/>
          </w:tcPr>
          <w:p w:rsidR="00507C70" w:rsidP="00E22A0C" w:rsidRDefault="00507C70" w14:paraId="2B5AC13E" w14:textId="77777777">
            <w:r>
              <w:t>Regulatory Guide 1.134 - Medical Evaluation of Licensed Personnel at Nuclear Power Plants (Revision 4), September 2014</w:t>
            </w:r>
          </w:p>
        </w:tc>
        <w:tc>
          <w:tcPr>
            <w:tcW w:w="4745" w:type="dxa"/>
          </w:tcPr>
          <w:p w:rsidR="00507C70" w:rsidP="00E22A0C" w:rsidRDefault="000C7624" w14:paraId="53B42FFA" w14:textId="77777777">
            <w:r>
              <w:t>ML14189A385</w:t>
            </w:r>
          </w:p>
        </w:tc>
      </w:tr>
      <w:tr w:rsidR="00507C70" w:rsidTr="00507C70" w14:paraId="0D26E905" w14:textId="77777777">
        <w:tc>
          <w:tcPr>
            <w:tcW w:w="4745" w:type="dxa"/>
          </w:tcPr>
          <w:p w:rsidR="00507C70" w:rsidP="00507C70" w:rsidRDefault="00507C70" w14:paraId="48309142" w14:textId="77777777">
            <w:r>
              <w:t xml:space="preserve">Regulatory Guide 1.149 </w:t>
            </w:r>
            <w:r w:rsidR="000C7624">
              <w:t>–</w:t>
            </w:r>
            <w:r>
              <w:t xml:space="preserve"> Nuclear Power Plant Simulation Facilities for Use in Operator Training and License Examinations (Revision 4), April 2011</w:t>
            </w:r>
          </w:p>
        </w:tc>
        <w:tc>
          <w:tcPr>
            <w:tcW w:w="4745" w:type="dxa"/>
          </w:tcPr>
          <w:p w:rsidR="00507C70" w:rsidP="00E22A0C" w:rsidRDefault="000C7624" w14:paraId="0A417B61" w14:textId="77777777">
            <w:r>
              <w:t>ML110420119</w:t>
            </w:r>
          </w:p>
        </w:tc>
      </w:tr>
      <w:tr w:rsidR="00507C70" w:rsidTr="00507C70" w14:paraId="653086DF" w14:textId="77777777">
        <w:tc>
          <w:tcPr>
            <w:tcW w:w="4745" w:type="dxa"/>
          </w:tcPr>
          <w:p w:rsidR="00507C70" w:rsidP="00507C70" w:rsidRDefault="009160A0" w14:paraId="28C621CF" w14:textId="77777777">
            <w:r>
              <w:t>Regulatory Guide 1.8 - Qualification and Training of Personnel for Nuclear Power Plants (Revision 3), May 2000</w:t>
            </w:r>
          </w:p>
        </w:tc>
        <w:tc>
          <w:tcPr>
            <w:tcW w:w="4745" w:type="dxa"/>
          </w:tcPr>
          <w:p w:rsidR="00507C70" w:rsidP="00DC5A69" w:rsidRDefault="00CA27AE" w14:paraId="540BD67E" w14:textId="77777777">
            <w:r>
              <w:t>ML003706932</w:t>
            </w:r>
          </w:p>
        </w:tc>
      </w:tr>
      <w:tr w:rsidR="009160A0" w:rsidTr="00507C70" w14:paraId="0F4CB78F" w14:textId="77777777">
        <w:tc>
          <w:tcPr>
            <w:tcW w:w="4745" w:type="dxa"/>
          </w:tcPr>
          <w:p w:rsidR="009160A0" w:rsidP="003E6A3E" w:rsidRDefault="009160A0" w14:paraId="11B316D2" w14:textId="77777777">
            <w:r>
              <w:t>NUREG-1021 - Operator Licensing Examination Standards for Power</w:t>
            </w:r>
            <w:r>
              <w:rPr>
                <w:spacing w:val="-14"/>
              </w:rPr>
              <w:t xml:space="preserve"> </w:t>
            </w:r>
            <w:r>
              <w:t>Reactors (Revision 1</w:t>
            </w:r>
            <w:r w:rsidR="003E6A3E">
              <w:t>1</w:t>
            </w:r>
            <w:r>
              <w:t xml:space="preserve">), </w:t>
            </w:r>
            <w:r w:rsidR="003E6A3E">
              <w:t>February</w:t>
            </w:r>
            <w:r>
              <w:rPr>
                <w:spacing w:val="-6"/>
              </w:rPr>
              <w:t xml:space="preserve"> </w:t>
            </w:r>
            <w:r>
              <w:t>201</w:t>
            </w:r>
            <w:r w:rsidR="003E6A3E">
              <w:t>7</w:t>
            </w:r>
          </w:p>
        </w:tc>
        <w:tc>
          <w:tcPr>
            <w:tcW w:w="4745" w:type="dxa"/>
          </w:tcPr>
          <w:p w:rsidR="009160A0" w:rsidP="00E22A0C" w:rsidRDefault="003E6A3E" w14:paraId="1E7F28CB" w14:textId="77777777">
            <w:r>
              <w:t>ML17038A432</w:t>
            </w:r>
          </w:p>
        </w:tc>
      </w:tr>
      <w:tr w:rsidR="009160A0" w:rsidTr="00507C70" w14:paraId="544853EA" w14:textId="77777777">
        <w:tc>
          <w:tcPr>
            <w:tcW w:w="4745" w:type="dxa"/>
          </w:tcPr>
          <w:p w:rsidR="009160A0" w:rsidP="00507C70" w:rsidRDefault="009160A0" w14:paraId="0D2AAB30" w14:textId="77777777">
            <w:r>
              <w:t>NUREG-1478 – Operator Licensing Examiner Standards for Research</w:t>
            </w:r>
            <w:r>
              <w:rPr>
                <w:spacing w:val="-14"/>
              </w:rPr>
              <w:t xml:space="preserve"> </w:t>
            </w:r>
            <w:r>
              <w:t>and Test Reactors (Rev.2), June</w:t>
            </w:r>
            <w:r>
              <w:rPr>
                <w:spacing w:val="-6"/>
              </w:rPr>
              <w:t xml:space="preserve"> </w:t>
            </w:r>
            <w:r>
              <w:t>2007</w:t>
            </w:r>
          </w:p>
        </w:tc>
        <w:tc>
          <w:tcPr>
            <w:tcW w:w="4745" w:type="dxa"/>
          </w:tcPr>
          <w:p w:rsidR="009160A0" w:rsidP="00E22A0C" w:rsidRDefault="00100DDA" w14:paraId="38F619CB" w14:textId="77777777">
            <w:r>
              <w:rPr>
                <w:rStyle w:val="outputtext"/>
              </w:rPr>
              <w:t>ML072000059</w:t>
            </w:r>
          </w:p>
        </w:tc>
      </w:tr>
    </w:tbl>
    <w:p w:rsidR="00507C70" w:rsidP="00E22A0C" w:rsidRDefault="00507C70" w14:paraId="75C829AC" w14:textId="77777777">
      <w:pPr>
        <w:jc w:val="center"/>
        <w:sectPr w:rsidR="00507C70" w:rsidSect="00275D81">
          <w:headerReference w:type="even" r:id="rId12"/>
          <w:headerReference w:type="default" r:id="rId13"/>
          <w:pgSz w:w="12240" w:h="15840"/>
          <w:pgMar w:top="1440" w:right="1440" w:bottom="1440" w:left="1440" w:header="720" w:footer="720" w:gutter="0"/>
          <w:cols w:space="720"/>
          <w:docGrid w:linePitch="299"/>
        </w:sectPr>
      </w:pPr>
    </w:p>
    <w:p w:rsidR="00972E75" w:rsidRDefault="00EE77F3" w14:paraId="1AF39A61" w14:textId="77777777">
      <w:pPr>
        <w:pStyle w:val="BodyText"/>
        <w:spacing w:before="93"/>
        <w:ind w:left="2438"/>
      </w:pPr>
      <w:r>
        <w:lastRenderedPageBreak/>
        <w:t>TABLE 1: ANNUAL INDUSTRY REPORTING REQUIREMENTS</w:t>
      </w:r>
    </w:p>
    <w:tbl>
      <w:tblPr>
        <w:tblW w:w="13130" w:type="dxa"/>
        <w:tblInd w:w="1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610"/>
        <w:gridCol w:w="2430"/>
        <w:gridCol w:w="2070"/>
        <w:gridCol w:w="1350"/>
        <w:gridCol w:w="1350"/>
        <w:gridCol w:w="1328"/>
        <w:gridCol w:w="1282"/>
        <w:gridCol w:w="1710"/>
      </w:tblGrid>
      <w:tr w:rsidR="00972E75" w:rsidTr="007B6F25" w14:paraId="3E7AE927" w14:textId="77777777">
        <w:trPr>
          <w:trHeight w:val="837" w:hRule="exact"/>
          <w:tblHeader/>
        </w:trPr>
        <w:tc>
          <w:tcPr>
            <w:tcW w:w="1610" w:type="dxa"/>
          </w:tcPr>
          <w:p w:rsidR="00972E75" w:rsidRDefault="00EE77F3" w14:paraId="0E764E7D" w14:textId="77777777">
            <w:pPr>
              <w:pStyle w:val="TableParagraph"/>
              <w:rPr>
                <w:sz w:val="20"/>
              </w:rPr>
            </w:pPr>
            <w:r>
              <w:rPr>
                <w:sz w:val="20"/>
              </w:rPr>
              <w:t>Section</w:t>
            </w:r>
          </w:p>
        </w:tc>
        <w:tc>
          <w:tcPr>
            <w:tcW w:w="2430" w:type="dxa"/>
          </w:tcPr>
          <w:p w:rsidR="00972E75" w:rsidRDefault="00EE77F3" w14:paraId="6BADBD51" w14:textId="77777777">
            <w:pPr>
              <w:pStyle w:val="TableParagraph"/>
              <w:ind w:left="94"/>
              <w:rPr>
                <w:sz w:val="20"/>
              </w:rPr>
            </w:pPr>
            <w:r>
              <w:rPr>
                <w:sz w:val="20"/>
              </w:rPr>
              <w:t>Descriptions</w:t>
            </w:r>
          </w:p>
        </w:tc>
        <w:tc>
          <w:tcPr>
            <w:tcW w:w="2070" w:type="dxa"/>
          </w:tcPr>
          <w:p w:rsidR="00972E75" w:rsidRDefault="00EE77F3" w14:paraId="0344B734" w14:textId="77777777">
            <w:pPr>
              <w:pStyle w:val="TableParagraph"/>
              <w:ind w:right="778" w:hanging="1"/>
              <w:rPr>
                <w:sz w:val="20"/>
              </w:rPr>
            </w:pPr>
            <w:r>
              <w:rPr>
                <w:sz w:val="20"/>
              </w:rPr>
              <w:t>Number of Respondents</w:t>
            </w:r>
          </w:p>
        </w:tc>
        <w:tc>
          <w:tcPr>
            <w:tcW w:w="1350" w:type="dxa"/>
          </w:tcPr>
          <w:p w:rsidR="00972E75" w:rsidRDefault="00EE77F3" w14:paraId="7E34F338" w14:textId="77777777">
            <w:pPr>
              <w:pStyle w:val="TableParagraph"/>
              <w:spacing w:before="0"/>
              <w:ind w:right="87"/>
              <w:rPr>
                <w:sz w:val="20"/>
              </w:rPr>
            </w:pPr>
            <w:r>
              <w:rPr>
                <w:sz w:val="20"/>
              </w:rPr>
              <w:t>Responses Per Respondent</w:t>
            </w:r>
          </w:p>
        </w:tc>
        <w:tc>
          <w:tcPr>
            <w:tcW w:w="1350" w:type="dxa"/>
          </w:tcPr>
          <w:p w:rsidR="00972E75" w:rsidRDefault="00EE77F3" w14:paraId="5063A76D" w14:textId="77777777">
            <w:pPr>
              <w:pStyle w:val="TableParagraph"/>
              <w:ind w:right="164"/>
              <w:rPr>
                <w:sz w:val="20"/>
              </w:rPr>
            </w:pPr>
            <w:r>
              <w:rPr>
                <w:sz w:val="20"/>
              </w:rPr>
              <w:t>Total Number of Responses</w:t>
            </w:r>
          </w:p>
        </w:tc>
        <w:tc>
          <w:tcPr>
            <w:tcW w:w="1328" w:type="dxa"/>
          </w:tcPr>
          <w:p w:rsidR="00972E75" w:rsidRDefault="00EE77F3" w14:paraId="1A1AE9BA" w14:textId="77777777">
            <w:pPr>
              <w:pStyle w:val="TableParagraph"/>
              <w:ind w:right="107"/>
              <w:rPr>
                <w:sz w:val="20"/>
              </w:rPr>
            </w:pPr>
            <w:r>
              <w:rPr>
                <w:sz w:val="20"/>
              </w:rPr>
              <w:t>Burden per Response</w:t>
            </w:r>
          </w:p>
        </w:tc>
        <w:tc>
          <w:tcPr>
            <w:tcW w:w="1282" w:type="dxa"/>
          </w:tcPr>
          <w:p w:rsidR="00972E75" w:rsidRDefault="00EE77F3" w14:paraId="158531FB" w14:textId="77777777">
            <w:pPr>
              <w:pStyle w:val="TableParagraph"/>
              <w:ind w:right="495"/>
              <w:rPr>
                <w:sz w:val="20"/>
              </w:rPr>
            </w:pPr>
            <w:r>
              <w:rPr>
                <w:sz w:val="20"/>
              </w:rPr>
              <w:t>Total Burden Hours</w:t>
            </w:r>
          </w:p>
        </w:tc>
        <w:tc>
          <w:tcPr>
            <w:tcW w:w="1710" w:type="dxa"/>
          </w:tcPr>
          <w:p w:rsidR="00972E75" w:rsidP="005F63A0" w:rsidRDefault="00EE77F3" w14:paraId="31DB2082" w14:textId="77777777">
            <w:pPr>
              <w:pStyle w:val="TableParagraph"/>
              <w:rPr>
                <w:sz w:val="20"/>
              </w:rPr>
            </w:pPr>
            <w:r>
              <w:rPr>
                <w:sz w:val="20"/>
              </w:rPr>
              <w:t>Cost at $</w:t>
            </w:r>
            <w:r w:rsidR="002D4FBA">
              <w:rPr>
                <w:sz w:val="20"/>
              </w:rPr>
              <w:t>2</w:t>
            </w:r>
            <w:r w:rsidR="005F63A0">
              <w:rPr>
                <w:sz w:val="20"/>
              </w:rPr>
              <w:t>75</w:t>
            </w:r>
            <w:r>
              <w:rPr>
                <w:sz w:val="20"/>
              </w:rPr>
              <w:t>/Hour</w:t>
            </w:r>
          </w:p>
        </w:tc>
      </w:tr>
      <w:tr w:rsidR="00972E75" w:rsidTr="007B6F25" w14:paraId="662DEA2A" w14:textId="77777777">
        <w:trPr>
          <w:trHeight w:val="403" w:hRule="exact"/>
        </w:trPr>
        <w:tc>
          <w:tcPr>
            <w:tcW w:w="1610" w:type="dxa"/>
          </w:tcPr>
          <w:p w:rsidR="00972E75" w:rsidRDefault="00EE77F3" w14:paraId="0C4F536A" w14:textId="77777777">
            <w:pPr>
              <w:pStyle w:val="TableParagraph"/>
              <w:rPr>
                <w:sz w:val="20"/>
              </w:rPr>
            </w:pPr>
            <w:r>
              <w:rPr>
                <w:sz w:val="20"/>
              </w:rPr>
              <w:t>55.11</w:t>
            </w:r>
          </w:p>
        </w:tc>
        <w:tc>
          <w:tcPr>
            <w:tcW w:w="2430" w:type="dxa"/>
          </w:tcPr>
          <w:p w:rsidR="00972E75" w:rsidRDefault="00EE77F3" w14:paraId="5A3FBF9B" w14:textId="77777777">
            <w:pPr>
              <w:pStyle w:val="TableParagraph"/>
              <w:spacing w:before="98"/>
              <w:rPr>
                <w:sz w:val="16"/>
              </w:rPr>
            </w:pPr>
            <w:r>
              <w:rPr>
                <w:sz w:val="16"/>
              </w:rPr>
              <w:t>Specific Exemptions</w:t>
            </w:r>
          </w:p>
        </w:tc>
        <w:tc>
          <w:tcPr>
            <w:tcW w:w="2070" w:type="dxa"/>
          </w:tcPr>
          <w:p w:rsidR="00972E75" w:rsidRDefault="00EE77F3" w14:paraId="5AA67CB1" w14:textId="77777777">
            <w:pPr>
              <w:pStyle w:val="TableParagraph"/>
              <w:rPr>
                <w:sz w:val="20"/>
              </w:rPr>
            </w:pPr>
            <w:r>
              <w:rPr>
                <w:sz w:val="20"/>
              </w:rPr>
              <w:t>2 Power Sites</w:t>
            </w:r>
          </w:p>
        </w:tc>
        <w:tc>
          <w:tcPr>
            <w:tcW w:w="1350" w:type="dxa"/>
          </w:tcPr>
          <w:p w:rsidR="00972E75" w:rsidRDefault="00EE77F3" w14:paraId="400A74E8" w14:textId="77777777">
            <w:pPr>
              <w:pStyle w:val="TableParagraph"/>
              <w:ind w:left="94"/>
              <w:rPr>
                <w:sz w:val="20"/>
              </w:rPr>
            </w:pPr>
            <w:r>
              <w:rPr>
                <w:sz w:val="20"/>
              </w:rPr>
              <w:t>1</w:t>
            </w:r>
          </w:p>
        </w:tc>
        <w:tc>
          <w:tcPr>
            <w:tcW w:w="1350" w:type="dxa"/>
          </w:tcPr>
          <w:p w:rsidR="00972E75" w:rsidRDefault="00EE77F3" w14:paraId="6C33C39E" w14:textId="77777777">
            <w:pPr>
              <w:pStyle w:val="TableParagraph"/>
              <w:ind w:left="94"/>
              <w:rPr>
                <w:sz w:val="20"/>
              </w:rPr>
            </w:pPr>
            <w:r>
              <w:rPr>
                <w:sz w:val="20"/>
              </w:rPr>
              <w:t>2</w:t>
            </w:r>
          </w:p>
        </w:tc>
        <w:tc>
          <w:tcPr>
            <w:tcW w:w="1328" w:type="dxa"/>
          </w:tcPr>
          <w:p w:rsidR="00972E75" w:rsidRDefault="00EE77F3" w14:paraId="18E46E5A" w14:textId="77777777">
            <w:pPr>
              <w:pStyle w:val="TableParagraph"/>
              <w:rPr>
                <w:sz w:val="20"/>
              </w:rPr>
            </w:pPr>
            <w:r>
              <w:rPr>
                <w:sz w:val="20"/>
              </w:rPr>
              <w:t>45</w:t>
            </w:r>
          </w:p>
        </w:tc>
        <w:tc>
          <w:tcPr>
            <w:tcW w:w="1282" w:type="dxa"/>
          </w:tcPr>
          <w:p w:rsidR="00972E75" w:rsidRDefault="00EE77F3" w14:paraId="0E6A202E" w14:textId="77777777">
            <w:pPr>
              <w:pStyle w:val="TableParagraph"/>
              <w:ind w:left="149"/>
              <w:rPr>
                <w:sz w:val="20"/>
              </w:rPr>
            </w:pPr>
            <w:r>
              <w:rPr>
                <w:sz w:val="20"/>
              </w:rPr>
              <w:t>90</w:t>
            </w:r>
          </w:p>
        </w:tc>
        <w:tc>
          <w:tcPr>
            <w:tcW w:w="1710" w:type="dxa"/>
          </w:tcPr>
          <w:p w:rsidR="00972E75" w:rsidP="005F63A0" w:rsidRDefault="00DC5A69" w14:paraId="18614201" w14:textId="77777777">
            <w:pPr>
              <w:pStyle w:val="TableParagraph"/>
              <w:rPr>
                <w:sz w:val="20"/>
              </w:rPr>
            </w:pPr>
            <w:r>
              <w:rPr>
                <w:sz w:val="20"/>
              </w:rPr>
              <w:t>$2</w:t>
            </w:r>
            <w:r w:rsidR="005F63A0">
              <w:rPr>
                <w:sz w:val="20"/>
              </w:rPr>
              <w:t>4</w:t>
            </w:r>
            <w:r>
              <w:rPr>
                <w:sz w:val="20"/>
              </w:rPr>
              <w:t>,7</w:t>
            </w:r>
            <w:r w:rsidR="005F63A0">
              <w:rPr>
                <w:sz w:val="20"/>
              </w:rPr>
              <w:t>5</w:t>
            </w:r>
            <w:r>
              <w:rPr>
                <w:sz w:val="20"/>
              </w:rPr>
              <w:t>0</w:t>
            </w:r>
          </w:p>
        </w:tc>
      </w:tr>
      <w:tr w:rsidR="00972E75" w:rsidTr="007B6F25" w14:paraId="4EE5DC38" w14:textId="77777777">
        <w:trPr>
          <w:trHeight w:val="403" w:hRule="exact"/>
        </w:trPr>
        <w:tc>
          <w:tcPr>
            <w:tcW w:w="1610" w:type="dxa"/>
          </w:tcPr>
          <w:p w:rsidR="00972E75" w:rsidRDefault="00EE77F3" w14:paraId="0A7D4A3E" w14:textId="77777777">
            <w:pPr>
              <w:pStyle w:val="TableParagraph"/>
              <w:rPr>
                <w:sz w:val="20"/>
              </w:rPr>
            </w:pPr>
            <w:r>
              <w:rPr>
                <w:sz w:val="20"/>
              </w:rPr>
              <w:t>55.11</w:t>
            </w:r>
          </w:p>
        </w:tc>
        <w:tc>
          <w:tcPr>
            <w:tcW w:w="2430" w:type="dxa"/>
          </w:tcPr>
          <w:p w:rsidR="00972E75" w:rsidRDefault="00EE77F3" w14:paraId="0395DF1B" w14:textId="77777777">
            <w:pPr>
              <w:pStyle w:val="TableParagraph"/>
              <w:spacing w:before="98"/>
              <w:rPr>
                <w:sz w:val="16"/>
              </w:rPr>
            </w:pPr>
            <w:r>
              <w:rPr>
                <w:sz w:val="16"/>
              </w:rPr>
              <w:t>Specific Exemptions</w:t>
            </w:r>
          </w:p>
        </w:tc>
        <w:tc>
          <w:tcPr>
            <w:tcW w:w="2070" w:type="dxa"/>
          </w:tcPr>
          <w:p w:rsidR="00972E75" w:rsidRDefault="00EE77F3" w14:paraId="279CB33A" w14:textId="77777777">
            <w:pPr>
              <w:pStyle w:val="TableParagraph"/>
              <w:rPr>
                <w:sz w:val="20"/>
              </w:rPr>
            </w:pPr>
            <w:r>
              <w:rPr>
                <w:sz w:val="20"/>
              </w:rPr>
              <w:t>1 Non-power Site</w:t>
            </w:r>
          </w:p>
        </w:tc>
        <w:tc>
          <w:tcPr>
            <w:tcW w:w="1350" w:type="dxa"/>
          </w:tcPr>
          <w:p w:rsidR="00972E75" w:rsidRDefault="00EE77F3" w14:paraId="41947630" w14:textId="77777777">
            <w:pPr>
              <w:pStyle w:val="TableParagraph"/>
              <w:ind w:left="92"/>
              <w:rPr>
                <w:sz w:val="20"/>
              </w:rPr>
            </w:pPr>
            <w:r>
              <w:rPr>
                <w:sz w:val="20"/>
              </w:rPr>
              <w:t>1</w:t>
            </w:r>
          </w:p>
        </w:tc>
        <w:tc>
          <w:tcPr>
            <w:tcW w:w="1350" w:type="dxa"/>
          </w:tcPr>
          <w:p w:rsidR="00972E75" w:rsidRDefault="00EE77F3" w14:paraId="7786D92A" w14:textId="77777777">
            <w:pPr>
              <w:pStyle w:val="TableParagraph"/>
              <w:ind w:left="92"/>
              <w:rPr>
                <w:sz w:val="20"/>
              </w:rPr>
            </w:pPr>
            <w:r>
              <w:rPr>
                <w:sz w:val="20"/>
              </w:rPr>
              <w:t>1</w:t>
            </w:r>
          </w:p>
        </w:tc>
        <w:tc>
          <w:tcPr>
            <w:tcW w:w="1328" w:type="dxa"/>
          </w:tcPr>
          <w:p w:rsidR="00972E75" w:rsidRDefault="00EE77F3" w14:paraId="0B461646" w14:textId="77777777">
            <w:pPr>
              <w:pStyle w:val="TableParagraph"/>
              <w:ind w:left="92"/>
              <w:rPr>
                <w:sz w:val="20"/>
              </w:rPr>
            </w:pPr>
            <w:r>
              <w:rPr>
                <w:sz w:val="20"/>
              </w:rPr>
              <w:t>55</w:t>
            </w:r>
          </w:p>
        </w:tc>
        <w:tc>
          <w:tcPr>
            <w:tcW w:w="1282" w:type="dxa"/>
          </w:tcPr>
          <w:p w:rsidR="00972E75" w:rsidRDefault="00EE77F3" w14:paraId="1AD13234" w14:textId="77777777">
            <w:pPr>
              <w:pStyle w:val="TableParagraph"/>
              <w:ind w:left="147"/>
              <w:rPr>
                <w:sz w:val="20"/>
              </w:rPr>
            </w:pPr>
            <w:r>
              <w:rPr>
                <w:sz w:val="20"/>
              </w:rPr>
              <w:t>55</w:t>
            </w:r>
          </w:p>
        </w:tc>
        <w:tc>
          <w:tcPr>
            <w:tcW w:w="1710" w:type="dxa"/>
          </w:tcPr>
          <w:p w:rsidR="00972E75" w:rsidP="005F63A0" w:rsidRDefault="00DC5A69" w14:paraId="667FC643" w14:textId="77777777">
            <w:pPr>
              <w:pStyle w:val="TableParagraph"/>
              <w:ind w:left="92"/>
              <w:rPr>
                <w:sz w:val="20"/>
              </w:rPr>
            </w:pPr>
            <w:r>
              <w:rPr>
                <w:sz w:val="20"/>
              </w:rPr>
              <w:t>$1</w:t>
            </w:r>
            <w:r w:rsidR="005F63A0">
              <w:rPr>
                <w:sz w:val="20"/>
              </w:rPr>
              <w:t>5</w:t>
            </w:r>
            <w:r>
              <w:rPr>
                <w:sz w:val="20"/>
              </w:rPr>
              <w:t>,</w:t>
            </w:r>
            <w:r w:rsidR="005F63A0">
              <w:rPr>
                <w:sz w:val="20"/>
              </w:rPr>
              <w:t>12</w:t>
            </w:r>
            <w:r>
              <w:rPr>
                <w:sz w:val="20"/>
              </w:rPr>
              <w:t>5</w:t>
            </w:r>
          </w:p>
        </w:tc>
      </w:tr>
      <w:tr w:rsidR="00972E75" w:rsidTr="007B6F25" w14:paraId="56A84CEA" w14:textId="77777777">
        <w:trPr>
          <w:trHeight w:val="540" w:hRule="exact"/>
        </w:trPr>
        <w:tc>
          <w:tcPr>
            <w:tcW w:w="1610" w:type="dxa"/>
          </w:tcPr>
          <w:p w:rsidR="00972E75" w:rsidRDefault="00EE77F3" w14:paraId="633E2F0D" w14:textId="77777777">
            <w:pPr>
              <w:pStyle w:val="TableParagraph"/>
              <w:rPr>
                <w:sz w:val="20"/>
              </w:rPr>
            </w:pPr>
            <w:r>
              <w:rPr>
                <w:sz w:val="20"/>
              </w:rPr>
              <w:t>55.31(b)</w:t>
            </w:r>
          </w:p>
        </w:tc>
        <w:tc>
          <w:tcPr>
            <w:tcW w:w="2430" w:type="dxa"/>
          </w:tcPr>
          <w:p w:rsidR="00972E75" w:rsidP="007B6F25" w:rsidRDefault="00EE77F3" w14:paraId="639FF657" w14:textId="77777777">
            <w:pPr>
              <w:pStyle w:val="TableParagraph"/>
              <w:spacing w:before="98"/>
              <w:ind w:right="497"/>
              <w:rPr>
                <w:sz w:val="16"/>
              </w:rPr>
            </w:pPr>
            <w:r>
              <w:rPr>
                <w:sz w:val="16"/>
              </w:rPr>
              <w:t>Applications- How to</w:t>
            </w:r>
            <w:r w:rsidR="007B6F25">
              <w:rPr>
                <w:sz w:val="16"/>
              </w:rPr>
              <w:t xml:space="preserve"> </w:t>
            </w:r>
            <w:r>
              <w:rPr>
                <w:sz w:val="16"/>
              </w:rPr>
              <w:t>Apply</w:t>
            </w:r>
          </w:p>
        </w:tc>
        <w:tc>
          <w:tcPr>
            <w:tcW w:w="2070" w:type="dxa"/>
          </w:tcPr>
          <w:p w:rsidR="00972E75" w:rsidRDefault="00EE77F3" w14:paraId="0ABA41AC" w14:textId="77777777">
            <w:pPr>
              <w:pStyle w:val="TableParagraph"/>
              <w:rPr>
                <w:sz w:val="20"/>
              </w:rPr>
            </w:pPr>
            <w:r>
              <w:rPr>
                <w:sz w:val="20"/>
              </w:rPr>
              <w:t>35 Power Sites</w:t>
            </w:r>
          </w:p>
        </w:tc>
        <w:tc>
          <w:tcPr>
            <w:tcW w:w="1350" w:type="dxa"/>
          </w:tcPr>
          <w:p w:rsidR="00972E75" w:rsidRDefault="00EE77F3" w14:paraId="267623B3" w14:textId="77777777">
            <w:pPr>
              <w:pStyle w:val="TableParagraph"/>
              <w:ind w:left="94"/>
              <w:rPr>
                <w:sz w:val="20"/>
              </w:rPr>
            </w:pPr>
            <w:r>
              <w:rPr>
                <w:sz w:val="20"/>
              </w:rPr>
              <w:t>1</w:t>
            </w:r>
          </w:p>
        </w:tc>
        <w:tc>
          <w:tcPr>
            <w:tcW w:w="1350" w:type="dxa"/>
          </w:tcPr>
          <w:p w:rsidR="00972E75" w:rsidRDefault="00EE77F3" w14:paraId="1D44570E" w14:textId="77777777">
            <w:pPr>
              <w:pStyle w:val="TableParagraph"/>
              <w:ind w:left="94"/>
              <w:rPr>
                <w:sz w:val="20"/>
              </w:rPr>
            </w:pPr>
            <w:r>
              <w:rPr>
                <w:sz w:val="20"/>
              </w:rPr>
              <w:t>35</w:t>
            </w:r>
          </w:p>
        </w:tc>
        <w:tc>
          <w:tcPr>
            <w:tcW w:w="1328" w:type="dxa"/>
          </w:tcPr>
          <w:p w:rsidR="00972E75" w:rsidRDefault="00EE77F3" w14:paraId="61CC836F" w14:textId="77777777">
            <w:pPr>
              <w:pStyle w:val="TableParagraph"/>
              <w:ind w:left="94"/>
              <w:rPr>
                <w:sz w:val="20"/>
              </w:rPr>
            </w:pPr>
            <w:r>
              <w:rPr>
                <w:sz w:val="20"/>
              </w:rPr>
              <w:t>24</w:t>
            </w:r>
          </w:p>
        </w:tc>
        <w:tc>
          <w:tcPr>
            <w:tcW w:w="1282" w:type="dxa"/>
          </w:tcPr>
          <w:p w:rsidR="00972E75" w:rsidRDefault="00EE77F3" w14:paraId="7DDB20DF" w14:textId="77777777">
            <w:pPr>
              <w:pStyle w:val="TableParagraph"/>
              <w:ind w:left="94"/>
              <w:rPr>
                <w:sz w:val="20"/>
              </w:rPr>
            </w:pPr>
            <w:r>
              <w:rPr>
                <w:sz w:val="20"/>
              </w:rPr>
              <w:t>840</w:t>
            </w:r>
          </w:p>
        </w:tc>
        <w:tc>
          <w:tcPr>
            <w:tcW w:w="1710" w:type="dxa"/>
          </w:tcPr>
          <w:p w:rsidR="00972E75" w:rsidP="00582009" w:rsidRDefault="00DC5A69" w14:paraId="5A890C43" w14:textId="77777777">
            <w:pPr>
              <w:pStyle w:val="TableParagraph"/>
              <w:rPr>
                <w:sz w:val="20"/>
              </w:rPr>
            </w:pPr>
            <w:r>
              <w:rPr>
                <w:sz w:val="20"/>
              </w:rPr>
              <w:t>$2</w:t>
            </w:r>
            <w:r w:rsidR="00582009">
              <w:rPr>
                <w:sz w:val="20"/>
              </w:rPr>
              <w:t>31</w:t>
            </w:r>
            <w:r>
              <w:rPr>
                <w:sz w:val="20"/>
              </w:rPr>
              <w:t>,</w:t>
            </w:r>
            <w:r w:rsidR="00582009">
              <w:rPr>
                <w:sz w:val="20"/>
              </w:rPr>
              <w:t>00</w:t>
            </w:r>
            <w:r>
              <w:rPr>
                <w:sz w:val="20"/>
              </w:rPr>
              <w:t>0</w:t>
            </w:r>
          </w:p>
        </w:tc>
      </w:tr>
      <w:tr w:rsidR="006B6C2A" w:rsidTr="007B6F25" w14:paraId="56D0C3F5" w14:textId="77777777">
        <w:trPr>
          <w:trHeight w:val="540" w:hRule="exact"/>
        </w:trPr>
        <w:tc>
          <w:tcPr>
            <w:tcW w:w="1610" w:type="dxa"/>
          </w:tcPr>
          <w:p w:rsidR="006B6C2A" w:rsidRDefault="006B6C2A" w14:paraId="119BA067" w14:textId="77777777">
            <w:pPr>
              <w:pStyle w:val="TableParagraph"/>
              <w:rPr>
                <w:sz w:val="20"/>
              </w:rPr>
            </w:pPr>
            <w:r>
              <w:rPr>
                <w:sz w:val="20"/>
              </w:rPr>
              <w:t>55.31(b)</w:t>
            </w:r>
          </w:p>
        </w:tc>
        <w:tc>
          <w:tcPr>
            <w:tcW w:w="2430" w:type="dxa"/>
          </w:tcPr>
          <w:p w:rsidR="006B6C2A" w:rsidP="006B6C2A" w:rsidRDefault="006B6C2A" w14:paraId="1A653868" w14:textId="77777777">
            <w:pPr>
              <w:pStyle w:val="TableParagraph"/>
              <w:spacing w:before="98"/>
              <w:ind w:right="497"/>
              <w:rPr>
                <w:sz w:val="16"/>
              </w:rPr>
            </w:pPr>
            <w:r>
              <w:rPr>
                <w:sz w:val="16"/>
              </w:rPr>
              <w:t>Applications- How to Apply</w:t>
            </w:r>
          </w:p>
        </w:tc>
        <w:tc>
          <w:tcPr>
            <w:tcW w:w="2070" w:type="dxa"/>
          </w:tcPr>
          <w:p w:rsidR="006B6C2A" w:rsidRDefault="006B6C2A" w14:paraId="3831AEF8" w14:textId="77777777">
            <w:pPr>
              <w:pStyle w:val="TableParagraph"/>
              <w:rPr>
                <w:sz w:val="20"/>
              </w:rPr>
            </w:pPr>
            <w:r>
              <w:rPr>
                <w:sz w:val="20"/>
              </w:rPr>
              <w:t>5 Non-power Sites</w:t>
            </w:r>
          </w:p>
        </w:tc>
        <w:tc>
          <w:tcPr>
            <w:tcW w:w="1350" w:type="dxa"/>
          </w:tcPr>
          <w:p w:rsidR="006B6C2A" w:rsidRDefault="006B6C2A" w14:paraId="65123AFB" w14:textId="77777777">
            <w:pPr>
              <w:pStyle w:val="TableParagraph"/>
              <w:ind w:left="94"/>
              <w:rPr>
                <w:sz w:val="20"/>
              </w:rPr>
            </w:pPr>
            <w:r>
              <w:rPr>
                <w:sz w:val="20"/>
              </w:rPr>
              <w:t>1</w:t>
            </w:r>
          </w:p>
        </w:tc>
        <w:tc>
          <w:tcPr>
            <w:tcW w:w="1350" w:type="dxa"/>
          </w:tcPr>
          <w:p w:rsidR="006B6C2A" w:rsidRDefault="006B6C2A" w14:paraId="076D95B0" w14:textId="77777777">
            <w:pPr>
              <w:pStyle w:val="TableParagraph"/>
              <w:ind w:left="94"/>
              <w:rPr>
                <w:sz w:val="20"/>
              </w:rPr>
            </w:pPr>
            <w:r>
              <w:rPr>
                <w:sz w:val="20"/>
              </w:rPr>
              <w:t>5</w:t>
            </w:r>
          </w:p>
        </w:tc>
        <w:tc>
          <w:tcPr>
            <w:tcW w:w="1328" w:type="dxa"/>
          </w:tcPr>
          <w:p w:rsidR="006B6C2A" w:rsidRDefault="006B6C2A" w14:paraId="12144700" w14:textId="77777777">
            <w:pPr>
              <w:pStyle w:val="TableParagraph"/>
              <w:ind w:left="94"/>
              <w:rPr>
                <w:sz w:val="20"/>
              </w:rPr>
            </w:pPr>
            <w:r>
              <w:rPr>
                <w:sz w:val="20"/>
              </w:rPr>
              <w:t>24</w:t>
            </w:r>
          </w:p>
        </w:tc>
        <w:tc>
          <w:tcPr>
            <w:tcW w:w="1282" w:type="dxa"/>
          </w:tcPr>
          <w:p w:rsidR="006B6C2A" w:rsidRDefault="006B6C2A" w14:paraId="2EF4781C" w14:textId="77777777">
            <w:pPr>
              <w:pStyle w:val="TableParagraph"/>
              <w:ind w:left="94"/>
              <w:rPr>
                <w:sz w:val="20"/>
              </w:rPr>
            </w:pPr>
            <w:r>
              <w:rPr>
                <w:sz w:val="20"/>
              </w:rPr>
              <w:t>120</w:t>
            </w:r>
          </w:p>
        </w:tc>
        <w:tc>
          <w:tcPr>
            <w:tcW w:w="1710" w:type="dxa"/>
          </w:tcPr>
          <w:p w:rsidR="006B6C2A" w:rsidRDefault="006B6C2A" w14:paraId="73B08AFB" w14:textId="77777777">
            <w:pPr>
              <w:pStyle w:val="TableParagraph"/>
              <w:rPr>
                <w:sz w:val="20"/>
              </w:rPr>
            </w:pPr>
            <w:r>
              <w:rPr>
                <w:sz w:val="20"/>
              </w:rPr>
              <w:t>$31,560</w:t>
            </w:r>
          </w:p>
        </w:tc>
      </w:tr>
      <w:tr w:rsidR="00972E75" w:rsidTr="007B6F25" w14:paraId="644E1183" w14:textId="77777777">
        <w:trPr>
          <w:trHeight w:val="724" w:hRule="exact"/>
        </w:trPr>
        <w:tc>
          <w:tcPr>
            <w:tcW w:w="1610" w:type="dxa"/>
          </w:tcPr>
          <w:p w:rsidR="00972E75" w:rsidRDefault="00EE77F3" w14:paraId="21FA62C0" w14:textId="77777777">
            <w:pPr>
              <w:pStyle w:val="TableParagraph"/>
              <w:rPr>
                <w:sz w:val="20"/>
              </w:rPr>
            </w:pPr>
            <w:r>
              <w:rPr>
                <w:sz w:val="20"/>
              </w:rPr>
              <w:t>55.40(a)</w:t>
            </w:r>
          </w:p>
        </w:tc>
        <w:tc>
          <w:tcPr>
            <w:tcW w:w="2430" w:type="dxa"/>
          </w:tcPr>
          <w:p w:rsidR="00972E75" w:rsidRDefault="00EE77F3" w14:paraId="1DAB23F0" w14:textId="77777777">
            <w:pPr>
              <w:pStyle w:val="TableParagraph"/>
              <w:spacing w:before="98"/>
              <w:ind w:right="132"/>
              <w:rPr>
                <w:sz w:val="16"/>
              </w:rPr>
            </w:pPr>
            <w:r>
              <w:rPr>
                <w:sz w:val="16"/>
              </w:rPr>
              <w:t>Written Examinations and Operating Test- Implementation</w:t>
            </w:r>
          </w:p>
        </w:tc>
        <w:tc>
          <w:tcPr>
            <w:tcW w:w="2070" w:type="dxa"/>
          </w:tcPr>
          <w:p w:rsidR="00972E75" w:rsidRDefault="00EE77F3" w14:paraId="498E6CE7" w14:textId="77777777">
            <w:pPr>
              <w:pStyle w:val="TableParagraph"/>
              <w:rPr>
                <w:sz w:val="20"/>
              </w:rPr>
            </w:pPr>
            <w:r>
              <w:rPr>
                <w:sz w:val="20"/>
              </w:rPr>
              <w:t>45 Power Sites</w:t>
            </w:r>
          </w:p>
        </w:tc>
        <w:tc>
          <w:tcPr>
            <w:tcW w:w="1350" w:type="dxa"/>
          </w:tcPr>
          <w:p w:rsidR="00972E75" w:rsidRDefault="00EE77F3" w14:paraId="77F4B507" w14:textId="77777777">
            <w:pPr>
              <w:pStyle w:val="TableParagraph"/>
              <w:ind w:left="94"/>
              <w:rPr>
                <w:sz w:val="20"/>
              </w:rPr>
            </w:pPr>
            <w:r>
              <w:rPr>
                <w:sz w:val="20"/>
              </w:rPr>
              <w:t>1</w:t>
            </w:r>
          </w:p>
        </w:tc>
        <w:tc>
          <w:tcPr>
            <w:tcW w:w="1350" w:type="dxa"/>
          </w:tcPr>
          <w:p w:rsidR="00972E75" w:rsidRDefault="00EE77F3" w14:paraId="01D1C8F4" w14:textId="77777777">
            <w:pPr>
              <w:pStyle w:val="TableParagraph"/>
              <w:ind w:left="94"/>
              <w:rPr>
                <w:sz w:val="20"/>
              </w:rPr>
            </w:pPr>
            <w:r>
              <w:rPr>
                <w:sz w:val="20"/>
              </w:rPr>
              <w:t>45</w:t>
            </w:r>
          </w:p>
        </w:tc>
        <w:tc>
          <w:tcPr>
            <w:tcW w:w="1328" w:type="dxa"/>
          </w:tcPr>
          <w:p w:rsidR="00972E75" w:rsidRDefault="00EE77F3" w14:paraId="6816F269" w14:textId="77777777">
            <w:pPr>
              <w:pStyle w:val="TableParagraph"/>
              <w:ind w:left="94"/>
              <w:rPr>
                <w:sz w:val="20"/>
              </w:rPr>
            </w:pPr>
            <w:r>
              <w:rPr>
                <w:sz w:val="20"/>
              </w:rPr>
              <w:t>12</w:t>
            </w:r>
          </w:p>
        </w:tc>
        <w:tc>
          <w:tcPr>
            <w:tcW w:w="1282" w:type="dxa"/>
          </w:tcPr>
          <w:p w:rsidR="00972E75" w:rsidRDefault="00EE77F3" w14:paraId="535E81B5" w14:textId="77777777">
            <w:pPr>
              <w:pStyle w:val="TableParagraph"/>
              <w:ind w:left="94"/>
              <w:rPr>
                <w:sz w:val="20"/>
              </w:rPr>
            </w:pPr>
            <w:r>
              <w:rPr>
                <w:sz w:val="20"/>
              </w:rPr>
              <w:t>540</w:t>
            </w:r>
          </w:p>
        </w:tc>
        <w:tc>
          <w:tcPr>
            <w:tcW w:w="1710" w:type="dxa"/>
          </w:tcPr>
          <w:p w:rsidR="00972E75" w:rsidP="00582009" w:rsidRDefault="00DC5A69" w14:paraId="6BA2EC3F" w14:textId="77777777">
            <w:pPr>
              <w:pStyle w:val="TableParagraph"/>
              <w:rPr>
                <w:sz w:val="20"/>
              </w:rPr>
            </w:pPr>
            <w:r>
              <w:rPr>
                <w:sz w:val="20"/>
              </w:rPr>
              <w:t>$14</w:t>
            </w:r>
            <w:r w:rsidR="00582009">
              <w:rPr>
                <w:sz w:val="20"/>
              </w:rPr>
              <w:t>8</w:t>
            </w:r>
            <w:r>
              <w:rPr>
                <w:sz w:val="20"/>
              </w:rPr>
              <w:t>,</w:t>
            </w:r>
            <w:r w:rsidR="00582009">
              <w:rPr>
                <w:sz w:val="20"/>
              </w:rPr>
              <w:t>500</w:t>
            </w:r>
          </w:p>
        </w:tc>
      </w:tr>
      <w:tr w:rsidR="00DC5A69" w:rsidTr="007B6F25" w14:paraId="7FB3F7C0" w14:textId="77777777">
        <w:trPr>
          <w:trHeight w:val="724" w:hRule="exact"/>
        </w:trPr>
        <w:tc>
          <w:tcPr>
            <w:tcW w:w="1610" w:type="dxa"/>
          </w:tcPr>
          <w:p w:rsidR="00DC5A69" w:rsidRDefault="00DC5A69" w14:paraId="2202CCB2" w14:textId="77777777">
            <w:pPr>
              <w:pStyle w:val="TableParagraph"/>
              <w:rPr>
                <w:sz w:val="20"/>
              </w:rPr>
            </w:pPr>
            <w:r>
              <w:rPr>
                <w:sz w:val="20"/>
              </w:rPr>
              <w:t>55.40(c)</w:t>
            </w:r>
          </w:p>
        </w:tc>
        <w:tc>
          <w:tcPr>
            <w:tcW w:w="2430" w:type="dxa"/>
          </w:tcPr>
          <w:p w:rsidR="00DC5A69" w:rsidRDefault="00DC5A69" w14:paraId="6073970A" w14:textId="77777777">
            <w:pPr>
              <w:pStyle w:val="TableParagraph"/>
              <w:spacing w:before="98"/>
              <w:ind w:right="132"/>
              <w:rPr>
                <w:sz w:val="16"/>
              </w:rPr>
            </w:pPr>
            <w:r>
              <w:rPr>
                <w:sz w:val="16"/>
              </w:rPr>
              <w:t>Written examinations and Operating Test Implementation</w:t>
            </w:r>
          </w:p>
        </w:tc>
        <w:tc>
          <w:tcPr>
            <w:tcW w:w="2070" w:type="dxa"/>
          </w:tcPr>
          <w:p w:rsidR="00DC5A69" w:rsidRDefault="00A50FB6" w14:paraId="4D763452" w14:textId="77777777">
            <w:pPr>
              <w:pStyle w:val="TableParagraph"/>
              <w:rPr>
                <w:sz w:val="20"/>
              </w:rPr>
            </w:pPr>
            <w:r>
              <w:rPr>
                <w:sz w:val="20"/>
              </w:rPr>
              <w:t>4</w:t>
            </w:r>
            <w:r w:rsidR="006D5EA6">
              <w:rPr>
                <w:sz w:val="20"/>
              </w:rPr>
              <w:t xml:space="preserve"> Power Sites</w:t>
            </w:r>
          </w:p>
        </w:tc>
        <w:tc>
          <w:tcPr>
            <w:tcW w:w="1350" w:type="dxa"/>
          </w:tcPr>
          <w:p w:rsidR="00DC5A69" w:rsidRDefault="00A50FB6" w14:paraId="4AC217E3" w14:textId="77777777">
            <w:pPr>
              <w:pStyle w:val="TableParagraph"/>
              <w:ind w:left="92"/>
              <w:rPr>
                <w:sz w:val="20"/>
              </w:rPr>
            </w:pPr>
            <w:r>
              <w:rPr>
                <w:sz w:val="20"/>
              </w:rPr>
              <w:t>1</w:t>
            </w:r>
          </w:p>
        </w:tc>
        <w:tc>
          <w:tcPr>
            <w:tcW w:w="1350" w:type="dxa"/>
          </w:tcPr>
          <w:p w:rsidR="00DC5A69" w:rsidRDefault="00A50FB6" w14:paraId="131B4119" w14:textId="77777777">
            <w:pPr>
              <w:pStyle w:val="TableParagraph"/>
              <w:ind w:left="92"/>
              <w:rPr>
                <w:sz w:val="20"/>
              </w:rPr>
            </w:pPr>
            <w:r>
              <w:rPr>
                <w:sz w:val="20"/>
              </w:rPr>
              <w:t>4</w:t>
            </w:r>
          </w:p>
        </w:tc>
        <w:tc>
          <w:tcPr>
            <w:tcW w:w="1328" w:type="dxa"/>
          </w:tcPr>
          <w:p w:rsidR="00DC5A69" w:rsidRDefault="00DC5A69" w14:paraId="179D2990" w14:textId="77777777">
            <w:pPr>
              <w:pStyle w:val="TableParagraph"/>
              <w:ind w:left="92"/>
              <w:rPr>
                <w:sz w:val="20"/>
              </w:rPr>
            </w:pPr>
            <w:r>
              <w:rPr>
                <w:sz w:val="20"/>
              </w:rPr>
              <w:t>1250</w:t>
            </w:r>
          </w:p>
        </w:tc>
        <w:tc>
          <w:tcPr>
            <w:tcW w:w="1282" w:type="dxa"/>
          </w:tcPr>
          <w:p w:rsidR="00DC5A69" w:rsidRDefault="00DC5A69" w14:paraId="035025C0" w14:textId="77777777">
            <w:pPr>
              <w:pStyle w:val="TableParagraph"/>
              <w:ind w:left="92"/>
              <w:rPr>
                <w:sz w:val="20"/>
              </w:rPr>
            </w:pPr>
            <w:r>
              <w:rPr>
                <w:sz w:val="20"/>
              </w:rPr>
              <w:t>5,000</w:t>
            </w:r>
          </w:p>
        </w:tc>
        <w:tc>
          <w:tcPr>
            <w:tcW w:w="1710" w:type="dxa"/>
          </w:tcPr>
          <w:p w:rsidR="00DC5A69" w:rsidP="00582009" w:rsidRDefault="00DC5A69" w14:paraId="34C4DF36" w14:textId="77777777">
            <w:pPr>
              <w:pStyle w:val="TableParagraph"/>
              <w:ind w:left="92"/>
              <w:rPr>
                <w:sz w:val="20"/>
              </w:rPr>
            </w:pPr>
            <w:r>
              <w:rPr>
                <w:sz w:val="20"/>
              </w:rPr>
              <w:t>$1,3</w:t>
            </w:r>
            <w:r w:rsidR="00582009">
              <w:rPr>
                <w:sz w:val="20"/>
              </w:rPr>
              <w:t>7</w:t>
            </w:r>
            <w:r>
              <w:rPr>
                <w:sz w:val="20"/>
              </w:rPr>
              <w:t>5,000</w:t>
            </w:r>
          </w:p>
        </w:tc>
      </w:tr>
      <w:tr w:rsidR="00972E75" w:rsidTr="007B6F25" w14:paraId="779A07E0" w14:textId="77777777">
        <w:trPr>
          <w:trHeight w:val="724" w:hRule="exact"/>
        </w:trPr>
        <w:tc>
          <w:tcPr>
            <w:tcW w:w="1610" w:type="dxa"/>
          </w:tcPr>
          <w:p w:rsidR="00972E75" w:rsidRDefault="00EE77F3" w14:paraId="36348F7D" w14:textId="77777777">
            <w:pPr>
              <w:pStyle w:val="TableParagraph"/>
              <w:rPr>
                <w:sz w:val="20"/>
              </w:rPr>
            </w:pPr>
            <w:r>
              <w:rPr>
                <w:sz w:val="20"/>
              </w:rPr>
              <w:t>55.40(d)</w:t>
            </w:r>
          </w:p>
        </w:tc>
        <w:tc>
          <w:tcPr>
            <w:tcW w:w="2430" w:type="dxa"/>
          </w:tcPr>
          <w:p w:rsidR="00972E75" w:rsidRDefault="00EE77F3" w14:paraId="1971894D" w14:textId="77777777">
            <w:pPr>
              <w:pStyle w:val="TableParagraph"/>
              <w:spacing w:before="98"/>
              <w:ind w:right="132"/>
              <w:rPr>
                <w:sz w:val="16"/>
              </w:rPr>
            </w:pPr>
            <w:r>
              <w:rPr>
                <w:sz w:val="16"/>
              </w:rPr>
              <w:t>Written Examinations and Operating Test- Implementation</w:t>
            </w:r>
          </w:p>
        </w:tc>
        <w:tc>
          <w:tcPr>
            <w:tcW w:w="2070" w:type="dxa"/>
          </w:tcPr>
          <w:p w:rsidR="00972E75" w:rsidRDefault="00EE77F3" w14:paraId="33AD0F1D" w14:textId="77777777">
            <w:pPr>
              <w:pStyle w:val="TableParagraph"/>
              <w:rPr>
                <w:sz w:val="20"/>
              </w:rPr>
            </w:pPr>
            <w:r>
              <w:rPr>
                <w:sz w:val="20"/>
              </w:rPr>
              <w:t>25 Non-power Sites</w:t>
            </w:r>
          </w:p>
        </w:tc>
        <w:tc>
          <w:tcPr>
            <w:tcW w:w="1350" w:type="dxa"/>
          </w:tcPr>
          <w:p w:rsidR="00972E75" w:rsidRDefault="00EE77F3" w14:paraId="11299199" w14:textId="77777777">
            <w:pPr>
              <w:pStyle w:val="TableParagraph"/>
              <w:ind w:left="92"/>
              <w:rPr>
                <w:sz w:val="20"/>
              </w:rPr>
            </w:pPr>
            <w:r>
              <w:rPr>
                <w:sz w:val="20"/>
              </w:rPr>
              <w:t>1</w:t>
            </w:r>
          </w:p>
        </w:tc>
        <w:tc>
          <w:tcPr>
            <w:tcW w:w="1350" w:type="dxa"/>
          </w:tcPr>
          <w:p w:rsidR="00972E75" w:rsidRDefault="00EE77F3" w14:paraId="02C347B1" w14:textId="77777777">
            <w:pPr>
              <w:pStyle w:val="TableParagraph"/>
              <w:ind w:left="92"/>
              <w:rPr>
                <w:sz w:val="20"/>
              </w:rPr>
            </w:pPr>
            <w:r>
              <w:rPr>
                <w:sz w:val="20"/>
              </w:rPr>
              <w:t>25</w:t>
            </w:r>
          </w:p>
        </w:tc>
        <w:tc>
          <w:tcPr>
            <w:tcW w:w="1328" w:type="dxa"/>
          </w:tcPr>
          <w:p w:rsidR="00972E75" w:rsidRDefault="00EE77F3" w14:paraId="18A2121E" w14:textId="77777777">
            <w:pPr>
              <w:pStyle w:val="TableParagraph"/>
              <w:ind w:left="92"/>
              <w:rPr>
                <w:sz w:val="20"/>
              </w:rPr>
            </w:pPr>
            <w:r>
              <w:rPr>
                <w:sz w:val="20"/>
              </w:rPr>
              <w:t>2</w:t>
            </w:r>
          </w:p>
        </w:tc>
        <w:tc>
          <w:tcPr>
            <w:tcW w:w="1282" w:type="dxa"/>
          </w:tcPr>
          <w:p w:rsidR="00972E75" w:rsidRDefault="00EE77F3" w14:paraId="1C9DC0F3" w14:textId="77777777">
            <w:pPr>
              <w:pStyle w:val="TableParagraph"/>
              <w:ind w:left="92"/>
              <w:rPr>
                <w:sz w:val="20"/>
              </w:rPr>
            </w:pPr>
            <w:r>
              <w:rPr>
                <w:sz w:val="20"/>
              </w:rPr>
              <w:t>50</w:t>
            </w:r>
          </w:p>
        </w:tc>
        <w:tc>
          <w:tcPr>
            <w:tcW w:w="1710" w:type="dxa"/>
          </w:tcPr>
          <w:p w:rsidR="00972E75" w:rsidP="00582009" w:rsidRDefault="00DC5A69" w14:paraId="6AFFEFA9" w14:textId="77777777">
            <w:pPr>
              <w:pStyle w:val="TableParagraph"/>
              <w:ind w:left="92"/>
              <w:rPr>
                <w:sz w:val="20"/>
              </w:rPr>
            </w:pPr>
            <w:r>
              <w:rPr>
                <w:sz w:val="20"/>
              </w:rPr>
              <w:t>$13,</w:t>
            </w:r>
            <w:r w:rsidR="00582009">
              <w:rPr>
                <w:sz w:val="20"/>
              </w:rPr>
              <w:t>7</w:t>
            </w:r>
            <w:r>
              <w:rPr>
                <w:sz w:val="20"/>
              </w:rPr>
              <w:t>50</w:t>
            </w:r>
          </w:p>
        </w:tc>
      </w:tr>
      <w:tr w:rsidR="00972E75" w:rsidTr="007B6F25" w14:paraId="381CDD57" w14:textId="77777777">
        <w:trPr>
          <w:trHeight w:val="724" w:hRule="exact"/>
        </w:trPr>
        <w:tc>
          <w:tcPr>
            <w:tcW w:w="1610" w:type="dxa"/>
          </w:tcPr>
          <w:p w:rsidR="00972E75" w:rsidRDefault="00EE77F3" w14:paraId="6B2D025A" w14:textId="77777777">
            <w:pPr>
              <w:pStyle w:val="TableParagraph"/>
              <w:ind w:right="104"/>
              <w:rPr>
                <w:sz w:val="20"/>
              </w:rPr>
            </w:pPr>
            <w:r>
              <w:rPr>
                <w:sz w:val="20"/>
              </w:rPr>
              <w:t>55.40(b)(1) and (3)</w:t>
            </w:r>
          </w:p>
        </w:tc>
        <w:tc>
          <w:tcPr>
            <w:tcW w:w="2430" w:type="dxa"/>
          </w:tcPr>
          <w:p w:rsidR="00972E75" w:rsidRDefault="00EE77F3" w14:paraId="38C018C7" w14:textId="77777777">
            <w:pPr>
              <w:pStyle w:val="TableParagraph"/>
              <w:spacing w:before="98"/>
              <w:ind w:right="132"/>
              <w:rPr>
                <w:sz w:val="16"/>
              </w:rPr>
            </w:pPr>
            <w:r>
              <w:rPr>
                <w:sz w:val="16"/>
              </w:rPr>
              <w:t>Written Examinations and Operating Test- Implementation</w:t>
            </w:r>
          </w:p>
        </w:tc>
        <w:tc>
          <w:tcPr>
            <w:tcW w:w="2070" w:type="dxa"/>
          </w:tcPr>
          <w:p w:rsidR="00972E75" w:rsidRDefault="00DC5A69" w14:paraId="3C835B4A" w14:textId="77777777">
            <w:pPr>
              <w:pStyle w:val="TableParagraph"/>
              <w:rPr>
                <w:sz w:val="20"/>
              </w:rPr>
            </w:pPr>
            <w:r>
              <w:rPr>
                <w:sz w:val="20"/>
              </w:rPr>
              <w:t>41</w:t>
            </w:r>
            <w:r w:rsidR="00EE77F3">
              <w:rPr>
                <w:sz w:val="20"/>
              </w:rPr>
              <w:t xml:space="preserve"> Power Sites</w:t>
            </w:r>
          </w:p>
        </w:tc>
        <w:tc>
          <w:tcPr>
            <w:tcW w:w="1350" w:type="dxa"/>
          </w:tcPr>
          <w:p w:rsidR="00972E75" w:rsidRDefault="00EE77F3" w14:paraId="16520D49" w14:textId="77777777">
            <w:pPr>
              <w:pStyle w:val="TableParagraph"/>
              <w:rPr>
                <w:sz w:val="20"/>
              </w:rPr>
            </w:pPr>
            <w:r>
              <w:rPr>
                <w:sz w:val="20"/>
              </w:rPr>
              <w:t>1</w:t>
            </w:r>
          </w:p>
        </w:tc>
        <w:tc>
          <w:tcPr>
            <w:tcW w:w="1350" w:type="dxa"/>
          </w:tcPr>
          <w:p w:rsidR="00972E75" w:rsidRDefault="00DC5A69" w14:paraId="64D47678" w14:textId="77777777">
            <w:pPr>
              <w:pStyle w:val="TableParagraph"/>
              <w:rPr>
                <w:sz w:val="20"/>
              </w:rPr>
            </w:pPr>
            <w:r>
              <w:rPr>
                <w:sz w:val="20"/>
              </w:rPr>
              <w:t>41</w:t>
            </w:r>
          </w:p>
        </w:tc>
        <w:tc>
          <w:tcPr>
            <w:tcW w:w="1328" w:type="dxa"/>
          </w:tcPr>
          <w:p w:rsidR="00972E75" w:rsidRDefault="00DC5A69" w14:paraId="45D1C856" w14:textId="77777777">
            <w:pPr>
              <w:pStyle w:val="TableParagraph"/>
              <w:rPr>
                <w:sz w:val="20"/>
              </w:rPr>
            </w:pPr>
            <w:r>
              <w:rPr>
                <w:sz w:val="20"/>
              </w:rPr>
              <w:t>2500</w:t>
            </w:r>
          </w:p>
        </w:tc>
        <w:tc>
          <w:tcPr>
            <w:tcW w:w="1282" w:type="dxa"/>
          </w:tcPr>
          <w:p w:rsidR="00972E75" w:rsidRDefault="00DC5A69" w14:paraId="1BFF76EB" w14:textId="77777777">
            <w:pPr>
              <w:pStyle w:val="TableParagraph"/>
              <w:rPr>
                <w:sz w:val="20"/>
              </w:rPr>
            </w:pPr>
            <w:r>
              <w:rPr>
                <w:sz w:val="20"/>
              </w:rPr>
              <w:t>102,500</w:t>
            </w:r>
          </w:p>
        </w:tc>
        <w:tc>
          <w:tcPr>
            <w:tcW w:w="1710" w:type="dxa"/>
          </w:tcPr>
          <w:p w:rsidR="00972E75" w:rsidP="00582009" w:rsidRDefault="00DC5A69" w14:paraId="3281C986" w14:textId="77777777">
            <w:pPr>
              <w:pStyle w:val="TableParagraph"/>
              <w:rPr>
                <w:sz w:val="20"/>
              </w:rPr>
            </w:pPr>
            <w:r>
              <w:rPr>
                <w:sz w:val="20"/>
              </w:rPr>
              <w:t>$2</w:t>
            </w:r>
            <w:r w:rsidR="00582009">
              <w:rPr>
                <w:sz w:val="20"/>
              </w:rPr>
              <w:t>8</w:t>
            </w:r>
            <w:r>
              <w:rPr>
                <w:sz w:val="20"/>
              </w:rPr>
              <w:t>,</w:t>
            </w:r>
            <w:r w:rsidR="00582009">
              <w:rPr>
                <w:sz w:val="20"/>
              </w:rPr>
              <w:t>18</w:t>
            </w:r>
            <w:r>
              <w:rPr>
                <w:sz w:val="20"/>
              </w:rPr>
              <w:t>7,500</w:t>
            </w:r>
          </w:p>
        </w:tc>
      </w:tr>
      <w:tr w:rsidR="00582009" w:rsidTr="007B6F25" w14:paraId="062AC7E6" w14:textId="77777777">
        <w:trPr>
          <w:trHeight w:val="576" w:hRule="exact"/>
        </w:trPr>
        <w:tc>
          <w:tcPr>
            <w:tcW w:w="1610" w:type="dxa"/>
          </w:tcPr>
          <w:p w:rsidR="00582009" w:rsidRDefault="00582009" w14:paraId="46642D45" w14:textId="77777777">
            <w:pPr>
              <w:pStyle w:val="TableParagraph"/>
              <w:rPr>
                <w:sz w:val="20"/>
              </w:rPr>
            </w:pPr>
            <w:r>
              <w:rPr>
                <w:sz w:val="20"/>
              </w:rPr>
              <w:t>55.46(b)</w:t>
            </w:r>
          </w:p>
        </w:tc>
        <w:tc>
          <w:tcPr>
            <w:tcW w:w="2430" w:type="dxa"/>
          </w:tcPr>
          <w:p w:rsidR="00582009" w:rsidRDefault="00582009" w14:paraId="0C2981AB" w14:textId="77777777">
            <w:pPr>
              <w:pStyle w:val="TableParagraph"/>
              <w:spacing w:before="98"/>
              <w:rPr>
                <w:sz w:val="16"/>
              </w:rPr>
            </w:pPr>
            <w:r>
              <w:rPr>
                <w:sz w:val="16"/>
              </w:rPr>
              <w:t>Request to use simulation facility</w:t>
            </w:r>
          </w:p>
        </w:tc>
        <w:tc>
          <w:tcPr>
            <w:tcW w:w="2070" w:type="dxa"/>
          </w:tcPr>
          <w:p w:rsidR="00582009" w:rsidRDefault="00582009" w14:paraId="2F60292E" w14:textId="77777777">
            <w:pPr>
              <w:pStyle w:val="TableParagraph"/>
              <w:rPr>
                <w:sz w:val="20"/>
              </w:rPr>
            </w:pPr>
            <w:r>
              <w:rPr>
                <w:sz w:val="20"/>
              </w:rPr>
              <w:t>0</w:t>
            </w:r>
          </w:p>
        </w:tc>
        <w:tc>
          <w:tcPr>
            <w:tcW w:w="1350" w:type="dxa"/>
          </w:tcPr>
          <w:p w:rsidR="00582009" w:rsidRDefault="00582009" w14:paraId="17189C0F" w14:textId="77777777">
            <w:pPr>
              <w:pStyle w:val="TableParagraph"/>
              <w:ind w:left="94"/>
              <w:rPr>
                <w:sz w:val="20"/>
              </w:rPr>
            </w:pPr>
            <w:r>
              <w:rPr>
                <w:sz w:val="20"/>
              </w:rPr>
              <w:t>0</w:t>
            </w:r>
          </w:p>
        </w:tc>
        <w:tc>
          <w:tcPr>
            <w:tcW w:w="1350" w:type="dxa"/>
          </w:tcPr>
          <w:p w:rsidR="00582009" w:rsidRDefault="00582009" w14:paraId="2627B6D4" w14:textId="77777777">
            <w:pPr>
              <w:pStyle w:val="TableParagraph"/>
              <w:ind w:left="94"/>
              <w:rPr>
                <w:sz w:val="20"/>
              </w:rPr>
            </w:pPr>
            <w:r>
              <w:rPr>
                <w:sz w:val="20"/>
              </w:rPr>
              <w:t>0</w:t>
            </w:r>
          </w:p>
        </w:tc>
        <w:tc>
          <w:tcPr>
            <w:tcW w:w="1328" w:type="dxa"/>
          </w:tcPr>
          <w:p w:rsidR="00582009" w:rsidRDefault="00582009" w14:paraId="5C9DB283" w14:textId="77777777">
            <w:pPr>
              <w:pStyle w:val="TableParagraph"/>
              <w:ind w:left="94"/>
              <w:rPr>
                <w:sz w:val="20"/>
              </w:rPr>
            </w:pPr>
            <w:r>
              <w:rPr>
                <w:sz w:val="20"/>
              </w:rPr>
              <w:t>800</w:t>
            </w:r>
          </w:p>
        </w:tc>
        <w:tc>
          <w:tcPr>
            <w:tcW w:w="1282" w:type="dxa"/>
          </w:tcPr>
          <w:p w:rsidR="00582009" w:rsidRDefault="00582009" w14:paraId="28D64114" w14:textId="77777777">
            <w:pPr>
              <w:pStyle w:val="TableParagraph"/>
              <w:ind w:left="94"/>
              <w:rPr>
                <w:sz w:val="20"/>
              </w:rPr>
            </w:pPr>
            <w:r>
              <w:rPr>
                <w:sz w:val="20"/>
              </w:rPr>
              <w:t>0</w:t>
            </w:r>
          </w:p>
        </w:tc>
        <w:tc>
          <w:tcPr>
            <w:tcW w:w="1710" w:type="dxa"/>
          </w:tcPr>
          <w:p w:rsidR="00582009" w:rsidRDefault="00582009" w14:paraId="3E8B6EE9" w14:textId="77777777">
            <w:pPr>
              <w:pStyle w:val="TableParagraph"/>
              <w:ind w:left="94"/>
              <w:rPr>
                <w:sz w:val="20"/>
              </w:rPr>
            </w:pPr>
            <w:r>
              <w:rPr>
                <w:sz w:val="20"/>
              </w:rPr>
              <w:t>$0</w:t>
            </w:r>
          </w:p>
        </w:tc>
      </w:tr>
      <w:tr w:rsidR="00972E75" w:rsidTr="007B6F25" w14:paraId="1EB8FC53" w14:textId="77777777">
        <w:trPr>
          <w:trHeight w:val="403" w:hRule="exact"/>
        </w:trPr>
        <w:tc>
          <w:tcPr>
            <w:tcW w:w="1610" w:type="dxa"/>
          </w:tcPr>
          <w:p w:rsidR="00972E75" w:rsidRDefault="00EE77F3" w14:paraId="32438192" w14:textId="77777777">
            <w:pPr>
              <w:pStyle w:val="TableParagraph"/>
              <w:rPr>
                <w:sz w:val="20"/>
              </w:rPr>
            </w:pPr>
            <w:r>
              <w:rPr>
                <w:sz w:val="20"/>
              </w:rPr>
              <w:t>55.53(g)</w:t>
            </w:r>
          </w:p>
        </w:tc>
        <w:tc>
          <w:tcPr>
            <w:tcW w:w="2430" w:type="dxa"/>
          </w:tcPr>
          <w:p w:rsidR="00972E75" w:rsidRDefault="00EE77F3" w14:paraId="62CE8EA9" w14:textId="77777777">
            <w:pPr>
              <w:pStyle w:val="TableParagraph"/>
              <w:spacing w:before="98"/>
              <w:rPr>
                <w:sz w:val="16"/>
              </w:rPr>
            </w:pPr>
            <w:r>
              <w:rPr>
                <w:sz w:val="16"/>
              </w:rPr>
              <w:t>Conditions of licenses</w:t>
            </w:r>
          </w:p>
        </w:tc>
        <w:tc>
          <w:tcPr>
            <w:tcW w:w="2070" w:type="dxa"/>
          </w:tcPr>
          <w:p w:rsidR="00972E75" w:rsidRDefault="00EE77F3" w14:paraId="2943D452" w14:textId="77777777">
            <w:pPr>
              <w:pStyle w:val="TableParagraph"/>
              <w:rPr>
                <w:sz w:val="20"/>
              </w:rPr>
            </w:pPr>
            <w:r>
              <w:rPr>
                <w:sz w:val="20"/>
              </w:rPr>
              <w:t>4 Power Sites</w:t>
            </w:r>
          </w:p>
        </w:tc>
        <w:tc>
          <w:tcPr>
            <w:tcW w:w="1350" w:type="dxa"/>
          </w:tcPr>
          <w:p w:rsidR="00972E75" w:rsidRDefault="00EE77F3" w14:paraId="2A3508FC" w14:textId="77777777">
            <w:pPr>
              <w:pStyle w:val="TableParagraph"/>
              <w:ind w:left="94"/>
              <w:rPr>
                <w:sz w:val="20"/>
              </w:rPr>
            </w:pPr>
            <w:r>
              <w:rPr>
                <w:sz w:val="20"/>
              </w:rPr>
              <w:t>1</w:t>
            </w:r>
          </w:p>
        </w:tc>
        <w:tc>
          <w:tcPr>
            <w:tcW w:w="1350" w:type="dxa"/>
          </w:tcPr>
          <w:p w:rsidR="00972E75" w:rsidRDefault="00EE77F3" w14:paraId="4FA6720E" w14:textId="77777777">
            <w:pPr>
              <w:pStyle w:val="TableParagraph"/>
              <w:ind w:left="94"/>
              <w:rPr>
                <w:sz w:val="20"/>
              </w:rPr>
            </w:pPr>
            <w:r>
              <w:rPr>
                <w:sz w:val="20"/>
              </w:rPr>
              <w:t>4</w:t>
            </w:r>
          </w:p>
        </w:tc>
        <w:tc>
          <w:tcPr>
            <w:tcW w:w="1328" w:type="dxa"/>
          </w:tcPr>
          <w:p w:rsidR="00972E75" w:rsidRDefault="00EE77F3" w14:paraId="3F725A01" w14:textId="77777777">
            <w:pPr>
              <w:pStyle w:val="TableParagraph"/>
              <w:ind w:left="94"/>
              <w:rPr>
                <w:sz w:val="20"/>
              </w:rPr>
            </w:pPr>
            <w:r>
              <w:rPr>
                <w:sz w:val="20"/>
              </w:rPr>
              <w:t>4</w:t>
            </w:r>
          </w:p>
        </w:tc>
        <w:tc>
          <w:tcPr>
            <w:tcW w:w="1282" w:type="dxa"/>
          </w:tcPr>
          <w:p w:rsidR="00972E75" w:rsidRDefault="00EE77F3" w14:paraId="20F3A6D1" w14:textId="77777777">
            <w:pPr>
              <w:pStyle w:val="TableParagraph"/>
              <w:ind w:left="94"/>
              <w:rPr>
                <w:sz w:val="20"/>
              </w:rPr>
            </w:pPr>
            <w:r>
              <w:rPr>
                <w:sz w:val="20"/>
              </w:rPr>
              <w:t>16</w:t>
            </w:r>
          </w:p>
        </w:tc>
        <w:tc>
          <w:tcPr>
            <w:tcW w:w="1710" w:type="dxa"/>
          </w:tcPr>
          <w:p w:rsidR="00972E75" w:rsidP="00582009" w:rsidRDefault="00DC5A69" w14:paraId="3E535A38" w14:textId="77777777">
            <w:pPr>
              <w:pStyle w:val="TableParagraph"/>
              <w:ind w:left="94"/>
              <w:rPr>
                <w:sz w:val="20"/>
              </w:rPr>
            </w:pPr>
            <w:r>
              <w:rPr>
                <w:sz w:val="20"/>
              </w:rPr>
              <w:t>$4,</w:t>
            </w:r>
            <w:r w:rsidR="00582009">
              <w:rPr>
                <w:sz w:val="20"/>
              </w:rPr>
              <w:t>400</w:t>
            </w:r>
          </w:p>
        </w:tc>
      </w:tr>
      <w:tr w:rsidR="00972E75" w:rsidTr="007B6F25" w14:paraId="1A63E8A5" w14:textId="77777777">
        <w:trPr>
          <w:trHeight w:val="403" w:hRule="exact"/>
        </w:trPr>
        <w:tc>
          <w:tcPr>
            <w:tcW w:w="1610" w:type="dxa"/>
          </w:tcPr>
          <w:p w:rsidR="00972E75" w:rsidRDefault="00EE77F3" w14:paraId="39B4B7CC" w14:textId="77777777">
            <w:pPr>
              <w:pStyle w:val="TableParagraph"/>
              <w:rPr>
                <w:sz w:val="20"/>
              </w:rPr>
            </w:pPr>
            <w:r>
              <w:rPr>
                <w:sz w:val="20"/>
              </w:rPr>
              <w:t>55.53(g)</w:t>
            </w:r>
          </w:p>
        </w:tc>
        <w:tc>
          <w:tcPr>
            <w:tcW w:w="2430" w:type="dxa"/>
          </w:tcPr>
          <w:p w:rsidR="00972E75" w:rsidRDefault="00EE77F3" w14:paraId="64FBD710" w14:textId="77777777">
            <w:pPr>
              <w:pStyle w:val="TableParagraph"/>
              <w:spacing w:before="98"/>
              <w:rPr>
                <w:sz w:val="16"/>
              </w:rPr>
            </w:pPr>
            <w:r>
              <w:rPr>
                <w:sz w:val="16"/>
              </w:rPr>
              <w:t>Conditions of licenses</w:t>
            </w:r>
          </w:p>
        </w:tc>
        <w:tc>
          <w:tcPr>
            <w:tcW w:w="2070" w:type="dxa"/>
          </w:tcPr>
          <w:p w:rsidR="00972E75" w:rsidRDefault="00EE77F3" w14:paraId="2C76655E" w14:textId="77777777">
            <w:pPr>
              <w:pStyle w:val="TableParagraph"/>
              <w:rPr>
                <w:sz w:val="20"/>
              </w:rPr>
            </w:pPr>
            <w:r>
              <w:rPr>
                <w:sz w:val="20"/>
              </w:rPr>
              <w:t>1 Non-power Site</w:t>
            </w:r>
          </w:p>
        </w:tc>
        <w:tc>
          <w:tcPr>
            <w:tcW w:w="1350" w:type="dxa"/>
          </w:tcPr>
          <w:p w:rsidR="00972E75" w:rsidRDefault="00EE77F3" w14:paraId="551B97D8" w14:textId="77777777">
            <w:pPr>
              <w:pStyle w:val="TableParagraph"/>
              <w:ind w:left="92"/>
              <w:rPr>
                <w:sz w:val="20"/>
              </w:rPr>
            </w:pPr>
            <w:r>
              <w:rPr>
                <w:sz w:val="20"/>
              </w:rPr>
              <w:t>1</w:t>
            </w:r>
          </w:p>
        </w:tc>
        <w:tc>
          <w:tcPr>
            <w:tcW w:w="1350" w:type="dxa"/>
          </w:tcPr>
          <w:p w:rsidR="00972E75" w:rsidRDefault="00EE77F3" w14:paraId="1E9D2B5D" w14:textId="77777777">
            <w:pPr>
              <w:pStyle w:val="TableParagraph"/>
              <w:ind w:left="92"/>
              <w:rPr>
                <w:sz w:val="20"/>
              </w:rPr>
            </w:pPr>
            <w:r>
              <w:rPr>
                <w:sz w:val="20"/>
              </w:rPr>
              <w:t>1</w:t>
            </w:r>
          </w:p>
        </w:tc>
        <w:tc>
          <w:tcPr>
            <w:tcW w:w="1328" w:type="dxa"/>
          </w:tcPr>
          <w:p w:rsidR="00972E75" w:rsidRDefault="00EE77F3" w14:paraId="0E9545DC" w14:textId="77777777">
            <w:pPr>
              <w:pStyle w:val="TableParagraph"/>
              <w:ind w:left="92"/>
              <w:rPr>
                <w:sz w:val="20"/>
              </w:rPr>
            </w:pPr>
            <w:r>
              <w:rPr>
                <w:sz w:val="20"/>
              </w:rPr>
              <w:t>4</w:t>
            </w:r>
          </w:p>
        </w:tc>
        <w:tc>
          <w:tcPr>
            <w:tcW w:w="1282" w:type="dxa"/>
          </w:tcPr>
          <w:p w:rsidR="00972E75" w:rsidRDefault="00EE77F3" w14:paraId="0FA5CFCF" w14:textId="77777777">
            <w:pPr>
              <w:pStyle w:val="TableParagraph"/>
              <w:ind w:left="92"/>
              <w:rPr>
                <w:sz w:val="20"/>
              </w:rPr>
            </w:pPr>
            <w:r>
              <w:rPr>
                <w:sz w:val="20"/>
              </w:rPr>
              <w:t>4</w:t>
            </w:r>
          </w:p>
        </w:tc>
        <w:tc>
          <w:tcPr>
            <w:tcW w:w="1710" w:type="dxa"/>
          </w:tcPr>
          <w:p w:rsidR="00972E75" w:rsidP="00582009" w:rsidRDefault="00DC5A69" w14:paraId="6721E53B" w14:textId="77777777">
            <w:pPr>
              <w:pStyle w:val="TableParagraph"/>
              <w:ind w:left="92"/>
              <w:rPr>
                <w:sz w:val="20"/>
              </w:rPr>
            </w:pPr>
            <w:r>
              <w:rPr>
                <w:sz w:val="20"/>
              </w:rPr>
              <w:t>$1,</w:t>
            </w:r>
            <w:r w:rsidR="00582009">
              <w:rPr>
                <w:sz w:val="20"/>
              </w:rPr>
              <w:t>100</w:t>
            </w:r>
          </w:p>
        </w:tc>
      </w:tr>
      <w:tr w:rsidR="00DC5A69" w:rsidTr="007B6F25" w14:paraId="10B2BF84" w14:textId="77777777">
        <w:trPr>
          <w:trHeight w:val="1260" w:hRule="exact"/>
        </w:trPr>
        <w:tc>
          <w:tcPr>
            <w:tcW w:w="1610" w:type="dxa"/>
          </w:tcPr>
          <w:p w:rsidR="00DC5A69" w:rsidRDefault="008C4EA4" w14:paraId="67001911" w14:textId="77777777">
            <w:pPr>
              <w:pStyle w:val="TableParagraph"/>
              <w:rPr>
                <w:sz w:val="20"/>
              </w:rPr>
            </w:pPr>
            <w:r>
              <w:rPr>
                <w:sz w:val="20"/>
              </w:rPr>
              <w:t>55.59(a)(2)</w:t>
            </w:r>
          </w:p>
        </w:tc>
        <w:tc>
          <w:tcPr>
            <w:tcW w:w="2430" w:type="dxa"/>
          </w:tcPr>
          <w:p w:rsidR="00DC5A69" w:rsidP="00F92ADE" w:rsidRDefault="00582009" w14:paraId="09CE9970" w14:textId="5826C484">
            <w:pPr>
              <w:pStyle w:val="TableParagraph"/>
              <w:spacing w:before="98"/>
              <w:rPr>
                <w:sz w:val="16"/>
              </w:rPr>
            </w:pPr>
            <w:r w:rsidRPr="00582009">
              <w:rPr>
                <w:sz w:val="16"/>
              </w:rPr>
              <w:t>Requalification of licenses –- Annual Review</w:t>
            </w:r>
          </w:p>
        </w:tc>
        <w:tc>
          <w:tcPr>
            <w:tcW w:w="2070" w:type="dxa"/>
          </w:tcPr>
          <w:p w:rsidR="00DC5A69" w:rsidRDefault="008C4EA4" w14:paraId="55E1259E" w14:textId="77777777">
            <w:pPr>
              <w:pStyle w:val="TableParagraph"/>
              <w:rPr>
                <w:sz w:val="20"/>
              </w:rPr>
            </w:pPr>
            <w:r>
              <w:rPr>
                <w:sz w:val="20"/>
              </w:rPr>
              <w:t>32 Power Sites</w:t>
            </w:r>
          </w:p>
        </w:tc>
        <w:tc>
          <w:tcPr>
            <w:tcW w:w="1350" w:type="dxa"/>
          </w:tcPr>
          <w:p w:rsidR="00DC5A69" w:rsidRDefault="008C4EA4" w14:paraId="396D06A0" w14:textId="77777777">
            <w:pPr>
              <w:pStyle w:val="TableParagraph"/>
              <w:rPr>
                <w:sz w:val="20"/>
              </w:rPr>
            </w:pPr>
            <w:r>
              <w:rPr>
                <w:sz w:val="20"/>
              </w:rPr>
              <w:t>1</w:t>
            </w:r>
          </w:p>
        </w:tc>
        <w:tc>
          <w:tcPr>
            <w:tcW w:w="1350" w:type="dxa"/>
          </w:tcPr>
          <w:p w:rsidR="00DC5A69" w:rsidRDefault="008C4EA4" w14:paraId="26A3F501" w14:textId="77777777">
            <w:pPr>
              <w:pStyle w:val="TableParagraph"/>
              <w:rPr>
                <w:sz w:val="20"/>
              </w:rPr>
            </w:pPr>
            <w:r>
              <w:rPr>
                <w:sz w:val="20"/>
              </w:rPr>
              <w:t>32</w:t>
            </w:r>
          </w:p>
        </w:tc>
        <w:tc>
          <w:tcPr>
            <w:tcW w:w="1328" w:type="dxa"/>
          </w:tcPr>
          <w:p w:rsidR="00DC5A69" w:rsidRDefault="008C4EA4" w14:paraId="7AFAE8C6" w14:textId="77777777">
            <w:pPr>
              <w:pStyle w:val="TableParagraph"/>
              <w:rPr>
                <w:sz w:val="20"/>
              </w:rPr>
            </w:pPr>
            <w:r>
              <w:rPr>
                <w:sz w:val="20"/>
              </w:rPr>
              <w:t>10</w:t>
            </w:r>
          </w:p>
        </w:tc>
        <w:tc>
          <w:tcPr>
            <w:tcW w:w="1282" w:type="dxa"/>
          </w:tcPr>
          <w:p w:rsidR="00DC5A69" w:rsidRDefault="008C4EA4" w14:paraId="06C0E3BA" w14:textId="77777777">
            <w:pPr>
              <w:pStyle w:val="TableParagraph"/>
              <w:rPr>
                <w:sz w:val="20"/>
              </w:rPr>
            </w:pPr>
            <w:r>
              <w:rPr>
                <w:sz w:val="20"/>
              </w:rPr>
              <w:t>320</w:t>
            </w:r>
          </w:p>
        </w:tc>
        <w:tc>
          <w:tcPr>
            <w:tcW w:w="1710" w:type="dxa"/>
          </w:tcPr>
          <w:p w:rsidR="00DC5A69" w:rsidP="00DC5A69" w:rsidRDefault="00582009" w14:paraId="30ED0A59" w14:textId="77777777">
            <w:pPr>
              <w:pStyle w:val="TableParagraph"/>
              <w:rPr>
                <w:sz w:val="20"/>
              </w:rPr>
            </w:pPr>
            <w:r>
              <w:rPr>
                <w:sz w:val="20"/>
              </w:rPr>
              <w:t>$88,000</w:t>
            </w:r>
          </w:p>
        </w:tc>
      </w:tr>
      <w:tr w:rsidR="00972E75" w:rsidTr="00BD5B93" w14:paraId="2394E086" w14:textId="77777777">
        <w:trPr>
          <w:trHeight w:val="456" w:hRule="exact"/>
        </w:trPr>
        <w:tc>
          <w:tcPr>
            <w:tcW w:w="1610" w:type="dxa"/>
          </w:tcPr>
          <w:p w:rsidR="00972E75" w:rsidRDefault="00EE77F3" w14:paraId="3469F3DC" w14:textId="60D68C3D">
            <w:pPr>
              <w:pStyle w:val="TableParagraph"/>
              <w:spacing w:before="0" w:line="230" w:lineRule="exact"/>
              <w:rPr>
                <w:sz w:val="20"/>
              </w:rPr>
            </w:pPr>
            <w:r>
              <w:rPr>
                <w:sz w:val="20"/>
              </w:rPr>
              <w:t>55.59 (a)</w:t>
            </w:r>
          </w:p>
        </w:tc>
        <w:tc>
          <w:tcPr>
            <w:tcW w:w="2430" w:type="dxa"/>
          </w:tcPr>
          <w:p w:rsidR="00972E75" w:rsidRDefault="00EE77F3" w14:paraId="5FBD0EA5" w14:textId="7A77B1D7">
            <w:pPr>
              <w:pStyle w:val="TableParagraph"/>
              <w:spacing w:before="0" w:line="183" w:lineRule="exact"/>
              <w:rPr>
                <w:sz w:val="16"/>
              </w:rPr>
            </w:pPr>
            <w:r>
              <w:rPr>
                <w:sz w:val="16"/>
              </w:rPr>
              <w:t>Requalification of licenses</w:t>
            </w:r>
          </w:p>
        </w:tc>
        <w:tc>
          <w:tcPr>
            <w:tcW w:w="2070" w:type="dxa"/>
          </w:tcPr>
          <w:p w:rsidR="00972E75" w:rsidRDefault="00EE77F3" w14:paraId="72E7B3F8" w14:textId="77777777">
            <w:pPr>
              <w:pStyle w:val="TableParagraph"/>
              <w:spacing w:before="0" w:line="230" w:lineRule="exact"/>
              <w:rPr>
                <w:sz w:val="20"/>
              </w:rPr>
            </w:pPr>
            <w:r>
              <w:rPr>
                <w:sz w:val="20"/>
              </w:rPr>
              <w:t>31 Non-power Site</w:t>
            </w:r>
          </w:p>
        </w:tc>
        <w:tc>
          <w:tcPr>
            <w:tcW w:w="1350" w:type="dxa"/>
          </w:tcPr>
          <w:p w:rsidR="00972E75" w:rsidRDefault="00EE77F3" w14:paraId="3DF01DBE" w14:textId="77777777">
            <w:pPr>
              <w:pStyle w:val="TableParagraph"/>
              <w:spacing w:before="0" w:line="230" w:lineRule="exact"/>
              <w:rPr>
                <w:sz w:val="20"/>
              </w:rPr>
            </w:pPr>
            <w:r>
              <w:rPr>
                <w:sz w:val="20"/>
              </w:rPr>
              <w:t>1</w:t>
            </w:r>
          </w:p>
        </w:tc>
        <w:tc>
          <w:tcPr>
            <w:tcW w:w="1350" w:type="dxa"/>
          </w:tcPr>
          <w:p w:rsidR="00972E75" w:rsidRDefault="00EE77F3" w14:paraId="3FB1C42F" w14:textId="77777777">
            <w:pPr>
              <w:pStyle w:val="TableParagraph"/>
              <w:spacing w:before="0" w:line="230" w:lineRule="exact"/>
              <w:rPr>
                <w:sz w:val="20"/>
              </w:rPr>
            </w:pPr>
            <w:r>
              <w:rPr>
                <w:sz w:val="20"/>
              </w:rPr>
              <w:t>31</w:t>
            </w:r>
          </w:p>
        </w:tc>
        <w:tc>
          <w:tcPr>
            <w:tcW w:w="1328" w:type="dxa"/>
          </w:tcPr>
          <w:p w:rsidR="00972E75" w:rsidRDefault="00EE77F3" w14:paraId="21C027D3" w14:textId="77777777">
            <w:pPr>
              <w:pStyle w:val="TableParagraph"/>
              <w:spacing w:before="0" w:line="230" w:lineRule="exact"/>
              <w:rPr>
                <w:sz w:val="20"/>
              </w:rPr>
            </w:pPr>
            <w:r>
              <w:rPr>
                <w:sz w:val="20"/>
              </w:rPr>
              <w:t>2</w:t>
            </w:r>
          </w:p>
        </w:tc>
        <w:tc>
          <w:tcPr>
            <w:tcW w:w="1282" w:type="dxa"/>
          </w:tcPr>
          <w:p w:rsidRPr="008C4EA4" w:rsidR="00972E75" w:rsidRDefault="00EE77F3" w14:paraId="63C4A0F1" w14:textId="77777777">
            <w:pPr>
              <w:pStyle w:val="TableParagraph"/>
              <w:spacing w:before="3"/>
              <w:rPr>
                <w:sz w:val="20"/>
              </w:rPr>
            </w:pPr>
            <w:r w:rsidRPr="008C4EA4">
              <w:rPr>
                <w:sz w:val="20"/>
              </w:rPr>
              <w:t>62</w:t>
            </w:r>
          </w:p>
        </w:tc>
        <w:tc>
          <w:tcPr>
            <w:tcW w:w="1710" w:type="dxa"/>
          </w:tcPr>
          <w:p w:rsidR="00972E75" w:rsidP="00582009" w:rsidRDefault="00EE77F3" w14:paraId="095F2ED9" w14:textId="77777777">
            <w:pPr>
              <w:pStyle w:val="TableParagraph"/>
              <w:spacing w:before="0" w:line="230" w:lineRule="exact"/>
              <w:rPr>
                <w:sz w:val="20"/>
              </w:rPr>
            </w:pPr>
            <w:r>
              <w:rPr>
                <w:sz w:val="20"/>
              </w:rPr>
              <w:t>$</w:t>
            </w:r>
            <w:r w:rsidR="008C4EA4">
              <w:rPr>
                <w:sz w:val="20"/>
              </w:rPr>
              <w:t>1</w:t>
            </w:r>
            <w:r w:rsidR="00582009">
              <w:rPr>
                <w:sz w:val="20"/>
              </w:rPr>
              <w:t>7</w:t>
            </w:r>
            <w:r w:rsidR="008C4EA4">
              <w:rPr>
                <w:sz w:val="20"/>
              </w:rPr>
              <w:t>,</w:t>
            </w:r>
            <w:r w:rsidR="00582009">
              <w:rPr>
                <w:sz w:val="20"/>
              </w:rPr>
              <w:t>050</w:t>
            </w:r>
          </w:p>
        </w:tc>
      </w:tr>
      <w:tr w:rsidR="00515198" w:rsidTr="00991366" w14:paraId="7D1C0B18" w14:textId="77777777">
        <w:trPr>
          <w:trHeight w:val="1314" w:hRule="exact"/>
        </w:trPr>
        <w:tc>
          <w:tcPr>
            <w:tcW w:w="1610" w:type="dxa"/>
          </w:tcPr>
          <w:p w:rsidRPr="00BD5B93" w:rsidR="00515198" w:rsidP="00991366" w:rsidRDefault="00515198" w14:paraId="63E36D4D" w14:textId="77777777">
            <w:pPr>
              <w:pStyle w:val="TableParagraph"/>
              <w:rPr>
                <w:sz w:val="20"/>
              </w:rPr>
            </w:pPr>
            <w:r w:rsidRPr="00BD5B93">
              <w:rPr>
                <w:sz w:val="20"/>
              </w:rPr>
              <w:t>55.59 (c)</w:t>
            </w:r>
          </w:p>
        </w:tc>
        <w:tc>
          <w:tcPr>
            <w:tcW w:w="2430" w:type="dxa"/>
          </w:tcPr>
          <w:p w:rsidRPr="00BD5B93" w:rsidR="00515198" w:rsidP="00991366" w:rsidRDefault="00515198" w14:paraId="26E51E4E" w14:textId="77777777">
            <w:pPr>
              <w:pStyle w:val="TableParagraph"/>
              <w:spacing w:before="98"/>
              <w:rPr>
                <w:sz w:val="16"/>
              </w:rPr>
            </w:pPr>
            <w:r w:rsidRPr="00BD5B93">
              <w:rPr>
                <w:sz w:val="16"/>
              </w:rPr>
              <w:t>Requalification of licenses –- Biennial Review</w:t>
            </w:r>
          </w:p>
        </w:tc>
        <w:tc>
          <w:tcPr>
            <w:tcW w:w="2070" w:type="dxa"/>
          </w:tcPr>
          <w:p w:rsidR="00515198" w:rsidP="00991366" w:rsidRDefault="00515198" w14:paraId="3EC86F6D" w14:textId="77777777">
            <w:pPr>
              <w:pStyle w:val="TableParagraph"/>
              <w:rPr>
                <w:sz w:val="20"/>
              </w:rPr>
            </w:pPr>
            <w:r>
              <w:rPr>
                <w:sz w:val="20"/>
              </w:rPr>
              <w:t>32 Power Sites</w:t>
            </w:r>
          </w:p>
        </w:tc>
        <w:tc>
          <w:tcPr>
            <w:tcW w:w="1350" w:type="dxa"/>
          </w:tcPr>
          <w:p w:rsidR="00515198" w:rsidP="00991366" w:rsidRDefault="00515198" w14:paraId="2A678150" w14:textId="77777777">
            <w:pPr>
              <w:pStyle w:val="TableParagraph"/>
              <w:rPr>
                <w:sz w:val="20"/>
              </w:rPr>
            </w:pPr>
            <w:r>
              <w:rPr>
                <w:sz w:val="20"/>
              </w:rPr>
              <w:t>1</w:t>
            </w:r>
          </w:p>
        </w:tc>
        <w:tc>
          <w:tcPr>
            <w:tcW w:w="1350" w:type="dxa"/>
          </w:tcPr>
          <w:p w:rsidR="00515198" w:rsidP="00991366" w:rsidRDefault="00515198" w14:paraId="5FD8B64C" w14:textId="77777777">
            <w:pPr>
              <w:pStyle w:val="TableParagraph"/>
              <w:rPr>
                <w:sz w:val="20"/>
              </w:rPr>
            </w:pPr>
            <w:r>
              <w:rPr>
                <w:sz w:val="20"/>
              </w:rPr>
              <w:t>32</w:t>
            </w:r>
          </w:p>
        </w:tc>
        <w:tc>
          <w:tcPr>
            <w:tcW w:w="1328" w:type="dxa"/>
          </w:tcPr>
          <w:p w:rsidR="00515198" w:rsidP="00991366" w:rsidRDefault="00515198" w14:paraId="17D67274" w14:textId="77777777">
            <w:pPr>
              <w:pStyle w:val="TableParagraph"/>
              <w:rPr>
                <w:sz w:val="20"/>
              </w:rPr>
            </w:pPr>
            <w:r>
              <w:rPr>
                <w:sz w:val="20"/>
              </w:rPr>
              <w:t>1270</w:t>
            </w:r>
          </w:p>
        </w:tc>
        <w:tc>
          <w:tcPr>
            <w:tcW w:w="1282" w:type="dxa"/>
          </w:tcPr>
          <w:p w:rsidR="00515198" w:rsidP="00991366" w:rsidRDefault="00515198" w14:paraId="18F194C0" w14:textId="77777777">
            <w:pPr>
              <w:pStyle w:val="TableParagraph"/>
              <w:rPr>
                <w:sz w:val="20"/>
              </w:rPr>
            </w:pPr>
            <w:r>
              <w:rPr>
                <w:sz w:val="20"/>
              </w:rPr>
              <w:t>40,640</w:t>
            </w:r>
          </w:p>
        </w:tc>
        <w:tc>
          <w:tcPr>
            <w:tcW w:w="1710" w:type="dxa"/>
          </w:tcPr>
          <w:p w:rsidR="00515198" w:rsidP="00991366" w:rsidRDefault="00515198" w14:paraId="06E43D9B" w14:textId="77777777">
            <w:pPr>
              <w:pStyle w:val="TableParagraph"/>
              <w:rPr>
                <w:sz w:val="20"/>
              </w:rPr>
            </w:pPr>
            <w:r>
              <w:rPr>
                <w:sz w:val="20"/>
              </w:rPr>
              <w:t>$11,176,000</w:t>
            </w:r>
          </w:p>
        </w:tc>
      </w:tr>
      <w:tr w:rsidR="00515198" w:rsidTr="00991366" w14:paraId="127C20D7" w14:textId="77777777">
        <w:trPr>
          <w:trHeight w:val="403" w:hRule="exact"/>
        </w:trPr>
        <w:tc>
          <w:tcPr>
            <w:tcW w:w="1610" w:type="dxa"/>
          </w:tcPr>
          <w:p w:rsidRPr="00BD5B93" w:rsidR="00515198" w:rsidP="00991366" w:rsidRDefault="00515198" w14:paraId="7D2306EA" w14:textId="77777777">
            <w:pPr>
              <w:pStyle w:val="TableParagraph"/>
              <w:rPr>
                <w:sz w:val="20"/>
              </w:rPr>
            </w:pPr>
            <w:r w:rsidRPr="00BD5B93">
              <w:rPr>
                <w:sz w:val="20"/>
              </w:rPr>
              <w:t>55.59(c)</w:t>
            </w:r>
          </w:p>
        </w:tc>
        <w:tc>
          <w:tcPr>
            <w:tcW w:w="2430" w:type="dxa"/>
          </w:tcPr>
          <w:p w:rsidRPr="00BD5B93" w:rsidR="00515198" w:rsidP="00991366" w:rsidRDefault="00515198" w14:paraId="43CD3F5C" w14:textId="77777777">
            <w:pPr>
              <w:pStyle w:val="TableParagraph"/>
              <w:spacing w:before="98"/>
              <w:rPr>
                <w:sz w:val="16"/>
              </w:rPr>
            </w:pPr>
            <w:r w:rsidRPr="00BD5B93">
              <w:rPr>
                <w:sz w:val="16"/>
              </w:rPr>
              <w:t>Requalification of licenses</w:t>
            </w:r>
          </w:p>
        </w:tc>
        <w:tc>
          <w:tcPr>
            <w:tcW w:w="2070" w:type="dxa"/>
          </w:tcPr>
          <w:p w:rsidR="00515198" w:rsidP="00991366" w:rsidRDefault="00515198" w14:paraId="34048C1B" w14:textId="77777777">
            <w:pPr>
              <w:pStyle w:val="TableParagraph"/>
              <w:rPr>
                <w:sz w:val="20"/>
              </w:rPr>
            </w:pPr>
            <w:r>
              <w:rPr>
                <w:sz w:val="20"/>
              </w:rPr>
              <w:t>31 Non-power Sites</w:t>
            </w:r>
          </w:p>
        </w:tc>
        <w:tc>
          <w:tcPr>
            <w:tcW w:w="1350" w:type="dxa"/>
          </w:tcPr>
          <w:p w:rsidR="00515198" w:rsidP="00991366" w:rsidRDefault="00515198" w14:paraId="2D7FBFED" w14:textId="77777777">
            <w:pPr>
              <w:pStyle w:val="TableParagraph"/>
              <w:ind w:left="92"/>
              <w:rPr>
                <w:sz w:val="20"/>
              </w:rPr>
            </w:pPr>
            <w:r>
              <w:rPr>
                <w:sz w:val="20"/>
              </w:rPr>
              <w:t>1</w:t>
            </w:r>
          </w:p>
        </w:tc>
        <w:tc>
          <w:tcPr>
            <w:tcW w:w="1350" w:type="dxa"/>
          </w:tcPr>
          <w:p w:rsidR="00515198" w:rsidP="00991366" w:rsidRDefault="00515198" w14:paraId="18F2B1F4" w14:textId="77777777">
            <w:pPr>
              <w:pStyle w:val="TableParagraph"/>
              <w:ind w:left="92"/>
              <w:rPr>
                <w:sz w:val="20"/>
              </w:rPr>
            </w:pPr>
            <w:r>
              <w:rPr>
                <w:sz w:val="20"/>
              </w:rPr>
              <w:t>31</w:t>
            </w:r>
          </w:p>
        </w:tc>
        <w:tc>
          <w:tcPr>
            <w:tcW w:w="1328" w:type="dxa"/>
          </w:tcPr>
          <w:p w:rsidR="00515198" w:rsidP="00991366" w:rsidRDefault="00515198" w14:paraId="31A1A2BA" w14:textId="77777777">
            <w:pPr>
              <w:pStyle w:val="TableParagraph"/>
              <w:ind w:left="92"/>
              <w:rPr>
                <w:sz w:val="20"/>
              </w:rPr>
            </w:pPr>
            <w:r>
              <w:rPr>
                <w:sz w:val="20"/>
              </w:rPr>
              <w:t>8</w:t>
            </w:r>
          </w:p>
        </w:tc>
        <w:tc>
          <w:tcPr>
            <w:tcW w:w="1282" w:type="dxa"/>
          </w:tcPr>
          <w:p w:rsidR="00515198" w:rsidP="00991366" w:rsidRDefault="00515198" w14:paraId="20EC7F2E" w14:textId="77777777">
            <w:pPr>
              <w:pStyle w:val="TableParagraph"/>
              <w:ind w:left="92"/>
              <w:rPr>
                <w:sz w:val="20"/>
              </w:rPr>
            </w:pPr>
            <w:r>
              <w:rPr>
                <w:sz w:val="20"/>
              </w:rPr>
              <w:t>248</w:t>
            </w:r>
          </w:p>
        </w:tc>
        <w:tc>
          <w:tcPr>
            <w:tcW w:w="1710" w:type="dxa"/>
          </w:tcPr>
          <w:p w:rsidR="00515198" w:rsidP="00991366" w:rsidRDefault="00515198" w14:paraId="2BD7D7BC" w14:textId="77777777">
            <w:pPr>
              <w:pStyle w:val="TableParagraph"/>
              <w:ind w:left="92"/>
              <w:rPr>
                <w:sz w:val="20"/>
              </w:rPr>
            </w:pPr>
            <w:r>
              <w:rPr>
                <w:sz w:val="20"/>
              </w:rPr>
              <w:t>$68,200</w:t>
            </w:r>
          </w:p>
        </w:tc>
      </w:tr>
      <w:tr w:rsidR="00972E75" w:rsidTr="007B6F25" w14:paraId="44FFA1C6" w14:textId="77777777">
        <w:trPr>
          <w:trHeight w:val="403" w:hRule="exact"/>
        </w:trPr>
        <w:tc>
          <w:tcPr>
            <w:tcW w:w="1610" w:type="dxa"/>
          </w:tcPr>
          <w:p w:rsidRPr="00BD5B93" w:rsidR="00972E75" w:rsidRDefault="00EE77F3" w14:paraId="2176362B" w14:textId="4E2D96CD">
            <w:pPr>
              <w:pStyle w:val="TableParagraph"/>
              <w:rPr>
                <w:sz w:val="20"/>
              </w:rPr>
            </w:pPr>
            <w:r w:rsidRPr="00BD5B93">
              <w:rPr>
                <w:sz w:val="20"/>
              </w:rPr>
              <w:lastRenderedPageBreak/>
              <w:t>55.59(c)</w:t>
            </w:r>
            <w:r w:rsidRPr="00BD5B93" w:rsidR="00F92ADE">
              <w:rPr>
                <w:sz w:val="20"/>
              </w:rPr>
              <w:t>(5)</w:t>
            </w:r>
          </w:p>
        </w:tc>
        <w:tc>
          <w:tcPr>
            <w:tcW w:w="2430" w:type="dxa"/>
          </w:tcPr>
          <w:p w:rsidRPr="00BD5B93" w:rsidR="001A5C7D" w:rsidRDefault="00EE77F3" w14:paraId="4F08E005" w14:textId="6380E708">
            <w:pPr>
              <w:pStyle w:val="TableParagraph"/>
              <w:spacing w:before="98"/>
              <w:rPr>
                <w:sz w:val="16"/>
              </w:rPr>
            </w:pPr>
            <w:r w:rsidRPr="00BD5B93">
              <w:rPr>
                <w:sz w:val="16"/>
              </w:rPr>
              <w:t>Requalification of licenses</w:t>
            </w:r>
            <w:r w:rsidRPr="00BD5B93" w:rsidR="00F92ADE">
              <w:rPr>
                <w:sz w:val="16"/>
              </w:rPr>
              <w:t xml:space="preserve"> </w:t>
            </w:r>
            <w:r w:rsidRPr="00BD5B93" w:rsidR="00002583">
              <w:rPr>
                <w:sz w:val="16"/>
              </w:rPr>
              <w:t>–</w:t>
            </w:r>
            <w:r w:rsidRPr="00BD5B93" w:rsidR="00F92ADE">
              <w:rPr>
                <w:sz w:val="16"/>
              </w:rPr>
              <w:t xml:space="preserve"> </w:t>
            </w:r>
            <w:bookmarkStart w:name="_Hlk11930183" w:id="1"/>
            <w:proofErr w:type="spellStart"/>
            <w:r w:rsidRPr="00BD5B93" w:rsidR="00F92ADE">
              <w:rPr>
                <w:sz w:val="16"/>
              </w:rPr>
              <w:t>Reords</w:t>
            </w:r>
            <w:bookmarkEnd w:id="1"/>
            <w:proofErr w:type="spellEnd"/>
          </w:p>
        </w:tc>
        <w:tc>
          <w:tcPr>
            <w:tcW w:w="2070" w:type="dxa"/>
          </w:tcPr>
          <w:p w:rsidR="00972E75" w:rsidRDefault="008C4EA4" w14:paraId="2286F5D6" w14:textId="42BB5E95">
            <w:pPr>
              <w:pStyle w:val="TableParagraph"/>
              <w:rPr>
                <w:sz w:val="20"/>
              </w:rPr>
            </w:pPr>
            <w:r>
              <w:rPr>
                <w:sz w:val="20"/>
              </w:rPr>
              <w:t>64</w:t>
            </w:r>
            <w:r w:rsidR="00EE77F3">
              <w:rPr>
                <w:sz w:val="20"/>
              </w:rPr>
              <w:t xml:space="preserve"> Power Sites</w:t>
            </w:r>
          </w:p>
        </w:tc>
        <w:tc>
          <w:tcPr>
            <w:tcW w:w="1350" w:type="dxa"/>
          </w:tcPr>
          <w:p w:rsidR="00972E75" w:rsidRDefault="00EE77F3" w14:paraId="2E91DA4D" w14:textId="62E96FE3">
            <w:pPr>
              <w:pStyle w:val="TableParagraph"/>
              <w:ind w:left="94"/>
              <w:rPr>
                <w:sz w:val="20"/>
              </w:rPr>
            </w:pPr>
            <w:r>
              <w:rPr>
                <w:sz w:val="20"/>
              </w:rPr>
              <w:t>1</w:t>
            </w:r>
          </w:p>
        </w:tc>
        <w:tc>
          <w:tcPr>
            <w:tcW w:w="1350" w:type="dxa"/>
          </w:tcPr>
          <w:p w:rsidR="00972E75" w:rsidRDefault="008C4EA4" w14:paraId="2C70815C" w14:textId="62DA11CA">
            <w:pPr>
              <w:pStyle w:val="TableParagraph"/>
              <w:ind w:left="94"/>
              <w:rPr>
                <w:sz w:val="20"/>
              </w:rPr>
            </w:pPr>
            <w:r>
              <w:rPr>
                <w:sz w:val="20"/>
              </w:rPr>
              <w:t>64</w:t>
            </w:r>
          </w:p>
        </w:tc>
        <w:tc>
          <w:tcPr>
            <w:tcW w:w="1328" w:type="dxa"/>
          </w:tcPr>
          <w:p w:rsidR="00972E75" w:rsidRDefault="00EE77F3" w14:paraId="731F618A" w14:textId="311DE4AA">
            <w:pPr>
              <w:pStyle w:val="TableParagraph"/>
              <w:ind w:left="94"/>
              <w:rPr>
                <w:sz w:val="20"/>
              </w:rPr>
            </w:pPr>
            <w:r>
              <w:rPr>
                <w:sz w:val="20"/>
              </w:rPr>
              <w:t>6</w:t>
            </w:r>
          </w:p>
        </w:tc>
        <w:tc>
          <w:tcPr>
            <w:tcW w:w="1282" w:type="dxa"/>
          </w:tcPr>
          <w:p w:rsidR="00972E75" w:rsidRDefault="008C4EA4" w14:paraId="15EDD10A" w14:textId="41493909">
            <w:pPr>
              <w:pStyle w:val="TableParagraph"/>
              <w:ind w:left="94"/>
              <w:rPr>
                <w:sz w:val="20"/>
              </w:rPr>
            </w:pPr>
            <w:r>
              <w:rPr>
                <w:sz w:val="20"/>
              </w:rPr>
              <w:t>384</w:t>
            </w:r>
          </w:p>
        </w:tc>
        <w:tc>
          <w:tcPr>
            <w:tcW w:w="1710" w:type="dxa"/>
          </w:tcPr>
          <w:p w:rsidR="00972E75" w:rsidP="00582009" w:rsidRDefault="008C4EA4" w14:paraId="5F79214E" w14:textId="3E398FAA">
            <w:pPr>
              <w:pStyle w:val="TableParagraph"/>
              <w:rPr>
                <w:sz w:val="20"/>
              </w:rPr>
            </w:pPr>
            <w:r>
              <w:rPr>
                <w:sz w:val="20"/>
              </w:rPr>
              <w:t>$10</w:t>
            </w:r>
            <w:r w:rsidR="00582009">
              <w:rPr>
                <w:sz w:val="20"/>
              </w:rPr>
              <w:t>5</w:t>
            </w:r>
            <w:r>
              <w:rPr>
                <w:sz w:val="20"/>
              </w:rPr>
              <w:t>,</w:t>
            </w:r>
            <w:r w:rsidR="00582009">
              <w:rPr>
                <w:sz w:val="20"/>
              </w:rPr>
              <w:t>600</w:t>
            </w:r>
          </w:p>
        </w:tc>
      </w:tr>
      <w:tr w:rsidR="00972E75" w:rsidTr="007B6F25" w14:paraId="5E689737" w14:textId="77777777">
        <w:trPr>
          <w:trHeight w:val="634" w:hRule="exact"/>
        </w:trPr>
        <w:tc>
          <w:tcPr>
            <w:tcW w:w="1610" w:type="dxa"/>
          </w:tcPr>
          <w:p w:rsidR="00972E75" w:rsidRDefault="00EE77F3" w14:paraId="00ADE07A" w14:textId="77777777">
            <w:pPr>
              <w:pStyle w:val="TableParagraph"/>
              <w:ind w:right="294"/>
              <w:rPr>
                <w:sz w:val="20"/>
              </w:rPr>
            </w:pPr>
            <w:r>
              <w:rPr>
                <w:sz w:val="20"/>
              </w:rPr>
              <w:t>TOTAL REPORTING</w:t>
            </w:r>
          </w:p>
        </w:tc>
        <w:tc>
          <w:tcPr>
            <w:tcW w:w="2430" w:type="dxa"/>
          </w:tcPr>
          <w:p w:rsidR="00972E75" w:rsidRDefault="00972E75" w14:paraId="2989677D" w14:textId="77777777"/>
        </w:tc>
        <w:tc>
          <w:tcPr>
            <w:tcW w:w="2070" w:type="dxa"/>
          </w:tcPr>
          <w:p w:rsidR="00972E75" w:rsidRDefault="00211E66" w14:paraId="1753DE9C" w14:textId="77777777">
            <w:pPr>
              <w:pStyle w:val="TableParagraph"/>
              <w:rPr>
                <w:sz w:val="20"/>
              </w:rPr>
            </w:pPr>
            <w:r>
              <w:rPr>
                <w:sz w:val="20"/>
              </w:rPr>
              <w:t>95</w:t>
            </w:r>
          </w:p>
        </w:tc>
        <w:tc>
          <w:tcPr>
            <w:tcW w:w="1350" w:type="dxa"/>
          </w:tcPr>
          <w:p w:rsidR="00972E75" w:rsidRDefault="00972E75" w14:paraId="078FCE7F" w14:textId="77777777"/>
        </w:tc>
        <w:tc>
          <w:tcPr>
            <w:tcW w:w="1350" w:type="dxa"/>
          </w:tcPr>
          <w:p w:rsidR="00972E75" w:rsidRDefault="006B6C2A" w14:paraId="32F1825E" w14:textId="77777777">
            <w:pPr>
              <w:pStyle w:val="TableParagraph"/>
              <w:rPr>
                <w:sz w:val="20"/>
              </w:rPr>
            </w:pPr>
            <w:r>
              <w:rPr>
                <w:sz w:val="20"/>
              </w:rPr>
              <w:t>353</w:t>
            </w:r>
          </w:p>
        </w:tc>
        <w:tc>
          <w:tcPr>
            <w:tcW w:w="1328" w:type="dxa"/>
          </w:tcPr>
          <w:p w:rsidR="00972E75" w:rsidRDefault="00972E75" w14:paraId="76231006" w14:textId="77777777"/>
        </w:tc>
        <w:tc>
          <w:tcPr>
            <w:tcW w:w="1282" w:type="dxa"/>
          </w:tcPr>
          <w:p w:rsidR="00972E75" w:rsidRDefault="006B6C2A" w14:paraId="3A2A9D65" w14:textId="77777777">
            <w:pPr>
              <w:pStyle w:val="TableParagraph"/>
              <w:rPr>
                <w:sz w:val="20"/>
              </w:rPr>
            </w:pPr>
            <w:r>
              <w:rPr>
                <w:sz w:val="20"/>
              </w:rPr>
              <w:t>150,86</w:t>
            </w:r>
            <w:r w:rsidR="008C4EA4">
              <w:rPr>
                <w:sz w:val="20"/>
              </w:rPr>
              <w:t>9</w:t>
            </w:r>
          </w:p>
        </w:tc>
        <w:tc>
          <w:tcPr>
            <w:tcW w:w="1710" w:type="dxa"/>
          </w:tcPr>
          <w:p w:rsidR="00972E75" w:rsidP="00582009" w:rsidRDefault="00EE77F3" w14:paraId="0FE4FA72" w14:textId="77777777">
            <w:pPr>
              <w:pStyle w:val="TableParagraph"/>
              <w:rPr>
                <w:sz w:val="20"/>
              </w:rPr>
            </w:pPr>
            <w:r>
              <w:rPr>
                <w:sz w:val="20"/>
              </w:rPr>
              <w:t>$</w:t>
            </w:r>
            <w:r w:rsidR="00582009">
              <w:rPr>
                <w:sz w:val="20"/>
              </w:rPr>
              <w:t>41,488,975</w:t>
            </w:r>
          </w:p>
        </w:tc>
      </w:tr>
    </w:tbl>
    <w:p w:rsidR="00972E75" w:rsidRDefault="00972E75" w14:paraId="6D7E14D6" w14:textId="77777777">
      <w:pPr>
        <w:pStyle w:val="BodyText"/>
        <w:spacing w:before="10"/>
        <w:rPr>
          <w:sz w:val="31"/>
        </w:rPr>
      </w:pPr>
    </w:p>
    <w:p w:rsidR="00972E75" w:rsidRDefault="00972E75" w14:paraId="18F23940" w14:textId="77777777">
      <w:pPr>
        <w:pStyle w:val="BodyText"/>
        <w:spacing w:before="1"/>
        <w:ind w:left="6324" w:right="6702"/>
        <w:jc w:val="center"/>
      </w:pPr>
    </w:p>
    <w:p w:rsidR="00972E75" w:rsidRDefault="00972E75" w14:paraId="1F8B081F" w14:textId="77777777">
      <w:pPr>
        <w:jc w:val="center"/>
        <w:sectPr w:rsidR="00972E75" w:rsidSect="00984D5B">
          <w:headerReference w:type="even" r:id="rId14"/>
          <w:pgSz w:w="15840" w:h="12240" w:orient="landscape"/>
          <w:pgMar w:top="1140" w:right="940" w:bottom="280" w:left="1320" w:header="720" w:footer="720" w:gutter="0"/>
          <w:cols w:space="720"/>
          <w:docGrid w:linePitch="299"/>
        </w:sectPr>
      </w:pPr>
    </w:p>
    <w:p w:rsidR="00972E75" w:rsidRDefault="00972E75" w14:paraId="33C345C2" w14:textId="77777777">
      <w:pPr>
        <w:pStyle w:val="BodyText"/>
        <w:spacing w:before="2"/>
      </w:pPr>
    </w:p>
    <w:p w:rsidR="00972E75" w:rsidRDefault="00EE77F3" w14:paraId="6557FBAA" w14:textId="77777777">
      <w:pPr>
        <w:pStyle w:val="BodyText"/>
        <w:spacing w:before="93"/>
        <w:ind w:left="1753"/>
      </w:pPr>
      <w:r>
        <w:t>TABLE 2: ANNUAL INDUSTRY RECORDKEEPING REQUIREMENTS</w:t>
      </w:r>
    </w:p>
    <w:tbl>
      <w:tblPr>
        <w:tblW w:w="0" w:type="auto"/>
        <w:tblInd w:w="2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980"/>
        <w:gridCol w:w="2250"/>
        <w:gridCol w:w="2250"/>
        <w:gridCol w:w="1890"/>
        <w:gridCol w:w="1890"/>
        <w:gridCol w:w="2210"/>
      </w:tblGrid>
      <w:tr w:rsidR="00972E75" w14:paraId="7F4F8DD3" w14:textId="77777777">
        <w:trPr>
          <w:trHeight w:val="1015" w:hRule="exact"/>
        </w:trPr>
        <w:tc>
          <w:tcPr>
            <w:tcW w:w="1980" w:type="dxa"/>
            <w:shd w:val="clear" w:color="auto" w:fill="F1F1F1"/>
          </w:tcPr>
          <w:p w:rsidR="00972E75" w:rsidRDefault="00EE77F3" w14:paraId="7B5EA0F1" w14:textId="77777777">
            <w:pPr>
              <w:pStyle w:val="TableParagraph"/>
              <w:spacing w:before="98"/>
              <w:ind w:left="649"/>
              <w:rPr>
                <w:sz w:val="20"/>
              </w:rPr>
            </w:pPr>
            <w:r>
              <w:rPr>
                <w:sz w:val="20"/>
              </w:rPr>
              <w:t>Section</w:t>
            </w:r>
          </w:p>
        </w:tc>
        <w:tc>
          <w:tcPr>
            <w:tcW w:w="2250" w:type="dxa"/>
            <w:shd w:val="clear" w:color="auto" w:fill="F1F1F1"/>
          </w:tcPr>
          <w:p w:rsidR="00972E75" w:rsidRDefault="00972E75" w14:paraId="785124E0" w14:textId="77777777">
            <w:pPr>
              <w:pStyle w:val="TableParagraph"/>
              <w:spacing w:before="9"/>
              <w:ind w:left="0"/>
              <w:rPr>
                <w:sz w:val="24"/>
              </w:rPr>
            </w:pPr>
          </w:p>
          <w:p w:rsidR="00972E75" w:rsidRDefault="00EE77F3" w14:paraId="5C0091CB" w14:textId="77777777">
            <w:pPr>
              <w:pStyle w:val="TableParagraph"/>
              <w:spacing w:before="1"/>
              <w:rPr>
                <w:sz w:val="20"/>
              </w:rPr>
            </w:pPr>
            <w:r>
              <w:rPr>
                <w:sz w:val="20"/>
              </w:rPr>
              <w:t>Descriptions</w:t>
            </w:r>
          </w:p>
        </w:tc>
        <w:tc>
          <w:tcPr>
            <w:tcW w:w="2250" w:type="dxa"/>
            <w:shd w:val="clear" w:color="auto" w:fill="F1F1F1"/>
          </w:tcPr>
          <w:p w:rsidR="00972E75" w:rsidRDefault="00EE77F3" w14:paraId="1CE612A8" w14:textId="77777777">
            <w:pPr>
              <w:pStyle w:val="TableParagraph"/>
              <w:spacing w:before="0"/>
              <w:ind w:right="766"/>
              <w:rPr>
                <w:sz w:val="20"/>
              </w:rPr>
            </w:pPr>
            <w:r>
              <w:rPr>
                <w:sz w:val="20"/>
              </w:rPr>
              <w:t>Number of Recordkeepers</w:t>
            </w:r>
          </w:p>
        </w:tc>
        <w:tc>
          <w:tcPr>
            <w:tcW w:w="1890" w:type="dxa"/>
            <w:shd w:val="clear" w:color="auto" w:fill="F1F1F1"/>
          </w:tcPr>
          <w:p w:rsidR="00972E75" w:rsidRDefault="00EE77F3" w14:paraId="41667ED0" w14:textId="77777777">
            <w:pPr>
              <w:pStyle w:val="TableParagraph"/>
              <w:spacing w:before="98"/>
              <w:ind w:right="161"/>
              <w:rPr>
                <w:sz w:val="20"/>
              </w:rPr>
            </w:pPr>
            <w:r>
              <w:rPr>
                <w:sz w:val="20"/>
              </w:rPr>
              <w:t>Burden Hours Per Recordkeeper</w:t>
            </w:r>
          </w:p>
        </w:tc>
        <w:tc>
          <w:tcPr>
            <w:tcW w:w="1890" w:type="dxa"/>
            <w:shd w:val="clear" w:color="auto" w:fill="F1F1F1"/>
          </w:tcPr>
          <w:p w:rsidR="00972E75" w:rsidRDefault="00EE77F3" w14:paraId="141BCBDB" w14:textId="77777777">
            <w:pPr>
              <w:pStyle w:val="TableParagraph"/>
              <w:spacing w:before="98"/>
              <w:ind w:right="617"/>
              <w:rPr>
                <w:sz w:val="20"/>
              </w:rPr>
            </w:pPr>
            <w:r>
              <w:rPr>
                <w:sz w:val="20"/>
              </w:rPr>
              <w:t>Total Burden Hours</w:t>
            </w:r>
          </w:p>
        </w:tc>
        <w:tc>
          <w:tcPr>
            <w:tcW w:w="2210" w:type="dxa"/>
            <w:shd w:val="clear" w:color="auto" w:fill="F1F1F1"/>
          </w:tcPr>
          <w:p w:rsidR="00972E75" w:rsidRDefault="00EE77F3" w14:paraId="09683F51" w14:textId="77777777">
            <w:pPr>
              <w:pStyle w:val="TableParagraph"/>
              <w:spacing w:before="98"/>
              <w:rPr>
                <w:sz w:val="20"/>
              </w:rPr>
            </w:pPr>
            <w:r>
              <w:rPr>
                <w:sz w:val="20"/>
              </w:rPr>
              <w:t>Cost at</w:t>
            </w:r>
          </w:p>
          <w:p w:rsidR="00972E75" w:rsidP="00652AC1" w:rsidRDefault="00EE77F3" w14:paraId="7F51C716" w14:textId="77777777">
            <w:pPr>
              <w:pStyle w:val="TableParagraph"/>
              <w:spacing w:before="0"/>
              <w:rPr>
                <w:sz w:val="20"/>
              </w:rPr>
            </w:pPr>
            <w:r>
              <w:rPr>
                <w:sz w:val="20"/>
              </w:rPr>
              <w:t>$</w:t>
            </w:r>
            <w:r w:rsidR="007508A6">
              <w:rPr>
                <w:sz w:val="20"/>
              </w:rPr>
              <w:t>2</w:t>
            </w:r>
            <w:r w:rsidR="00652AC1">
              <w:rPr>
                <w:sz w:val="20"/>
              </w:rPr>
              <w:t>75</w:t>
            </w:r>
            <w:r w:rsidR="007508A6">
              <w:rPr>
                <w:sz w:val="20"/>
              </w:rPr>
              <w:t xml:space="preserve"> </w:t>
            </w:r>
            <w:r>
              <w:rPr>
                <w:sz w:val="20"/>
              </w:rPr>
              <w:t>/ Hour</w:t>
            </w:r>
          </w:p>
        </w:tc>
      </w:tr>
      <w:tr w:rsidR="00972E75" w:rsidTr="00652AC1" w14:paraId="14A6B67C" w14:textId="77777777">
        <w:trPr>
          <w:trHeight w:val="1188" w:hRule="exact"/>
        </w:trPr>
        <w:tc>
          <w:tcPr>
            <w:tcW w:w="1980" w:type="dxa"/>
          </w:tcPr>
          <w:p w:rsidRPr="00652AC1" w:rsidR="00972E75" w:rsidRDefault="00EE77F3" w14:paraId="2A00DB27" w14:textId="77777777">
            <w:pPr>
              <w:pStyle w:val="TableParagraph"/>
              <w:spacing w:before="100"/>
              <w:rPr>
                <w:sz w:val="20"/>
                <w:szCs w:val="20"/>
              </w:rPr>
            </w:pPr>
            <w:r w:rsidRPr="00652AC1">
              <w:rPr>
                <w:sz w:val="20"/>
                <w:szCs w:val="20"/>
              </w:rPr>
              <w:t>55.40(b)(2)</w:t>
            </w:r>
          </w:p>
        </w:tc>
        <w:tc>
          <w:tcPr>
            <w:tcW w:w="2250" w:type="dxa"/>
          </w:tcPr>
          <w:p w:rsidRPr="00652AC1" w:rsidR="00972E75" w:rsidRDefault="00EE77F3" w14:paraId="7DE4389D" w14:textId="77777777">
            <w:pPr>
              <w:pStyle w:val="TableParagraph"/>
              <w:ind w:right="299"/>
              <w:rPr>
                <w:sz w:val="20"/>
                <w:szCs w:val="20"/>
              </w:rPr>
            </w:pPr>
            <w:r w:rsidRPr="00652AC1">
              <w:rPr>
                <w:sz w:val="20"/>
                <w:szCs w:val="20"/>
              </w:rPr>
              <w:t>Written Examinations and Operating Test- Implementation</w:t>
            </w:r>
          </w:p>
        </w:tc>
        <w:tc>
          <w:tcPr>
            <w:tcW w:w="2250" w:type="dxa"/>
          </w:tcPr>
          <w:p w:rsidRPr="00652AC1" w:rsidR="00972E75" w:rsidRDefault="0091119F" w14:paraId="375CC9E2" w14:textId="77777777">
            <w:pPr>
              <w:pStyle w:val="TableParagraph"/>
              <w:spacing w:before="100"/>
              <w:rPr>
                <w:sz w:val="20"/>
                <w:szCs w:val="20"/>
              </w:rPr>
            </w:pPr>
            <w:r w:rsidRPr="00652AC1">
              <w:rPr>
                <w:sz w:val="20"/>
                <w:szCs w:val="20"/>
              </w:rPr>
              <w:t>45</w:t>
            </w:r>
            <w:r w:rsidRPr="00652AC1" w:rsidR="00EE77F3">
              <w:rPr>
                <w:sz w:val="20"/>
                <w:szCs w:val="20"/>
              </w:rPr>
              <w:t xml:space="preserve"> Power Sites</w:t>
            </w:r>
          </w:p>
        </w:tc>
        <w:tc>
          <w:tcPr>
            <w:tcW w:w="1890" w:type="dxa"/>
          </w:tcPr>
          <w:p w:rsidRPr="00652AC1" w:rsidR="00972E75" w:rsidRDefault="00EE77F3" w14:paraId="7DB9BDD6" w14:textId="77777777">
            <w:pPr>
              <w:pStyle w:val="TableParagraph"/>
              <w:spacing w:before="100"/>
              <w:ind w:left="94"/>
              <w:rPr>
                <w:sz w:val="20"/>
                <w:szCs w:val="20"/>
              </w:rPr>
            </w:pPr>
            <w:r w:rsidRPr="00652AC1">
              <w:rPr>
                <w:sz w:val="20"/>
                <w:szCs w:val="20"/>
              </w:rPr>
              <w:t>20</w:t>
            </w:r>
          </w:p>
        </w:tc>
        <w:tc>
          <w:tcPr>
            <w:tcW w:w="1890" w:type="dxa"/>
          </w:tcPr>
          <w:p w:rsidRPr="00652AC1" w:rsidR="00972E75" w:rsidRDefault="0091119F" w14:paraId="59B4B9AB" w14:textId="77777777">
            <w:pPr>
              <w:pStyle w:val="TableParagraph"/>
              <w:spacing w:before="100"/>
              <w:ind w:left="94"/>
              <w:rPr>
                <w:sz w:val="20"/>
                <w:szCs w:val="20"/>
              </w:rPr>
            </w:pPr>
            <w:r w:rsidRPr="00652AC1">
              <w:rPr>
                <w:sz w:val="20"/>
                <w:szCs w:val="20"/>
              </w:rPr>
              <w:t>900</w:t>
            </w:r>
          </w:p>
        </w:tc>
        <w:tc>
          <w:tcPr>
            <w:tcW w:w="2210" w:type="dxa"/>
          </w:tcPr>
          <w:p w:rsidRPr="00652AC1" w:rsidR="00972E75" w:rsidP="00652AC1" w:rsidRDefault="0091119F" w14:paraId="0543C9F0" w14:textId="77777777">
            <w:pPr>
              <w:pStyle w:val="TableParagraph"/>
              <w:spacing w:before="100"/>
              <w:rPr>
                <w:sz w:val="20"/>
                <w:szCs w:val="20"/>
              </w:rPr>
            </w:pPr>
            <w:r w:rsidRPr="00652AC1">
              <w:rPr>
                <w:sz w:val="20"/>
                <w:szCs w:val="20"/>
              </w:rPr>
              <w:t>$2</w:t>
            </w:r>
            <w:r w:rsidRPr="00652AC1" w:rsidR="00652AC1">
              <w:rPr>
                <w:sz w:val="20"/>
                <w:szCs w:val="20"/>
              </w:rPr>
              <w:t>47</w:t>
            </w:r>
            <w:r w:rsidRPr="00652AC1">
              <w:rPr>
                <w:sz w:val="20"/>
                <w:szCs w:val="20"/>
              </w:rPr>
              <w:t>,</w:t>
            </w:r>
            <w:r w:rsidRPr="00652AC1" w:rsidR="00652AC1">
              <w:rPr>
                <w:sz w:val="20"/>
                <w:szCs w:val="20"/>
              </w:rPr>
              <w:t>5</w:t>
            </w:r>
            <w:r w:rsidRPr="00652AC1">
              <w:rPr>
                <w:sz w:val="20"/>
                <w:szCs w:val="20"/>
              </w:rPr>
              <w:t>00</w:t>
            </w:r>
          </w:p>
        </w:tc>
      </w:tr>
      <w:tr w:rsidR="00972E75" w:rsidTr="00652AC1" w14:paraId="3964845B" w14:textId="77777777">
        <w:trPr>
          <w:trHeight w:val="450" w:hRule="exact"/>
        </w:trPr>
        <w:tc>
          <w:tcPr>
            <w:tcW w:w="1980" w:type="dxa"/>
          </w:tcPr>
          <w:p w:rsidRPr="00652AC1" w:rsidR="00972E75" w:rsidRDefault="00EE77F3" w14:paraId="5AB372A9" w14:textId="77777777">
            <w:pPr>
              <w:pStyle w:val="TableParagraph"/>
              <w:rPr>
                <w:sz w:val="20"/>
                <w:szCs w:val="20"/>
              </w:rPr>
            </w:pPr>
            <w:r w:rsidRPr="00652AC1">
              <w:rPr>
                <w:sz w:val="20"/>
                <w:szCs w:val="20"/>
              </w:rPr>
              <w:t>55.53(f)</w:t>
            </w:r>
          </w:p>
        </w:tc>
        <w:tc>
          <w:tcPr>
            <w:tcW w:w="2250" w:type="dxa"/>
          </w:tcPr>
          <w:p w:rsidRPr="00652AC1" w:rsidR="00972E75" w:rsidRDefault="00EE77F3" w14:paraId="31429F67" w14:textId="77777777">
            <w:pPr>
              <w:pStyle w:val="TableParagraph"/>
              <w:spacing w:before="98"/>
              <w:rPr>
                <w:sz w:val="20"/>
                <w:szCs w:val="20"/>
              </w:rPr>
            </w:pPr>
            <w:r w:rsidRPr="00652AC1">
              <w:rPr>
                <w:sz w:val="20"/>
                <w:szCs w:val="20"/>
              </w:rPr>
              <w:t>Conditions of license</w:t>
            </w:r>
          </w:p>
        </w:tc>
        <w:tc>
          <w:tcPr>
            <w:tcW w:w="2250" w:type="dxa"/>
          </w:tcPr>
          <w:p w:rsidRPr="00652AC1" w:rsidR="00972E75" w:rsidRDefault="0091119F" w14:paraId="63E9FC5F" w14:textId="77777777">
            <w:pPr>
              <w:pStyle w:val="TableParagraph"/>
              <w:rPr>
                <w:sz w:val="20"/>
                <w:szCs w:val="20"/>
              </w:rPr>
            </w:pPr>
            <w:r w:rsidRPr="00652AC1">
              <w:rPr>
                <w:sz w:val="20"/>
                <w:szCs w:val="20"/>
              </w:rPr>
              <w:t>64</w:t>
            </w:r>
            <w:r w:rsidRPr="00652AC1" w:rsidR="00EE77F3">
              <w:rPr>
                <w:sz w:val="20"/>
                <w:szCs w:val="20"/>
              </w:rPr>
              <w:t xml:space="preserve"> Power Sites</w:t>
            </w:r>
          </w:p>
        </w:tc>
        <w:tc>
          <w:tcPr>
            <w:tcW w:w="1890" w:type="dxa"/>
          </w:tcPr>
          <w:p w:rsidRPr="00652AC1" w:rsidR="00972E75" w:rsidRDefault="00EE77F3" w14:paraId="2283AD11" w14:textId="77777777">
            <w:pPr>
              <w:pStyle w:val="TableParagraph"/>
              <w:ind w:left="94"/>
              <w:rPr>
                <w:sz w:val="20"/>
                <w:szCs w:val="20"/>
              </w:rPr>
            </w:pPr>
            <w:r w:rsidRPr="00652AC1">
              <w:rPr>
                <w:sz w:val="20"/>
                <w:szCs w:val="20"/>
              </w:rPr>
              <w:t>2</w:t>
            </w:r>
          </w:p>
        </w:tc>
        <w:tc>
          <w:tcPr>
            <w:tcW w:w="1890" w:type="dxa"/>
          </w:tcPr>
          <w:p w:rsidRPr="00652AC1" w:rsidR="00972E75" w:rsidRDefault="0091119F" w14:paraId="309335E0" w14:textId="77777777">
            <w:pPr>
              <w:pStyle w:val="TableParagraph"/>
              <w:ind w:left="94"/>
              <w:rPr>
                <w:sz w:val="20"/>
                <w:szCs w:val="20"/>
              </w:rPr>
            </w:pPr>
            <w:r w:rsidRPr="00652AC1">
              <w:rPr>
                <w:sz w:val="20"/>
                <w:szCs w:val="20"/>
              </w:rPr>
              <w:t>128</w:t>
            </w:r>
          </w:p>
        </w:tc>
        <w:tc>
          <w:tcPr>
            <w:tcW w:w="2210" w:type="dxa"/>
          </w:tcPr>
          <w:p w:rsidRPr="00652AC1" w:rsidR="00972E75" w:rsidP="00652AC1" w:rsidRDefault="0091119F" w14:paraId="1A869DE8" w14:textId="77777777">
            <w:pPr>
              <w:pStyle w:val="TableParagraph"/>
              <w:ind w:left="94"/>
              <w:rPr>
                <w:sz w:val="20"/>
                <w:szCs w:val="20"/>
              </w:rPr>
            </w:pPr>
            <w:r w:rsidRPr="00652AC1">
              <w:rPr>
                <w:sz w:val="20"/>
                <w:szCs w:val="20"/>
              </w:rPr>
              <w:t>$</w:t>
            </w:r>
            <w:r w:rsidRPr="00652AC1" w:rsidR="00652AC1">
              <w:rPr>
                <w:sz w:val="20"/>
                <w:szCs w:val="20"/>
              </w:rPr>
              <w:t>35</w:t>
            </w:r>
            <w:r w:rsidRPr="00652AC1">
              <w:rPr>
                <w:sz w:val="20"/>
                <w:szCs w:val="20"/>
              </w:rPr>
              <w:t>,</w:t>
            </w:r>
            <w:r w:rsidRPr="00652AC1" w:rsidR="00652AC1">
              <w:rPr>
                <w:sz w:val="20"/>
                <w:szCs w:val="20"/>
              </w:rPr>
              <w:t>200</w:t>
            </w:r>
          </w:p>
        </w:tc>
      </w:tr>
      <w:tr w:rsidR="00972E75" w14:paraId="18DB07A2" w14:textId="77777777">
        <w:trPr>
          <w:trHeight w:val="403" w:hRule="exact"/>
        </w:trPr>
        <w:tc>
          <w:tcPr>
            <w:tcW w:w="1980" w:type="dxa"/>
          </w:tcPr>
          <w:p w:rsidRPr="00652AC1" w:rsidR="00972E75" w:rsidRDefault="00EE77F3" w14:paraId="60365DF0" w14:textId="77777777">
            <w:pPr>
              <w:pStyle w:val="TableParagraph"/>
              <w:rPr>
                <w:sz w:val="20"/>
                <w:szCs w:val="20"/>
              </w:rPr>
            </w:pPr>
            <w:r w:rsidRPr="00652AC1">
              <w:rPr>
                <w:sz w:val="20"/>
                <w:szCs w:val="20"/>
              </w:rPr>
              <w:t>55.53(f)</w:t>
            </w:r>
          </w:p>
        </w:tc>
        <w:tc>
          <w:tcPr>
            <w:tcW w:w="2250" w:type="dxa"/>
          </w:tcPr>
          <w:p w:rsidRPr="00652AC1" w:rsidR="00972E75" w:rsidRDefault="00EE77F3" w14:paraId="20BEB9F3" w14:textId="77777777">
            <w:pPr>
              <w:pStyle w:val="TableParagraph"/>
              <w:spacing w:before="98"/>
              <w:rPr>
                <w:sz w:val="20"/>
                <w:szCs w:val="20"/>
              </w:rPr>
            </w:pPr>
            <w:r w:rsidRPr="00652AC1">
              <w:rPr>
                <w:sz w:val="20"/>
                <w:szCs w:val="20"/>
              </w:rPr>
              <w:t>Conditions of license</w:t>
            </w:r>
          </w:p>
        </w:tc>
        <w:tc>
          <w:tcPr>
            <w:tcW w:w="2250" w:type="dxa"/>
          </w:tcPr>
          <w:p w:rsidRPr="00652AC1" w:rsidR="00972E75" w:rsidRDefault="00EE77F3" w14:paraId="4FF0591F" w14:textId="77777777">
            <w:pPr>
              <w:pStyle w:val="TableParagraph"/>
              <w:rPr>
                <w:sz w:val="20"/>
                <w:szCs w:val="20"/>
              </w:rPr>
            </w:pPr>
            <w:r w:rsidRPr="00652AC1">
              <w:rPr>
                <w:sz w:val="20"/>
                <w:szCs w:val="20"/>
              </w:rPr>
              <w:t>31 Non-power Sites</w:t>
            </w:r>
          </w:p>
        </w:tc>
        <w:tc>
          <w:tcPr>
            <w:tcW w:w="1890" w:type="dxa"/>
          </w:tcPr>
          <w:p w:rsidRPr="00652AC1" w:rsidR="00972E75" w:rsidRDefault="00EE77F3" w14:paraId="5297DCCB" w14:textId="77777777">
            <w:pPr>
              <w:pStyle w:val="TableParagraph"/>
              <w:ind w:left="92"/>
              <w:rPr>
                <w:sz w:val="20"/>
                <w:szCs w:val="20"/>
              </w:rPr>
            </w:pPr>
            <w:r w:rsidRPr="00652AC1">
              <w:rPr>
                <w:sz w:val="20"/>
                <w:szCs w:val="20"/>
              </w:rPr>
              <w:t>2</w:t>
            </w:r>
          </w:p>
        </w:tc>
        <w:tc>
          <w:tcPr>
            <w:tcW w:w="1890" w:type="dxa"/>
          </w:tcPr>
          <w:p w:rsidRPr="00652AC1" w:rsidR="00972E75" w:rsidRDefault="00EE77F3" w14:paraId="26FE2C1E" w14:textId="77777777">
            <w:pPr>
              <w:pStyle w:val="TableParagraph"/>
              <w:ind w:left="92"/>
              <w:rPr>
                <w:sz w:val="20"/>
                <w:szCs w:val="20"/>
              </w:rPr>
            </w:pPr>
            <w:r w:rsidRPr="00652AC1">
              <w:rPr>
                <w:sz w:val="20"/>
                <w:szCs w:val="20"/>
              </w:rPr>
              <w:t>62</w:t>
            </w:r>
          </w:p>
        </w:tc>
        <w:tc>
          <w:tcPr>
            <w:tcW w:w="2210" w:type="dxa"/>
          </w:tcPr>
          <w:p w:rsidRPr="00652AC1" w:rsidR="00972E75" w:rsidP="00652AC1" w:rsidRDefault="0091119F" w14:paraId="7FEF429A" w14:textId="77777777">
            <w:pPr>
              <w:pStyle w:val="TableParagraph"/>
              <w:ind w:left="92"/>
              <w:rPr>
                <w:sz w:val="20"/>
                <w:szCs w:val="20"/>
              </w:rPr>
            </w:pPr>
            <w:r w:rsidRPr="00652AC1">
              <w:rPr>
                <w:sz w:val="20"/>
                <w:szCs w:val="20"/>
              </w:rPr>
              <w:t>$1</w:t>
            </w:r>
            <w:r w:rsidRPr="00652AC1" w:rsidR="00652AC1">
              <w:rPr>
                <w:sz w:val="20"/>
                <w:szCs w:val="20"/>
              </w:rPr>
              <w:t>7,050</w:t>
            </w:r>
          </w:p>
        </w:tc>
      </w:tr>
      <w:tr w:rsidR="00972E75" w:rsidTr="00652AC1" w14:paraId="23F24C37" w14:textId="77777777">
        <w:trPr>
          <w:trHeight w:val="648" w:hRule="exact"/>
        </w:trPr>
        <w:tc>
          <w:tcPr>
            <w:tcW w:w="1980" w:type="dxa"/>
          </w:tcPr>
          <w:p w:rsidRPr="00652AC1" w:rsidR="00972E75" w:rsidRDefault="00EE77F3" w14:paraId="25C084BB" w14:textId="77777777">
            <w:pPr>
              <w:pStyle w:val="TableParagraph"/>
              <w:rPr>
                <w:sz w:val="20"/>
                <w:szCs w:val="20"/>
              </w:rPr>
            </w:pPr>
            <w:r w:rsidRPr="00652AC1">
              <w:rPr>
                <w:sz w:val="20"/>
                <w:szCs w:val="20"/>
              </w:rPr>
              <w:t>55.46(d)(1)</w:t>
            </w:r>
          </w:p>
        </w:tc>
        <w:tc>
          <w:tcPr>
            <w:tcW w:w="2250" w:type="dxa"/>
          </w:tcPr>
          <w:p w:rsidRPr="00652AC1" w:rsidR="00972E75" w:rsidRDefault="00EE77F3" w14:paraId="65B0BA38" w14:textId="77777777">
            <w:pPr>
              <w:pStyle w:val="TableParagraph"/>
              <w:spacing w:before="98"/>
              <w:rPr>
                <w:sz w:val="20"/>
                <w:szCs w:val="20"/>
              </w:rPr>
            </w:pPr>
            <w:r w:rsidRPr="00652AC1">
              <w:rPr>
                <w:sz w:val="20"/>
                <w:szCs w:val="20"/>
              </w:rPr>
              <w:t>Simulation facilities</w:t>
            </w:r>
            <w:r w:rsidRPr="00652AC1" w:rsidR="00652AC1">
              <w:rPr>
                <w:sz w:val="20"/>
                <w:szCs w:val="20"/>
              </w:rPr>
              <w:t xml:space="preserve"> (Operating)</w:t>
            </w:r>
          </w:p>
        </w:tc>
        <w:tc>
          <w:tcPr>
            <w:tcW w:w="2250" w:type="dxa"/>
          </w:tcPr>
          <w:p w:rsidRPr="00652AC1" w:rsidR="00972E75" w:rsidRDefault="0091119F" w14:paraId="47E4F0B4" w14:textId="77777777">
            <w:pPr>
              <w:pStyle w:val="TableParagraph"/>
              <w:rPr>
                <w:sz w:val="20"/>
                <w:szCs w:val="20"/>
              </w:rPr>
            </w:pPr>
            <w:r w:rsidRPr="00652AC1">
              <w:rPr>
                <w:sz w:val="20"/>
                <w:szCs w:val="20"/>
              </w:rPr>
              <w:t>64</w:t>
            </w:r>
            <w:r w:rsidRPr="00652AC1" w:rsidR="00EE77F3">
              <w:rPr>
                <w:sz w:val="20"/>
                <w:szCs w:val="20"/>
              </w:rPr>
              <w:t xml:space="preserve"> Power Sites</w:t>
            </w:r>
          </w:p>
        </w:tc>
        <w:tc>
          <w:tcPr>
            <w:tcW w:w="1890" w:type="dxa"/>
          </w:tcPr>
          <w:p w:rsidRPr="00652AC1" w:rsidR="00972E75" w:rsidRDefault="00EE77F3" w14:paraId="34F2F49F" w14:textId="77777777">
            <w:pPr>
              <w:pStyle w:val="TableParagraph"/>
              <w:rPr>
                <w:sz w:val="20"/>
                <w:szCs w:val="20"/>
              </w:rPr>
            </w:pPr>
            <w:r w:rsidRPr="00652AC1">
              <w:rPr>
                <w:sz w:val="20"/>
                <w:szCs w:val="20"/>
              </w:rPr>
              <w:t>44</w:t>
            </w:r>
          </w:p>
        </w:tc>
        <w:tc>
          <w:tcPr>
            <w:tcW w:w="1890" w:type="dxa"/>
          </w:tcPr>
          <w:p w:rsidRPr="00652AC1" w:rsidR="00972E75" w:rsidRDefault="0091119F" w14:paraId="679F3952" w14:textId="77777777">
            <w:pPr>
              <w:pStyle w:val="TableParagraph"/>
              <w:rPr>
                <w:sz w:val="20"/>
                <w:szCs w:val="20"/>
              </w:rPr>
            </w:pPr>
            <w:r w:rsidRPr="00652AC1">
              <w:rPr>
                <w:sz w:val="20"/>
                <w:szCs w:val="20"/>
              </w:rPr>
              <w:t>2,816</w:t>
            </w:r>
          </w:p>
        </w:tc>
        <w:tc>
          <w:tcPr>
            <w:tcW w:w="2210" w:type="dxa"/>
          </w:tcPr>
          <w:p w:rsidRPr="00652AC1" w:rsidR="00972E75" w:rsidP="00652AC1" w:rsidRDefault="0091119F" w14:paraId="6266FC84" w14:textId="77777777">
            <w:pPr>
              <w:pStyle w:val="TableParagraph"/>
              <w:ind w:left="94"/>
              <w:rPr>
                <w:sz w:val="20"/>
                <w:szCs w:val="20"/>
              </w:rPr>
            </w:pPr>
            <w:r w:rsidRPr="00652AC1">
              <w:rPr>
                <w:sz w:val="20"/>
                <w:szCs w:val="20"/>
              </w:rPr>
              <w:t>$7</w:t>
            </w:r>
            <w:r w:rsidRPr="00652AC1" w:rsidR="00652AC1">
              <w:rPr>
                <w:sz w:val="20"/>
                <w:szCs w:val="20"/>
              </w:rPr>
              <w:t>74</w:t>
            </w:r>
            <w:r w:rsidRPr="00652AC1">
              <w:rPr>
                <w:sz w:val="20"/>
                <w:szCs w:val="20"/>
              </w:rPr>
              <w:t>,</w:t>
            </w:r>
            <w:r w:rsidRPr="00652AC1" w:rsidR="00652AC1">
              <w:rPr>
                <w:sz w:val="20"/>
                <w:szCs w:val="20"/>
              </w:rPr>
              <w:t>400</w:t>
            </w:r>
          </w:p>
        </w:tc>
      </w:tr>
      <w:tr w:rsidR="0091119F" w:rsidTr="00652AC1" w14:paraId="7C4BD2E9" w14:textId="77777777">
        <w:trPr>
          <w:trHeight w:val="630" w:hRule="exact"/>
        </w:trPr>
        <w:tc>
          <w:tcPr>
            <w:tcW w:w="1980" w:type="dxa"/>
          </w:tcPr>
          <w:p w:rsidRPr="00652AC1" w:rsidR="0091119F" w:rsidRDefault="0091119F" w14:paraId="2162A1EA" w14:textId="77777777">
            <w:pPr>
              <w:pStyle w:val="TableParagraph"/>
              <w:rPr>
                <w:sz w:val="20"/>
                <w:szCs w:val="20"/>
              </w:rPr>
            </w:pPr>
            <w:r w:rsidRPr="00652AC1">
              <w:rPr>
                <w:sz w:val="20"/>
                <w:szCs w:val="20"/>
              </w:rPr>
              <w:t>55.46(d)(1)</w:t>
            </w:r>
          </w:p>
        </w:tc>
        <w:tc>
          <w:tcPr>
            <w:tcW w:w="2250" w:type="dxa"/>
          </w:tcPr>
          <w:p w:rsidRPr="00652AC1" w:rsidR="0091119F" w:rsidRDefault="0091119F" w14:paraId="5FEA4FDE" w14:textId="77777777">
            <w:pPr>
              <w:pStyle w:val="TableParagraph"/>
              <w:spacing w:before="98"/>
              <w:rPr>
                <w:sz w:val="20"/>
                <w:szCs w:val="20"/>
              </w:rPr>
            </w:pPr>
            <w:r w:rsidRPr="00652AC1">
              <w:rPr>
                <w:sz w:val="20"/>
                <w:szCs w:val="20"/>
              </w:rPr>
              <w:t>Simulation facilities</w:t>
            </w:r>
            <w:r w:rsidRPr="00652AC1" w:rsidR="00652AC1">
              <w:rPr>
                <w:sz w:val="20"/>
                <w:szCs w:val="20"/>
              </w:rPr>
              <w:t xml:space="preserve"> (Under construction)</w:t>
            </w:r>
          </w:p>
        </w:tc>
        <w:tc>
          <w:tcPr>
            <w:tcW w:w="2250" w:type="dxa"/>
          </w:tcPr>
          <w:p w:rsidRPr="00652AC1" w:rsidR="0091119F" w:rsidRDefault="0091119F" w14:paraId="3B06EAE4" w14:textId="77777777">
            <w:pPr>
              <w:pStyle w:val="TableParagraph"/>
              <w:rPr>
                <w:sz w:val="20"/>
                <w:szCs w:val="20"/>
              </w:rPr>
            </w:pPr>
            <w:r w:rsidRPr="00652AC1">
              <w:rPr>
                <w:sz w:val="20"/>
                <w:szCs w:val="20"/>
              </w:rPr>
              <w:t>1 Power Site</w:t>
            </w:r>
          </w:p>
        </w:tc>
        <w:tc>
          <w:tcPr>
            <w:tcW w:w="1890" w:type="dxa"/>
          </w:tcPr>
          <w:p w:rsidRPr="00652AC1" w:rsidR="0091119F" w:rsidRDefault="0091119F" w14:paraId="136DEE3E" w14:textId="77777777">
            <w:pPr>
              <w:pStyle w:val="TableParagraph"/>
              <w:rPr>
                <w:sz w:val="20"/>
                <w:szCs w:val="20"/>
              </w:rPr>
            </w:pPr>
            <w:r w:rsidRPr="00652AC1">
              <w:rPr>
                <w:sz w:val="20"/>
                <w:szCs w:val="20"/>
              </w:rPr>
              <w:t>44</w:t>
            </w:r>
          </w:p>
        </w:tc>
        <w:tc>
          <w:tcPr>
            <w:tcW w:w="1890" w:type="dxa"/>
          </w:tcPr>
          <w:p w:rsidRPr="00652AC1" w:rsidR="0091119F" w:rsidRDefault="0091119F" w14:paraId="7B5989F3" w14:textId="77777777">
            <w:pPr>
              <w:pStyle w:val="TableParagraph"/>
              <w:rPr>
                <w:sz w:val="20"/>
                <w:szCs w:val="20"/>
              </w:rPr>
            </w:pPr>
            <w:r w:rsidRPr="00652AC1">
              <w:rPr>
                <w:sz w:val="20"/>
                <w:szCs w:val="20"/>
              </w:rPr>
              <w:t>44</w:t>
            </w:r>
          </w:p>
        </w:tc>
        <w:tc>
          <w:tcPr>
            <w:tcW w:w="2210" w:type="dxa"/>
          </w:tcPr>
          <w:p w:rsidRPr="00652AC1" w:rsidR="0091119F" w:rsidP="00652AC1" w:rsidRDefault="0091119F" w14:paraId="350E2FC8" w14:textId="77777777">
            <w:pPr>
              <w:pStyle w:val="TableParagraph"/>
              <w:rPr>
                <w:sz w:val="20"/>
                <w:szCs w:val="20"/>
              </w:rPr>
            </w:pPr>
            <w:r w:rsidRPr="00652AC1">
              <w:rPr>
                <w:sz w:val="20"/>
                <w:szCs w:val="20"/>
              </w:rPr>
              <w:t>$1</w:t>
            </w:r>
            <w:r w:rsidRPr="00652AC1" w:rsidR="00652AC1">
              <w:rPr>
                <w:sz w:val="20"/>
                <w:szCs w:val="20"/>
              </w:rPr>
              <w:t>2</w:t>
            </w:r>
            <w:r w:rsidRPr="00652AC1">
              <w:rPr>
                <w:sz w:val="20"/>
                <w:szCs w:val="20"/>
              </w:rPr>
              <w:t>,</w:t>
            </w:r>
            <w:r w:rsidRPr="00652AC1" w:rsidR="00652AC1">
              <w:rPr>
                <w:sz w:val="20"/>
                <w:szCs w:val="20"/>
              </w:rPr>
              <w:t>100</w:t>
            </w:r>
          </w:p>
        </w:tc>
      </w:tr>
      <w:tr w:rsidR="00972E75" w:rsidTr="00652AC1" w14:paraId="56627C78" w14:textId="77777777">
        <w:trPr>
          <w:trHeight w:val="630" w:hRule="exact"/>
        </w:trPr>
        <w:tc>
          <w:tcPr>
            <w:tcW w:w="1980" w:type="dxa"/>
          </w:tcPr>
          <w:p w:rsidRPr="00652AC1" w:rsidR="00972E75" w:rsidRDefault="00EE77F3" w14:paraId="03E72AE3" w14:textId="2B5D7864">
            <w:pPr>
              <w:pStyle w:val="TableParagraph"/>
              <w:rPr>
                <w:sz w:val="20"/>
                <w:szCs w:val="20"/>
              </w:rPr>
            </w:pPr>
            <w:r w:rsidRPr="00652AC1">
              <w:rPr>
                <w:sz w:val="20"/>
                <w:szCs w:val="20"/>
              </w:rPr>
              <w:t>55.59(c)</w:t>
            </w:r>
          </w:p>
        </w:tc>
        <w:tc>
          <w:tcPr>
            <w:tcW w:w="2250" w:type="dxa"/>
          </w:tcPr>
          <w:p w:rsidRPr="00652AC1" w:rsidR="00972E75" w:rsidRDefault="00EE77F3" w14:paraId="5664EBDA" w14:textId="77777777">
            <w:pPr>
              <w:pStyle w:val="TableParagraph"/>
              <w:spacing w:before="98"/>
              <w:rPr>
                <w:sz w:val="20"/>
                <w:szCs w:val="20"/>
              </w:rPr>
            </w:pPr>
            <w:r w:rsidRPr="00652AC1">
              <w:rPr>
                <w:sz w:val="20"/>
                <w:szCs w:val="20"/>
              </w:rPr>
              <w:t>Requalification of licenses</w:t>
            </w:r>
          </w:p>
        </w:tc>
        <w:tc>
          <w:tcPr>
            <w:tcW w:w="2250" w:type="dxa"/>
          </w:tcPr>
          <w:p w:rsidRPr="00652AC1" w:rsidR="00972E75" w:rsidRDefault="0091119F" w14:paraId="78B8FC88" w14:textId="77777777">
            <w:pPr>
              <w:pStyle w:val="TableParagraph"/>
              <w:rPr>
                <w:sz w:val="20"/>
                <w:szCs w:val="20"/>
              </w:rPr>
            </w:pPr>
            <w:r w:rsidRPr="00652AC1">
              <w:rPr>
                <w:sz w:val="20"/>
                <w:szCs w:val="20"/>
              </w:rPr>
              <w:t>64</w:t>
            </w:r>
            <w:r w:rsidRPr="00652AC1" w:rsidR="00EE77F3">
              <w:rPr>
                <w:sz w:val="20"/>
                <w:szCs w:val="20"/>
              </w:rPr>
              <w:t xml:space="preserve"> Power Sites</w:t>
            </w:r>
          </w:p>
        </w:tc>
        <w:tc>
          <w:tcPr>
            <w:tcW w:w="1890" w:type="dxa"/>
          </w:tcPr>
          <w:p w:rsidRPr="00652AC1" w:rsidR="00972E75" w:rsidRDefault="00EE77F3" w14:paraId="6BBCF4A6" w14:textId="77777777">
            <w:pPr>
              <w:pStyle w:val="TableParagraph"/>
              <w:rPr>
                <w:sz w:val="20"/>
                <w:szCs w:val="20"/>
              </w:rPr>
            </w:pPr>
            <w:r w:rsidRPr="00652AC1">
              <w:rPr>
                <w:sz w:val="20"/>
                <w:szCs w:val="20"/>
              </w:rPr>
              <w:t>275</w:t>
            </w:r>
          </w:p>
        </w:tc>
        <w:tc>
          <w:tcPr>
            <w:tcW w:w="1890" w:type="dxa"/>
          </w:tcPr>
          <w:p w:rsidRPr="00652AC1" w:rsidR="00972E75" w:rsidRDefault="0091119F" w14:paraId="4B027F43" w14:textId="77777777">
            <w:pPr>
              <w:pStyle w:val="TableParagraph"/>
              <w:rPr>
                <w:sz w:val="20"/>
                <w:szCs w:val="20"/>
              </w:rPr>
            </w:pPr>
            <w:r w:rsidRPr="00652AC1">
              <w:rPr>
                <w:sz w:val="20"/>
                <w:szCs w:val="20"/>
              </w:rPr>
              <w:t>17,600</w:t>
            </w:r>
          </w:p>
        </w:tc>
        <w:tc>
          <w:tcPr>
            <w:tcW w:w="2210" w:type="dxa"/>
          </w:tcPr>
          <w:p w:rsidRPr="00652AC1" w:rsidR="00972E75" w:rsidP="00652AC1" w:rsidRDefault="0091119F" w14:paraId="39D90A07" w14:textId="77777777">
            <w:pPr>
              <w:pStyle w:val="TableParagraph"/>
              <w:rPr>
                <w:sz w:val="20"/>
                <w:szCs w:val="20"/>
              </w:rPr>
            </w:pPr>
            <w:r w:rsidRPr="00652AC1">
              <w:rPr>
                <w:sz w:val="20"/>
                <w:szCs w:val="20"/>
              </w:rPr>
              <w:t>$4,8</w:t>
            </w:r>
            <w:r w:rsidRPr="00652AC1" w:rsidR="00652AC1">
              <w:rPr>
                <w:sz w:val="20"/>
                <w:szCs w:val="20"/>
              </w:rPr>
              <w:t>40,000</w:t>
            </w:r>
          </w:p>
        </w:tc>
      </w:tr>
      <w:tr w:rsidR="00972E75" w:rsidTr="00652AC1" w14:paraId="1C5F34AD" w14:textId="77777777">
        <w:trPr>
          <w:trHeight w:val="720" w:hRule="exact"/>
        </w:trPr>
        <w:tc>
          <w:tcPr>
            <w:tcW w:w="1980" w:type="dxa"/>
          </w:tcPr>
          <w:p w:rsidRPr="00652AC1" w:rsidR="00972E75" w:rsidRDefault="00EE77F3" w14:paraId="1B4DDDD7" w14:textId="3BE0506C">
            <w:pPr>
              <w:pStyle w:val="TableParagraph"/>
              <w:rPr>
                <w:sz w:val="20"/>
                <w:szCs w:val="20"/>
              </w:rPr>
            </w:pPr>
            <w:r w:rsidRPr="00652AC1">
              <w:rPr>
                <w:sz w:val="20"/>
                <w:szCs w:val="20"/>
              </w:rPr>
              <w:t>55.59(c)(5)</w:t>
            </w:r>
          </w:p>
        </w:tc>
        <w:tc>
          <w:tcPr>
            <w:tcW w:w="2250" w:type="dxa"/>
          </w:tcPr>
          <w:p w:rsidRPr="00652AC1" w:rsidR="00972E75" w:rsidRDefault="00EE77F3" w14:paraId="15443735" w14:textId="77777777">
            <w:pPr>
              <w:pStyle w:val="TableParagraph"/>
              <w:spacing w:before="98"/>
              <w:rPr>
                <w:sz w:val="20"/>
                <w:szCs w:val="20"/>
              </w:rPr>
            </w:pPr>
            <w:r w:rsidRPr="00652AC1">
              <w:rPr>
                <w:sz w:val="20"/>
                <w:szCs w:val="20"/>
              </w:rPr>
              <w:t>Requalification of licenses</w:t>
            </w:r>
          </w:p>
        </w:tc>
        <w:tc>
          <w:tcPr>
            <w:tcW w:w="2250" w:type="dxa"/>
          </w:tcPr>
          <w:p w:rsidRPr="00652AC1" w:rsidR="00972E75" w:rsidRDefault="00EE77F3" w14:paraId="7506A545" w14:textId="77777777">
            <w:pPr>
              <w:pStyle w:val="TableParagraph"/>
              <w:rPr>
                <w:sz w:val="20"/>
                <w:szCs w:val="20"/>
              </w:rPr>
            </w:pPr>
            <w:r w:rsidRPr="00652AC1">
              <w:rPr>
                <w:sz w:val="20"/>
                <w:szCs w:val="20"/>
              </w:rPr>
              <w:t>31 Non-power Sites</w:t>
            </w:r>
          </w:p>
        </w:tc>
        <w:tc>
          <w:tcPr>
            <w:tcW w:w="1890" w:type="dxa"/>
          </w:tcPr>
          <w:p w:rsidRPr="00652AC1" w:rsidR="00972E75" w:rsidRDefault="00EE77F3" w14:paraId="1AFF510A" w14:textId="77777777">
            <w:pPr>
              <w:pStyle w:val="TableParagraph"/>
              <w:ind w:left="92"/>
              <w:rPr>
                <w:sz w:val="20"/>
                <w:szCs w:val="20"/>
              </w:rPr>
            </w:pPr>
            <w:r w:rsidRPr="00652AC1">
              <w:rPr>
                <w:sz w:val="20"/>
                <w:szCs w:val="20"/>
              </w:rPr>
              <w:t>16</w:t>
            </w:r>
          </w:p>
        </w:tc>
        <w:tc>
          <w:tcPr>
            <w:tcW w:w="1890" w:type="dxa"/>
          </w:tcPr>
          <w:p w:rsidRPr="00652AC1" w:rsidR="00972E75" w:rsidRDefault="00EE77F3" w14:paraId="4FD4A19B" w14:textId="77777777">
            <w:pPr>
              <w:pStyle w:val="TableParagraph"/>
              <w:ind w:left="92"/>
              <w:rPr>
                <w:sz w:val="20"/>
                <w:szCs w:val="20"/>
              </w:rPr>
            </w:pPr>
            <w:r w:rsidRPr="00652AC1">
              <w:rPr>
                <w:sz w:val="20"/>
                <w:szCs w:val="20"/>
              </w:rPr>
              <w:t>496</w:t>
            </w:r>
          </w:p>
        </w:tc>
        <w:tc>
          <w:tcPr>
            <w:tcW w:w="2210" w:type="dxa"/>
          </w:tcPr>
          <w:p w:rsidRPr="00652AC1" w:rsidR="00972E75" w:rsidP="00652AC1" w:rsidRDefault="0091119F" w14:paraId="2B48A142" w14:textId="77777777">
            <w:pPr>
              <w:pStyle w:val="TableParagraph"/>
              <w:ind w:left="92"/>
              <w:rPr>
                <w:sz w:val="20"/>
                <w:szCs w:val="20"/>
              </w:rPr>
            </w:pPr>
            <w:r w:rsidRPr="00652AC1">
              <w:rPr>
                <w:sz w:val="20"/>
                <w:szCs w:val="20"/>
              </w:rPr>
              <w:t>$13</w:t>
            </w:r>
            <w:r w:rsidRPr="00652AC1" w:rsidR="00652AC1">
              <w:rPr>
                <w:sz w:val="20"/>
                <w:szCs w:val="20"/>
              </w:rPr>
              <w:t>6</w:t>
            </w:r>
            <w:r w:rsidRPr="00652AC1">
              <w:rPr>
                <w:sz w:val="20"/>
                <w:szCs w:val="20"/>
              </w:rPr>
              <w:t>,4</w:t>
            </w:r>
            <w:r w:rsidRPr="00652AC1" w:rsidR="00652AC1">
              <w:rPr>
                <w:sz w:val="20"/>
                <w:szCs w:val="20"/>
              </w:rPr>
              <w:t>00</w:t>
            </w:r>
          </w:p>
        </w:tc>
      </w:tr>
      <w:tr w:rsidR="00652AC1" w14:paraId="6AD3944D" w14:textId="77777777">
        <w:trPr>
          <w:trHeight w:val="1020" w:hRule="exact"/>
        </w:trPr>
        <w:tc>
          <w:tcPr>
            <w:tcW w:w="1980" w:type="dxa"/>
          </w:tcPr>
          <w:p w:rsidRPr="00652AC1" w:rsidR="00652AC1" w:rsidRDefault="00652AC1" w14:paraId="0B748035" w14:textId="77777777">
            <w:pPr>
              <w:pStyle w:val="TableParagraph"/>
              <w:ind w:right="96"/>
              <w:rPr>
                <w:sz w:val="20"/>
                <w:szCs w:val="20"/>
              </w:rPr>
            </w:pPr>
            <w:r w:rsidRPr="00652AC1">
              <w:rPr>
                <w:sz w:val="20"/>
                <w:szCs w:val="20"/>
              </w:rPr>
              <w:t>55.46(b)</w:t>
            </w:r>
          </w:p>
        </w:tc>
        <w:tc>
          <w:tcPr>
            <w:tcW w:w="2250" w:type="dxa"/>
          </w:tcPr>
          <w:p w:rsidRPr="00652AC1" w:rsidR="00652AC1" w:rsidRDefault="00652AC1" w14:paraId="0F671CF1" w14:textId="77777777">
            <w:pPr>
              <w:rPr>
                <w:sz w:val="20"/>
                <w:szCs w:val="20"/>
              </w:rPr>
            </w:pPr>
            <w:r w:rsidRPr="00652AC1">
              <w:rPr>
                <w:sz w:val="20"/>
                <w:szCs w:val="20"/>
              </w:rPr>
              <w:t>Request to use a simulation facility</w:t>
            </w:r>
          </w:p>
        </w:tc>
        <w:tc>
          <w:tcPr>
            <w:tcW w:w="2250" w:type="dxa"/>
          </w:tcPr>
          <w:p w:rsidRPr="00652AC1" w:rsidR="00652AC1" w:rsidRDefault="00652AC1" w14:paraId="01CDF90F" w14:textId="77777777">
            <w:pPr>
              <w:pStyle w:val="TableParagraph"/>
              <w:rPr>
                <w:sz w:val="20"/>
                <w:szCs w:val="20"/>
              </w:rPr>
            </w:pPr>
            <w:r w:rsidRPr="00652AC1">
              <w:rPr>
                <w:sz w:val="20"/>
                <w:szCs w:val="20"/>
              </w:rPr>
              <w:t>0</w:t>
            </w:r>
          </w:p>
        </w:tc>
        <w:tc>
          <w:tcPr>
            <w:tcW w:w="1890" w:type="dxa"/>
          </w:tcPr>
          <w:p w:rsidRPr="00652AC1" w:rsidR="00652AC1" w:rsidRDefault="00652AC1" w14:paraId="55D86E11" w14:textId="77777777">
            <w:pPr>
              <w:rPr>
                <w:sz w:val="20"/>
                <w:szCs w:val="20"/>
              </w:rPr>
            </w:pPr>
            <w:r w:rsidRPr="00652AC1">
              <w:rPr>
                <w:sz w:val="20"/>
                <w:szCs w:val="20"/>
              </w:rPr>
              <w:t>0</w:t>
            </w:r>
          </w:p>
        </w:tc>
        <w:tc>
          <w:tcPr>
            <w:tcW w:w="1890" w:type="dxa"/>
          </w:tcPr>
          <w:p w:rsidRPr="00652AC1" w:rsidR="00652AC1" w:rsidRDefault="00652AC1" w14:paraId="6B03762A" w14:textId="77777777">
            <w:pPr>
              <w:pStyle w:val="TableParagraph"/>
              <w:rPr>
                <w:sz w:val="20"/>
                <w:szCs w:val="20"/>
              </w:rPr>
            </w:pPr>
            <w:r w:rsidRPr="00652AC1">
              <w:rPr>
                <w:sz w:val="20"/>
                <w:szCs w:val="20"/>
              </w:rPr>
              <w:t>0</w:t>
            </w:r>
          </w:p>
        </w:tc>
        <w:tc>
          <w:tcPr>
            <w:tcW w:w="2210" w:type="dxa"/>
          </w:tcPr>
          <w:p w:rsidRPr="00652AC1" w:rsidR="00652AC1" w:rsidP="0091119F" w:rsidRDefault="00652AC1" w14:paraId="7ED920FD" w14:textId="77777777">
            <w:pPr>
              <w:pStyle w:val="TableParagraph"/>
              <w:rPr>
                <w:sz w:val="20"/>
                <w:szCs w:val="20"/>
              </w:rPr>
            </w:pPr>
            <w:r w:rsidRPr="00652AC1">
              <w:rPr>
                <w:sz w:val="20"/>
                <w:szCs w:val="20"/>
              </w:rPr>
              <w:t>$0.00</w:t>
            </w:r>
          </w:p>
        </w:tc>
      </w:tr>
      <w:tr w:rsidR="00972E75" w14:paraId="3C385563" w14:textId="77777777">
        <w:trPr>
          <w:trHeight w:val="1020" w:hRule="exact"/>
        </w:trPr>
        <w:tc>
          <w:tcPr>
            <w:tcW w:w="1980" w:type="dxa"/>
          </w:tcPr>
          <w:p w:rsidR="00972E75" w:rsidRDefault="00EE77F3" w14:paraId="51ED3AB1" w14:textId="77777777">
            <w:pPr>
              <w:pStyle w:val="TableParagraph"/>
              <w:ind w:right="96"/>
              <w:rPr>
                <w:sz w:val="20"/>
              </w:rPr>
            </w:pPr>
            <w:r>
              <w:rPr>
                <w:sz w:val="20"/>
              </w:rPr>
              <w:t>TOTAL RECORDKEEPING</w:t>
            </w:r>
          </w:p>
        </w:tc>
        <w:tc>
          <w:tcPr>
            <w:tcW w:w="2250" w:type="dxa"/>
          </w:tcPr>
          <w:p w:rsidR="00972E75" w:rsidRDefault="00972E75" w14:paraId="14F187B9" w14:textId="77777777"/>
        </w:tc>
        <w:tc>
          <w:tcPr>
            <w:tcW w:w="2250" w:type="dxa"/>
          </w:tcPr>
          <w:p w:rsidR="00972E75" w:rsidRDefault="0091119F" w14:paraId="10F07B82" w14:textId="77777777">
            <w:pPr>
              <w:pStyle w:val="TableParagraph"/>
              <w:rPr>
                <w:sz w:val="20"/>
              </w:rPr>
            </w:pPr>
            <w:r>
              <w:rPr>
                <w:sz w:val="20"/>
              </w:rPr>
              <w:t>96</w:t>
            </w:r>
          </w:p>
        </w:tc>
        <w:tc>
          <w:tcPr>
            <w:tcW w:w="1890" w:type="dxa"/>
          </w:tcPr>
          <w:p w:rsidR="00972E75" w:rsidRDefault="00972E75" w14:paraId="74BEDFA6" w14:textId="77777777"/>
        </w:tc>
        <w:tc>
          <w:tcPr>
            <w:tcW w:w="1890" w:type="dxa"/>
          </w:tcPr>
          <w:p w:rsidR="00972E75" w:rsidRDefault="0091119F" w14:paraId="5996D0B3" w14:textId="77777777">
            <w:pPr>
              <w:pStyle w:val="TableParagraph"/>
              <w:rPr>
                <w:sz w:val="20"/>
              </w:rPr>
            </w:pPr>
            <w:r>
              <w:rPr>
                <w:sz w:val="20"/>
              </w:rPr>
              <w:t>22,046</w:t>
            </w:r>
          </w:p>
        </w:tc>
        <w:tc>
          <w:tcPr>
            <w:tcW w:w="2210" w:type="dxa"/>
          </w:tcPr>
          <w:p w:rsidR="00972E75" w:rsidP="00652AC1" w:rsidRDefault="00EE77F3" w14:paraId="09D1445D" w14:textId="77777777">
            <w:pPr>
              <w:pStyle w:val="TableParagraph"/>
              <w:rPr>
                <w:sz w:val="20"/>
              </w:rPr>
            </w:pPr>
            <w:r>
              <w:rPr>
                <w:sz w:val="20"/>
              </w:rPr>
              <w:t>$</w:t>
            </w:r>
            <w:r w:rsidR="00652AC1">
              <w:rPr>
                <w:sz w:val="20"/>
              </w:rPr>
              <w:t>6</w:t>
            </w:r>
            <w:r w:rsidR="0091119F">
              <w:rPr>
                <w:sz w:val="20"/>
              </w:rPr>
              <w:t>,</w:t>
            </w:r>
            <w:r w:rsidR="00652AC1">
              <w:rPr>
                <w:sz w:val="20"/>
              </w:rPr>
              <w:t>062</w:t>
            </w:r>
            <w:r w:rsidR="0091119F">
              <w:rPr>
                <w:sz w:val="20"/>
              </w:rPr>
              <w:t>,</w:t>
            </w:r>
            <w:r w:rsidR="00652AC1">
              <w:rPr>
                <w:sz w:val="20"/>
              </w:rPr>
              <w:t>650</w:t>
            </w:r>
          </w:p>
        </w:tc>
      </w:tr>
    </w:tbl>
    <w:p w:rsidR="00972E75" w:rsidRDefault="00972E75" w14:paraId="58309A3E" w14:textId="77777777">
      <w:pPr>
        <w:pStyle w:val="BodyText"/>
        <w:rPr>
          <w:sz w:val="24"/>
        </w:rPr>
      </w:pPr>
    </w:p>
    <w:p w:rsidR="00972E75" w:rsidRDefault="00972E75" w14:paraId="5B9A3036" w14:textId="77777777">
      <w:pPr>
        <w:pStyle w:val="BodyText"/>
        <w:spacing w:before="2"/>
        <w:rPr>
          <w:sz w:val="20"/>
        </w:rPr>
      </w:pPr>
    </w:p>
    <w:p w:rsidR="00972E75" w:rsidRDefault="00EE77F3" w14:paraId="453872D7" w14:textId="77777777">
      <w:pPr>
        <w:spacing w:before="1" w:line="252" w:lineRule="exact"/>
        <w:ind w:left="283"/>
        <w:rPr>
          <w:b/>
        </w:rPr>
      </w:pPr>
      <w:r>
        <w:rPr>
          <w:b/>
          <w:u w:val="thick"/>
        </w:rPr>
        <w:t>TOTAL BURDEN/COST FOR 10 CFR PART 55 (Tables 1 &amp; 2)</w:t>
      </w:r>
    </w:p>
    <w:p w:rsidR="00972E75" w:rsidRDefault="00EE77F3" w14:paraId="219A792D" w14:textId="77777777">
      <w:pPr>
        <w:pStyle w:val="BodyText"/>
        <w:ind w:left="283" w:right="5061"/>
      </w:pPr>
      <w:r>
        <w:t xml:space="preserve">Total Burden hours: </w:t>
      </w:r>
      <w:r w:rsidR="00E31932">
        <w:t>172,91</w:t>
      </w:r>
      <w:r w:rsidR="0091119F">
        <w:t>5</w:t>
      </w:r>
      <w:r>
        <w:t xml:space="preserve"> (1</w:t>
      </w:r>
      <w:r w:rsidR="0091119F">
        <w:t>50</w:t>
      </w:r>
      <w:r>
        <w:t>,</w:t>
      </w:r>
      <w:r w:rsidR="00E31932">
        <w:t>86</w:t>
      </w:r>
      <w:r w:rsidR="0091119F">
        <w:t>9</w:t>
      </w:r>
      <w:r>
        <w:t xml:space="preserve"> reporting + </w:t>
      </w:r>
      <w:r w:rsidR="0091119F">
        <w:t>22</w:t>
      </w:r>
      <w:r>
        <w:t>,</w:t>
      </w:r>
      <w:r w:rsidR="0091119F">
        <w:t>046</w:t>
      </w:r>
      <w:r>
        <w:t xml:space="preserve"> recordkeeping) Total Cost: $</w:t>
      </w:r>
      <w:r w:rsidR="00E31932">
        <w:t>4</w:t>
      </w:r>
      <w:r w:rsidR="00652AC1">
        <w:t>7,551,625</w:t>
      </w:r>
      <w:r>
        <w:t xml:space="preserve"> ($</w:t>
      </w:r>
      <w:r w:rsidR="00652AC1">
        <w:t>41,488,975</w:t>
      </w:r>
      <w:r>
        <w:t xml:space="preserve"> reporting + $</w:t>
      </w:r>
      <w:r w:rsidR="00652AC1">
        <w:t>6,062,650</w:t>
      </w:r>
      <w:r>
        <w:t xml:space="preserve"> recordkeeping)</w:t>
      </w:r>
    </w:p>
    <w:p w:rsidR="00972E75" w:rsidP="00EC70FF" w:rsidRDefault="00EE77F3" w14:paraId="3E27695F" w14:textId="77777777">
      <w:pPr>
        <w:pStyle w:val="BodyText"/>
        <w:ind w:left="283" w:right="3700"/>
        <w:rPr>
          <w:sz w:val="20"/>
        </w:rPr>
      </w:pPr>
      <w:r>
        <w:t>Total R</w:t>
      </w:r>
      <w:r w:rsidR="0091119F">
        <w:t>espondents and Recordkeepers: 96</w:t>
      </w:r>
      <w:r>
        <w:t xml:space="preserve"> (6</w:t>
      </w:r>
      <w:r w:rsidR="00E31932">
        <w:t>4</w:t>
      </w:r>
      <w:r>
        <w:t xml:space="preserve"> Power Sites +31 Non-Power Sites</w:t>
      </w:r>
      <w:r w:rsidR="00E31932">
        <w:t xml:space="preserve"> + 1 Site Under Construction</w:t>
      </w:r>
      <w:r>
        <w:t xml:space="preserve">) </w:t>
      </w:r>
      <w:r w:rsidR="0091119F">
        <w:t>Total Resp</w:t>
      </w:r>
      <w:r w:rsidR="00E31932">
        <w:t>onses: 449</w:t>
      </w:r>
      <w:r>
        <w:t xml:space="preserve"> (3</w:t>
      </w:r>
      <w:r w:rsidR="00E31932">
        <w:t>53</w:t>
      </w:r>
      <w:r>
        <w:t xml:space="preserve"> reporting respo</w:t>
      </w:r>
      <w:r w:rsidR="0091119F">
        <w:t>nses + 96</w:t>
      </w:r>
      <w:r>
        <w:t xml:space="preserve"> </w:t>
      </w:r>
      <w:r w:rsidR="00EC70FF">
        <w:t>r</w:t>
      </w:r>
      <w:r>
        <w:t>ecordkeepers)</w:t>
      </w:r>
    </w:p>
    <w:p w:rsidR="00972E75" w:rsidRDefault="00972E75" w14:paraId="090239EE" w14:textId="77777777">
      <w:pPr>
        <w:jc w:val="center"/>
        <w:sectPr w:rsidR="00972E75" w:rsidSect="00984D5B">
          <w:headerReference w:type="default" r:id="rId15"/>
          <w:pgSz w:w="15840" w:h="12240" w:orient="landscape"/>
          <w:pgMar w:top="1140" w:right="1620" w:bottom="280" w:left="1340" w:header="720" w:footer="720" w:gutter="0"/>
          <w:cols w:space="720"/>
          <w:docGrid w:linePitch="299"/>
        </w:sectPr>
      </w:pPr>
    </w:p>
    <w:p w:rsidR="00972E75" w:rsidRDefault="00972E75" w14:paraId="35751FD3" w14:textId="77777777">
      <w:pPr>
        <w:pStyle w:val="BodyText"/>
        <w:rPr>
          <w:rFonts w:ascii="Times New Roman"/>
          <w:sz w:val="20"/>
        </w:rPr>
      </w:pPr>
    </w:p>
    <w:p w:rsidR="00972E75" w:rsidRDefault="00972E75" w14:paraId="6952BC9D" w14:textId="77777777">
      <w:pPr>
        <w:pStyle w:val="BodyText"/>
        <w:spacing w:before="10"/>
        <w:rPr>
          <w:rFonts w:ascii="Times New Roman"/>
          <w:sz w:val="10"/>
        </w:rPr>
      </w:pPr>
    </w:p>
    <w:tbl>
      <w:tblPr>
        <w:tblW w:w="11498"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87"/>
        <w:gridCol w:w="90"/>
        <w:gridCol w:w="1888"/>
        <w:gridCol w:w="2683"/>
        <w:gridCol w:w="1350"/>
        <w:gridCol w:w="1440"/>
        <w:gridCol w:w="2160"/>
      </w:tblGrid>
      <w:tr w:rsidR="00650F9C" w:rsidTr="00650F9C" w14:paraId="2998081B" w14:textId="77777777">
        <w:trPr>
          <w:trHeight w:val="418" w:hRule="exact"/>
        </w:trPr>
        <w:tc>
          <w:tcPr>
            <w:tcW w:w="1977" w:type="dxa"/>
            <w:gridSpan w:val="2"/>
            <w:shd w:val="clear" w:color="auto" w:fill="F1F1F1"/>
          </w:tcPr>
          <w:p w:rsidR="00650F9C" w:rsidRDefault="00650F9C" w14:paraId="261AC082" w14:textId="77777777"/>
        </w:tc>
        <w:tc>
          <w:tcPr>
            <w:tcW w:w="9521" w:type="dxa"/>
            <w:gridSpan w:val="5"/>
            <w:shd w:val="clear" w:color="auto" w:fill="F1F1F1"/>
          </w:tcPr>
          <w:p w:rsidR="00650F9C" w:rsidP="00650F9C" w:rsidRDefault="00650F9C" w14:paraId="6B57FD29" w14:textId="77777777">
            <w:pPr>
              <w:pStyle w:val="TableParagraph"/>
              <w:spacing w:before="97"/>
              <w:ind w:left="971"/>
            </w:pPr>
            <w:r>
              <w:t>TABLE 3: ESTIMATE OF ANNUAL COST TO THE FEDERAL GOVERNMENT</w:t>
            </w:r>
          </w:p>
        </w:tc>
      </w:tr>
      <w:tr w:rsidR="00650F9C" w:rsidTr="00650F9C" w14:paraId="4371C2C3" w14:textId="77777777">
        <w:trPr>
          <w:trHeight w:val="1220" w:hRule="exact"/>
        </w:trPr>
        <w:tc>
          <w:tcPr>
            <w:tcW w:w="1887" w:type="dxa"/>
            <w:tcBorders>
              <w:left w:val="single" w:color="000000" w:sz="6" w:space="0"/>
              <w:bottom w:val="single" w:color="000000" w:sz="6" w:space="0"/>
              <w:right w:val="single" w:color="000000" w:sz="6" w:space="0"/>
            </w:tcBorders>
            <w:shd w:val="clear" w:color="auto" w:fill="F1F1F1"/>
          </w:tcPr>
          <w:p w:rsidR="00650F9C" w:rsidRDefault="00650F9C" w14:paraId="487BB12D" w14:textId="77777777">
            <w:pPr>
              <w:pStyle w:val="TableParagraph"/>
              <w:spacing w:before="97"/>
            </w:pPr>
            <w:r>
              <w:t>Section</w:t>
            </w:r>
          </w:p>
        </w:tc>
        <w:tc>
          <w:tcPr>
            <w:tcW w:w="1978" w:type="dxa"/>
            <w:gridSpan w:val="2"/>
            <w:tcBorders>
              <w:left w:val="single" w:color="000000" w:sz="6" w:space="0"/>
              <w:bottom w:val="single" w:color="000000" w:sz="6" w:space="0"/>
              <w:right w:val="single" w:color="000000" w:sz="6" w:space="0"/>
            </w:tcBorders>
            <w:shd w:val="clear" w:color="auto" w:fill="F1F1F1"/>
          </w:tcPr>
          <w:p w:rsidR="00650F9C" w:rsidRDefault="00650F9C" w14:paraId="4C48DC1F" w14:textId="77777777">
            <w:pPr>
              <w:pStyle w:val="TableParagraph"/>
              <w:spacing w:before="97"/>
            </w:pPr>
            <w:r>
              <w:t>Descriptions</w:t>
            </w:r>
          </w:p>
        </w:tc>
        <w:tc>
          <w:tcPr>
            <w:tcW w:w="2683" w:type="dxa"/>
            <w:tcBorders>
              <w:left w:val="single" w:color="000000" w:sz="6" w:space="0"/>
              <w:bottom w:val="single" w:color="000000" w:sz="6" w:space="0"/>
              <w:right w:val="single" w:color="000000" w:sz="6" w:space="0"/>
            </w:tcBorders>
            <w:shd w:val="clear" w:color="auto" w:fill="F1F1F1"/>
          </w:tcPr>
          <w:p w:rsidR="00650F9C" w:rsidRDefault="00650F9C" w14:paraId="223163C3" w14:textId="77777777">
            <w:pPr>
              <w:pStyle w:val="TableParagraph"/>
              <w:spacing w:before="97"/>
              <w:ind w:right="201"/>
            </w:pPr>
            <w:r>
              <w:t>Number of Reports/Records</w:t>
            </w:r>
          </w:p>
        </w:tc>
        <w:tc>
          <w:tcPr>
            <w:tcW w:w="1350" w:type="dxa"/>
            <w:tcBorders>
              <w:left w:val="single" w:color="000000" w:sz="6" w:space="0"/>
              <w:bottom w:val="single" w:color="000000" w:sz="6" w:space="0"/>
              <w:right w:val="single" w:color="000000" w:sz="6" w:space="0"/>
            </w:tcBorders>
            <w:shd w:val="clear" w:color="auto" w:fill="F1F1F1"/>
          </w:tcPr>
          <w:p w:rsidR="00650F9C" w:rsidRDefault="00650F9C" w14:paraId="5BCCE2CA" w14:textId="77777777">
            <w:pPr>
              <w:pStyle w:val="TableParagraph"/>
              <w:spacing w:before="97"/>
              <w:ind w:right="141"/>
            </w:pPr>
            <w:r>
              <w:t>Hours Per Response</w:t>
            </w:r>
          </w:p>
        </w:tc>
        <w:tc>
          <w:tcPr>
            <w:tcW w:w="1440" w:type="dxa"/>
            <w:tcBorders>
              <w:left w:val="single" w:color="000000" w:sz="6" w:space="0"/>
              <w:bottom w:val="single" w:color="000000" w:sz="6" w:space="0"/>
              <w:right w:val="single" w:color="000000" w:sz="6" w:space="0"/>
            </w:tcBorders>
            <w:shd w:val="clear" w:color="auto" w:fill="F1F1F1"/>
          </w:tcPr>
          <w:p w:rsidR="00650F9C" w:rsidRDefault="00650F9C" w14:paraId="5E254D00" w14:textId="77777777">
            <w:pPr>
              <w:pStyle w:val="TableParagraph"/>
              <w:spacing w:before="97"/>
              <w:ind w:right="603"/>
            </w:pPr>
            <w:r>
              <w:t>Burden Hours</w:t>
            </w:r>
          </w:p>
        </w:tc>
        <w:tc>
          <w:tcPr>
            <w:tcW w:w="2160" w:type="dxa"/>
            <w:tcBorders>
              <w:left w:val="single" w:color="000000" w:sz="6" w:space="0"/>
              <w:bottom w:val="single" w:color="000000" w:sz="6" w:space="0"/>
              <w:right w:val="single" w:color="000000" w:sz="6" w:space="0"/>
            </w:tcBorders>
            <w:shd w:val="clear" w:color="auto" w:fill="F1F1F1"/>
          </w:tcPr>
          <w:p w:rsidR="00650F9C" w:rsidP="00322BA7" w:rsidRDefault="00650F9C" w14:paraId="5807EF3C" w14:textId="77777777">
            <w:pPr>
              <w:pStyle w:val="TableParagraph"/>
              <w:spacing w:before="97"/>
            </w:pPr>
            <w:r>
              <w:t xml:space="preserve">Cost </w:t>
            </w:r>
            <w:proofErr w:type="gramStart"/>
            <w:r>
              <w:t>at  $</w:t>
            </w:r>
            <w:proofErr w:type="gramEnd"/>
            <w:r>
              <w:t>2</w:t>
            </w:r>
            <w:r w:rsidR="00322BA7">
              <w:t>75</w:t>
            </w:r>
            <w:r>
              <w:t>/ Hour</w:t>
            </w:r>
          </w:p>
        </w:tc>
      </w:tr>
      <w:tr w:rsidR="00650F9C" w:rsidTr="00650F9C" w14:paraId="52C3D262" w14:textId="77777777">
        <w:trPr>
          <w:trHeight w:val="425"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7E49973E" w14:textId="77777777">
            <w:pPr>
              <w:pStyle w:val="TableParagraph"/>
            </w:pPr>
            <w:r>
              <w:t>55.11</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683C0EA5" w14:textId="77777777">
            <w:pPr>
              <w:pStyle w:val="TableParagraph"/>
              <w:rPr>
                <w:sz w:val="16"/>
              </w:rPr>
            </w:pPr>
            <w:r>
              <w:rPr>
                <w:sz w:val="16"/>
              </w:rPr>
              <w:t>Specific Exemptions</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630ACA26" w14:textId="77777777">
            <w:pPr>
              <w:pStyle w:val="TableParagraph"/>
            </w:pPr>
            <w:r>
              <w:t>2 Power Sites</w:t>
            </w:r>
          </w:p>
        </w:tc>
        <w:tc>
          <w:tcPr>
            <w:tcW w:w="1350" w:type="dxa"/>
            <w:tcBorders>
              <w:top w:val="single" w:color="000000" w:sz="6" w:space="0"/>
              <w:left w:val="single" w:color="000000" w:sz="6" w:space="0"/>
              <w:bottom w:val="single" w:color="000000" w:sz="6" w:space="0"/>
              <w:right w:val="single" w:color="000000" w:sz="6" w:space="0"/>
            </w:tcBorders>
          </w:tcPr>
          <w:p w:rsidR="00650F9C" w:rsidRDefault="00650F9C" w14:paraId="2FF9F776" w14:textId="77777777">
            <w:pPr>
              <w:pStyle w:val="TableParagraph"/>
              <w:ind w:left="94"/>
            </w:pPr>
            <w:r>
              <w:t>80</w:t>
            </w:r>
          </w:p>
        </w:tc>
        <w:tc>
          <w:tcPr>
            <w:tcW w:w="1440" w:type="dxa"/>
            <w:tcBorders>
              <w:top w:val="single" w:color="000000" w:sz="6" w:space="0"/>
              <w:left w:val="single" w:color="000000" w:sz="6" w:space="0"/>
              <w:bottom w:val="single" w:color="000000" w:sz="6" w:space="0"/>
              <w:right w:val="single" w:color="000000" w:sz="6" w:space="0"/>
            </w:tcBorders>
          </w:tcPr>
          <w:p w:rsidR="00650F9C" w:rsidRDefault="00650F9C" w14:paraId="239733AC" w14:textId="77777777">
            <w:pPr>
              <w:pStyle w:val="TableParagraph"/>
              <w:ind w:left="94"/>
            </w:pPr>
            <w:r>
              <w:t>160</w:t>
            </w:r>
          </w:p>
        </w:tc>
        <w:tc>
          <w:tcPr>
            <w:tcW w:w="2160" w:type="dxa"/>
            <w:tcBorders>
              <w:top w:val="single" w:color="000000" w:sz="6" w:space="0"/>
              <w:left w:val="single" w:color="000000" w:sz="6" w:space="0"/>
              <w:bottom w:val="single" w:color="000000" w:sz="6" w:space="0"/>
              <w:right w:val="single" w:color="000000" w:sz="6" w:space="0"/>
            </w:tcBorders>
          </w:tcPr>
          <w:p w:rsidR="00650F9C" w:rsidP="00322BA7" w:rsidRDefault="0048489D" w14:paraId="7AA62419" w14:textId="77777777">
            <w:pPr>
              <w:pStyle w:val="TableParagraph"/>
            </w:pPr>
            <w:r>
              <w:t>$4</w:t>
            </w:r>
            <w:r w:rsidR="00322BA7">
              <w:t>4,000</w:t>
            </w:r>
          </w:p>
        </w:tc>
      </w:tr>
      <w:tr w:rsidR="00650F9C" w:rsidTr="00650F9C" w14:paraId="5E0CAE78" w14:textId="77777777">
        <w:trPr>
          <w:trHeight w:val="425"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3D6AEAD2" w14:textId="77777777">
            <w:pPr>
              <w:pStyle w:val="TableParagraph"/>
              <w:spacing w:before="98"/>
            </w:pPr>
            <w:r>
              <w:t>55.11</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49BF3F5F" w14:textId="77777777">
            <w:pPr>
              <w:pStyle w:val="TableParagraph"/>
              <w:spacing w:before="98"/>
              <w:rPr>
                <w:sz w:val="16"/>
              </w:rPr>
            </w:pPr>
            <w:r>
              <w:rPr>
                <w:sz w:val="16"/>
              </w:rPr>
              <w:t>Specific Exemptions</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48EF0B7C" w14:textId="77777777">
            <w:pPr>
              <w:pStyle w:val="TableParagraph"/>
              <w:spacing w:before="98"/>
            </w:pPr>
            <w:r>
              <w:t>1 Non-Power Site</w:t>
            </w:r>
          </w:p>
        </w:tc>
        <w:tc>
          <w:tcPr>
            <w:tcW w:w="1350" w:type="dxa"/>
            <w:tcBorders>
              <w:top w:val="single" w:color="000000" w:sz="6" w:space="0"/>
              <w:left w:val="single" w:color="000000" w:sz="6" w:space="0"/>
              <w:bottom w:val="single" w:color="000000" w:sz="6" w:space="0"/>
              <w:right w:val="single" w:color="000000" w:sz="6" w:space="0"/>
            </w:tcBorders>
          </w:tcPr>
          <w:p w:rsidR="00650F9C" w:rsidRDefault="00650F9C" w14:paraId="15986413" w14:textId="77777777">
            <w:pPr>
              <w:pStyle w:val="TableParagraph"/>
              <w:spacing w:before="98"/>
              <w:ind w:left="94"/>
            </w:pPr>
            <w:r w:rsidRPr="00650F9C">
              <w:t>40</w:t>
            </w:r>
          </w:p>
        </w:tc>
        <w:tc>
          <w:tcPr>
            <w:tcW w:w="1440" w:type="dxa"/>
            <w:tcBorders>
              <w:top w:val="single" w:color="000000" w:sz="6" w:space="0"/>
              <w:left w:val="single" w:color="000000" w:sz="6" w:space="0"/>
              <w:bottom w:val="single" w:color="000000" w:sz="6" w:space="0"/>
              <w:right w:val="single" w:color="000000" w:sz="6" w:space="0"/>
            </w:tcBorders>
          </w:tcPr>
          <w:p w:rsidR="00650F9C" w:rsidRDefault="00650F9C" w14:paraId="1243E015" w14:textId="77777777">
            <w:pPr>
              <w:pStyle w:val="TableParagraph"/>
              <w:spacing w:before="98"/>
              <w:ind w:left="94"/>
            </w:pPr>
            <w:r>
              <w:t>40</w:t>
            </w:r>
          </w:p>
        </w:tc>
        <w:tc>
          <w:tcPr>
            <w:tcW w:w="2160" w:type="dxa"/>
            <w:tcBorders>
              <w:top w:val="single" w:color="000000" w:sz="6" w:space="0"/>
              <w:left w:val="single" w:color="000000" w:sz="6" w:space="0"/>
              <w:bottom w:val="single" w:color="000000" w:sz="6" w:space="0"/>
              <w:right w:val="single" w:color="000000" w:sz="6" w:space="0"/>
            </w:tcBorders>
          </w:tcPr>
          <w:p w:rsidR="00650F9C" w:rsidP="0048489D" w:rsidRDefault="00322BA7" w14:paraId="50F83B6D" w14:textId="77777777">
            <w:pPr>
              <w:pStyle w:val="TableParagraph"/>
              <w:spacing w:before="98"/>
            </w:pPr>
            <w:r>
              <w:t>$11,000</w:t>
            </w:r>
          </w:p>
        </w:tc>
      </w:tr>
      <w:tr w:rsidR="00650F9C" w:rsidTr="00650F9C" w14:paraId="5CF84A23" w14:textId="77777777">
        <w:trPr>
          <w:trHeight w:val="540"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278E24AF" w14:textId="77777777">
            <w:pPr>
              <w:pStyle w:val="TableParagraph"/>
              <w:spacing w:before="98"/>
            </w:pPr>
            <w:r>
              <w:t>55.31(b)</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1322276B" w14:textId="77777777">
            <w:pPr>
              <w:pStyle w:val="TableParagraph"/>
              <w:spacing w:before="98"/>
              <w:ind w:right="394"/>
              <w:rPr>
                <w:sz w:val="16"/>
              </w:rPr>
            </w:pPr>
            <w:r>
              <w:rPr>
                <w:sz w:val="16"/>
              </w:rPr>
              <w:t>Applications- How to Apply</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204EDF2F" w14:textId="77777777">
            <w:pPr>
              <w:pStyle w:val="TableParagraph"/>
              <w:spacing w:before="98"/>
            </w:pPr>
            <w:r>
              <w:t>35 Power Sites</w:t>
            </w:r>
          </w:p>
        </w:tc>
        <w:tc>
          <w:tcPr>
            <w:tcW w:w="1350" w:type="dxa"/>
            <w:tcBorders>
              <w:top w:val="single" w:color="000000" w:sz="6" w:space="0"/>
              <w:left w:val="single" w:color="000000" w:sz="6" w:space="0"/>
              <w:bottom w:val="single" w:color="000000" w:sz="6" w:space="0"/>
              <w:right w:val="single" w:color="000000" w:sz="6" w:space="0"/>
            </w:tcBorders>
          </w:tcPr>
          <w:p w:rsidRPr="00650F9C" w:rsidR="00650F9C" w:rsidRDefault="00650F9C" w14:paraId="0CD4C11B" w14:textId="77777777">
            <w:pPr>
              <w:pStyle w:val="TableParagraph"/>
              <w:spacing w:before="98"/>
              <w:ind w:left="94"/>
            </w:pPr>
            <w:r w:rsidRPr="00650F9C">
              <w:rPr>
                <w:w w:val="99"/>
              </w:rPr>
              <w:t>1</w:t>
            </w:r>
          </w:p>
        </w:tc>
        <w:tc>
          <w:tcPr>
            <w:tcW w:w="1440" w:type="dxa"/>
            <w:tcBorders>
              <w:top w:val="single" w:color="000000" w:sz="6" w:space="0"/>
              <w:left w:val="single" w:color="000000" w:sz="6" w:space="0"/>
              <w:bottom w:val="single" w:color="000000" w:sz="6" w:space="0"/>
              <w:right w:val="single" w:color="000000" w:sz="6" w:space="0"/>
            </w:tcBorders>
          </w:tcPr>
          <w:p w:rsidR="00650F9C" w:rsidRDefault="00650F9C" w14:paraId="5900D0AB" w14:textId="77777777">
            <w:pPr>
              <w:pStyle w:val="TableParagraph"/>
              <w:spacing w:before="98"/>
              <w:ind w:left="94"/>
            </w:pPr>
            <w:r>
              <w:t>35</w:t>
            </w:r>
          </w:p>
        </w:tc>
        <w:tc>
          <w:tcPr>
            <w:tcW w:w="2160" w:type="dxa"/>
            <w:tcBorders>
              <w:top w:val="single" w:color="000000" w:sz="6" w:space="0"/>
              <w:left w:val="single" w:color="000000" w:sz="6" w:space="0"/>
              <w:bottom w:val="single" w:color="000000" w:sz="6" w:space="0"/>
              <w:right w:val="single" w:color="000000" w:sz="6" w:space="0"/>
            </w:tcBorders>
          </w:tcPr>
          <w:p w:rsidR="00650F9C" w:rsidRDefault="00322BA7" w14:paraId="0F52223D" w14:textId="77777777">
            <w:pPr>
              <w:pStyle w:val="TableParagraph"/>
              <w:spacing w:before="98"/>
            </w:pPr>
            <w:r>
              <w:t>$9,625</w:t>
            </w:r>
          </w:p>
        </w:tc>
      </w:tr>
      <w:tr w:rsidR="00650F9C" w:rsidTr="00650F9C" w14:paraId="5F236EA1" w14:textId="77777777">
        <w:trPr>
          <w:trHeight w:val="724"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3C410199" w14:textId="77777777">
            <w:pPr>
              <w:pStyle w:val="TableParagraph"/>
              <w:spacing w:before="98"/>
            </w:pPr>
            <w:r>
              <w:t>55.40(b)</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24E71F1A" w14:textId="77777777">
            <w:pPr>
              <w:pStyle w:val="TableParagraph"/>
              <w:spacing w:before="98"/>
              <w:ind w:right="340"/>
              <w:rPr>
                <w:sz w:val="16"/>
              </w:rPr>
            </w:pPr>
            <w:r>
              <w:rPr>
                <w:sz w:val="16"/>
              </w:rPr>
              <w:t>Written Examinations and Operating Test- Implementation</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51A0FE16" w14:textId="77777777">
            <w:pPr>
              <w:pStyle w:val="TableParagraph"/>
              <w:spacing w:before="98"/>
            </w:pPr>
            <w:r>
              <w:t>41 Power Sites</w:t>
            </w:r>
          </w:p>
        </w:tc>
        <w:tc>
          <w:tcPr>
            <w:tcW w:w="1350" w:type="dxa"/>
            <w:tcBorders>
              <w:top w:val="single" w:color="000000" w:sz="6" w:space="0"/>
              <w:left w:val="single" w:color="000000" w:sz="6" w:space="0"/>
              <w:bottom w:val="single" w:color="000000" w:sz="6" w:space="0"/>
              <w:right w:val="single" w:color="000000" w:sz="6" w:space="0"/>
            </w:tcBorders>
          </w:tcPr>
          <w:p w:rsidRPr="00650F9C" w:rsidR="00650F9C" w:rsidRDefault="00650F9C" w14:paraId="2840836F" w14:textId="77777777">
            <w:pPr>
              <w:pStyle w:val="TableParagraph"/>
              <w:spacing w:before="98"/>
              <w:ind w:left="94"/>
            </w:pPr>
            <w:r w:rsidRPr="00650F9C">
              <w:t>400</w:t>
            </w:r>
          </w:p>
        </w:tc>
        <w:tc>
          <w:tcPr>
            <w:tcW w:w="1440" w:type="dxa"/>
            <w:tcBorders>
              <w:top w:val="single" w:color="000000" w:sz="6" w:space="0"/>
              <w:left w:val="single" w:color="000000" w:sz="6" w:space="0"/>
              <w:bottom w:val="single" w:color="000000" w:sz="6" w:space="0"/>
              <w:right w:val="single" w:color="000000" w:sz="6" w:space="0"/>
            </w:tcBorders>
          </w:tcPr>
          <w:p w:rsidRPr="00A21E67" w:rsidR="00650F9C" w:rsidRDefault="0048489D" w14:paraId="4DFF1350" w14:textId="77777777">
            <w:pPr>
              <w:pStyle w:val="TableParagraph"/>
              <w:spacing w:before="98"/>
              <w:rPr>
                <w:highlight w:val="yellow"/>
              </w:rPr>
            </w:pPr>
            <w:r w:rsidRPr="0048489D">
              <w:t>16,400</w:t>
            </w:r>
          </w:p>
        </w:tc>
        <w:tc>
          <w:tcPr>
            <w:tcW w:w="2160" w:type="dxa"/>
            <w:tcBorders>
              <w:top w:val="single" w:color="000000" w:sz="6" w:space="0"/>
              <w:left w:val="single" w:color="000000" w:sz="6" w:space="0"/>
              <w:bottom w:val="single" w:color="000000" w:sz="6" w:space="0"/>
              <w:right w:val="single" w:color="000000" w:sz="6" w:space="0"/>
            </w:tcBorders>
          </w:tcPr>
          <w:p w:rsidR="00650F9C" w:rsidP="00322BA7" w:rsidRDefault="0048489D" w14:paraId="4D94C3AC" w14:textId="77777777">
            <w:pPr>
              <w:pStyle w:val="TableParagraph"/>
              <w:spacing w:before="98"/>
            </w:pPr>
            <w:r>
              <w:t>$4,</w:t>
            </w:r>
            <w:r w:rsidR="00322BA7">
              <w:t>510</w:t>
            </w:r>
            <w:r>
              <w:t>,</w:t>
            </w:r>
            <w:r w:rsidR="00322BA7">
              <w:t>0</w:t>
            </w:r>
            <w:r>
              <w:t>00</w:t>
            </w:r>
          </w:p>
        </w:tc>
      </w:tr>
      <w:tr w:rsidR="00650F9C" w:rsidTr="00650F9C" w14:paraId="11B4F061" w14:textId="77777777">
        <w:trPr>
          <w:trHeight w:val="724"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6D580BD3" w14:textId="77777777">
            <w:pPr>
              <w:pStyle w:val="TableParagraph"/>
              <w:spacing w:before="98"/>
            </w:pPr>
            <w:r>
              <w:t>55.40(c)</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65CA88B9" w14:textId="77777777">
            <w:pPr>
              <w:pStyle w:val="TableParagraph"/>
              <w:spacing w:before="98"/>
              <w:ind w:right="340"/>
              <w:rPr>
                <w:sz w:val="16"/>
              </w:rPr>
            </w:pPr>
            <w:r>
              <w:rPr>
                <w:sz w:val="16"/>
              </w:rPr>
              <w:t>Written Examinations and Operating Test- Implementation</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25EC10C7" w14:textId="77777777">
            <w:pPr>
              <w:pStyle w:val="TableParagraph"/>
              <w:spacing w:before="98"/>
            </w:pPr>
            <w:r>
              <w:t>5 Power Sites</w:t>
            </w:r>
          </w:p>
        </w:tc>
        <w:tc>
          <w:tcPr>
            <w:tcW w:w="1350" w:type="dxa"/>
            <w:tcBorders>
              <w:top w:val="single" w:color="000000" w:sz="6" w:space="0"/>
              <w:left w:val="single" w:color="000000" w:sz="6" w:space="0"/>
              <w:bottom w:val="single" w:color="000000" w:sz="6" w:space="0"/>
              <w:right w:val="single" w:color="000000" w:sz="6" w:space="0"/>
            </w:tcBorders>
          </w:tcPr>
          <w:p w:rsidRPr="00650F9C" w:rsidR="00650F9C" w:rsidRDefault="00650F9C" w14:paraId="6C4C6786" w14:textId="77777777">
            <w:pPr>
              <w:pStyle w:val="TableParagraph"/>
              <w:spacing w:before="98"/>
              <w:ind w:left="94"/>
            </w:pPr>
            <w:r w:rsidRPr="00650F9C">
              <w:t>700</w:t>
            </w:r>
          </w:p>
        </w:tc>
        <w:tc>
          <w:tcPr>
            <w:tcW w:w="1440" w:type="dxa"/>
            <w:tcBorders>
              <w:top w:val="single" w:color="000000" w:sz="6" w:space="0"/>
              <w:left w:val="single" w:color="000000" w:sz="6" w:space="0"/>
              <w:bottom w:val="single" w:color="000000" w:sz="6" w:space="0"/>
              <w:right w:val="single" w:color="000000" w:sz="6" w:space="0"/>
            </w:tcBorders>
          </w:tcPr>
          <w:p w:rsidRPr="00A21E67" w:rsidR="00650F9C" w:rsidRDefault="0048489D" w14:paraId="4A2C7996" w14:textId="77777777">
            <w:pPr>
              <w:pStyle w:val="TableParagraph"/>
              <w:spacing w:before="98"/>
              <w:rPr>
                <w:highlight w:val="yellow"/>
              </w:rPr>
            </w:pPr>
            <w:r w:rsidRPr="0048489D">
              <w:t>3,500</w:t>
            </w:r>
          </w:p>
        </w:tc>
        <w:tc>
          <w:tcPr>
            <w:tcW w:w="2160" w:type="dxa"/>
            <w:tcBorders>
              <w:top w:val="single" w:color="000000" w:sz="6" w:space="0"/>
              <w:left w:val="single" w:color="000000" w:sz="6" w:space="0"/>
              <w:bottom w:val="single" w:color="000000" w:sz="6" w:space="0"/>
              <w:right w:val="single" w:color="000000" w:sz="6" w:space="0"/>
            </w:tcBorders>
          </w:tcPr>
          <w:p w:rsidR="00650F9C" w:rsidP="00322BA7" w:rsidRDefault="0048489D" w14:paraId="27415DB7" w14:textId="77777777">
            <w:pPr>
              <w:pStyle w:val="TableParagraph"/>
              <w:spacing w:before="98"/>
            </w:pPr>
            <w:r>
              <w:t>$9</w:t>
            </w:r>
            <w:r w:rsidR="00322BA7">
              <w:t>62</w:t>
            </w:r>
            <w:r>
              <w:t>,500</w:t>
            </w:r>
          </w:p>
        </w:tc>
      </w:tr>
      <w:tr w:rsidR="00650F9C" w:rsidTr="00650F9C" w14:paraId="603AD187" w14:textId="77777777">
        <w:trPr>
          <w:trHeight w:val="724"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657663DF" w14:textId="77777777">
            <w:pPr>
              <w:pStyle w:val="TableParagraph"/>
              <w:spacing w:before="98"/>
            </w:pPr>
            <w:r>
              <w:t>55.40(d)</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09E2496B" w14:textId="77777777">
            <w:pPr>
              <w:pStyle w:val="TableParagraph"/>
              <w:spacing w:before="98"/>
              <w:ind w:right="340"/>
              <w:rPr>
                <w:sz w:val="16"/>
              </w:rPr>
            </w:pPr>
            <w:r>
              <w:rPr>
                <w:sz w:val="16"/>
              </w:rPr>
              <w:t>Written Examinations and Operating Test- Implementation</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49273475" w14:textId="77777777">
            <w:pPr>
              <w:pStyle w:val="TableParagraph"/>
              <w:spacing w:before="98"/>
              <w:ind w:right="470"/>
            </w:pPr>
            <w:r>
              <w:t>25 Non-power Sites</w:t>
            </w:r>
          </w:p>
        </w:tc>
        <w:tc>
          <w:tcPr>
            <w:tcW w:w="1350" w:type="dxa"/>
            <w:tcBorders>
              <w:top w:val="single" w:color="000000" w:sz="6" w:space="0"/>
              <w:left w:val="single" w:color="000000" w:sz="6" w:space="0"/>
              <w:bottom w:val="single" w:color="000000" w:sz="6" w:space="0"/>
              <w:right w:val="single" w:color="000000" w:sz="6" w:space="0"/>
            </w:tcBorders>
          </w:tcPr>
          <w:p w:rsidRPr="00650F9C" w:rsidR="00650F9C" w:rsidRDefault="00650F9C" w14:paraId="00145B41" w14:textId="77777777">
            <w:pPr>
              <w:pStyle w:val="TableParagraph"/>
              <w:spacing w:before="98"/>
            </w:pPr>
            <w:r w:rsidRPr="00650F9C">
              <w:t>200</w:t>
            </w:r>
          </w:p>
        </w:tc>
        <w:tc>
          <w:tcPr>
            <w:tcW w:w="1440" w:type="dxa"/>
            <w:tcBorders>
              <w:top w:val="single" w:color="000000" w:sz="6" w:space="0"/>
              <w:left w:val="single" w:color="000000" w:sz="6" w:space="0"/>
              <w:bottom w:val="single" w:color="000000" w:sz="6" w:space="0"/>
              <w:right w:val="single" w:color="000000" w:sz="6" w:space="0"/>
            </w:tcBorders>
          </w:tcPr>
          <w:p w:rsidR="00650F9C" w:rsidRDefault="00650F9C" w14:paraId="27FD6B8F" w14:textId="77777777">
            <w:pPr>
              <w:pStyle w:val="TableParagraph"/>
              <w:spacing w:before="98"/>
            </w:pPr>
            <w:r>
              <w:t>5,000</w:t>
            </w:r>
          </w:p>
        </w:tc>
        <w:tc>
          <w:tcPr>
            <w:tcW w:w="2160" w:type="dxa"/>
            <w:tcBorders>
              <w:top w:val="single" w:color="000000" w:sz="6" w:space="0"/>
              <w:left w:val="single" w:color="000000" w:sz="6" w:space="0"/>
              <w:bottom w:val="single" w:color="000000" w:sz="6" w:space="0"/>
              <w:right w:val="single" w:color="000000" w:sz="6" w:space="0"/>
            </w:tcBorders>
          </w:tcPr>
          <w:p w:rsidR="00650F9C" w:rsidP="00322BA7" w:rsidRDefault="0048489D" w14:paraId="40142777" w14:textId="77777777">
            <w:pPr>
              <w:pStyle w:val="TableParagraph"/>
              <w:spacing w:before="98"/>
            </w:pPr>
            <w:r>
              <w:t>$1,3</w:t>
            </w:r>
            <w:r w:rsidR="00322BA7">
              <w:t>7</w:t>
            </w:r>
            <w:r>
              <w:t>5,000</w:t>
            </w:r>
          </w:p>
        </w:tc>
      </w:tr>
      <w:tr w:rsidR="00650F9C" w:rsidTr="00650F9C" w14:paraId="66149DA6" w14:textId="77777777">
        <w:trPr>
          <w:trHeight w:val="425"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4B8504F4" w14:textId="77777777">
            <w:pPr>
              <w:pStyle w:val="TableParagraph"/>
              <w:spacing w:before="98"/>
            </w:pPr>
            <w:r>
              <w:t>55.53(g)</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491BE779" w14:textId="77777777">
            <w:pPr>
              <w:pStyle w:val="TableParagraph"/>
              <w:spacing w:before="98"/>
              <w:rPr>
                <w:sz w:val="16"/>
              </w:rPr>
            </w:pPr>
            <w:r>
              <w:rPr>
                <w:sz w:val="16"/>
              </w:rPr>
              <w:t>Conditions of license</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4E8BD6D6" w14:textId="77777777">
            <w:pPr>
              <w:pStyle w:val="TableParagraph"/>
              <w:spacing w:before="98"/>
            </w:pPr>
            <w:r>
              <w:t>4 Power Sites</w:t>
            </w:r>
          </w:p>
        </w:tc>
        <w:tc>
          <w:tcPr>
            <w:tcW w:w="1350" w:type="dxa"/>
            <w:tcBorders>
              <w:top w:val="single" w:color="000000" w:sz="6" w:space="0"/>
              <w:left w:val="single" w:color="000000" w:sz="6" w:space="0"/>
              <w:bottom w:val="single" w:color="000000" w:sz="6" w:space="0"/>
              <w:right w:val="single" w:color="000000" w:sz="6" w:space="0"/>
            </w:tcBorders>
          </w:tcPr>
          <w:p w:rsidRPr="00650F9C" w:rsidR="00650F9C" w:rsidRDefault="00650F9C" w14:paraId="65BDAD53" w14:textId="77777777">
            <w:pPr>
              <w:pStyle w:val="TableParagraph"/>
              <w:spacing w:before="98"/>
              <w:ind w:left="94"/>
            </w:pPr>
            <w:r w:rsidRPr="00650F9C">
              <w:rPr>
                <w:w w:val="99"/>
              </w:rPr>
              <w:t>1</w:t>
            </w:r>
          </w:p>
        </w:tc>
        <w:tc>
          <w:tcPr>
            <w:tcW w:w="1440" w:type="dxa"/>
            <w:tcBorders>
              <w:top w:val="single" w:color="000000" w:sz="6" w:space="0"/>
              <w:left w:val="single" w:color="000000" w:sz="6" w:space="0"/>
              <w:bottom w:val="single" w:color="000000" w:sz="6" w:space="0"/>
              <w:right w:val="single" w:color="000000" w:sz="6" w:space="0"/>
            </w:tcBorders>
          </w:tcPr>
          <w:p w:rsidR="00650F9C" w:rsidRDefault="00650F9C" w14:paraId="38AF4456" w14:textId="77777777">
            <w:pPr>
              <w:pStyle w:val="TableParagraph"/>
              <w:spacing w:before="98"/>
              <w:ind w:left="94"/>
            </w:pPr>
            <w:r>
              <w:rPr>
                <w:w w:val="99"/>
              </w:rPr>
              <w:t>4</w:t>
            </w:r>
          </w:p>
        </w:tc>
        <w:tc>
          <w:tcPr>
            <w:tcW w:w="2160" w:type="dxa"/>
            <w:tcBorders>
              <w:top w:val="single" w:color="000000" w:sz="6" w:space="0"/>
              <w:left w:val="single" w:color="000000" w:sz="6" w:space="0"/>
              <w:bottom w:val="single" w:color="000000" w:sz="6" w:space="0"/>
              <w:right w:val="single" w:color="000000" w:sz="6" w:space="0"/>
            </w:tcBorders>
          </w:tcPr>
          <w:p w:rsidR="00650F9C" w:rsidP="00322BA7" w:rsidRDefault="0048489D" w14:paraId="36DD6265" w14:textId="77777777">
            <w:pPr>
              <w:pStyle w:val="TableParagraph"/>
              <w:spacing w:before="98"/>
              <w:ind w:left="94"/>
            </w:pPr>
            <w:r>
              <w:t>$1,</w:t>
            </w:r>
            <w:r w:rsidR="00322BA7">
              <w:t>100</w:t>
            </w:r>
          </w:p>
        </w:tc>
      </w:tr>
      <w:tr w:rsidR="00650F9C" w:rsidTr="00650F9C" w14:paraId="7AE5AA41" w14:textId="77777777">
        <w:trPr>
          <w:trHeight w:val="425"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3FF0C4CB" w14:textId="77777777">
            <w:pPr>
              <w:pStyle w:val="TableParagraph"/>
              <w:spacing w:before="98"/>
            </w:pPr>
            <w:r>
              <w:t>55.53(g)</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12BA7145" w14:textId="77777777">
            <w:pPr>
              <w:pStyle w:val="TableParagraph"/>
              <w:spacing w:before="98"/>
              <w:rPr>
                <w:sz w:val="16"/>
              </w:rPr>
            </w:pPr>
            <w:r>
              <w:rPr>
                <w:sz w:val="16"/>
              </w:rPr>
              <w:t>Conditions of license</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15982F86" w14:textId="77777777">
            <w:pPr>
              <w:pStyle w:val="TableParagraph"/>
              <w:spacing w:before="98"/>
            </w:pPr>
            <w:r>
              <w:t>1 Non-power Site</w:t>
            </w:r>
          </w:p>
        </w:tc>
        <w:tc>
          <w:tcPr>
            <w:tcW w:w="1350" w:type="dxa"/>
            <w:tcBorders>
              <w:top w:val="single" w:color="000000" w:sz="6" w:space="0"/>
              <w:left w:val="single" w:color="000000" w:sz="6" w:space="0"/>
              <w:bottom w:val="single" w:color="000000" w:sz="6" w:space="0"/>
              <w:right w:val="single" w:color="000000" w:sz="6" w:space="0"/>
            </w:tcBorders>
          </w:tcPr>
          <w:p w:rsidRPr="00650F9C" w:rsidR="00650F9C" w:rsidRDefault="00650F9C" w14:paraId="0A63D7CA" w14:textId="77777777">
            <w:pPr>
              <w:pStyle w:val="TableParagraph"/>
              <w:spacing w:before="98"/>
            </w:pPr>
            <w:r w:rsidRPr="00650F9C">
              <w:rPr>
                <w:w w:val="99"/>
              </w:rPr>
              <w:t>1</w:t>
            </w:r>
          </w:p>
        </w:tc>
        <w:tc>
          <w:tcPr>
            <w:tcW w:w="1440" w:type="dxa"/>
            <w:tcBorders>
              <w:top w:val="single" w:color="000000" w:sz="6" w:space="0"/>
              <w:left w:val="single" w:color="000000" w:sz="6" w:space="0"/>
              <w:bottom w:val="single" w:color="000000" w:sz="6" w:space="0"/>
              <w:right w:val="single" w:color="000000" w:sz="6" w:space="0"/>
            </w:tcBorders>
          </w:tcPr>
          <w:p w:rsidR="00650F9C" w:rsidRDefault="00650F9C" w14:paraId="335A0506" w14:textId="77777777">
            <w:pPr>
              <w:pStyle w:val="TableParagraph"/>
              <w:spacing w:before="98"/>
            </w:pPr>
            <w:r>
              <w:rPr>
                <w:w w:val="99"/>
              </w:rPr>
              <w:t>1</w:t>
            </w:r>
          </w:p>
        </w:tc>
        <w:tc>
          <w:tcPr>
            <w:tcW w:w="2160" w:type="dxa"/>
            <w:tcBorders>
              <w:top w:val="single" w:color="000000" w:sz="6" w:space="0"/>
              <w:left w:val="single" w:color="000000" w:sz="6" w:space="0"/>
              <w:bottom w:val="single" w:color="000000" w:sz="6" w:space="0"/>
              <w:right w:val="single" w:color="000000" w:sz="6" w:space="0"/>
            </w:tcBorders>
          </w:tcPr>
          <w:p w:rsidR="00650F9C" w:rsidRDefault="00322BA7" w14:paraId="1F7F8A34" w14:textId="77777777">
            <w:pPr>
              <w:pStyle w:val="TableParagraph"/>
              <w:spacing w:before="98"/>
            </w:pPr>
            <w:r>
              <w:t>$275</w:t>
            </w:r>
          </w:p>
        </w:tc>
      </w:tr>
      <w:tr w:rsidR="00650F9C" w:rsidTr="00650F9C" w14:paraId="3B6B70AC" w14:textId="77777777">
        <w:trPr>
          <w:trHeight w:val="540"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57C176C0" w14:textId="77777777">
            <w:pPr>
              <w:pStyle w:val="TableParagraph"/>
              <w:spacing w:before="98"/>
            </w:pPr>
            <w:r>
              <w:t>55.59(a)(2)(iii)</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33F57666" w14:textId="77777777">
            <w:pPr>
              <w:pStyle w:val="TableParagraph"/>
              <w:spacing w:before="98"/>
              <w:ind w:right="625"/>
              <w:rPr>
                <w:sz w:val="16"/>
              </w:rPr>
            </w:pPr>
            <w:r>
              <w:rPr>
                <w:sz w:val="16"/>
              </w:rPr>
              <w:t>Requalification of licenses</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6ACBE7F1" w14:textId="77777777">
            <w:pPr>
              <w:pStyle w:val="TableParagraph"/>
              <w:spacing w:before="98"/>
            </w:pPr>
            <w:r>
              <w:t>1 Power Site</w:t>
            </w:r>
          </w:p>
        </w:tc>
        <w:tc>
          <w:tcPr>
            <w:tcW w:w="1350" w:type="dxa"/>
            <w:tcBorders>
              <w:top w:val="single" w:color="000000" w:sz="6" w:space="0"/>
              <w:left w:val="single" w:color="000000" w:sz="6" w:space="0"/>
              <w:bottom w:val="single" w:color="000000" w:sz="6" w:space="0"/>
              <w:right w:val="single" w:color="000000" w:sz="6" w:space="0"/>
            </w:tcBorders>
          </w:tcPr>
          <w:p w:rsidRPr="00650F9C" w:rsidR="00650F9C" w:rsidRDefault="00650F9C" w14:paraId="2B8DEDEE" w14:textId="77777777">
            <w:pPr>
              <w:pStyle w:val="TableParagraph"/>
              <w:spacing w:before="98"/>
              <w:ind w:left="94"/>
            </w:pPr>
            <w:r w:rsidRPr="00650F9C">
              <w:t>250</w:t>
            </w:r>
          </w:p>
        </w:tc>
        <w:tc>
          <w:tcPr>
            <w:tcW w:w="1440" w:type="dxa"/>
            <w:tcBorders>
              <w:top w:val="single" w:color="000000" w:sz="6" w:space="0"/>
              <w:left w:val="single" w:color="000000" w:sz="6" w:space="0"/>
              <w:bottom w:val="single" w:color="000000" w:sz="6" w:space="0"/>
              <w:right w:val="single" w:color="000000" w:sz="6" w:space="0"/>
            </w:tcBorders>
          </w:tcPr>
          <w:p w:rsidR="00650F9C" w:rsidRDefault="00650F9C" w14:paraId="7EED9428" w14:textId="77777777">
            <w:pPr>
              <w:pStyle w:val="TableParagraph"/>
              <w:spacing w:before="98"/>
              <w:ind w:left="94"/>
            </w:pPr>
            <w:r>
              <w:t>250</w:t>
            </w:r>
          </w:p>
        </w:tc>
        <w:tc>
          <w:tcPr>
            <w:tcW w:w="2160" w:type="dxa"/>
            <w:tcBorders>
              <w:top w:val="single" w:color="000000" w:sz="6" w:space="0"/>
              <w:left w:val="single" w:color="000000" w:sz="6" w:space="0"/>
              <w:bottom w:val="single" w:color="000000" w:sz="6" w:space="0"/>
              <w:right w:val="single" w:color="000000" w:sz="6" w:space="0"/>
            </w:tcBorders>
          </w:tcPr>
          <w:p w:rsidR="00650F9C" w:rsidP="00322BA7" w:rsidRDefault="0048489D" w14:paraId="7B59B46B" w14:textId="77777777">
            <w:pPr>
              <w:pStyle w:val="TableParagraph"/>
              <w:spacing w:before="98"/>
            </w:pPr>
            <w:r>
              <w:t>$6</w:t>
            </w:r>
            <w:r w:rsidR="00322BA7">
              <w:t>8</w:t>
            </w:r>
            <w:r>
              <w:t>,750</w:t>
            </w:r>
          </w:p>
        </w:tc>
      </w:tr>
      <w:tr w:rsidR="00650F9C" w:rsidTr="00650F9C" w14:paraId="02EE296F" w14:textId="77777777">
        <w:trPr>
          <w:trHeight w:val="540"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23CE3D72" w14:textId="77777777">
            <w:pPr>
              <w:pStyle w:val="TableParagraph"/>
              <w:spacing w:before="98"/>
            </w:pPr>
            <w:r>
              <w:t>55.59(a)(2)(iii)</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3A17F26A" w14:textId="77777777">
            <w:pPr>
              <w:pStyle w:val="TableParagraph"/>
              <w:spacing w:before="98"/>
              <w:ind w:right="625"/>
              <w:rPr>
                <w:sz w:val="16"/>
              </w:rPr>
            </w:pPr>
            <w:r>
              <w:rPr>
                <w:sz w:val="16"/>
              </w:rPr>
              <w:t>Requalification of licenses</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43BBA898" w14:textId="77777777">
            <w:pPr>
              <w:pStyle w:val="TableParagraph"/>
              <w:spacing w:before="98"/>
            </w:pPr>
            <w:r>
              <w:t>1 Non-power Site</w:t>
            </w:r>
          </w:p>
        </w:tc>
        <w:tc>
          <w:tcPr>
            <w:tcW w:w="1350" w:type="dxa"/>
            <w:tcBorders>
              <w:top w:val="single" w:color="000000" w:sz="6" w:space="0"/>
              <w:left w:val="single" w:color="000000" w:sz="6" w:space="0"/>
              <w:bottom w:val="single" w:color="000000" w:sz="6" w:space="0"/>
              <w:right w:val="single" w:color="000000" w:sz="6" w:space="0"/>
            </w:tcBorders>
          </w:tcPr>
          <w:p w:rsidRPr="00650F9C" w:rsidR="00650F9C" w:rsidRDefault="00650F9C" w14:paraId="113FB221" w14:textId="77777777">
            <w:pPr>
              <w:pStyle w:val="TableParagraph"/>
              <w:spacing w:before="98"/>
              <w:ind w:left="94"/>
            </w:pPr>
            <w:r w:rsidRPr="00650F9C">
              <w:t>120</w:t>
            </w:r>
          </w:p>
        </w:tc>
        <w:tc>
          <w:tcPr>
            <w:tcW w:w="1440" w:type="dxa"/>
            <w:tcBorders>
              <w:top w:val="single" w:color="000000" w:sz="6" w:space="0"/>
              <w:left w:val="single" w:color="000000" w:sz="6" w:space="0"/>
              <w:bottom w:val="single" w:color="000000" w:sz="6" w:space="0"/>
              <w:right w:val="single" w:color="000000" w:sz="6" w:space="0"/>
            </w:tcBorders>
          </w:tcPr>
          <w:p w:rsidR="00650F9C" w:rsidRDefault="00650F9C" w14:paraId="53A14679" w14:textId="77777777">
            <w:pPr>
              <w:pStyle w:val="TableParagraph"/>
              <w:spacing w:before="98"/>
              <w:ind w:left="94"/>
            </w:pPr>
            <w:r>
              <w:t>120</w:t>
            </w:r>
          </w:p>
        </w:tc>
        <w:tc>
          <w:tcPr>
            <w:tcW w:w="2160" w:type="dxa"/>
            <w:tcBorders>
              <w:top w:val="single" w:color="000000" w:sz="6" w:space="0"/>
              <w:left w:val="single" w:color="000000" w:sz="6" w:space="0"/>
              <w:bottom w:val="single" w:color="000000" w:sz="6" w:space="0"/>
              <w:right w:val="single" w:color="000000" w:sz="6" w:space="0"/>
            </w:tcBorders>
          </w:tcPr>
          <w:p w:rsidR="00650F9C" w:rsidP="00322BA7" w:rsidRDefault="0048489D" w14:paraId="6D19696B" w14:textId="77777777">
            <w:pPr>
              <w:pStyle w:val="TableParagraph"/>
              <w:spacing w:before="98"/>
            </w:pPr>
            <w:r>
              <w:t>$3</w:t>
            </w:r>
            <w:r w:rsidR="00322BA7">
              <w:t>3</w:t>
            </w:r>
            <w:r>
              <w:t>,</w:t>
            </w:r>
            <w:r w:rsidR="00322BA7">
              <w:t>00</w:t>
            </w:r>
            <w:r>
              <w:t>0</w:t>
            </w:r>
          </w:p>
        </w:tc>
      </w:tr>
      <w:tr w:rsidR="00650F9C" w:rsidTr="00650F9C" w14:paraId="1951A97C" w14:textId="77777777">
        <w:trPr>
          <w:trHeight w:val="540"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05B828AC" w14:textId="77777777">
            <w:pPr>
              <w:pStyle w:val="TableParagraph"/>
              <w:spacing w:before="98"/>
            </w:pPr>
            <w:r>
              <w:t>55.59(c)</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04FCFB73" w14:textId="77777777">
            <w:pPr>
              <w:pStyle w:val="TableParagraph"/>
              <w:spacing w:before="98"/>
              <w:ind w:right="625"/>
              <w:rPr>
                <w:sz w:val="16"/>
              </w:rPr>
            </w:pPr>
            <w:r>
              <w:rPr>
                <w:sz w:val="16"/>
              </w:rPr>
              <w:t>Requalification of licenses</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78470E48" w14:textId="77777777">
            <w:pPr>
              <w:pStyle w:val="TableParagraph"/>
              <w:spacing w:before="98"/>
            </w:pPr>
            <w:r>
              <w:t>32 Power Sites</w:t>
            </w:r>
          </w:p>
        </w:tc>
        <w:tc>
          <w:tcPr>
            <w:tcW w:w="1350" w:type="dxa"/>
            <w:tcBorders>
              <w:top w:val="single" w:color="000000" w:sz="6" w:space="0"/>
              <w:left w:val="single" w:color="000000" w:sz="6" w:space="0"/>
              <w:bottom w:val="single" w:color="000000" w:sz="6" w:space="0"/>
              <w:right w:val="single" w:color="000000" w:sz="6" w:space="0"/>
            </w:tcBorders>
          </w:tcPr>
          <w:p w:rsidRPr="00650F9C" w:rsidR="00650F9C" w:rsidRDefault="00650F9C" w14:paraId="58FBD4D9" w14:textId="77777777">
            <w:pPr>
              <w:pStyle w:val="TableParagraph"/>
              <w:spacing w:before="98"/>
              <w:ind w:left="94"/>
            </w:pPr>
            <w:r w:rsidRPr="00650F9C">
              <w:t>96</w:t>
            </w:r>
          </w:p>
        </w:tc>
        <w:tc>
          <w:tcPr>
            <w:tcW w:w="1440" w:type="dxa"/>
            <w:tcBorders>
              <w:top w:val="single" w:color="000000" w:sz="6" w:space="0"/>
              <w:left w:val="single" w:color="000000" w:sz="6" w:space="0"/>
              <w:bottom w:val="single" w:color="000000" w:sz="6" w:space="0"/>
              <w:right w:val="single" w:color="000000" w:sz="6" w:space="0"/>
            </w:tcBorders>
          </w:tcPr>
          <w:p w:rsidR="00650F9C" w:rsidRDefault="0048489D" w14:paraId="502162F8" w14:textId="77777777">
            <w:pPr>
              <w:pStyle w:val="TableParagraph"/>
              <w:spacing w:before="98"/>
            </w:pPr>
            <w:r>
              <w:t>3,072</w:t>
            </w:r>
          </w:p>
        </w:tc>
        <w:tc>
          <w:tcPr>
            <w:tcW w:w="2160" w:type="dxa"/>
            <w:tcBorders>
              <w:top w:val="single" w:color="000000" w:sz="6" w:space="0"/>
              <w:left w:val="single" w:color="000000" w:sz="6" w:space="0"/>
              <w:bottom w:val="single" w:color="000000" w:sz="6" w:space="0"/>
              <w:right w:val="single" w:color="000000" w:sz="6" w:space="0"/>
            </w:tcBorders>
          </w:tcPr>
          <w:p w:rsidR="00650F9C" w:rsidP="00322BA7" w:rsidRDefault="0048489D" w14:paraId="2BDEB1A4" w14:textId="77777777">
            <w:pPr>
              <w:pStyle w:val="TableParagraph"/>
              <w:spacing w:before="98"/>
            </w:pPr>
            <w:r>
              <w:t>$8</w:t>
            </w:r>
            <w:r w:rsidR="00322BA7">
              <w:t>44,800</w:t>
            </w:r>
          </w:p>
        </w:tc>
      </w:tr>
      <w:tr w:rsidR="00650F9C" w:rsidTr="00650F9C" w14:paraId="1E027FB7" w14:textId="77777777">
        <w:trPr>
          <w:trHeight w:val="677"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6CDFC9C5" w14:textId="77777777">
            <w:pPr>
              <w:pStyle w:val="TableParagraph"/>
              <w:spacing w:before="98"/>
            </w:pPr>
            <w:r>
              <w:t>55.59(c)</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604C6E98" w14:textId="77777777">
            <w:pPr>
              <w:pStyle w:val="TableParagraph"/>
              <w:spacing w:before="98"/>
              <w:ind w:right="625"/>
              <w:rPr>
                <w:sz w:val="16"/>
              </w:rPr>
            </w:pPr>
            <w:r>
              <w:rPr>
                <w:sz w:val="16"/>
              </w:rPr>
              <w:t>Requalification of licenses</w:t>
            </w:r>
          </w:p>
        </w:tc>
        <w:tc>
          <w:tcPr>
            <w:tcW w:w="2683" w:type="dxa"/>
            <w:tcBorders>
              <w:top w:val="single" w:color="000000" w:sz="6" w:space="0"/>
              <w:left w:val="single" w:color="000000" w:sz="6" w:space="0"/>
              <w:bottom w:val="single" w:color="000000" w:sz="6" w:space="0"/>
              <w:right w:val="single" w:color="000000" w:sz="6" w:space="0"/>
            </w:tcBorders>
          </w:tcPr>
          <w:p w:rsidR="00650F9C" w:rsidRDefault="00650F9C" w14:paraId="6F3BA9F0" w14:textId="77777777">
            <w:pPr>
              <w:pStyle w:val="TableParagraph"/>
              <w:spacing w:before="98"/>
              <w:ind w:right="446"/>
            </w:pPr>
            <w:r>
              <w:t>31 Non-Power Sites</w:t>
            </w:r>
          </w:p>
        </w:tc>
        <w:tc>
          <w:tcPr>
            <w:tcW w:w="1350" w:type="dxa"/>
            <w:tcBorders>
              <w:top w:val="single" w:color="000000" w:sz="6" w:space="0"/>
              <w:left w:val="single" w:color="000000" w:sz="6" w:space="0"/>
              <w:bottom w:val="single" w:color="000000" w:sz="6" w:space="0"/>
              <w:right w:val="single" w:color="000000" w:sz="6" w:space="0"/>
            </w:tcBorders>
          </w:tcPr>
          <w:p w:rsidRPr="00650F9C" w:rsidR="00650F9C" w:rsidRDefault="00650F9C" w14:paraId="5EF34B88" w14:textId="77777777">
            <w:pPr>
              <w:pStyle w:val="TableParagraph"/>
              <w:spacing w:before="98"/>
            </w:pPr>
            <w:r w:rsidRPr="00650F9C">
              <w:t>15</w:t>
            </w:r>
          </w:p>
        </w:tc>
        <w:tc>
          <w:tcPr>
            <w:tcW w:w="1440" w:type="dxa"/>
            <w:tcBorders>
              <w:top w:val="single" w:color="000000" w:sz="6" w:space="0"/>
              <w:left w:val="single" w:color="000000" w:sz="6" w:space="0"/>
              <w:bottom w:val="single" w:color="000000" w:sz="6" w:space="0"/>
              <w:right w:val="single" w:color="000000" w:sz="6" w:space="0"/>
            </w:tcBorders>
          </w:tcPr>
          <w:p w:rsidR="00650F9C" w:rsidRDefault="00650F9C" w14:paraId="36A57740" w14:textId="77777777">
            <w:pPr>
              <w:pStyle w:val="TableParagraph"/>
              <w:spacing w:before="98"/>
            </w:pPr>
            <w:r>
              <w:t>465</w:t>
            </w:r>
          </w:p>
        </w:tc>
        <w:tc>
          <w:tcPr>
            <w:tcW w:w="2160" w:type="dxa"/>
            <w:tcBorders>
              <w:top w:val="single" w:color="000000" w:sz="6" w:space="0"/>
              <w:left w:val="single" w:color="000000" w:sz="6" w:space="0"/>
              <w:bottom w:val="single" w:color="000000" w:sz="6" w:space="0"/>
              <w:right w:val="single" w:color="000000" w:sz="6" w:space="0"/>
            </w:tcBorders>
          </w:tcPr>
          <w:p w:rsidR="00650F9C" w:rsidP="00322BA7" w:rsidRDefault="0048489D" w14:paraId="04DC99BC" w14:textId="77777777">
            <w:pPr>
              <w:pStyle w:val="TableParagraph"/>
              <w:spacing w:before="98"/>
            </w:pPr>
            <w:r>
              <w:t>$12</w:t>
            </w:r>
            <w:r w:rsidR="00322BA7">
              <w:t>7,875</w:t>
            </w:r>
          </w:p>
        </w:tc>
      </w:tr>
      <w:tr w:rsidR="00650F9C" w:rsidTr="00650F9C" w14:paraId="7A1D7A6B" w14:textId="77777777">
        <w:trPr>
          <w:trHeight w:val="950" w:hRule="exact"/>
        </w:trPr>
        <w:tc>
          <w:tcPr>
            <w:tcW w:w="1887" w:type="dxa"/>
            <w:tcBorders>
              <w:top w:val="single" w:color="000000" w:sz="6" w:space="0"/>
              <w:left w:val="single" w:color="000000" w:sz="6" w:space="0"/>
              <w:bottom w:val="single" w:color="000000" w:sz="6" w:space="0"/>
              <w:right w:val="single" w:color="000000" w:sz="6" w:space="0"/>
            </w:tcBorders>
          </w:tcPr>
          <w:p w:rsidR="00650F9C" w:rsidRDefault="00650F9C" w14:paraId="60EA4EB8" w14:textId="77777777">
            <w:pPr>
              <w:pStyle w:val="TableParagraph"/>
              <w:spacing w:before="98"/>
              <w:ind w:right="111"/>
            </w:pPr>
            <w:r>
              <w:t>Total Government Burden and Cost</w:t>
            </w:r>
          </w:p>
        </w:tc>
        <w:tc>
          <w:tcPr>
            <w:tcW w:w="1978" w:type="dxa"/>
            <w:gridSpan w:val="2"/>
            <w:tcBorders>
              <w:top w:val="single" w:color="000000" w:sz="6" w:space="0"/>
              <w:left w:val="single" w:color="000000" w:sz="6" w:space="0"/>
              <w:bottom w:val="single" w:color="000000" w:sz="6" w:space="0"/>
              <w:right w:val="single" w:color="000000" w:sz="6" w:space="0"/>
            </w:tcBorders>
          </w:tcPr>
          <w:p w:rsidR="00650F9C" w:rsidRDefault="00650F9C" w14:paraId="17DACE60" w14:textId="77777777"/>
        </w:tc>
        <w:tc>
          <w:tcPr>
            <w:tcW w:w="2683" w:type="dxa"/>
            <w:tcBorders>
              <w:top w:val="single" w:color="000000" w:sz="6" w:space="0"/>
              <w:left w:val="single" w:color="000000" w:sz="6" w:space="0"/>
              <w:bottom w:val="single" w:color="000000" w:sz="6" w:space="0"/>
              <w:right w:val="single" w:color="000000" w:sz="6" w:space="0"/>
            </w:tcBorders>
          </w:tcPr>
          <w:p w:rsidR="00650F9C" w:rsidRDefault="00504DDC" w14:paraId="402BF112" w14:textId="77777777">
            <w:pPr>
              <w:pStyle w:val="TableParagraph"/>
              <w:spacing w:before="98"/>
            </w:pPr>
            <w:r>
              <w:t>179</w:t>
            </w:r>
          </w:p>
        </w:tc>
        <w:tc>
          <w:tcPr>
            <w:tcW w:w="1350" w:type="dxa"/>
            <w:tcBorders>
              <w:top w:val="single" w:color="000000" w:sz="6" w:space="0"/>
              <w:left w:val="single" w:color="000000" w:sz="6" w:space="0"/>
              <w:bottom w:val="single" w:color="000000" w:sz="6" w:space="0"/>
              <w:right w:val="single" w:color="000000" w:sz="6" w:space="0"/>
            </w:tcBorders>
          </w:tcPr>
          <w:p w:rsidR="00650F9C" w:rsidRDefault="00650F9C" w14:paraId="70CC2238" w14:textId="77777777"/>
        </w:tc>
        <w:tc>
          <w:tcPr>
            <w:tcW w:w="1440" w:type="dxa"/>
            <w:tcBorders>
              <w:top w:val="single" w:color="000000" w:sz="6" w:space="0"/>
              <w:left w:val="single" w:color="000000" w:sz="6" w:space="0"/>
              <w:bottom w:val="single" w:color="000000" w:sz="6" w:space="0"/>
              <w:right w:val="single" w:color="000000" w:sz="6" w:space="0"/>
            </w:tcBorders>
          </w:tcPr>
          <w:p w:rsidR="00650F9C" w:rsidRDefault="00CB4C5F" w14:paraId="6249A0A6" w14:textId="77777777">
            <w:pPr>
              <w:pStyle w:val="TableParagraph"/>
              <w:spacing w:before="98"/>
            </w:pPr>
            <w:r>
              <w:t>29,047</w:t>
            </w:r>
          </w:p>
        </w:tc>
        <w:tc>
          <w:tcPr>
            <w:tcW w:w="2160" w:type="dxa"/>
            <w:tcBorders>
              <w:top w:val="single" w:color="000000" w:sz="6" w:space="0"/>
              <w:left w:val="single" w:color="000000" w:sz="6" w:space="0"/>
              <w:bottom w:val="single" w:color="000000" w:sz="6" w:space="0"/>
              <w:right w:val="single" w:color="000000" w:sz="6" w:space="0"/>
            </w:tcBorders>
          </w:tcPr>
          <w:p w:rsidR="00650F9C" w:rsidP="00322BA7" w:rsidRDefault="00CB4C5F" w14:paraId="3DA4E622" w14:textId="77777777">
            <w:pPr>
              <w:pStyle w:val="TableParagraph"/>
              <w:spacing w:before="98"/>
            </w:pPr>
            <w:r>
              <w:t>$7,</w:t>
            </w:r>
            <w:r w:rsidR="00322BA7">
              <w:t>987,925</w:t>
            </w:r>
          </w:p>
        </w:tc>
      </w:tr>
    </w:tbl>
    <w:p w:rsidR="00972E75" w:rsidRDefault="00972E75" w14:paraId="57EE536E" w14:textId="77777777">
      <w:pPr>
        <w:pStyle w:val="BodyText"/>
        <w:spacing w:before="93"/>
        <w:ind w:left="5383" w:right="5383"/>
        <w:jc w:val="center"/>
      </w:pPr>
    </w:p>
    <w:sectPr w:rsidR="00972E75" w:rsidSect="00984D5B">
      <w:headerReference w:type="default" r:id="rId16"/>
      <w:pgSz w:w="15840" w:h="12240" w:orient="landscape"/>
      <w:pgMar w:top="1140" w:right="2260" w:bottom="280" w:left="22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C53B4" w14:textId="77777777" w:rsidR="00991366" w:rsidRDefault="00991366">
      <w:r>
        <w:separator/>
      </w:r>
    </w:p>
  </w:endnote>
  <w:endnote w:type="continuationSeparator" w:id="0">
    <w:p w14:paraId="59DD0F39" w14:textId="77777777" w:rsidR="00991366" w:rsidRDefault="0099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12E46" w14:textId="77777777" w:rsidR="00991366" w:rsidRDefault="00991366">
      <w:r>
        <w:separator/>
      </w:r>
    </w:p>
  </w:footnote>
  <w:footnote w:type="continuationSeparator" w:id="0">
    <w:p w14:paraId="71256EBA" w14:textId="77777777" w:rsidR="00991366" w:rsidRDefault="0099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047A" w14:textId="77777777" w:rsidR="00991366" w:rsidRDefault="00991366">
    <w:pPr>
      <w:pStyle w:val="BodyText"/>
      <w:spacing w:line="14" w:lineRule="auto"/>
      <w:rPr>
        <w:sz w:val="20"/>
      </w:rPr>
    </w:pPr>
    <w:r>
      <w:rPr>
        <w:noProof/>
      </w:rPr>
      <mc:AlternateContent>
        <mc:Choice Requires="wps">
          <w:drawing>
            <wp:anchor distT="0" distB="0" distL="114300" distR="114300" simplePos="0" relativeHeight="503287096" behindDoc="1" locked="0" layoutInCell="1" allowOverlap="1" wp14:anchorId="35A0062D" wp14:editId="5719C8F5">
              <wp:simplePos x="0" y="0"/>
              <wp:positionH relativeFrom="page">
                <wp:posOffset>3822065</wp:posOffset>
              </wp:positionH>
              <wp:positionV relativeFrom="page">
                <wp:posOffset>905510</wp:posOffset>
              </wp:positionV>
              <wp:extent cx="128905" cy="181610"/>
              <wp:effectExtent l="2540" t="635"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320A" w14:textId="77777777" w:rsidR="00991366" w:rsidRDefault="00991366">
                          <w:pPr>
                            <w:pStyle w:val="BodyText"/>
                            <w:spacing w:before="12"/>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0062D" id="_x0000_t202" coordsize="21600,21600" o:spt="202" path="m,l,21600r21600,l21600,xe">
              <v:stroke joinstyle="miter"/>
              <v:path gradientshapeok="t" o:connecttype="rect"/>
            </v:shapetype>
            <v:shape id="Text Box 5" o:spid="_x0000_s1026" type="#_x0000_t202" style="position:absolute;margin-left:300.95pt;margin-top:71.3pt;width:10.15pt;height:14.3pt;z-index:-2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3mrQIAAKg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" filled="f" stroked="f">
              <v:textbox inset="0,0,0,0">
                <w:txbxContent>
                  <w:p w14:paraId="401B320A" w14:textId="77777777" w:rsidR="00991366" w:rsidRDefault="00991366">
                    <w:pPr>
                      <w:pStyle w:val="BodyText"/>
                      <w:spacing w:before="12"/>
                      <w:ind w:left="4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547E" w14:textId="77777777" w:rsidR="00991366" w:rsidRDefault="00991366">
    <w:pPr>
      <w:pStyle w:val="BodyText"/>
      <w:spacing w:line="14" w:lineRule="auto"/>
      <w:rPr>
        <w:sz w:val="20"/>
      </w:rPr>
    </w:pPr>
    <w:r>
      <w:rPr>
        <w:noProof/>
      </w:rPr>
      <mc:AlternateContent>
        <mc:Choice Requires="wps">
          <w:drawing>
            <wp:anchor distT="0" distB="0" distL="114300" distR="114300" simplePos="0" relativeHeight="503288120" behindDoc="1" locked="0" layoutInCell="1" allowOverlap="1" wp14:anchorId="133F4C54" wp14:editId="7E5FE683">
              <wp:simplePos x="0" y="0"/>
              <wp:positionH relativeFrom="page">
                <wp:posOffset>3822065</wp:posOffset>
              </wp:positionH>
              <wp:positionV relativeFrom="page">
                <wp:posOffset>905510</wp:posOffset>
              </wp:positionV>
              <wp:extent cx="128905" cy="181610"/>
              <wp:effectExtent l="2540" t="635" r="190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E3ADA" w14:textId="77777777" w:rsidR="00991366" w:rsidRDefault="00991366" w:rsidP="00175D66">
                          <w:pPr>
                            <w:pStyle w:val="BodyText"/>
                            <w:spacing w:before="1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F4C54" id="_x0000_t202" coordsize="21600,21600" o:spt="202" path="m,l,21600r21600,l21600,xe">
              <v:stroke joinstyle="miter"/>
              <v:path gradientshapeok="t" o:connecttype="rect"/>
            </v:shapetype>
            <v:shape id="Text Box 6" o:spid="_x0000_s1027" type="#_x0000_t202" style="position:absolute;margin-left:300.95pt;margin-top:71.3pt;width:10.15pt;height:14.3pt;z-index:-28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" filled="f" stroked="f">
              <v:textbox inset="0,0,0,0">
                <w:txbxContent>
                  <w:p w14:paraId="492E3ADA" w14:textId="77777777" w:rsidR="00991366" w:rsidRDefault="00991366" w:rsidP="00175D66">
                    <w:pPr>
                      <w:pStyle w:val="BodyText"/>
                      <w:spacing w:before="12"/>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E4AF" w14:textId="77777777" w:rsidR="00991366" w:rsidRDefault="0099136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E5C3" w14:textId="77777777" w:rsidR="00991366" w:rsidRDefault="0099136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AAB3" w14:textId="77777777" w:rsidR="00991366" w:rsidRDefault="0099136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12B91"/>
    <w:multiLevelType w:val="hybridMultilevel"/>
    <w:tmpl w:val="9056B1F2"/>
    <w:lvl w:ilvl="0" w:tplc="DDBE4CC0">
      <w:numFmt w:val="bullet"/>
      <w:lvlText w:val=""/>
      <w:lvlJc w:val="left"/>
      <w:pPr>
        <w:ind w:left="1200" w:hanging="721"/>
      </w:pPr>
      <w:rPr>
        <w:rFonts w:ascii="Symbol" w:eastAsia="Symbol" w:hAnsi="Symbol" w:cs="Symbol" w:hint="default"/>
        <w:w w:val="99"/>
        <w:sz w:val="22"/>
        <w:szCs w:val="22"/>
      </w:rPr>
    </w:lvl>
    <w:lvl w:ilvl="1" w:tplc="0409000F">
      <w:start w:val="1"/>
      <w:numFmt w:val="decimal"/>
      <w:lvlText w:val="%2."/>
      <w:lvlJc w:val="left"/>
      <w:pPr>
        <w:ind w:left="1560" w:hanging="361"/>
      </w:pPr>
      <w:rPr>
        <w:rFonts w:hint="default"/>
        <w:w w:val="99"/>
        <w:sz w:val="22"/>
        <w:szCs w:val="22"/>
      </w:rPr>
    </w:lvl>
    <w:lvl w:ilvl="2" w:tplc="0409000F">
      <w:start w:val="1"/>
      <w:numFmt w:val="decimal"/>
      <w:lvlText w:val="%3."/>
      <w:lvlJc w:val="left"/>
      <w:pPr>
        <w:ind w:left="2280" w:hanging="361"/>
      </w:pPr>
      <w:rPr>
        <w:rFonts w:hint="default"/>
      </w:rPr>
    </w:lvl>
    <w:lvl w:ilvl="3" w:tplc="C85AB446">
      <w:numFmt w:val="bullet"/>
      <w:lvlText w:val="•"/>
      <w:lvlJc w:val="left"/>
      <w:pPr>
        <w:ind w:left="3190" w:hanging="361"/>
      </w:pPr>
      <w:rPr>
        <w:rFonts w:hint="default"/>
      </w:rPr>
    </w:lvl>
    <w:lvl w:ilvl="4" w:tplc="6916E6AC">
      <w:numFmt w:val="bullet"/>
      <w:lvlText w:val="•"/>
      <w:lvlJc w:val="left"/>
      <w:pPr>
        <w:ind w:left="4100" w:hanging="361"/>
      </w:pPr>
      <w:rPr>
        <w:rFonts w:hint="default"/>
      </w:rPr>
    </w:lvl>
    <w:lvl w:ilvl="5" w:tplc="FEFEFD16">
      <w:numFmt w:val="bullet"/>
      <w:lvlText w:val="•"/>
      <w:lvlJc w:val="left"/>
      <w:pPr>
        <w:ind w:left="5010" w:hanging="361"/>
      </w:pPr>
      <w:rPr>
        <w:rFonts w:hint="default"/>
      </w:rPr>
    </w:lvl>
    <w:lvl w:ilvl="6" w:tplc="DDF6C39E">
      <w:numFmt w:val="bullet"/>
      <w:lvlText w:val="•"/>
      <w:lvlJc w:val="left"/>
      <w:pPr>
        <w:ind w:left="5920" w:hanging="361"/>
      </w:pPr>
      <w:rPr>
        <w:rFonts w:hint="default"/>
      </w:rPr>
    </w:lvl>
    <w:lvl w:ilvl="7" w:tplc="3F7E2578">
      <w:numFmt w:val="bullet"/>
      <w:lvlText w:val="•"/>
      <w:lvlJc w:val="left"/>
      <w:pPr>
        <w:ind w:left="6830" w:hanging="361"/>
      </w:pPr>
      <w:rPr>
        <w:rFonts w:hint="default"/>
      </w:rPr>
    </w:lvl>
    <w:lvl w:ilvl="8" w:tplc="DF0445F6">
      <w:numFmt w:val="bullet"/>
      <w:lvlText w:val="•"/>
      <w:lvlJc w:val="left"/>
      <w:pPr>
        <w:ind w:left="7740" w:hanging="361"/>
      </w:pPr>
      <w:rPr>
        <w:rFonts w:hint="default"/>
      </w:rPr>
    </w:lvl>
  </w:abstractNum>
  <w:abstractNum w:abstractNumId="1" w15:restartNumberingAfterBreak="0">
    <w:nsid w:val="3CB07DAB"/>
    <w:multiLevelType w:val="hybridMultilevel"/>
    <w:tmpl w:val="97CAA0C2"/>
    <w:lvl w:ilvl="0" w:tplc="B8D087F2">
      <w:numFmt w:val="bullet"/>
      <w:lvlText w:val=""/>
      <w:lvlJc w:val="left"/>
      <w:pPr>
        <w:ind w:left="1560" w:hanging="361"/>
      </w:pPr>
      <w:rPr>
        <w:rFonts w:ascii="Symbol" w:eastAsia="Symbol" w:hAnsi="Symbol" w:cs="Symbol" w:hint="default"/>
        <w:w w:val="99"/>
        <w:sz w:val="22"/>
        <w:szCs w:val="22"/>
      </w:rPr>
    </w:lvl>
    <w:lvl w:ilvl="1" w:tplc="BEEE26C4">
      <w:numFmt w:val="bullet"/>
      <w:lvlText w:val="•"/>
      <w:lvlJc w:val="left"/>
      <w:pPr>
        <w:ind w:left="2360" w:hanging="361"/>
      </w:pPr>
      <w:rPr>
        <w:rFonts w:hint="default"/>
      </w:rPr>
    </w:lvl>
    <w:lvl w:ilvl="2" w:tplc="AF446716">
      <w:numFmt w:val="bullet"/>
      <w:lvlText w:val="•"/>
      <w:lvlJc w:val="left"/>
      <w:pPr>
        <w:ind w:left="3160" w:hanging="361"/>
      </w:pPr>
      <w:rPr>
        <w:rFonts w:hint="default"/>
      </w:rPr>
    </w:lvl>
    <w:lvl w:ilvl="3" w:tplc="21089D64">
      <w:numFmt w:val="bullet"/>
      <w:lvlText w:val="•"/>
      <w:lvlJc w:val="left"/>
      <w:pPr>
        <w:ind w:left="3960" w:hanging="361"/>
      </w:pPr>
      <w:rPr>
        <w:rFonts w:hint="default"/>
      </w:rPr>
    </w:lvl>
    <w:lvl w:ilvl="4" w:tplc="8DE6541E">
      <w:numFmt w:val="bullet"/>
      <w:lvlText w:val="•"/>
      <w:lvlJc w:val="left"/>
      <w:pPr>
        <w:ind w:left="4760" w:hanging="361"/>
      </w:pPr>
      <w:rPr>
        <w:rFonts w:hint="default"/>
      </w:rPr>
    </w:lvl>
    <w:lvl w:ilvl="5" w:tplc="5922EDD4">
      <w:numFmt w:val="bullet"/>
      <w:lvlText w:val="•"/>
      <w:lvlJc w:val="left"/>
      <w:pPr>
        <w:ind w:left="5560" w:hanging="361"/>
      </w:pPr>
      <w:rPr>
        <w:rFonts w:hint="default"/>
      </w:rPr>
    </w:lvl>
    <w:lvl w:ilvl="6" w:tplc="8AB6FBC6">
      <w:numFmt w:val="bullet"/>
      <w:lvlText w:val="•"/>
      <w:lvlJc w:val="left"/>
      <w:pPr>
        <w:ind w:left="6360" w:hanging="361"/>
      </w:pPr>
      <w:rPr>
        <w:rFonts w:hint="default"/>
      </w:rPr>
    </w:lvl>
    <w:lvl w:ilvl="7" w:tplc="72CA3B64">
      <w:numFmt w:val="bullet"/>
      <w:lvlText w:val="•"/>
      <w:lvlJc w:val="left"/>
      <w:pPr>
        <w:ind w:left="7160" w:hanging="361"/>
      </w:pPr>
      <w:rPr>
        <w:rFonts w:hint="default"/>
      </w:rPr>
    </w:lvl>
    <w:lvl w:ilvl="8" w:tplc="C226A1C0">
      <w:numFmt w:val="bullet"/>
      <w:lvlText w:val="•"/>
      <w:lvlJc w:val="left"/>
      <w:pPr>
        <w:ind w:left="7960" w:hanging="361"/>
      </w:pPr>
      <w:rPr>
        <w:rFonts w:hint="default"/>
      </w:rPr>
    </w:lvl>
  </w:abstractNum>
  <w:abstractNum w:abstractNumId="2" w15:restartNumberingAfterBreak="0">
    <w:nsid w:val="6F90317B"/>
    <w:multiLevelType w:val="hybridMultilevel"/>
    <w:tmpl w:val="EFB0E8FE"/>
    <w:lvl w:ilvl="0" w:tplc="EA488DD8">
      <w:start w:val="1"/>
      <w:numFmt w:val="decimal"/>
      <w:lvlText w:val="%1."/>
      <w:lvlJc w:val="left"/>
      <w:pPr>
        <w:ind w:left="820" w:hanging="720"/>
      </w:pPr>
      <w:rPr>
        <w:rFonts w:ascii="Arial" w:eastAsia="Arial" w:hAnsi="Arial" w:cs="Arial" w:hint="default"/>
        <w:w w:val="99"/>
        <w:sz w:val="22"/>
        <w:szCs w:val="22"/>
      </w:rPr>
    </w:lvl>
    <w:lvl w:ilvl="1" w:tplc="36387D8A">
      <w:start w:val="1"/>
      <w:numFmt w:val="upperLetter"/>
      <w:lvlText w:val="%2."/>
      <w:lvlJc w:val="left"/>
      <w:pPr>
        <w:ind w:left="840" w:hanging="721"/>
      </w:pPr>
      <w:rPr>
        <w:rFonts w:ascii="Arial" w:eastAsia="Arial" w:hAnsi="Arial" w:cs="Arial" w:hint="default"/>
        <w:w w:val="99"/>
        <w:sz w:val="22"/>
        <w:szCs w:val="22"/>
      </w:rPr>
    </w:lvl>
    <w:lvl w:ilvl="2" w:tplc="8E8AA5AA">
      <w:start w:val="1"/>
      <w:numFmt w:val="decimal"/>
      <w:lvlText w:val="%3."/>
      <w:lvlJc w:val="left"/>
      <w:pPr>
        <w:ind w:left="840" w:hanging="721"/>
      </w:pPr>
      <w:rPr>
        <w:rFonts w:ascii="Arial" w:eastAsia="Arial" w:hAnsi="Arial" w:cs="Arial" w:hint="default"/>
        <w:w w:val="99"/>
        <w:sz w:val="22"/>
        <w:szCs w:val="22"/>
      </w:rPr>
    </w:lvl>
    <w:lvl w:ilvl="3" w:tplc="03E6E752">
      <w:numFmt w:val="bullet"/>
      <w:lvlText w:val="•"/>
      <w:lvlJc w:val="left"/>
      <w:pPr>
        <w:ind w:left="1560" w:hanging="721"/>
      </w:pPr>
      <w:rPr>
        <w:rFonts w:ascii="Arial" w:eastAsia="Arial" w:hAnsi="Arial" w:cs="Arial" w:hint="default"/>
        <w:w w:val="99"/>
        <w:sz w:val="22"/>
        <w:szCs w:val="22"/>
      </w:rPr>
    </w:lvl>
    <w:lvl w:ilvl="4" w:tplc="D58C0C80">
      <w:numFmt w:val="bullet"/>
      <w:lvlText w:val="•"/>
      <w:lvlJc w:val="left"/>
      <w:pPr>
        <w:ind w:left="3555" w:hanging="721"/>
      </w:pPr>
      <w:rPr>
        <w:rFonts w:hint="default"/>
      </w:rPr>
    </w:lvl>
    <w:lvl w:ilvl="5" w:tplc="DFE630F6">
      <w:numFmt w:val="bullet"/>
      <w:lvlText w:val="•"/>
      <w:lvlJc w:val="left"/>
      <w:pPr>
        <w:ind w:left="4552" w:hanging="721"/>
      </w:pPr>
      <w:rPr>
        <w:rFonts w:hint="default"/>
      </w:rPr>
    </w:lvl>
    <w:lvl w:ilvl="6" w:tplc="C7B03BC4">
      <w:numFmt w:val="bullet"/>
      <w:lvlText w:val="•"/>
      <w:lvlJc w:val="left"/>
      <w:pPr>
        <w:ind w:left="5550" w:hanging="721"/>
      </w:pPr>
      <w:rPr>
        <w:rFonts w:hint="default"/>
      </w:rPr>
    </w:lvl>
    <w:lvl w:ilvl="7" w:tplc="5EE29788">
      <w:numFmt w:val="bullet"/>
      <w:lvlText w:val="•"/>
      <w:lvlJc w:val="left"/>
      <w:pPr>
        <w:ind w:left="6547" w:hanging="721"/>
      </w:pPr>
      <w:rPr>
        <w:rFonts w:hint="default"/>
      </w:rPr>
    </w:lvl>
    <w:lvl w:ilvl="8" w:tplc="C4DE19C6">
      <w:numFmt w:val="bullet"/>
      <w:lvlText w:val="•"/>
      <w:lvlJc w:val="left"/>
      <w:pPr>
        <w:ind w:left="7545" w:hanging="721"/>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E75"/>
    <w:rsid w:val="000016A6"/>
    <w:rsid w:val="00002583"/>
    <w:rsid w:val="00014BEB"/>
    <w:rsid w:val="0004713E"/>
    <w:rsid w:val="000773CF"/>
    <w:rsid w:val="00080192"/>
    <w:rsid w:val="00081677"/>
    <w:rsid w:val="00097B43"/>
    <w:rsid w:val="000C7624"/>
    <w:rsid w:val="000D10A1"/>
    <w:rsid w:val="000D23F6"/>
    <w:rsid w:val="000E1E78"/>
    <w:rsid w:val="00100DDA"/>
    <w:rsid w:val="00101756"/>
    <w:rsid w:val="001155F6"/>
    <w:rsid w:val="001670A9"/>
    <w:rsid w:val="00175D66"/>
    <w:rsid w:val="00181C2D"/>
    <w:rsid w:val="0018706D"/>
    <w:rsid w:val="00197E99"/>
    <w:rsid w:val="001A233C"/>
    <w:rsid w:val="001A5C7D"/>
    <w:rsid w:val="001E1469"/>
    <w:rsid w:val="002031AF"/>
    <w:rsid w:val="00211E66"/>
    <w:rsid w:val="00250375"/>
    <w:rsid w:val="002522EA"/>
    <w:rsid w:val="00252FCD"/>
    <w:rsid w:val="002660A3"/>
    <w:rsid w:val="00275D81"/>
    <w:rsid w:val="002859AD"/>
    <w:rsid w:val="0029453B"/>
    <w:rsid w:val="002D3988"/>
    <w:rsid w:val="002D4FBA"/>
    <w:rsid w:val="002E1650"/>
    <w:rsid w:val="00302B46"/>
    <w:rsid w:val="00315521"/>
    <w:rsid w:val="00322BA7"/>
    <w:rsid w:val="00346191"/>
    <w:rsid w:val="00363973"/>
    <w:rsid w:val="003E0F18"/>
    <w:rsid w:val="003E6A3E"/>
    <w:rsid w:val="00412F7A"/>
    <w:rsid w:val="004164C6"/>
    <w:rsid w:val="004569E3"/>
    <w:rsid w:val="0047077D"/>
    <w:rsid w:val="0048489D"/>
    <w:rsid w:val="00487141"/>
    <w:rsid w:val="00490719"/>
    <w:rsid w:val="004F3EB7"/>
    <w:rsid w:val="00502BEC"/>
    <w:rsid w:val="00504DDC"/>
    <w:rsid w:val="00507C70"/>
    <w:rsid w:val="00515198"/>
    <w:rsid w:val="00527755"/>
    <w:rsid w:val="00532B8A"/>
    <w:rsid w:val="00544128"/>
    <w:rsid w:val="00565DDB"/>
    <w:rsid w:val="00582009"/>
    <w:rsid w:val="005A6E3F"/>
    <w:rsid w:val="005A7ABD"/>
    <w:rsid w:val="005B7D3B"/>
    <w:rsid w:val="005F63A0"/>
    <w:rsid w:val="00605A42"/>
    <w:rsid w:val="00625996"/>
    <w:rsid w:val="0064505F"/>
    <w:rsid w:val="006453E5"/>
    <w:rsid w:val="00650F9C"/>
    <w:rsid w:val="00652AC1"/>
    <w:rsid w:val="006B6C2A"/>
    <w:rsid w:val="006C198C"/>
    <w:rsid w:val="006D5EA6"/>
    <w:rsid w:val="007465F2"/>
    <w:rsid w:val="007508A6"/>
    <w:rsid w:val="007556A5"/>
    <w:rsid w:val="007B5C94"/>
    <w:rsid w:val="007B6F25"/>
    <w:rsid w:val="00852EBF"/>
    <w:rsid w:val="008613E3"/>
    <w:rsid w:val="00880ECE"/>
    <w:rsid w:val="008834E4"/>
    <w:rsid w:val="008B0907"/>
    <w:rsid w:val="008B5217"/>
    <w:rsid w:val="008C4EA4"/>
    <w:rsid w:val="008D68DC"/>
    <w:rsid w:val="008E2445"/>
    <w:rsid w:val="009056D1"/>
    <w:rsid w:val="0091119F"/>
    <w:rsid w:val="00911DC7"/>
    <w:rsid w:val="009160A0"/>
    <w:rsid w:val="00924CBF"/>
    <w:rsid w:val="009473FC"/>
    <w:rsid w:val="00967084"/>
    <w:rsid w:val="00972E75"/>
    <w:rsid w:val="009764F2"/>
    <w:rsid w:val="00982DB9"/>
    <w:rsid w:val="00984D5B"/>
    <w:rsid w:val="00991366"/>
    <w:rsid w:val="00993D41"/>
    <w:rsid w:val="009A6328"/>
    <w:rsid w:val="00A21E67"/>
    <w:rsid w:val="00A31A60"/>
    <w:rsid w:val="00A443AD"/>
    <w:rsid w:val="00A50FB6"/>
    <w:rsid w:val="00A54C8B"/>
    <w:rsid w:val="00A72FF8"/>
    <w:rsid w:val="00A85745"/>
    <w:rsid w:val="00AB3C9A"/>
    <w:rsid w:val="00AC36C1"/>
    <w:rsid w:val="00AE05C2"/>
    <w:rsid w:val="00AE6D3C"/>
    <w:rsid w:val="00B05354"/>
    <w:rsid w:val="00B53123"/>
    <w:rsid w:val="00BC41F9"/>
    <w:rsid w:val="00BC6A3D"/>
    <w:rsid w:val="00BC7B75"/>
    <w:rsid w:val="00BD1BFA"/>
    <w:rsid w:val="00BD5B93"/>
    <w:rsid w:val="00BF7F50"/>
    <w:rsid w:val="00C34F50"/>
    <w:rsid w:val="00C640A9"/>
    <w:rsid w:val="00C82F0A"/>
    <w:rsid w:val="00C831FC"/>
    <w:rsid w:val="00CA27AE"/>
    <w:rsid w:val="00CB4778"/>
    <w:rsid w:val="00CB4C5F"/>
    <w:rsid w:val="00CB592B"/>
    <w:rsid w:val="00CC2A37"/>
    <w:rsid w:val="00D31CB6"/>
    <w:rsid w:val="00D524CF"/>
    <w:rsid w:val="00D73FC3"/>
    <w:rsid w:val="00D9493F"/>
    <w:rsid w:val="00DB0C22"/>
    <w:rsid w:val="00DB472C"/>
    <w:rsid w:val="00DC5A69"/>
    <w:rsid w:val="00E22A0C"/>
    <w:rsid w:val="00E31932"/>
    <w:rsid w:val="00E47C11"/>
    <w:rsid w:val="00E73EB9"/>
    <w:rsid w:val="00E91184"/>
    <w:rsid w:val="00EC70FF"/>
    <w:rsid w:val="00EC774D"/>
    <w:rsid w:val="00ED5F03"/>
    <w:rsid w:val="00ED60D0"/>
    <w:rsid w:val="00EE77F3"/>
    <w:rsid w:val="00F17E00"/>
    <w:rsid w:val="00F249BB"/>
    <w:rsid w:val="00F311CB"/>
    <w:rsid w:val="00F470CB"/>
    <w:rsid w:val="00F55EAE"/>
    <w:rsid w:val="00F6642D"/>
    <w:rsid w:val="00F81482"/>
    <w:rsid w:val="00F92ADE"/>
    <w:rsid w:val="00FA6D74"/>
    <w:rsid w:val="00FB05AA"/>
    <w:rsid w:val="00FD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9B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pPr>
      <w:spacing w:before="99"/>
      <w:ind w:left="93"/>
    </w:pPr>
  </w:style>
  <w:style w:type="character" w:styleId="CommentReference">
    <w:name w:val="annotation reference"/>
    <w:basedOn w:val="DefaultParagraphFont"/>
    <w:uiPriority w:val="99"/>
    <w:semiHidden/>
    <w:unhideWhenUsed/>
    <w:rsid w:val="00EE77F3"/>
    <w:rPr>
      <w:sz w:val="16"/>
      <w:szCs w:val="16"/>
    </w:rPr>
  </w:style>
  <w:style w:type="paragraph" w:styleId="CommentText">
    <w:name w:val="annotation text"/>
    <w:basedOn w:val="Normal"/>
    <w:link w:val="CommentTextChar"/>
    <w:uiPriority w:val="99"/>
    <w:semiHidden/>
    <w:unhideWhenUsed/>
    <w:rsid w:val="00EE77F3"/>
    <w:rPr>
      <w:sz w:val="20"/>
      <w:szCs w:val="20"/>
    </w:rPr>
  </w:style>
  <w:style w:type="character" w:customStyle="1" w:styleId="CommentTextChar">
    <w:name w:val="Comment Text Char"/>
    <w:basedOn w:val="DefaultParagraphFont"/>
    <w:link w:val="CommentText"/>
    <w:uiPriority w:val="99"/>
    <w:semiHidden/>
    <w:rsid w:val="00EE77F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E77F3"/>
    <w:rPr>
      <w:b/>
      <w:bCs/>
    </w:rPr>
  </w:style>
  <w:style w:type="character" w:customStyle="1" w:styleId="CommentSubjectChar">
    <w:name w:val="Comment Subject Char"/>
    <w:basedOn w:val="CommentTextChar"/>
    <w:link w:val="CommentSubject"/>
    <w:uiPriority w:val="99"/>
    <w:semiHidden/>
    <w:rsid w:val="00EE77F3"/>
    <w:rPr>
      <w:rFonts w:ascii="Arial" w:eastAsia="Arial" w:hAnsi="Arial" w:cs="Arial"/>
      <w:b/>
      <w:bCs/>
      <w:sz w:val="20"/>
      <w:szCs w:val="20"/>
    </w:rPr>
  </w:style>
  <w:style w:type="paragraph" w:styleId="BalloonText">
    <w:name w:val="Balloon Text"/>
    <w:basedOn w:val="Normal"/>
    <w:link w:val="BalloonTextChar"/>
    <w:uiPriority w:val="99"/>
    <w:semiHidden/>
    <w:unhideWhenUsed/>
    <w:rsid w:val="00EE7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7F3"/>
    <w:rPr>
      <w:rFonts w:ascii="Segoe UI" w:eastAsia="Arial" w:hAnsi="Segoe UI" w:cs="Segoe UI"/>
      <w:sz w:val="18"/>
      <w:szCs w:val="18"/>
    </w:rPr>
  </w:style>
  <w:style w:type="character" w:styleId="Hyperlink">
    <w:name w:val="Hyperlink"/>
    <w:basedOn w:val="DefaultParagraphFont"/>
    <w:uiPriority w:val="99"/>
    <w:unhideWhenUsed/>
    <w:rsid w:val="00C82F0A"/>
    <w:rPr>
      <w:color w:val="0000FF" w:themeColor="hyperlink"/>
      <w:u w:val="single"/>
    </w:rPr>
  </w:style>
  <w:style w:type="table" w:styleId="TableGrid">
    <w:name w:val="Table Grid"/>
    <w:basedOn w:val="TableNormal"/>
    <w:uiPriority w:val="39"/>
    <w:rsid w:val="00507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text">
    <w:name w:val="outputtext"/>
    <w:basedOn w:val="DefaultParagraphFont"/>
    <w:rsid w:val="00100DDA"/>
  </w:style>
  <w:style w:type="paragraph" w:styleId="Revision">
    <w:name w:val="Revision"/>
    <w:hidden/>
    <w:uiPriority w:val="99"/>
    <w:semiHidden/>
    <w:rsid w:val="00F55EAE"/>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315521"/>
    <w:rPr>
      <w:color w:val="800080" w:themeColor="followedHyperlink"/>
      <w:u w:val="single"/>
    </w:rPr>
  </w:style>
  <w:style w:type="paragraph" w:styleId="Footer">
    <w:name w:val="footer"/>
    <w:basedOn w:val="Normal"/>
    <w:link w:val="FooterChar"/>
    <w:uiPriority w:val="99"/>
    <w:unhideWhenUsed/>
    <w:rsid w:val="00984D5B"/>
    <w:pPr>
      <w:tabs>
        <w:tab w:val="center" w:pos="4680"/>
        <w:tab w:val="right" w:pos="9360"/>
      </w:tabs>
    </w:pPr>
  </w:style>
  <w:style w:type="character" w:customStyle="1" w:styleId="FooterChar">
    <w:name w:val="Footer Char"/>
    <w:basedOn w:val="DefaultParagraphFont"/>
    <w:link w:val="Footer"/>
    <w:uiPriority w:val="99"/>
    <w:rsid w:val="00984D5B"/>
    <w:rPr>
      <w:rFonts w:ascii="Arial" w:eastAsia="Arial" w:hAnsi="Arial" w:cs="Arial"/>
    </w:rPr>
  </w:style>
  <w:style w:type="paragraph" w:styleId="Header">
    <w:name w:val="header"/>
    <w:basedOn w:val="Normal"/>
    <w:link w:val="HeaderChar"/>
    <w:uiPriority w:val="99"/>
    <w:unhideWhenUsed/>
    <w:rsid w:val="00984D5B"/>
    <w:pPr>
      <w:tabs>
        <w:tab w:val="center" w:pos="4680"/>
        <w:tab w:val="right" w:pos="9360"/>
      </w:tabs>
    </w:pPr>
  </w:style>
  <w:style w:type="character" w:customStyle="1" w:styleId="HeaderChar">
    <w:name w:val="Header Char"/>
    <w:basedOn w:val="DefaultParagraphFont"/>
    <w:link w:val="Header"/>
    <w:uiPriority w:val="99"/>
    <w:rsid w:val="00984D5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9600">
      <w:bodyDiv w:val="1"/>
      <w:marLeft w:val="0"/>
      <w:marRight w:val="0"/>
      <w:marTop w:val="0"/>
      <w:marBottom w:val="0"/>
      <w:divBdr>
        <w:top w:val="none" w:sz="0" w:space="0" w:color="auto"/>
        <w:left w:val="none" w:sz="0" w:space="0" w:color="auto"/>
        <w:bottom w:val="none" w:sz="0" w:space="0" w:color="auto"/>
        <w:right w:val="none" w:sz="0" w:space="0" w:color="auto"/>
      </w:divBdr>
    </w:div>
    <w:div w:id="842817814">
      <w:bodyDiv w:val="1"/>
      <w:marLeft w:val="0"/>
      <w:marRight w:val="0"/>
      <w:marTop w:val="0"/>
      <w:marBottom w:val="0"/>
      <w:divBdr>
        <w:top w:val="none" w:sz="0" w:space="0" w:color="auto"/>
        <w:left w:val="none" w:sz="0" w:space="0" w:color="auto"/>
        <w:bottom w:val="none" w:sz="0" w:space="0" w:color="auto"/>
        <w:right w:val="none" w:sz="0" w:space="0" w:color="auto"/>
      </w:divBdr>
    </w:div>
    <w:div w:id="1354183743">
      <w:bodyDiv w:val="1"/>
      <w:marLeft w:val="0"/>
      <w:marRight w:val="0"/>
      <w:marTop w:val="0"/>
      <w:marBottom w:val="0"/>
      <w:divBdr>
        <w:top w:val="none" w:sz="0" w:space="0" w:color="auto"/>
        <w:left w:val="none" w:sz="0" w:space="0" w:color="auto"/>
        <w:bottom w:val="none" w:sz="0" w:space="0" w:color="auto"/>
        <w:right w:val="none" w:sz="0" w:space="0" w:color="auto"/>
      </w:divBdr>
    </w:div>
    <w:div w:id="1760642307">
      <w:bodyDiv w:val="1"/>
      <w:marLeft w:val="0"/>
      <w:marRight w:val="0"/>
      <w:marTop w:val="0"/>
      <w:marBottom w:val="0"/>
      <w:divBdr>
        <w:top w:val="none" w:sz="0" w:space="0" w:color="auto"/>
        <w:left w:val="none" w:sz="0" w:space="0" w:color="auto"/>
        <w:bottom w:val="none" w:sz="0" w:space="0" w:color="auto"/>
        <w:right w:val="none" w:sz="0" w:space="0" w:color="auto"/>
      </w:divBdr>
    </w:div>
    <w:div w:id="1951205738">
      <w:bodyDiv w:val="1"/>
      <w:marLeft w:val="0"/>
      <w:marRight w:val="0"/>
      <w:marTop w:val="0"/>
      <w:marBottom w:val="0"/>
      <w:divBdr>
        <w:top w:val="none" w:sz="0" w:space="0" w:color="auto"/>
        <w:left w:val="none" w:sz="0" w:space="0" w:color="auto"/>
        <w:bottom w:val="none" w:sz="0" w:space="0" w:color="auto"/>
        <w:right w:val="none" w:sz="0" w:space="0" w:color="auto"/>
      </w:divBdr>
    </w:div>
    <w:div w:id="1952273799">
      <w:bodyDiv w:val="1"/>
      <w:marLeft w:val="0"/>
      <w:marRight w:val="0"/>
      <w:marTop w:val="0"/>
      <w:marBottom w:val="0"/>
      <w:divBdr>
        <w:top w:val="none" w:sz="0" w:space="0" w:color="auto"/>
        <w:left w:val="none" w:sz="0" w:space="0" w:color="auto"/>
        <w:bottom w:val="none" w:sz="0" w:space="0" w:color="auto"/>
        <w:right w:val="none" w:sz="0" w:space="0" w:color="auto"/>
      </w:divBdr>
    </w:div>
    <w:div w:id="2023623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2EE7-502A-4CF8-B03E-E104A68DF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F6D7E-A67A-4D5D-970A-B373785D5492}">
  <ds:schemaRefs>
    <ds:schemaRef ds:uri="http://schemas.microsoft.com/sharepoint/v3/contenttype/forms"/>
  </ds:schemaRefs>
</ds:datastoreItem>
</file>

<file path=customXml/itemProps3.xml><?xml version="1.0" encoding="utf-8"?>
<ds:datastoreItem xmlns:ds="http://schemas.openxmlformats.org/officeDocument/2006/customXml" ds:itemID="{D7FBA52E-5914-40DE-BD7C-A11A6E82EC0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E044BAE-C6AF-40D0-A605-B1B18548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3847</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2020-05-01T18:40:00Z</dcterms:created>
  <dcterms:modified xsi:type="dcterms:W3CDTF">2020-05-01T18:40:00Z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