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317A9" w:rsidR="007D37BF" w:rsidP="001A259A" w:rsidRDefault="007D37BF">
      <w:pPr>
        <w:tabs>
          <w:tab w:val="left" w:pos="540"/>
        </w:tabs>
        <w:ind w:left="540" w:hanging="540"/>
        <w:jc w:val="center"/>
        <w:rPr>
          <w:rFonts w:ascii="Arial" w:hAnsi="Arial" w:cs="Arial"/>
          <w:sz w:val="22"/>
          <w:szCs w:val="22"/>
        </w:rPr>
      </w:pPr>
      <w:r w:rsidRPr="00B317A9">
        <w:rPr>
          <w:rFonts w:ascii="Arial" w:hAnsi="Arial" w:cs="Arial"/>
          <w:sz w:val="22"/>
          <w:szCs w:val="22"/>
        </w:rPr>
        <w:t>Justification</w:t>
      </w:r>
    </w:p>
    <w:p w:rsidRPr="00B317A9" w:rsidR="007D37BF" w:rsidP="001A259A" w:rsidRDefault="007D37BF">
      <w:pPr>
        <w:tabs>
          <w:tab w:val="left" w:pos="540"/>
          <w:tab w:val="center" w:pos="4680"/>
        </w:tabs>
        <w:ind w:left="540" w:hanging="540"/>
        <w:jc w:val="center"/>
        <w:rPr>
          <w:rFonts w:ascii="Arial" w:hAnsi="Arial" w:cs="Arial"/>
          <w:b/>
          <w:sz w:val="22"/>
          <w:szCs w:val="22"/>
        </w:rPr>
      </w:pPr>
      <w:r w:rsidRPr="00B317A9">
        <w:rPr>
          <w:rFonts w:ascii="Arial" w:hAnsi="Arial" w:cs="Arial"/>
          <w:b/>
          <w:sz w:val="22"/>
          <w:szCs w:val="22"/>
        </w:rPr>
        <w:t>Vocational Report</w:t>
      </w:r>
    </w:p>
    <w:p w:rsidRPr="00B317A9" w:rsidR="007D37BF" w:rsidP="001A259A" w:rsidRDefault="007D37BF">
      <w:pPr>
        <w:tabs>
          <w:tab w:val="left" w:pos="540"/>
          <w:tab w:val="center" w:pos="4680"/>
        </w:tabs>
        <w:ind w:left="540" w:hanging="540"/>
        <w:jc w:val="center"/>
        <w:rPr>
          <w:rFonts w:ascii="Arial" w:hAnsi="Arial" w:cs="Arial"/>
          <w:sz w:val="22"/>
          <w:szCs w:val="22"/>
        </w:rPr>
      </w:pPr>
      <w:r w:rsidRPr="00B317A9">
        <w:rPr>
          <w:rFonts w:ascii="Arial" w:hAnsi="Arial" w:cs="Arial"/>
          <w:sz w:val="22"/>
          <w:szCs w:val="22"/>
        </w:rPr>
        <w:t>RRB Form G-251</w:t>
      </w:r>
    </w:p>
    <w:p w:rsidR="00E12B83" w:rsidP="00E12B83" w:rsidRDefault="00E12B83">
      <w:pPr>
        <w:tabs>
          <w:tab w:val="left" w:pos="180"/>
          <w:tab w:val="center" w:pos="4680"/>
        </w:tabs>
        <w:ind w:left="270" w:hanging="180"/>
        <w:jc w:val="center"/>
        <w:rPr>
          <w:rFonts w:ascii="Arial" w:hAnsi="Arial" w:cs="Arial"/>
          <w:sz w:val="22"/>
          <w:szCs w:val="22"/>
        </w:rPr>
      </w:pPr>
    </w:p>
    <w:p w:rsidRPr="00016811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016811">
        <w:rPr>
          <w:rFonts w:ascii="Arial" w:hAnsi="Arial" w:cs="Arial"/>
          <w:sz w:val="22"/>
          <w:szCs w:val="22"/>
        </w:rPr>
        <w:t>1.</w:t>
      </w:r>
      <w:r w:rsidRPr="00016811">
        <w:rPr>
          <w:rFonts w:ascii="Arial" w:hAnsi="Arial" w:cs="Arial"/>
          <w:sz w:val="22"/>
          <w:szCs w:val="22"/>
        </w:rPr>
        <w:tab/>
      </w:r>
      <w:r w:rsidRPr="00016811">
        <w:rPr>
          <w:rFonts w:ascii="Arial" w:hAnsi="Arial" w:cs="Arial"/>
          <w:sz w:val="22"/>
          <w:szCs w:val="22"/>
          <w:u w:val="single"/>
        </w:rPr>
        <w:t>Circumstances of information collection</w:t>
      </w:r>
      <w:r w:rsidRPr="00016811">
        <w:rPr>
          <w:rFonts w:ascii="Arial" w:hAnsi="Arial" w:cs="Arial"/>
          <w:sz w:val="22"/>
          <w:szCs w:val="22"/>
        </w:rPr>
        <w:t xml:space="preserve"> - Section 2 of the Railroad Retirement Act (RRA)</w:t>
      </w:r>
      <w:r w:rsidRPr="00016811" w:rsidR="000F343C">
        <w:rPr>
          <w:rFonts w:ascii="Arial" w:hAnsi="Arial" w:cs="Arial"/>
          <w:sz w:val="22"/>
          <w:szCs w:val="22"/>
        </w:rPr>
        <w:t xml:space="preserve"> (45 U.S.C. 231</w:t>
      </w:r>
      <w:r w:rsidR="002E4054">
        <w:rPr>
          <w:rFonts w:ascii="Arial" w:hAnsi="Arial" w:cs="Arial"/>
          <w:sz w:val="22"/>
          <w:szCs w:val="22"/>
        </w:rPr>
        <w:t>a</w:t>
      </w:r>
      <w:r w:rsidRPr="00016811" w:rsidR="000F343C">
        <w:rPr>
          <w:rFonts w:ascii="Arial" w:hAnsi="Arial" w:cs="Arial"/>
          <w:sz w:val="22"/>
          <w:szCs w:val="22"/>
        </w:rPr>
        <w:t>)</w:t>
      </w:r>
      <w:r w:rsidRPr="00016811">
        <w:rPr>
          <w:rFonts w:ascii="Arial" w:hAnsi="Arial" w:cs="Arial"/>
          <w:sz w:val="22"/>
          <w:szCs w:val="22"/>
        </w:rPr>
        <w:t xml:space="preserve"> provides for payment of disability annuities to qualified employees and widow(er</w:t>
      </w:r>
      <w:proofErr w:type="gramStart"/>
      <w:r w:rsidRPr="00016811">
        <w:rPr>
          <w:rFonts w:ascii="Arial" w:hAnsi="Arial" w:cs="Arial"/>
          <w:sz w:val="22"/>
          <w:szCs w:val="22"/>
        </w:rPr>
        <w:t>)s</w:t>
      </w:r>
      <w:proofErr w:type="gramEnd"/>
      <w:r w:rsidRPr="00016811">
        <w:rPr>
          <w:rFonts w:ascii="Arial" w:hAnsi="Arial" w:cs="Arial"/>
          <w:sz w:val="22"/>
          <w:szCs w:val="22"/>
        </w:rPr>
        <w:t>.  The establishment of permanent disability for work in the applicant's "regular occupation" or for work in any regular employment is prescribed in 20 CFR 220.12 and 220.13, respectively.</w:t>
      </w:r>
    </w:p>
    <w:p w:rsidRPr="001A5A6B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2E4054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A5A6B">
        <w:rPr>
          <w:rFonts w:ascii="Arial" w:hAnsi="Arial" w:cs="Arial"/>
          <w:sz w:val="22"/>
          <w:szCs w:val="22"/>
        </w:rPr>
        <w:t>2.</w:t>
      </w:r>
      <w:r w:rsidRPr="001A5A6B">
        <w:rPr>
          <w:rFonts w:ascii="Arial" w:hAnsi="Arial" w:cs="Arial"/>
          <w:sz w:val="22"/>
          <w:szCs w:val="22"/>
        </w:rPr>
        <w:tab/>
      </w:r>
      <w:r w:rsidRPr="001A5A6B">
        <w:rPr>
          <w:rFonts w:ascii="Arial" w:hAnsi="Arial" w:cs="Arial"/>
          <w:sz w:val="22"/>
          <w:szCs w:val="22"/>
          <w:u w:val="single"/>
        </w:rPr>
        <w:t>Purposes of collecting/consequences of not collecting the information</w:t>
      </w:r>
      <w:r w:rsidRPr="002E4054">
        <w:rPr>
          <w:rFonts w:ascii="Arial" w:hAnsi="Arial" w:cs="Arial"/>
          <w:sz w:val="22"/>
          <w:szCs w:val="22"/>
        </w:rPr>
        <w:t xml:space="preserve"> - To enable the Railroad Retirement Board (RRB) to determine the effect of a disability on an applicant's ability to work, the RRB needs the applicant's work history.  The RRB utilizes Form G-251, Vocational Report, to obtain this information.</w:t>
      </w:r>
    </w:p>
    <w:p w:rsidRPr="002E4054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C526D4" w:rsidR="007D37BF" w:rsidP="001A259A" w:rsidRDefault="007D37BF">
      <w:pPr>
        <w:pStyle w:val="a"/>
        <w:tabs>
          <w:tab w:val="left" w:pos="54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887C5A">
        <w:rPr>
          <w:rFonts w:ascii="Arial" w:hAnsi="Arial" w:cs="Arial"/>
          <w:sz w:val="22"/>
          <w:szCs w:val="22"/>
        </w:rPr>
        <w:t>Form G-251 is provided to all applicants for employee disability annuities and to those applicants for a widow(er)'s disability annuity who indicate that they have been employed at some time.  Form G-251 is designed for use with the RRB's disability benefit application forms. F</w:t>
      </w:r>
      <w:r w:rsidRPr="00C526D4">
        <w:rPr>
          <w:rFonts w:ascii="Arial" w:hAnsi="Arial" w:cs="Arial"/>
          <w:sz w:val="22"/>
          <w:szCs w:val="22"/>
        </w:rPr>
        <w:t>orm G-251 is similar to Form SSA-3369-BK, OMB 0960-0578.</w:t>
      </w:r>
    </w:p>
    <w:p w:rsidRPr="00312249" w:rsidR="00B317A9" w:rsidP="001A259A" w:rsidRDefault="00B317A9">
      <w:pPr>
        <w:pStyle w:val="a"/>
        <w:tabs>
          <w:tab w:val="left" w:pos="540"/>
        </w:tabs>
        <w:ind w:left="540" w:firstLine="0"/>
        <w:jc w:val="both"/>
        <w:rPr>
          <w:rFonts w:ascii="Arial" w:hAnsi="Arial" w:cs="Arial"/>
          <w:sz w:val="22"/>
          <w:szCs w:val="22"/>
        </w:rPr>
      </w:pPr>
    </w:p>
    <w:p w:rsidRPr="00A77817" w:rsidR="00473C8B" w:rsidP="001A259A" w:rsidRDefault="00473C8B">
      <w:pPr>
        <w:pStyle w:val="a"/>
        <w:tabs>
          <w:tab w:val="left" w:pos="540"/>
        </w:tabs>
        <w:ind w:left="540" w:firstLine="0"/>
        <w:jc w:val="both"/>
        <w:rPr>
          <w:rFonts w:ascii="Arial" w:hAnsi="Arial" w:cs="Arial"/>
          <w:b/>
          <w:sz w:val="22"/>
          <w:szCs w:val="22"/>
        </w:rPr>
      </w:pPr>
      <w:r w:rsidRPr="00A77817">
        <w:rPr>
          <w:rFonts w:ascii="Arial" w:hAnsi="Arial" w:cs="Arial"/>
          <w:b/>
          <w:sz w:val="22"/>
          <w:szCs w:val="22"/>
        </w:rPr>
        <w:t>The RRB proposes no changes to Form G-251.</w:t>
      </w:r>
    </w:p>
    <w:p w:rsidRPr="00016811" w:rsidR="00473C8B" w:rsidP="001A259A" w:rsidRDefault="00473C8B">
      <w:pPr>
        <w:pStyle w:val="a"/>
        <w:tabs>
          <w:tab w:val="left" w:pos="540"/>
        </w:tabs>
        <w:ind w:left="540" w:firstLine="0"/>
        <w:jc w:val="both"/>
        <w:rPr>
          <w:rFonts w:ascii="Arial" w:hAnsi="Arial" w:cs="Arial"/>
          <w:sz w:val="22"/>
          <w:szCs w:val="22"/>
        </w:rPr>
      </w:pPr>
    </w:p>
    <w:p w:rsidRPr="00016811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016811">
        <w:rPr>
          <w:rFonts w:ascii="Arial" w:hAnsi="Arial" w:cs="Arial"/>
          <w:sz w:val="22"/>
          <w:szCs w:val="22"/>
        </w:rPr>
        <w:t>3.</w:t>
      </w:r>
      <w:r w:rsidRPr="00016811">
        <w:rPr>
          <w:rFonts w:ascii="Arial" w:hAnsi="Arial" w:cs="Arial"/>
          <w:sz w:val="22"/>
          <w:szCs w:val="22"/>
        </w:rPr>
        <w:tab/>
      </w:r>
      <w:r w:rsidRPr="00016811">
        <w:rPr>
          <w:rFonts w:ascii="Arial" w:hAnsi="Arial" w:cs="Arial"/>
          <w:sz w:val="22"/>
          <w:szCs w:val="22"/>
          <w:u w:val="single"/>
        </w:rPr>
        <w:t>Planned use of improved information technology or technical/legal impediments to further burden reduction</w:t>
      </w:r>
      <w:r w:rsidRPr="001A5A6B" w:rsidR="0035139F">
        <w:rPr>
          <w:rFonts w:ascii="Arial" w:hAnsi="Arial" w:cs="Arial"/>
          <w:sz w:val="22"/>
          <w:szCs w:val="22"/>
        </w:rPr>
        <w:t xml:space="preserve"> -</w:t>
      </w:r>
      <w:r w:rsidRPr="001A5A6B">
        <w:rPr>
          <w:rFonts w:ascii="Arial" w:hAnsi="Arial" w:cs="Arial"/>
          <w:sz w:val="22"/>
          <w:szCs w:val="22"/>
        </w:rPr>
        <w:t xml:space="preserve"> Not practical because form is initiated by the RRB and is part of a larger process that requires a face-to-face interview.</w:t>
      </w:r>
    </w:p>
    <w:p w:rsidRPr="00016811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1A5A6B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A5A6B">
        <w:rPr>
          <w:rFonts w:ascii="Arial" w:hAnsi="Arial" w:cs="Arial"/>
          <w:sz w:val="22"/>
          <w:szCs w:val="22"/>
        </w:rPr>
        <w:t>4.</w:t>
      </w:r>
      <w:r w:rsidRPr="001A5A6B">
        <w:rPr>
          <w:rFonts w:ascii="Arial" w:hAnsi="Arial" w:cs="Arial"/>
          <w:sz w:val="22"/>
          <w:szCs w:val="22"/>
        </w:rPr>
        <w:tab/>
      </w:r>
      <w:r w:rsidRPr="001A5A6B">
        <w:rPr>
          <w:rFonts w:ascii="Arial" w:hAnsi="Arial" w:cs="Arial"/>
          <w:sz w:val="22"/>
          <w:szCs w:val="22"/>
          <w:u w:val="single"/>
        </w:rPr>
        <w:t>Efforts to identify duplication</w:t>
      </w:r>
      <w:r w:rsidRPr="001A5A6B">
        <w:rPr>
          <w:rFonts w:ascii="Arial" w:hAnsi="Arial" w:cs="Arial"/>
          <w:sz w:val="22"/>
          <w:szCs w:val="22"/>
        </w:rPr>
        <w:t xml:space="preserve"> - This information collection does not duplicate any other information collection.</w:t>
      </w:r>
    </w:p>
    <w:p w:rsidRPr="001A5A6B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2E4054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2E4054">
        <w:rPr>
          <w:rFonts w:ascii="Arial" w:hAnsi="Arial" w:cs="Arial"/>
          <w:sz w:val="22"/>
          <w:szCs w:val="22"/>
        </w:rPr>
        <w:t>5.</w:t>
      </w:r>
      <w:r w:rsidRPr="002E4054">
        <w:rPr>
          <w:rFonts w:ascii="Arial" w:hAnsi="Arial" w:cs="Arial"/>
          <w:sz w:val="22"/>
          <w:szCs w:val="22"/>
        </w:rPr>
        <w:tab/>
      </w:r>
      <w:r w:rsidRPr="002E4054">
        <w:rPr>
          <w:rFonts w:ascii="Arial" w:hAnsi="Arial" w:cs="Arial"/>
          <w:sz w:val="22"/>
          <w:szCs w:val="22"/>
          <w:u w:val="single"/>
        </w:rPr>
        <w:t>Small business respondents</w:t>
      </w:r>
      <w:r w:rsidRPr="002E4054">
        <w:rPr>
          <w:rFonts w:ascii="Arial" w:hAnsi="Arial" w:cs="Arial"/>
          <w:sz w:val="22"/>
          <w:szCs w:val="22"/>
        </w:rPr>
        <w:t xml:space="preserve"> - N.A.</w:t>
      </w:r>
    </w:p>
    <w:p w:rsidRPr="002E4054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C526D4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87C5A">
        <w:rPr>
          <w:rFonts w:ascii="Arial" w:hAnsi="Arial" w:cs="Arial"/>
          <w:sz w:val="22"/>
          <w:szCs w:val="22"/>
        </w:rPr>
        <w:t>6.</w:t>
      </w:r>
      <w:r w:rsidRPr="00887C5A">
        <w:rPr>
          <w:rFonts w:ascii="Arial" w:hAnsi="Arial" w:cs="Arial"/>
          <w:sz w:val="22"/>
          <w:szCs w:val="22"/>
        </w:rPr>
        <w:tab/>
      </w:r>
      <w:r w:rsidRPr="00887C5A">
        <w:rPr>
          <w:rFonts w:ascii="Arial" w:hAnsi="Arial" w:cs="Arial"/>
          <w:sz w:val="22"/>
          <w:szCs w:val="22"/>
          <w:u w:val="single"/>
        </w:rPr>
        <w:t>Consequences of</w:t>
      </w:r>
      <w:r w:rsidRPr="00C526D4">
        <w:rPr>
          <w:rFonts w:ascii="Arial" w:hAnsi="Arial" w:cs="Arial"/>
          <w:sz w:val="22"/>
          <w:szCs w:val="22"/>
          <w:u w:val="single"/>
        </w:rPr>
        <w:t xml:space="preserve"> less frequent collection</w:t>
      </w:r>
      <w:r w:rsidRPr="00C526D4">
        <w:rPr>
          <w:rFonts w:ascii="Arial" w:hAnsi="Arial" w:cs="Arial"/>
          <w:sz w:val="22"/>
          <w:szCs w:val="22"/>
        </w:rPr>
        <w:t xml:space="preserve"> - Not applicable as the information is solicited only once.</w:t>
      </w:r>
    </w:p>
    <w:p w:rsidRPr="00312249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4D615E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97748E">
        <w:rPr>
          <w:rFonts w:ascii="Arial" w:hAnsi="Arial" w:cs="Arial"/>
          <w:sz w:val="22"/>
          <w:szCs w:val="22"/>
        </w:rPr>
        <w:t>7.</w:t>
      </w:r>
      <w:r w:rsidRPr="0097748E">
        <w:rPr>
          <w:rFonts w:ascii="Arial" w:hAnsi="Arial" w:cs="Arial"/>
          <w:sz w:val="22"/>
          <w:szCs w:val="22"/>
        </w:rPr>
        <w:tab/>
      </w:r>
      <w:r w:rsidRPr="004D615E">
        <w:rPr>
          <w:rFonts w:ascii="Arial" w:hAnsi="Arial" w:cs="Arial"/>
          <w:sz w:val="22"/>
          <w:szCs w:val="22"/>
          <w:u w:val="single"/>
        </w:rPr>
        <w:t>Special circumstances</w:t>
      </w:r>
      <w:r w:rsidRPr="004D615E">
        <w:rPr>
          <w:rFonts w:ascii="Arial" w:hAnsi="Arial" w:cs="Arial"/>
          <w:sz w:val="22"/>
          <w:szCs w:val="22"/>
        </w:rPr>
        <w:t xml:space="preserve"> - None</w:t>
      </w:r>
    </w:p>
    <w:p w:rsidRPr="004D615E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4D615E" w:rsidR="007D37BF" w:rsidP="001A259A" w:rsidRDefault="007D37BF">
      <w:pPr>
        <w:widowControl/>
        <w:tabs>
          <w:tab w:val="left" w:pos="540"/>
        </w:tabs>
        <w:ind w:left="547" w:hanging="547"/>
        <w:jc w:val="both"/>
        <w:rPr>
          <w:rFonts w:ascii="Arial" w:hAnsi="Arial" w:cs="Arial"/>
          <w:sz w:val="22"/>
          <w:szCs w:val="22"/>
        </w:rPr>
      </w:pPr>
      <w:r w:rsidRPr="00135BC4">
        <w:rPr>
          <w:rFonts w:ascii="Arial" w:hAnsi="Arial" w:cs="Arial"/>
          <w:sz w:val="22"/>
          <w:szCs w:val="22"/>
        </w:rPr>
        <w:t>8.</w:t>
      </w:r>
      <w:r w:rsidRPr="00135BC4">
        <w:rPr>
          <w:rFonts w:ascii="Arial" w:hAnsi="Arial" w:cs="Arial"/>
          <w:sz w:val="22"/>
          <w:szCs w:val="22"/>
        </w:rPr>
        <w:tab/>
      </w:r>
      <w:r w:rsidRPr="00135BC4">
        <w:rPr>
          <w:rFonts w:ascii="Arial" w:hAnsi="Arial" w:cs="Arial"/>
          <w:sz w:val="22"/>
          <w:szCs w:val="22"/>
          <w:u w:val="single"/>
        </w:rPr>
        <w:t>Public comments/consultations outside the agency</w:t>
      </w:r>
      <w:r w:rsidRPr="00135BC4">
        <w:rPr>
          <w:rFonts w:ascii="Arial" w:hAnsi="Arial" w:cs="Arial"/>
          <w:sz w:val="22"/>
          <w:szCs w:val="22"/>
        </w:rPr>
        <w:t xml:space="preserve"> -</w:t>
      </w:r>
      <w:r w:rsidRPr="00135BC4" w:rsidR="0035139F">
        <w:rPr>
          <w:rFonts w:ascii="Arial" w:hAnsi="Arial" w:cs="Arial"/>
          <w:sz w:val="22"/>
          <w:szCs w:val="22"/>
        </w:rPr>
        <w:t xml:space="preserve"> </w:t>
      </w:r>
      <w:r w:rsidRPr="00135BC4">
        <w:rPr>
          <w:rFonts w:ascii="Arial" w:hAnsi="Arial" w:cs="Arial"/>
          <w:sz w:val="22"/>
          <w:szCs w:val="22"/>
        </w:rPr>
        <w:t>In accordance with 5 CFR 1320.8(d), comments were invited from the public regarding this information collection.  The notice to the public was published on page</w:t>
      </w:r>
      <w:r w:rsidR="004D615E">
        <w:rPr>
          <w:rFonts w:ascii="Arial" w:hAnsi="Arial" w:cs="Arial"/>
          <w:sz w:val="22"/>
          <w:szCs w:val="22"/>
        </w:rPr>
        <w:t xml:space="preserve"> </w:t>
      </w:r>
      <w:r w:rsidR="00117965">
        <w:rPr>
          <w:rFonts w:ascii="Arial" w:hAnsi="Arial" w:cs="Arial"/>
          <w:sz w:val="22"/>
          <w:szCs w:val="22"/>
        </w:rPr>
        <w:t>6587</w:t>
      </w:r>
      <w:r w:rsidRPr="004D615E" w:rsidR="00117965">
        <w:rPr>
          <w:rFonts w:ascii="Arial" w:hAnsi="Arial" w:cs="Arial"/>
          <w:sz w:val="22"/>
          <w:szCs w:val="22"/>
        </w:rPr>
        <w:t xml:space="preserve"> of</w:t>
      </w:r>
      <w:r w:rsidRPr="004D615E">
        <w:rPr>
          <w:rFonts w:ascii="Arial" w:hAnsi="Arial" w:cs="Arial"/>
          <w:sz w:val="22"/>
          <w:szCs w:val="22"/>
        </w:rPr>
        <w:t xml:space="preserve"> the</w:t>
      </w:r>
      <w:r w:rsidR="004D615E">
        <w:rPr>
          <w:rFonts w:ascii="Arial" w:hAnsi="Arial" w:cs="Arial"/>
          <w:sz w:val="22"/>
          <w:szCs w:val="22"/>
        </w:rPr>
        <w:t xml:space="preserve"> February 5, 2020</w:t>
      </w:r>
      <w:r w:rsidRPr="004D615E" w:rsidR="00F81DD8">
        <w:rPr>
          <w:rFonts w:ascii="Arial" w:hAnsi="Arial" w:cs="Arial"/>
          <w:sz w:val="22"/>
          <w:szCs w:val="22"/>
        </w:rPr>
        <w:t xml:space="preserve"> </w:t>
      </w:r>
      <w:r w:rsidRPr="004D615E">
        <w:rPr>
          <w:rFonts w:ascii="Arial" w:hAnsi="Arial" w:cs="Arial"/>
          <w:sz w:val="22"/>
          <w:szCs w:val="22"/>
          <w:u w:val="single"/>
        </w:rPr>
        <w:t>Federal Register</w:t>
      </w:r>
      <w:r w:rsidRPr="004D615E">
        <w:rPr>
          <w:rFonts w:ascii="Arial" w:hAnsi="Arial" w:cs="Arial"/>
          <w:sz w:val="22"/>
          <w:szCs w:val="22"/>
        </w:rPr>
        <w:t xml:space="preserve">.  </w:t>
      </w:r>
    </w:p>
    <w:p w:rsidRPr="004D615E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135BC4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35BC4">
        <w:rPr>
          <w:rFonts w:ascii="Arial" w:hAnsi="Arial" w:cs="Arial"/>
          <w:sz w:val="22"/>
          <w:szCs w:val="22"/>
        </w:rPr>
        <w:t>9.</w:t>
      </w:r>
      <w:r w:rsidRPr="00135BC4">
        <w:rPr>
          <w:rFonts w:ascii="Arial" w:hAnsi="Arial" w:cs="Arial"/>
          <w:sz w:val="22"/>
          <w:szCs w:val="22"/>
        </w:rPr>
        <w:tab/>
      </w:r>
      <w:r w:rsidRPr="00135BC4">
        <w:rPr>
          <w:rFonts w:ascii="Arial" w:hAnsi="Arial" w:cs="Arial"/>
          <w:sz w:val="22"/>
          <w:szCs w:val="22"/>
          <w:u w:val="single"/>
        </w:rPr>
        <w:t>Payments or gifts to respondents</w:t>
      </w:r>
      <w:r w:rsidRPr="00135BC4">
        <w:rPr>
          <w:rFonts w:ascii="Arial" w:hAnsi="Arial" w:cs="Arial"/>
          <w:sz w:val="22"/>
          <w:szCs w:val="22"/>
        </w:rPr>
        <w:t xml:space="preserve"> - N.A.</w:t>
      </w:r>
    </w:p>
    <w:p w:rsidRPr="00135BC4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D0579B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35BC4">
        <w:rPr>
          <w:rFonts w:ascii="Arial" w:hAnsi="Arial" w:cs="Arial"/>
          <w:sz w:val="22"/>
          <w:szCs w:val="22"/>
        </w:rPr>
        <w:t>10.</w:t>
      </w:r>
      <w:r w:rsidRPr="00135BC4">
        <w:rPr>
          <w:rFonts w:ascii="Arial" w:hAnsi="Arial" w:cs="Arial"/>
          <w:sz w:val="22"/>
          <w:szCs w:val="22"/>
        </w:rPr>
        <w:tab/>
      </w:r>
      <w:r w:rsidRPr="00135BC4">
        <w:rPr>
          <w:rFonts w:ascii="Arial" w:hAnsi="Arial" w:cs="Arial"/>
          <w:sz w:val="22"/>
          <w:szCs w:val="22"/>
          <w:u w:val="single"/>
        </w:rPr>
        <w:t>Confidentiality</w:t>
      </w:r>
      <w:r w:rsidRPr="00135BC4" w:rsidR="0035139F">
        <w:rPr>
          <w:rFonts w:ascii="Arial" w:hAnsi="Arial" w:cs="Arial"/>
          <w:sz w:val="22"/>
          <w:szCs w:val="22"/>
        </w:rPr>
        <w:t xml:space="preserve"> </w:t>
      </w:r>
      <w:r w:rsidRPr="00135BC4">
        <w:rPr>
          <w:rFonts w:ascii="Arial" w:hAnsi="Arial" w:cs="Arial"/>
          <w:sz w:val="22"/>
          <w:szCs w:val="22"/>
        </w:rPr>
        <w:t>- Privacy Act Systems of Records RRB-22, Railroad Retirement, Survivor and Pensioner Benefit System.</w:t>
      </w:r>
      <w:r w:rsidRPr="00135BC4" w:rsidR="001A259A">
        <w:rPr>
          <w:rFonts w:ascii="Arial" w:hAnsi="Arial" w:cs="Arial"/>
          <w:sz w:val="22"/>
          <w:szCs w:val="22"/>
        </w:rPr>
        <w:t xml:space="preserve">  In accordance with OMB Circular M-03-22, a Privacy Impact Assessment for this information collection was completed and can be found at</w:t>
      </w:r>
      <w:r w:rsidR="00F42051">
        <w:rPr>
          <w:rFonts w:ascii="Arial" w:hAnsi="Arial" w:cs="Arial"/>
          <w:sz w:val="22"/>
          <w:szCs w:val="22"/>
        </w:rPr>
        <w:t xml:space="preserve"> </w:t>
      </w:r>
      <w:hyperlink w:history="1" r:id="rId7">
        <w:r w:rsidRPr="001A5A6B" w:rsidR="001A5A6B">
          <w:rPr>
            <w:rStyle w:val="Hyperlink"/>
            <w:rFonts w:ascii="Arial" w:hAnsi="Arial" w:cs="Arial"/>
            <w:sz w:val="22"/>
            <w:szCs w:val="22"/>
          </w:rPr>
          <w:t>https://www.rrb.gov/sites/default/files/2017-06/PIA-BPO.pdf</w:t>
        </w:r>
      </w:hyperlink>
      <w:r w:rsidR="001A5A6B">
        <w:rPr>
          <w:rFonts w:ascii="Arial" w:hAnsi="Arial" w:cs="Arial"/>
          <w:sz w:val="22"/>
          <w:szCs w:val="22"/>
        </w:rPr>
        <w:t>.</w:t>
      </w:r>
      <w:r w:rsidDel="00312249" w:rsidR="00312249">
        <w:rPr>
          <w:rFonts w:ascii="Arial" w:hAnsi="Arial" w:cs="Arial"/>
          <w:sz w:val="22"/>
          <w:szCs w:val="22"/>
        </w:rPr>
        <w:t xml:space="preserve"> </w:t>
      </w:r>
    </w:p>
    <w:p w:rsidRPr="00016811" w:rsidR="00117965" w:rsidP="001A259A" w:rsidRDefault="00117965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1A5A6B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A5A6B">
        <w:rPr>
          <w:rFonts w:ascii="Arial" w:hAnsi="Arial" w:cs="Arial"/>
          <w:sz w:val="22"/>
          <w:szCs w:val="22"/>
        </w:rPr>
        <w:t>11.</w:t>
      </w:r>
      <w:r w:rsidRPr="001A5A6B">
        <w:rPr>
          <w:rFonts w:ascii="Arial" w:hAnsi="Arial" w:cs="Arial"/>
          <w:sz w:val="22"/>
          <w:szCs w:val="22"/>
        </w:rPr>
        <w:tab/>
      </w:r>
      <w:r w:rsidRPr="001A5A6B">
        <w:rPr>
          <w:rFonts w:ascii="Arial" w:hAnsi="Arial" w:cs="Arial"/>
          <w:sz w:val="22"/>
          <w:szCs w:val="22"/>
          <w:u w:val="single"/>
        </w:rPr>
        <w:t>Sensitive questions</w:t>
      </w:r>
      <w:r w:rsidRPr="001A5A6B">
        <w:rPr>
          <w:rFonts w:ascii="Arial" w:hAnsi="Arial" w:cs="Arial"/>
          <w:sz w:val="22"/>
          <w:szCs w:val="22"/>
        </w:rPr>
        <w:t xml:space="preserve"> - N.A.</w:t>
      </w:r>
    </w:p>
    <w:p w:rsidRPr="001A5A6B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C526D4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A5A6B">
        <w:rPr>
          <w:rFonts w:ascii="Arial" w:hAnsi="Arial" w:cs="Arial"/>
          <w:sz w:val="22"/>
          <w:szCs w:val="22"/>
        </w:rPr>
        <w:t>12.</w:t>
      </w:r>
      <w:r w:rsidRPr="001A5A6B">
        <w:rPr>
          <w:rFonts w:ascii="Arial" w:hAnsi="Arial" w:cs="Arial"/>
          <w:sz w:val="22"/>
          <w:szCs w:val="22"/>
        </w:rPr>
        <w:tab/>
      </w:r>
      <w:r w:rsidRPr="001A5A6B">
        <w:rPr>
          <w:rFonts w:ascii="Arial" w:hAnsi="Arial" w:cs="Arial"/>
          <w:sz w:val="22"/>
          <w:szCs w:val="22"/>
          <w:u w:val="single"/>
        </w:rPr>
        <w:t>Estimate of respondent burden</w:t>
      </w:r>
      <w:r w:rsidRPr="002E4054" w:rsidR="005F0A34">
        <w:rPr>
          <w:rFonts w:ascii="Arial" w:hAnsi="Arial" w:cs="Arial"/>
          <w:sz w:val="22"/>
          <w:szCs w:val="22"/>
        </w:rPr>
        <w:t xml:space="preserve"> </w:t>
      </w:r>
      <w:r w:rsidRPr="002E4054">
        <w:rPr>
          <w:rFonts w:ascii="Arial" w:hAnsi="Arial" w:cs="Arial"/>
          <w:sz w:val="22"/>
          <w:szCs w:val="22"/>
        </w:rPr>
        <w:t>-</w:t>
      </w:r>
      <w:r w:rsidRPr="002E4054" w:rsidR="00473C8B">
        <w:rPr>
          <w:rFonts w:ascii="Arial" w:hAnsi="Arial" w:cs="Arial"/>
          <w:sz w:val="22"/>
          <w:szCs w:val="22"/>
        </w:rPr>
        <w:t xml:space="preserve"> </w:t>
      </w:r>
      <w:r w:rsidRPr="002E4054">
        <w:rPr>
          <w:rFonts w:ascii="Arial" w:hAnsi="Arial" w:cs="Arial"/>
          <w:sz w:val="22"/>
          <w:szCs w:val="22"/>
        </w:rPr>
        <w:t xml:space="preserve">The </w:t>
      </w:r>
      <w:r w:rsidRPr="002E4054" w:rsidR="00D0579B">
        <w:rPr>
          <w:rFonts w:ascii="Arial" w:hAnsi="Arial" w:cs="Arial"/>
          <w:sz w:val="22"/>
          <w:szCs w:val="22"/>
        </w:rPr>
        <w:t xml:space="preserve">current </w:t>
      </w:r>
      <w:r w:rsidRPr="002E4054">
        <w:rPr>
          <w:rFonts w:ascii="Arial" w:hAnsi="Arial" w:cs="Arial"/>
          <w:sz w:val="22"/>
          <w:szCs w:val="22"/>
        </w:rPr>
        <w:t xml:space="preserve">estimated burden for this collection is </w:t>
      </w:r>
      <w:r w:rsidRPr="002E4054" w:rsidR="008F4B39">
        <w:rPr>
          <w:rFonts w:ascii="Arial" w:hAnsi="Arial" w:cs="Arial"/>
          <w:sz w:val="22"/>
          <w:szCs w:val="22"/>
        </w:rPr>
        <w:t>unchanged as f</w:t>
      </w:r>
      <w:r w:rsidRPr="00887C5A" w:rsidR="008F4B39">
        <w:rPr>
          <w:rFonts w:ascii="Arial" w:hAnsi="Arial" w:cs="Arial"/>
          <w:sz w:val="22"/>
          <w:szCs w:val="22"/>
        </w:rPr>
        <w:t xml:space="preserve">ollows. </w:t>
      </w:r>
      <w:r w:rsidRPr="00887C5A" w:rsidR="00A122D7">
        <w:rPr>
          <w:rFonts w:ascii="Arial" w:hAnsi="Arial" w:cs="Arial"/>
          <w:sz w:val="22"/>
          <w:szCs w:val="22"/>
        </w:rPr>
        <w:t xml:space="preserve"> </w:t>
      </w:r>
    </w:p>
    <w:p w:rsidRPr="004D615E" w:rsidR="00D117D8" w:rsidP="00021062" w:rsidRDefault="00EB5614">
      <w:pPr>
        <w:tabs>
          <w:tab w:val="left" w:pos="540"/>
        </w:tabs>
        <w:ind w:left="540"/>
        <w:jc w:val="center"/>
        <w:rPr>
          <w:rFonts w:ascii="Arial" w:hAnsi="Arial" w:cs="Arial"/>
          <w:b/>
          <w:dstrike/>
          <w:sz w:val="22"/>
          <w:szCs w:val="22"/>
          <w:u w:val="single"/>
        </w:rPr>
      </w:pPr>
      <w:r w:rsidRPr="0097748E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Current </w:t>
      </w:r>
      <w:r w:rsidRPr="0097748E" w:rsidR="00D117D8">
        <w:rPr>
          <w:rFonts w:ascii="Arial" w:hAnsi="Arial" w:cs="Arial"/>
          <w:b/>
          <w:sz w:val="22"/>
          <w:szCs w:val="22"/>
          <w:u w:val="single"/>
        </w:rPr>
        <w:t>Burden</w:t>
      </w:r>
    </w:p>
    <w:p w:rsidRPr="004D615E" w:rsidR="00D117D8" w:rsidP="00021062" w:rsidRDefault="00D117D8">
      <w:pPr>
        <w:tabs>
          <w:tab w:val="left" w:pos="540"/>
        </w:tabs>
        <w:ind w:left="54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681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970"/>
        <w:gridCol w:w="2070"/>
        <w:gridCol w:w="1980"/>
        <w:gridCol w:w="1800"/>
      </w:tblGrid>
      <w:tr w:rsidRPr="00A77817" w:rsidR="00D117D8" w:rsidTr="00A77817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double" w:color="000000" w:sz="7" w:space="0"/>
              <w:left w:val="doub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4D615E" w:rsidR="00D117D8" w:rsidP="00FA0B83" w:rsidRDefault="00D117D8">
            <w:pPr>
              <w:keepNext/>
              <w:tabs>
                <w:tab w:val="left" w:pos="450"/>
                <w:tab w:val="left" w:pos="540"/>
                <w:tab w:val="center" w:pos="939"/>
              </w:tabs>
              <w:spacing w:before="120" w:after="120"/>
              <w:ind w:left="540" w:hanging="5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615E">
              <w:rPr>
                <w:rFonts w:ascii="Arial" w:hAnsi="Arial" w:cs="Arial"/>
                <w:sz w:val="22"/>
                <w:szCs w:val="22"/>
              </w:rPr>
              <w:t>Form Number</w:t>
            </w:r>
          </w:p>
        </w:tc>
        <w:tc>
          <w:tcPr>
            <w:tcW w:w="2070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135BC4" w:rsidR="00D117D8" w:rsidP="00FA0B83" w:rsidRDefault="00D117D8">
            <w:pPr>
              <w:keepNext/>
              <w:tabs>
                <w:tab w:val="left" w:pos="450"/>
                <w:tab w:val="left" w:pos="540"/>
                <w:tab w:val="center" w:pos="1020"/>
              </w:tabs>
              <w:spacing w:before="120" w:after="120"/>
              <w:ind w:left="540" w:hanging="5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BC4">
              <w:rPr>
                <w:rFonts w:ascii="Arial" w:hAnsi="Arial" w:cs="Arial"/>
                <w:sz w:val="22"/>
                <w:szCs w:val="22"/>
              </w:rPr>
              <w:t>Annual Responses</w:t>
            </w:r>
          </w:p>
        </w:tc>
        <w:tc>
          <w:tcPr>
            <w:tcW w:w="1980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center"/>
          </w:tcPr>
          <w:p w:rsidRPr="00135BC4" w:rsidR="00D117D8" w:rsidP="00FA0B83" w:rsidRDefault="00D117D8">
            <w:pPr>
              <w:keepNext/>
              <w:tabs>
                <w:tab w:val="left" w:pos="450"/>
                <w:tab w:val="left" w:pos="540"/>
                <w:tab w:val="center" w:pos="723"/>
              </w:tabs>
              <w:spacing w:before="120" w:after="120"/>
              <w:ind w:left="540" w:hanging="5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BC4">
              <w:rPr>
                <w:rFonts w:ascii="Arial" w:hAnsi="Arial" w:cs="Arial"/>
                <w:sz w:val="22"/>
                <w:szCs w:val="22"/>
              </w:rPr>
              <w:t>Time (Minutes)</w:t>
            </w:r>
            <w:r w:rsidRPr="00135BC4" w:rsidR="000F343C">
              <w:rPr>
                <w:rFonts w:ascii="Arial" w:hAnsi="Arial" w:cs="Arial"/>
                <w:sz w:val="22"/>
                <w:szCs w:val="22"/>
              </w:rPr>
              <w:t>1/</w:t>
            </w:r>
          </w:p>
        </w:tc>
        <w:tc>
          <w:tcPr>
            <w:tcW w:w="1800" w:type="dxa"/>
            <w:tcBorders>
              <w:top w:val="double" w:color="000000" w:sz="7" w:space="0"/>
              <w:left w:val="single" w:color="000000" w:sz="7" w:space="0"/>
              <w:bottom w:val="single" w:color="FFFFFF" w:sz="6" w:space="0"/>
              <w:right w:val="double" w:color="000000" w:sz="7" w:space="0"/>
            </w:tcBorders>
            <w:vAlign w:val="center"/>
          </w:tcPr>
          <w:p w:rsidRPr="00135BC4" w:rsidR="00D117D8" w:rsidP="00FA0B83" w:rsidRDefault="00D117D8">
            <w:pPr>
              <w:keepNext/>
              <w:tabs>
                <w:tab w:val="left" w:pos="450"/>
                <w:tab w:val="left" w:pos="540"/>
                <w:tab w:val="center" w:pos="939"/>
              </w:tabs>
              <w:spacing w:before="120" w:after="120"/>
              <w:ind w:left="540" w:hanging="5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BC4">
              <w:rPr>
                <w:rFonts w:ascii="Arial" w:hAnsi="Arial" w:cs="Arial"/>
                <w:sz w:val="22"/>
                <w:szCs w:val="22"/>
              </w:rPr>
              <w:t>Burden (Hours)</w:t>
            </w:r>
          </w:p>
        </w:tc>
      </w:tr>
      <w:tr w:rsidRPr="00A77817" w:rsidR="00D117D8" w:rsidTr="00A77817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double" w:color="000000" w:sz="7" w:space="0"/>
              <w:left w:val="doub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016811" w:rsidR="00D117D8" w:rsidP="00FA0B83" w:rsidRDefault="00D117D8">
            <w:pPr>
              <w:tabs>
                <w:tab w:val="left" w:pos="540"/>
              </w:tabs>
              <w:spacing w:before="120" w:after="120"/>
              <w:ind w:left="540" w:hanging="540"/>
              <w:rPr>
                <w:rFonts w:ascii="Arial" w:hAnsi="Arial" w:cs="Arial"/>
                <w:sz w:val="22"/>
                <w:szCs w:val="22"/>
              </w:rPr>
            </w:pPr>
            <w:r w:rsidRPr="00016811">
              <w:rPr>
                <w:rFonts w:ascii="Arial" w:hAnsi="Arial" w:cs="Arial"/>
                <w:sz w:val="22"/>
                <w:szCs w:val="22"/>
              </w:rPr>
              <w:t>G-251 (with assistance)</w:t>
            </w:r>
          </w:p>
        </w:tc>
        <w:tc>
          <w:tcPr>
            <w:tcW w:w="2070" w:type="dxa"/>
            <w:tcBorders>
              <w:top w:val="doub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016811" w:rsidR="00D117D8" w:rsidP="00FA0B83" w:rsidRDefault="00D117D8">
            <w:pPr>
              <w:tabs>
                <w:tab w:val="right" w:pos="129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16811">
              <w:rPr>
                <w:rFonts w:ascii="Arial" w:hAnsi="Arial" w:cs="Arial"/>
                <w:sz w:val="22"/>
                <w:szCs w:val="22"/>
              </w:rPr>
              <w:tab/>
              <w:t>5,730</w:t>
            </w:r>
          </w:p>
        </w:tc>
        <w:tc>
          <w:tcPr>
            <w:tcW w:w="1980" w:type="dxa"/>
            <w:tcBorders>
              <w:top w:val="doub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1A5A6B" w:rsidR="00D117D8" w:rsidP="00FA0B83" w:rsidRDefault="00D117D8">
            <w:pPr>
              <w:spacing w:before="120" w:after="120"/>
              <w:jc w:val="center"/>
              <w:rPr>
                <w:rFonts w:ascii="Arial" w:hAnsi="Arial" w:cs="Arial"/>
                <w:dstrike/>
                <w:sz w:val="22"/>
                <w:szCs w:val="22"/>
              </w:rPr>
            </w:pPr>
            <w:r w:rsidRPr="001A5A6B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800" w:type="dxa"/>
            <w:tcBorders>
              <w:top w:val="double" w:color="000000" w:sz="7" w:space="0"/>
              <w:left w:val="single" w:color="000000" w:sz="7" w:space="0"/>
              <w:bottom w:val="double" w:color="000000" w:sz="7" w:space="0"/>
              <w:right w:val="double" w:color="000000" w:sz="7" w:space="0"/>
            </w:tcBorders>
            <w:vAlign w:val="center"/>
          </w:tcPr>
          <w:p w:rsidRPr="001A5A6B" w:rsidR="00D117D8" w:rsidP="00F27DA1" w:rsidRDefault="00D117D8">
            <w:pPr>
              <w:tabs>
                <w:tab w:val="right" w:pos="102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5A6B">
              <w:rPr>
                <w:rFonts w:ascii="Arial" w:hAnsi="Arial" w:cs="Arial"/>
                <w:sz w:val="22"/>
                <w:szCs w:val="22"/>
              </w:rPr>
              <w:tab/>
              <w:t>3,820</w:t>
            </w:r>
          </w:p>
        </w:tc>
      </w:tr>
      <w:tr w:rsidRPr="00A77817" w:rsidR="00D117D8" w:rsidTr="00A77817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double" w:color="000000" w:sz="7" w:space="0"/>
              <w:left w:val="doub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016811" w:rsidR="00D117D8" w:rsidP="00FA0B83" w:rsidRDefault="00D117D8">
            <w:pPr>
              <w:tabs>
                <w:tab w:val="left" w:pos="540"/>
              </w:tabs>
              <w:spacing w:before="120" w:after="120"/>
              <w:ind w:left="540" w:hanging="540"/>
              <w:rPr>
                <w:rFonts w:ascii="Arial" w:hAnsi="Arial" w:cs="Arial"/>
                <w:sz w:val="22"/>
                <w:szCs w:val="22"/>
              </w:rPr>
            </w:pPr>
            <w:r w:rsidRPr="00016811">
              <w:rPr>
                <w:rFonts w:ascii="Arial" w:hAnsi="Arial" w:cs="Arial"/>
                <w:sz w:val="22"/>
                <w:szCs w:val="22"/>
              </w:rPr>
              <w:t>G-251 (without assistance)</w:t>
            </w:r>
          </w:p>
        </w:tc>
        <w:tc>
          <w:tcPr>
            <w:tcW w:w="2070" w:type="dxa"/>
            <w:tcBorders>
              <w:top w:val="doub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016811" w:rsidR="00D117D8" w:rsidP="00FA0B83" w:rsidRDefault="00D117D8">
            <w:pPr>
              <w:tabs>
                <w:tab w:val="right" w:pos="129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16811">
              <w:rPr>
                <w:rFonts w:ascii="Arial" w:hAnsi="Arial" w:cs="Arial"/>
                <w:sz w:val="22"/>
                <w:szCs w:val="22"/>
              </w:rPr>
              <w:tab/>
              <w:t>270</w:t>
            </w:r>
          </w:p>
        </w:tc>
        <w:tc>
          <w:tcPr>
            <w:tcW w:w="1980" w:type="dxa"/>
            <w:tcBorders>
              <w:top w:val="doub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1A5A6B" w:rsidR="00D117D8" w:rsidP="00FA0B83" w:rsidRDefault="00D117D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5A6B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800" w:type="dxa"/>
            <w:tcBorders>
              <w:top w:val="double" w:color="000000" w:sz="7" w:space="0"/>
              <w:left w:val="single" w:color="000000" w:sz="7" w:space="0"/>
              <w:bottom w:val="double" w:color="000000" w:sz="7" w:space="0"/>
              <w:right w:val="double" w:color="000000" w:sz="7" w:space="0"/>
            </w:tcBorders>
            <w:vAlign w:val="center"/>
          </w:tcPr>
          <w:p w:rsidRPr="001A5A6B" w:rsidR="00D117D8" w:rsidP="00F27DA1" w:rsidRDefault="00D117D8">
            <w:pPr>
              <w:tabs>
                <w:tab w:val="right" w:pos="102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5A6B">
              <w:rPr>
                <w:rFonts w:ascii="Arial" w:hAnsi="Arial" w:cs="Arial"/>
                <w:sz w:val="22"/>
                <w:szCs w:val="22"/>
              </w:rPr>
              <w:tab/>
              <w:t>225</w:t>
            </w:r>
          </w:p>
        </w:tc>
      </w:tr>
      <w:tr w:rsidRPr="00A77817" w:rsidR="00D117D8" w:rsidTr="00A77817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double" w:color="000000" w:sz="7" w:space="0"/>
              <w:left w:val="doub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016811" w:rsidR="00D117D8" w:rsidP="00FA0B83" w:rsidRDefault="00D117D8">
            <w:pPr>
              <w:tabs>
                <w:tab w:val="left" w:pos="540"/>
              </w:tabs>
              <w:spacing w:before="120" w:after="120"/>
              <w:ind w:left="540" w:hanging="5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6811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2070" w:type="dxa"/>
            <w:tcBorders>
              <w:top w:val="doub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016811" w:rsidR="00D117D8" w:rsidP="00FA0B83" w:rsidRDefault="00D117D8">
            <w:pPr>
              <w:tabs>
                <w:tab w:val="right" w:pos="129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16811">
              <w:rPr>
                <w:rFonts w:ascii="Arial" w:hAnsi="Arial" w:cs="Arial"/>
                <w:sz w:val="22"/>
                <w:szCs w:val="22"/>
              </w:rPr>
              <w:tab/>
              <w:t>6,000</w:t>
            </w:r>
          </w:p>
        </w:tc>
        <w:tc>
          <w:tcPr>
            <w:tcW w:w="1980" w:type="dxa"/>
            <w:tcBorders>
              <w:top w:val="double" w:color="000000" w:sz="7" w:space="0"/>
              <w:left w:val="single" w:color="000000" w:sz="7" w:space="0"/>
              <w:bottom w:val="double" w:color="000000" w:sz="7" w:space="0"/>
              <w:right w:val="single" w:color="FFFFFF" w:sz="6" w:space="0"/>
            </w:tcBorders>
            <w:vAlign w:val="center"/>
          </w:tcPr>
          <w:p w:rsidRPr="001A5A6B" w:rsidR="00D117D8" w:rsidP="00FA0B83" w:rsidRDefault="00D117D8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color="000000" w:sz="7" w:space="0"/>
              <w:left w:val="single" w:color="000000" w:sz="7" w:space="0"/>
              <w:bottom w:val="double" w:color="000000" w:sz="7" w:space="0"/>
              <w:right w:val="double" w:color="000000" w:sz="7" w:space="0"/>
            </w:tcBorders>
            <w:vAlign w:val="center"/>
          </w:tcPr>
          <w:p w:rsidRPr="001A5A6B" w:rsidR="00D117D8" w:rsidP="00F27DA1" w:rsidRDefault="00D117D8">
            <w:pPr>
              <w:tabs>
                <w:tab w:val="right" w:pos="1029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5A6B">
              <w:rPr>
                <w:rFonts w:ascii="Arial" w:hAnsi="Arial" w:cs="Arial"/>
                <w:sz w:val="22"/>
                <w:szCs w:val="22"/>
              </w:rPr>
              <w:tab/>
              <w:t>4,045</w:t>
            </w:r>
          </w:p>
        </w:tc>
      </w:tr>
    </w:tbl>
    <w:p w:rsidRPr="00A77817" w:rsidR="00D117D8" w:rsidP="001A259A" w:rsidRDefault="00016811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016811">
        <w:rPr>
          <w:rFonts w:ascii="Arial" w:hAnsi="Arial" w:cs="Arial"/>
          <w:sz w:val="22"/>
          <w:szCs w:val="22"/>
        </w:rPr>
        <w:tab/>
      </w:r>
      <w:r w:rsidRPr="00A77817">
        <w:rPr>
          <w:rFonts w:ascii="Arial" w:hAnsi="Arial" w:cs="Arial"/>
          <w:sz w:val="22"/>
          <w:szCs w:val="22"/>
        </w:rPr>
        <w:t>1/The RRB has been collecting the information on these forms since OMB approved the information collection.  Based on a sampling done when the form was originally created, the office calculated the estimated time, which includes time for getting the needed data and reviewing the completed form.</w:t>
      </w:r>
    </w:p>
    <w:p w:rsidRPr="00016811" w:rsidR="00016811" w:rsidP="001A259A" w:rsidRDefault="00016811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bookmarkStart w:name="_GoBack" w:id="0"/>
      <w:bookmarkEnd w:id="0"/>
    </w:p>
    <w:p w:rsidRPr="001A5A6B" w:rsidR="00D117D8" w:rsidP="00D117D8" w:rsidRDefault="00D117D8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016811">
        <w:rPr>
          <w:rFonts w:ascii="Arial" w:hAnsi="Arial" w:cs="Arial"/>
          <w:sz w:val="22"/>
          <w:szCs w:val="22"/>
        </w:rPr>
        <w:t>We estimate that approximately 5,730 employee disability applicants and 270 widow(er) disability applicants complete Form G-251 annually.  Present experience is that on the average, employee applicants will report thr</w:t>
      </w:r>
      <w:r w:rsidRPr="001A5A6B">
        <w:rPr>
          <w:rFonts w:ascii="Arial" w:hAnsi="Arial" w:cs="Arial"/>
          <w:sz w:val="22"/>
          <w:szCs w:val="22"/>
        </w:rPr>
        <w:t>ee jobs during the 15-year period.  We estimate that approximately 4.5 percent of all G-251's are self-administered.</w:t>
      </w:r>
    </w:p>
    <w:p w:rsidRPr="001A5A6B" w:rsidR="00D117D8" w:rsidP="00D117D8" w:rsidRDefault="00D117D8">
      <w:pPr>
        <w:tabs>
          <w:tab w:val="left" w:pos="540"/>
        </w:tabs>
        <w:ind w:left="540"/>
        <w:jc w:val="both"/>
        <w:rPr>
          <w:rFonts w:ascii="Arial" w:hAnsi="Arial" w:cs="Arial"/>
          <w:dstrike/>
          <w:sz w:val="22"/>
          <w:szCs w:val="22"/>
        </w:rPr>
      </w:pPr>
    </w:p>
    <w:p w:rsidRPr="002E4054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A5A6B">
        <w:rPr>
          <w:rFonts w:ascii="Arial" w:hAnsi="Arial" w:cs="Arial"/>
          <w:sz w:val="22"/>
          <w:szCs w:val="22"/>
        </w:rPr>
        <w:t>13.</w:t>
      </w:r>
      <w:r w:rsidRPr="001A5A6B">
        <w:rPr>
          <w:rFonts w:ascii="Arial" w:hAnsi="Arial" w:cs="Arial"/>
          <w:sz w:val="22"/>
          <w:szCs w:val="22"/>
        </w:rPr>
        <w:tab/>
      </w:r>
      <w:r w:rsidRPr="001A5A6B">
        <w:rPr>
          <w:rFonts w:ascii="Arial" w:hAnsi="Arial" w:cs="Arial"/>
          <w:sz w:val="22"/>
          <w:szCs w:val="22"/>
          <w:u w:val="single"/>
        </w:rPr>
        <w:t>Estimated annual cost to respondents or record keepers</w:t>
      </w:r>
      <w:r w:rsidRPr="002E4054">
        <w:rPr>
          <w:rFonts w:ascii="Arial" w:hAnsi="Arial" w:cs="Arial"/>
          <w:sz w:val="22"/>
          <w:szCs w:val="22"/>
        </w:rPr>
        <w:t xml:space="preserve"> - N.A.</w:t>
      </w:r>
    </w:p>
    <w:p w:rsidRPr="002E4054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312249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87C5A">
        <w:rPr>
          <w:rFonts w:ascii="Arial" w:hAnsi="Arial" w:cs="Arial"/>
          <w:sz w:val="22"/>
          <w:szCs w:val="22"/>
        </w:rPr>
        <w:t>14.</w:t>
      </w:r>
      <w:r w:rsidRPr="00887C5A">
        <w:rPr>
          <w:rFonts w:ascii="Arial" w:hAnsi="Arial" w:cs="Arial"/>
          <w:sz w:val="22"/>
          <w:szCs w:val="22"/>
        </w:rPr>
        <w:tab/>
      </w:r>
      <w:r w:rsidRPr="00887C5A">
        <w:rPr>
          <w:rFonts w:ascii="Arial" w:hAnsi="Arial" w:cs="Arial"/>
          <w:sz w:val="22"/>
          <w:szCs w:val="22"/>
          <w:u w:val="single"/>
        </w:rPr>
        <w:t xml:space="preserve">Estimate of cost to Federal </w:t>
      </w:r>
      <w:r w:rsidRPr="00C526D4" w:rsidR="00AB4D43">
        <w:rPr>
          <w:rFonts w:ascii="Arial" w:hAnsi="Arial" w:cs="Arial"/>
          <w:sz w:val="22"/>
          <w:szCs w:val="22"/>
          <w:u w:val="single"/>
        </w:rPr>
        <w:t>G</w:t>
      </w:r>
      <w:r w:rsidRPr="00C526D4">
        <w:rPr>
          <w:rFonts w:ascii="Arial" w:hAnsi="Arial" w:cs="Arial"/>
          <w:sz w:val="22"/>
          <w:szCs w:val="22"/>
          <w:u w:val="single"/>
        </w:rPr>
        <w:t>overnment</w:t>
      </w:r>
      <w:r w:rsidRPr="00312249">
        <w:rPr>
          <w:rFonts w:ascii="Arial" w:hAnsi="Arial" w:cs="Arial"/>
          <w:sz w:val="22"/>
          <w:szCs w:val="22"/>
        </w:rPr>
        <w:t xml:space="preserve"> - N.A.</w:t>
      </w:r>
    </w:p>
    <w:p w:rsidRPr="0097748E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4D615E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D615E">
        <w:rPr>
          <w:rFonts w:ascii="Arial" w:hAnsi="Arial" w:cs="Arial"/>
          <w:sz w:val="22"/>
          <w:szCs w:val="22"/>
        </w:rPr>
        <w:t>15.</w:t>
      </w:r>
      <w:r w:rsidRPr="004D615E">
        <w:rPr>
          <w:rFonts w:ascii="Arial" w:hAnsi="Arial" w:cs="Arial"/>
          <w:sz w:val="22"/>
          <w:szCs w:val="22"/>
        </w:rPr>
        <w:tab/>
      </w:r>
      <w:r w:rsidRPr="004D615E">
        <w:rPr>
          <w:rFonts w:ascii="Arial" w:hAnsi="Arial" w:cs="Arial"/>
          <w:sz w:val="22"/>
          <w:szCs w:val="22"/>
          <w:u w:val="single"/>
        </w:rPr>
        <w:t>Explanation for change in burden</w:t>
      </w:r>
      <w:r w:rsidRPr="004D615E">
        <w:rPr>
          <w:rFonts w:ascii="Arial" w:hAnsi="Arial" w:cs="Arial"/>
          <w:sz w:val="22"/>
          <w:szCs w:val="22"/>
        </w:rPr>
        <w:t xml:space="preserve"> - </w:t>
      </w:r>
      <w:r w:rsidRPr="004D615E" w:rsidR="00473C8B">
        <w:rPr>
          <w:rFonts w:ascii="Arial" w:hAnsi="Arial" w:cs="Arial"/>
          <w:sz w:val="22"/>
          <w:szCs w:val="22"/>
        </w:rPr>
        <w:t xml:space="preserve">N.A. </w:t>
      </w:r>
    </w:p>
    <w:p w:rsidRPr="00135BC4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135BC4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35BC4">
        <w:rPr>
          <w:rFonts w:ascii="Arial" w:hAnsi="Arial" w:cs="Arial"/>
          <w:sz w:val="22"/>
          <w:szCs w:val="22"/>
        </w:rPr>
        <w:t>16.</w:t>
      </w:r>
      <w:r w:rsidRPr="00135BC4">
        <w:rPr>
          <w:rFonts w:ascii="Arial" w:hAnsi="Arial" w:cs="Arial"/>
          <w:sz w:val="22"/>
          <w:szCs w:val="22"/>
        </w:rPr>
        <w:tab/>
      </w:r>
      <w:r w:rsidRPr="00135BC4">
        <w:rPr>
          <w:rFonts w:ascii="Arial" w:hAnsi="Arial" w:cs="Arial"/>
          <w:sz w:val="22"/>
          <w:szCs w:val="22"/>
          <w:u w:val="single"/>
        </w:rPr>
        <w:t>Time schedule for data collection and publication</w:t>
      </w:r>
      <w:r w:rsidRPr="00135BC4">
        <w:rPr>
          <w:rFonts w:ascii="Arial" w:hAnsi="Arial" w:cs="Arial"/>
          <w:sz w:val="22"/>
          <w:szCs w:val="22"/>
        </w:rPr>
        <w:t xml:space="preserve"> - The results of this collection will not be published.</w:t>
      </w:r>
    </w:p>
    <w:p w:rsidRPr="00135BC4" w:rsidR="001A259A" w:rsidP="001A259A" w:rsidRDefault="001A259A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A77817" w:rsidR="00016811" w:rsidP="00016811" w:rsidRDefault="007D37BF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135BC4">
        <w:rPr>
          <w:rFonts w:ascii="Arial" w:hAnsi="Arial" w:cs="Arial"/>
          <w:sz w:val="22"/>
          <w:szCs w:val="22"/>
        </w:rPr>
        <w:t>17.</w:t>
      </w:r>
      <w:r w:rsidRPr="00135BC4">
        <w:rPr>
          <w:rFonts w:ascii="Arial" w:hAnsi="Arial" w:cs="Arial"/>
          <w:sz w:val="22"/>
          <w:szCs w:val="22"/>
        </w:rPr>
        <w:tab/>
      </w:r>
      <w:r w:rsidRPr="00135BC4">
        <w:rPr>
          <w:rFonts w:ascii="Arial" w:hAnsi="Arial" w:cs="Arial"/>
          <w:sz w:val="22"/>
          <w:szCs w:val="22"/>
          <w:u w:val="single"/>
        </w:rPr>
        <w:t>Request not to display OMB expiration date</w:t>
      </w:r>
      <w:r w:rsidRPr="00135BC4">
        <w:rPr>
          <w:rFonts w:ascii="Arial" w:hAnsi="Arial" w:cs="Arial"/>
          <w:sz w:val="22"/>
          <w:szCs w:val="22"/>
        </w:rPr>
        <w:t xml:space="preserve"> - </w:t>
      </w:r>
      <w:r w:rsidRPr="00A77817" w:rsidR="00016811">
        <w:rPr>
          <w:rFonts w:ascii="Arial" w:hAnsi="Arial" w:cs="Arial"/>
          <w:sz w:val="22"/>
          <w:szCs w:val="22"/>
        </w:rPr>
        <w:t>The RRB started an extensive multi-year IT Modernization Initiative at the beginning of Fiscal Year 2019 to transform our operations into the 21</w:t>
      </w:r>
      <w:r w:rsidRPr="00A77817" w:rsidR="00016811">
        <w:rPr>
          <w:rFonts w:ascii="Arial" w:hAnsi="Arial" w:cs="Arial"/>
          <w:sz w:val="22"/>
          <w:szCs w:val="22"/>
          <w:vertAlign w:val="superscript"/>
        </w:rPr>
        <w:t>st</w:t>
      </w:r>
      <w:r w:rsidRPr="00A77817" w:rsidR="00016811">
        <w:rPr>
          <w:rFonts w:ascii="Arial" w:hAnsi="Arial" w:cs="Arial"/>
          <w:sz w:val="22"/>
          <w:szCs w:val="22"/>
        </w:rPr>
        <w:t xml:space="preserve"> Century using multiple contractor services to improve mission performance, expand service capabilities, and strengthen cybersecurity.  In addition, we received a new Chief Information Officer (CIO) on September 2, 2019 who is reviewing our estimated project timeline milestone dates.  Once finalized, we will provide OMB with a consolidated project timeline. </w:t>
      </w:r>
    </w:p>
    <w:p w:rsidRPr="00A77817" w:rsidR="00016811" w:rsidP="00016811" w:rsidRDefault="00016811">
      <w:pPr>
        <w:tabs>
          <w:tab w:val="left" w:pos="-1440"/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Pr="00A77817" w:rsidR="00016811" w:rsidP="00016811" w:rsidRDefault="00016811">
      <w:pPr>
        <w:tabs>
          <w:tab w:val="left" w:pos="-1440"/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A77817">
        <w:rPr>
          <w:rFonts w:ascii="Arial" w:hAnsi="Arial" w:cs="Arial"/>
          <w:sz w:val="22"/>
          <w:szCs w:val="22"/>
        </w:rPr>
        <w:t>Given that the forms in this collection are seldom revised; the costs associated with redrafting, reprinting, and distributing forms in order to keep the appropriate OMB expiration date in place; and our desire to reevaluate after the completion of the modernization project,</w:t>
      </w:r>
      <w:r w:rsidRPr="00A77817">
        <w:rPr>
          <w:rFonts w:ascii="Arial" w:hAnsi="Arial" w:cs="Arial"/>
          <w:b/>
          <w:sz w:val="22"/>
          <w:szCs w:val="22"/>
        </w:rPr>
        <w:t xml:space="preserve"> </w:t>
      </w:r>
      <w:r w:rsidRPr="00A77817">
        <w:rPr>
          <w:rFonts w:ascii="Arial" w:hAnsi="Arial" w:cs="Arial"/>
          <w:b/>
          <w:sz w:val="22"/>
          <w:szCs w:val="22"/>
          <w:u w:val="single"/>
        </w:rPr>
        <w:t>the RRB requests the authority to not display the expiration date on the forms</w:t>
      </w:r>
      <w:r w:rsidRPr="00A77817">
        <w:rPr>
          <w:rFonts w:ascii="Arial" w:hAnsi="Arial" w:cs="Arial"/>
          <w:sz w:val="22"/>
          <w:szCs w:val="22"/>
        </w:rPr>
        <w:t>.</w:t>
      </w:r>
    </w:p>
    <w:p w:rsidRPr="001A5A6B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2E4054" w:rsidR="007D37BF" w:rsidP="001A259A" w:rsidRDefault="007D37BF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A5A6B">
        <w:rPr>
          <w:rFonts w:ascii="Arial" w:hAnsi="Arial" w:cs="Arial"/>
          <w:sz w:val="22"/>
          <w:szCs w:val="22"/>
        </w:rPr>
        <w:t>18.</w:t>
      </w:r>
      <w:r w:rsidRPr="001A5A6B">
        <w:rPr>
          <w:rFonts w:ascii="Arial" w:hAnsi="Arial" w:cs="Arial"/>
          <w:sz w:val="22"/>
          <w:szCs w:val="22"/>
        </w:rPr>
        <w:tab/>
      </w:r>
      <w:r w:rsidRPr="00F42051">
        <w:rPr>
          <w:rFonts w:ascii="Arial" w:hAnsi="Arial" w:cs="Arial"/>
          <w:sz w:val="22"/>
          <w:szCs w:val="22"/>
          <w:u w:val="single"/>
        </w:rPr>
        <w:t>Exceptions to Certification Statement</w:t>
      </w:r>
      <w:r w:rsidRPr="00F42051">
        <w:rPr>
          <w:rFonts w:ascii="Arial" w:hAnsi="Arial" w:cs="Arial"/>
          <w:sz w:val="22"/>
          <w:szCs w:val="22"/>
        </w:rPr>
        <w:t xml:space="preserve"> </w:t>
      </w:r>
      <w:r w:rsidRPr="002E4054">
        <w:rPr>
          <w:rFonts w:ascii="Arial" w:hAnsi="Arial" w:cs="Arial"/>
          <w:sz w:val="22"/>
          <w:szCs w:val="22"/>
        </w:rPr>
        <w:t>- None</w:t>
      </w:r>
    </w:p>
    <w:sectPr w:rsidRPr="002E4054" w:rsidR="007D37BF" w:rsidSect="001A259A">
      <w:headerReference w:type="default" r:id="rId8"/>
      <w:footerReference w:type="even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442" w:rsidRDefault="00342442">
      <w:r>
        <w:separator/>
      </w:r>
    </w:p>
  </w:endnote>
  <w:endnote w:type="continuationSeparator" w:id="0">
    <w:p w:rsidR="00342442" w:rsidRDefault="0034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7BF" w:rsidRDefault="007D37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37BF" w:rsidRDefault="007D3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7BF" w:rsidRDefault="007D37BF">
    <w:pPr>
      <w:spacing w:line="240" w:lineRule="exact"/>
    </w:pPr>
  </w:p>
  <w:p w:rsidR="007D37BF" w:rsidRDefault="007D37BF">
    <w:pPr>
      <w:framePr w:wrap="around" w:vAnchor="text" w:hAnchor="margin" w:xAlign="center" w:y="1"/>
      <w:jc w:val="center"/>
      <w:rPr>
        <w:rFonts w:ascii="CG Times" w:hAnsi="CG Times" w:cs="CG Times"/>
        <w:sz w:val="22"/>
      </w:rPr>
    </w:pPr>
    <w:r>
      <w:rPr>
        <w:rFonts w:ascii="CG Times" w:hAnsi="CG Times" w:cs="CG Times"/>
        <w:sz w:val="22"/>
      </w:rPr>
      <w:sym w:font="Symbol" w:char="F02D"/>
    </w: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PAGE </w:instrText>
    </w:r>
    <w:r>
      <w:rPr>
        <w:rFonts w:ascii="Arial" w:hAnsi="Arial" w:cs="Arial"/>
        <w:sz w:val="22"/>
      </w:rPr>
      <w:fldChar w:fldCharType="separate"/>
    </w:r>
    <w:r w:rsidR="00117965">
      <w:rPr>
        <w:rFonts w:ascii="Arial" w:hAnsi="Arial" w:cs="Arial"/>
        <w:noProof/>
        <w:sz w:val="22"/>
      </w:rPr>
      <w:t>1</w:t>
    </w:r>
    <w:r>
      <w:rPr>
        <w:rFonts w:ascii="Arial" w:hAnsi="Arial" w:cs="Arial"/>
        <w:sz w:val="22"/>
      </w:rPr>
      <w:fldChar w:fldCharType="end"/>
    </w:r>
    <w:r>
      <w:rPr>
        <w:rFonts w:ascii="CG Times" w:hAnsi="CG Times" w:cs="CG Times"/>
        <w:sz w:val="22"/>
      </w:rPr>
      <w:sym w:font="Symbol" w:char="F02D"/>
    </w:r>
  </w:p>
  <w:p w:rsidR="007D37BF" w:rsidRDefault="007D37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442" w:rsidRDefault="00342442">
      <w:r>
        <w:separator/>
      </w:r>
    </w:p>
  </w:footnote>
  <w:footnote w:type="continuationSeparator" w:id="0">
    <w:p w:rsidR="00342442" w:rsidRDefault="0034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7BF" w:rsidRDefault="007D37BF" w:rsidP="001A259A">
    <w:pPr>
      <w:jc w:val="right"/>
      <w:rPr>
        <w:rFonts w:ascii="Arial" w:hAnsi="Arial" w:cs="Arial"/>
        <w:bCs/>
        <w:sz w:val="22"/>
      </w:rPr>
    </w:pPr>
    <w:r>
      <w:rPr>
        <w:rFonts w:ascii="Arial" w:hAnsi="Arial" w:cs="Arial"/>
        <w:bCs/>
        <w:sz w:val="22"/>
      </w:rPr>
      <w:t>OMB NO. 3220-0141</w:t>
    </w:r>
  </w:p>
  <w:p w:rsidR="007D37BF" w:rsidRDefault="007D37BF" w:rsidP="001A259A">
    <w:pPr>
      <w:jc w:val="right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4B0390"/>
    <w:multiLevelType w:val="hybridMultilevel"/>
    <w:tmpl w:val="D37018FC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20756031"/>
    <w:multiLevelType w:val="hybridMultilevel"/>
    <w:tmpl w:val="0D921D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3F515A6"/>
    <w:multiLevelType w:val="hybridMultilevel"/>
    <w:tmpl w:val="68FE3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44EFA"/>
    <w:multiLevelType w:val="hybridMultilevel"/>
    <w:tmpl w:val="11FE8A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2068E7"/>
    <w:multiLevelType w:val="hybridMultilevel"/>
    <w:tmpl w:val="8438E8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9A"/>
    <w:rsid w:val="00016811"/>
    <w:rsid w:val="00021062"/>
    <w:rsid w:val="00052492"/>
    <w:rsid w:val="000563BD"/>
    <w:rsid w:val="000F1D31"/>
    <w:rsid w:val="000F343C"/>
    <w:rsid w:val="00117965"/>
    <w:rsid w:val="001313F8"/>
    <w:rsid w:val="00135BC4"/>
    <w:rsid w:val="00160F20"/>
    <w:rsid w:val="001A259A"/>
    <w:rsid w:val="001A5A6B"/>
    <w:rsid w:val="00246B6B"/>
    <w:rsid w:val="0026418A"/>
    <w:rsid w:val="00297D69"/>
    <w:rsid w:val="002E4054"/>
    <w:rsid w:val="00312249"/>
    <w:rsid w:val="00342442"/>
    <w:rsid w:val="0035139F"/>
    <w:rsid w:val="00361069"/>
    <w:rsid w:val="00380A27"/>
    <w:rsid w:val="00404261"/>
    <w:rsid w:val="00473C8B"/>
    <w:rsid w:val="004D615E"/>
    <w:rsid w:val="004E0723"/>
    <w:rsid w:val="00504C2E"/>
    <w:rsid w:val="00522B0F"/>
    <w:rsid w:val="005F0A34"/>
    <w:rsid w:val="00636D15"/>
    <w:rsid w:val="00681686"/>
    <w:rsid w:val="006A547F"/>
    <w:rsid w:val="006D3AAE"/>
    <w:rsid w:val="006F2E98"/>
    <w:rsid w:val="00716145"/>
    <w:rsid w:val="007866EB"/>
    <w:rsid w:val="007D37BF"/>
    <w:rsid w:val="007F246B"/>
    <w:rsid w:val="008224C7"/>
    <w:rsid w:val="00887C5A"/>
    <w:rsid w:val="0089105A"/>
    <w:rsid w:val="008F19D6"/>
    <w:rsid w:val="008F4B39"/>
    <w:rsid w:val="008F75C2"/>
    <w:rsid w:val="00935A03"/>
    <w:rsid w:val="00971F54"/>
    <w:rsid w:val="00973D0C"/>
    <w:rsid w:val="0097748E"/>
    <w:rsid w:val="009F0FAB"/>
    <w:rsid w:val="00A122D7"/>
    <w:rsid w:val="00A550D4"/>
    <w:rsid w:val="00A77817"/>
    <w:rsid w:val="00AB4D43"/>
    <w:rsid w:val="00AC754F"/>
    <w:rsid w:val="00B02A0A"/>
    <w:rsid w:val="00B264AA"/>
    <w:rsid w:val="00B317A9"/>
    <w:rsid w:val="00BA3142"/>
    <w:rsid w:val="00C41CC0"/>
    <w:rsid w:val="00C526D4"/>
    <w:rsid w:val="00C6609E"/>
    <w:rsid w:val="00D0579B"/>
    <w:rsid w:val="00D117D8"/>
    <w:rsid w:val="00D24187"/>
    <w:rsid w:val="00E12B83"/>
    <w:rsid w:val="00E3751B"/>
    <w:rsid w:val="00EB5614"/>
    <w:rsid w:val="00F24E2D"/>
    <w:rsid w:val="00F27DA1"/>
    <w:rsid w:val="00F42051"/>
    <w:rsid w:val="00F81DD8"/>
    <w:rsid w:val="00FA0B83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EB819F"/>
  <w15:chartTrackingRefBased/>
  <w15:docId w15:val="{39551421-D1E8-445F-B80D-A6976F07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144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1A259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F34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343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312249"/>
    <w:rPr>
      <w:color w:val="954F72"/>
      <w:u w:val="single"/>
    </w:rPr>
  </w:style>
  <w:style w:type="paragraph" w:styleId="Revision">
    <w:name w:val="Revision"/>
    <w:hidden/>
    <w:uiPriority w:val="99"/>
    <w:semiHidden/>
    <w:rsid w:val="00135BC4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rb.gov/sites/default/files/2017-06/PIA-BPO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USRRB</Company>
  <LinksUpToDate>false</LinksUpToDate>
  <CharactersWithSpaces>4551</CharactersWithSpaces>
  <SharedDoc>false</SharedDoc>
  <HLinks>
    <vt:vector size="6" baseType="variant">
      <vt:variant>
        <vt:i4>7667771</vt:i4>
      </vt:variant>
      <vt:variant>
        <vt:i4>0</vt:i4>
      </vt:variant>
      <vt:variant>
        <vt:i4>0</vt:i4>
      </vt:variant>
      <vt:variant>
        <vt:i4>5</vt:i4>
      </vt:variant>
      <vt:variant>
        <vt:lpwstr>https://www.rrb.gov/sites/default/files/2017-06/PIA-BPO.pdf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PROSSER</dc:creator>
  <cp:keywords/>
  <cp:lastModifiedBy>Foster, Brian D.</cp:lastModifiedBy>
  <cp:revision>3</cp:revision>
  <cp:lastPrinted>2016-06-16T15:36:00Z</cp:lastPrinted>
  <dcterms:created xsi:type="dcterms:W3CDTF">2020-04-13T17:45:00Z</dcterms:created>
  <dcterms:modified xsi:type="dcterms:W3CDTF">2020-04-13T17:46:00Z</dcterms:modified>
</cp:coreProperties>
</file>