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00C5" w:rsidR="00EE62F1" w:rsidP="00EE62F1" w:rsidRDefault="00EE62F1" w14:paraId="50292CD9" w14:textId="77777777">
      <w:pPr>
        <w:spacing w:line="480" w:lineRule="auto"/>
        <w:jc w:val="center"/>
        <w:rPr>
          <w:b/>
          <w:sz w:val="36"/>
          <w:szCs w:val="36"/>
        </w:rPr>
      </w:pPr>
      <w:r w:rsidRPr="00FF00C5">
        <w:rPr>
          <w:b/>
          <w:sz w:val="36"/>
          <w:szCs w:val="36"/>
        </w:rPr>
        <w:t>Survey of SNAP and Work</w:t>
      </w:r>
    </w:p>
    <w:p w:rsidRPr="00FF00C5" w:rsidR="00EE62F1" w:rsidP="00EE62F1" w:rsidRDefault="00EE62F1" w14:paraId="56AA51E7" w14:textId="77777777">
      <w:pPr>
        <w:spacing w:line="480" w:lineRule="auto"/>
        <w:jc w:val="center"/>
        <w:rPr>
          <w:b/>
          <w:sz w:val="36"/>
          <w:szCs w:val="36"/>
        </w:rPr>
      </w:pPr>
    </w:p>
    <w:p w:rsidRPr="00FF00C5" w:rsidR="00EE62F1" w:rsidP="00EE62F1" w:rsidRDefault="00EE62F1" w14:paraId="5F14F949" w14:textId="77777777">
      <w:pPr>
        <w:spacing w:line="480" w:lineRule="auto"/>
        <w:jc w:val="center"/>
        <w:rPr>
          <w:b/>
          <w:sz w:val="36"/>
          <w:szCs w:val="36"/>
        </w:rPr>
      </w:pPr>
      <w:r w:rsidRPr="00FF00C5">
        <w:rPr>
          <w:b/>
          <w:sz w:val="36"/>
          <w:szCs w:val="36"/>
        </w:rPr>
        <w:t>OMB Supporting Statement 0584-NEW</w:t>
      </w:r>
    </w:p>
    <w:p w:rsidRPr="00FF00C5" w:rsidR="00EE62F1" w:rsidP="00EE62F1" w:rsidRDefault="00EE62F1" w14:paraId="42AC54B7" w14:textId="77777777">
      <w:pPr>
        <w:spacing w:line="480" w:lineRule="auto"/>
        <w:jc w:val="center"/>
        <w:rPr>
          <w:b/>
          <w:sz w:val="36"/>
          <w:szCs w:val="36"/>
        </w:rPr>
      </w:pPr>
      <w:r w:rsidRPr="00FF00C5">
        <w:rPr>
          <w:b/>
          <w:sz w:val="36"/>
          <w:szCs w:val="36"/>
        </w:rPr>
        <w:t>Paperwork Reduction Act of 1995</w:t>
      </w:r>
    </w:p>
    <w:p w:rsidRPr="00FF00C5" w:rsidR="00EE62F1" w:rsidP="00EE62F1" w:rsidRDefault="00EE62F1" w14:paraId="683AB93C" w14:textId="473D32D9">
      <w:pPr>
        <w:spacing w:line="480" w:lineRule="auto"/>
        <w:jc w:val="center"/>
        <w:rPr>
          <w:b/>
          <w:sz w:val="36"/>
          <w:szCs w:val="36"/>
        </w:rPr>
      </w:pPr>
      <w:r w:rsidRPr="00FF00C5">
        <w:rPr>
          <w:b/>
          <w:sz w:val="36"/>
          <w:szCs w:val="36"/>
        </w:rPr>
        <w:t>Part B. Justification</w:t>
      </w:r>
    </w:p>
    <w:p w:rsidRPr="00FF00C5" w:rsidR="00EE62F1" w:rsidP="00EE62F1" w:rsidRDefault="00EE62F1" w14:paraId="2260B697" w14:textId="67F0D43E">
      <w:pPr>
        <w:spacing w:line="480" w:lineRule="auto"/>
        <w:jc w:val="center"/>
        <w:rPr>
          <w:b/>
          <w:sz w:val="36"/>
          <w:szCs w:val="36"/>
        </w:rPr>
      </w:pPr>
      <w:r w:rsidRPr="00FF00C5">
        <w:rPr>
          <w:b/>
          <w:sz w:val="36"/>
          <w:szCs w:val="36"/>
        </w:rPr>
        <w:t>Collections of Information Employing Statistical Methods</w:t>
      </w:r>
    </w:p>
    <w:p w:rsidRPr="00FF00C5" w:rsidR="00EE62F1" w:rsidP="00EE62F1" w:rsidRDefault="00EE62F1" w14:paraId="11D48E38" w14:textId="77777777">
      <w:pPr>
        <w:spacing w:line="480" w:lineRule="auto"/>
        <w:jc w:val="center"/>
        <w:rPr>
          <w:b/>
          <w:sz w:val="36"/>
          <w:szCs w:val="36"/>
        </w:rPr>
      </w:pPr>
    </w:p>
    <w:p w:rsidRPr="00FF00C5" w:rsidR="00EE62F1" w:rsidP="00EE62F1" w:rsidRDefault="00EE62F1" w14:paraId="69D3A22F" w14:textId="77777777">
      <w:pPr>
        <w:spacing w:line="480" w:lineRule="auto"/>
        <w:jc w:val="center"/>
        <w:rPr>
          <w:b/>
          <w:sz w:val="36"/>
          <w:szCs w:val="36"/>
        </w:rPr>
      </w:pPr>
    </w:p>
    <w:p w:rsidRPr="00FF00C5" w:rsidR="00EE62F1" w:rsidP="00EE62F1" w:rsidRDefault="00EE62F1" w14:paraId="7701D0F8" w14:textId="77777777">
      <w:pPr>
        <w:spacing w:line="480" w:lineRule="auto"/>
        <w:jc w:val="center"/>
        <w:rPr>
          <w:b/>
          <w:sz w:val="36"/>
          <w:szCs w:val="36"/>
        </w:rPr>
      </w:pPr>
    </w:p>
    <w:p w:rsidRPr="00FF00C5" w:rsidR="00EE62F1" w:rsidP="00EE62F1" w:rsidRDefault="00EE62F1" w14:paraId="1BBAA984" w14:textId="77777777">
      <w:pPr>
        <w:spacing w:line="480" w:lineRule="auto"/>
        <w:jc w:val="center"/>
        <w:rPr>
          <w:b/>
          <w:sz w:val="36"/>
          <w:szCs w:val="36"/>
        </w:rPr>
      </w:pPr>
    </w:p>
    <w:p w:rsidRPr="002F5800" w:rsidR="00166434" w:rsidP="00EE62F1" w:rsidRDefault="00AE0680" w14:paraId="41521E8C" w14:textId="61CF5451">
      <w:pPr>
        <w:tabs>
          <w:tab w:val="clear" w:pos="1152"/>
        </w:tabs>
        <w:spacing w:line="240" w:lineRule="auto"/>
        <w:jc w:val="center"/>
        <w:rPr>
          <w:b/>
          <w:sz w:val="24"/>
          <w:szCs w:val="24"/>
        </w:rPr>
      </w:pPr>
      <w:r w:rsidRPr="00FF00C5">
        <w:rPr>
          <w:b/>
          <w:sz w:val="36"/>
          <w:szCs w:val="36"/>
        </w:rPr>
        <w:t>April 2</w:t>
      </w:r>
      <w:r w:rsidR="00F244AB">
        <w:rPr>
          <w:b/>
          <w:sz w:val="36"/>
          <w:szCs w:val="36"/>
        </w:rPr>
        <w:t>9</w:t>
      </w:r>
      <w:r w:rsidRPr="00FF00C5">
        <w:rPr>
          <w:b/>
          <w:sz w:val="36"/>
          <w:szCs w:val="36"/>
        </w:rPr>
        <w:t>, 2020</w:t>
      </w:r>
      <w:r w:rsidRPr="002F5800" w:rsidR="00166434">
        <w:rPr>
          <w:b/>
          <w:sz w:val="24"/>
          <w:szCs w:val="24"/>
        </w:rPr>
        <w:br w:type="page"/>
      </w:r>
    </w:p>
    <w:p w:rsidRPr="002F5800" w:rsidR="00166434" w:rsidP="003D16E0" w:rsidRDefault="00166434" w14:paraId="472D3AD6" w14:textId="1289AE96">
      <w:pPr>
        <w:spacing w:line="480" w:lineRule="auto"/>
        <w:jc w:val="center"/>
        <w:rPr>
          <w:b/>
          <w:sz w:val="24"/>
          <w:szCs w:val="24"/>
        </w:rPr>
      </w:pPr>
      <w:r w:rsidRPr="002F5800">
        <w:rPr>
          <w:b/>
          <w:sz w:val="24"/>
          <w:szCs w:val="24"/>
        </w:rPr>
        <w:lastRenderedPageBreak/>
        <w:t>TABLE OF CONTENTS</w:t>
      </w:r>
    </w:p>
    <w:p w:rsidRPr="002F5800" w:rsidR="004F54C8" w:rsidP="00C47090" w:rsidRDefault="004F54C8" w14:paraId="65ED4D45" w14:textId="77777777">
      <w:pPr>
        <w:spacing w:line="480" w:lineRule="auto"/>
        <w:jc w:val="left"/>
        <w:rPr>
          <w:b/>
          <w:sz w:val="24"/>
          <w:szCs w:val="24"/>
        </w:rPr>
      </w:pPr>
    </w:p>
    <w:sdt>
      <w:sdtPr>
        <w:rPr>
          <w:rFonts w:ascii="Times New Roman" w:hAnsi="Times New Roman" w:eastAsia="Times New Roman" w:cs="Times New Roman"/>
          <w:color w:val="auto"/>
          <w:sz w:val="24"/>
          <w:szCs w:val="24"/>
        </w:rPr>
        <w:id w:val="953205455"/>
        <w:docPartObj>
          <w:docPartGallery w:val="Table of Contents"/>
          <w:docPartUnique/>
        </w:docPartObj>
      </w:sdtPr>
      <w:sdtEndPr/>
      <w:sdtContent>
        <w:p w:rsidRPr="002F5800" w:rsidR="00C516EF" w:rsidRDefault="003D16E0" w14:paraId="7CBF1EB0" w14:textId="2FD4C5F6">
          <w:pPr>
            <w:pStyle w:val="TOCHeading"/>
            <w:rPr>
              <w:rFonts w:ascii="Times New Roman" w:hAnsi="Times New Roman" w:cs="Times New Roman"/>
              <w:color w:val="auto"/>
              <w:sz w:val="24"/>
              <w:szCs w:val="24"/>
            </w:rPr>
          </w:pPr>
          <w:r w:rsidRPr="002F5800">
            <w:rPr>
              <w:rFonts w:ascii="Times New Roman" w:hAnsi="Times New Roman" w:cs="Times New Roman"/>
              <w:color w:val="auto"/>
              <w:sz w:val="24"/>
              <w:szCs w:val="24"/>
            </w:rPr>
            <w:t>Part B: Justification</w:t>
          </w:r>
        </w:p>
        <w:p w:rsidRPr="002F5800" w:rsidR="00C516EF" w:rsidP="00C516EF" w:rsidRDefault="00C516EF" w14:paraId="3E759D95" w14:textId="6AC65128">
          <w:pPr>
            <w:pStyle w:val="TOC1"/>
            <w:rPr>
              <w:sz w:val="24"/>
              <w:szCs w:val="24"/>
            </w:rPr>
          </w:pPr>
          <w:r w:rsidRPr="002F5800">
            <w:rPr>
              <w:bCs/>
              <w:sz w:val="24"/>
              <w:szCs w:val="24"/>
            </w:rPr>
            <w:t>B.1</w:t>
          </w:r>
          <w:r w:rsidRPr="002F5800">
            <w:rPr>
              <w:bCs/>
              <w:sz w:val="24"/>
              <w:szCs w:val="24"/>
            </w:rPr>
            <w:tab/>
            <w:t>Respondent universe and sampling methods</w:t>
          </w:r>
          <w:r w:rsidRPr="002F5800">
            <w:rPr>
              <w:sz w:val="24"/>
              <w:szCs w:val="24"/>
            </w:rPr>
            <w:ptab w:alignment="right" w:relativeTo="margin" w:leader="dot"/>
          </w:r>
          <w:r w:rsidRPr="002F5800" w:rsidR="003D16E0">
            <w:rPr>
              <w:sz w:val="24"/>
              <w:szCs w:val="24"/>
            </w:rPr>
            <w:t>3</w:t>
          </w:r>
        </w:p>
        <w:p w:rsidRPr="002F5800" w:rsidR="00C516EF" w:rsidRDefault="00C516EF" w14:paraId="32CBAF8D" w14:textId="6DCDA514">
          <w:pPr>
            <w:pStyle w:val="TOC1"/>
            <w:rPr>
              <w:sz w:val="24"/>
              <w:szCs w:val="24"/>
            </w:rPr>
          </w:pPr>
          <w:r w:rsidRPr="002F5800">
            <w:rPr>
              <w:bCs/>
              <w:sz w:val="24"/>
              <w:szCs w:val="24"/>
            </w:rPr>
            <w:t>B.2</w:t>
          </w:r>
          <w:r w:rsidRPr="002F5800">
            <w:rPr>
              <w:bCs/>
              <w:sz w:val="24"/>
              <w:szCs w:val="24"/>
            </w:rPr>
            <w:tab/>
            <w:t>Procedures for the collection of information</w:t>
          </w:r>
          <w:r w:rsidRPr="002F5800">
            <w:rPr>
              <w:sz w:val="24"/>
              <w:szCs w:val="24"/>
            </w:rPr>
            <w:ptab w:alignment="right" w:relativeTo="margin" w:leader="dot"/>
          </w:r>
          <w:r w:rsidRPr="002F5800" w:rsidR="003D16E0">
            <w:rPr>
              <w:sz w:val="24"/>
              <w:szCs w:val="24"/>
            </w:rPr>
            <w:t>5</w:t>
          </w:r>
        </w:p>
        <w:p w:rsidRPr="002F5800" w:rsidR="00C516EF" w:rsidP="00C516EF" w:rsidRDefault="00C516EF" w14:paraId="630A8797" w14:textId="7E09B7D6">
          <w:pPr>
            <w:pStyle w:val="TOC1"/>
            <w:rPr>
              <w:sz w:val="24"/>
              <w:szCs w:val="24"/>
            </w:rPr>
          </w:pPr>
          <w:r w:rsidRPr="002F5800">
            <w:rPr>
              <w:bCs/>
              <w:sz w:val="24"/>
              <w:szCs w:val="24"/>
            </w:rPr>
            <w:t>B.3</w:t>
          </w:r>
          <w:r w:rsidRPr="002F5800">
            <w:rPr>
              <w:bCs/>
              <w:sz w:val="24"/>
              <w:szCs w:val="24"/>
            </w:rPr>
            <w:tab/>
            <w:t>Methods to maximize response rates and to deal with issues of nonresponse</w:t>
          </w:r>
          <w:r w:rsidRPr="002F5800">
            <w:rPr>
              <w:sz w:val="24"/>
              <w:szCs w:val="24"/>
            </w:rPr>
            <w:ptab w:alignment="right" w:relativeTo="margin" w:leader="dot"/>
          </w:r>
          <w:r w:rsidRPr="002F5800" w:rsidR="003D16E0">
            <w:rPr>
              <w:sz w:val="24"/>
              <w:szCs w:val="24"/>
            </w:rPr>
            <w:t>12</w:t>
          </w:r>
        </w:p>
        <w:p w:rsidRPr="002F5800" w:rsidR="00C516EF" w:rsidP="00C516EF" w:rsidRDefault="00C516EF" w14:paraId="2600A35E" w14:textId="33578A6D">
          <w:pPr>
            <w:pStyle w:val="TOC1"/>
            <w:rPr>
              <w:sz w:val="24"/>
              <w:szCs w:val="24"/>
            </w:rPr>
          </w:pPr>
          <w:r w:rsidRPr="002F5800">
            <w:rPr>
              <w:bCs/>
              <w:sz w:val="24"/>
              <w:szCs w:val="24"/>
            </w:rPr>
            <w:t>B.4</w:t>
          </w:r>
          <w:r w:rsidRPr="002F5800">
            <w:rPr>
              <w:bCs/>
              <w:sz w:val="24"/>
              <w:szCs w:val="24"/>
            </w:rPr>
            <w:tab/>
            <w:t>Tes</w:t>
          </w:r>
          <w:r w:rsidRPr="002F5800" w:rsidR="003D16E0">
            <w:rPr>
              <w:bCs/>
              <w:sz w:val="24"/>
              <w:szCs w:val="24"/>
            </w:rPr>
            <w:t>t</w:t>
          </w:r>
          <w:r w:rsidRPr="002F5800">
            <w:rPr>
              <w:bCs/>
              <w:sz w:val="24"/>
              <w:szCs w:val="24"/>
            </w:rPr>
            <w:t xml:space="preserve"> of procedures</w:t>
          </w:r>
          <w:r w:rsidRPr="002F5800" w:rsidR="003D16E0">
            <w:rPr>
              <w:bCs/>
              <w:sz w:val="24"/>
              <w:szCs w:val="24"/>
            </w:rPr>
            <w:t xml:space="preserve"> or methods to be undertaken</w:t>
          </w:r>
          <w:r w:rsidRPr="002F5800">
            <w:rPr>
              <w:sz w:val="24"/>
              <w:szCs w:val="24"/>
            </w:rPr>
            <w:ptab w:alignment="right" w:relativeTo="margin" w:leader="dot"/>
          </w:r>
          <w:r w:rsidR="00623553">
            <w:rPr>
              <w:sz w:val="24"/>
              <w:szCs w:val="24"/>
            </w:rPr>
            <w:t>17</w:t>
          </w:r>
        </w:p>
        <w:p w:rsidRPr="002F5800" w:rsidR="00C516EF" w:rsidP="00C516EF" w:rsidRDefault="00C516EF" w14:paraId="01881C21" w14:textId="2DEDA2C7">
          <w:pPr>
            <w:pStyle w:val="TOC1"/>
            <w:rPr>
              <w:sz w:val="24"/>
              <w:szCs w:val="24"/>
            </w:rPr>
          </w:pPr>
          <w:r w:rsidRPr="002F5800">
            <w:rPr>
              <w:bCs/>
              <w:sz w:val="24"/>
              <w:szCs w:val="24"/>
            </w:rPr>
            <w:t>B.</w:t>
          </w:r>
          <w:r w:rsidRPr="002F5800" w:rsidR="003D16E0">
            <w:rPr>
              <w:bCs/>
              <w:sz w:val="24"/>
              <w:szCs w:val="24"/>
            </w:rPr>
            <w:t>5</w:t>
          </w:r>
          <w:r w:rsidRPr="002F5800" w:rsidR="003D16E0">
            <w:rPr>
              <w:bCs/>
              <w:sz w:val="24"/>
              <w:szCs w:val="24"/>
            </w:rPr>
            <w:tab/>
            <w:t>Individuals consulted on statistical methods and individuals responsible for collecting and/or analyzing the data</w:t>
          </w:r>
          <w:r w:rsidRPr="002F5800">
            <w:rPr>
              <w:sz w:val="24"/>
              <w:szCs w:val="24"/>
            </w:rPr>
            <w:ptab w:alignment="right" w:relativeTo="margin" w:leader="dot"/>
          </w:r>
          <w:r w:rsidR="00623553">
            <w:rPr>
              <w:sz w:val="24"/>
              <w:szCs w:val="24"/>
            </w:rPr>
            <w:t>18</w:t>
          </w:r>
        </w:p>
        <w:p w:rsidRPr="002F5800" w:rsidR="00C516EF" w:rsidRDefault="001C6D62" w14:paraId="51EBCE76" w14:textId="06B89310">
          <w:pPr>
            <w:pStyle w:val="TOC3"/>
            <w:ind w:left="446"/>
            <w:rPr>
              <w:sz w:val="24"/>
              <w:szCs w:val="24"/>
            </w:rPr>
          </w:pPr>
        </w:p>
      </w:sdtContent>
    </w:sdt>
    <w:p w:rsidRPr="002F5800" w:rsidR="003D16E0" w:rsidP="003D16E0" w:rsidRDefault="003D16E0" w14:paraId="58893F84" w14:textId="77777777">
      <w:pPr>
        <w:pStyle w:val="TOCHeading"/>
        <w:rPr>
          <w:rFonts w:ascii="Times New Roman" w:hAnsi="Times New Roman" w:cs="Times New Roman"/>
          <w:color w:val="auto"/>
          <w:sz w:val="24"/>
          <w:szCs w:val="24"/>
          <w:u w:val="single"/>
        </w:rPr>
      </w:pPr>
      <w:r w:rsidRPr="002F5800">
        <w:rPr>
          <w:rFonts w:ascii="Times New Roman" w:hAnsi="Times New Roman" w:cs="Times New Roman"/>
          <w:color w:val="auto"/>
          <w:sz w:val="24"/>
          <w:szCs w:val="24"/>
          <w:u w:val="single"/>
        </w:rPr>
        <w:t>Tables</w:t>
      </w:r>
    </w:p>
    <w:p w:rsidR="003D16E0" w:rsidP="003D16E0" w:rsidRDefault="003D16E0" w14:paraId="24569AD3" w14:textId="39FCDB70">
      <w:pPr>
        <w:pStyle w:val="TOC1"/>
        <w:rPr>
          <w:sz w:val="24"/>
          <w:szCs w:val="24"/>
        </w:rPr>
      </w:pPr>
      <w:r w:rsidRPr="002F5800">
        <w:rPr>
          <w:bCs/>
          <w:sz w:val="24"/>
          <w:szCs w:val="24"/>
        </w:rPr>
        <w:t>B-1</w:t>
      </w:r>
      <w:r w:rsidRPr="002F5800">
        <w:rPr>
          <w:bCs/>
          <w:sz w:val="24"/>
          <w:szCs w:val="24"/>
        </w:rPr>
        <w:tab/>
        <w:t xml:space="preserve">Required number of responses for 95-percent confidence intervals </w:t>
      </w:r>
      <w:r w:rsidRPr="002F5800">
        <w:rPr>
          <w:sz w:val="24"/>
          <w:szCs w:val="24"/>
        </w:rPr>
        <w:ptab w:alignment="right" w:relativeTo="margin" w:leader="dot"/>
      </w:r>
      <w:r w:rsidR="00623553">
        <w:rPr>
          <w:sz w:val="24"/>
          <w:szCs w:val="24"/>
        </w:rPr>
        <w:t>11</w:t>
      </w:r>
    </w:p>
    <w:p w:rsidRPr="002F5800" w:rsidR="00BC3EF7" w:rsidP="003D16E0" w:rsidRDefault="00BC3EF7" w14:paraId="05ED28AF" w14:textId="5E9DA615">
      <w:pPr>
        <w:pStyle w:val="TOC1"/>
        <w:rPr>
          <w:sz w:val="24"/>
          <w:szCs w:val="24"/>
        </w:rPr>
      </w:pPr>
      <w:r>
        <w:rPr>
          <w:sz w:val="24"/>
          <w:szCs w:val="24"/>
        </w:rPr>
        <w:t>B-2</w:t>
      </w:r>
      <w:r>
        <w:rPr>
          <w:sz w:val="24"/>
          <w:szCs w:val="24"/>
        </w:rPr>
        <w:tab/>
        <w:t>Timeline for data collection activities</w:t>
      </w:r>
      <w:r w:rsidRPr="00B52B0E">
        <w:rPr>
          <w:sz w:val="24"/>
          <w:szCs w:val="24"/>
        </w:rPr>
        <w:ptab w:alignment="right" w:relativeTo="margin" w:leader="dot"/>
      </w:r>
      <w:r w:rsidRPr="00B52B0E">
        <w:rPr>
          <w:sz w:val="24"/>
          <w:szCs w:val="24"/>
        </w:rPr>
        <w:t>1</w:t>
      </w:r>
      <w:r>
        <w:rPr>
          <w:sz w:val="24"/>
          <w:szCs w:val="24"/>
        </w:rPr>
        <w:t>4</w:t>
      </w:r>
    </w:p>
    <w:p w:rsidRPr="002F5800" w:rsidR="003D16E0" w:rsidP="003D16E0" w:rsidRDefault="003D16E0" w14:paraId="297E4B66" w14:textId="24265E47">
      <w:pPr>
        <w:pStyle w:val="TOC1"/>
        <w:rPr>
          <w:sz w:val="24"/>
          <w:szCs w:val="24"/>
        </w:rPr>
      </w:pPr>
      <w:r w:rsidRPr="002F5800">
        <w:rPr>
          <w:bCs/>
          <w:sz w:val="24"/>
          <w:szCs w:val="24"/>
        </w:rPr>
        <w:t>B-</w:t>
      </w:r>
      <w:r w:rsidR="00BC3EF7">
        <w:rPr>
          <w:bCs/>
          <w:sz w:val="24"/>
          <w:szCs w:val="24"/>
        </w:rPr>
        <w:t>3</w:t>
      </w:r>
      <w:r w:rsidRPr="002F5800">
        <w:rPr>
          <w:bCs/>
          <w:sz w:val="24"/>
          <w:szCs w:val="24"/>
        </w:rPr>
        <w:tab/>
        <w:t>Individuals consulted on data collection or analysis</w:t>
      </w:r>
      <w:r w:rsidRPr="002F5800">
        <w:rPr>
          <w:sz w:val="24"/>
          <w:szCs w:val="24"/>
        </w:rPr>
        <w:ptab w:alignment="right" w:relativeTo="margin" w:leader="dot"/>
      </w:r>
      <w:r w:rsidRPr="002F5800">
        <w:rPr>
          <w:sz w:val="24"/>
          <w:szCs w:val="24"/>
        </w:rPr>
        <w:t>18</w:t>
      </w:r>
    </w:p>
    <w:p w:rsidRPr="002F5800" w:rsidR="004F54C8" w:rsidP="00C47090" w:rsidRDefault="004F54C8" w14:paraId="5BBA409B" w14:textId="77777777">
      <w:pPr>
        <w:tabs>
          <w:tab w:val="clear" w:pos="1152"/>
        </w:tabs>
        <w:spacing w:line="240" w:lineRule="auto"/>
        <w:jc w:val="left"/>
        <w:rPr>
          <w:b/>
          <w:sz w:val="24"/>
          <w:szCs w:val="24"/>
        </w:rPr>
      </w:pPr>
      <w:r w:rsidRPr="002F5800">
        <w:rPr>
          <w:b/>
          <w:sz w:val="24"/>
          <w:szCs w:val="24"/>
        </w:rPr>
        <w:br w:type="page"/>
      </w:r>
    </w:p>
    <w:p w:rsidRPr="008524B1" w:rsidR="008B7841" w:rsidP="00095A80" w:rsidRDefault="008B7841" w14:paraId="63183A91" w14:textId="77777777">
      <w:pPr>
        <w:pStyle w:val="Heading1"/>
        <w:rPr>
          <w:sz w:val="24"/>
        </w:rPr>
      </w:pPr>
      <w:r w:rsidRPr="008524B1">
        <w:rPr>
          <w:sz w:val="24"/>
        </w:rPr>
        <w:lastRenderedPageBreak/>
        <w:t>B.1</w:t>
      </w:r>
      <w:r w:rsidRPr="008524B1">
        <w:rPr>
          <w:sz w:val="24"/>
        </w:rPr>
        <w:tab/>
        <w:t>Respondent Universe and Sampling Methods</w:t>
      </w:r>
    </w:p>
    <w:p w:rsidRPr="002F5800" w:rsidR="004F54C8" w:rsidP="008524B1" w:rsidRDefault="004F54C8" w14:paraId="338BC5E9" w14:textId="77777777">
      <w:pPr>
        <w:spacing w:line="360" w:lineRule="atLeast"/>
        <w:jc w:val="left"/>
        <w:rPr>
          <w:b/>
          <w:sz w:val="24"/>
          <w:szCs w:val="24"/>
        </w:rPr>
      </w:pPr>
      <w:bookmarkStart w:name="_Toc316652505" w:id="0"/>
      <w:bookmarkStart w:name="_Toc325550963" w:id="1"/>
      <w:bookmarkStart w:name="_Toc400377719" w:id="2"/>
      <w:bookmarkStart w:name="_Toc329341117" w:id="3"/>
      <w:bookmarkStart w:name="_Toc290021782" w:id="4"/>
      <w:bookmarkStart w:name="_Toc287257090" w:id="5"/>
      <w:bookmarkStart w:name="_Toc287257036" w:id="6"/>
      <w:bookmarkStart w:name="_Toc400377724" w:id="7"/>
      <w:bookmarkStart w:name="_Toc409090901" w:id="8"/>
      <w:bookmarkStart w:name="_Toc474235253" w:id="9"/>
      <w:r w:rsidRPr="002F5800">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0"/>
      <w:bookmarkEnd w:id="1"/>
      <w:bookmarkEnd w:id="2"/>
    </w:p>
    <w:p w:rsidRPr="002F5800" w:rsidR="004F54C8" w:rsidP="00C47090" w:rsidRDefault="004F54C8" w14:paraId="14345171" w14:textId="77777777">
      <w:pPr>
        <w:tabs>
          <w:tab w:val="left" w:pos="-720"/>
        </w:tabs>
        <w:suppressAutoHyphens/>
        <w:spacing w:line="480" w:lineRule="auto"/>
        <w:jc w:val="left"/>
        <w:rPr>
          <w:sz w:val="24"/>
          <w:szCs w:val="24"/>
        </w:rPr>
      </w:pPr>
    </w:p>
    <w:p w:rsidRPr="002F5800" w:rsidR="004F54C8" w:rsidP="00C47090" w:rsidRDefault="004F54C8" w14:paraId="36250EB4" w14:textId="77777777">
      <w:pPr>
        <w:tabs>
          <w:tab w:val="left" w:pos="-720"/>
        </w:tabs>
        <w:suppressAutoHyphens/>
        <w:spacing w:line="480" w:lineRule="auto"/>
        <w:jc w:val="left"/>
        <w:rPr>
          <w:b/>
          <w:color w:val="000000" w:themeColor="text1"/>
          <w:sz w:val="24"/>
          <w:szCs w:val="24"/>
        </w:rPr>
      </w:pPr>
      <w:r w:rsidRPr="002F5800">
        <w:rPr>
          <w:b/>
          <w:color w:val="000000" w:themeColor="text1"/>
          <w:sz w:val="24"/>
          <w:szCs w:val="24"/>
        </w:rPr>
        <w:t>Respondent Universe</w:t>
      </w:r>
    </w:p>
    <w:p w:rsidR="00C40767" w:rsidP="00FF00C5" w:rsidRDefault="00C40767" w14:paraId="0A0437C4" w14:textId="449109DB">
      <w:pPr>
        <w:pStyle w:val="P1-StandPara"/>
        <w:spacing w:line="480" w:lineRule="auto"/>
        <w:ind w:firstLine="0"/>
        <w:rPr>
          <w:sz w:val="24"/>
          <w:szCs w:val="24"/>
        </w:rPr>
      </w:pPr>
      <w:r w:rsidRPr="00FF00C5">
        <w:rPr>
          <w:sz w:val="24"/>
          <w:szCs w:val="24"/>
        </w:rPr>
        <w:t>There are two respondent universes. The first universe includes State</w:t>
      </w:r>
      <w:r w:rsidRPr="00FF00C5" w:rsidR="00B50AF1">
        <w:rPr>
          <w:sz w:val="24"/>
          <w:szCs w:val="24"/>
        </w:rPr>
        <w:t xml:space="preserve"> </w:t>
      </w:r>
      <w:r w:rsidRPr="00FF00C5">
        <w:rPr>
          <w:sz w:val="24"/>
          <w:szCs w:val="24"/>
        </w:rPr>
        <w:t>SNAP agency staff</w:t>
      </w:r>
      <w:r w:rsidRPr="00FF00C5" w:rsidR="00B50AF1">
        <w:rPr>
          <w:sz w:val="24"/>
          <w:szCs w:val="24"/>
        </w:rPr>
        <w:t xml:space="preserve"> from each of the 50 states and the District of Columbia</w:t>
      </w:r>
      <w:r w:rsidRPr="00FF00C5">
        <w:rPr>
          <w:sz w:val="24"/>
          <w:szCs w:val="24"/>
        </w:rPr>
        <w:t>. We will request SNAP administrative caseload files from State agencies to use in the building of a sampling frame of SNAP participants. One week after OMB approval, we will send SNAP State agencies an email requesting the SNAP administrative data along with a fact sheet about the study. Two weeks after OMB approval, we will send an email reminde</w:t>
      </w:r>
      <w:r w:rsidRPr="00FF00C5" w:rsidR="00B33F56">
        <w:rPr>
          <w:sz w:val="24"/>
          <w:szCs w:val="24"/>
        </w:rPr>
        <w:t>r</w:t>
      </w:r>
      <w:r w:rsidRPr="00FF00C5">
        <w:rPr>
          <w:sz w:val="24"/>
          <w:szCs w:val="24"/>
        </w:rPr>
        <w:t xml:space="preserve"> to agencies that do not respond to the initial email. We will send a second reminder email to agencies that do not respond within four weeks of OMB approval. When we receive the data, we will send a thank you email to the State SNAP agencies.</w:t>
      </w:r>
    </w:p>
    <w:p w:rsidRPr="00FF00C5" w:rsidR="00B33F56" w:rsidP="00FF00C5" w:rsidRDefault="00B33F56" w14:paraId="0B33F832" w14:textId="77777777">
      <w:pPr>
        <w:pStyle w:val="P1-StandPara"/>
        <w:spacing w:line="480" w:lineRule="auto"/>
        <w:ind w:firstLine="0"/>
        <w:rPr>
          <w:sz w:val="24"/>
          <w:szCs w:val="24"/>
        </w:rPr>
      </w:pPr>
    </w:p>
    <w:p w:rsidRPr="002F5800" w:rsidR="004F54C8" w:rsidP="00C47090" w:rsidRDefault="00815144" w14:paraId="46B1E123" w14:textId="204AC271">
      <w:pPr>
        <w:spacing w:line="480" w:lineRule="auto"/>
        <w:jc w:val="left"/>
        <w:rPr>
          <w:sz w:val="24"/>
          <w:szCs w:val="24"/>
        </w:rPr>
      </w:pPr>
      <w:r w:rsidRPr="002F5800">
        <w:rPr>
          <w:sz w:val="24"/>
          <w:szCs w:val="24"/>
        </w:rPr>
        <w:t xml:space="preserve">The </w:t>
      </w:r>
      <w:r w:rsidR="00C40767">
        <w:rPr>
          <w:sz w:val="24"/>
          <w:szCs w:val="24"/>
        </w:rPr>
        <w:t xml:space="preserve">second </w:t>
      </w:r>
      <w:r w:rsidRPr="002F5800">
        <w:rPr>
          <w:sz w:val="24"/>
          <w:szCs w:val="24"/>
        </w:rPr>
        <w:t>respondent universe is nondisabled SNAP recipients, ages 18 to 69. This population includes work registrants and</w:t>
      </w:r>
      <w:r w:rsidRPr="002F5800" w:rsidR="00166434">
        <w:rPr>
          <w:sz w:val="24"/>
          <w:szCs w:val="24"/>
        </w:rPr>
        <w:t xml:space="preserve"> able-bodied adults without dependents</w:t>
      </w:r>
      <w:r w:rsidRPr="002F5800">
        <w:rPr>
          <w:sz w:val="24"/>
          <w:szCs w:val="24"/>
        </w:rPr>
        <w:t xml:space="preserve"> </w:t>
      </w:r>
      <w:r w:rsidRPr="002F5800" w:rsidR="00166434">
        <w:rPr>
          <w:sz w:val="24"/>
          <w:szCs w:val="24"/>
        </w:rPr>
        <w:t>(</w:t>
      </w:r>
      <w:r w:rsidRPr="002F5800">
        <w:rPr>
          <w:sz w:val="24"/>
          <w:szCs w:val="24"/>
        </w:rPr>
        <w:t>ABAWDs</w:t>
      </w:r>
      <w:r w:rsidRPr="002F5800" w:rsidR="00166434">
        <w:rPr>
          <w:sz w:val="24"/>
          <w:szCs w:val="24"/>
        </w:rPr>
        <w:t>)</w:t>
      </w:r>
      <w:r w:rsidRPr="002F5800">
        <w:rPr>
          <w:sz w:val="24"/>
          <w:szCs w:val="24"/>
        </w:rPr>
        <w:t>, as well as individuals not required to register for work or participate in SNAP work programs because they are already working 30 hours or more - or are exempt for other reasons, such as receiving unemployment insurance benefits, caring for young children or disabled family members, or age 60 or older.</w:t>
      </w:r>
      <w:r w:rsidRPr="002F5800" w:rsidR="00104AA5">
        <w:rPr>
          <w:rStyle w:val="FootnoteReference"/>
          <w:rFonts w:eastAsia="Garamond"/>
          <w:sz w:val="24"/>
          <w:szCs w:val="24"/>
        </w:rPr>
        <w:t xml:space="preserve"> </w:t>
      </w:r>
      <w:r w:rsidRPr="002F5800" w:rsidR="00104AA5">
        <w:rPr>
          <w:rStyle w:val="FootnoteReference"/>
          <w:rFonts w:eastAsia="Garamond"/>
          <w:sz w:val="24"/>
          <w:szCs w:val="24"/>
        </w:rPr>
        <w:footnoteReference w:id="2"/>
      </w:r>
      <w:r w:rsidRPr="002F5800">
        <w:rPr>
          <w:sz w:val="24"/>
          <w:szCs w:val="24"/>
        </w:rPr>
        <w:t xml:space="preserve"> </w:t>
      </w:r>
    </w:p>
    <w:p w:rsidRPr="002F5800" w:rsidR="00C47090" w:rsidP="00C47090" w:rsidRDefault="00C47090" w14:paraId="3116DC13" w14:textId="77777777">
      <w:pPr>
        <w:spacing w:line="480" w:lineRule="auto"/>
        <w:jc w:val="left"/>
        <w:rPr>
          <w:b/>
          <w:sz w:val="24"/>
          <w:szCs w:val="24"/>
        </w:rPr>
      </w:pPr>
    </w:p>
    <w:p w:rsidRPr="002F5800" w:rsidR="004F54C8" w:rsidP="00C47090" w:rsidRDefault="004F54C8" w14:paraId="55058F01" w14:textId="77777777">
      <w:pPr>
        <w:spacing w:line="480" w:lineRule="auto"/>
        <w:jc w:val="left"/>
        <w:rPr>
          <w:b/>
          <w:sz w:val="24"/>
          <w:szCs w:val="24"/>
        </w:rPr>
      </w:pPr>
      <w:r w:rsidRPr="002F5800">
        <w:rPr>
          <w:b/>
          <w:sz w:val="24"/>
          <w:szCs w:val="24"/>
        </w:rPr>
        <w:t>Sampling Methods</w:t>
      </w:r>
    </w:p>
    <w:p w:rsidRPr="002F5800" w:rsidR="00104AA5" w:rsidP="00C47090" w:rsidRDefault="00AE0680" w14:paraId="514C0BDA" w14:textId="08A51320">
      <w:pPr>
        <w:pStyle w:val="P1-StandPara"/>
        <w:spacing w:line="480" w:lineRule="auto"/>
        <w:ind w:firstLine="0"/>
        <w:jc w:val="left"/>
        <w:rPr>
          <w:rFonts w:eastAsia="Garamond"/>
          <w:sz w:val="24"/>
          <w:szCs w:val="24"/>
        </w:rPr>
      </w:pPr>
      <w:r>
        <w:rPr>
          <w:sz w:val="24"/>
          <w:szCs w:val="24"/>
        </w:rPr>
        <w:t xml:space="preserve">For the State SNAP agencies, no sampling will be used. We will contact the universe of the 50 states and the District of Columbia. </w:t>
      </w:r>
      <w:r w:rsidR="00B50AF1">
        <w:rPr>
          <w:sz w:val="24"/>
          <w:szCs w:val="24"/>
        </w:rPr>
        <w:t xml:space="preserve">For the </w:t>
      </w:r>
      <w:r w:rsidRPr="002F5800" w:rsidR="00B50AF1">
        <w:rPr>
          <w:sz w:val="24"/>
          <w:szCs w:val="24"/>
        </w:rPr>
        <w:t xml:space="preserve">respondent universe </w:t>
      </w:r>
      <w:r w:rsidR="00B50AF1">
        <w:rPr>
          <w:sz w:val="24"/>
          <w:szCs w:val="24"/>
        </w:rPr>
        <w:t>of</w:t>
      </w:r>
      <w:r w:rsidRPr="002F5800" w:rsidR="00B50AF1">
        <w:rPr>
          <w:sz w:val="24"/>
          <w:szCs w:val="24"/>
        </w:rPr>
        <w:t xml:space="preserve"> nondisabled SNAP recipients, ages 18 to 69</w:t>
      </w:r>
      <w:r w:rsidR="00B50AF1">
        <w:rPr>
          <w:sz w:val="24"/>
          <w:szCs w:val="24"/>
        </w:rPr>
        <w:t>, we</w:t>
      </w:r>
      <w:r w:rsidRPr="002F5800" w:rsidR="006E4923">
        <w:rPr>
          <w:rFonts w:eastAsia="Garamond"/>
          <w:sz w:val="24"/>
          <w:szCs w:val="24"/>
        </w:rPr>
        <w:t xml:space="preserve"> </w:t>
      </w:r>
      <w:r w:rsidRPr="002F5800" w:rsidR="00104AA5">
        <w:rPr>
          <w:rFonts w:eastAsia="Garamond"/>
          <w:sz w:val="24"/>
          <w:szCs w:val="24"/>
        </w:rPr>
        <w:t xml:space="preserve">will use a two-stage stratified sample design to produce State-level estimates. A two-stage design provides efficiency by clustering sampled SNAP participants in smaller geographic areas for a more efficient in-person data collection effort. In the first stage, </w:t>
      </w:r>
      <w:r w:rsidRPr="002F5800" w:rsidR="006E4923">
        <w:rPr>
          <w:rFonts w:eastAsia="Garamond"/>
          <w:sz w:val="24"/>
          <w:szCs w:val="24"/>
        </w:rPr>
        <w:t>we</w:t>
      </w:r>
      <w:r w:rsidRPr="002F5800" w:rsidR="00104AA5">
        <w:rPr>
          <w:rFonts w:eastAsia="Garamond"/>
          <w:sz w:val="24"/>
          <w:szCs w:val="24"/>
        </w:rPr>
        <w:t xml:space="preserve"> will select primary sampling units (PSUs) in each State and the District of Columbia (DC) with probability proportional to the number of SNAP participants as measured by the American Community Survey (ACS). The Small Area Income and Poverty Estimates Program provides single year estimates for all U.S. states and counties. Model input data includes state SNAP benefits data. State-level files contain the number of SNAP recipients by month, and the county level files contain the number of recipients </w:t>
      </w:r>
      <w:r w:rsidRPr="002F5800" w:rsidR="00166434">
        <w:rPr>
          <w:rFonts w:eastAsia="Garamond"/>
          <w:sz w:val="24"/>
          <w:szCs w:val="24"/>
        </w:rPr>
        <w:t>in July of each year.</w:t>
      </w:r>
      <w:r w:rsidRPr="002F5800" w:rsidR="00104AA5">
        <w:rPr>
          <w:rFonts w:eastAsia="Garamond"/>
          <w:sz w:val="24"/>
          <w:szCs w:val="24"/>
        </w:rPr>
        <w:t xml:space="preserve"> </w:t>
      </w:r>
      <w:r w:rsidRPr="002F5800" w:rsidR="00104AA5">
        <w:rPr>
          <w:sz w:val="24"/>
          <w:szCs w:val="24"/>
        </w:rPr>
        <w:t>To ensure representation of rur</w:t>
      </w:r>
      <w:r w:rsidRPr="002F5800" w:rsidR="006E4923">
        <w:rPr>
          <w:sz w:val="24"/>
          <w:szCs w:val="24"/>
        </w:rPr>
        <w:t xml:space="preserve">al areas in the PSU sample, we </w:t>
      </w:r>
      <w:r w:rsidRPr="002F5800" w:rsidR="00104AA5">
        <w:rPr>
          <w:sz w:val="24"/>
          <w:szCs w:val="24"/>
        </w:rPr>
        <w:t>will employ a measure of urbanicity to form PSU strata with similar population density levels. The measure of urbanicity will be the percentage of the population living in urban areas according to data from the 2010 Census.</w:t>
      </w:r>
      <w:r w:rsidRPr="002F5800" w:rsidR="00104AA5">
        <w:rPr>
          <w:rStyle w:val="FootnoteReference"/>
          <w:sz w:val="24"/>
          <w:szCs w:val="24"/>
        </w:rPr>
        <w:footnoteReference w:id="3"/>
      </w:r>
      <w:r w:rsidRPr="002F5800" w:rsidR="00104AA5">
        <w:rPr>
          <w:sz w:val="24"/>
          <w:szCs w:val="24"/>
        </w:rPr>
        <w:t xml:space="preserve">  This will result in the selection of rural PSUs from rural strata at the appropriate representative proportion for each State.</w:t>
      </w:r>
    </w:p>
    <w:p w:rsidRPr="002F5800" w:rsidR="00104AA5" w:rsidP="00C47090" w:rsidRDefault="00104AA5" w14:paraId="6D6F9903" w14:textId="77777777">
      <w:pPr>
        <w:pStyle w:val="P1-StandPara"/>
        <w:spacing w:line="480" w:lineRule="auto"/>
        <w:ind w:firstLine="0"/>
        <w:jc w:val="left"/>
        <w:rPr>
          <w:rFonts w:eastAsia="Garamond"/>
          <w:sz w:val="24"/>
          <w:szCs w:val="24"/>
        </w:rPr>
      </w:pPr>
    </w:p>
    <w:p w:rsidRPr="002F5800" w:rsidR="004F54C8" w:rsidP="00C47090" w:rsidRDefault="00104AA5" w14:paraId="6D4DFABA" w14:textId="0FE226CE">
      <w:pPr>
        <w:pStyle w:val="P1-StandPara"/>
        <w:spacing w:line="480" w:lineRule="auto"/>
        <w:ind w:firstLine="0"/>
        <w:jc w:val="left"/>
        <w:rPr>
          <w:sz w:val="24"/>
          <w:szCs w:val="24"/>
        </w:rPr>
      </w:pPr>
      <w:r w:rsidRPr="002F5800">
        <w:rPr>
          <w:rFonts w:eastAsia="Garamond"/>
          <w:sz w:val="24"/>
          <w:szCs w:val="24"/>
        </w:rPr>
        <w:t xml:space="preserve">At the second stage, </w:t>
      </w:r>
      <w:r w:rsidRPr="002F5800" w:rsidR="006E4923">
        <w:rPr>
          <w:rFonts w:eastAsia="Garamond"/>
          <w:sz w:val="24"/>
          <w:szCs w:val="24"/>
        </w:rPr>
        <w:t>we</w:t>
      </w:r>
      <w:r w:rsidRPr="002F5800">
        <w:rPr>
          <w:rFonts w:eastAsia="Garamond"/>
          <w:sz w:val="24"/>
          <w:szCs w:val="24"/>
        </w:rPr>
        <w:t xml:space="preserve"> </w:t>
      </w:r>
      <w:r w:rsidRPr="002F5800" w:rsidR="00166434">
        <w:rPr>
          <w:rFonts w:eastAsia="Garamond"/>
          <w:sz w:val="24"/>
          <w:szCs w:val="24"/>
        </w:rPr>
        <w:t>w</w:t>
      </w:r>
      <w:r w:rsidRPr="002F5800">
        <w:rPr>
          <w:rFonts w:eastAsia="Garamond"/>
          <w:sz w:val="24"/>
          <w:szCs w:val="24"/>
        </w:rPr>
        <w:t xml:space="preserve">ill sample nondisabled SNAP participants ages 18 to 69 in each PSU. SNAP participants include all SNAP participants living in SNAP households and eligible to receive SNAP benefits. </w:t>
      </w:r>
      <w:r w:rsidRPr="002F5800" w:rsidR="006E4923">
        <w:rPr>
          <w:rFonts w:eastAsia="Garamond"/>
          <w:sz w:val="24"/>
          <w:szCs w:val="24"/>
        </w:rPr>
        <w:t>We</w:t>
      </w:r>
      <w:r w:rsidRPr="002F5800">
        <w:rPr>
          <w:rFonts w:eastAsia="Garamond"/>
          <w:sz w:val="24"/>
          <w:szCs w:val="24"/>
        </w:rPr>
        <w:t xml:space="preserve"> will select the sample in each State from </w:t>
      </w:r>
      <w:r w:rsidRPr="002F5800" w:rsidR="00166434">
        <w:rPr>
          <w:rFonts w:eastAsia="Garamond"/>
          <w:sz w:val="24"/>
          <w:szCs w:val="24"/>
        </w:rPr>
        <w:t xml:space="preserve">State </w:t>
      </w:r>
      <w:r w:rsidRPr="002F5800">
        <w:rPr>
          <w:rFonts w:eastAsia="Garamond"/>
          <w:sz w:val="24"/>
          <w:szCs w:val="24"/>
        </w:rPr>
        <w:t xml:space="preserve">SNAP </w:t>
      </w:r>
      <w:r w:rsidRPr="002F5800" w:rsidR="00166434">
        <w:rPr>
          <w:rFonts w:eastAsia="Garamond"/>
          <w:sz w:val="24"/>
          <w:szCs w:val="24"/>
        </w:rPr>
        <w:t xml:space="preserve">agency data on </w:t>
      </w:r>
      <w:r w:rsidRPr="002F5800">
        <w:rPr>
          <w:rFonts w:eastAsia="Garamond"/>
          <w:sz w:val="24"/>
          <w:szCs w:val="24"/>
        </w:rPr>
        <w:t>participants during a calendar month, refer</w:t>
      </w:r>
      <w:r w:rsidRPr="002F5800" w:rsidR="004E0DE4">
        <w:rPr>
          <w:rFonts w:eastAsia="Garamond"/>
          <w:sz w:val="24"/>
          <w:szCs w:val="24"/>
        </w:rPr>
        <w:t>red</w:t>
      </w:r>
      <w:r w:rsidRPr="002F5800">
        <w:rPr>
          <w:rFonts w:eastAsia="Garamond"/>
          <w:sz w:val="24"/>
          <w:szCs w:val="24"/>
        </w:rPr>
        <w:t xml:space="preserve"> to as the </w:t>
      </w:r>
      <w:r w:rsidRPr="002F5800">
        <w:rPr>
          <w:rFonts w:eastAsia="Garamond"/>
          <w:sz w:val="24"/>
          <w:szCs w:val="24"/>
        </w:rPr>
        <w:lastRenderedPageBreak/>
        <w:t xml:space="preserve">“sample month.” </w:t>
      </w:r>
      <w:r w:rsidRPr="002F5800" w:rsidR="000E5D95">
        <w:rPr>
          <w:rFonts w:eastAsia="Garamond"/>
          <w:sz w:val="24"/>
          <w:szCs w:val="24"/>
        </w:rPr>
        <w:t xml:space="preserve">The State agency data will include </w:t>
      </w:r>
      <w:r w:rsidRPr="00CB11DD" w:rsidR="000E5D95">
        <w:rPr>
          <w:sz w:val="24"/>
          <w:szCs w:val="24"/>
        </w:rPr>
        <w:t xml:space="preserve">lists </w:t>
      </w:r>
      <w:r w:rsidRPr="002F5800" w:rsidR="000E5D95">
        <w:rPr>
          <w:sz w:val="24"/>
          <w:szCs w:val="24"/>
        </w:rPr>
        <w:t>of all</w:t>
      </w:r>
      <w:r w:rsidRPr="00CB11DD" w:rsidR="000E5D95">
        <w:rPr>
          <w:sz w:val="24"/>
          <w:szCs w:val="24"/>
        </w:rPr>
        <w:t xml:space="preserve"> SNAP participants residing in sampled PSUs</w:t>
      </w:r>
      <w:r w:rsidRPr="002F5800" w:rsidR="000E5D95">
        <w:rPr>
          <w:sz w:val="24"/>
          <w:szCs w:val="24"/>
        </w:rPr>
        <w:t xml:space="preserve">, including </w:t>
      </w:r>
      <w:r w:rsidRPr="00CB11DD" w:rsidR="000E5D95">
        <w:rPr>
          <w:sz w:val="24"/>
          <w:szCs w:val="24"/>
        </w:rPr>
        <w:t>name</w:t>
      </w:r>
      <w:r w:rsidRPr="002F5800" w:rsidR="000E5D95">
        <w:rPr>
          <w:sz w:val="24"/>
          <w:szCs w:val="24"/>
        </w:rPr>
        <w:t>s</w:t>
      </w:r>
      <w:r w:rsidRPr="00CB11DD" w:rsidR="000E5D95">
        <w:rPr>
          <w:sz w:val="24"/>
          <w:szCs w:val="24"/>
        </w:rPr>
        <w:t>, address</w:t>
      </w:r>
      <w:r w:rsidRPr="002F5800" w:rsidR="000E5D95">
        <w:rPr>
          <w:sz w:val="24"/>
          <w:szCs w:val="24"/>
        </w:rPr>
        <w:t>es</w:t>
      </w:r>
      <w:r w:rsidRPr="00CB11DD" w:rsidR="000E5D95">
        <w:rPr>
          <w:sz w:val="24"/>
          <w:szCs w:val="24"/>
        </w:rPr>
        <w:t>, and telephone numbers</w:t>
      </w:r>
      <w:r w:rsidRPr="002F5800" w:rsidR="000E5D95">
        <w:rPr>
          <w:sz w:val="24"/>
          <w:szCs w:val="24"/>
        </w:rPr>
        <w:t xml:space="preserve">, as well as </w:t>
      </w:r>
      <w:r w:rsidRPr="00CB11DD" w:rsidR="000E5D95">
        <w:rPr>
          <w:sz w:val="24"/>
          <w:szCs w:val="24"/>
        </w:rPr>
        <w:t>demographic variables</w:t>
      </w:r>
      <w:r w:rsidRPr="002F5800" w:rsidR="000E5D95">
        <w:rPr>
          <w:sz w:val="24"/>
          <w:szCs w:val="24"/>
        </w:rPr>
        <w:t xml:space="preserve"> about </w:t>
      </w:r>
      <w:r w:rsidRPr="00CB11DD" w:rsidR="000E5D95">
        <w:rPr>
          <w:sz w:val="24"/>
          <w:szCs w:val="24"/>
        </w:rPr>
        <w:t>individual</w:t>
      </w:r>
      <w:r w:rsidRPr="002F5800" w:rsidR="000E5D95">
        <w:rPr>
          <w:sz w:val="24"/>
          <w:szCs w:val="24"/>
        </w:rPr>
        <w:t>s/</w:t>
      </w:r>
      <w:r w:rsidRPr="00CB11DD" w:rsidR="000E5D95">
        <w:rPr>
          <w:sz w:val="24"/>
          <w:szCs w:val="24"/>
        </w:rPr>
        <w:t>household</w:t>
      </w:r>
      <w:r w:rsidRPr="002F5800" w:rsidR="000E5D95">
        <w:rPr>
          <w:sz w:val="24"/>
          <w:szCs w:val="24"/>
        </w:rPr>
        <w:t xml:space="preserve">s. </w:t>
      </w:r>
      <w:r w:rsidRPr="002F5800" w:rsidR="006E4923">
        <w:rPr>
          <w:rFonts w:eastAsia="Garamond"/>
          <w:sz w:val="24"/>
          <w:szCs w:val="24"/>
        </w:rPr>
        <w:t>We</w:t>
      </w:r>
      <w:r w:rsidRPr="002F5800" w:rsidR="004E0DE4">
        <w:rPr>
          <w:rFonts w:eastAsia="Garamond"/>
          <w:sz w:val="24"/>
          <w:szCs w:val="24"/>
        </w:rPr>
        <w:t xml:space="preserve"> </w:t>
      </w:r>
      <w:r w:rsidRPr="002F5800">
        <w:rPr>
          <w:rFonts w:eastAsia="Garamond"/>
          <w:sz w:val="24"/>
          <w:szCs w:val="24"/>
        </w:rPr>
        <w:t xml:space="preserve">will sample age groups (18-49, 50-59, 60-64, 65-69) to proportionally represent nondisabled SNAP participants in each State, thereby ensuring adequate representation of age groups at the National-level for more detailed analysis than will be possible at the State-level. </w:t>
      </w:r>
      <w:r w:rsidRPr="002F5800" w:rsidR="006E4923">
        <w:rPr>
          <w:rFonts w:eastAsia="Garamond"/>
          <w:sz w:val="24"/>
          <w:szCs w:val="24"/>
        </w:rPr>
        <w:t>We</w:t>
      </w:r>
      <w:r w:rsidRPr="002F5800" w:rsidR="004E0DE4">
        <w:rPr>
          <w:rFonts w:eastAsia="Garamond"/>
          <w:sz w:val="24"/>
          <w:szCs w:val="24"/>
        </w:rPr>
        <w:t xml:space="preserve"> </w:t>
      </w:r>
      <w:r w:rsidRPr="002F5800">
        <w:rPr>
          <w:rFonts w:eastAsia="Garamond"/>
          <w:spacing w:val="-2"/>
          <w:sz w:val="24"/>
          <w:szCs w:val="24"/>
        </w:rPr>
        <w:t>will seek 780 completed interviews per State</w:t>
      </w:r>
      <w:r w:rsidRPr="002F5800" w:rsidR="00AE26FA">
        <w:rPr>
          <w:rFonts w:eastAsia="Garamond"/>
          <w:spacing w:val="-2"/>
          <w:sz w:val="24"/>
          <w:szCs w:val="24"/>
        </w:rPr>
        <w:t>,</w:t>
      </w:r>
      <w:r w:rsidRPr="002F5800">
        <w:rPr>
          <w:rFonts w:eastAsia="Garamond"/>
          <w:spacing w:val="-2"/>
          <w:sz w:val="24"/>
          <w:szCs w:val="24"/>
        </w:rPr>
        <w:t xml:space="preserve"> </w:t>
      </w:r>
      <w:r w:rsidRPr="002F5800" w:rsidR="00AE26FA">
        <w:rPr>
          <w:rFonts w:eastAsia="Garamond"/>
          <w:spacing w:val="-2"/>
          <w:sz w:val="24"/>
          <w:szCs w:val="24"/>
        </w:rPr>
        <w:t xml:space="preserve">and </w:t>
      </w:r>
      <w:r w:rsidRPr="002F5800">
        <w:rPr>
          <w:rFonts w:eastAsia="Garamond"/>
          <w:spacing w:val="-2"/>
          <w:sz w:val="24"/>
          <w:szCs w:val="24"/>
        </w:rPr>
        <w:t>39,780 interviews</w:t>
      </w:r>
      <w:r w:rsidRPr="002F5800" w:rsidR="00AE26FA">
        <w:rPr>
          <w:rFonts w:eastAsia="Garamond"/>
          <w:spacing w:val="-2"/>
          <w:sz w:val="24"/>
          <w:szCs w:val="24"/>
        </w:rPr>
        <w:t xml:space="preserve"> overall</w:t>
      </w:r>
      <w:r w:rsidRPr="002F5800">
        <w:rPr>
          <w:rFonts w:eastAsia="Garamond"/>
          <w:spacing w:val="-2"/>
          <w:sz w:val="24"/>
          <w:szCs w:val="24"/>
        </w:rPr>
        <w:t xml:space="preserve">. </w:t>
      </w:r>
    </w:p>
    <w:p w:rsidRPr="002F5800" w:rsidR="00C47090" w:rsidP="00C47090" w:rsidRDefault="00C47090" w14:paraId="736A505D" w14:textId="77777777">
      <w:pPr>
        <w:spacing w:line="480" w:lineRule="auto"/>
        <w:jc w:val="left"/>
        <w:rPr>
          <w:b/>
          <w:sz w:val="24"/>
          <w:szCs w:val="24"/>
        </w:rPr>
      </w:pPr>
    </w:p>
    <w:p w:rsidRPr="008524B1" w:rsidR="008B7841" w:rsidP="00095A80" w:rsidRDefault="008B7841" w14:paraId="5099FC04" w14:textId="77777777">
      <w:pPr>
        <w:pStyle w:val="Heading1"/>
        <w:rPr>
          <w:sz w:val="24"/>
        </w:rPr>
      </w:pPr>
      <w:r w:rsidRPr="008524B1">
        <w:rPr>
          <w:sz w:val="24"/>
        </w:rPr>
        <w:t>B.2</w:t>
      </w:r>
      <w:r w:rsidRPr="008524B1">
        <w:rPr>
          <w:sz w:val="24"/>
        </w:rPr>
        <w:tab/>
        <w:t>Procedures for the Collection of Information</w:t>
      </w:r>
      <w:bookmarkEnd w:id="3"/>
      <w:bookmarkEnd w:id="4"/>
      <w:bookmarkEnd w:id="5"/>
      <w:bookmarkEnd w:id="6"/>
      <w:bookmarkEnd w:id="7"/>
      <w:bookmarkEnd w:id="8"/>
      <w:bookmarkEnd w:id="9"/>
    </w:p>
    <w:p w:rsidRPr="002F5800" w:rsidR="004F54C8" w:rsidP="008524B1" w:rsidRDefault="004F54C8" w14:paraId="3E660596" w14:textId="77777777">
      <w:pPr>
        <w:spacing w:line="360" w:lineRule="atLeast"/>
        <w:jc w:val="left"/>
        <w:rPr>
          <w:b/>
          <w:sz w:val="24"/>
          <w:szCs w:val="24"/>
        </w:rPr>
      </w:pPr>
      <w:bookmarkStart w:name="_Toc400377725" w:id="10"/>
      <w:bookmarkStart w:name="_Toc474235254" w:id="11"/>
      <w:r w:rsidRPr="002F5800">
        <w:rPr>
          <w:b/>
          <w:sz w:val="24"/>
          <w:szCs w:val="24"/>
        </w:rPr>
        <w:t>Describe the procedures for the collection of information including:</w:t>
      </w:r>
      <w:bookmarkEnd w:id="10"/>
    </w:p>
    <w:p w:rsidRPr="002F5800" w:rsidR="004F54C8" w:rsidP="008524B1" w:rsidRDefault="004F54C8" w14:paraId="6AF1270D" w14:textId="77777777">
      <w:pPr>
        <w:pStyle w:val="N1-1stBullet"/>
        <w:numPr>
          <w:ilvl w:val="0"/>
          <w:numId w:val="12"/>
        </w:numPr>
        <w:spacing w:after="0" w:line="360" w:lineRule="atLeast"/>
        <w:jc w:val="left"/>
        <w:rPr>
          <w:b/>
          <w:sz w:val="24"/>
          <w:szCs w:val="24"/>
        </w:rPr>
      </w:pPr>
      <w:bookmarkStart w:name="_Toc325550967" w:id="12"/>
      <w:bookmarkStart w:name="_Toc316652509" w:id="13"/>
      <w:bookmarkStart w:name="_Toc400377726" w:id="14"/>
      <w:r w:rsidRPr="002F5800">
        <w:rPr>
          <w:b/>
          <w:sz w:val="24"/>
          <w:szCs w:val="24"/>
        </w:rPr>
        <w:t>Statistical methodology for stratification and sample selection,</w:t>
      </w:r>
      <w:bookmarkEnd w:id="12"/>
      <w:bookmarkEnd w:id="13"/>
      <w:bookmarkEnd w:id="14"/>
    </w:p>
    <w:p w:rsidRPr="002F5800" w:rsidR="004F54C8" w:rsidP="008524B1" w:rsidRDefault="004F54C8" w14:paraId="40741C94" w14:textId="77777777">
      <w:pPr>
        <w:pStyle w:val="N1-1stBullet"/>
        <w:numPr>
          <w:ilvl w:val="0"/>
          <w:numId w:val="12"/>
        </w:numPr>
        <w:spacing w:after="0" w:line="360" w:lineRule="atLeast"/>
        <w:jc w:val="left"/>
        <w:rPr>
          <w:b/>
          <w:sz w:val="24"/>
          <w:szCs w:val="24"/>
        </w:rPr>
      </w:pPr>
      <w:bookmarkStart w:name="_Toc325550968" w:id="15"/>
      <w:bookmarkStart w:name="_Toc316652510" w:id="16"/>
      <w:bookmarkStart w:name="_Toc400377727" w:id="17"/>
      <w:r w:rsidRPr="002F5800">
        <w:rPr>
          <w:b/>
          <w:sz w:val="24"/>
          <w:szCs w:val="24"/>
        </w:rPr>
        <w:t>Estimation procedure,</w:t>
      </w:r>
      <w:bookmarkEnd w:id="15"/>
      <w:bookmarkEnd w:id="16"/>
      <w:bookmarkEnd w:id="17"/>
    </w:p>
    <w:p w:rsidRPr="002F5800" w:rsidR="004F54C8" w:rsidP="008524B1" w:rsidRDefault="004F54C8" w14:paraId="4179212C" w14:textId="77777777">
      <w:pPr>
        <w:pStyle w:val="N1-1stBullet"/>
        <w:numPr>
          <w:ilvl w:val="0"/>
          <w:numId w:val="12"/>
        </w:numPr>
        <w:spacing w:after="0" w:line="360" w:lineRule="atLeast"/>
        <w:jc w:val="left"/>
        <w:rPr>
          <w:b/>
          <w:sz w:val="24"/>
          <w:szCs w:val="24"/>
        </w:rPr>
      </w:pPr>
      <w:bookmarkStart w:name="_Toc325550969" w:id="18"/>
      <w:bookmarkStart w:name="_Toc316652511" w:id="19"/>
      <w:bookmarkStart w:name="_Toc400377728" w:id="20"/>
      <w:r w:rsidRPr="002F5800">
        <w:rPr>
          <w:b/>
          <w:sz w:val="24"/>
          <w:szCs w:val="24"/>
        </w:rPr>
        <w:t>Degree of accuracy needed for the purpose described in the justification,</w:t>
      </w:r>
      <w:bookmarkEnd w:id="18"/>
      <w:bookmarkEnd w:id="19"/>
      <w:bookmarkEnd w:id="20"/>
    </w:p>
    <w:p w:rsidRPr="002F5800" w:rsidR="004F54C8" w:rsidP="008524B1" w:rsidRDefault="004F54C8" w14:paraId="5EFA72CB" w14:textId="77777777">
      <w:pPr>
        <w:pStyle w:val="N1-1stBullet"/>
        <w:numPr>
          <w:ilvl w:val="0"/>
          <w:numId w:val="12"/>
        </w:numPr>
        <w:spacing w:after="0" w:line="360" w:lineRule="atLeast"/>
        <w:jc w:val="left"/>
        <w:rPr>
          <w:b/>
          <w:sz w:val="24"/>
          <w:szCs w:val="24"/>
        </w:rPr>
      </w:pPr>
      <w:bookmarkStart w:name="_Toc325550970" w:id="21"/>
      <w:bookmarkStart w:name="_Toc316652512" w:id="22"/>
      <w:bookmarkStart w:name="_Toc400377729" w:id="23"/>
      <w:r w:rsidRPr="002F5800">
        <w:rPr>
          <w:b/>
          <w:sz w:val="24"/>
          <w:szCs w:val="24"/>
        </w:rPr>
        <w:t>Unusual problems requiring specialized sampling procedures, and</w:t>
      </w:r>
      <w:bookmarkEnd w:id="21"/>
      <w:bookmarkEnd w:id="22"/>
      <w:bookmarkEnd w:id="23"/>
    </w:p>
    <w:p w:rsidRPr="002F5800" w:rsidR="004F54C8" w:rsidP="008524B1" w:rsidRDefault="004F54C8" w14:paraId="4912BF78" w14:textId="77777777">
      <w:pPr>
        <w:pStyle w:val="N1-1stBullet"/>
        <w:numPr>
          <w:ilvl w:val="0"/>
          <w:numId w:val="12"/>
        </w:numPr>
        <w:spacing w:after="0" w:line="360" w:lineRule="atLeast"/>
        <w:jc w:val="left"/>
        <w:rPr>
          <w:b/>
          <w:sz w:val="24"/>
          <w:szCs w:val="24"/>
        </w:rPr>
      </w:pPr>
      <w:bookmarkStart w:name="_Toc325550971" w:id="24"/>
      <w:bookmarkStart w:name="_Toc316652513" w:id="25"/>
      <w:bookmarkStart w:name="_Toc400377730" w:id="26"/>
      <w:r w:rsidRPr="002F5800">
        <w:rPr>
          <w:b/>
          <w:sz w:val="24"/>
          <w:szCs w:val="24"/>
        </w:rPr>
        <w:t>Any use of periodic (less frequent than annual) data collection cycles to reduce burden.</w:t>
      </w:r>
      <w:bookmarkEnd w:id="24"/>
      <w:bookmarkEnd w:id="25"/>
      <w:bookmarkEnd w:id="26"/>
    </w:p>
    <w:p w:rsidRPr="002F5800" w:rsidR="004F54C8" w:rsidP="00C47090" w:rsidRDefault="004F54C8" w14:paraId="6F4843BF" w14:textId="77777777">
      <w:pPr>
        <w:spacing w:line="480" w:lineRule="auto"/>
        <w:jc w:val="left"/>
        <w:rPr>
          <w:sz w:val="24"/>
          <w:szCs w:val="24"/>
        </w:rPr>
      </w:pPr>
    </w:p>
    <w:p w:rsidRPr="008524B1" w:rsidR="008B7841" w:rsidP="000F5861" w:rsidRDefault="008B7841" w14:paraId="425BD878" w14:textId="77777777">
      <w:pPr>
        <w:spacing w:line="480" w:lineRule="auto"/>
        <w:jc w:val="left"/>
        <w:rPr>
          <w:b/>
          <w:sz w:val="24"/>
          <w:szCs w:val="24"/>
        </w:rPr>
      </w:pPr>
      <w:r w:rsidRPr="008524B1">
        <w:rPr>
          <w:b/>
          <w:sz w:val="24"/>
          <w:szCs w:val="24"/>
        </w:rPr>
        <w:t>B.2.1</w:t>
      </w:r>
      <w:r w:rsidRPr="008524B1">
        <w:rPr>
          <w:b/>
          <w:sz w:val="24"/>
          <w:szCs w:val="24"/>
        </w:rPr>
        <w:tab/>
        <w:t>Statistical Methodology for Stratification and Sample Selection</w:t>
      </w:r>
      <w:bookmarkEnd w:id="11"/>
    </w:p>
    <w:p w:rsidRPr="002F5800" w:rsidR="003A2A31" w:rsidP="00C47090" w:rsidRDefault="003A2A31" w14:paraId="18303C42" w14:textId="62621871">
      <w:pPr>
        <w:pStyle w:val="P1-StandPara"/>
        <w:spacing w:line="480" w:lineRule="auto"/>
        <w:ind w:firstLine="0"/>
        <w:jc w:val="left"/>
        <w:rPr>
          <w:sz w:val="24"/>
          <w:szCs w:val="24"/>
        </w:rPr>
      </w:pPr>
      <w:r w:rsidRPr="002F5800">
        <w:rPr>
          <w:sz w:val="24"/>
          <w:szCs w:val="24"/>
        </w:rPr>
        <w:t>The sample design for the Survey of SNAP and Work will provide for State-level estimates of employment among nondisabled, adult SNAP participants between ages 18 and 69. The State-level estimates will have a plus or minus 5</w:t>
      </w:r>
      <w:r w:rsidRPr="002F5800" w:rsidR="006D1CA5">
        <w:rPr>
          <w:sz w:val="24"/>
          <w:szCs w:val="24"/>
        </w:rPr>
        <w:t xml:space="preserve"> </w:t>
      </w:r>
      <w:r w:rsidRPr="002F5800">
        <w:rPr>
          <w:sz w:val="24"/>
          <w:szCs w:val="24"/>
        </w:rPr>
        <w:t>percent</w:t>
      </w:r>
      <w:r w:rsidRPr="002F5800" w:rsidR="006D1CA5">
        <w:rPr>
          <w:sz w:val="24"/>
          <w:szCs w:val="24"/>
        </w:rPr>
        <w:t>age point</w:t>
      </w:r>
      <w:r w:rsidRPr="002F5800">
        <w:rPr>
          <w:sz w:val="24"/>
          <w:szCs w:val="24"/>
        </w:rPr>
        <w:t xml:space="preserve"> precision level. The design will also pro</w:t>
      </w:r>
      <w:r w:rsidRPr="002F5800" w:rsidR="00AE26FA">
        <w:rPr>
          <w:sz w:val="24"/>
          <w:szCs w:val="24"/>
        </w:rPr>
        <w:t>vide</w:t>
      </w:r>
      <w:r w:rsidRPr="002F5800">
        <w:rPr>
          <w:sz w:val="24"/>
          <w:szCs w:val="24"/>
        </w:rPr>
        <w:t xml:space="preserve"> State-level estimates for subgroups, with reasonable precision. Precise estimates for subgroups are important to allow us to calculate and compare the descriptive characteristics of interest. The State-level samples will proportionately represent nondisabled SNAP participant in terms of urbanicity and age to support National-level estimates. The National-level estimates will have high precision</w:t>
      </w:r>
      <w:r w:rsidRPr="002F5800" w:rsidR="00C760DC">
        <w:rPr>
          <w:sz w:val="24"/>
          <w:szCs w:val="24"/>
        </w:rPr>
        <w:t xml:space="preserve"> (plus or minus 1.3 percent)</w:t>
      </w:r>
      <w:r w:rsidRPr="002F5800">
        <w:rPr>
          <w:sz w:val="24"/>
          <w:szCs w:val="24"/>
        </w:rPr>
        <w:t>, permitting the comparison of estimates among even relatively small subgroups in the population</w:t>
      </w:r>
      <w:r w:rsidRPr="002F5800" w:rsidR="00C760DC">
        <w:rPr>
          <w:sz w:val="24"/>
          <w:szCs w:val="24"/>
        </w:rPr>
        <w:t xml:space="preserve"> (with precision of plus or minus 3.8 percent)</w:t>
      </w:r>
      <w:r w:rsidRPr="002F5800">
        <w:rPr>
          <w:sz w:val="24"/>
          <w:szCs w:val="24"/>
        </w:rPr>
        <w:t>.</w:t>
      </w:r>
      <w:r w:rsidRPr="002F5800" w:rsidR="00C760DC">
        <w:rPr>
          <w:sz w:val="24"/>
          <w:szCs w:val="24"/>
        </w:rPr>
        <w:t xml:space="preserve"> </w:t>
      </w:r>
    </w:p>
    <w:p w:rsidRPr="002F5800" w:rsidR="00C760DC" w:rsidP="00C47090" w:rsidRDefault="00C760DC" w14:paraId="09327320" w14:textId="77777777">
      <w:pPr>
        <w:pStyle w:val="P1-StandPara"/>
        <w:spacing w:line="480" w:lineRule="auto"/>
        <w:ind w:firstLine="0"/>
        <w:jc w:val="left"/>
        <w:rPr>
          <w:sz w:val="24"/>
          <w:szCs w:val="24"/>
        </w:rPr>
      </w:pPr>
    </w:p>
    <w:p w:rsidRPr="002F5800" w:rsidR="003A2A31" w:rsidP="00C47090" w:rsidRDefault="006E4923" w14:paraId="0D847CEE" w14:textId="7968D2B4">
      <w:pPr>
        <w:pStyle w:val="P1-StandPara"/>
        <w:spacing w:line="480" w:lineRule="auto"/>
        <w:ind w:firstLine="0"/>
        <w:jc w:val="left"/>
        <w:rPr>
          <w:sz w:val="24"/>
          <w:szCs w:val="24"/>
        </w:rPr>
      </w:pPr>
      <w:r w:rsidRPr="002F5800">
        <w:rPr>
          <w:sz w:val="24"/>
          <w:szCs w:val="24"/>
        </w:rPr>
        <w:lastRenderedPageBreak/>
        <w:t>We</w:t>
      </w:r>
      <w:r w:rsidRPr="002F5800" w:rsidR="003A2A31">
        <w:rPr>
          <w:sz w:val="24"/>
          <w:szCs w:val="24"/>
        </w:rPr>
        <w:t xml:space="preserve"> will sample PSUs with probability proportion to size (PPS) using data on SNAP participation from the </w:t>
      </w:r>
      <w:r w:rsidRPr="002F5800" w:rsidR="006D1CA5">
        <w:rPr>
          <w:sz w:val="24"/>
          <w:szCs w:val="24"/>
        </w:rPr>
        <w:t>American Community Survey (ACS)</w:t>
      </w:r>
      <w:r w:rsidRPr="002F5800" w:rsidR="003A2A31">
        <w:rPr>
          <w:sz w:val="24"/>
          <w:szCs w:val="24"/>
        </w:rPr>
        <w:t xml:space="preserve">. </w:t>
      </w:r>
      <w:r w:rsidRPr="002F5800" w:rsidR="006D1CA5">
        <w:rPr>
          <w:rFonts w:eastAsia="Garamond"/>
          <w:sz w:val="24"/>
          <w:szCs w:val="24"/>
        </w:rPr>
        <w:t xml:space="preserve">The Small Area Income and Poverty Estimates Program provides single year estimates from the ACS for all U.S. states and counties. Model input data includes state SNAP benefits data. State-level files contain the number of SNAP recipients by month, and the county level files contain the number of recipients in July of each year. </w:t>
      </w:r>
      <w:r w:rsidRPr="002F5800" w:rsidR="003A2A31">
        <w:rPr>
          <w:sz w:val="24"/>
          <w:szCs w:val="24"/>
        </w:rPr>
        <w:t xml:space="preserve">The measure of size (MOS) used for the PPS selection will be as closely associated with the inference populations as possible. </w:t>
      </w:r>
      <w:r w:rsidRPr="002F5800">
        <w:rPr>
          <w:sz w:val="24"/>
          <w:szCs w:val="24"/>
        </w:rPr>
        <w:t>We</w:t>
      </w:r>
      <w:r w:rsidRPr="002F5800" w:rsidR="00014DD6">
        <w:rPr>
          <w:sz w:val="24"/>
          <w:szCs w:val="24"/>
        </w:rPr>
        <w:t xml:space="preserve"> </w:t>
      </w:r>
      <w:r w:rsidRPr="002F5800" w:rsidR="003A2A31">
        <w:rPr>
          <w:sz w:val="24"/>
          <w:szCs w:val="24"/>
        </w:rPr>
        <w:t xml:space="preserve">will select with certainty large PSUs with relatively higher counts of SNAP participants (i.e. large MOS) </w:t>
      </w:r>
      <w:r w:rsidRPr="002F5800" w:rsidR="00014DD6">
        <w:rPr>
          <w:sz w:val="24"/>
          <w:szCs w:val="24"/>
        </w:rPr>
        <w:t xml:space="preserve">and </w:t>
      </w:r>
      <w:r w:rsidRPr="002F5800" w:rsidR="003A2A31">
        <w:rPr>
          <w:sz w:val="24"/>
          <w:szCs w:val="24"/>
        </w:rPr>
        <w:t xml:space="preserve">form smaller PSUs into non-certainty strata from which </w:t>
      </w:r>
      <w:r w:rsidRPr="002F5800" w:rsidR="00014DD6">
        <w:rPr>
          <w:sz w:val="24"/>
          <w:szCs w:val="24"/>
        </w:rPr>
        <w:t xml:space="preserve">to </w:t>
      </w:r>
      <w:r w:rsidRPr="002F5800" w:rsidR="003A2A31">
        <w:rPr>
          <w:sz w:val="24"/>
          <w:szCs w:val="24"/>
        </w:rPr>
        <w:t xml:space="preserve">randomly select one PSU. </w:t>
      </w:r>
      <w:r w:rsidRPr="002F5800">
        <w:rPr>
          <w:sz w:val="24"/>
          <w:szCs w:val="24"/>
        </w:rPr>
        <w:t>We</w:t>
      </w:r>
      <w:r w:rsidRPr="002F5800" w:rsidR="00014DD6">
        <w:rPr>
          <w:sz w:val="24"/>
          <w:szCs w:val="24"/>
        </w:rPr>
        <w:t xml:space="preserve"> will </w:t>
      </w:r>
      <w:r w:rsidRPr="002F5800" w:rsidR="003A2A31">
        <w:rPr>
          <w:sz w:val="24"/>
          <w:szCs w:val="24"/>
        </w:rPr>
        <w:t>identify critical stratification variables to define sufficiently homogeneous strata</w:t>
      </w:r>
      <w:r w:rsidRPr="002F5800" w:rsidR="00014DD6">
        <w:rPr>
          <w:sz w:val="24"/>
          <w:szCs w:val="24"/>
        </w:rPr>
        <w:t xml:space="preserve"> and </w:t>
      </w:r>
      <w:r w:rsidRPr="002F5800" w:rsidR="003A2A31">
        <w:rPr>
          <w:sz w:val="24"/>
          <w:szCs w:val="24"/>
        </w:rPr>
        <w:t xml:space="preserve">will be able to ensure the PSU sample is representative of critical characteristics, such as, degree of urbanicity. To ensure the appropriate level of representation of rural areas in the PSU sample, </w:t>
      </w:r>
      <w:r w:rsidRPr="002F5800">
        <w:rPr>
          <w:sz w:val="24"/>
          <w:szCs w:val="24"/>
        </w:rPr>
        <w:t>we</w:t>
      </w:r>
      <w:r w:rsidRPr="002F5800" w:rsidR="003A2A31">
        <w:rPr>
          <w:sz w:val="24"/>
          <w:szCs w:val="24"/>
        </w:rPr>
        <w:t xml:space="preserve"> will also form rural PSU strata</w:t>
      </w:r>
      <w:r w:rsidRPr="002F5800" w:rsidR="00014DD6">
        <w:rPr>
          <w:sz w:val="24"/>
          <w:szCs w:val="24"/>
        </w:rPr>
        <w:t xml:space="preserve"> by employing </w:t>
      </w:r>
      <w:r w:rsidRPr="002F5800" w:rsidR="003A2A31">
        <w:rPr>
          <w:sz w:val="24"/>
          <w:szCs w:val="24"/>
        </w:rPr>
        <w:t>a measure of urbanicity to form PSU strata with similar population density levels.  This will result in the selection of rural PSUs from rural strata at the appropriate representative proportion for each state.</w:t>
      </w:r>
      <w:r w:rsidRPr="002F5800" w:rsidR="003A2A31">
        <w:rPr>
          <w:rStyle w:val="FootnoteReference"/>
          <w:sz w:val="24"/>
          <w:szCs w:val="24"/>
        </w:rPr>
        <w:footnoteReference w:id="4"/>
      </w:r>
      <w:r w:rsidRPr="002F5800" w:rsidR="003A2A31">
        <w:rPr>
          <w:sz w:val="24"/>
          <w:szCs w:val="24"/>
        </w:rPr>
        <w:t xml:space="preserve"> </w:t>
      </w:r>
      <w:r w:rsidRPr="002F5800">
        <w:rPr>
          <w:sz w:val="24"/>
          <w:szCs w:val="24"/>
        </w:rPr>
        <w:t>We</w:t>
      </w:r>
      <w:r w:rsidRPr="002F5800" w:rsidR="00014DD6">
        <w:rPr>
          <w:sz w:val="24"/>
          <w:szCs w:val="24"/>
        </w:rPr>
        <w:t xml:space="preserve"> will not </w:t>
      </w:r>
      <w:r w:rsidRPr="002F5800" w:rsidR="003A2A31">
        <w:rPr>
          <w:sz w:val="24"/>
          <w:szCs w:val="24"/>
        </w:rPr>
        <w:t xml:space="preserve">oversample rural PSUs but </w:t>
      </w:r>
      <w:r w:rsidRPr="002F5800" w:rsidR="00014DD6">
        <w:rPr>
          <w:sz w:val="24"/>
          <w:szCs w:val="24"/>
        </w:rPr>
        <w:t>will</w:t>
      </w:r>
      <w:r w:rsidRPr="002F5800" w:rsidR="003A2A31">
        <w:rPr>
          <w:sz w:val="24"/>
          <w:szCs w:val="24"/>
        </w:rPr>
        <w:t xml:space="preserve"> ensure representative sample proportional to the population. </w:t>
      </w:r>
      <w:r w:rsidRPr="002F5800" w:rsidR="00014DD6">
        <w:rPr>
          <w:sz w:val="24"/>
          <w:szCs w:val="24"/>
        </w:rPr>
        <w:t>On average, about 1</w:t>
      </w:r>
      <w:r w:rsidRPr="002F5800" w:rsidR="003A2A31">
        <w:rPr>
          <w:sz w:val="24"/>
          <w:szCs w:val="24"/>
        </w:rPr>
        <w:t>0 to 12 PSUs in each state</w:t>
      </w:r>
      <w:r w:rsidRPr="002F5800" w:rsidR="00014DD6">
        <w:rPr>
          <w:sz w:val="24"/>
          <w:szCs w:val="24"/>
        </w:rPr>
        <w:t xml:space="preserve"> will be needed, but a </w:t>
      </w:r>
      <w:r w:rsidRPr="002F5800" w:rsidR="003A2A31">
        <w:rPr>
          <w:sz w:val="24"/>
          <w:szCs w:val="24"/>
        </w:rPr>
        <w:t>few states with very few counties we will likely need to define most if not all the counties as certainty counties in order to ensure sufficiently reliable survey estimates for the State</w:t>
      </w:r>
      <w:r w:rsidRPr="002F5800" w:rsidR="00014DD6">
        <w:rPr>
          <w:sz w:val="24"/>
          <w:szCs w:val="24"/>
        </w:rPr>
        <w:t xml:space="preserve">. </w:t>
      </w:r>
    </w:p>
    <w:p w:rsidRPr="002F5800" w:rsidR="003A2A31" w:rsidP="00C47090" w:rsidRDefault="003A2A31" w14:paraId="2EB97ED8" w14:textId="77777777">
      <w:pPr>
        <w:pStyle w:val="P1-StandPara"/>
        <w:spacing w:line="480" w:lineRule="auto"/>
        <w:ind w:firstLine="0"/>
        <w:jc w:val="left"/>
        <w:rPr>
          <w:sz w:val="24"/>
          <w:szCs w:val="24"/>
        </w:rPr>
      </w:pPr>
    </w:p>
    <w:p w:rsidRPr="008524B1" w:rsidR="007543AA" w:rsidP="00C47090" w:rsidRDefault="007543AA" w14:paraId="1D43E9C8" w14:textId="7894CAC4">
      <w:pPr>
        <w:pStyle w:val="P1-StandPara"/>
        <w:spacing w:line="480" w:lineRule="auto"/>
        <w:ind w:firstLine="0"/>
        <w:jc w:val="left"/>
        <w:rPr>
          <w:sz w:val="24"/>
        </w:rPr>
      </w:pPr>
      <w:r w:rsidRPr="002F5800">
        <w:rPr>
          <w:sz w:val="24"/>
          <w:szCs w:val="24"/>
        </w:rPr>
        <w:t xml:space="preserve">Upon receiving SNAP caseload data from the States, </w:t>
      </w:r>
      <w:r w:rsidRPr="002F5800" w:rsidR="006E4923">
        <w:rPr>
          <w:sz w:val="24"/>
          <w:szCs w:val="24"/>
        </w:rPr>
        <w:t>we</w:t>
      </w:r>
      <w:r w:rsidRPr="002F5800">
        <w:rPr>
          <w:sz w:val="24"/>
          <w:szCs w:val="24"/>
        </w:rPr>
        <w:t xml:space="preserve"> will organize the sampling frame. The first step will be to subset the SNAP participants to those that are eligible for the Survey of SNAP and Work inference population—that is, non-disabled adults, </w:t>
      </w:r>
      <w:r w:rsidRPr="002F5800">
        <w:rPr>
          <w:sz w:val="24"/>
          <w:szCs w:val="24"/>
        </w:rPr>
        <w:lastRenderedPageBreak/>
        <w:t>age 18 to 69.</w:t>
      </w:r>
      <w:r w:rsidRPr="002F5800" w:rsidR="00E51D94">
        <w:rPr>
          <w:sz w:val="24"/>
          <w:szCs w:val="24"/>
        </w:rPr>
        <w:t xml:space="preserve"> </w:t>
      </w:r>
      <w:r w:rsidRPr="002F5800">
        <w:rPr>
          <w:sz w:val="24"/>
          <w:szCs w:val="24"/>
        </w:rPr>
        <w:t xml:space="preserve">To create samples that are well controlled and proportionally representative with respect to demographic and household characteristics, </w:t>
      </w:r>
      <w:r w:rsidRPr="002F5800" w:rsidR="006E4923">
        <w:rPr>
          <w:sz w:val="24"/>
          <w:szCs w:val="24"/>
        </w:rPr>
        <w:t>we</w:t>
      </w:r>
      <w:r w:rsidRPr="002F5800" w:rsidR="00E51D94">
        <w:rPr>
          <w:sz w:val="24"/>
          <w:szCs w:val="24"/>
        </w:rPr>
        <w:t xml:space="preserve"> </w:t>
      </w:r>
      <w:r w:rsidRPr="002F5800">
        <w:rPr>
          <w:sz w:val="24"/>
          <w:szCs w:val="24"/>
        </w:rPr>
        <w:t>will sort the frame of SNAP participants prior to sample selection</w:t>
      </w:r>
      <w:r w:rsidRPr="002F5800" w:rsidR="00E51D94">
        <w:rPr>
          <w:sz w:val="24"/>
          <w:szCs w:val="24"/>
        </w:rPr>
        <w:t xml:space="preserve">—sorting </w:t>
      </w:r>
      <w:r w:rsidRPr="002F5800">
        <w:rPr>
          <w:sz w:val="24"/>
          <w:szCs w:val="24"/>
        </w:rPr>
        <w:t xml:space="preserve">cases by age (18 to 49, 50 to 59, 60 to 64, and 65 to 69) to obtain implicit stratification of the sample. Other candidate sorting variables include household size, gender, and race/ethnicity. </w:t>
      </w:r>
    </w:p>
    <w:p w:rsidRPr="002F5800" w:rsidR="0053348F" w:rsidP="00C47090" w:rsidRDefault="0053348F" w14:paraId="7F33B138" w14:textId="77777777">
      <w:pPr>
        <w:pStyle w:val="P1-StandPara"/>
        <w:spacing w:line="480" w:lineRule="auto"/>
        <w:ind w:firstLine="0"/>
        <w:jc w:val="left"/>
        <w:rPr>
          <w:rFonts w:ascii="Arial" w:hAnsi="Arial" w:cs="Arial"/>
          <w:b/>
          <w:bCs/>
          <w:sz w:val="24"/>
          <w:szCs w:val="24"/>
        </w:rPr>
      </w:pPr>
    </w:p>
    <w:p w:rsidRPr="002F5800" w:rsidR="00E51D94" w:rsidP="00C47090" w:rsidRDefault="00E51D94" w14:paraId="516C51CE" w14:textId="25A31091">
      <w:pPr>
        <w:pStyle w:val="P1-StandPara"/>
        <w:spacing w:line="480" w:lineRule="auto"/>
        <w:ind w:firstLine="0"/>
        <w:jc w:val="left"/>
        <w:rPr>
          <w:sz w:val="24"/>
          <w:szCs w:val="24"/>
        </w:rPr>
      </w:pPr>
      <w:r w:rsidRPr="002F5800">
        <w:rPr>
          <w:sz w:val="24"/>
          <w:szCs w:val="24"/>
        </w:rPr>
        <w:t>A critical issue may be locating SNAP participants and the associated costs of doing so. Sampled SNAP participants that do not respond through the web or telephone will be eligible for field followup.  However, the cost of completing cases out in the field are substantially greater than that for web</w:t>
      </w:r>
      <w:r w:rsidRPr="002F5800" w:rsidR="006D1CA5">
        <w:rPr>
          <w:sz w:val="24"/>
          <w:szCs w:val="24"/>
        </w:rPr>
        <w:t xml:space="preserve"> or </w:t>
      </w:r>
      <w:r w:rsidRPr="002F5800">
        <w:rPr>
          <w:sz w:val="24"/>
          <w:szCs w:val="24"/>
        </w:rPr>
        <w:t xml:space="preserve">telephone. Thus, </w:t>
      </w:r>
      <w:r w:rsidRPr="002F5800" w:rsidR="006E4923">
        <w:rPr>
          <w:sz w:val="24"/>
          <w:szCs w:val="24"/>
        </w:rPr>
        <w:t>we</w:t>
      </w:r>
      <w:r w:rsidRPr="002F5800">
        <w:rPr>
          <w:sz w:val="24"/>
          <w:szCs w:val="24"/>
        </w:rPr>
        <w:t xml:space="preserve"> will select a 25-percent subsample of non-respondents to the web and telephone in each State for field location. </w:t>
      </w:r>
      <w:r w:rsidRPr="002F5800" w:rsidR="00166434">
        <w:rPr>
          <w:sz w:val="24"/>
          <w:szCs w:val="24"/>
        </w:rPr>
        <w:t>We will select a s</w:t>
      </w:r>
      <w:r w:rsidRPr="002F5800">
        <w:rPr>
          <w:sz w:val="24"/>
          <w:szCs w:val="24"/>
        </w:rPr>
        <w:t>ubsample</w:t>
      </w:r>
      <w:r w:rsidRPr="002F5800" w:rsidR="00166434">
        <w:rPr>
          <w:sz w:val="24"/>
          <w:szCs w:val="24"/>
        </w:rPr>
        <w:t xml:space="preserve"> </w:t>
      </w:r>
      <w:r w:rsidRPr="002F5800">
        <w:rPr>
          <w:sz w:val="24"/>
          <w:szCs w:val="24"/>
        </w:rPr>
        <w:t xml:space="preserve">because the expected response rate to in-person data collection is higher than web or telephone. If the initial non-in-person response rate is lower than expected, </w:t>
      </w:r>
      <w:r w:rsidRPr="002F5800" w:rsidR="006E4923">
        <w:rPr>
          <w:sz w:val="24"/>
          <w:szCs w:val="24"/>
        </w:rPr>
        <w:t>we</w:t>
      </w:r>
      <w:r w:rsidRPr="002F5800">
        <w:rPr>
          <w:sz w:val="24"/>
          <w:szCs w:val="24"/>
        </w:rPr>
        <w:t xml:space="preserve"> can increase the subsampling rate, and it can vary between States and by PSU within States to ensure a sufficient overall yield. </w:t>
      </w:r>
      <w:r w:rsidRPr="002F5800" w:rsidR="006E4923">
        <w:rPr>
          <w:sz w:val="24"/>
          <w:szCs w:val="24"/>
        </w:rPr>
        <w:t>We</w:t>
      </w:r>
      <w:r w:rsidRPr="002F5800">
        <w:rPr>
          <w:sz w:val="24"/>
          <w:szCs w:val="24"/>
        </w:rPr>
        <w:t xml:space="preserve"> will apply appropriate weighting adjustments to subsampled field followup cases to ensure unbiased estimates.</w:t>
      </w:r>
    </w:p>
    <w:p w:rsidRPr="002F5800" w:rsidR="00E51D94" w:rsidP="00C47090" w:rsidRDefault="00E51D94" w14:paraId="438B35DC" w14:textId="77777777">
      <w:pPr>
        <w:pStyle w:val="P1-StandPara"/>
        <w:spacing w:line="480" w:lineRule="auto"/>
        <w:ind w:firstLine="0"/>
        <w:jc w:val="left"/>
        <w:rPr>
          <w:sz w:val="24"/>
          <w:szCs w:val="24"/>
        </w:rPr>
      </w:pPr>
    </w:p>
    <w:p w:rsidRPr="002F5800" w:rsidR="00E51D94" w:rsidP="00FF00C5" w:rsidRDefault="006E4923" w14:paraId="4E9E1396" w14:textId="7FF59247">
      <w:pPr>
        <w:pStyle w:val="P1-StandPara"/>
        <w:spacing w:after="240" w:line="480" w:lineRule="auto"/>
        <w:ind w:firstLine="0"/>
        <w:jc w:val="left"/>
        <w:rPr>
          <w:sz w:val="24"/>
          <w:szCs w:val="24"/>
        </w:rPr>
      </w:pPr>
      <w:r w:rsidRPr="002F5800">
        <w:rPr>
          <w:sz w:val="24"/>
          <w:szCs w:val="24"/>
        </w:rPr>
        <w:t>We</w:t>
      </w:r>
      <w:r w:rsidRPr="002F5800" w:rsidR="00E51D94">
        <w:rPr>
          <w:sz w:val="24"/>
          <w:szCs w:val="24"/>
        </w:rPr>
        <w:t xml:space="preserve"> anticipate that there will be differences between States that could influence the sample design. For example, there may be variation in the proportion above age 60 that may necessitate a differential sampling rate for this group. Additionally, the set of variables available from each State could vary requiring some level of modification in the frame creation, explicit stratification formation to inform oversampling, or sorting of SNAP participants within the </w:t>
      </w:r>
      <w:r w:rsidRPr="002F5800" w:rsidR="00166434">
        <w:rPr>
          <w:sz w:val="24"/>
          <w:szCs w:val="24"/>
        </w:rPr>
        <w:t xml:space="preserve">explicit </w:t>
      </w:r>
      <w:r w:rsidRPr="002F5800" w:rsidR="00E51D94">
        <w:rPr>
          <w:sz w:val="24"/>
          <w:szCs w:val="24"/>
        </w:rPr>
        <w:t xml:space="preserve">strata. </w:t>
      </w:r>
    </w:p>
    <w:p w:rsidR="0053348F" w:rsidP="00FF00C5" w:rsidRDefault="0053348F" w14:paraId="33DA36FE" w14:textId="271438FF">
      <w:pPr>
        <w:tabs>
          <w:tab w:val="clear" w:pos="1152"/>
        </w:tabs>
        <w:spacing w:after="240" w:line="240" w:lineRule="auto"/>
        <w:jc w:val="left"/>
        <w:rPr>
          <w:sz w:val="24"/>
          <w:szCs w:val="24"/>
        </w:rPr>
      </w:pPr>
    </w:p>
    <w:p w:rsidRPr="008524B1" w:rsidR="008B7841" w:rsidP="000F5861" w:rsidRDefault="008B7841" w14:paraId="4F4ECBC7" w14:textId="7C21B2ED">
      <w:pPr>
        <w:spacing w:line="480" w:lineRule="auto"/>
        <w:jc w:val="left"/>
        <w:rPr>
          <w:b/>
          <w:sz w:val="24"/>
          <w:szCs w:val="24"/>
        </w:rPr>
      </w:pPr>
      <w:r w:rsidRPr="008524B1">
        <w:rPr>
          <w:b/>
          <w:sz w:val="24"/>
          <w:szCs w:val="24"/>
        </w:rPr>
        <w:t>B.2.2</w:t>
      </w:r>
      <w:r w:rsidRPr="008524B1">
        <w:rPr>
          <w:b/>
          <w:sz w:val="24"/>
          <w:szCs w:val="24"/>
        </w:rPr>
        <w:tab/>
        <w:t xml:space="preserve">Estimation Procedures </w:t>
      </w:r>
    </w:p>
    <w:p w:rsidRPr="002F5800" w:rsidR="00A23AD8" w:rsidP="00C47090" w:rsidRDefault="006E4923" w14:paraId="1CEC63A4" w14:textId="44C5E52A">
      <w:pPr>
        <w:pStyle w:val="P1-StandPara"/>
        <w:spacing w:line="480" w:lineRule="auto"/>
        <w:ind w:firstLine="0"/>
        <w:jc w:val="left"/>
        <w:rPr>
          <w:sz w:val="24"/>
          <w:szCs w:val="24"/>
        </w:rPr>
      </w:pPr>
      <w:r w:rsidRPr="002F5800">
        <w:rPr>
          <w:sz w:val="24"/>
          <w:szCs w:val="24"/>
        </w:rPr>
        <w:lastRenderedPageBreak/>
        <w:t>We</w:t>
      </w:r>
      <w:r w:rsidRPr="002F5800" w:rsidR="00A23AD8">
        <w:rPr>
          <w:sz w:val="24"/>
          <w:szCs w:val="24"/>
        </w:rPr>
        <w:t xml:space="preserve"> will weight outcome measures derived from the surveys to adjust for differential probabilities of selection, in-person field data collection subsampling, and nonresponse. Weighting the samples will involve three steps. First, assign a base weight equal to the reciprocal of the probability of selecting the SNAP participant for the study to each sampled person. Specifically, the base weight for person i in stratum h in PSU g will be computed as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ghi</m:t>
            </m:r>
          </m:sub>
          <m:sup>
            <m:r>
              <w:rPr>
                <w:rFonts w:ascii="Cambria Math" w:hAnsi="Cambria Math"/>
                <w:sz w:val="24"/>
                <w:szCs w:val="24"/>
              </w:rPr>
              <m:t>base</m:t>
            </m:r>
          </m:sup>
        </m:sSubSup>
      </m:oMath>
      <w:r w:rsidRPr="002F5800" w:rsidR="00A23AD8">
        <w:rPr>
          <w:sz w:val="24"/>
          <w:szCs w:val="24"/>
        </w:rPr>
        <w:t xml:space="preserve"> =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gh</m:t>
            </m:r>
          </m:sub>
        </m:sSub>
      </m:oMath>
      <w:r w:rsidRPr="002F5800" w:rsidR="00A23AD8">
        <w:rPr>
          <w:sz w:val="24"/>
          <w:szCs w:val="24"/>
        </w:rPr>
        <w:t>/</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gh</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π</m:t>
            </m:r>
          </m:e>
          <m:sub>
            <m:r>
              <w:rPr>
                <w:rFonts w:ascii="Cambria Math" w:hAnsi="Cambria Math"/>
                <w:sz w:val="24"/>
                <w:szCs w:val="24"/>
              </w:rPr>
              <m:t>g</m:t>
            </m:r>
          </m:sub>
        </m:sSub>
      </m:oMath>
      <w:r w:rsidRPr="002F5800" w:rsidR="00A23AD8">
        <w:rPr>
          <w:sz w:val="24"/>
          <w:szCs w:val="24"/>
        </w:rPr>
        <w:t xml:space="preserve">, where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gh</m:t>
            </m:r>
          </m:sub>
        </m:sSub>
      </m:oMath>
      <w:r w:rsidRPr="002F5800" w:rsidR="00A23AD8">
        <w:rPr>
          <w:sz w:val="24"/>
          <w:szCs w:val="24"/>
        </w:rPr>
        <w:t xml:space="preserve"> is the number of eligible SNAP participants in stratum h within PSU g, </w:t>
      </w:r>
      <m:oMath>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gh</m:t>
            </m:r>
          </m:sub>
        </m:sSub>
      </m:oMath>
      <w:r w:rsidRPr="002F5800" w:rsidR="00A23AD8">
        <w:rPr>
          <w:sz w:val="24"/>
          <w:szCs w:val="24"/>
        </w:rPr>
        <w:t xml:space="preserve"> is the corresponding number of SNAP participants selected for the sample, and π</w:t>
      </w:r>
      <w:r w:rsidRPr="002F5800" w:rsidR="00A23AD8">
        <w:rPr>
          <w:sz w:val="24"/>
          <w:szCs w:val="24"/>
          <w:vertAlign w:val="subscript"/>
        </w:rPr>
        <w:t>g</w:t>
      </w:r>
      <w:r w:rsidRPr="002F5800" w:rsidR="00A23AD8">
        <w:rPr>
          <w:sz w:val="24"/>
          <w:szCs w:val="24"/>
        </w:rPr>
        <w:t xml:space="preserve"> is the probability of selection of the sample PSU. Second, apply an adjustment factor to those cases selected for in-person field data collection. The subsampling rate and thus the factor could vary by PSU. Specifically, the intermediate weight for person i in PSU g will be computed as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gi</m:t>
            </m:r>
          </m:sub>
          <m:sup>
            <m:r>
              <w:rPr>
                <w:rFonts w:ascii="Cambria Math" w:hAnsi="Cambria Math"/>
                <w:sz w:val="24"/>
                <w:szCs w:val="24"/>
              </w:rPr>
              <m:t>int</m:t>
            </m:r>
          </m:sup>
        </m:sSubSup>
      </m:oMath>
      <w:r w:rsidRPr="002F5800" w:rsidR="00A23AD8">
        <w:rPr>
          <w:sz w:val="24"/>
          <w:szCs w:val="24"/>
        </w:rPr>
        <w:t xml:space="preserve"> =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 xml:space="preserve">g </m:t>
            </m:r>
          </m:sub>
        </m:sSub>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gi</m:t>
            </m:r>
          </m:sub>
          <m:sup>
            <m:r>
              <w:rPr>
                <w:rFonts w:ascii="Cambria Math" w:hAnsi="Cambria Math"/>
                <w:sz w:val="24"/>
                <w:szCs w:val="24"/>
              </w:rPr>
              <m:t>base</m:t>
            </m:r>
          </m:sup>
        </m:sSubSup>
      </m:oMath>
      <w:r w:rsidRPr="002F5800" w:rsidR="00A23AD8">
        <w:rPr>
          <w:sz w:val="24"/>
          <w:szCs w:val="24"/>
        </w:rPr>
        <w:t xml:space="preserve">, where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oMath>
      <w:r w:rsidRPr="002F5800" w:rsidR="00A23AD8">
        <w:rPr>
          <w:sz w:val="24"/>
          <w:szCs w:val="24"/>
        </w:rPr>
        <w:t xml:space="preserve"> is the inverse of the subsampling rate applied to cases eligible for in-person field data collection in PSU g. Note that </w:t>
      </w:r>
      <m:oMath>
        <m:sSub>
          <m:sSubPr>
            <m:ctrlPr>
              <w:rPr>
                <w:rFonts w:ascii="Cambria Math" w:hAnsi="Cambria Math"/>
                <w:i/>
                <w:sz w:val="24"/>
                <w:szCs w:val="24"/>
              </w:rPr>
            </m:ctrlPr>
          </m:sSubPr>
          <m:e>
            <m:r>
              <w:rPr>
                <w:rFonts w:ascii="Cambria Math" w:hAnsi="Cambria Math"/>
                <w:sz w:val="24"/>
                <w:szCs w:val="24"/>
              </w:rPr>
              <m:t>S</m:t>
            </m:r>
          </m:e>
          <m:sub>
            <m:r>
              <w:rPr>
                <w:rFonts w:ascii="Cambria Math" w:hAnsi="Cambria Math"/>
                <w:sz w:val="24"/>
                <w:szCs w:val="24"/>
              </w:rPr>
              <m:t>g</m:t>
            </m:r>
          </m:sub>
        </m:sSub>
      </m:oMath>
      <w:r w:rsidRPr="002F5800" w:rsidR="00A23AD8">
        <w:rPr>
          <w:sz w:val="24"/>
          <w:szCs w:val="24"/>
        </w:rPr>
        <w:t xml:space="preserve"> is equal to 1 for all initial respondents  not subject to the subsampling process. </w:t>
      </w:r>
    </w:p>
    <w:p w:rsidRPr="002F5800" w:rsidR="00A23AD8" w:rsidP="00C47090" w:rsidRDefault="00A23AD8" w14:paraId="33B755F5" w14:textId="77777777">
      <w:pPr>
        <w:pStyle w:val="P1-StandPara"/>
        <w:spacing w:line="480" w:lineRule="auto"/>
        <w:ind w:firstLine="0"/>
        <w:jc w:val="left"/>
        <w:rPr>
          <w:sz w:val="24"/>
          <w:szCs w:val="24"/>
        </w:rPr>
      </w:pPr>
    </w:p>
    <w:p w:rsidRPr="002F5800" w:rsidR="00A23AD8" w:rsidP="00C47090" w:rsidRDefault="00A23AD8" w14:paraId="1B696781" w14:textId="531AEE02">
      <w:pPr>
        <w:pStyle w:val="P1-StandPara"/>
        <w:spacing w:line="480" w:lineRule="auto"/>
        <w:ind w:firstLine="0"/>
        <w:jc w:val="left"/>
        <w:rPr>
          <w:sz w:val="24"/>
          <w:szCs w:val="24"/>
        </w:rPr>
      </w:pPr>
      <w:r w:rsidRPr="002F5800">
        <w:rPr>
          <w:sz w:val="24"/>
          <w:szCs w:val="24"/>
        </w:rPr>
        <w:t xml:space="preserve">Finally, since not all of the sampled persons will agree to participate in the study, </w:t>
      </w:r>
      <w:r w:rsidRPr="002F5800" w:rsidR="00166434">
        <w:rPr>
          <w:sz w:val="24"/>
          <w:szCs w:val="24"/>
        </w:rPr>
        <w:t xml:space="preserve">we will </w:t>
      </w:r>
      <w:r w:rsidRPr="002F5800">
        <w:rPr>
          <w:sz w:val="24"/>
          <w:szCs w:val="24"/>
        </w:rPr>
        <w:t xml:space="preserve">apply a nonresponse adjustment to the base weights to obtain the final weight for analysis. Thus, the final weight for responding person i in a specified weighting cell k will be computed as </w:t>
      </w:r>
      <m:oMath>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ki</m:t>
            </m:r>
          </m:sub>
          <m:sup>
            <m:r>
              <w:rPr>
                <w:rFonts w:ascii="Cambria Math" w:hAnsi="Cambria Math"/>
                <w:sz w:val="24"/>
                <w:szCs w:val="24"/>
              </w:rPr>
              <m:t>final</m:t>
            </m:r>
          </m:sup>
        </m:sSubSup>
      </m:oMath>
      <w:r w:rsidRPr="002F5800">
        <w:rPr>
          <w:sz w:val="24"/>
          <w:szCs w:val="24"/>
        </w:rPr>
        <w:t xml:space="preserve"> =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 xml:space="preserve">k </m:t>
            </m:r>
          </m:sub>
        </m:sSub>
        <m:sSubSup>
          <m:sSubSupPr>
            <m:ctrlPr>
              <w:rPr>
                <w:rFonts w:ascii="Cambria Math" w:hAnsi="Cambria Math"/>
                <w:i/>
                <w:sz w:val="24"/>
                <w:szCs w:val="24"/>
              </w:rPr>
            </m:ctrlPr>
          </m:sSubSupPr>
          <m:e>
            <m:r>
              <w:rPr>
                <w:rFonts w:ascii="Cambria Math" w:hAnsi="Cambria Math"/>
                <w:sz w:val="24"/>
                <w:szCs w:val="24"/>
              </w:rPr>
              <m:t>w</m:t>
            </m:r>
          </m:e>
          <m:sub>
            <m:r>
              <w:rPr>
                <w:rFonts w:ascii="Cambria Math" w:hAnsi="Cambria Math"/>
                <w:sz w:val="24"/>
                <w:szCs w:val="24"/>
              </w:rPr>
              <m:t>ki</m:t>
            </m:r>
          </m:sub>
          <m:sup>
            <m:r>
              <w:rPr>
                <w:rFonts w:ascii="Cambria Math" w:hAnsi="Cambria Math"/>
                <w:sz w:val="24"/>
                <w:szCs w:val="24"/>
              </w:rPr>
              <m:t>int</m:t>
            </m:r>
          </m:sup>
        </m:sSubSup>
      </m:oMath>
      <w:r w:rsidRPr="002F5800">
        <w:rPr>
          <w:sz w:val="24"/>
          <w:szCs w:val="24"/>
        </w:rPr>
        <w:t xml:space="preserve">, 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k</m:t>
            </m:r>
          </m:sub>
        </m:sSub>
      </m:oMath>
      <w:r w:rsidRPr="002F5800">
        <w:rPr>
          <w:sz w:val="24"/>
          <w:szCs w:val="24"/>
        </w:rPr>
        <w:t xml:space="preserve"> is the inverse of the weighted response rate in weighting cell k using a CHAID (Chi Square Automatic Interaction Detector) analysis or similar algorithm to determine the weighting cells to use in the nonresponse adjustment. The CHAID algorithm is effective in identifying cells within which we expect response propensities to be similar.</w:t>
      </w:r>
    </w:p>
    <w:p w:rsidRPr="002F5800" w:rsidR="00A23AD8" w:rsidP="00C47090" w:rsidRDefault="00A23AD8" w14:paraId="35B48EFD" w14:textId="77777777">
      <w:pPr>
        <w:pStyle w:val="P1-StandPara"/>
        <w:spacing w:line="480" w:lineRule="auto"/>
        <w:ind w:firstLine="0"/>
        <w:jc w:val="left"/>
        <w:rPr>
          <w:sz w:val="24"/>
          <w:szCs w:val="24"/>
        </w:rPr>
      </w:pPr>
    </w:p>
    <w:p w:rsidRPr="002F5800" w:rsidR="00A23AD8" w:rsidP="00C47090" w:rsidRDefault="00A23AD8" w14:paraId="6ADE528E" w14:textId="041ACCA3">
      <w:pPr>
        <w:pStyle w:val="P1-StandPara"/>
        <w:spacing w:line="480" w:lineRule="auto"/>
        <w:ind w:firstLine="0"/>
        <w:jc w:val="left"/>
        <w:rPr>
          <w:sz w:val="24"/>
          <w:szCs w:val="24"/>
        </w:rPr>
      </w:pPr>
      <w:r w:rsidRPr="002F5800">
        <w:rPr>
          <w:sz w:val="24"/>
          <w:szCs w:val="24"/>
        </w:rPr>
        <w:t xml:space="preserve">In addition to the full-sample analytic weights, </w:t>
      </w:r>
      <w:r w:rsidRPr="002F5800" w:rsidR="00166434">
        <w:rPr>
          <w:sz w:val="24"/>
          <w:szCs w:val="24"/>
        </w:rPr>
        <w:t xml:space="preserve">we will </w:t>
      </w:r>
      <w:r w:rsidRPr="002F5800">
        <w:rPr>
          <w:sz w:val="24"/>
          <w:szCs w:val="24"/>
        </w:rPr>
        <w:t xml:space="preserve">create a corresponding series of jackknife replicate weights and attach them to each data record for variance estimation </w:t>
      </w:r>
      <w:r w:rsidRPr="002F5800">
        <w:rPr>
          <w:sz w:val="24"/>
          <w:szCs w:val="24"/>
        </w:rPr>
        <w:lastRenderedPageBreak/>
        <w:t>purposes. Replication methods provide a relatively simple and robust approach to estimating sampling variances for complex survey data.</w:t>
      </w:r>
      <w:r w:rsidRPr="002F5800">
        <w:rPr>
          <w:sz w:val="24"/>
          <w:szCs w:val="24"/>
          <w:vertAlign w:val="superscript"/>
        </w:rPr>
        <w:footnoteReference w:id="5"/>
      </w:r>
      <w:r w:rsidRPr="002F5800">
        <w:rPr>
          <w:sz w:val="24"/>
          <w:szCs w:val="24"/>
        </w:rPr>
        <w:t xml:space="preserve"> Under this replication approach, form up to 100 jackknife replicates by deleting selected cases from the full sample and adjusting the weights of the retained cases accordingly. Then apply the entire weighting process developed for the full sample separately to each replicate resulting in a series of replicate weights. The replicate weights can be imported into variance estimation software (e.g., SAS, SUDAAN, WESVAR) to calculate standard errors of the survey-based estimates and perform statistical tests that take account of the complex sample design.</w:t>
      </w:r>
    </w:p>
    <w:p w:rsidRPr="002F5800" w:rsidR="00A23AD8" w:rsidP="008524B1" w:rsidRDefault="00A23AD8" w14:paraId="6E11F8D6" w14:textId="77777777">
      <w:pPr>
        <w:pStyle w:val="P1-StandPara"/>
        <w:spacing w:line="480" w:lineRule="auto"/>
        <w:ind w:firstLine="0"/>
        <w:jc w:val="left"/>
        <w:rPr>
          <w:sz w:val="24"/>
          <w:szCs w:val="24"/>
        </w:rPr>
      </w:pPr>
    </w:p>
    <w:p w:rsidRPr="008524B1" w:rsidR="008B7841" w:rsidP="000F5861" w:rsidRDefault="008B7841" w14:paraId="5F4AA8B3" w14:textId="77777777">
      <w:pPr>
        <w:spacing w:line="480" w:lineRule="auto"/>
        <w:jc w:val="left"/>
        <w:rPr>
          <w:b/>
          <w:sz w:val="24"/>
          <w:szCs w:val="24"/>
        </w:rPr>
      </w:pPr>
      <w:r w:rsidRPr="008524B1">
        <w:rPr>
          <w:b/>
          <w:sz w:val="24"/>
          <w:szCs w:val="24"/>
        </w:rPr>
        <w:t>B.2.3</w:t>
      </w:r>
      <w:r w:rsidRPr="008524B1">
        <w:rPr>
          <w:b/>
          <w:sz w:val="24"/>
          <w:szCs w:val="24"/>
        </w:rPr>
        <w:tab/>
        <w:t xml:space="preserve">Degree of Accuracy Needed </w:t>
      </w:r>
    </w:p>
    <w:p w:rsidRPr="002F5800" w:rsidR="00313F6F" w:rsidP="00C47090" w:rsidRDefault="00C36800" w14:paraId="4E36C4AD" w14:textId="77777777">
      <w:pPr>
        <w:pStyle w:val="P1-StandPara"/>
        <w:spacing w:line="480" w:lineRule="auto"/>
        <w:ind w:firstLine="0"/>
        <w:jc w:val="left"/>
        <w:rPr>
          <w:color w:val="000000"/>
          <w:sz w:val="24"/>
          <w:szCs w:val="24"/>
        </w:rPr>
      </w:pPr>
      <w:r w:rsidRPr="002F5800">
        <w:rPr>
          <w:sz w:val="24"/>
          <w:szCs w:val="24"/>
        </w:rPr>
        <w:t xml:space="preserve">We </w:t>
      </w:r>
      <w:r w:rsidRPr="002F5800" w:rsidR="00313F6F">
        <w:rPr>
          <w:sz w:val="24"/>
          <w:szCs w:val="24"/>
        </w:rPr>
        <w:t xml:space="preserve">require that precision for State-level estimates be a ±5 percent margin of error with a 95 percent level of confidence around a point estimate (proportion). The design effect is a factor to be incorporated into the power and precision expected. </w:t>
      </w:r>
      <w:r w:rsidRPr="002F5800" w:rsidR="00933B26">
        <w:rPr>
          <w:sz w:val="24"/>
          <w:szCs w:val="24"/>
        </w:rPr>
        <w:t>T</w:t>
      </w:r>
      <w:r w:rsidRPr="002F5800" w:rsidR="00313F6F">
        <w:rPr>
          <w:sz w:val="24"/>
          <w:szCs w:val="24"/>
        </w:rPr>
        <w:t>here will be some clustering effect due to the two-stage design</w:t>
      </w:r>
      <w:r w:rsidRPr="002F5800">
        <w:rPr>
          <w:sz w:val="24"/>
          <w:szCs w:val="24"/>
        </w:rPr>
        <w:t xml:space="preserve"> and an</w:t>
      </w:r>
      <w:r w:rsidRPr="002F5800" w:rsidR="00313F6F">
        <w:rPr>
          <w:color w:val="000000"/>
          <w:sz w:val="24"/>
          <w:szCs w:val="24"/>
        </w:rPr>
        <w:t xml:space="preserve"> expected design effect due to differential sampling rates by subsampling for field location.</w:t>
      </w:r>
    </w:p>
    <w:p w:rsidRPr="002F5800" w:rsidR="00F47071" w:rsidP="00C47090" w:rsidRDefault="00F47071" w14:paraId="2623FF09" w14:textId="77777777">
      <w:pPr>
        <w:pStyle w:val="P1-StandPara"/>
        <w:spacing w:line="480" w:lineRule="auto"/>
        <w:ind w:firstLine="0"/>
        <w:jc w:val="left"/>
        <w:rPr>
          <w:rFonts w:cs="TimesNewRomanPSMT"/>
          <w:sz w:val="24"/>
          <w:szCs w:val="24"/>
        </w:rPr>
      </w:pPr>
    </w:p>
    <w:p w:rsidRPr="002F5800" w:rsidR="00F47071" w:rsidP="00C47090" w:rsidRDefault="00F47071" w14:paraId="4DFBBC1C" w14:textId="4932CFC8">
      <w:pPr>
        <w:pStyle w:val="P1-StandPara"/>
        <w:spacing w:line="480" w:lineRule="auto"/>
        <w:ind w:firstLine="0"/>
        <w:jc w:val="left"/>
        <w:rPr>
          <w:sz w:val="24"/>
          <w:szCs w:val="24"/>
        </w:rPr>
      </w:pPr>
      <w:r w:rsidRPr="002F5800">
        <w:rPr>
          <w:sz w:val="24"/>
          <w:szCs w:val="24"/>
        </w:rPr>
        <w:t xml:space="preserve">Table </w:t>
      </w:r>
      <w:r w:rsidRPr="002F5800" w:rsidR="00B05114">
        <w:rPr>
          <w:sz w:val="24"/>
          <w:szCs w:val="24"/>
        </w:rPr>
        <w:t>B</w:t>
      </w:r>
      <w:r w:rsidR="00B5114C">
        <w:rPr>
          <w:sz w:val="24"/>
          <w:szCs w:val="24"/>
        </w:rPr>
        <w:t>-</w:t>
      </w:r>
      <w:r w:rsidRPr="002F5800" w:rsidR="003B4E0B">
        <w:rPr>
          <w:sz w:val="24"/>
          <w:szCs w:val="24"/>
        </w:rPr>
        <w:t>1</w:t>
      </w:r>
      <w:r w:rsidRPr="002F5800" w:rsidR="00B05114">
        <w:rPr>
          <w:sz w:val="24"/>
          <w:szCs w:val="24"/>
        </w:rPr>
        <w:t xml:space="preserve"> </w:t>
      </w:r>
      <w:r w:rsidRPr="002F5800">
        <w:rPr>
          <w:sz w:val="24"/>
          <w:szCs w:val="24"/>
        </w:rPr>
        <w:t xml:space="preserve">provides estimates of the </w:t>
      </w:r>
      <w:r w:rsidRPr="002F5800" w:rsidR="005F00AD">
        <w:rPr>
          <w:sz w:val="24"/>
          <w:szCs w:val="24"/>
        </w:rPr>
        <w:t xml:space="preserve">number of respondents </w:t>
      </w:r>
      <w:r w:rsidRPr="002F5800">
        <w:rPr>
          <w:sz w:val="24"/>
          <w:szCs w:val="24"/>
        </w:rPr>
        <w:t xml:space="preserve">needed to achieve </w:t>
      </w:r>
      <w:r w:rsidRPr="002F5800">
        <w:rPr>
          <w:sz w:val="24"/>
          <w:szCs w:val="24"/>
          <w:lang w:eastAsia="ko-KR"/>
        </w:rPr>
        <w:t xml:space="preserve">95-pecent confidence intervals that are less than </w:t>
      </w:r>
      <w:r w:rsidRPr="002F5800">
        <w:rPr>
          <w:sz w:val="24"/>
          <w:szCs w:val="24"/>
        </w:rPr>
        <w:t xml:space="preserve">±5 </w:t>
      </w:r>
      <w:r w:rsidRPr="002F5800">
        <w:rPr>
          <w:sz w:val="24"/>
          <w:szCs w:val="24"/>
          <w:lang w:eastAsia="ko-KR"/>
        </w:rPr>
        <w:t>percentage points at the State-level</w:t>
      </w:r>
      <w:r w:rsidRPr="002F5800">
        <w:rPr>
          <w:sz w:val="24"/>
          <w:szCs w:val="24"/>
        </w:rPr>
        <w:t xml:space="preserve"> for different prevalence estimates and design effects.</w:t>
      </w:r>
      <w:r w:rsidRPr="002F5800">
        <w:rPr>
          <w:rStyle w:val="FootnoteReference"/>
          <w:rFonts w:eastAsiaTheme="majorEastAsia"/>
          <w:color w:val="000000"/>
          <w:sz w:val="24"/>
          <w:szCs w:val="24"/>
        </w:rPr>
        <w:t xml:space="preserve"> </w:t>
      </w:r>
      <w:r w:rsidRPr="002F5800">
        <w:rPr>
          <w:rStyle w:val="FootnoteReference"/>
          <w:rFonts w:eastAsiaTheme="majorEastAsia"/>
          <w:color w:val="000000"/>
          <w:sz w:val="24"/>
          <w:szCs w:val="24"/>
        </w:rPr>
        <w:footnoteReference w:id="6"/>
      </w:r>
      <w:r w:rsidRPr="002F5800">
        <w:rPr>
          <w:sz w:val="24"/>
          <w:szCs w:val="24"/>
        </w:rPr>
        <w:t xml:space="preserve"> The table shows that </w:t>
      </w:r>
      <w:r w:rsidRPr="002F5800" w:rsidR="00933B26">
        <w:rPr>
          <w:sz w:val="24"/>
          <w:szCs w:val="24"/>
        </w:rPr>
        <w:t>780</w:t>
      </w:r>
      <w:r w:rsidRPr="002F5800">
        <w:rPr>
          <w:sz w:val="24"/>
          <w:szCs w:val="24"/>
        </w:rPr>
        <w:t xml:space="preserve"> </w:t>
      </w:r>
      <w:r w:rsidRPr="002F5800" w:rsidR="005F00AD">
        <w:rPr>
          <w:sz w:val="24"/>
          <w:szCs w:val="24"/>
        </w:rPr>
        <w:t xml:space="preserve">respondents </w:t>
      </w:r>
      <w:r w:rsidRPr="002F5800">
        <w:rPr>
          <w:sz w:val="24"/>
          <w:szCs w:val="24"/>
        </w:rPr>
        <w:t xml:space="preserve">per State would provide the needed precision for an estimate in the middle of the distribution (50 percent) with </w:t>
      </w:r>
      <w:r w:rsidRPr="002F5800" w:rsidR="00933B26">
        <w:rPr>
          <w:sz w:val="24"/>
          <w:szCs w:val="24"/>
        </w:rPr>
        <w:t>a design effect of 2.03</w:t>
      </w:r>
      <w:r w:rsidRPr="002F5800" w:rsidR="00C36800">
        <w:rPr>
          <w:sz w:val="24"/>
          <w:szCs w:val="24"/>
        </w:rPr>
        <w:t xml:space="preserve"> (covering 10 of the</w:t>
      </w:r>
      <w:r w:rsidRPr="002F5800" w:rsidR="00B05114">
        <w:rPr>
          <w:sz w:val="24"/>
          <w:szCs w:val="24"/>
        </w:rPr>
        <w:t xml:space="preserve"> </w:t>
      </w:r>
      <w:r w:rsidRPr="002F5800" w:rsidR="00C36800">
        <w:rPr>
          <w:sz w:val="24"/>
          <w:szCs w:val="24"/>
        </w:rPr>
        <w:t>12 table cells)</w:t>
      </w:r>
      <w:r w:rsidRPr="002F5800">
        <w:rPr>
          <w:sz w:val="24"/>
          <w:szCs w:val="24"/>
        </w:rPr>
        <w:t xml:space="preserve">. </w:t>
      </w:r>
      <w:r w:rsidRPr="002F5800" w:rsidR="005F00AD">
        <w:rPr>
          <w:sz w:val="24"/>
          <w:szCs w:val="24"/>
        </w:rPr>
        <w:t>Our plan is to obtain 39,780 responses (</w:t>
      </w:r>
      <w:r w:rsidRPr="002F5800">
        <w:rPr>
          <w:sz w:val="24"/>
          <w:szCs w:val="24"/>
        </w:rPr>
        <w:t>39,780 = 780*51</w:t>
      </w:r>
      <w:r w:rsidRPr="002F5800" w:rsidR="005F00AD">
        <w:rPr>
          <w:sz w:val="24"/>
          <w:szCs w:val="24"/>
        </w:rPr>
        <w:t>)</w:t>
      </w:r>
      <w:r w:rsidRPr="002F5800">
        <w:rPr>
          <w:sz w:val="24"/>
          <w:szCs w:val="24"/>
        </w:rPr>
        <w:t>.</w:t>
      </w:r>
    </w:p>
    <w:p w:rsidRPr="002F5800" w:rsidR="00F47071" w:rsidP="00C47090" w:rsidRDefault="00F47071" w14:paraId="4D6C4EB8" w14:textId="77777777">
      <w:pPr>
        <w:pStyle w:val="P1-StandPara"/>
        <w:spacing w:line="480" w:lineRule="auto"/>
        <w:ind w:firstLine="0"/>
        <w:jc w:val="left"/>
        <w:rPr>
          <w:sz w:val="24"/>
          <w:szCs w:val="24"/>
        </w:rPr>
      </w:pPr>
    </w:p>
    <w:p w:rsidRPr="002F5800" w:rsidR="00F47071" w:rsidP="00C47090" w:rsidRDefault="005F00AD" w14:paraId="4F14CCCC" w14:textId="77777777">
      <w:pPr>
        <w:pStyle w:val="P1-StandPara"/>
        <w:spacing w:line="480" w:lineRule="auto"/>
        <w:ind w:firstLine="0"/>
        <w:jc w:val="left"/>
        <w:rPr>
          <w:sz w:val="24"/>
          <w:szCs w:val="24"/>
        </w:rPr>
      </w:pPr>
      <w:r w:rsidRPr="002F5800">
        <w:rPr>
          <w:sz w:val="24"/>
          <w:szCs w:val="24"/>
        </w:rPr>
        <w:lastRenderedPageBreak/>
        <w:t xml:space="preserve">With 780 responses </w:t>
      </w:r>
      <w:r w:rsidRPr="002F5800" w:rsidR="00F47071">
        <w:rPr>
          <w:sz w:val="24"/>
          <w:szCs w:val="24"/>
          <w:lang w:eastAsia="ko-KR"/>
        </w:rPr>
        <w:t>per State</w:t>
      </w:r>
      <w:r w:rsidRPr="002F5800">
        <w:rPr>
          <w:sz w:val="24"/>
          <w:szCs w:val="24"/>
          <w:lang w:eastAsia="ko-KR"/>
        </w:rPr>
        <w:t>, we</w:t>
      </w:r>
      <w:r w:rsidRPr="002F5800" w:rsidR="00F47071">
        <w:rPr>
          <w:sz w:val="24"/>
          <w:szCs w:val="24"/>
          <w:lang w:eastAsia="ko-KR"/>
        </w:rPr>
        <w:t xml:space="preserve"> will achieve </w:t>
      </w:r>
      <w:r w:rsidRPr="002F5800" w:rsidR="00F47071">
        <w:rPr>
          <w:sz w:val="24"/>
          <w:szCs w:val="24"/>
        </w:rPr>
        <w:t xml:space="preserve">±7 </w:t>
      </w:r>
      <w:r w:rsidRPr="002F5800" w:rsidR="00F47071">
        <w:rPr>
          <w:sz w:val="24"/>
          <w:szCs w:val="24"/>
          <w:lang w:eastAsia="ko-KR"/>
        </w:rPr>
        <w:t>percentage point</w:t>
      </w:r>
      <w:r w:rsidRPr="002F5800" w:rsidR="00B05114">
        <w:rPr>
          <w:sz w:val="24"/>
          <w:szCs w:val="24"/>
          <w:lang w:eastAsia="ko-KR"/>
        </w:rPr>
        <w:t>s</w:t>
      </w:r>
      <w:r w:rsidRPr="002F5800" w:rsidR="00F47071">
        <w:rPr>
          <w:sz w:val="24"/>
          <w:szCs w:val="24"/>
          <w:lang w:eastAsia="ko-KR"/>
        </w:rPr>
        <w:t xml:space="preserve"> </w:t>
      </w:r>
      <w:r w:rsidRPr="002F5800" w:rsidR="00B05114">
        <w:rPr>
          <w:sz w:val="24"/>
          <w:szCs w:val="24"/>
          <w:lang w:eastAsia="ko-KR"/>
        </w:rPr>
        <w:t xml:space="preserve">of </w:t>
      </w:r>
      <w:r w:rsidRPr="002F5800" w:rsidR="00F47071">
        <w:rPr>
          <w:sz w:val="24"/>
          <w:szCs w:val="24"/>
          <w:lang w:eastAsia="ko-KR"/>
        </w:rPr>
        <w:t xml:space="preserve">precision for key subgroups for State-level estimates. </w:t>
      </w:r>
      <w:r w:rsidRPr="002F5800" w:rsidR="00F47071">
        <w:rPr>
          <w:sz w:val="24"/>
          <w:szCs w:val="24"/>
        </w:rPr>
        <w:t xml:space="preserve">We believe that having precise estimates among subgroups at the State-level is important. </w:t>
      </w:r>
      <w:r w:rsidRPr="002F5800" w:rsidR="00933B26">
        <w:rPr>
          <w:sz w:val="24"/>
          <w:szCs w:val="24"/>
        </w:rPr>
        <w:t>W</w:t>
      </w:r>
      <w:r w:rsidRPr="002F5800" w:rsidR="00F47071">
        <w:rPr>
          <w:sz w:val="24"/>
          <w:szCs w:val="24"/>
        </w:rPr>
        <w:t>e expect to conduct many of the analyses on subgroups within each State, especially those defined by employment status. For example, the analysis of hourly wages or hours worked will be subset to employed participants, and the analysis of reasons for not working will be subset to unemployed participants. Reasonable precision among subgroups in each State will provide States with information that is more actionable.</w:t>
      </w:r>
    </w:p>
    <w:p w:rsidRPr="002F5800" w:rsidR="00C47090" w:rsidP="00C47090" w:rsidRDefault="00C47090" w14:paraId="6C0193C9" w14:textId="77777777">
      <w:pPr>
        <w:pStyle w:val="P1-StandPara"/>
        <w:spacing w:line="480" w:lineRule="auto"/>
        <w:ind w:firstLine="0"/>
        <w:jc w:val="left"/>
        <w:rPr>
          <w:sz w:val="24"/>
          <w:szCs w:val="24"/>
        </w:rPr>
      </w:pPr>
    </w:p>
    <w:p w:rsidRPr="008524B1" w:rsidR="00F47071" w:rsidP="00095A80" w:rsidRDefault="00F47071" w14:paraId="138F7285" w14:textId="3F3EA594">
      <w:pPr>
        <w:pStyle w:val="Heading1"/>
        <w:rPr>
          <w:sz w:val="24"/>
        </w:rPr>
      </w:pPr>
      <w:r w:rsidRPr="008524B1">
        <w:rPr>
          <w:sz w:val="24"/>
        </w:rPr>
        <w:t xml:space="preserve">Table </w:t>
      </w:r>
      <w:r w:rsidRPr="00CB11DD" w:rsidR="00C36800">
        <w:rPr>
          <w:sz w:val="24"/>
          <w:szCs w:val="24"/>
        </w:rPr>
        <w:t>B</w:t>
      </w:r>
      <w:r w:rsidR="00B5114C">
        <w:rPr>
          <w:sz w:val="24"/>
          <w:szCs w:val="24"/>
        </w:rPr>
        <w:t>-</w:t>
      </w:r>
      <w:r w:rsidRPr="00CB11DD" w:rsidR="003B4E0B">
        <w:rPr>
          <w:sz w:val="24"/>
          <w:szCs w:val="24"/>
        </w:rPr>
        <w:t>1</w:t>
      </w:r>
      <w:r w:rsidRPr="008524B1">
        <w:rPr>
          <w:sz w:val="24"/>
        </w:rPr>
        <w:t>.</w:t>
      </w:r>
      <w:r w:rsidRPr="008524B1">
        <w:rPr>
          <w:sz w:val="24"/>
        </w:rPr>
        <w:tab/>
        <w:t xml:space="preserve">Required </w:t>
      </w:r>
      <w:r w:rsidRPr="008524B1" w:rsidR="005F00AD">
        <w:rPr>
          <w:sz w:val="24"/>
        </w:rPr>
        <w:t>number of responses</w:t>
      </w:r>
      <w:r w:rsidRPr="008524B1">
        <w:rPr>
          <w:sz w:val="24"/>
        </w:rPr>
        <w:t xml:space="preserve"> for 95-percent confidence intervals less than plus or minus 5 percentage points at the State-level for selected prevalence and design effects</w:t>
      </w:r>
    </w:p>
    <w:tbl>
      <w:tblPr>
        <w:tblStyle w:val="GridTable4-Accent1"/>
        <w:tblW w:w="0" w:type="auto"/>
        <w:tblLook w:val="04A0" w:firstRow="1" w:lastRow="0" w:firstColumn="1" w:lastColumn="0" w:noHBand="0" w:noVBand="1"/>
      </w:tblPr>
      <w:tblGrid>
        <w:gridCol w:w="2870"/>
        <w:gridCol w:w="2070"/>
        <w:gridCol w:w="1470"/>
        <w:gridCol w:w="1470"/>
        <w:gridCol w:w="1470"/>
      </w:tblGrid>
      <w:tr w:rsidRPr="002F5800" w:rsidR="00447994" w:rsidTr="008524B1" w14:paraId="426BFD6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vMerge w:val="restart"/>
          </w:tcPr>
          <w:p w:rsidRPr="002F5800" w:rsidR="00447994" w:rsidP="00C47090" w:rsidRDefault="00447994" w14:paraId="01290C65" w14:textId="77777777">
            <w:pPr>
              <w:pStyle w:val="TH-TableHeading"/>
              <w:jc w:val="left"/>
              <w:rPr>
                <w:sz w:val="24"/>
                <w:szCs w:val="24"/>
              </w:rPr>
            </w:pPr>
            <w:r w:rsidRPr="002F5800">
              <w:rPr>
                <w:sz w:val="24"/>
                <w:szCs w:val="24"/>
              </w:rPr>
              <w:t>Proportion</w:t>
            </w:r>
          </w:p>
        </w:tc>
        <w:tc>
          <w:tcPr>
            <w:tcW w:w="6488" w:type="dxa"/>
            <w:gridSpan w:val="4"/>
          </w:tcPr>
          <w:p w:rsidRPr="002F5800" w:rsidR="00447994" w:rsidP="00C47090" w:rsidRDefault="00447994" w14:paraId="1ECD3B63" w14:textId="77777777">
            <w:pPr>
              <w:pStyle w:val="TH-TableHeading"/>
              <w:jc w:val="left"/>
              <w:cnfStyle w:val="100000000000" w:firstRow="1" w:lastRow="0" w:firstColumn="0" w:lastColumn="0" w:oddVBand="0" w:evenVBand="0" w:oddHBand="0" w:evenHBand="0" w:firstRowFirstColumn="0" w:firstRowLastColumn="0" w:lastRowFirstColumn="0" w:lastRowLastColumn="0"/>
              <w:rPr>
                <w:sz w:val="24"/>
                <w:szCs w:val="24"/>
              </w:rPr>
            </w:pPr>
            <w:r w:rsidRPr="002F5800">
              <w:rPr>
                <w:sz w:val="24"/>
                <w:szCs w:val="24"/>
              </w:rPr>
              <w:t>State-level design effect</w:t>
            </w:r>
          </w:p>
        </w:tc>
      </w:tr>
      <w:tr w:rsidRPr="002F5800" w:rsidR="00447994" w:rsidTr="008524B1" w14:paraId="224957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vMerge/>
          </w:tcPr>
          <w:p w:rsidRPr="002F5800" w:rsidR="00447994" w:rsidP="00C47090" w:rsidRDefault="00447994" w14:paraId="43E49BB0" w14:textId="77777777">
            <w:pPr>
              <w:pStyle w:val="TH-TableHeading"/>
              <w:jc w:val="left"/>
              <w:rPr>
                <w:sz w:val="24"/>
                <w:szCs w:val="24"/>
              </w:rPr>
            </w:pPr>
          </w:p>
        </w:tc>
        <w:tc>
          <w:tcPr>
            <w:tcW w:w="2072" w:type="dxa"/>
          </w:tcPr>
          <w:p w:rsidRPr="002F5800" w:rsidR="00447994" w:rsidP="00C47090" w:rsidRDefault="00447994" w14:paraId="3435937E" w14:textId="77777777">
            <w:pPr>
              <w:pStyle w:val="TH-TableHeading"/>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sz w:val="24"/>
                <w:szCs w:val="24"/>
              </w:rPr>
              <w:t>1.94</w:t>
            </w:r>
          </w:p>
        </w:tc>
        <w:tc>
          <w:tcPr>
            <w:tcW w:w="1472" w:type="dxa"/>
          </w:tcPr>
          <w:p w:rsidRPr="002F5800" w:rsidR="00447994" w:rsidP="00C47090" w:rsidRDefault="00447994" w14:paraId="0668197A" w14:textId="77777777">
            <w:pPr>
              <w:pStyle w:val="TH-TableHeading"/>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sz w:val="24"/>
                <w:szCs w:val="24"/>
              </w:rPr>
              <w:t>2.03</w:t>
            </w:r>
          </w:p>
        </w:tc>
        <w:tc>
          <w:tcPr>
            <w:tcW w:w="1472" w:type="dxa"/>
          </w:tcPr>
          <w:p w:rsidRPr="002F5800" w:rsidR="00447994" w:rsidP="00C47090" w:rsidRDefault="00447994" w14:paraId="62A6027C" w14:textId="77777777">
            <w:pPr>
              <w:pStyle w:val="TH-TableHeading"/>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sz w:val="24"/>
                <w:szCs w:val="24"/>
              </w:rPr>
              <w:t>2.13</w:t>
            </w:r>
          </w:p>
        </w:tc>
        <w:tc>
          <w:tcPr>
            <w:tcW w:w="1472" w:type="dxa"/>
          </w:tcPr>
          <w:p w:rsidRPr="002F5800" w:rsidR="00447994" w:rsidP="00C47090" w:rsidRDefault="00447994" w14:paraId="15BA2C7C" w14:textId="77777777">
            <w:pPr>
              <w:pStyle w:val="TH-TableHeading"/>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sz w:val="24"/>
                <w:szCs w:val="24"/>
              </w:rPr>
              <w:t>2.22</w:t>
            </w:r>
          </w:p>
        </w:tc>
      </w:tr>
      <w:tr w:rsidRPr="002F5800" w:rsidR="00F47071" w:rsidTr="008524B1" w14:paraId="74440155" w14:textId="77777777">
        <w:tc>
          <w:tcPr>
            <w:cnfStyle w:val="001000000000" w:firstRow="0" w:lastRow="0" w:firstColumn="1" w:lastColumn="0" w:oddVBand="0" w:evenVBand="0" w:oddHBand="0" w:evenHBand="0" w:firstRowFirstColumn="0" w:firstRowLastColumn="0" w:lastRowFirstColumn="0" w:lastRowLastColumn="0"/>
            <w:tcW w:w="2872" w:type="dxa"/>
          </w:tcPr>
          <w:p w:rsidRPr="002F5800" w:rsidR="00F47071" w:rsidP="00C47090" w:rsidRDefault="00F47071" w14:paraId="72BF18DA" w14:textId="77777777">
            <w:pPr>
              <w:pStyle w:val="TX-TableText"/>
              <w:jc w:val="left"/>
              <w:rPr>
                <w:rFonts w:ascii="Times New Roman" w:hAnsi="Times New Roman"/>
                <w:sz w:val="24"/>
                <w:szCs w:val="24"/>
              </w:rPr>
            </w:pPr>
            <w:r w:rsidRPr="002F5800">
              <w:rPr>
                <w:rFonts w:ascii="Times New Roman" w:hAnsi="Times New Roman"/>
                <w:sz w:val="24"/>
                <w:szCs w:val="24"/>
              </w:rPr>
              <w:t>0.1</w:t>
            </w:r>
          </w:p>
        </w:tc>
        <w:tc>
          <w:tcPr>
            <w:tcW w:w="2072" w:type="dxa"/>
          </w:tcPr>
          <w:p w:rsidRPr="002F5800" w:rsidR="00F47071" w:rsidP="00C47090" w:rsidRDefault="00F47071" w14:paraId="282969C5"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2</w:t>
            </w:r>
            <w:r w:rsidRPr="002F5800" w:rsidR="00C36800">
              <w:rPr>
                <w:rFonts w:ascii="Times New Roman" w:hAnsi="Times New Roman"/>
                <w:sz w:val="24"/>
                <w:szCs w:val="24"/>
              </w:rPr>
              <w:t>70</w:t>
            </w:r>
          </w:p>
        </w:tc>
        <w:tc>
          <w:tcPr>
            <w:tcW w:w="1472" w:type="dxa"/>
          </w:tcPr>
          <w:p w:rsidRPr="002F5800" w:rsidR="00F47071" w:rsidP="00C47090" w:rsidRDefault="00F47071" w14:paraId="57CB66BC"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2</w:t>
            </w:r>
            <w:r w:rsidRPr="002F5800" w:rsidR="00C36800">
              <w:rPr>
                <w:rFonts w:ascii="Times New Roman" w:hAnsi="Times New Roman"/>
                <w:sz w:val="24"/>
                <w:szCs w:val="24"/>
              </w:rPr>
              <w:t>8</w:t>
            </w:r>
            <w:r w:rsidRPr="002F5800">
              <w:rPr>
                <w:rFonts w:ascii="Times New Roman" w:hAnsi="Times New Roman"/>
                <w:sz w:val="24"/>
                <w:szCs w:val="24"/>
              </w:rPr>
              <w:t>0</w:t>
            </w:r>
          </w:p>
        </w:tc>
        <w:tc>
          <w:tcPr>
            <w:tcW w:w="1472" w:type="dxa"/>
          </w:tcPr>
          <w:p w:rsidRPr="002F5800" w:rsidR="00F47071" w:rsidP="00C47090" w:rsidRDefault="00F47071" w14:paraId="31310EAB"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2</w:t>
            </w:r>
            <w:r w:rsidRPr="002F5800" w:rsidR="00C36800">
              <w:rPr>
                <w:rFonts w:ascii="Times New Roman" w:hAnsi="Times New Roman"/>
                <w:sz w:val="24"/>
                <w:szCs w:val="24"/>
              </w:rPr>
              <w:t>9</w:t>
            </w:r>
            <w:r w:rsidRPr="002F5800">
              <w:rPr>
                <w:rFonts w:ascii="Times New Roman" w:hAnsi="Times New Roman"/>
                <w:sz w:val="24"/>
                <w:szCs w:val="24"/>
              </w:rPr>
              <w:t>0</w:t>
            </w:r>
          </w:p>
        </w:tc>
        <w:tc>
          <w:tcPr>
            <w:tcW w:w="1472" w:type="dxa"/>
          </w:tcPr>
          <w:p w:rsidRPr="002F5800" w:rsidR="00F47071" w:rsidP="00C47090" w:rsidRDefault="00C36800" w14:paraId="420C7DD4"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310</w:t>
            </w:r>
          </w:p>
        </w:tc>
      </w:tr>
      <w:tr w:rsidRPr="002F5800" w:rsidR="00F47071" w:rsidTr="008524B1" w14:paraId="1EF30F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rsidRPr="002F5800" w:rsidR="00F47071" w:rsidDel="002364A5" w:rsidP="00C47090" w:rsidRDefault="00F47071" w14:paraId="6FF4197B" w14:textId="77777777">
            <w:pPr>
              <w:pStyle w:val="TX-TableText"/>
              <w:jc w:val="left"/>
              <w:rPr>
                <w:rFonts w:ascii="Times New Roman" w:hAnsi="Times New Roman"/>
                <w:sz w:val="24"/>
                <w:szCs w:val="24"/>
              </w:rPr>
            </w:pPr>
            <w:r w:rsidRPr="002F5800">
              <w:rPr>
                <w:rFonts w:ascii="Times New Roman" w:hAnsi="Times New Roman"/>
                <w:sz w:val="24"/>
                <w:szCs w:val="24"/>
              </w:rPr>
              <w:t>0.3</w:t>
            </w:r>
          </w:p>
        </w:tc>
        <w:tc>
          <w:tcPr>
            <w:tcW w:w="2072" w:type="dxa"/>
          </w:tcPr>
          <w:p w:rsidRPr="002F5800" w:rsidR="00F47071" w:rsidP="00C47090" w:rsidRDefault="00C36800" w14:paraId="02826A6A" w14:textId="77777777">
            <w:pPr>
              <w:pStyle w:val="TX-TableT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630</w:t>
            </w:r>
          </w:p>
        </w:tc>
        <w:tc>
          <w:tcPr>
            <w:tcW w:w="1472" w:type="dxa"/>
          </w:tcPr>
          <w:p w:rsidRPr="002F5800" w:rsidR="00F47071" w:rsidP="00C47090" w:rsidRDefault="00C36800" w14:paraId="6039192E" w14:textId="77777777">
            <w:pPr>
              <w:pStyle w:val="TX-TableT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660</w:t>
            </w:r>
          </w:p>
        </w:tc>
        <w:tc>
          <w:tcPr>
            <w:tcW w:w="1472" w:type="dxa"/>
          </w:tcPr>
          <w:p w:rsidRPr="002F5800" w:rsidR="00F47071" w:rsidP="00C47090" w:rsidRDefault="00C36800" w14:paraId="0987EE28" w14:textId="77777777">
            <w:pPr>
              <w:pStyle w:val="TX-TableT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690</w:t>
            </w:r>
          </w:p>
        </w:tc>
        <w:tc>
          <w:tcPr>
            <w:tcW w:w="1472" w:type="dxa"/>
          </w:tcPr>
          <w:p w:rsidRPr="002F5800" w:rsidR="00F47071" w:rsidP="00C47090" w:rsidRDefault="00C36800" w14:paraId="3EC822FD" w14:textId="77777777">
            <w:pPr>
              <w:pStyle w:val="TX-TableText"/>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720</w:t>
            </w:r>
          </w:p>
        </w:tc>
      </w:tr>
      <w:tr w:rsidRPr="002F5800" w:rsidR="00F47071" w:rsidTr="008524B1" w14:paraId="75E621EC" w14:textId="77777777">
        <w:tc>
          <w:tcPr>
            <w:cnfStyle w:val="001000000000" w:firstRow="0" w:lastRow="0" w:firstColumn="1" w:lastColumn="0" w:oddVBand="0" w:evenVBand="0" w:oddHBand="0" w:evenHBand="0" w:firstRowFirstColumn="0" w:firstRowLastColumn="0" w:lastRowFirstColumn="0" w:lastRowLastColumn="0"/>
            <w:tcW w:w="2872" w:type="dxa"/>
          </w:tcPr>
          <w:p w:rsidRPr="002F5800" w:rsidR="00F47071" w:rsidDel="002364A5" w:rsidP="00C47090" w:rsidRDefault="00F47071" w14:paraId="6D95B9C4" w14:textId="77777777">
            <w:pPr>
              <w:pStyle w:val="TX-TableText"/>
              <w:jc w:val="left"/>
              <w:rPr>
                <w:rFonts w:ascii="Times New Roman" w:hAnsi="Times New Roman"/>
                <w:sz w:val="24"/>
                <w:szCs w:val="24"/>
              </w:rPr>
            </w:pPr>
            <w:r w:rsidRPr="002F5800">
              <w:rPr>
                <w:rFonts w:ascii="Times New Roman" w:hAnsi="Times New Roman"/>
                <w:sz w:val="24"/>
                <w:szCs w:val="24"/>
              </w:rPr>
              <w:t>0.5</w:t>
            </w:r>
          </w:p>
        </w:tc>
        <w:tc>
          <w:tcPr>
            <w:tcW w:w="2072" w:type="dxa"/>
          </w:tcPr>
          <w:p w:rsidRPr="002F5800" w:rsidR="00F47071" w:rsidP="00C47090" w:rsidRDefault="00C36800" w14:paraId="2404960E"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750</w:t>
            </w:r>
          </w:p>
        </w:tc>
        <w:tc>
          <w:tcPr>
            <w:tcW w:w="1472" w:type="dxa"/>
          </w:tcPr>
          <w:p w:rsidRPr="002F5800" w:rsidR="00F47071" w:rsidP="00C47090" w:rsidRDefault="00C36800" w14:paraId="5EFD68AE"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780</w:t>
            </w:r>
          </w:p>
        </w:tc>
        <w:tc>
          <w:tcPr>
            <w:tcW w:w="1472" w:type="dxa"/>
          </w:tcPr>
          <w:p w:rsidRPr="002F5800" w:rsidR="00F47071" w:rsidP="00C47090" w:rsidRDefault="00C36800" w14:paraId="3AA5D3FF"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820</w:t>
            </w:r>
          </w:p>
        </w:tc>
        <w:tc>
          <w:tcPr>
            <w:tcW w:w="1472" w:type="dxa"/>
          </w:tcPr>
          <w:p w:rsidRPr="002F5800" w:rsidR="00F47071" w:rsidP="00C47090" w:rsidRDefault="00C36800" w14:paraId="06C2AFFD" w14:textId="77777777">
            <w:pPr>
              <w:pStyle w:val="TX-TableText"/>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F5800">
              <w:rPr>
                <w:rFonts w:ascii="Times New Roman" w:hAnsi="Times New Roman"/>
                <w:sz w:val="24"/>
                <w:szCs w:val="24"/>
              </w:rPr>
              <w:t>850</w:t>
            </w:r>
          </w:p>
        </w:tc>
      </w:tr>
    </w:tbl>
    <w:p w:rsidRPr="002F5800" w:rsidR="008B7841" w:rsidP="00C47090" w:rsidRDefault="008B7841" w14:paraId="18B05099" w14:textId="77777777">
      <w:pPr>
        <w:ind w:left="720"/>
        <w:jc w:val="left"/>
        <w:rPr>
          <w:sz w:val="24"/>
          <w:szCs w:val="24"/>
        </w:rPr>
      </w:pPr>
    </w:p>
    <w:p w:rsidRPr="002F5800" w:rsidR="002F5800" w:rsidP="008524B1" w:rsidRDefault="002F5800" w14:paraId="1924BFA5" w14:textId="77777777">
      <w:pPr>
        <w:pStyle w:val="P1-StandPara"/>
        <w:spacing w:line="480" w:lineRule="auto"/>
        <w:ind w:firstLine="0"/>
        <w:jc w:val="left"/>
        <w:rPr>
          <w:sz w:val="24"/>
          <w:szCs w:val="24"/>
        </w:rPr>
      </w:pPr>
    </w:p>
    <w:p w:rsidRPr="002F5800" w:rsidR="00765525" w:rsidP="00C47090" w:rsidRDefault="00765525" w14:paraId="3F10CCC8" w14:textId="40C67935">
      <w:pPr>
        <w:pStyle w:val="P1-StandPara"/>
        <w:spacing w:line="480" w:lineRule="auto"/>
        <w:ind w:firstLine="0"/>
        <w:jc w:val="left"/>
        <w:rPr>
          <w:sz w:val="24"/>
          <w:szCs w:val="24"/>
        </w:rPr>
      </w:pPr>
      <w:r w:rsidRPr="002F5800">
        <w:rPr>
          <w:sz w:val="24"/>
          <w:szCs w:val="24"/>
        </w:rPr>
        <w:t>We will target 780 completed surveys in each State, and 39,780 completed surveys overall</w:t>
      </w:r>
      <w:r w:rsidRPr="002F5800" w:rsidR="00AE26FA">
        <w:rPr>
          <w:sz w:val="24"/>
          <w:szCs w:val="24"/>
        </w:rPr>
        <w:t xml:space="preserve">. Based on recent experiences of surveys of SNAP participants, </w:t>
      </w:r>
      <w:r w:rsidRPr="002F5800" w:rsidR="005C1E65">
        <w:rPr>
          <w:sz w:val="24"/>
          <w:szCs w:val="24"/>
        </w:rPr>
        <w:t>we expect to achieve</w:t>
      </w:r>
      <w:r w:rsidRPr="002F5800" w:rsidR="00AE26FA">
        <w:rPr>
          <w:sz w:val="24"/>
          <w:szCs w:val="24"/>
        </w:rPr>
        <w:t xml:space="preserve"> 60 percent response rate.</w:t>
      </w:r>
      <w:r w:rsidRPr="002F5800">
        <w:rPr>
          <w:sz w:val="24"/>
          <w:szCs w:val="24"/>
        </w:rPr>
        <w:t xml:space="preserve"> Following American Association of Public Opinion Research (APPOR) guidelines, we will use a weighted response rate that “weights up” the subsampled group and sets the weight for the non-subsampled cases equal to zero because we did not complete the data collection effort for this group.</w:t>
      </w:r>
      <w:r w:rsidRPr="002F5800" w:rsidR="00AC6B93">
        <w:rPr>
          <w:rStyle w:val="FootnoteReference"/>
          <w:sz w:val="24"/>
          <w:szCs w:val="24"/>
        </w:rPr>
        <w:footnoteReference w:id="7"/>
      </w:r>
      <w:r w:rsidRPr="002F5800">
        <w:rPr>
          <w:sz w:val="24"/>
          <w:szCs w:val="24"/>
        </w:rPr>
        <w:t xml:space="preserve"> This is the traditional calculation of the response rate for surveys that include nonresponse subsampling, including the ACS</w:t>
      </w:r>
      <w:r w:rsidRPr="002F5800">
        <w:rPr>
          <w:rFonts w:cs="Times-Roman"/>
          <w:sz w:val="24"/>
          <w:szCs w:val="24"/>
        </w:rPr>
        <w:t xml:space="preserve">. </w:t>
      </w:r>
      <w:r w:rsidRPr="002F5800">
        <w:rPr>
          <w:sz w:val="24"/>
          <w:szCs w:val="24"/>
        </w:rPr>
        <w:t xml:space="preserve">The weighted response rate provides a valid estimate of the percentage of responses where no response occur even after conducting all three modes. </w:t>
      </w:r>
    </w:p>
    <w:p w:rsidRPr="002F5800" w:rsidR="00765525" w:rsidP="00C47090" w:rsidRDefault="00765525" w14:paraId="028CEE46" w14:textId="77777777">
      <w:pPr>
        <w:pStyle w:val="P1-StandPara"/>
        <w:spacing w:line="480" w:lineRule="auto"/>
        <w:ind w:firstLine="0"/>
        <w:jc w:val="left"/>
        <w:rPr>
          <w:sz w:val="24"/>
          <w:szCs w:val="24"/>
        </w:rPr>
      </w:pPr>
    </w:p>
    <w:p w:rsidRPr="002F5800" w:rsidR="00765525" w:rsidP="00C47090" w:rsidRDefault="00765525" w14:paraId="739DB032" w14:textId="77777777">
      <w:pPr>
        <w:pStyle w:val="P1-StandPara"/>
        <w:spacing w:line="480" w:lineRule="auto"/>
        <w:ind w:firstLine="0"/>
        <w:jc w:val="left"/>
        <w:rPr>
          <w:sz w:val="24"/>
          <w:szCs w:val="24"/>
        </w:rPr>
      </w:pPr>
      <w:r w:rsidRPr="002F5800">
        <w:rPr>
          <w:sz w:val="24"/>
          <w:szCs w:val="24"/>
        </w:rPr>
        <w:t xml:space="preserve">Based on experience on similar studies, we expect a 20 percent response rate to web and 20 percent response rate to </w:t>
      </w:r>
      <w:r w:rsidRPr="002F5800" w:rsidR="005C1E65">
        <w:rPr>
          <w:sz w:val="24"/>
          <w:szCs w:val="24"/>
        </w:rPr>
        <w:t xml:space="preserve">computer-assisted </w:t>
      </w:r>
      <w:r w:rsidRPr="002F5800">
        <w:rPr>
          <w:sz w:val="24"/>
          <w:szCs w:val="24"/>
        </w:rPr>
        <w:t>telephone</w:t>
      </w:r>
      <w:r w:rsidRPr="002F5800" w:rsidR="005C1E65">
        <w:rPr>
          <w:sz w:val="24"/>
          <w:szCs w:val="24"/>
        </w:rPr>
        <w:t xml:space="preserve"> interviewing</w:t>
      </w:r>
      <w:r w:rsidRPr="002F5800">
        <w:rPr>
          <w:sz w:val="24"/>
          <w:szCs w:val="24"/>
        </w:rPr>
        <w:t xml:space="preserve">. We will select a 25 percent subsample of non-respondents to the web and telephone for field location and </w:t>
      </w:r>
      <w:r w:rsidRPr="002F5800" w:rsidR="005C1E65">
        <w:rPr>
          <w:sz w:val="24"/>
          <w:szCs w:val="24"/>
        </w:rPr>
        <w:t xml:space="preserve">expect </w:t>
      </w:r>
      <w:r w:rsidRPr="002F5800">
        <w:rPr>
          <w:sz w:val="24"/>
          <w:szCs w:val="24"/>
        </w:rPr>
        <w:t xml:space="preserve">a 33 percent response rate to this effort. To determine the number of sampled cases needed, it is important to define the yield rate, which takes into consideration the cases that are not subsampled for non-response follow up. The yield rate is calculated as </w:t>
      </w:r>
      <w:r w:rsidRPr="002F5800">
        <w:rPr>
          <w:i/>
          <w:sz w:val="24"/>
          <w:szCs w:val="24"/>
        </w:rPr>
        <w:t>YR = IRP+ ((1-IRP) * SP * RR</w:t>
      </w:r>
      <w:r w:rsidRPr="002F5800">
        <w:rPr>
          <w:sz w:val="24"/>
          <w:szCs w:val="24"/>
        </w:rPr>
        <w:t xml:space="preserve">, where </w:t>
      </w:r>
      <w:r w:rsidRPr="002F5800">
        <w:rPr>
          <w:i/>
          <w:sz w:val="24"/>
          <w:szCs w:val="24"/>
        </w:rPr>
        <w:t>IRP</w:t>
      </w:r>
      <w:r w:rsidRPr="002F5800">
        <w:rPr>
          <w:sz w:val="24"/>
          <w:szCs w:val="24"/>
        </w:rPr>
        <w:t xml:space="preserve"> is the initial response proportion, or the proportion responding to web and telephone, </w:t>
      </w:r>
      <w:r w:rsidRPr="002F5800">
        <w:rPr>
          <w:i/>
          <w:sz w:val="24"/>
          <w:szCs w:val="24"/>
        </w:rPr>
        <w:t>SP</w:t>
      </w:r>
      <w:r w:rsidRPr="002F5800">
        <w:rPr>
          <w:sz w:val="24"/>
          <w:szCs w:val="24"/>
        </w:rPr>
        <w:t xml:space="preserve"> is the subsampled proportion of nonrespondents, and </w:t>
      </w:r>
      <w:r w:rsidRPr="002F5800">
        <w:rPr>
          <w:i/>
          <w:sz w:val="24"/>
          <w:szCs w:val="24"/>
        </w:rPr>
        <w:t>RR</w:t>
      </w:r>
      <w:r w:rsidRPr="002F5800">
        <w:rPr>
          <w:sz w:val="24"/>
          <w:szCs w:val="24"/>
        </w:rPr>
        <w:t xml:space="preserve"> is the response rate to the field location. The yield rate is </w:t>
      </w:r>
      <w:r w:rsidRPr="002F5800" w:rsidR="005C1E65">
        <w:rPr>
          <w:sz w:val="24"/>
          <w:szCs w:val="24"/>
        </w:rPr>
        <w:t xml:space="preserve">estimated to be </w:t>
      </w:r>
      <w:r w:rsidRPr="002F5800">
        <w:rPr>
          <w:sz w:val="24"/>
          <w:szCs w:val="24"/>
        </w:rPr>
        <w:t xml:space="preserve">.45 = (.40 + (1-.40)*.25*.33). </w:t>
      </w:r>
      <w:r w:rsidRPr="002F5800" w:rsidR="005C1E65">
        <w:rPr>
          <w:sz w:val="24"/>
          <w:szCs w:val="24"/>
        </w:rPr>
        <w:t>W</w:t>
      </w:r>
      <w:r w:rsidRPr="002F5800">
        <w:rPr>
          <w:sz w:val="24"/>
          <w:szCs w:val="24"/>
        </w:rPr>
        <w:t xml:space="preserve">e plan to sample </w:t>
      </w:r>
      <w:r w:rsidRPr="002F5800" w:rsidR="005C1E65">
        <w:rPr>
          <w:sz w:val="24"/>
          <w:szCs w:val="24"/>
        </w:rPr>
        <w:t xml:space="preserve">about </w:t>
      </w:r>
      <w:r w:rsidRPr="002F5800">
        <w:rPr>
          <w:sz w:val="24"/>
          <w:szCs w:val="24"/>
        </w:rPr>
        <w:t>88,400 (39,780/.45)</w:t>
      </w:r>
      <w:r w:rsidRPr="002F5800" w:rsidR="005C1E65">
        <w:rPr>
          <w:sz w:val="24"/>
          <w:szCs w:val="24"/>
        </w:rPr>
        <w:t xml:space="preserve"> SNAP participants</w:t>
      </w:r>
      <w:r w:rsidRPr="002F5800">
        <w:rPr>
          <w:sz w:val="24"/>
          <w:szCs w:val="24"/>
        </w:rPr>
        <w:t xml:space="preserve">. The weighted response rate is calculated as </w:t>
      </w:r>
      <w:r w:rsidRPr="002F5800">
        <w:rPr>
          <w:i/>
          <w:sz w:val="24"/>
          <w:szCs w:val="24"/>
        </w:rPr>
        <w:t>RR = IRP + (SP * RR)</w:t>
      </w:r>
      <w:r w:rsidRPr="002F5800" w:rsidR="005C1E65">
        <w:rPr>
          <w:i/>
          <w:sz w:val="24"/>
          <w:szCs w:val="24"/>
        </w:rPr>
        <w:t xml:space="preserve">, </w:t>
      </w:r>
      <w:r w:rsidRPr="002F5800" w:rsidR="005C1E65">
        <w:rPr>
          <w:sz w:val="24"/>
          <w:szCs w:val="24"/>
        </w:rPr>
        <w:t>or</w:t>
      </w:r>
      <w:r w:rsidRPr="002F5800">
        <w:rPr>
          <w:sz w:val="24"/>
          <w:szCs w:val="24"/>
        </w:rPr>
        <w:t xml:space="preserve"> </w:t>
      </w:r>
      <w:r w:rsidRPr="002F5800" w:rsidR="005C1E65">
        <w:rPr>
          <w:sz w:val="24"/>
          <w:szCs w:val="24"/>
        </w:rPr>
        <w:t>0</w:t>
      </w:r>
      <w:r w:rsidRPr="002F5800">
        <w:rPr>
          <w:sz w:val="24"/>
          <w:szCs w:val="24"/>
        </w:rPr>
        <w:t>.40 + (.25*.33)</w:t>
      </w:r>
      <w:r w:rsidRPr="002F5800" w:rsidR="005C1E65">
        <w:rPr>
          <w:sz w:val="24"/>
          <w:szCs w:val="24"/>
        </w:rPr>
        <w:t xml:space="preserve"> = 0.6</w:t>
      </w:r>
      <w:r w:rsidRPr="002F5800">
        <w:rPr>
          <w:sz w:val="24"/>
          <w:szCs w:val="24"/>
        </w:rPr>
        <w:t xml:space="preserve">. </w:t>
      </w:r>
    </w:p>
    <w:p w:rsidRPr="002F5800" w:rsidR="00765525" w:rsidP="00C47090" w:rsidRDefault="00765525" w14:paraId="037D53EC" w14:textId="77777777">
      <w:pPr>
        <w:spacing w:line="480" w:lineRule="auto"/>
        <w:ind w:left="720"/>
        <w:jc w:val="left"/>
        <w:rPr>
          <w:sz w:val="24"/>
          <w:szCs w:val="24"/>
        </w:rPr>
      </w:pPr>
    </w:p>
    <w:p w:rsidRPr="008524B1" w:rsidR="008B7841" w:rsidP="000F5861" w:rsidRDefault="008B7841" w14:paraId="7A09428C" w14:textId="77777777">
      <w:pPr>
        <w:spacing w:line="480" w:lineRule="auto"/>
        <w:jc w:val="left"/>
        <w:rPr>
          <w:b/>
          <w:sz w:val="24"/>
          <w:szCs w:val="24"/>
        </w:rPr>
      </w:pPr>
      <w:bookmarkStart w:name="_Toc400377748" w:id="27"/>
      <w:bookmarkStart w:name="_Toc474235256" w:id="28"/>
      <w:r w:rsidRPr="008524B1">
        <w:rPr>
          <w:b/>
          <w:sz w:val="24"/>
          <w:szCs w:val="24"/>
        </w:rPr>
        <w:t>B.2.4</w:t>
      </w:r>
      <w:r w:rsidRPr="008524B1">
        <w:rPr>
          <w:b/>
          <w:sz w:val="24"/>
          <w:szCs w:val="24"/>
        </w:rPr>
        <w:tab/>
        <w:t>Unusual Problems Requiring Specialized Sampling Procedures</w:t>
      </w:r>
      <w:bookmarkEnd w:id="27"/>
      <w:bookmarkEnd w:id="28"/>
    </w:p>
    <w:p w:rsidRPr="002F5800" w:rsidR="001B33BB" w:rsidP="00C47090" w:rsidRDefault="005F00AD" w14:paraId="504AEF71" w14:textId="77777777">
      <w:pPr>
        <w:spacing w:line="480" w:lineRule="auto"/>
        <w:jc w:val="left"/>
        <w:rPr>
          <w:sz w:val="24"/>
          <w:szCs w:val="24"/>
        </w:rPr>
      </w:pPr>
      <w:r w:rsidRPr="002F5800">
        <w:rPr>
          <w:sz w:val="24"/>
          <w:szCs w:val="24"/>
        </w:rPr>
        <w:t xml:space="preserve">There are no unusual problems that require specialized sampling procedures. </w:t>
      </w:r>
    </w:p>
    <w:p w:rsidRPr="002F5800" w:rsidR="004F54C8" w:rsidP="00C47090" w:rsidRDefault="004F54C8" w14:paraId="65D0A22F" w14:textId="77777777">
      <w:pPr>
        <w:spacing w:line="480" w:lineRule="auto"/>
        <w:ind w:left="720"/>
        <w:jc w:val="left"/>
        <w:rPr>
          <w:sz w:val="24"/>
          <w:szCs w:val="24"/>
          <w:highlight w:val="yellow"/>
        </w:rPr>
      </w:pPr>
    </w:p>
    <w:p w:rsidRPr="008524B1" w:rsidR="008B7841" w:rsidP="000F5861" w:rsidRDefault="008B7841" w14:paraId="0FEAC0A4" w14:textId="77777777">
      <w:pPr>
        <w:spacing w:line="360" w:lineRule="atLeast"/>
        <w:jc w:val="left"/>
        <w:rPr>
          <w:b/>
          <w:sz w:val="24"/>
          <w:szCs w:val="24"/>
        </w:rPr>
      </w:pPr>
      <w:bookmarkStart w:name="_Toc474235257" w:id="29"/>
      <w:r w:rsidRPr="008524B1">
        <w:rPr>
          <w:b/>
          <w:sz w:val="24"/>
          <w:szCs w:val="24"/>
        </w:rPr>
        <w:t>B.2.5</w:t>
      </w:r>
      <w:r w:rsidRPr="008524B1">
        <w:rPr>
          <w:b/>
          <w:sz w:val="24"/>
          <w:szCs w:val="24"/>
        </w:rPr>
        <w:tab/>
        <w:t>Any use of periodic (less frequent than annual) data collection cycles to reduce burden.</w:t>
      </w:r>
      <w:bookmarkEnd w:id="29"/>
    </w:p>
    <w:p w:rsidRPr="002F5800" w:rsidR="004F54C8" w:rsidP="00C47090" w:rsidRDefault="004F54C8" w14:paraId="3BED05B5" w14:textId="77777777">
      <w:pPr>
        <w:pStyle w:val="NormalSS"/>
        <w:spacing w:after="0" w:line="480" w:lineRule="auto"/>
        <w:ind w:firstLine="0"/>
        <w:jc w:val="left"/>
        <w:rPr>
          <w:rFonts w:ascii="Times New Roman" w:hAnsi="Times New Roman"/>
        </w:rPr>
      </w:pPr>
      <w:r w:rsidRPr="002F5800">
        <w:rPr>
          <w:rFonts w:ascii="Times New Roman" w:hAnsi="Times New Roman"/>
        </w:rPr>
        <w:t>This is a one-time study; concern regarding the periodicity of data collection cycles is not applicable.</w:t>
      </w:r>
    </w:p>
    <w:p w:rsidRPr="002F5800" w:rsidR="004F54C8" w:rsidP="00C47090" w:rsidRDefault="004F54C8" w14:paraId="0F00B817" w14:textId="77777777">
      <w:pPr>
        <w:spacing w:line="480" w:lineRule="auto"/>
        <w:jc w:val="left"/>
        <w:rPr>
          <w:sz w:val="24"/>
          <w:szCs w:val="24"/>
          <w:highlight w:val="yellow"/>
        </w:rPr>
      </w:pPr>
    </w:p>
    <w:p w:rsidRPr="008524B1" w:rsidR="008B7841" w:rsidRDefault="008B7841" w14:paraId="29A2FAD6" w14:textId="77777777">
      <w:pPr>
        <w:pStyle w:val="Heading1"/>
        <w:rPr>
          <w:sz w:val="24"/>
        </w:rPr>
      </w:pPr>
      <w:bookmarkStart w:name="_Toc400377751" w:id="30"/>
      <w:bookmarkStart w:name="_Toc409090905" w:id="31"/>
      <w:bookmarkStart w:name="_Toc474235258" w:id="32"/>
      <w:r w:rsidRPr="008524B1">
        <w:rPr>
          <w:sz w:val="24"/>
        </w:rPr>
        <w:t>B.3</w:t>
      </w:r>
      <w:r w:rsidRPr="008524B1">
        <w:rPr>
          <w:sz w:val="24"/>
        </w:rPr>
        <w:tab/>
        <w:t>Methods to Maximize Response Rates and to Deal With Issues of Nonresponse</w:t>
      </w:r>
      <w:bookmarkEnd w:id="30"/>
      <w:bookmarkEnd w:id="31"/>
      <w:bookmarkEnd w:id="32"/>
    </w:p>
    <w:p w:rsidRPr="002F5800" w:rsidR="004F54C8" w:rsidP="008524B1" w:rsidRDefault="004F54C8" w14:paraId="6C7DAB39" w14:textId="77777777">
      <w:pPr>
        <w:spacing w:line="360" w:lineRule="atLeast"/>
        <w:jc w:val="left"/>
        <w:rPr>
          <w:b/>
          <w:sz w:val="24"/>
          <w:szCs w:val="24"/>
        </w:rPr>
      </w:pPr>
      <w:r w:rsidRPr="002F5800">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2F5800" w:rsidR="004F54C8" w:rsidP="00C47090" w:rsidRDefault="004F54C8" w14:paraId="2C1E8E7D" w14:textId="77777777">
      <w:pPr>
        <w:spacing w:line="480" w:lineRule="auto"/>
        <w:jc w:val="left"/>
        <w:rPr>
          <w:sz w:val="24"/>
          <w:szCs w:val="24"/>
          <w:highlight w:val="yellow"/>
        </w:rPr>
      </w:pPr>
    </w:p>
    <w:p w:rsidRPr="008524B1" w:rsidR="008B7841" w:rsidP="000F5861" w:rsidRDefault="008B7841" w14:paraId="2B4D10BA" w14:textId="77777777">
      <w:pPr>
        <w:spacing w:line="480" w:lineRule="auto"/>
        <w:jc w:val="left"/>
        <w:rPr>
          <w:b/>
          <w:sz w:val="24"/>
          <w:szCs w:val="24"/>
        </w:rPr>
      </w:pPr>
      <w:r w:rsidRPr="008524B1">
        <w:rPr>
          <w:b/>
          <w:sz w:val="24"/>
          <w:szCs w:val="24"/>
        </w:rPr>
        <w:lastRenderedPageBreak/>
        <w:t>B.3.1</w:t>
      </w:r>
      <w:r w:rsidRPr="008524B1">
        <w:rPr>
          <w:b/>
          <w:sz w:val="24"/>
          <w:szCs w:val="24"/>
        </w:rPr>
        <w:tab/>
        <w:t>Methods to Maximize Response Rates</w:t>
      </w:r>
    </w:p>
    <w:p w:rsidRPr="002F5800" w:rsidR="00B05114" w:rsidP="00C47090" w:rsidRDefault="00B05114" w14:paraId="468775B4" w14:textId="67606347">
      <w:pPr>
        <w:pStyle w:val="P1-StandPara"/>
        <w:spacing w:line="480" w:lineRule="auto"/>
        <w:ind w:firstLine="0"/>
        <w:jc w:val="left"/>
        <w:rPr>
          <w:rFonts w:cs="TimesNewRomanPSMT"/>
          <w:sz w:val="24"/>
          <w:szCs w:val="24"/>
        </w:rPr>
      </w:pPr>
      <w:r w:rsidRPr="002F5800">
        <w:rPr>
          <w:rFonts w:cs="TimesNewRomanPSMT"/>
          <w:sz w:val="24"/>
          <w:szCs w:val="24"/>
        </w:rPr>
        <w:t xml:space="preserve">The survey will use a sequential multi-mode data collection approach, to obtain the highest possible response rates while minimizing data collection costs. We will mail an invitation letter to study participants with valid mailing addresses and ask them to complete the web survey. </w:t>
      </w:r>
      <w:r w:rsidRPr="002F5800">
        <w:rPr>
          <w:sz w:val="24"/>
          <w:szCs w:val="24"/>
        </w:rPr>
        <w:t>Th</w:t>
      </w:r>
      <w:r w:rsidRPr="002F5800" w:rsidR="00166434">
        <w:rPr>
          <w:sz w:val="24"/>
          <w:szCs w:val="24"/>
        </w:rPr>
        <w:t>is</w:t>
      </w:r>
      <w:r w:rsidRPr="002F5800">
        <w:rPr>
          <w:sz w:val="24"/>
          <w:szCs w:val="24"/>
        </w:rPr>
        <w:t xml:space="preserve"> web invitation will include a phone number for respondents to call into the Telephone Research Center (TRC) if, for example, they do not have easy access to a computer or the Internet. The TRC will contact </w:t>
      </w:r>
      <w:r w:rsidRPr="002F5800">
        <w:rPr>
          <w:rFonts w:cs="TimesNewRomanPSMT"/>
          <w:sz w:val="24"/>
          <w:szCs w:val="24"/>
        </w:rPr>
        <w:t xml:space="preserve">those who do not complete the survey online </w:t>
      </w:r>
      <w:r w:rsidRPr="002F5800" w:rsidR="00166434">
        <w:rPr>
          <w:rFonts w:cs="TimesNewRomanPSMT"/>
          <w:sz w:val="24"/>
          <w:szCs w:val="24"/>
        </w:rPr>
        <w:t xml:space="preserve">(and </w:t>
      </w:r>
      <w:r w:rsidRPr="002F5800" w:rsidR="00166434">
        <w:rPr>
          <w:sz w:val="24"/>
          <w:szCs w:val="24"/>
        </w:rPr>
        <w:t>t</w:t>
      </w:r>
      <w:r w:rsidRPr="002F5800" w:rsidR="00166434">
        <w:rPr>
          <w:rFonts w:cs="TimesNewRomanPSMT"/>
          <w:sz w:val="24"/>
          <w:szCs w:val="24"/>
        </w:rPr>
        <w:t xml:space="preserve">hose with bad addresses) </w:t>
      </w:r>
      <w:r w:rsidRPr="002F5800">
        <w:rPr>
          <w:rFonts w:cs="TimesNewRomanPSMT"/>
          <w:sz w:val="24"/>
          <w:szCs w:val="24"/>
        </w:rPr>
        <w:t xml:space="preserve">by telephone to complete a Computer Assisted Telephone Interview (CATI). </w:t>
      </w:r>
      <w:r w:rsidRPr="002F5800">
        <w:rPr>
          <w:sz w:val="24"/>
          <w:szCs w:val="24"/>
        </w:rPr>
        <w:t xml:space="preserve">For the subsample of non-responders to these two modes, field data collectors will locate respondents and </w:t>
      </w:r>
      <w:r w:rsidRPr="002F5800" w:rsidR="0010766F">
        <w:rPr>
          <w:sz w:val="24"/>
          <w:szCs w:val="24"/>
        </w:rPr>
        <w:t>direct them to the CATI or web to</w:t>
      </w:r>
      <w:r w:rsidRPr="002F5800">
        <w:rPr>
          <w:sz w:val="24"/>
          <w:szCs w:val="24"/>
        </w:rPr>
        <w:t xml:space="preserve"> complete </w:t>
      </w:r>
      <w:r w:rsidRPr="002F5800" w:rsidR="0010766F">
        <w:rPr>
          <w:sz w:val="24"/>
          <w:szCs w:val="24"/>
        </w:rPr>
        <w:t>the survey</w:t>
      </w:r>
      <w:r w:rsidRPr="002F5800">
        <w:rPr>
          <w:sz w:val="24"/>
          <w:szCs w:val="24"/>
        </w:rPr>
        <w:t xml:space="preserve">. Based on the </w:t>
      </w:r>
      <w:r w:rsidRPr="002F5800" w:rsidR="0010766F">
        <w:rPr>
          <w:sz w:val="24"/>
          <w:szCs w:val="24"/>
        </w:rPr>
        <w:t xml:space="preserve">expected </w:t>
      </w:r>
      <w:r w:rsidRPr="002F5800">
        <w:rPr>
          <w:sz w:val="24"/>
          <w:szCs w:val="24"/>
        </w:rPr>
        <w:t xml:space="preserve">response rates, </w:t>
      </w:r>
      <w:r w:rsidRPr="002F5800" w:rsidR="0010766F">
        <w:rPr>
          <w:sz w:val="24"/>
          <w:szCs w:val="24"/>
        </w:rPr>
        <w:t>we anticipate that among</w:t>
      </w:r>
      <w:r w:rsidRPr="002F5800">
        <w:rPr>
          <w:sz w:val="24"/>
          <w:szCs w:val="24"/>
        </w:rPr>
        <w:t xml:space="preserve"> the 780 completed interviews</w:t>
      </w:r>
      <w:r w:rsidRPr="002F5800" w:rsidR="0010766F">
        <w:rPr>
          <w:sz w:val="24"/>
          <w:szCs w:val="24"/>
        </w:rPr>
        <w:t xml:space="preserve"> per state</w:t>
      </w:r>
      <w:r w:rsidRPr="002F5800">
        <w:rPr>
          <w:sz w:val="24"/>
          <w:szCs w:val="24"/>
        </w:rPr>
        <w:t xml:space="preserve">, approximately </w:t>
      </w:r>
      <w:r w:rsidRPr="002F5800" w:rsidR="0010766F">
        <w:rPr>
          <w:sz w:val="24"/>
          <w:szCs w:val="24"/>
        </w:rPr>
        <w:t>347</w:t>
      </w:r>
      <w:r w:rsidRPr="002F5800">
        <w:rPr>
          <w:sz w:val="24"/>
          <w:szCs w:val="24"/>
        </w:rPr>
        <w:t xml:space="preserve"> will be completed by web or inbound CATI, </w:t>
      </w:r>
      <w:r w:rsidRPr="002F5800" w:rsidR="0010766F">
        <w:rPr>
          <w:sz w:val="24"/>
          <w:szCs w:val="24"/>
        </w:rPr>
        <w:t>347</w:t>
      </w:r>
      <w:r w:rsidRPr="002F5800">
        <w:rPr>
          <w:sz w:val="24"/>
          <w:szCs w:val="24"/>
        </w:rPr>
        <w:t xml:space="preserve"> will be completed by outbound CATI, and </w:t>
      </w:r>
      <w:r w:rsidRPr="002F5800" w:rsidR="0010766F">
        <w:rPr>
          <w:sz w:val="24"/>
          <w:szCs w:val="24"/>
        </w:rPr>
        <w:t>86</w:t>
      </w:r>
      <w:r w:rsidRPr="002F5800">
        <w:rPr>
          <w:sz w:val="24"/>
          <w:szCs w:val="24"/>
        </w:rPr>
        <w:t xml:space="preserve"> will be completed</w:t>
      </w:r>
      <w:r w:rsidRPr="002F5800" w:rsidR="0010766F">
        <w:rPr>
          <w:sz w:val="24"/>
          <w:szCs w:val="24"/>
        </w:rPr>
        <w:t xml:space="preserve"> by web or telephone following in-person recruitment efforts</w:t>
      </w:r>
      <w:r w:rsidRPr="002F5800">
        <w:rPr>
          <w:sz w:val="24"/>
          <w:szCs w:val="24"/>
        </w:rPr>
        <w:t>.</w:t>
      </w:r>
      <w:r w:rsidRPr="002F5800" w:rsidR="0010766F">
        <w:rPr>
          <w:sz w:val="24"/>
          <w:szCs w:val="24"/>
        </w:rPr>
        <w:t xml:space="preserve"> </w:t>
      </w:r>
      <w:r w:rsidRPr="002F5800" w:rsidR="0010766F">
        <w:rPr>
          <w:rFonts w:cs="TimesNewRomanPSMT"/>
          <w:sz w:val="24"/>
          <w:szCs w:val="24"/>
        </w:rPr>
        <w:t>We</w:t>
      </w:r>
      <w:r w:rsidRPr="002F5800">
        <w:rPr>
          <w:rFonts w:cs="TimesNewRomanPSMT"/>
          <w:sz w:val="24"/>
          <w:szCs w:val="24"/>
        </w:rPr>
        <w:t xml:space="preserve"> will assign a unique study identifier </w:t>
      </w:r>
      <w:r w:rsidRPr="002F5800" w:rsidR="0010766F">
        <w:rPr>
          <w:rFonts w:cs="TimesNewRomanPSMT"/>
          <w:sz w:val="24"/>
          <w:szCs w:val="24"/>
        </w:rPr>
        <w:t xml:space="preserve">to all sample members </w:t>
      </w:r>
      <w:r w:rsidRPr="002F5800" w:rsidR="006D2B92">
        <w:rPr>
          <w:rFonts w:cs="TimesNewRomanPSMT"/>
          <w:sz w:val="24"/>
          <w:szCs w:val="24"/>
        </w:rPr>
        <w:t xml:space="preserve">to track them </w:t>
      </w:r>
      <w:r w:rsidRPr="002F5800">
        <w:rPr>
          <w:rFonts w:cs="TimesNewRomanPSMT"/>
          <w:sz w:val="24"/>
          <w:szCs w:val="24"/>
        </w:rPr>
        <w:t>across survey modes to ensure that respondents complete the survey only once.</w:t>
      </w:r>
    </w:p>
    <w:p w:rsidRPr="002F5800" w:rsidR="006D2B92" w:rsidP="00C47090" w:rsidRDefault="006D2B92" w14:paraId="55BB54D4" w14:textId="77777777">
      <w:pPr>
        <w:pStyle w:val="P1-StandPara"/>
        <w:spacing w:line="480" w:lineRule="auto"/>
        <w:ind w:firstLine="0"/>
        <w:jc w:val="left"/>
        <w:rPr>
          <w:rFonts w:cs="TimesNewRomanPSMT"/>
          <w:sz w:val="24"/>
          <w:szCs w:val="24"/>
        </w:rPr>
      </w:pPr>
    </w:p>
    <w:p w:rsidRPr="002F5800" w:rsidR="006D2B92" w:rsidP="00C47090" w:rsidRDefault="006D2B92" w14:paraId="0EB22C13" w14:textId="09B18D20">
      <w:pPr>
        <w:pStyle w:val="P1-StandPara"/>
        <w:spacing w:line="480" w:lineRule="auto"/>
        <w:ind w:firstLine="0"/>
        <w:jc w:val="left"/>
        <w:rPr>
          <w:rFonts w:cs="TimesNewRomanPSMT"/>
          <w:sz w:val="24"/>
          <w:szCs w:val="24"/>
        </w:rPr>
      </w:pPr>
      <w:r w:rsidRPr="002F5800">
        <w:rPr>
          <w:rFonts w:cs="TimesNewRomanPSMT"/>
          <w:sz w:val="24"/>
          <w:szCs w:val="24"/>
        </w:rPr>
        <w:t>Using the mailing address contained in the SNAP case files, we will mail an invitation letter explaining the study and inviting the sampled SNAP participant to complete the survey</w:t>
      </w:r>
      <w:r w:rsidR="003B0101">
        <w:rPr>
          <w:rFonts w:cs="TimesNewRomanPSMT"/>
          <w:sz w:val="24"/>
          <w:szCs w:val="24"/>
        </w:rPr>
        <w:t xml:space="preserve">. </w:t>
      </w:r>
      <w:r w:rsidRPr="002F5800" w:rsidR="00166434">
        <w:rPr>
          <w:rFonts w:cs="TimesNewRomanPSMT"/>
          <w:sz w:val="24"/>
          <w:szCs w:val="24"/>
        </w:rPr>
        <w:t xml:space="preserve">We </w:t>
      </w:r>
      <w:r w:rsidR="00383DF1">
        <w:rPr>
          <w:rFonts w:cs="TimesNewRomanPSMT"/>
          <w:sz w:val="24"/>
          <w:szCs w:val="24"/>
        </w:rPr>
        <w:t>request</w:t>
      </w:r>
      <w:r w:rsidRPr="002F5800" w:rsidR="00166434">
        <w:rPr>
          <w:rFonts w:cs="TimesNewRomanPSMT"/>
          <w:sz w:val="24"/>
          <w:szCs w:val="24"/>
        </w:rPr>
        <w:t xml:space="preserve"> permission to include </w:t>
      </w:r>
      <w:r w:rsidRPr="002F5800">
        <w:rPr>
          <w:rFonts w:cs="TimesNewRomanPSMT"/>
          <w:sz w:val="24"/>
          <w:szCs w:val="24"/>
        </w:rPr>
        <w:t>a $2 cash pre-incentive</w:t>
      </w:r>
      <w:r w:rsidRPr="002F5800" w:rsidR="00166434">
        <w:rPr>
          <w:rFonts w:cs="TimesNewRomanPSMT"/>
          <w:sz w:val="24"/>
          <w:szCs w:val="24"/>
        </w:rPr>
        <w:t xml:space="preserve"> with the invitation letter</w:t>
      </w:r>
      <w:r w:rsidRPr="002F5800">
        <w:rPr>
          <w:rFonts w:cs="TimesNewRomanPSMT"/>
          <w:sz w:val="24"/>
          <w:szCs w:val="24"/>
        </w:rPr>
        <w:t>. Previous studies, including the Farmers’ Market Client Survey incentive experiment, have shown that a small non-contingent incentive has a positive effect on response rates.</w:t>
      </w:r>
      <w:r w:rsidRPr="002F5800" w:rsidR="00C77020">
        <w:rPr>
          <w:rStyle w:val="FootnoteReference"/>
          <w:rFonts w:cs="TimesNewRomanPSMT"/>
          <w:sz w:val="24"/>
          <w:szCs w:val="24"/>
        </w:rPr>
        <w:footnoteReference w:id="8"/>
      </w:r>
      <w:r w:rsidRPr="002F5800">
        <w:rPr>
          <w:rFonts w:cs="TimesNewRomanPSMT"/>
          <w:sz w:val="24"/>
          <w:szCs w:val="24"/>
        </w:rPr>
        <w:t xml:space="preserve"> </w:t>
      </w:r>
      <w:r w:rsidR="003B0101">
        <w:rPr>
          <w:rFonts w:cs="TimesNewRomanPSMT"/>
          <w:sz w:val="24"/>
          <w:szCs w:val="24"/>
        </w:rPr>
        <w:t xml:space="preserve">The invitation letter </w:t>
      </w:r>
      <w:r w:rsidR="00383DF1">
        <w:rPr>
          <w:rFonts w:cs="TimesNewRomanPSMT"/>
          <w:sz w:val="24"/>
          <w:szCs w:val="24"/>
        </w:rPr>
        <w:t>will off</w:t>
      </w:r>
      <w:r w:rsidR="003B0101">
        <w:rPr>
          <w:rFonts w:cs="TimesNewRomanPSMT"/>
          <w:sz w:val="24"/>
          <w:szCs w:val="24"/>
        </w:rPr>
        <w:t xml:space="preserve">er a $20 cash incentive for completing the </w:t>
      </w:r>
      <w:r w:rsidR="003B0101">
        <w:rPr>
          <w:rFonts w:cs="TimesNewRomanPSMT"/>
          <w:sz w:val="24"/>
          <w:szCs w:val="24"/>
        </w:rPr>
        <w:lastRenderedPageBreak/>
        <w:t>survey and an additional $20 if completed within the first four weeks of the sample release.</w:t>
      </w:r>
      <w:r w:rsidRPr="002F5800" w:rsidR="003B0101">
        <w:rPr>
          <w:rFonts w:cs="TimesNewRomanPSMT"/>
          <w:sz w:val="24"/>
          <w:szCs w:val="24"/>
        </w:rPr>
        <w:t xml:space="preserve"> </w:t>
      </w:r>
      <w:r w:rsidRPr="002F5800" w:rsidR="00C81986">
        <w:rPr>
          <w:rFonts w:cs="TimesNewRomanPSMT"/>
          <w:sz w:val="24"/>
          <w:szCs w:val="24"/>
        </w:rPr>
        <w:t xml:space="preserve">One </w:t>
      </w:r>
      <w:r w:rsidRPr="002F5800">
        <w:rPr>
          <w:rFonts w:cs="TimesNewRomanPSMT"/>
          <w:sz w:val="24"/>
          <w:szCs w:val="24"/>
        </w:rPr>
        <w:t xml:space="preserve">week after the initial mailing, we will send a postcard and e-mail (when an email address is available) to sampled persons, reminding them to complete the survey. We will send a second reminder postcard after </w:t>
      </w:r>
      <w:r w:rsidRPr="002F5800" w:rsidR="00C81986">
        <w:rPr>
          <w:rFonts w:cs="TimesNewRomanPSMT"/>
          <w:sz w:val="24"/>
          <w:szCs w:val="24"/>
        </w:rPr>
        <w:t xml:space="preserve">two </w:t>
      </w:r>
      <w:r w:rsidRPr="002F5800">
        <w:rPr>
          <w:rFonts w:cs="TimesNewRomanPSMT"/>
          <w:sz w:val="24"/>
          <w:szCs w:val="24"/>
        </w:rPr>
        <w:t xml:space="preserve">weeks. </w:t>
      </w:r>
      <w:r w:rsidR="002F5800">
        <w:rPr>
          <w:rFonts w:cs="TimesNewRomanPSMT"/>
          <w:sz w:val="24"/>
          <w:szCs w:val="24"/>
        </w:rPr>
        <w:t>See Table B</w:t>
      </w:r>
      <w:r w:rsidR="00B5114C">
        <w:rPr>
          <w:rFonts w:cs="TimesNewRomanPSMT"/>
          <w:sz w:val="24"/>
          <w:szCs w:val="24"/>
        </w:rPr>
        <w:t>-</w:t>
      </w:r>
      <w:r w:rsidR="002F5800">
        <w:rPr>
          <w:rFonts w:cs="TimesNewRomanPSMT"/>
          <w:sz w:val="24"/>
          <w:szCs w:val="24"/>
        </w:rPr>
        <w:t>2.</w:t>
      </w:r>
    </w:p>
    <w:p w:rsidRPr="002F5800" w:rsidR="00B05114" w:rsidP="00C47090" w:rsidRDefault="00DA0B1F" w14:paraId="27A77A60" w14:textId="4F330B12">
      <w:pPr>
        <w:pStyle w:val="P1-StandPara"/>
        <w:spacing w:line="480" w:lineRule="auto"/>
        <w:ind w:firstLine="0"/>
        <w:jc w:val="left"/>
        <w:rPr>
          <w:rFonts w:cs="TimesNewRomanPSMT"/>
          <w:sz w:val="24"/>
          <w:szCs w:val="24"/>
        </w:rPr>
      </w:pPr>
      <w:r w:rsidRPr="002F5800">
        <w:rPr>
          <w:sz w:val="24"/>
          <w:szCs w:val="24"/>
        </w:rPr>
        <w:t xml:space="preserve">Approximately four weeks after the initial mailing, we will contact those participants that have not responded </w:t>
      </w:r>
      <w:r w:rsidRPr="002F5800" w:rsidR="00AC6B93">
        <w:rPr>
          <w:sz w:val="24"/>
          <w:szCs w:val="24"/>
        </w:rPr>
        <w:t>(</w:t>
      </w:r>
      <w:r w:rsidRPr="002F5800">
        <w:rPr>
          <w:sz w:val="24"/>
          <w:szCs w:val="24"/>
        </w:rPr>
        <w:t>and have a telephone number</w:t>
      </w:r>
      <w:r w:rsidRPr="002F5800" w:rsidR="00AC6B93">
        <w:rPr>
          <w:sz w:val="24"/>
          <w:szCs w:val="24"/>
        </w:rPr>
        <w:t>)</w:t>
      </w:r>
      <w:r w:rsidRPr="002F5800">
        <w:rPr>
          <w:sz w:val="24"/>
          <w:szCs w:val="24"/>
        </w:rPr>
        <w:t xml:space="preserve"> to complete a CATI interview. </w:t>
      </w:r>
      <w:r w:rsidRPr="002F5800">
        <w:rPr>
          <w:rFonts w:cs="TimesNewRomanPSMT"/>
          <w:sz w:val="24"/>
          <w:szCs w:val="24"/>
        </w:rPr>
        <w:t xml:space="preserve">Messages left on answering machines will provide a toll-free 800 number so respondents can call if they want to do the survey at their convenience. </w:t>
      </w:r>
    </w:p>
    <w:p w:rsidRPr="002F5800" w:rsidR="00DA0B1F" w:rsidP="00C47090" w:rsidRDefault="00DA0B1F" w14:paraId="5F0E8AD1" w14:textId="77777777">
      <w:pPr>
        <w:pStyle w:val="P1-StandPara"/>
        <w:spacing w:line="480" w:lineRule="auto"/>
        <w:ind w:firstLine="0"/>
        <w:jc w:val="left"/>
        <w:rPr>
          <w:rFonts w:cs="TimesNewRomanPSMT"/>
          <w:sz w:val="24"/>
          <w:szCs w:val="24"/>
        </w:rPr>
      </w:pPr>
    </w:p>
    <w:p w:rsidRPr="002F5800" w:rsidR="00DA0B1F" w:rsidP="00C47090" w:rsidRDefault="00DA0B1F" w14:paraId="4BF05AE0" w14:textId="7AA9DA0D">
      <w:pPr>
        <w:pStyle w:val="P1-StandPara"/>
        <w:spacing w:line="480" w:lineRule="auto"/>
        <w:ind w:firstLine="0"/>
        <w:jc w:val="left"/>
        <w:rPr>
          <w:sz w:val="24"/>
          <w:szCs w:val="24"/>
        </w:rPr>
      </w:pPr>
      <w:r w:rsidRPr="002F5800">
        <w:rPr>
          <w:sz w:val="24"/>
          <w:szCs w:val="24"/>
        </w:rPr>
        <w:t xml:space="preserve">Approximately </w:t>
      </w:r>
      <w:r w:rsidRPr="002F5800" w:rsidR="002F5800">
        <w:rPr>
          <w:sz w:val="24"/>
          <w:szCs w:val="24"/>
        </w:rPr>
        <w:t>eight</w:t>
      </w:r>
      <w:r w:rsidRPr="002F5800">
        <w:rPr>
          <w:sz w:val="24"/>
          <w:szCs w:val="24"/>
        </w:rPr>
        <w:t xml:space="preserve"> weeks after the initial mailing, for a sample (25 percent) of those participants that have not responded to either the web invitation or telephone follow-up, we will send a data collector to their homes for in-person recruitment effort, directing them </w:t>
      </w:r>
      <w:r w:rsidRPr="002F5800" w:rsidR="00AC6B93">
        <w:rPr>
          <w:sz w:val="24"/>
          <w:szCs w:val="24"/>
        </w:rPr>
        <w:t xml:space="preserve">to </w:t>
      </w:r>
      <w:r w:rsidRPr="002F5800">
        <w:rPr>
          <w:sz w:val="24"/>
          <w:szCs w:val="24"/>
        </w:rPr>
        <w:t>a CATI interview o</w:t>
      </w:r>
      <w:r w:rsidRPr="002F5800" w:rsidR="00AC6B93">
        <w:rPr>
          <w:sz w:val="24"/>
          <w:szCs w:val="24"/>
        </w:rPr>
        <w:t>r</w:t>
      </w:r>
      <w:r w:rsidRPr="002F5800">
        <w:rPr>
          <w:sz w:val="24"/>
          <w:szCs w:val="24"/>
        </w:rPr>
        <w:t xml:space="preserve"> complete the survey online.</w:t>
      </w:r>
      <w:r w:rsidRPr="002F5800" w:rsidR="002F5800">
        <w:rPr>
          <w:sz w:val="24"/>
          <w:szCs w:val="24"/>
        </w:rPr>
        <w:t xml:space="preserve"> </w:t>
      </w:r>
    </w:p>
    <w:p w:rsidRPr="002F5800" w:rsidR="002F5800" w:rsidP="00C47090" w:rsidRDefault="002F5800" w14:paraId="50DDF89E" w14:textId="77777777">
      <w:pPr>
        <w:pStyle w:val="P1-StandPara"/>
        <w:spacing w:line="480" w:lineRule="auto"/>
        <w:ind w:firstLine="0"/>
        <w:jc w:val="left"/>
        <w:rPr>
          <w:sz w:val="24"/>
          <w:szCs w:val="24"/>
        </w:rPr>
      </w:pPr>
    </w:p>
    <w:p w:rsidRPr="0053348F" w:rsidR="006D1CA5" w:rsidP="00CB11DD" w:rsidRDefault="006D1CA5" w14:paraId="5676BC08" w14:textId="3B8ACB8D">
      <w:pPr>
        <w:pStyle w:val="Heading1"/>
        <w:spacing w:after="0"/>
        <w:rPr>
          <w:sz w:val="24"/>
          <w:szCs w:val="24"/>
        </w:rPr>
      </w:pPr>
      <w:r w:rsidRPr="0053348F">
        <w:rPr>
          <w:sz w:val="24"/>
          <w:szCs w:val="24"/>
        </w:rPr>
        <w:t>Table</w:t>
      </w:r>
      <w:r w:rsidRPr="00CB11DD" w:rsidR="002F5800">
        <w:rPr>
          <w:sz w:val="24"/>
          <w:szCs w:val="24"/>
        </w:rPr>
        <w:t xml:space="preserve"> B</w:t>
      </w:r>
      <w:r w:rsidR="00B5114C">
        <w:rPr>
          <w:sz w:val="24"/>
          <w:szCs w:val="24"/>
        </w:rPr>
        <w:t>-</w:t>
      </w:r>
      <w:r w:rsidRPr="00CB11DD" w:rsidR="002F5800">
        <w:rPr>
          <w:sz w:val="24"/>
          <w:szCs w:val="24"/>
        </w:rPr>
        <w:t>2.</w:t>
      </w:r>
      <w:r w:rsidRPr="0053348F">
        <w:rPr>
          <w:sz w:val="24"/>
          <w:szCs w:val="24"/>
        </w:rPr>
        <w:t xml:space="preserve"> Timeline for data collection </w:t>
      </w:r>
      <w:bookmarkStart w:name="_GoBack" w:id="33"/>
      <w:bookmarkEnd w:id="33"/>
      <w:r w:rsidRPr="0053348F">
        <w:rPr>
          <w:sz w:val="24"/>
          <w:szCs w:val="24"/>
        </w:rPr>
        <w:t>events</w:t>
      </w:r>
      <w:r w:rsidR="001C6D62">
        <w:rPr>
          <w:sz w:val="24"/>
          <w:szCs w:val="24"/>
        </w:rPr>
        <w:t xml:space="preserve"> weeks after OMB approval</w:t>
      </w:r>
    </w:p>
    <w:tbl>
      <w:tblPr>
        <w:tblStyle w:val="GridTable4-Accent1"/>
        <w:tblW w:w="7848" w:type="dxa"/>
        <w:tblLook w:val="04A0" w:firstRow="1" w:lastRow="0" w:firstColumn="1" w:lastColumn="0" w:noHBand="0" w:noVBand="1"/>
      </w:tblPr>
      <w:tblGrid>
        <w:gridCol w:w="2628"/>
        <w:gridCol w:w="5220"/>
      </w:tblGrid>
      <w:tr w:rsidRPr="002F5800" w:rsidR="002F5800" w:rsidTr="00FF00C5" w14:paraId="2990C5B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3D6904D2" w14:textId="129B1B0E">
            <w:pPr>
              <w:spacing w:line="480" w:lineRule="auto"/>
              <w:jc w:val="left"/>
              <w:rPr>
                <w:sz w:val="24"/>
                <w:szCs w:val="24"/>
              </w:rPr>
            </w:pPr>
            <w:r w:rsidRPr="00CB11DD">
              <w:rPr>
                <w:color w:val="000000"/>
                <w:sz w:val="24"/>
                <w:szCs w:val="24"/>
              </w:rPr>
              <w:t>Time period</w:t>
            </w:r>
          </w:p>
        </w:tc>
        <w:tc>
          <w:tcPr>
            <w:tcW w:w="5220" w:type="dxa"/>
          </w:tcPr>
          <w:p w:rsidRPr="002F5800" w:rsidR="002F5800" w:rsidP="002F5800" w:rsidRDefault="002F5800" w14:paraId="00EAB75F" w14:textId="6369B0EA">
            <w:pPr>
              <w:spacing w:line="480" w:lineRule="auto"/>
              <w:jc w:val="left"/>
              <w:cnfStyle w:val="100000000000" w:firstRow="1"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Activity</w:t>
            </w:r>
          </w:p>
        </w:tc>
      </w:tr>
      <w:tr w:rsidRPr="002F5800" w:rsidR="002F5800" w:rsidTr="00CB11DD" w14:paraId="1F20E2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1C6D62" w:rsidRDefault="001C6D62" w14:paraId="7DDFFD52" w14:textId="6BB920B9">
            <w:pPr>
              <w:spacing w:line="480" w:lineRule="auto"/>
              <w:jc w:val="left"/>
              <w:rPr>
                <w:sz w:val="24"/>
                <w:szCs w:val="24"/>
              </w:rPr>
            </w:pPr>
            <w:r>
              <w:rPr>
                <w:color w:val="000000"/>
                <w:sz w:val="24"/>
                <w:szCs w:val="24"/>
              </w:rPr>
              <w:t>Week 1-2</w:t>
            </w:r>
          </w:p>
        </w:tc>
        <w:tc>
          <w:tcPr>
            <w:tcW w:w="5220" w:type="dxa"/>
          </w:tcPr>
          <w:p w:rsidRPr="002F5800" w:rsidR="002F5800" w:rsidP="002F5800" w:rsidRDefault="002F5800" w14:paraId="150635C4" w14:textId="006CE3C8">
            <w:pPr>
              <w:spacing w:line="48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CB11DD">
              <w:rPr>
                <w:color w:val="000000"/>
                <w:sz w:val="24"/>
                <w:szCs w:val="24"/>
              </w:rPr>
              <w:t>Send invitation letter (1st sample release)</w:t>
            </w:r>
          </w:p>
        </w:tc>
      </w:tr>
      <w:tr w:rsidRPr="002F5800" w:rsidR="002F5800" w:rsidTr="00CB11DD" w14:paraId="196F3E40" w14:textId="77777777">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5D076A42" w14:textId="6C6B0F33">
            <w:pPr>
              <w:spacing w:line="480" w:lineRule="auto"/>
              <w:jc w:val="left"/>
              <w:rPr>
                <w:sz w:val="24"/>
                <w:szCs w:val="24"/>
              </w:rPr>
            </w:pPr>
            <w:r w:rsidRPr="00CB11DD">
              <w:rPr>
                <w:color w:val="000000"/>
                <w:sz w:val="24"/>
                <w:szCs w:val="24"/>
              </w:rPr>
              <w:t>Week 2</w:t>
            </w:r>
          </w:p>
        </w:tc>
        <w:tc>
          <w:tcPr>
            <w:tcW w:w="5220" w:type="dxa"/>
          </w:tcPr>
          <w:p w:rsidRPr="002F5800" w:rsidR="002F5800" w:rsidP="002F5800" w:rsidRDefault="002F5800" w14:paraId="00844211" w14:textId="6233036C">
            <w:pPr>
              <w:spacing w:line="48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Send first reminder post card</w:t>
            </w:r>
          </w:p>
        </w:tc>
      </w:tr>
      <w:tr w:rsidRPr="002F5800" w:rsidR="002F5800" w:rsidTr="00CB11DD" w14:paraId="1E9426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7EF75DB0" w14:textId="5A174131">
            <w:pPr>
              <w:spacing w:line="480" w:lineRule="auto"/>
              <w:jc w:val="left"/>
              <w:rPr>
                <w:sz w:val="24"/>
                <w:szCs w:val="24"/>
              </w:rPr>
            </w:pPr>
            <w:r w:rsidRPr="00CB11DD">
              <w:rPr>
                <w:color w:val="000000"/>
                <w:sz w:val="24"/>
                <w:szCs w:val="24"/>
              </w:rPr>
              <w:t>Week 3</w:t>
            </w:r>
          </w:p>
        </w:tc>
        <w:tc>
          <w:tcPr>
            <w:tcW w:w="5220" w:type="dxa"/>
          </w:tcPr>
          <w:p w:rsidRPr="002F5800" w:rsidR="002F5800" w:rsidP="002F5800" w:rsidRDefault="002F5800" w14:paraId="72D23460" w14:textId="492CD169">
            <w:pPr>
              <w:spacing w:line="48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CB11DD">
              <w:rPr>
                <w:color w:val="000000"/>
                <w:sz w:val="24"/>
                <w:szCs w:val="24"/>
              </w:rPr>
              <w:t>Send second reminder post card</w:t>
            </w:r>
          </w:p>
        </w:tc>
      </w:tr>
      <w:tr w:rsidRPr="002F5800" w:rsidR="002F5800" w:rsidTr="00CB11DD" w14:paraId="41025475" w14:textId="77777777">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285759B0" w14:textId="576A9677">
            <w:pPr>
              <w:spacing w:line="480" w:lineRule="auto"/>
              <w:jc w:val="left"/>
              <w:rPr>
                <w:sz w:val="24"/>
                <w:szCs w:val="24"/>
              </w:rPr>
            </w:pPr>
            <w:r w:rsidRPr="00CB11DD">
              <w:rPr>
                <w:color w:val="000000"/>
                <w:sz w:val="24"/>
                <w:szCs w:val="24"/>
              </w:rPr>
              <w:t>Week 4</w:t>
            </w:r>
          </w:p>
        </w:tc>
        <w:tc>
          <w:tcPr>
            <w:tcW w:w="5220" w:type="dxa"/>
          </w:tcPr>
          <w:p w:rsidRPr="002F5800" w:rsidR="002F5800" w:rsidP="002F5800" w:rsidRDefault="002F5800" w14:paraId="3A18717B" w14:textId="2F1B2D98">
            <w:pPr>
              <w:spacing w:line="48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Send invitation letter (2nd sample release)</w:t>
            </w:r>
          </w:p>
        </w:tc>
      </w:tr>
      <w:tr w:rsidRPr="002F5800" w:rsidR="002F5800" w:rsidTr="00CB11DD" w14:paraId="485E82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1072D6E0" w14:textId="40B0FC4E">
            <w:pPr>
              <w:spacing w:line="480" w:lineRule="auto"/>
              <w:jc w:val="left"/>
              <w:rPr>
                <w:sz w:val="24"/>
                <w:szCs w:val="24"/>
              </w:rPr>
            </w:pPr>
            <w:r w:rsidRPr="00CB11DD">
              <w:rPr>
                <w:color w:val="000000"/>
                <w:sz w:val="24"/>
                <w:szCs w:val="24"/>
              </w:rPr>
              <w:t>Week 5</w:t>
            </w:r>
          </w:p>
        </w:tc>
        <w:tc>
          <w:tcPr>
            <w:tcW w:w="5220" w:type="dxa"/>
          </w:tcPr>
          <w:p w:rsidRPr="002F5800" w:rsidR="002F5800" w:rsidP="002F5800" w:rsidRDefault="002F5800" w14:paraId="20A9FE35" w14:textId="60CC1F3D">
            <w:pPr>
              <w:spacing w:line="48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CB11DD">
              <w:rPr>
                <w:color w:val="000000"/>
                <w:sz w:val="24"/>
                <w:szCs w:val="24"/>
              </w:rPr>
              <w:t>Begin computer-assisted telephone interviews</w:t>
            </w:r>
          </w:p>
        </w:tc>
      </w:tr>
      <w:tr w:rsidRPr="002F5800" w:rsidR="002F5800" w:rsidTr="00CB11DD" w14:paraId="2DFE719D" w14:textId="77777777">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2D0416D1" w14:textId="11D75E60">
            <w:pPr>
              <w:spacing w:line="480" w:lineRule="auto"/>
              <w:jc w:val="left"/>
              <w:rPr>
                <w:sz w:val="24"/>
                <w:szCs w:val="24"/>
              </w:rPr>
            </w:pPr>
            <w:r w:rsidRPr="00CB11DD">
              <w:rPr>
                <w:color w:val="000000"/>
                <w:sz w:val="24"/>
                <w:szCs w:val="24"/>
              </w:rPr>
              <w:t>Week 5</w:t>
            </w:r>
          </w:p>
        </w:tc>
        <w:tc>
          <w:tcPr>
            <w:tcW w:w="5220" w:type="dxa"/>
          </w:tcPr>
          <w:p w:rsidRPr="002F5800" w:rsidR="002F5800" w:rsidP="002F5800" w:rsidRDefault="002F5800" w14:paraId="10EC2D4A" w14:textId="0E4C3BFB">
            <w:pPr>
              <w:spacing w:line="48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Send first reminder post card</w:t>
            </w:r>
          </w:p>
        </w:tc>
      </w:tr>
      <w:tr w:rsidRPr="002F5800" w:rsidR="002F5800" w:rsidTr="00CB11DD" w14:paraId="18EF95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36407CA0" w14:textId="1DA5BB04">
            <w:pPr>
              <w:spacing w:line="480" w:lineRule="auto"/>
              <w:jc w:val="left"/>
              <w:rPr>
                <w:sz w:val="24"/>
                <w:szCs w:val="24"/>
              </w:rPr>
            </w:pPr>
            <w:r w:rsidRPr="00CB11DD">
              <w:rPr>
                <w:color w:val="000000"/>
                <w:sz w:val="24"/>
                <w:szCs w:val="24"/>
              </w:rPr>
              <w:t>Week 6</w:t>
            </w:r>
          </w:p>
        </w:tc>
        <w:tc>
          <w:tcPr>
            <w:tcW w:w="5220" w:type="dxa"/>
          </w:tcPr>
          <w:p w:rsidRPr="002F5800" w:rsidR="002F5800" w:rsidP="002F5800" w:rsidRDefault="002F5800" w14:paraId="62F9E5F5" w14:textId="7A045015">
            <w:pPr>
              <w:spacing w:line="48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CB11DD">
              <w:rPr>
                <w:color w:val="000000"/>
                <w:sz w:val="24"/>
                <w:szCs w:val="24"/>
              </w:rPr>
              <w:t>Send second reminder post card</w:t>
            </w:r>
          </w:p>
        </w:tc>
      </w:tr>
      <w:tr w:rsidRPr="002F5800" w:rsidR="002F5800" w:rsidTr="00CB11DD" w14:paraId="39841201" w14:textId="77777777">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68A8D80F" w14:textId="12812859">
            <w:pPr>
              <w:spacing w:line="480" w:lineRule="auto"/>
              <w:jc w:val="left"/>
              <w:rPr>
                <w:sz w:val="24"/>
                <w:szCs w:val="24"/>
              </w:rPr>
            </w:pPr>
            <w:r w:rsidRPr="00CB11DD">
              <w:rPr>
                <w:color w:val="000000"/>
                <w:sz w:val="24"/>
                <w:szCs w:val="24"/>
              </w:rPr>
              <w:t>Week 8</w:t>
            </w:r>
          </w:p>
        </w:tc>
        <w:tc>
          <w:tcPr>
            <w:tcW w:w="5220" w:type="dxa"/>
          </w:tcPr>
          <w:p w:rsidRPr="002F5800" w:rsidR="002F5800" w:rsidP="002F5800" w:rsidRDefault="002F5800" w14:paraId="3075A3A6" w14:textId="7FF59567">
            <w:pPr>
              <w:spacing w:line="48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Send invitation letter (3rd sample release)</w:t>
            </w:r>
          </w:p>
        </w:tc>
      </w:tr>
      <w:tr w:rsidRPr="002F5800" w:rsidR="002F5800" w:rsidTr="00CB11DD" w14:paraId="363C90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10009931" w14:textId="0B717DAB">
            <w:pPr>
              <w:spacing w:line="480" w:lineRule="auto"/>
              <w:jc w:val="left"/>
              <w:rPr>
                <w:sz w:val="24"/>
                <w:szCs w:val="24"/>
              </w:rPr>
            </w:pPr>
            <w:r w:rsidRPr="00CB11DD">
              <w:rPr>
                <w:color w:val="000000"/>
                <w:sz w:val="24"/>
                <w:szCs w:val="24"/>
              </w:rPr>
              <w:t>Week 8</w:t>
            </w:r>
          </w:p>
        </w:tc>
        <w:tc>
          <w:tcPr>
            <w:tcW w:w="5220" w:type="dxa"/>
          </w:tcPr>
          <w:p w:rsidRPr="002F5800" w:rsidR="002F5800" w:rsidP="002F5800" w:rsidRDefault="002F5800" w14:paraId="0201A3BA" w14:textId="1BEEB64E">
            <w:pPr>
              <w:spacing w:line="48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CB11DD">
              <w:rPr>
                <w:color w:val="000000"/>
                <w:sz w:val="24"/>
                <w:szCs w:val="24"/>
              </w:rPr>
              <w:t>Begin field outreach to non-respondents</w:t>
            </w:r>
          </w:p>
        </w:tc>
      </w:tr>
      <w:tr w:rsidRPr="002F5800" w:rsidR="002F5800" w:rsidTr="00CB11DD" w14:paraId="78909ACE" w14:textId="77777777">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650FD697" w14:textId="2FD4961E">
            <w:pPr>
              <w:spacing w:line="480" w:lineRule="auto"/>
              <w:jc w:val="left"/>
              <w:rPr>
                <w:sz w:val="24"/>
                <w:szCs w:val="24"/>
              </w:rPr>
            </w:pPr>
            <w:r w:rsidRPr="00CB11DD">
              <w:rPr>
                <w:color w:val="000000"/>
                <w:sz w:val="24"/>
                <w:szCs w:val="24"/>
              </w:rPr>
              <w:t>Week 9</w:t>
            </w:r>
          </w:p>
        </w:tc>
        <w:tc>
          <w:tcPr>
            <w:tcW w:w="5220" w:type="dxa"/>
          </w:tcPr>
          <w:p w:rsidRPr="002F5800" w:rsidR="002F5800" w:rsidP="002F5800" w:rsidRDefault="002F5800" w14:paraId="2BA85552" w14:textId="098FD731">
            <w:pPr>
              <w:spacing w:line="48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Send first reminder post card</w:t>
            </w:r>
          </w:p>
        </w:tc>
      </w:tr>
      <w:tr w:rsidRPr="002F5800" w:rsidR="002F5800" w:rsidTr="00CB11DD" w14:paraId="6E38BA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22A47CDE" w14:textId="6E3F218E">
            <w:pPr>
              <w:spacing w:line="480" w:lineRule="auto"/>
              <w:jc w:val="left"/>
              <w:rPr>
                <w:sz w:val="24"/>
                <w:szCs w:val="24"/>
              </w:rPr>
            </w:pPr>
            <w:r w:rsidRPr="00CB11DD">
              <w:rPr>
                <w:color w:val="000000"/>
                <w:sz w:val="24"/>
                <w:szCs w:val="24"/>
              </w:rPr>
              <w:t>Week 10</w:t>
            </w:r>
          </w:p>
        </w:tc>
        <w:tc>
          <w:tcPr>
            <w:tcW w:w="5220" w:type="dxa"/>
          </w:tcPr>
          <w:p w:rsidRPr="002F5800" w:rsidR="002F5800" w:rsidP="002F5800" w:rsidRDefault="002F5800" w14:paraId="1B57149C" w14:textId="06F72B9E">
            <w:pPr>
              <w:spacing w:line="48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CB11DD">
              <w:rPr>
                <w:color w:val="000000"/>
                <w:sz w:val="24"/>
                <w:szCs w:val="24"/>
              </w:rPr>
              <w:t>Send second reminder post card</w:t>
            </w:r>
          </w:p>
        </w:tc>
      </w:tr>
      <w:tr w:rsidRPr="002F5800" w:rsidR="002F5800" w:rsidTr="00CB11DD" w14:paraId="3726DCAC" w14:textId="77777777">
        <w:tc>
          <w:tcPr>
            <w:cnfStyle w:val="001000000000" w:firstRow="0" w:lastRow="0" w:firstColumn="1" w:lastColumn="0" w:oddVBand="0" w:evenVBand="0" w:oddHBand="0" w:evenHBand="0" w:firstRowFirstColumn="0" w:firstRowLastColumn="0" w:lastRowFirstColumn="0" w:lastRowLastColumn="0"/>
            <w:tcW w:w="2628" w:type="dxa"/>
          </w:tcPr>
          <w:p w:rsidRPr="002F5800" w:rsidR="002F5800" w:rsidP="002F5800" w:rsidRDefault="002F5800" w14:paraId="039569F3" w14:textId="5350F695">
            <w:pPr>
              <w:spacing w:line="480" w:lineRule="auto"/>
              <w:jc w:val="left"/>
              <w:rPr>
                <w:sz w:val="24"/>
                <w:szCs w:val="24"/>
              </w:rPr>
            </w:pPr>
            <w:r w:rsidRPr="00CB11DD">
              <w:rPr>
                <w:color w:val="000000"/>
                <w:sz w:val="24"/>
                <w:szCs w:val="24"/>
              </w:rPr>
              <w:t xml:space="preserve">Week 14 </w:t>
            </w:r>
          </w:p>
        </w:tc>
        <w:tc>
          <w:tcPr>
            <w:tcW w:w="5220" w:type="dxa"/>
          </w:tcPr>
          <w:p w:rsidRPr="002F5800" w:rsidR="002F5800" w:rsidP="002F5800" w:rsidRDefault="002F5800" w14:paraId="160E3CE9" w14:textId="64109615">
            <w:pPr>
              <w:spacing w:line="480" w:lineRule="auto"/>
              <w:jc w:val="left"/>
              <w:cnfStyle w:val="000000000000" w:firstRow="0" w:lastRow="0" w:firstColumn="0" w:lastColumn="0" w:oddVBand="0" w:evenVBand="0" w:oddHBand="0" w:evenHBand="0" w:firstRowFirstColumn="0" w:firstRowLastColumn="0" w:lastRowFirstColumn="0" w:lastRowLastColumn="0"/>
              <w:rPr>
                <w:sz w:val="24"/>
                <w:szCs w:val="24"/>
              </w:rPr>
            </w:pPr>
            <w:r w:rsidRPr="00CB11DD">
              <w:rPr>
                <w:color w:val="000000"/>
                <w:sz w:val="24"/>
                <w:szCs w:val="24"/>
              </w:rPr>
              <w:t>Complete field work on 1st sample release</w:t>
            </w:r>
          </w:p>
        </w:tc>
      </w:tr>
      <w:tr w:rsidRPr="002F5800" w:rsidR="002F5800" w:rsidTr="00CB11DD" w14:paraId="65AD43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Pr="00CB11DD" w:rsidR="002F5800" w:rsidP="002F5800" w:rsidRDefault="002F5800" w14:paraId="6FF4F21D" w14:textId="4302319A">
            <w:pPr>
              <w:spacing w:line="480" w:lineRule="auto"/>
              <w:jc w:val="left"/>
              <w:rPr>
                <w:color w:val="000000"/>
                <w:sz w:val="24"/>
                <w:szCs w:val="24"/>
              </w:rPr>
            </w:pPr>
            <w:r w:rsidRPr="00CB11DD">
              <w:rPr>
                <w:color w:val="000000"/>
                <w:sz w:val="24"/>
                <w:szCs w:val="24"/>
              </w:rPr>
              <w:t>Week 18</w:t>
            </w:r>
          </w:p>
        </w:tc>
        <w:tc>
          <w:tcPr>
            <w:tcW w:w="5220" w:type="dxa"/>
          </w:tcPr>
          <w:p w:rsidRPr="00CB11DD" w:rsidR="002F5800" w:rsidP="002F5800" w:rsidRDefault="002F5800" w14:paraId="22F9480F" w14:textId="4635C713">
            <w:pPr>
              <w:spacing w:line="480" w:lineRule="auto"/>
              <w:jc w:val="left"/>
              <w:cnfStyle w:val="000000100000" w:firstRow="0" w:lastRow="0" w:firstColumn="0" w:lastColumn="0" w:oddVBand="0" w:evenVBand="0" w:oddHBand="1" w:evenHBand="0" w:firstRowFirstColumn="0" w:firstRowLastColumn="0" w:lastRowFirstColumn="0" w:lastRowLastColumn="0"/>
              <w:rPr>
                <w:color w:val="000000"/>
                <w:sz w:val="24"/>
                <w:szCs w:val="24"/>
              </w:rPr>
            </w:pPr>
            <w:r w:rsidRPr="00CB11DD">
              <w:rPr>
                <w:color w:val="000000"/>
                <w:sz w:val="24"/>
                <w:szCs w:val="24"/>
              </w:rPr>
              <w:t>Complete field work on 2nd sample release</w:t>
            </w:r>
          </w:p>
        </w:tc>
      </w:tr>
      <w:tr w:rsidRPr="002F5800" w:rsidR="002F5800" w:rsidTr="00CB11DD" w14:paraId="3473DECA" w14:textId="77777777">
        <w:tc>
          <w:tcPr>
            <w:cnfStyle w:val="001000000000" w:firstRow="0" w:lastRow="0" w:firstColumn="1" w:lastColumn="0" w:oddVBand="0" w:evenVBand="0" w:oddHBand="0" w:evenHBand="0" w:firstRowFirstColumn="0" w:firstRowLastColumn="0" w:lastRowFirstColumn="0" w:lastRowLastColumn="0"/>
            <w:tcW w:w="2628" w:type="dxa"/>
          </w:tcPr>
          <w:p w:rsidRPr="00CB11DD" w:rsidR="002F5800" w:rsidP="002F5800" w:rsidRDefault="002F5800" w14:paraId="316659BF" w14:textId="5C36B749">
            <w:pPr>
              <w:spacing w:line="480" w:lineRule="auto"/>
              <w:jc w:val="left"/>
              <w:rPr>
                <w:color w:val="000000"/>
                <w:sz w:val="24"/>
                <w:szCs w:val="24"/>
              </w:rPr>
            </w:pPr>
            <w:r w:rsidRPr="00CB11DD">
              <w:rPr>
                <w:color w:val="000000"/>
                <w:sz w:val="24"/>
                <w:szCs w:val="24"/>
              </w:rPr>
              <w:t>Week 22</w:t>
            </w:r>
          </w:p>
        </w:tc>
        <w:tc>
          <w:tcPr>
            <w:tcW w:w="5220" w:type="dxa"/>
          </w:tcPr>
          <w:p w:rsidRPr="00CB11DD" w:rsidR="002F5800" w:rsidP="002F5800" w:rsidRDefault="002F5800" w14:paraId="3E8DAF35" w14:textId="3A22456F">
            <w:pPr>
              <w:spacing w:line="480" w:lineRule="auto"/>
              <w:jc w:val="left"/>
              <w:cnfStyle w:val="000000000000" w:firstRow="0" w:lastRow="0" w:firstColumn="0" w:lastColumn="0" w:oddVBand="0" w:evenVBand="0" w:oddHBand="0" w:evenHBand="0" w:firstRowFirstColumn="0" w:firstRowLastColumn="0" w:lastRowFirstColumn="0" w:lastRowLastColumn="0"/>
              <w:rPr>
                <w:color w:val="000000"/>
                <w:sz w:val="24"/>
                <w:szCs w:val="24"/>
              </w:rPr>
            </w:pPr>
            <w:r w:rsidRPr="00CB11DD">
              <w:rPr>
                <w:color w:val="000000"/>
                <w:sz w:val="24"/>
                <w:szCs w:val="24"/>
              </w:rPr>
              <w:t>Complete field work on 3rd sample release</w:t>
            </w:r>
          </w:p>
        </w:tc>
      </w:tr>
    </w:tbl>
    <w:p w:rsidRPr="002F5800" w:rsidR="002F5800" w:rsidP="008524B1" w:rsidRDefault="002F5800" w14:paraId="1FD580F7" w14:textId="77777777">
      <w:pPr>
        <w:spacing w:line="480" w:lineRule="auto"/>
        <w:jc w:val="left"/>
        <w:rPr>
          <w:sz w:val="24"/>
          <w:szCs w:val="24"/>
        </w:rPr>
      </w:pPr>
    </w:p>
    <w:p w:rsidRPr="002F5800" w:rsidR="002F5800" w:rsidP="008524B1" w:rsidRDefault="002F5800" w14:paraId="21D9579C" w14:textId="77777777">
      <w:pPr>
        <w:spacing w:line="480" w:lineRule="auto"/>
        <w:jc w:val="left"/>
        <w:rPr>
          <w:sz w:val="24"/>
          <w:szCs w:val="24"/>
        </w:rPr>
      </w:pPr>
    </w:p>
    <w:p w:rsidRPr="002F5800" w:rsidR="000614FD" w:rsidP="00C47090" w:rsidRDefault="000614FD" w14:paraId="1A49B2A2" w14:textId="01CC9E16">
      <w:pPr>
        <w:spacing w:line="480" w:lineRule="auto"/>
        <w:jc w:val="left"/>
        <w:rPr>
          <w:sz w:val="24"/>
          <w:szCs w:val="24"/>
        </w:rPr>
      </w:pPr>
      <w:r w:rsidRPr="002F5800">
        <w:rPr>
          <w:sz w:val="24"/>
          <w:szCs w:val="24"/>
        </w:rPr>
        <w:t>We anticipate that some sample members will move out of the primary sampling unit (PSU)</w:t>
      </w:r>
      <w:r w:rsidRPr="002F5800">
        <w:rPr>
          <w:b/>
          <w:sz w:val="24"/>
          <w:szCs w:val="24"/>
        </w:rPr>
        <w:t>.</w:t>
      </w:r>
      <w:r w:rsidRPr="002F5800">
        <w:rPr>
          <w:sz w:val="24"/>
          <w:szCs w:val="24"/>
        </w:rPr>
        <w:t xml:space="preserve"> If our field location efforts discover that a sample member moved out of the PSU and into a PSU that is not in the sample, we will first attempt to interview the sample member by telephone. For sample members who moved out of the PSU and </w:t>
      </w:r>
      <w:r w:rsidRPr="002F5800" w:rsidR="009F3F19">
        <w:rPr>
          <w:sz w:val="24"/>
          <w:szCs w:val="24"/>
        </w:rPr>
        <w:t xml:space="preserve">we </w:t>
      </w:r>
      <w:r w:rsidRPr="002F5800">
        <w:rPr>
          <w:sz w:val="24"/>
          <w:szCs w:val="24"/>
        </w:rPr>
        <w:t xml:space="preserve">cannot reach by telephone, we will set a maximum distance that the data collector has to travel to interview the sample member. In this case, we will count sample members who move more than the maximum distance outside of a sampled PSU as nonrespondents and we will adjust for this type of nonresponse for using nonresponse weighting. </w:t>
      </w:r>
    </w:p>
    <w:p w:rsidRPr="002F5800" w:rsidR="00430416" w:rsidP="00C47090" w:rsidRDefault="00430416" w14:paraId="1856B3EA" w14:textId="77777777">
      <w:pPr>
        <w:spacing w:line="480" w:lineRule="auto"/>
        <w:ind w:left="720"/>
        <w:jc w:val="left"/>
        <w:rPr>
          <w:sz w:val="24"/>
          <w:szCs w:val="24"/>
        </w:rPr>
      </w:pPr>
    </w:p>
    <w:p w:rsidRPr="002F5800" w:rsidR="00765525" w:rsidP="00C47090" w:rsidRDefault="00765525" w14:paraId="5140E149" w14:textId="77777777">
      <w:pPr>
        <w:pStyle w:val="L1-FlLSp12"/>
        <w:spacing w:line="480" w:lineRule="auto"/>
        <w:jc w:val="left"/>
        <w:rPr>
          <w:sz w:val="24"/>
          <w:szCs w:val="24"/>
        </w:rPr>
      </w:pPr>
      <w:r w:rsidRPr="002F5800">
        <w:rPr>
          <w:sz w:val="24"/>
          <w:szCs w:val="24"/>
        </w:rPr>
        <w:t>Imputation is widely used to fill in item nonresponse in survey data sets because it makes analysis more consistent from one user to the next, it avoids large biases in estimates of totals, and it can reduce nonresponse bias in other types of estimates in some circumstances. Eliminating missing data by imputation also allows analysts to include all cases when conducting multivariate analyses, which is particularly helpful if the alternative is to drop all cases that have missing values for one or more of the variables involved in the analysis.</w:t>
      </w:r>
    </w:p>
    <w:p w:rsidRPr="002F5800" w:rsidR="00765525" w:rsidP="00C47090" w:rsidRDefault="00765525" w14:paraId="410FA016" w14:textId="77777777">
      <w:pPr>
        <w:pStyle w:val="L1-FlLSp12"/>
        <w:spacing w:line="480" w:lineRule="auto"/>
        <w:jc w:val="left"/>
        <w:rPr>
          <w:sz w:val="24"/>
          <w:szCs w:val="24"/>
        </w:rPr>
      </w:pPr>
    </w:p>
    <w:p w:rsidRPr="002F5800" w:rsidR="00765525" w:rsidP="00FF00C5" w:rsidRDefault="00765525" w14:paraId="0F7D3B6B" w14:textId="77777777">
      <w:pPr>
        <w:autoSpaceDE w:val="0"/>
        <w:autoSpaceDN w:val="0"/>
        <w:adjustRightInd w:val="0"/>
        <w:spacing w:after="240" w:line="480" w:lineRule="auto"/>
        <w:jc w:val="left"/>
        <w:rPr>
          <w:rFonts w:cs="Garamond" w:eastAsiaTheme="minorEastAsia"/>
          <w:sz w:val="24"/>
          <w:szCs w:val="24"/>
        </w:rPr>
      </w:pPr>
      <w:r w:rsidRPr="002F5800">
        <w:rPr>
          <w:sz w:val="24"/>
          <w:szCs w:val="24"/>
        </w:rPr>
        <w:t>We will not impute missing data on outcome variables. However, we will impute key covariates if there are significant missing data. The general approach involved in imputation is to use the information available for a record to assign values for the record’s missing items.</w:t>
      </w:r>
      <w:r w:rsidRPr="002F5800">
        <w:rPr>
          <w:rFonts w:cs="Garamond" w:eastAsiaTheme="minorEastAsia"/>
          <w:sz w:val="24"/>
          <w:szCs w:val="24"/>
        </w:rPr>
        <w:t xml:space="preserve"> We will flag any imputed values so that the user of the data knows which values are original respondent values and which are imputed values. </w:t>
      </w:r>
    </w:p>
    <w:p w:rsidR="0053348F" w:rsidP="00FF00C5" w:rsidRDefault="0053348F" w14:paraId="161094AA" w14:textId="7B7FC4FC">
      <w:pPr>
        <w:tabs>
          <w:tab w:val="clear" w:pos="1152"/>
        </w:tabs>
        <w:spacing w:after="240" w:line="240" w:lineRule="auto"/>
        <w:jc w:val="left"/>
        <w:rPr>
          <w:sz w:val="24"/>
          <w:szCs w:val="24"/>
        </w:rPr>
      </w:pPr>
      <w:bookmarkStart w:name="_Toc474235259" w:id="34"/>
    </w:p>
    <w:p w:rsidRPr="008524B1" w:rsidR="008B7841" w:rsidP="000F5861" w:rsidRDefault="008B7841" w14:paraId="5E6E234F" w14:textId="0FC1BA31">
      <w:pPr>
        <w:spacing w:line="480" w:lineRule="auto"/>
        <w:jc w:val="left"/>
        <w:rPr>
          <w:b/>
          <w:sz w:val="24"/>
          <w:szCs w:val="24"/>
        </w:rPr>
      </w:pPr>
      <w:r w:rsidRPr="008524B1">
        <w:rPr>
          <w:b/>
          <w:sz w:val="24"/>
          <w:szCs w:val="24"/>
        </w:rPr>
        <w:t>B.3.2</w:t>
      </w:r>
      <w:r w:rsidRPr="008524B1">
        <w:rPr>
          <w:b/>
          <w:sz w:val="24"/>
          <w:szCs w:val="24"/>
        </w:rPr>
        <w:tab/>
        <w:t>Nonresponse Bias Analysis</w:t>
      </w:r>
      <w:bookmarkEnd w:id="34"/>
    </w:p>
    <w:p w:rsidRPr="002F5800" w:rsidR="005F00AD" w:rsidP="00C47090" w:rsidRDefault="0024517E" w14:paraId="424D7493" w14:textId="56C3022B">
      <w:pPr>
        <w:spacing w:line="480" w:lineRule="auto"/>
        <w:jc w:val="left"/>
        <w:rPr>
          <w:sz w:val="24"/>
          <w:szCs w:val="24"/>
        </w:rPr>
      </w:pPr>
      <w:r w:rsidRPr="002F5800">
        <w:rPr>
          <w:sz w:val="24"/>
          <w:szCs w:val="24"/>
        </w:rPr>
        <w:lastRenderedPageBreak/>
        <w:t xml:space="preserve">Although </w:t>
      </w:r>
      <w:r w:rsidRPr="002F5800" w:rsidR="00010B55">
        <w:rPr>
          <w:sz w:val="24"/>
          <w:szCs w:val="24"/>
        </w:rPr>
        <w:t xml:space="preserve">we will make </w:t>
      </w:r>
      <w:r w:rsidRPr="002F5800">
        <w:rPr>
          <w:sz w:val="24"/>
          <w:szCs w:val="24"/>
        </w:rPr>
        <w:t>efforts to achieve as high a response rate as practicable with the available resources, nontrivial nonresponse losses are likely to occur</w:t>
      </w:r>
      <w:r w:rsidRPr="002F5800" w:rsidR="00010B55">
        <w:rPr>
          <w:sz w:val="24"/>
          <w:szCs w:val="24"/>
        </w:rPr>
        <w:t>. We will conduct</w:t>
      </w:r>
      <w:r w:rsidRPr="002F5800">
        <w:rPr>
          <w:sz w:val="24"/>
          <w:szCs w:val="24"/>
        </w:rPr>
        <w:t xml:space="preserve"> a nonresponse bias analysis to assess the impact of nonresponse on the survey estimates and the effectiveness of the weight adjustments to da</w:t>
      </w:r>
      <w:r w:rsidRPr="002F5800" w:rsidR="004877A5">
        <w:rPr>
          <w:sz w:val="24"/>
          <w:szCs w:val="24"/>
        </w:rPr>
        <w:t xml:space="preserve">mpen potential nonresponse biases. </w:t>
      </w:r>
      <w:r w:rsidRPr="002F5800" w:rsidR="00010B55">
        <w:rPr>
          <w:sz w:val="24"/>
          <w:szCs w:val="24"/>
        </w:rPr>
        <w:t xml:space="preserve">We will use </w:t>
      </w:r>
      <w:r w:rsidRPr="002F5800" w:rsidR="004877A5">
        <w:rPr>
          <w:sz w:val="24"/>
          <w:szCs w:val="24"/>
        </w:rPr>
        <w:t xml:space="preserve">variables that are available for both respondents and nonrespondents. </w:t>
      </w:r>
    </w:p>
    <w:p w:rsidRPr="002F5800" w:rsidR="006D1CA5" w:rsidP="00C47090" w:rsidRDefault="006D1CA5" w14:paraId="1237016B" w14:textId="77777777">
      <w:pPr>
        <w:spacing w:line="480" w:lineRule="auto"/>
        <w:jc w:val="left"/>
        <w:rPr>
          <w:sz w:val="24"/>
          <w:szCs w:val="24"/>
        </w:rPr>
      </w:pPr>
    </w:p>
    <w:p w:rsidRPr="002F5800" w:rsidR="004877A5" w:rsidP="00C47090" w:rsidRDefault="004877A5" w14:paraId="307E144E" w14:textId="77777777">
      <w:pPr>
        <w:spacing w:line="480" w:lineRule="auto"/>
        <w:jc w:val="left"/>
        <w:rPr>
          <w:sz w:val="24"/>
          <w:szCs w:val="24"/>
        </w:rPr>
      </w:pPr>
      <w:r w:rsidRPr="002F5800">
        <w:rPr>
          <w:sz w:val="24"/>
          <w:szCs w:val="24"/>
        </w:rPr>
        <w:t xml:space="preserve">The types of analyses </w:t>
      </w:r>
      <w:r w:rsidRPr="002F5800" w:rsidR="00010B55">
        <w:rPr>
          <w:sz w:val="24"/>
          <w:szCs w:val="24"/>
        </w:rPr>
        <w:t xml:space="preserve">we will </w:t>
      </w:r>
      <w:r w:rsidRPr="002F5800">
        <w:rPr>
          <w:sz w:val="24"/>
          <w:szCs w:val="24"/>
        </w:rPr>
        <w:t>conduct to evaluate nonresponse will include:</w:t>
      </w:r>
    </w:p>
    <w:p w:rsidRPr="002F5800" w:rsidR="00010B55" w:rsidP="00C47090" w:rsidRDefault="00010B55" w14:paraId="6FDDB333" w14:textId="5352E38A">
      <w:pPr>
        <w:pStyle w:val="ListParagraph"/>
        <w:numPr>
          <w:ilvl w:val="0"/>
          <w:numId w:val="13"/>
        </w:numPr>
        <w:spacing w:line="480" w:lineRule="auto"/>
        <w:jc w:val="left"/>
        <w:rPr>
          <w:rFonts w:ascii="Times New Roman" w:hAnsi="Times New Roman"/>
          <w:sz w:val="24"/>
          <w:szCs w:val="24"/>
        </w:rPr>
      </w:pPr>
      <w:r w:rsidRPr="002F5800">
        <w:rPr>
          <w:rFonts w:ascii="Times New Roman" w:hAnsi="Times New Roman"/>
          <w:sz w:val="24"/>
          <w:szCs w:val="24"/>
        </w:rPr>
        <w:t>Evaluating differences found between survey respondents and nonrespondents using state SNAP participant data;</w:t>
      </w:r>
    </w:p>
    <w:p w:rsidRPr="002F5800" w:rsidR="00010B55" w:rsidP="00C47090" w:rsidRDefault="00010B55" w14:paraId="27309494" w14:textId="77777777">
      <w:pPr>
        <w:pStyle w:val="ListParagraph"/>
        <w:numPr>
          <w:ilvl w:val="0"/>
          <w:numId w:val="13"/>
        </w:numPr>
        <w:spacing w:line="480" w:lineRule="auto"/>
        <w:jc w:val="left"/>
        <w:rPr>
          <w:rFonts w:ascii="Times New Roman" w:hAnsi="Times New Roman"/>
          <w:sz w:val="24"/>
          <w:szCs w:val="24"/>
        </w:rPr>
      </w:pPr>
      <w:r w:rsidRPr="002F5800">
        <w:rPr>
          <w:rFonts w:ascii="Times New Roman" w:hAnsi="Times New Roman"/>
          <w:sz w:val="24"/>
          <w:szCs w:val="24"/>
        </w:rPr>
        <w:t>Comparing weighted estimates of characteristics available for both respondents and nonrespondents using unadjusted (base) weights versus nonresponse-adjusted weights;</w:t>
      </w:r>
    </w:p>
    <w:p w:rsidRPr="002F5800" w:rsidR="00833FBD" w:rsidP="00C47090" w:rsidRDefault="00833FBD" w14:paraId="0DC0BEB8" w14:textId="105066A8">
      <w:pPr>
        <w:pStyle w:val="ListParagraph"/>
        <w:numPr>
          <w:ilvl w:val="0"/>
          <w:numId w:val="13"/>
        </w:numPr>
        <w:spacing w:line="480" w:lineRule="auto"/>
        <w:jc w:val="left"/>
        <w:rPr>
          <w:rFonts w:ascii="Times New Roman" w:hAnsi="Times New Roman"/>
          <w:sz w:val="24"/>
          <w:szCs w:val="24"/>
        </w:rPr>
      </w:pPr>
      <w:r w:rsidRPr="002F5800">
        <w:rPr>
          <w:rFonts w:ascii="Times New Roman" w:hAnsi="Times New Roman"/>
          <w:sz w:val="24"/>
          <w:szCs w:val="24"/>
        </w:rPr>
        <w:t>Comparing characteristics of respondents providing completed data at different levels of data collection effort (e.g., cases completed with limited follow-up compared to those requiring field follow-up)</w:t>
      </w:r>
      <w:r w:rsidRPr="002F5800" w:rsidR="00C81986">
        <w:rPr>
          <w:rFonts w:ascii="Times New Roman" w:hAnsi="Times New Roman"/>
          <w:sz w:val="24"/>
          <w:szCs w:val="24"/>
        </w:rPr>
        <w:t>.</w:t>
      </w:r>
    </w:p>
    <w:p w:rsidRPr="008524B1" w:rsidR="000F7C63" w:rsidRDefault="000F7C63" w14:paraId="50DBB361" w14:textId="77777777">
      <w:pPr>
        <w:pStyle w:val="Heading1"/>
        <w:rPr>
          <w:sz w:val="24"/>
        </w:rPr>
      </w:pPr>
      <w:bookmarkStart w:name="_Toc329341130" w:id="35"/>
      <w:bookmarkStart w:name="_Toc400377755" w:id="36"/>
      <w:bookmarkStart w:name="_Toc409090906" w:id="37"/>
      <w:bookmarkStart w:name="_Toc474235260" w:id="38"/>
      <w:r w:rsidRPr="008524B1">
        <w:rPr>
          <w:sz w:val="24"/>
        </w:rPr>
        <w:t>B.4</w:t>
      </w:r>
      <w:r w:rsidRPr="008524B1">
        <w:rPr>
          <w:sz w:val="24"/>
        </w:rPr>
        <w:tab/>
        <w:t>Test of Procedures or Methods to be Undertaken</w:t>
      </w:r>
      <w:bookmarkEnd w:id="35"/>
      <w:bookmarkEnd w:id="36"/>
      <w:bookmarkEnd w:id="37"/>
      <w:bookmarkEnd w:id="38"/>
    </w:p>
    <w:p w:rsidRPr="002F5800" w:rsidR="004F54C8" w:rsidP="008524B1" w:rsidRDefault="004F54C8" w14:paraId="177D6AC1" w14:textId="77777777">
      <w:pPr>
        <w:spacing w:line="360" w:lineRule="atLeast"/>
        <w:jc w:val="left"/>
        <w:rPr>
          <w:b/>
          <w:sz w:val="24"/>
          <w:szCs w:val="24"/>
        </w:rPr>
      </w:pPr>
      <w:bookmarkStart w:name="_Toc400377756" w:id="39"/>
      <w:bookmarkStart w:name="_Toc409090907" w:id="40"/>
      <w:bookmarkStart w:name="_Toc474235261" w:id="41"/>
      <w:r w:rsidRPr="002F5800">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2F5800" w:rsidR="009F3F19" w:rsidP="00C47090" w:rsidRDefault="009F3F19" w14:paraId="417531C6" w14:textId="77777777">
      <w:pPr>
        <w:tabs>
          <w:tab w:val="left" w:pos="-720"/>
        </w:tabs>
        <w:suppressAutoHyphens/>
        <w:spacing w:line="480" w:lineRule="auto"/>
        <w:jc w:val="left"/>
        <w:rPr>
          <w:sz w:val="24"/>
          <w:szCs w:val="24"/>
        </w:rPr>
      </w:pPr>
    </w:p>
    <w:p w:rsidRPr="002F5800" w:rsidR="004F54C8" w:rsidP="00C47090" w:rsidRDefault="00833FBD" w14:paraId="48035398" w14:textId="1BFAA162">
      <w:pPr>
        <w:tabs>
          <w:tab w:val="left" w:pos="-720"/>
        </w:tabs>
        <w:suppressAutoHyphens/>
        <w:spacing w:line="480" w:lineRule="auto"/>
        <w:jc w:val="left"/>
        <w:rPr>
          <w:sz w:val="24"/>
          <w:szCs w:val="24"/>
        </w:rPr>
      </w:pPr>
      <w:r w:rsidRPr="002F5800">
        <w:rPr>
          <w:sz w:val="24"/>
          <w:szCs w:val="24"/>
        </w:rPr>
        <w:t xml:space="preserve">The web and CATI versions of the survey instrument were pretested </w:t>
      </w:r>
      <w:r w:rsidRPr="002F5800" w:rsidR="00077FBF">
        <w:rPr>
          <w:sz w:val="24"/>
          <w:szCs w:val="24"/>
        </w:rPr>
        <w:t xml:space="preserve">with SNAP participants </w:t>
      </w:r>
      <w:r w:rsidRPr="002F5800">
        <w:rPr>
          <w:sz w:val="24"/>
          <w:szCs w:val="24"/>
        </w:rPr>
        <w:t>in English and Spanish under FNS Generic Clearance for Pre-Testing, Pilot, and Field Test Studies, OMB Control Number 0584-</w:t>
      </w:r>
      <w:r w:rsidRPr="002F5800" w:rsidR="009F3F19">
        <w:rPr>
          <w:sz w:val="24"/>
          <w:szCs w:val="24"/>
        </w:rPr>
        <w:t>0606</w:t>
      </w:r>
      <w:r w:rsidRPr="002F5800">
        <w:rPr>
          <w:sz w:val="24"/>
          <w:szCs w:val="24"/>
        </w:rPr>
        <w:t xml:space="preserve"> (</w:t>
      </w:r>
      <w:r w:rsidRPr="00A15A0D">
        <w:rPr>
          <w:sz w:val="24"/>
        </w:rPr>
        <w:t xml:space="preserve">expiration 03/31/2019). Pretesting began on </w:t>
      </w:r>
      <w:r w:rsidRPr="00A15A0D" w:rsidR="00077FBF">
        <w:rPr>
          <w:sz w:val="24"/>
        </w:rPr>
        <w:t xml:space="preserve">March 25, 2019 </w:t>
      </w:r>
      <w:r w:rsidRPr="00A15A0D">
        <w:rPr>
          <w:sz w:val="24"/>
        </w:rPr>
        <w:t xml:space="preserve">and </w:t>
      </w:r>
      <w:r w:rsidRPr="00A15A0D" w:rsidR="00077FBF">
        <w:rPr>
          <w:sz w:val="24"/>
        </w:rPr>
        <w:t>ended on June 6, 2019.</w:t>
      </w:r>
    </w:p>
    <w:p w:rsidRPr="002F5800" w:rsidR="006D1CA5" w:rsidP="00C47090" w:rsidRDefault="006D1CA5" w14:paraId="436A8C9E" w14:textId="77777777">
      <w:pPr>
        <w:tabs>
          <w:tab w:val="left" w:pos="-720"/>
        </w:tabs>
        <w:suppressAutoHyphens/>
        <w:spacing w:line="480" w:lineRule="auto"/>
        <w:jc w:val="left"/>
        <w:rPr>
          <w:sz w:val="24"/>
          <w:szCs w:val="24"/>
        </w:rPr>
      </w:pPr>
    </w:p>
    <w:p w:rsidRPr="002F5800" w:rsidR="00077FBF" w:rsidP="00C47090" w:rsidRDefault="00077FBF" w14:paraId="42AABFD1" w14:textId="5AA33D11">
      <w:pPr>
        <w:tabs>
          <w:tab w:val="left" w:pos="-720"/>
        </w:tabs>
        <w:suppressAutoHyphens/>
        <w:spacing w:line="480" w:lineRule="auto"/>
        <w:jc w:val="left"/>
        <w:rPr>
          <w:sz w:val="24"/>
          <w:szCs w:val="24"/>
        </w:rPr>
      </w:pPr>
      <w:r w:rsidRPr="002F5800">
        <w:rPr>
          <w:sz w:val="24"/>
          <w:szCs w:val="24"/>
        </w:rPr>
        <w:lastRenderedPageBreak/>
        <w:t xml:space="preserve">Specific pretest objectives included identifying problems related to communicating intent or meaning of questions and concepts; determining whether respondents could accurately provide the information requested; and assessing the adequacy of the range of responses. In total, we completed 30 interviews. </w:t>
      </w:r>
      <w:r w:rsidRPr="002F5800" w:rsidR="00232AC3">
        <w:rPr>
          <w:sz w:val="24"/>
          <w:szCs w:val="24"/>
        </w:rPr>
        <w:t>W</w:t>
      </w:r>
      <w:r w:rsidRPr="002F5800">
        <w:rPr>
          <w:sz w:val="24"/>
          <w:szCs w:val="24"/>
        </w:rPr>
        <w:t>e revis</w:t>
      </w:r>
      <w:r w:rsidRPr="002F5800" w:rsidR="00232AC3">
        <w:rPr>
          <w:sz w:val="24"/>
          <w:szCs w:val="24"/>
        </w:rPr>
        <w:t>ed</w:t>
      </w:r>
      <w:r w:rsidRPr="002F5800">
        <w:rPr>
          <w:sz w:val="24"/>
          <w:szCs w:val="24"/>
        </w:rPr>
        <w:t xml:space="preserve"> the draft instruments</w:t>
      </w:r>
      <w:r w:rsidRPr="002F5800" w:rsidR="00232AC3">
        <w:rPr>
          <w:sz w:val="24"/>
          <w:szCs w:val="24"/>
        </w:rPr>
        <w:t xml:space="preserve"> following the pretests</w:t>
      </w:r>
      <w:r w:rsidRPr="002F5800">
        <w:rPr>
          <w:sz w:val="24"/>
          <w:szCs w:val="24"/>
        </w:rPr>
        <w:t xml:space="preserve">, including: </w:t>
      </w:r>
    </w:p>
    <w:p w:rsidRPr="002F5800" w:rsidR="00077FBF" w:rsidP="00C47090" w:rsidRDefault="00077FBF" w14:paraId="2B8D8759" w14:textId="77777777">
      <w:pPr>
        <w:pStyle w:val="ListParagraph"/>
        <w:widowControl w:val="0"/>
        <w:numPr>
          <w:ilvl w:val="0"/>
          <w:numId w:val="14"/>
        </w:numPr>
        <w:tabs>
          <w:tab w:val="clear" w:pos="1152"/>
          <w:tab w:val="left" w:pos="-720"/>
        </w:tabs>
        <w:suppressAutoHyphens/>
        <w:spacing w:after="0" w:line="480" w:lineRule="auto"/>
        <w:contextualSpacing/>
        <w:jc w:val="left"/>
        <w:rPr>
          <w:rFonts w:ascii="Times New Roman" w:hAnsi="Times New Roman"/>
          <w:sz w:val="24"/>
          <w:szCs w:val="24"/>
        </w:rPr>
      </w:pPr>
      <w:r w:rsidRPr="002F5800">
        <w:rPr>
          <w:rFonts w:ascii="Times New Roman" w:hAnsi="Times New Roman"/>
          <w:sz w:val="24"/>
          <w:szCs w:val="24"/>
        </w:rPr>
        <w:t>Simplifying and standardizing response options, and reducing the number of responses offered in long lists;</w:t>
      </w:r>
    </w:p>
    <w:p w:rsidRPr="002F5800" w:rsidR="00232AC3" w:rsidP="00C47090" w:rsidRDefault="00232AC3" w14:paraId="6F8E33AD" w14:textId="77777777">
      <w:pPr>
        <w:pStyle w:val="ListParagraph"/>
        <w:widowControl w:val="0"/>
        <w:numPr>
          <w:ilvl w:val="0"/>
          <w:numId w:val="14"/>
        </w:numPr>
        <w:tabs>
          <w:tab w:val="clear" w:pos="1152"/>
          <w:tab w:val="left" w:pos="-720"/>
        </w:tabs>
        <w:suppressAutoHyphens/>
        <w:spacing w:after="0" w:line="480" w:lineRule="auto"/>
        <w:contextualSpacing/>
        <w:jc w:val="left"/>
        <w:rPr>
          <w:rFonts w:ascii="Times New Roman" w:hAnsi="Times New Roman"/>
          <w:sz w:val="24"/>
          <w:szCs w:val="24"/>
        </w:rPr>
      </w:pPr>
      <w:r w:rsidRPr="002F5800">
        <w:rPr>
          <w:rFonts w:ascii="Times New Roman" w:hAnsi="Times New Roman"/>
          <w:sz w:val="24"/>
          <w:szCs w:val="24"/>
        </w:rPr>
        <w:t>Providing revised Spanish translations for greater clarity and understanding;</w:t>
      </w:r>
    </w:p>
    <w:p w:rsidRPr="002F5800" w:rsidR="00232AC3" w:rsidP="00C47090" w:rsidRDefault="00232AC3" w14:paraId="3D616597" w14:textId="77777777">
      <w:pPr>
        <w:pStyle w:val="ListParagraph"/>
        <w:widowControl w:val="0"/>
        <w:numPr>
          <w:ilvl w:val="0"/>
          <w:numId w:val="14"/>
        </w:numPr>
        <w:tabs>
          <w:tab w:val="clear" w:pos="1152"/>
          <w:tab w:val="left" w:pos="-720"/>
        </w:tabs>
        <w:suppressAutoHyphens/>
        <w:spacing w:after="0" w:line="480" w:lineRule="auto"/>
        <w:contextualSpacing/>
        <w:jc w:val="left"/>
        <w:rPr>
          <w:rFonts w:ascii="Times New Roman" w:hAnsi="Times New Roman"/>
          <w:sz w:val="24"/>
          <w:szCs w:val="24"/>
        </w:rPr>
      </w:pPr>
      <w:r w:rsidRPr="002F5800">
        <w:rPr>
          <w:rFonts w:ascii="Times New Roman" w:hAnsi="Times New Roman"/>
          <w:sz w:val="24"/>
          <w:szCs w:val="24"/>
        </w:rPr>
        <w:t>Revising phrasing of questions and response options for greater consistency across questions on the same topics;</w:t>
      </w:r>
    </w:p>
    <w:p w:rsidRPr="002F5800" w:rsidR="00232AC3" w:rsidP="00C47090" w:rsidRDefault="00232AC3" w14:paraId="5C832181" w14:textId="77777777">
      <w:pPr>
        <w:pStyle w:val="ListParagraph"/>
        <w:widowControl w:val="0"/>
        <w:numPr>
          <w:ilvl w:val="0"/>
          <w:numId w:val="14"/>
        </w:numPr>
        <w:tabs>
          <w:tab w:val="clear" w:pos="1152"/>
          <w:tab w:val="left" w:pos="-720"/>
        </w:tabs>
        <w:suppressAutoHyphens/>
        <w:spacing w:after="0" w:line="480" w:lineRule="auto"/>
        <w:contextualSpacing/>
        <w:jc w:val="left"/>
        <w:rPr>
          <w:rFonts w:ascii="Times New Roman" w:hAnsi="Times New Roman"/>
          <w:sz w:val="24"/>
          <w:szCs w:val="24"/>
        </w:rPr>
      </w:pPr>
      <w:r w:rsidRPr="002F5800">
        <w:rPr>
          <w:rFonts w:ascii="Times New Roman" w:hAnsi="Times New Roman"/>
          <w:sz w:val="24"/>
          <w:szCs w:val="24"/>
        </w:rPr>
        <w:t>Providing definitions for some key terms; and</w:t>
      </w:r>
    </w:p>
    <w:p w:rsidRPr="002F5800" w:rsidR="00232AC3" w:rsidP="00C47090" w:rsidRDefault="00232AC3" w14:paraId="2DA92EED" w14:textId="77777777">
      <w:pPr>
        <w:pStyle w:val="ListParagraph"/>
        <w:widowControl w:val="0"/>
        <w:numPr>
          <w:ilvl w:val="0"/>
          <w:numId w:val="14"/>
        </w:numPr>
        <w:tabs>
          <w:tab w:val="clear" w:pos="1152"/>
          <w:tab w:val="left" w:pos="-720"/>
        </w:tabs>
        <w:suppressAutoHyphens/>
        <w:spacing w:after="0" w:line="480" w:lineRule="auto"/>
        <w:contextualSpacing/>
        <w:jc w:val="left"/>
        <w:rPr>
          <w:rFonts w:ascii="Times New Roman" w:hAnsi="Times New Roman"/>
          <w:sz w:val="24"/>
          <w:szCs w:val="24"/>
        </w:rPr>
      </w:pPr>
      <w:r w:rsidRPr="002F5800">
        <w:rPr>
          <w:rFonts w:ascii="Times New Roman" w:hAnsi="Times New Roman"/>
          <w:sz w:val="24"/>
          <w:szCs w:val="24"/>
        </w:rPr>
        <w:t>Including a few additional response options.</w:t>
      </w:r>
    </w:p>
    <w:p w:rsidRPr="002F5800" w:rsidR="00077FBF" w:rsidP="00C47090" w:rsidRDefault="00077FBF" w14:paraId="4E7A0480" w14:textId="77777777">
      <w:pPr>
        <w:pStyle w:val="ListParagraph"/>
        <w:spacing w:line="480" w:lineRule="auto"/>
        <w:jc w:val="left"/>
        <w:rPr>
          <w:rFonts w:ascii="Times New Roman" w:hAnsi="Times New Roman"/>
          <w:sz w:val="24"/>
          <w:szCs w:val="24"/>
        </w:rPr>
      </w:pPr>
    </w:p>
    <w:p w:rsidRPr="008524B1" w:rsidR="000F7C63" w:rsidP="008524B1" w:rsidRDefault="000F7C63" w14:paraId="3A0B8A80" w14:textId="77777777">
      <w:pPr>
        <w:pStyle w:val="Heading1"/>
        <w:spacing w:line="360" w:lineRule="exact"/>
        <w:rPr>
          <w:sz w:val="24"/>
        </w:rPr>
      </w:pPr>
      <w:r w:rsidRPr="008524B1">
        <w:rPr>
          <w:sz w:val="24"/>
        </w:rPr>
        <w:t>B.5</w:t>
      </w:r>
      <w:r w:rsidRPr="008524B1">
        <w:rPr>
          <w:sz w:val="24"/>
        </w:rPr>
        <w:tab/>
        <w:t xml:space="preserve">Individuals Consulted on Statistical </w:t>
      </w:r>
      <w:bookmarkEnd w:id="39"/>
      <w:bookmarkEnd w:id="40"/>
      <w:bookmarkEnd w:id="41"/>
      <w:r w:rsidRPr="008524B1">
        <w:rPr>
          <w:sz w:val="24"/>
        </w:rPr>
        <w:t>Methods and Individuals Responsible for Collecting and/or Analyzing the Data</w:t>
      </w:r>
    </w:p>
    <w:p w:rsidRPr="002F5800" w:rsidR="004F54C8" w:rsidP="008524B1" w:rsidRDefault="004F54C8" w14:paraId="67CD2ED5" w14:textId="77777777">
      <w:pPr>
        <w:spacing w:line="360" w:lineRule="exact"/>
        <w:jc w:val="left"/>
        <w:rPr>
          <w:b/>
          <w:sz w:val="24"/>
          <w:szCs w:val="24"/>
        </w:rPr>
      </w:pPr>
      <w:r w:rsidRPr="002F5800">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Pr="002F5800" w:rsidR="004F54C8" w:rsidP="00C47090" w:rsidRDefault="004F54C8" w14:paraId="458A9585" w14:textId="77777777">
      <w:pPr>
        <w:spacing w:line="480" w:lineRule="auto"/>
        <w:jc w:val="left"/>
        <w:rPr>
          <w:sz w:val="24"/>
          <w:szCs w:val="24"/>
        </w:rPr>
      </w:pPr>
    </w:p>
    <w:p w:rsidRPr="002F5800" w:rsidR="004F54C8" w:rsidP="00C47090" w:rsidRDefault="004F54C8" w14:paraId="7096D79F" w14:textId="2613F3EF">
      <w:pPr>
        <w:tabs>
          <w:tab w:val="left" w:pos="432"/>
        </w:tabs>
        <w:spacing w:line="480" w:lineRule="auto"/>
        <w:jc w:val="left"/>
        <w:rPr>
          <w:sz w:val="24"/>
          <w:szCs w:val="24"/>
        </w:rPr>
      </w:pPr>
      <w:r w:rsidRPr="002F5800">
        <w:rPr>
          <w:sz w:val="24"/>
          <w:szCs w:val="24"/>
        </w:rPr>
        <w:t>Table</w:t>
      </w:r>
      <w:r w:rsidRPr="002F5800" w:rsidR="003B4E0B">
        <w:rPr>
          <w:sz w:val="24"/>
          <w:szCs w:val="24"/>
        </w:rPr>
        <w:t xml:space="preserve"> B</w:t>
      </w:r>
      <w:r w:rsidR="00B5114C">
        <w:rPr>
          <w:sz w:val="24"/>
          <w:szCs w:val="24"/>
        </w:rPr>
        <w:t>-</w:t>
      </w:r>
      <w:r w:rsidR="002F5800">
        <w:rPr>
          <w:sz w:val="24"/>
          <w:szCs w:val="24"/>
        </w:rPr>
        <w:t>3</w:t>
      </w:r>
      <w:r w:rsidRPr="002F5800" w:rsidR="003B4E0B">
        <w:rPr>
          <w:sz w:val="24"/>
          <w:szCs w:val="24"/>
        </w:rPr>
        <w:t xml:space="preserve"> pr</w:t>
      </w:r>
      <w:r w:rsidRPr="002F5800">
        <w:rPr>
          <w:sz w:val="24"/>
          <w:szCs w:val="24"/>
        </w:rPr>
        <w:t xml:space="preserve">esents a summary of individuals consulted on statistical aspects of the design. Westat staff will be responsible for the collection and analysis of the study’s data, in coordination with FNS. </w:t>
      </w:r>
    </w:p>
    <w:p w:rsidRPr="008524B1" w:rsidR="004F54C8" w:rsidP="00095A80" w:rsidRDefault="004F54C8" w14:paraId="16EF5ADE" w14:textId="6681DD6E">
      <w:pPr>
        <w:pStyle w:val="Heading1"/>
        <w:rPr>
          <w:sz w:val="24"/>
        </w:rPr>
      </w:pPr>
      <w:bookmarkStart w:name="_Ref492891160" w:id="42"/>
      <w:bookmarkStart w:name="_Toc315969104" w:id="43"/>
      <w:bookmarkStart w:name="_Toc316312723" w:id="44"/>
      <w:bookmarkStart w:name="_Toc318292713" w:id="45"/>
      <w:bookmarkStart w:name="_Toc406501323" w:id="46"/>
      <w:bookmarkStart w:name="_Toc505263883" w:id="47"/>
      <w:r w:rsidRPr="008524B1">
        <w:rPr>
          <w:sz w:val="24"/>
        </w:rPr>
        <w:t xml:space="preserve">Table </w:t>
      </w:r>
      <w:r w:rsidRPr="00CB11DD" w:rsidR="003B4E0B">
        <w:rPr>
          <w:sz w:val="24"/>
          <w:szCs w:val="24"/>
        </w:rPr>
        <w:t>B</w:t>
      </w:r>
      <w:r w:rsidR="00B5114C">
        <w:rPr>
          <w:sz w:val="24"/>
          <w:szCs w:val="24"/>
        </w:rPr>
        <w:t>-</w:t>
      </w:r>
      <w:r w:rsidR="002F5800">
        <w:rPr>
          <w:sz w:val="24"/>
          <w:szCs w:val="24"/>
        </w:rPr>
        <w:t>3</w:t>
      </w:r>
      <w:bookmarkEnd w:id="42"/>
      <w:r w:rsidRPr="008524B1">
        <w:rPr>
          <w:sz w:val="24"/>
        </w:rPr>
        <w:t>. Individuals Consulted on Data Collection or Analysis</w:t>
      </w:r>
      <w:bookmarkEnd w:id="43"/>
      <w:bookmarkEnd w:id="44"/>
      <w:bookmarkEnd w:id="45"/>
      <w:bookmarkEnd w:id="46"/>
      <w:bookmarkEnd w:id="47"/>
    </w:p>
    <w:tbl>
      <w:tblPr>
        <w:tblStyle w:val="ListTable3-Accent1"/>
        <w:tblW w:w="5000" w:type="pct"/>
        <w:tblLook w:val="00A0" w:firstRow="1" w:lastRow="0" w:firstColumn="1" w:lastColumn="0" w:noHBand="0" w:noVBand="0"/>
      </w:tblPr>
      <w:tblGrid>
        <w:gridCol w:w="2227"/>
        <w:gridCol w:w="3865"/>
        <w:gridCol w:w="3258"/>
      </w:tblGrid>
      <w:tr w:rsidRPr="002F5800" w:rsidR="004F54C8" w:rsidTr="00F244AB" w14:paraId="48D388E1" w14:textId="77777777">
        <w:trPr>
          <w:cnfStyle w:val="100000000000" w:firstRow="1" w:lastRow="0" w:firstColumn="0" w:lastColumn="0" w:oddVBand="0" w:evenVBand="0" w:oddHBand="0" w:evenHBand="0" w:firstRowFirstColumn="0" w:firstRowLastColumn="0" w:lastRowFirstColumn="0" w:lastRowLastColumn="0"/>
          <w:trHeight w:val="331"/>
          <w:tblHeader/>
        </w:trPr>
        <w:tc>
          <w:tcPr>
            <w:cnfStyle w:val="001000000100" w:firstRow="0" w:lastRow="0" w:firstColumn="1" w:lastColumn="0" w:oddVBand="0" w:evenVBand="0" w:oddHBand="0" w:evenHBand="0" w:firstRowFirstColumn="1" w:firstRowLastColumn="0" w:lastRowFirstColumn="0" w:lastRowLastColumn="0"/>
            <w:tcW w:w="1191" w:type="pct"/>
          </w:tcPr>
          <w:p w:rsidRPr="002F5800" w:rsidR="004F54C8" w:rsidP="00C47090" w:rsidRDefault="004F54C8" w14:paraId="777DB9EE" w14:textId="77777777">
            <w:pPr>
              <w:jc w:val="left"/>
              <w:rPr>
                <w:sz w:val="24"/>
                <w:szCs w:val="24"/>
              </w:rPr>
            </w:pPr>
            <w:r w:rsidRPr="002F5800">
              <w:rPr>
                <w:sz w:val="24"/>
                <w:szCs w:val="24"/>
              </w:rPr>
              <w:t>Staff</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4F54C8" w:rsidP="00C47090" w:rsidRDefault="004F54C8" w14:paraId="2D52E403" w14:textId="77777777">
            <w:pPr>
              <w:jc w:val="left"/>
              <w:rPr>
                <w:sz w:val="24"/>
                <w:szCs w:val="24"/>
              </w:rPr>
            </w:pPr>
            <w:r w:rsidRPr="002F5800">
              <w:rPr>
                <w:sz w:val="24"/>
                <w:szCs w:val="24"/>
              </w:rPr>
              <w:t>Title</w:t>
            </w:r>
          </w:p>
        </w:tc>
        <w:tc>
          <w:tcPr>
            <w:tcW w:w="1742" w:type="pct"/>
          </w:tcPr>
          <w:p w:rsidRPr="002F5800" w:rsidR="004F54C8" w:rsidP="00C47090" w:rsidRDefault="004F54C8" w14:paraId="60020701" w14:textId="77777777">
            <w:pPr>
              <w:jc w:val="left"/>
              <w:cnfStyle w:val="100000000000" w:firstRow="1" w:lastRow="0" w:firstColumn="0" w:lastColumn="0" w:oddVBand="0" w:evenVBand="0" w:oddHBand="0" w:evenHBand="0" w:firstRowFirstColumn="0" w:firstRowLastColumn="0" w:lastRowFirstColumn="0" w:lastRowLastColumn="0"/>
              <w:rPr>
                <w:sz w:val="24"/>
                <w:szCs w:val="24"/>
              </w:rPr>
            </w:pPr>
            <w:r w:rsidRPr="002F5800">
              <w:rPr>
                <w:sz w:val="24"/>
                <w:szCs w:val="24"/>
              </w:rPr>
              <w:t>Contact Information (phone or email)</w:t>
            </w:r>
          </w:p>
        </w:tc>
      </w:tr>
      <w:tr w:rsidRPr="002F5800" w:rsidR="00A56079" w:rsidTr="00F244AB" w14:paraId="4CADDD7B"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258" w:type="pct"/>
            <w:gridSpan w:val="2"/>
          </w:tcPr>
          <w:p w:rsidRPr="002F5800" w:rsidR="00A56079" w:rsidP="00C47090" w:rsidRDefault="00A56079" w14:paraId="7636FF92" w14:textId="1093262A">
            <w:pPr>
              <w:jc w:val="left"/>
              <w:rPr>
                <w:sz w:val="24"/>
                <w:szCs w:val="24"/>
              </w:rPr>
            </w:pPr>
            <w:r w:rsidRPr="002F5800">
              <w:rPr>
                <w:sz w:val="24"/>
                <w:szCs w:val="24"/>
              </w:rPr>
              <w:t>Contractor</w:t>
            </w:r>
            <w:r w:rsidR="000F5861">
              <w:rPr>
                <w:sz w:val="24"/>
                <w:szCs w:val="24"/>
              </w:rPr>
              <w:t>—</w:t>
            </w:r>
            <w:r w:rsidRPr="002F5800">
              <w:rPr>
                <w:sz w:val="24"/>
                <w:szCs w:val="24"/>
              </w:rPr>
              <w:t>Westat</w:t>
            </w:r>
          </w:p>
        </w:tc>
        <w:tc>
          <w:tcPr>
            <w:cnfStyle w:val="000010000000" w:firstRow="0" w:lastRow="0" w:firstColumn="0" w:lastColumn="0" w:oddVBand="1" w:evenVBand="0" w:oddHBand="0" w:evenHBand="0" w:firstRowFirstColumn="0" w:firstRowLastColumn="0" w:lastRowFirstColumn="0" w:lastRowLastColumn="0"/>
            <w:tcW w:w="1742" w:type="pct"/>
          </w:tcPr>
          <w:p w:rsidRPr="002F5800" w:rsidR="00A56079" w:rsidP="00C47090" w:rsidRDefault="00A56079" w14:paraId="36F76A18" w14:textId="77777777">
            <w:pPr>
              <w:jc w:val="left"/>
              <w:rPr>
                <w:sz w:val="24"/>
                <w:szCs w:val="24"/>
              </w:rPr>
            </w:pPr>
          </w:p>
        </w:tc>
      </w:tr>
      <w:tr w:rsidRPr="002F5800" w:rsidR="00A56079" w:rsidTr="00F244AB" w14:paraId="7F9B62CA"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A56079" w:rsidP="00C47090" w:rsidRDefault="00A56079" w14:paraId="45168B74" w14:textId="77777777">
            <w:pPr>
              <w:jc w:val="left"/>
              <w:rPr>
                <w:b w:val="0"/>
                <w:sz w:val="24"/>
                <w:szCs w:val="24"/>
              </w:rPr>
            </w:pPr>
            <w:r w:rsidRPr="002F5800">
              <w:rPr>
                <w:sz w:val="24"/>
              </w:rPr>
              <w:t>David Hubble</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A56079" w:rsidP="00C47090" w:rsidRDefault="00625F19" w14:paraId="0CF0BDD5" w14:textId="77777777">
            <w:pPr>
              <w:jc w:val="left"/>
              <w:rPr>
                <w:sz w:val="24"/>
                <w:szCs w:val="24"/>
              </w:rPr>
            </w:pPr>
            <w:r w:rsidRPr="002F5800">
              <w:rPr>
                <w:sz w:val="24"/>
                <w:szCs w:val="24"/>
              </w:rPr>
              <w:t>Associate director - senior statistician</w:t>
            </w:r>
          </w:p>
        </w:tc>
        <w:tc>
          <w:tcPr>
            <w:tcW w:w="1742" w:type="pct"/>
          </w:tcPr>
          <w:p w:rsidRPr="002F5800" w:rsidR="00A56079" w:rsidP="00C47090" w:rsidRDefault="006B47EA" w14:paraId="0AAF3BF2" w14:textId="77777777">
            <w:pPr>
              <w:jc w:val="left"/>
              <w:cnfStyle w:val="000000000000" w:firstRow="0" w:lastRow="0" w:firstColumn="0" w:lastColumn="0" w:oddVBand="0" w:evenVBand="0" w:oddHBand="0" w:evenHBand="0" w:firstRowFirstColumn="0" w:firstRowLastColumn="0" w:lastRowFirstColumn="0" w:lastRowLastColumn="0"/>
              <w:rPr>
                <w:sz w:val="24"/>
                <w:szCs w:val="24"/>
              </w:rPr>
            </w:pPr>
            <w:r w:rsidRPr="002F5800">
              <w:rPr>
                <w:color w:val="000000"/>
                <w:sz w:val="24"/>
                <w:szCs w:val="24"/>
              </w:rPr>
              <w:t>301-610-8814</w:t>
            </w:r>
          </w:p>
        </w:tc>
      </w:tr>
      <w:tr w:rsidRPr="002F5800" w:rsidR="00A56079" w:rsidTr="00F244AB" w14:paraId="5149948F"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A56079" w:rsidP="00C47090" w:rsidRDefault="00A56079" w14:paraId="0729E236" w14:textId="77777777">
            <w:pPr>
              <w:jc w:val="left"/>
              <w:rPr>
                <w:b w:val="0"/>
                <w:sz w:val="24"/>
                <w:szCs w:val="24"/>
              </w:rPr>
            </w:pPr>
            <w:r w:rsidRPr="002F5800">
              <w:rPr>
                <w:sz w:val="24"/>
              </w:rPr>
              <w:t>Jennifer Kali</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A56079" w:rsidP="00C47090" w:rsidRDefault="00625F19" w14:paraId="6CD7EAC9" w14:textId="77777777">
            <w:pPr>
              <w:jc w:val="left"/>
              <w:rPr>
                <w:sz w:val="24"/>
                <w:szCs w:val="24"/>
              </w:rPr>
            </w:pPr>
            <w:r w:rsidRPr="002F5800">
              <w:rPr>
                <w:sz w:val="24"/>
                <w:szCs w:val="24"/>
              </w:rPr>
              <w:t>Senior statistician</w:t>
            </w:r>
          </w:p>
        </w:tc>
        <w:tc>
          <w:tcPr>
            <w:tcW w:w="1742" w:type="pct"/>
          </w:tcPr>
          <w:p w:rsidRPr="002F5800" w:rsidR="00A56079" w:rsidP="00C47090" w:rsidRDefault="00625F19" w14:paraId="32571190" w14:textId="77777777">
            <w:pPr>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color w:val="000000"/>
                <w:sz w:val="24"/>
                <w:szCs w:val="24"/>
              </w:rPr>
              <w:t>301-738-3588</w:t>
            </w:r>
          </w:p>
        </w:tc>
      </w:tr>
      <w:tr w:rsidRPr="002F5800" w:rsidR="00625F19" w:rsidTr="00F244AB" w14:paraId="73EEA210"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625F19" w:rsidP="00C47090" w:rsidRDefault="00625F19" w14:paraId="0ED50439" w14:textId="77777777">
            <w:pPr>
              <w:jc w:val="left"/>
              <w:rPr>
                <w:b w:val="0"/>
                <w:sz w:val="24"/>
                <w:szCs w:val="24"/>
              </w:rPr>
            </w:pPr>
            <w:r w:rsidRPr="002F5800">
              <w:rPr>
                <w:sz w:val="24"/>
              </w:rPr>
              <w:t>Robert Fay</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625F19" w:rsidP="00C47090" w:rsidRDefault="00625F19" w14:paraId="1D0FC31E" w14:textId="77777777">
            <w:pPr>
              <w:jc w:val="left"/>
              <w:rPr>
                <w:sz w:val="24"/>
                <w:szCs w:val="24"/>
              </w:rPr>
            </w:pPr>
            <w:r w:rsidRPr="002F5800">
              <w:rPr>
                <w:sz w:val="24"/>
                <w:szCs w:val="24"/>
              </w:rPr>
              <w:t>Senior statistician</w:t>
            </w:r>
          </w:p>
        </w:tc>
        <w:tc>
          <w:tcPr>
            <w:tcW w:w="1742" w:type="pct"/>
          </w:tcPr>
          <w:p w:rsidRPr="002F5800" w:rsidR="00625F19" w:rsidP="00C47090" w:rsidRDefault="006B47EA" w14:paraId="00BD2986" w14:textId="77777777">
            <w:pPr>
              <w:jc w:val="left"/>
              <w:cnfStyle w:val="000000000000" w:firstRow="0" w:lastRow="0" w:firstColumn="0" w:lastColumn="0" w:oddVBand="0" w:evenVBand="0" w:oddHBand="0" w:evenHBand="0" w:firstRowFirstColumn="0" w:firstRowLastColumn="0" w:lastRowFirstColumn="0" w:lastRowLastColumn="0"/>
              <w:rPr>
                <w:sz w:val="24"/>
                <w:szCs w:val="24"/>
              </w:rPr>
            </w:pPr>
            <w:r w:rsidRPr="002F5800">
              <w:rPr>
                <w:color w:val="000000"/>
                <w:sz w:val="24"/>
                <w:szCs w:val="24"/>
                <w:shd w:val="clear" w:color="auto" w:fill="FFFFFF"/>
              </w:rPr>
              <w:t>240-314-2318</w:t>
            </w:r>
          </w:p>
        </w:tc>
      </w:tr>
      <w:tr w:rsidRPr="002F5800" w:rsidR="00625F19" w:rsidTr="00F244AB" w14:paraId="4839F4E8"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625F19" w:rsidP="00C47090" w:rsidRDefault="00625F19" w14:paraId="24CC3C59" w14:textId="77777777">
            <w:pPr>
              <w:jc w:val="left"/>
              <w:rPr>
                <w:b w:val="0"/>
                <w:sz w:val="24"/>
                <w:szCs w:val="24"/>
              </w:rPr>
            </w:pPr>
            <w:r w:rsidRPr="002F5800">
              <w:rPr>
                <w:sz w:val="24"/>
              </w:rPr>
              <w:t>Lloyd Hicks</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625F19" w:rsidP="00C47090" w:rsidRDefault="00625F19" w14:paraId="4A33DD00" w14:textId="77777777">
            <w:pPr>
              <w:jc w:val="left"/>
              <w:rPr>
                <w:sz w:val="24"/>
                <w:szCs w:val="24"/>
              </w:rPr>
            </w:pPr>
            <w:r w:rsidRPr="002F5800">
              <w:rPr>
                <w:sz w:val="24"/>
                <w:szCs w:val="24"/>
              </w:rPr>
              <w:t>Senior statistician</w:t>
            </w:r>
          </w:p>
        </w:tc>
        <w:tc>
          <w:tcPr>
            <w:tcW w:w="1742" w:type="pct"/>
          </w:tcPr>
          <w:p w:rsidRPr="002F5800" w:rsidR="00625F19" w:rsidP="00C47090" w:rsidRDefault="006B47EA" w14:paraId="42B22B75" w14:textId="77777777">
            <w:pPr>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color w:val="000000"/>
                <w:sz w:val="24"/>
                <w:szCs w:val="24"/>
              </w:rPr>
              <w:t>301-610-4960</w:t>
            </w:r>
          </w:p>
        </w:tc>
      </w:tr>
      <w:tr w:rsidRPr="002F5800" w:rsidR="00A56079" w:rsidTr="00F244AB" w14:paraId="38F10829"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A56079" w:rsidP="00C47090" w:rsidRDefault="00A56079" w14:paraId="7275341B" w14:textId="77777777">
            <w:pPr>
              <w:jc w:val="left"/>
              <w:rPr>
                <w:b w:val="0"/>
                <w:sz w:val="24"/>
                <w:szCs w:val="24"/>
              </w:rPr>
            </w:pPr>
            <w:r w:rsidRPr="002F5800">
              <w:rPr>
                <w:sz w:val="24"/>
              </w:rPr>
              <w:t>Joseph Gasper</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A56079" w:rsidP="00C47090" w:rsidRDefault="00625F19" w14:paraId="155CE91F" w14:textId="77777777">
            <w:pPr>
              <w:jc w:val="left"/>
              <w:rPr>
                <w:sz w:val="24"/>
                <w:szCs w:val="24"/>
              </w:rPr>
            </w:pPr>
            <w:r w:rsidRPr="002F5800">
              <w:rPr>
                <w:sz w:val="24"/>
                <w:szCs w:val="24"/>
              </w:rPr>
              <w:t>Associate Director</w:t>
            </w:r>
          </w:p>
        </w:tc>
        <w:tc>
          <w:tcPr>
            <w:tcW w:w="1742" w:type="pct"/>
          </w:tcPr>
          <w:p w:rsidRPr="002F5800" w:rsidR="00A56079" w:rsidP="00C47090" w:rsidRDefault="006B47EA" w14:paraId="286800BD" w14:textId="77777777">
            <w:pPr>
              <w:jc w:val="left"/>
              <w:cnfStyle w:val="000000000000" w:firstRow="0" w:lastRow="0" w:firstColumn="0" w:lastColumn="0" w:oddVBand="0" w:evenVBand="0" w:oddHBand="0" w:evenHBand="0" w:firstRowFirstColumn="0" w:firstRowLastColumn="0" w:lastRowFirstColumn="0" w:lastRowLastColumn="0"/>
              <w:rPr>
                <w:sz w:val="24"/>
                <w:szCs w:val="24"/>
              </w:rPr>
            </w:pPr>
            <w:r w:rsidRPr="002F5800">
              <w:rPr>
                <w:color w:val="000000"/>
                <w:sz w:val="24"/>
                <w:szCs w:val="24"/>
                <w:shd w:val="clear" w:color="auto" w:fill="F9F9F9"/>
              </w:rPr>
              <w:t>240-314-2470</w:t>
            </w:r>
          </w:p>
        </w:tc>
      </w:tr>
      <w:tr w:rsidRPr="002F5800" w:rsidR="00A56079" w:rsidTr="00F244AB" w14:paraId="67691D3C"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A56079" w:rsidP="00C47090" w:rsidRDefault="00A56079" w14:paraId="11D2DAE6" w14:textId="77777777">
            <w:pPr>
              <w:jc w:val="left"/>
              <w:rPr>
                <w:b w:val="0"/>
                <w:sz w:val="24"/>
                <w:szCs w:val="24"/>
              </w:rPr>
            </w:pPr>
            <w:r w:rsidRPr="002F5800">
              <w:rPr>
                <w:sz w:val="24"/>
              </w:rPr>
              <w:t>Frank Bennici</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A56079" w:rsidP="00C47090" w:rsidRDefault="00625F19" w14:paraId="61246067" w14:textId="77777777">
            <w:pPr>
              <w:jc w:val="left"/>
              <w:rPr>
                <w:sz w:val="24"/>
                <w:szCs w:val="24"/>
              </w:rPr>
            </w:pPr>
            <w:r w:rsidRPr="002F5800">
              <w:rPr>
                <w:sz w:val="24"/>
                <w:szCs w:val="24"/>
              </w:rPr>
              <w:t>Senior Study Director</w:t>
            </w:r>
          </w:p>
        </w:tc>
        <w:tc>
          <w:tcPr>
            <w:tcW w:w="1742" w:type="pct"/>
          </w:tcPr>
          <w:p w:rsidRPr="002F5800" w:rsidR="00A56079" w:rsidP="00C47090" w:rsidRDefault="006B47EA" w14:paraId="4B9327C2" w14:textId="77777777">
            <w:pPr>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sz w:val="24"/>
                <w:szCs w:val="24"/>
              </w:rPr>
              <w:t>301-738-3608</w:t>
            </w:r>
          </w:p>
        </w:tc>
      </w:tr>
      <w:tr w:rsidRPr="002F5800" w:rsidR="004F54C8" w:rsidTr="00F244AB" w14:paraId="0BC464FB"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4F54C8" w:rsidP="00C47090" w:rsidRDefault="00A56079" w14:paraId="469365E1" w14:textId="77777777">
            <w:pPr>
              <w:jc w:val="left"/>
              <w:rPr>
                <w:b w:val="0"/>
                <w:sz w:val="24"/>
                <w:szCs w:val="24"/>
              </w:rPr>
            </w:pPr>
            <w:r w:rsidRPr="002F5800">
              <w:rPr>
                <w:sz w:val="24"/>
              </w:rPr>
              <w:lastRenderedPageBreak/>
              <w:t>Maeve Gearing</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4F54C8" w:rsidP="00C47090" w:rsidRDefault="00625F19" w14:paraId="1FB855D6" w14:textId="77777777">
            <w:pPr>
              <w:jc w:val="left"/>
              <w:rPr>
                <w:sz w:val="24"/>
                <w:szCs w:val="24"/>
              </w:rPr>
            </w:pPr>
            <w:r w:rsidRPr="002F5800">
              <w:rPr>
                <w:sz w:val="24"/>
                <w:szCs w:val="24"/>
              </w:rPr>
              <w:t>Senior Study Director</w:t>
            </w:r>
          </w:p>
        </w:tc>
        <w:tc>
          <w:tcPr>
            <w:tcW w:w="1742" w:type="pct"/>
          </w:tcPr>
          <w:p w:rsidRPr="002F5800" w:rsidR="004F54C8" w:rsidP="00C47090" w:rsidRDefault="006B47EA" w14:paraId="7DC1B833" w14:textId="77777777">
            <w:pPr>
              <w:jc w:val="left"/>
              <w:cnfStyle w:val="000000000000" w:firstRow="0" w:lastRow="0" w:firstColumn="0" w:lastColumn="0" w:oddVBand="0" w:evenVBand="0" w:oddHBand="0" w:evenHBand="0" w:firstRowFirstColumn="0" w:firstRowLastColumn="0" w:lastRowFirstColumn="0" w:lastRowLastColumn="0"/>
              <w:rPr>
                <w:sz w:val="24"/>
                <w:szCs w:val="24"/>
              </w:rPr>
            </w:pPr>
            <w:r w:rsidRPr="002F5800">
              <w:rPr>
                <w:color w:val="000000"/>
                <w:sz w:val="24"/>
                <w:szCs w:val="24"/>
                <w:shd w:val="clear" w:color="auto" w:fill="F9F9F9"/>
              </w:rPr>
              <w:t>301-212-2168</w:t>
            </w:r>
          </w:p>
        </w:tc>
      </w:tr>
      <w:tr w:rsidRPr="002F5800" w:rsidR="00625F19" w:rsidTr="00F244AB" w14:paraId="183B50CD"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625F19" w:rsidP="00C47090" w:rsidRDefault="00625F19" w14:paraId="0862ACC1" w14:textId="77777777">
            <w:pPr>
              <w:jc w:val="left"/>
              <w:rPr>
                <w:b w:val="0"/>
                <w:sz w:val="24"/>
                <w:szCs w:val="24"/>
              </w:rPr>
            </w:pPr>
            <w:r w:rsidRPr="002F5800">
              <w:rPr>
                <w:sz w:val="24"/>
              </w:rPr>
              <w:t>Karen Stein</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625F19" w:rsidP="00C47090" w:rsidRDefault="006B47EA" w14:paraId="4C8A2B19" w14:textId="77777777">
            <w:pPr>
              <w:jc w:val="left"/>
              <w:rPr>
                <w:sz w:val="24"/>
                <w:szCs w:val="24"/>
              </w:rPr>
            </w:pPr>
            <w:r w:rsidRPr="002F5800">
              <w:rPr>
                <w:sz w:val="24"/>
                <w:szCs w:val="24"/>
              </w:rPr>
              <w:t>Senior Study Director</w:t>
            </w:r>
          </w:p>
        </w:tc>
        <w:tc>
          <w:tcPr>
            <w:tcW w:w="1742" w:type="pct"/>
          </w:tcPr>
          <w:p w:rsidRPr="002F5800" w:rsidR="00625F19" w:rsidP="00C47090" w:rsidRDefault="00625F19" w14:paraId="6BA446C1" w14:textId="77777777">
            <w:pPr>
              <w:jc w:val="left"/>
              <w:cnfStyle w:val="000000100000" w:firstRow="0" w:lastRow="0" w:firstColumn="0" w:lastColumn="0" w:oddVBand="0" w:evenVBand="0" w:oddHBand="1" w:evenHBand="0" w:firstRowFirstColumn="0" w:firstRowLastColumn="0" w:lastRowFirstColumn="0" w:lastRowLastColumn="0"/>
              <w:rPr>
                <w:sz w:val="24"/>
                <w:szCs w:val="24"/>
              </w:rPr>
            </w:pPr>
            <w:r w:rsidRPr="002F5800">
              <w:rPr>
                <w:color w:val="000000"/>
                <w:sz w:val="24"/>
                <w:szCs w:val="24"/>
              </w:rPr>
              <w:t>301-610-8869</w:t>
            </w:r>
          </w:p>
        </w:tc>
      </w:tr>
      <w:tr w:rsidRPr="002F5800" w:rsidR="00A56079" w:rsidTr="00F244AB" w14:paraId="47CC7D6E" w14:textId="77777777">
        <w:trPr>
          <w:trHeight w:val="331"/>
        </w:trPr>
        <w:tc>
          <w:tcPr>
            <w:cnfStyle w:val="001000000000" w:firstRow="0" w:lastRow="0" w:firstColumn="1" w:lastColumn="0" w:oddVBand="0" w:evenVBand="0" w:oddHBand="0" w:evenHBand="0" w:firstRowFirstColumn="0" w:firstRowLastColumn="0" w:lastRowFirstColumn="0" w:lastRowLastColumn="0"/>
            <w:tcW w:w="3258" w:type="pct"/>
            <w:gridSpan w:val="2"/>
          </w:tcPr>
          <w:p w:rsidRPr="002F5800" w:rsidR="00A56079" w:rsidP="00C47090" w:rsidRDefault="00A56079" w14:paraId="36979786" w14:textId="77777777">
            <w:pPr>
              <w:jc w:val="left"/>
              <w:rPr>
                <w:sz w:val="24"/>
                <w:szCs w:val="24"/>
              </w:rPr>
            </w:pPr>
            <w:r w:rsidRPr="002F5800">
              <w:rPr>
                <w:sz w:val="24"/>
                <w:szCs w:val="24"/>
              </w:rPr>
              <w:t>Peer Advisory Panel</w:t>
            </w:r>
          </w:p>
        </w:tc>
        <w:tc>
          <w:tcPr>
            <w:cnfStyle w:val="000010000000" w:firstRow="0" w:lastRow="0" w:firstColumn="0" w:lastColumn="0" w:oddVBand="1" w:evenVBand="0" w:oddHBand="0" w:evenHBand="0" w:firstRowFirstColumn="0" w:firstRowLastColumn="0" w:lastRowFirstColumn="0" w:lastRowLastColumn="0"/>
            <w:tcW w:w="1742" w:type="pct"/>
          </w:tcPr>
          <w:p w:rsidRPr="002F5800" w:rsidR="00A56079" w:rsidP="00C47090" w:rsidRDefault="00A56079" w14:paraId="709CBB5B" w14:textId="77777777">
            <w:pPr>
              <w:jc w:val="left"/>
              <w:rPr>
                <w:sz w:val="24"/>
                <w:szCs w:val="24"/>
              </w:rPr>
            </w:pPr>
          </w:p>
        </w:tc>
      </w:tr>
      <w:tr w:rsidRPr="002F5800" w:rsidR="00A56079" w:rsidTr="00F244AB" w14:paraId="0FB31C19"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8524B1" w:rsidR="00A56079" w:rsidP="00C47090" w:rsidRDefault="00A56079" w14:paraId="0AF4CA0B" w14:textId="77777777">
            <w:pPr>
              <w:pStyle w:val="L1-FlLSp12"/>
              <w:spacing w:line="240" w:lineRule="auto"/>
              <w:jc w:val="left"/>
              <w:rPr>
                <w:b w:val="0"/>
                <w:sz w:val="24"/>
              </w:rPr>
            </w:pPr>
            <w:r w:rsidRPr="008524B1">
              <w:rPr>
                <w:sz w:val="24"/>
              </w:rPr>
              <w:t>Benjamin Reist</w:t>
            </w:r>
          </w:p>
        </w:tc>
        <w:tc>
          <w:tcPr>
            <w:cnfStyle w:val="000010000000" w:firstRow="0" w:lastRow="0" w:firstColumn="0" w:lastColumn="0" w:oddVBand="1" w:evenVBand="0" w:oddHBand="0" w:evenHBand="0" w:firstRowFirstColumn="0" w:firstRowLastColumn="0" w:lastRowFirstColumn="0" w:lastRowLastColumn="0"/>
            <w:tcW w:w="2067" w:type="pct"/>
          </w:tcPr>
          <w:p w:rsidRPr="008524B1" w:rsidR="00A56079" w:rsidP="00C47090" w:rsidRDefault="00A56079" w14:paraId="6BF7BCBE" w14:textId="77777777">
            <w:pPr>
              <w:pStyle w:val="L1-FlLSp12"/>
              <w:spacing w:line="240" w:lineRule="auto"/>
              <w:jc w:val="left"/>
              <w:rPr>
                <w:sz w:val="24"/>
              </w:rPr>
            </w:pPr>
            <w:r w:rsidRPr="008524B1">
              <w:rPr>
                <w:sz w:val="24"/>
              </w:rPr>
              <w:t>Assistant Center Chief for Research, Center for Adaptive Design in Research and Methodology Directorate at U.S. Census Bureau</w:t>
            </w:r>
          </w:p>
        </w:tc>
        <w:tc>
          <w:tcPr>
            <w:tcW w:w="1742" w:type="pct"/>
          </w:tcPr>
          <w:p w:rsidRPr="008524B1" w:rsidR="00A56079" w:rsidP="00C47090" w:rsidRDefault="001C6D62" w14:paraId="1A10C06F" w14:textId="77777777">
            <w:pPr>
              <w:pStyle w:val="L1-FlLSp12"/>
              <w:spacing w:line="240" w:lineRule="auto"/>
              <w:jc w:val="left"/>
              <w:cnfStyle w:val="000000100000" w:firstRow="0" w:lastRow="0" w:firstColumn="0" w:lastColumn="0" w:oddVBand="0" w:evenVBand="0" w:oddHBand="1" w:evenHBand="0" w:firstRowFirstColumn="0" w:firstRowLastColumn="0" w:lastRowFirstColumn="0" w:lastRowLastColumn="0"/>
              <w:rPr>
                <w:sz w:val="24"/>
              </w:rPr>
            </w:pPr>
            <w:hyperlink w:history="1" r:id="rId8">
              <w:r w:rsidRPr="008524B1" w:rsidR="00A56079">
                <w:rPr>
                  <w:rStyle w:val="Hyperlink"/>
                  <w:sz w:val="24"/>
                </w:rPr>
                <w:t>Benjamin.M.Reist@census.gov</w:t>
              </w:r>
            </w:hyperlink>
          </w:p>
        </w:tc>
      </w:tr>
      <w:tr w:rsidRPr="002F5800" w:rsidR="00A56079" w:rsidTr="00F244AB" w14:paraId="0A0DA3EF"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8524B1" w:rsidR="00A56079" w:rsidP="00C47090" w:rsidRDefault="00A56079" w14:paraId="6549A047" w14:textId="77777777">
            <w:pPr>
              <w:pStyle w:val="L1-FlLSp12"/>
              <w:spacing w:line="240" w:lineRule="auto"/>
              <w:jc w:val="left"/>
              <w:rPr>
                <w:b w:val="0"/>
                <w:sz w:val="24"/>
              </w:rPr>
            </w:pPr>
            <w:r w:rsidRPr="008524B1">
              <w:rPr>
                <w:sz w:val="24"/>
              </w:rPr>
              <w:t>Dottie Rosenbaum</w:t>
            </w:r>
          </w:p>
        </w:tc>
        <w:tc>
          <w:tcPr>
            <w:cnfStyle w:val="000010000000" w:firstRow="0" w:lastRow="0" w:firstColumn="0" w:lastColumn="0" w:oddVBand="1" w:evenVBand="0" w:oddHBand="0" w:evenHBand="0" w:firstRowFirstColumn="0" w:firstRowLastColumn="0" w:lastRowFirstColumn="0" w:lastRowLastColumn="0"/>
            <w:tcW w:w="2067" w:type="pct"/>
          </w:tcPr>
          <w:p w:rsidRPr="008524B1" w:rsidR="00A56079" w:rsidP="00C47090" w:rsidRDefault="00A56079" w14:paraId="5496C2A5" w14:textId="77777777">
            <w:pPr>
              <w:pStyle w:val="L1-FlLSp12"/>
              <w:spacing w:line="240" w:lineRule="auto"/>
              <w:jc w:val="left"/>
              <w:rPr>
                <w:sz w:val="24"/>
              </w:rPr>
            </w:pPr>
            <w:r w:rsidRPr="008524B1">
              <w:rPr>
                <w:sz w:val="24"/>
              </w:rPr>
              <w:t>Senior Fellow, Center on Budget and Policy Priorities</w:t>
            </w:r>
          </w:p>
        </w:tc>
        <w:tc>
          <w:tcPr>
            <w:tcW w:w="1742" w:type="pct"/>
          </w:tcPr>
          <w:p w:rsidRPr="008524B1" w:rsidR="00A56079" w:rsidP="00C47090" w:rsidRDefault="001C6D62" w14:paraId="36B621A3" w14:textId="77777777">
            <w:pPr>
              <w:pStyle w:val="L1-FlLSp12"/>
              <w:spacing w:line="240" w:lineRule="auto"/>
              <w:jc w:val="left"/>
              <w:cnfStyle w:val="000000000000" w:firstRow="0" w:lastRow="0" w:firstColumn="0" w:lastColumn="0" w:oddVBand="0" w:evenVBand="0" w:oddHBand="0" w:evenHBand="0" w:firstRowFirstColumn="0" w:firstRowLastColumn="0" w:lastRowFirstColumn="0" w:lastRowLastColumn="0"/>
              <w:rPr>
                <w:sz w:val="24"/>
              </w:rPr>
            </w:pPr>
            <w:hyperlink w:history="1" r:id="rId9">
              <w:r w:rsidRPr="008524B1" w:rsidR="00A56079">
                <w:rPr>
                  <w:rStyle w:val="Hyperlink"/>
                  <w:sz w:val="24"/>
                </w:rPr>
                <w:t>rosenbaum@cbpp.org</w:t>
              </w:r>
            </w:hyperlink>
          </w:p>
          <w:p w:rsidRPr="008524B1" w:rsidR="00A56079" w:rsidP="00C47090" w:rsidRDefault="00A56079" w14:paraId="04354110" w14:textId="77777777">
            <w:pPr>
              <w:pStyle w:val="L1-FlLSp12"/>
              <w:spacing w:line="240" w:lineRule="auto"/>
              <w:jc w:val="left"/>
              <w:cnfStyle w:val="000000000000" w:firstRow="0" w:lastRow="0" w:firstColumn="0" w:lastColumn="0" w:oddVBand="0" w:evenVBand="0" w:oddHBand="0" w:evenHBand="0" w:firstRowFirstColumn="0" w:firstRowLastColumn="0" w:lastRowFirstColumn="0" w:lastRowLastColumn="0"/>
              <w:rPr>
                <w:sz w:val="24"/>
              </w:rPr>
            </w:pPr>
          </w:p>
        </w:tc>
      </w:tr>
      <w:tr w:rsidRPr="002F5800" w:rsidR="00A56079" w:rsidTr="00F244AB" w14:paraId="245A0770"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8524B1" w:rsidR="00A56079" w:rsidP="00C47090" w:rsidRDefault="00A56079" w14:paraId="4856C63D" w14:textId="77777777">
            <w:pPr>
              <w:pStyle w:val="L1-FlLSp12"/>
              <w:spacing w:line="240" w:lineRule="auto"/>
              <w:jc w:val="left"/>
              <w:rPr>
                <w:b w:val="0"/>
                <w:sz w:val="24"/>
              </w:rPr>
            </w:pPr>
            <w:r w:rsidRPr="008524B1">
              <w:rPr>
                <w:sz w:val="24"/>
              </w:rPr>
              <w:t>Yvette Chocolaad</w:t>
            </w:r>
          </w:p>
        </w:tc>
        <w:tc>
          <w:tcPr>
            <w:cnfStyle w:val="000010000000" w:firstRow="0" w:lastRow="0" w:firstColumn="0" w:lastColumn="0" w:oddVBand="1" w:evenVBand="0" w:oddHBand="0" w:evenHBand="0" w:firstRowFirstColumn="0" w:firstRowLastColumn="0" w:lastRowFirstColumn="0" w:lastRowLastColumn="0"/>
            <w:tcW w:w="2067" w:type="pct"/>
          </w:tcPr>
          <w:p w:rsidRPr="008524B1" w:rsidR="00A56079" w:rsidP="00C47090" w:rsidRDefault="00A56079" w14:paraId="43FFF7C3" w14:textId="77777777">
            <w:pPr>
              <w:pStyle w:val="L1-FlLSp12"/>
              <w:spacing w:line="240" w:lineRule="auto"/>
              <w:jc w:val="left"/>
              <w:rPr>
                <w:sz w:val="24"/>
              </w:rPr>
            </w:pPr>
            <w:r w:rsidRPr="008524B1">
              <w:rPr>
                <w:sz w:val="24"/>
              </w:rPr>
              <w:t>Policy Director, National Association of State Workforce Agencies</w:t>
            </w:r>
          </w:p>
        </w:tc>
        <w:tc>
          <w:tcPr>
            <w:tcW w:w="1742" w:type="pct"/>
          </w:tcPr>
          <w:p w:rsidRPr="008524B1" w:rsidR="00A56079" w:rsidP="00C47090" w:rsidRDefault="001C6D62" w14:paraId="4DD0D95E" w14:textId="77777777">
            <w:pPr>
              <w:pStyle w:val="L1-FlLSp12"/>
              <w:spacing w:line="240" w:lineRule="auto"/>
              <w:jc w:val="left"/>
              <w:cnfStyle w:val="000000100000" w:firstRow="0" w:lastRow="0" w:firstColumn="0" w:lastColumn="0" w:oddVBand="0" w:evenVBand="0" w:oddHBand="1" w:evenHBand="0" w:firstRowFirstColumn="0" w:firstRowLastColumn="0" w:lastRowFirstColumn="0" w:lastRowLastColumn="0"/>
              <w:rPr>
                <w:sz w:val="24"/>
              </w:rPr>
            </w:pPr>
            <w:hyperlink w:history="1" r:id="rId10">
              <w:r w:rsidRPr="008524B1" w:rsidR="00A56079">
                <w:rPr>
                  <w:rStyle w:val="Hyperlink"/>
                  <w:sz w:val="24"/>
                </w:rPr>
                <w:t>ychocolaad@naswa.org</w:t>
              </w:r>
            </w:hyperlink>
          </w:p>
          <w:p w:rsidRPr="008524B1" w:rsidR="00A56079" w:rsidP="00C47090" w:rsidRDefault="00A56079" w14:paraId="602FC9B5" w14:textId="77777777">
            <w:pPr>
              <w:pStyle w:val="L1-FlLSp12"/>
              <w:spacing w:line="240" w:lineRule="auto"/>
              <w:jc w:val="left"/>
              <w:cnfStyle w:val="000000100000" w:firstRow="0" w:lastRow="0" w:firstColumn="0" w:lastColumn="0" w:oddVBand="0" w:evenVBand="0" w:oddHBand="1" w:evenHBand="0" w:firstRowFirstColumn="0" w:firstRowLastColumn="0" w:lastRowFirstColumn="0" w:lastRowLastColumn="0"/>
              <w:rPr>
                <w:sz w:val="24"/>
              </w:rPr>
            </w:pPr>
          </w:p>
        </w:tc>
      </w:tr>
      <w:tr w:rsidRPr="002F5800" w:rsidR="00A56079" w:rsidTr="00F244AB" w14:paraId="1E171EB0"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8524B1" w:rsidR="00A56079" w:rsidP="00C47090" w:rsidRDefault="00A56079" w14:paraId="2CDC0FA2" w14:textId="77777777">
            <w:pPr>
              <w:pStyle w:val="L1-FlLSp12"/>
              <w:spacing w:line="240" w:lineRule="auto"/>
              <w:jc w:val="left"/>
              <w:rPr>
                <w:b w:val="0"/>
                <w:sz w:val="24"/>
              </w:rPr>
            </w:pPr>
            <w:r w:rsidRPr="008524B1">
              <w:rPr>
                <w:sz w:val="24"/>
              </w:rPr>
              <w:t>Diane Whitmore Schanzenbach</w:t>
            </w:r>
          </w:p>
        </w:tc>
        <w:tc>
          <w:tcPr>
            <w:cnfStyle w:val="000010000000" w:firstRow="0" w:lastRow="0" w:firstColumn="0" w:lastColumn="0" w:oddVBand="1" w:evenVBand="0" w:oddHBand="0" w:evenHBand="0" w:firstRowFirstColumn="0" w:firstRowLastColumn="0" w:lastRowFirstColumn="0" w:lastRowLastColumn="0"/>
            <w:tcW w:w="2067" w:type="pct"/>
          </w:tcPr>
          <w:p w:rsidRPr="008524B1" w:rsidR="00A56079" w:rsidP="00C47090" w:rsidRDefault="00A56079" w14:paraId="11507952" w14:textId="77777777">
            <w:pPr>
              <w:pStyle w:val="L1-FlLSp12"/>
              <w:spacing w:line="240" w:lineRule="auto"/>
              <w:jc w:val="left"/>
              <w:rPr>
                <w:sz w:val="24"/>
              </w:rPr>
            </w:pPr>
            <w:r w:rsidRPr="008524B1">
              <w:rPr>
                <w:sz w:val="24"/>
              </w:rPr>
              <w:t>Director, Institute for Policy Research at Northwestern University;0 research associate at the National Bureau of Economic Research</w:t>
            </w:r>
          </w:p>
        </w:tc>
        <w:tc>
          <w:tcPr>
            <w:tcW w:w="1742" w:type="pct"/>
          </w:tcPr>
          <w:p w:rsidRPr="008524B1" w:rsidR="00A56079" w:rsidP="00C47090" w:rsidRDefault="001C6D62" w14:paraId="574AEC7F" w14:textId="77777777">
            <w:pPr>
              <w:pStyle w:val="L1-FlLSp12"/>
              <w:spacing w:line="240" w:lineRule="auto"/>
              <w:jc w:val="left"/>
              <w:cnfStyle w:val="000000000000" w:firstRow="0" w:lastRow="0" w:firstColumn="0" w:lastColumn="0" w:oddVBand="0" w:evenVBand="0" w:oddHBand="0" w:evenHBand="0" w:firstRowFirstColumn="0" w:firstRowLastColumn="0" w:lastRowFirstColumn="0" w:lastRowLastColumn="0"/>
              <w:rPr>
                <w:sz w:val="24"/>
              </w:rPr>
            </w:pPr>
            <w:hyperlink w:history="1" r:id="rId11">
              <w:r w:rsidRPr="008524B1" w:rsidR="00A56079">
                <w:rPr>
                  <w:rStyle w:val="Hyperlink"/>
                  <w:sz w:val="24"/>
                </w:rPr>
                <w:t>dws@northwestern.edu</w:t>
              </w:r>
            </w:hyperlink>
          </w:p>
          <w:p w:rsidRPr="008524B1" w:rsidR="00A56079" w:rsidP="00C47090" w:rsidRDefault="00A56079" w14:paraId="705F9655" w14:textId="77777777">
            <w:pPr>
              <w:pStyle w:val="L1-FlLSp12"/>
              <w:spacing w:line="240" w:lineRule="auto"/>
              <w:jc w:val="left"/>
              <w:cnfStyle w:val="000000000000" w:firstRow="0" w:lastRow="0" w:firstColumn="0" w:lastColumn="0" w:oddVBand="0" w:evenVBand="0" w:oddHBand="0" w:evenHBand="0" w:firstRowFirstColumn="0" w:firstRowLastColumn="0" w:lastRowFirstColumn="0" w:lastRowLastColumn="0"/>
              <w:rPr>
                <w:sz w:val="24"/>
              </w:rPr>
            </w:pPr>
          </w:p>
        </w:tc>
      </w:tr>
      <w:tr w:rsidRPr="002F5800" w:rsidR="00A56079" w:rsidTr="00F244AB" w14:paraId="72AED9AF"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8524B1" w:rsidR="00A56079" w:rsidP="00C47090" w:rsidRDefault="00A56079" w14:paraId="7800F750" w14:textId="77777777">
            <w:pPr>
              <w:pStyle w:val="L1-FlLSp12"/>
              <w:spacing w:line="240" w:lineRule="auto"/>
              <w:jc w:val="left"/>
              <w:rPr>
                <w:b w:val="0"/>
                <w:sz w:val="24"/>
              </w:rPr>
            </w:pPr>
            <w:r w:rsidRPr="008524B1">
              <w:rPr>
                <w:sz w:val="24"/>
              </w:rPr>
              <w:t>Laura Tiehen</w:t>
            </w:r>
          </w:p>
        </w:tc>
        <w:tc>
          <w:tcPr>
            <w:cnfStyle w:val="000010000000" w:firstRow="0" w:lastRow="0" w:firstColumn="0" w:lastColumn="0" w:oddVBand="1" w:evenVBand="0" w:oddHBand="0" w:evenHBand="0" w:firstRowFirstColumn="0" w:firstRowLastColumn="0" w:lastRowFirstColumn="0" w:lastRowLastColumn="0"/>
            <w:tcW w:w="2067" w:type="pct"/>
          </w:tcPr>
          <w:p w:rsidRPr="008524B1" w:rsidR="00A56079" w:rsidP="00C47090" w:rsidRDefault="00A56079" w14:paraId="581CACCD" w14:textId="77777777">
            <w:pPr>
              <w:jc w:val="left"/>
              <w:rPr>
                <w:sz w:val="24"/>
              </w:rPr>
            </w:pPr>
            <w:r w:rsidRPr="008524B1">
              <w:rPr>
                <w:sz w:val="24"/>
              </w:rPr>
              <w:t>Economist, Food Assistance Branch of the Economic Research Service's Food Economics Division </w:t>
            </w:r>
          </w:p>
        </w:tc>
        <w:tc>
          <w:tcPr>
            <w:tcW w:w="1742" w:type="pct"/>
          </w:tcPr>
          <w:p w:rsidRPr="008524B1" w:rsidR="00A56079" w:rsidP="00C47090" w:rsidRDefault="001C6D62" w14:paraId="5F1E0E4F" w14:textId="77777777">
            <w:pPr>
              <w:pStyle w:val="L1-FlLSp12"/>
              <w:spacing w:line="240" w:lineRule="auto"/>
              <w:jc w:val="left"/>
              <w:cnfStyle w:val="000000100000" w:firstRow="0" w:lastRow="0" w:firstColumn="0" w:lastColumn="0" w:oddVBand="0" w:evenVBand="0" w:oddHBand="1" w:evenHBand="0" w:firstRowFirstColumn="0" w:firstRowLastColumn="0" w:lastRowFirstColumn="0" w:lastRowLastColumn="0"/>
              <w:rPr>
                <w:sz w:val="24"/>
              </w:rPr>
            </w:pPr>
            <w:hyperlink w:history="1" r:id="rId12">
              <w:r w:rsidRPr="008524B1" w:rsidR="00A56079">
                <w:rPr>
                  <w:rStyle w:val="Hyperlink"/>
                  <w:sz w:val="24"/>
                </w:rPr>
                <w:t>LTIEHEN@ers.usda.gov</w:t>
              </w:r>
            </w:hyperlink>
          </w:p>
          <w:p w:rsidRPr="008524B1" w:rsidR="00A56079" w:rsidP="00C47090" w:rsidRDefault="00A56079" w14:paraId="1F17E4BD" w14:textId="77777777">
            <w:pPr>
              <w:pStyle w:val="L1-FlLSp12"/>
              <w:spacing w:line="240" w:lineRule="auto"/>
              <w:jc w:val="left"/>
              <w:cnfStyle w:val="000000100000" w:firstRow="0" w:lastRow="0" w:firstColumn="0" w:lastColumn="0" w:oddVBand="0" w:evenVBand="0" w:oddHBand="1" w:evenHBand="0" w:firstRowFirstColumn="0" w:firstRowLastColumn="0" w:lastRowFirstColumn="0" w:lastRowLastColumn="0"/>
              <w:rPr>
                <w:sz w:val="24"/>
              </w:rPr>
            </w:pPr>
          </w:p>
        </w:tc>
      </w:tr>
      <w:tr w:rsidRPr="002F5800" w:rsidR="00A56079" w:rsidTr="00F244AB" w14:paraId="10F36E10"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A56079" w:rsidP="00C47090" w:rsidRDefault="00A56079" w14:paraId="38E2032A" w14:textId="77777777">
            <w:pPr>
              <w:jc w:val="left"/>
              <w:rPr>
                <w:sz w:val="24"/>
                <w:szCs w:val="24"/>
              </w:rPr>
            </w:pPr>
          </w:p>
        </w:tc>
        <w:tc>
          <w:tcPr>
            <w:cnfStyle w:val="000010000000" w:firstRow="0" w:lastRow="0" w:firstColumn="0" w:lastColumn="0" w:oddVBand="1" w:evenVBand="0" w:oddHBand="0" w:evenHBand="0" w:firstRowFirstColumn="0" w:firstRowLastColumn="0" w:lastRowFirstColumn="0" w:lastRowLastColumn="0"/>
            <w:tcW w:w="2067" w:type="pct"/>
          </w:tcPr>
          <w:p w:rsidRPr="002F5800" w:rsidR="00A56079" w:rsidP="00C47090" w:rsidRDefault="00A56079" w14:paraId="51A02E02" w14:textId="77777777">
            <w:pPr>
              <w:jc w:val="left"/>
              <w:rPr>
                <w:sz w:val="24"/>
                <w:szCs w:val="24"/>
              </w:rPr>
            </w:pPr>
          </w:p>
        </w:tc>
        <w:tc>
          <w:tcPr>
            <w:tcW w:w="1742" w:type="pct"/>
          </w:tcPr>
          <w:p w:rsidRPr="002F5800" w:rsidR="00A56079" w:rsidP="00C47090" w:rsidRDefault="00A56079" w14:paraId="0911F512" w14:textId="77777777">
            <w:pPr>
              <w:jc w:val="left"/>
              <w:cnfStyle w:val="000000000000" w:firstRow="0" w:lastRow="0" w:firstColumn="0" w:lastColumn="0" w:oddVBand="0" w:evenVBand="0" w:oddHBand="0" w:evenHBand="0" w:firstRowFirstColumn="0" w:firstRowLastColumn="0" w:lastRowFirstColumn="0" w:lastRowLastColumn="0"/>
              <w:rPr>
                <w:sz w:val="24"/>
                <w:szCs w:val="24"/>
              </w:rPr>
            </w:pPr>
          </w:p>
        </w:tc>
      </w:tr>
      <w:tr w:rsidRPr="002F5800" w:rsidR="00A56079" w:rsidTr="00F244AB" w14:paraId="21BAD1BE"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258" w:type="pct"/>
            <w:gridSpan w:val="2"/>
          </w:tcPr>
          <w:p w:rsidRPr="002F5800" w:rsidR="00A56079" w:rsidP="00C47090" w:rsidRDefault="00A56079" w14:paraId="65D209F7" w14:textId="77777777">
            <w:pPr>
              <w:jc w:val="left"/>
              <w:rPr>
                <w:sz w:val="24"/>
                <w:szCs w:val="24"/>
              </w:rPr>
            </w:pPr>
            <w:r w:rsidRPr="002F5800">
              <w:rPr>
                <w:sz w:val="24"/>
                <w:szCs w:val="24"/>
              </w:rPr>
              <w:t xml:space="preserve">FNS Staff </w:t>
            </w:r>
          </w:p>
        </w:tc>
        <w:tc>
          <w:tcPr>
            <w:cnfStyle w:val="000010000000" w:firstRow="0" w:lastRow="0" w:firstColumn="0" w:lastColumn="0" w:oddVBand="1" w:evenVBand="0" w:oddHBand="0" w:evenHBand="0" w:firstRowFirstColumn="0" w:firstRowLastColumn="0" w:lastRowFirstColumn="0" w:lastRowLastColumn="0"/>
            <w:tcW w:w="1742" w:type="pct"/>
          </w:tcPr>
          <w:p w:rsidRPr="002F5800" w:rsidR="00A56079" w:rsidP="00C47090" w:rsidRDefault="00A56079" w14:paraId="45D544BD" w14:textId="77777777">
            <w:pPr>
              <w:jc w:val="left"/>
              <w:rPr>
                <w:sz w:val="24"/>
                <w:szCs w:val="24"/>
              </w:rPr>
            </w:pPr>
          </w:p>
        </w:tc>
      </w:tr>
      <w:tr w:rsidRPr="002F5800" w:rsidR="00A56079" w:rsidTr="00F244AB" w14:paraId="10735B95" w14:textId="77777777">
        <w:trPr>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A56079" w:rsidP="00C47090" w:rsidRDefault="00A56079" w14:paraId="170D19A7" w14:textId="77777777">
            <w:pPr>
              <w:jc w:val="left"/>
              <w:rPr>
                <w:b w:val="0"/>
                <w:sz w:val="24"/>
                <w:szCs w:val="24"/>
              </w:rPr>
            </w:pPr>
            <w:r w:rsidRPr="002F5800">
              <w:rPr>
                <w:sz w:val="24"/>
              </w:rPr>
              <w:t>Michael Burke</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A56079" w:rsidP="00C47090" w:rsidRDefault="00625F19" w14:paraId="6C9DD4E9" w14:textId="77777777">
            <w:pPr>
              <w:jc w:val="left"/>
              <w:rPr>
                <w:sz w:val="24"/>
                <w:szCs w:val="24"/>
              </w:rPr>
            </w:pPr>
            <w:r w:rsidRPr="002F5800">
              <w:rPr>
                <w:sz w:val="24"/>
                <w:szCs w:val="24"/>
              </w:rPr>
              <w:t>Social Science Research Analyst</w:t>
            </w:r>
          </w:p>
        </w:tc>
        <w:tc>
          <w:tcPr>
            <w:tcW w:w="1742" w:type="pct"/>
          </w:tcPr>
          <w:p w:rsidRPr="002F5800" w:rsidR="00A56079" w:rsidP="00C47090" w:rsidRDefault="001C6D62" w14:paraId="7DFDE627" w14:textId="77777777">
            <w:pPr>
              <w:jc w:val="left"/>
              <w:cnfStyle w:val="000000000000" w:firstRow="0" w:lastRow="0" w:firstColumn="0" w:lastColumn="0" w:oddVBand="0" w:evenVBand="0" w:oddHBand="0" w:evenHBand="0" w:firstRowFirstColumn="0" w:firstRowLastColumn="0" w:lastRowFirstColumn="0" w:lastRowLastColumn="0"/>
              <w:rPr>
                <w:sz w:val="24"/>
                <w:szCs w:val="24"/>
              </w:rPr>
            </w:pPr>
            <w:hyperlink w:history="1" r:id="rId13">
              <w:r w:rsidRPr="002F5800" w:rsidR="00625F19">
                <w:rPr>
                  <w:rStyle w:val="Hyperlink"/>
                  <w:sz w:val="24"/>
                  <w:szCs w:val="24"/>
                </w:rPr>
                <w:t>michael.burke@fns.usda.gov</w:t>
              </w:r>
            </w:hyperlink>
          </w:p>
        </w:tc>
      </w:tr>
      <w:tr w:rsidRPr="002F5800" w:rsidR="00F244AB" w:rsidTr="00F244AB" w14:paraId="14BB3C5C"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2F5800" w:rsidR="00F244AB" w:rsidP="00C47090" w:rsidRDefault="00F244AB" w14:paraId="26EC4B50" w14:textId="77777777">
            <w:pPr>
              <w:jc w:val="left"/>
              <w:rPr>
                <w:sz w:val="24"/>
              </w:rPr>
            </w:pPr>
          </w:p>
        </w:tc>
        <w:tc>
          <w:tcPr>
            <w:cnfStyle w:val="000010000000" w:firstRow="0" w:lastRow="0" w:firstColumn="0" w:lastColumn="0" w:oddVBand="1" w:evenVBand="0" w:oddHBand="0" w:evenHBand="0" w:firstRowFirstColumn="0" w:firstRowLastColumn="0" w:lastRowFirstColumn="0" w:lastRowLastColumn="0"/>
            <w:tcW w:w="2067" w:type="pct"/>
          </w:tcPr>
          <w:p w:rsidRPr="002F5800" w:rsidR="00F244AB" w:rsidP="00C47090" w:rsidRDefault="00F244AB" w14:paraId="5211FE86" w14:textId="77777777">
            <w:pPr>
              <w:jc w:val="left"/>
              <w:rPr>
                <w:sz w:val="24"/>
                <w:szCs w:val="24"/>
              </w:rPr>
            </w:pPr>
          </w:p>
        </w:tc>
        <w:tc>
          <w:tcPr>
            <w:tcW w:w="1742" w:type="pct"/>
          </w:tcPr>
          <w:p w:rsidR="00F244AB" w:rsidP="00C47090" w:rsidRDefault="00F244AB" w14:paraId="175E38F1" w14:textId="77777777">
            <w:pPr>
              <w:jc w:val="left"/>
              <w:cnfStyle w:val="000000100000" w:firstRow="0" w:lastRow="0" w:firstColumn="0" w:lastColumn="0" w:oddVBand="0" w:evenVBand="0" w:oddHBand="1" w:evenHBand="0" w:firstRowFirstColumn="0" w:firstRowLastColumn="0" w:lastRowFirstColumn="0" w:lastRowLastColumn="0"/>
            </w:pPr>
          </w:p>
        </w:tc>
      </w:tr>
      <w:tr w:rsidRPr="002F5800" w:rsidR="00F244AB" w:rsidTr="00F244AB" w14:paraId="06617537" w14:textId="77777777">
        <w:trPr>
          <w:trHeight w:val="331"/>
        </w:trPr>
        <w:tc>
          <w:tcPr>
            <w:cnfStyle w:val="001000000000" w:firstRow="0" w:lastRow="0" w:firstColumn="1" w:lastColumn="0" w:oddVBand="0" w:evenVBand="0" w:oddHBand="0" w:evenHBand="0" w:firstRowFirstColumn="0" w:firstRowLastColumn="0" w:lastRowFirstColumn="0" w:lastRowLastColumn="0"/>
            <w:tcW w:w="3258" w:type="pct"/>
            <w:gridSpan w:val="2"/>
          </w:tcPr>
          <w:p w:rsidRPr="002F5800" w:rsidR="00F244AB" w:rsidP="00C47090" w:rsidRDefault="00F244AB" w14:paraId="52BD903B" w14:textId="79BF65E1">
            <w:pPr>
              <w:jc w:val="left"/>
              <w:rPr>
                <w:sz w:val="24"/>
                <w:szCs w:val="24"/>
              </w:rPr>
            </w:pPr>
            <w:r>
              <w:rPr>
                <w:sz w:val="24"/>
                <w:szCs w:val="24"/>
              </w:rPr>
              <w:t>NASS Staff</w:t>
            </w:r>
          </w:p>
        </w:tc>
        <w:tc>
          <w:tcPr>
            <w:cnfStyle w:val="000010000000" w:firstRow="0" w:lastRow="0" w:firstColumn="0" w:lastColumn="0" w:oddVBand="1" w:evenVBand="0" w:oddHBand="0" w:evenHBand="0" w:firstRowFirstColumn="0" w:firstRowLastColumn="0" w:lastRowFirstColumn="0" w:lastRowLastColumn="0"/>
            <w:tcW w:w="1742" w:type="pct"/>
          </w:tcPr>
          <w:p w:rsidR="00F244AB" w:rsidP="00C47090" w:rsidRDefault="00F244AB" w14:paraId="4D530E89" w14:textId="77777777">
            <w:pPr>
              <w:jc w:val="left"/>
            </w:pPr>
          </w:p>
        </w:tc>
      </w:tr>
      <w:tr w:rsidRPr="002F5800" w:rsidR="00F244AB" w:rsidTr="00F244AB" w14:paraId="1E74CB33" w14:textId="77777777">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191" w:type="pct"/>
          </w:tcPr>
          <w:p w:rsidRPr="00F244AB" w:rsidR="00F244AB" w:rsidP="00C47090" w:rsidRDefault="00F244AB" w14:paraId="31091E3C" w14:textId="737B9B11">
            <w:pPr>
              <w:jc w:val="left"/>
              <w:rPr>
                <w:sz w:val="24"/>
                <w:szCs w:val="24"/>
              </w:rPr>
            </w:pPr>
            <w:r w:rsidRPr="00FF00C5">
              <w:rPr>
                <w:sz w:val="24"/>
                <w:szCs w:val="24"/>
              </w:rPr>
              <w:t>Lindsay Drunasky</w:t>
            </w:r>
          </w:p>
        </w:tc>
        <w:tc>
          <w:tcPr>
            <w:cnfStyle w:val="000010000000" w:firstRow="0" w:lastRow="0" w:firstColumn="0" w:lastColumn="0" w:oddVBand="1" w:evenVBand="0" w:oddHBand="0" w:evenHBand="0" w:firstRowFirstColumn="0" w:firstRowLastColumn="0" w:lastRowFirstColumn="0" w:lastRowLastColumn="0"/>
            <w:tcW w:w="2067" w:type="pct"/>
          </w:tcPr>
          <w:p w:rsidRPr="002F5800" w:rsidR="00F244AB" w:rsidP="00C47090" w:rsidRDefault="00F244AB" w14:paraId="45D9B94A" w14:textId="594A61BC">
            <w:pPr>
              <w:jc w:val="left"/>
              <w:rPr>
                <w:sz w:val="24"/>
                <w:szCs w:val="24"/>
              </w:rPr>
            </w:pPr>
            <w:r>
              <w:rPr>
                <w:sz w:val="24"/>
                <w:szCs w:val="24"/>
              </w:rPr>
              <w:t>Mathematical Statistician</w:t>
            </w:r>
          </w:p>
        </w:tc>
        <w:tc>
          <w:tcPr>
            <w:tcW w:w="1742" w:type="pct"/>
          </w:tcPr>
          <w:p w:rsidR="00F244AB" w:rsidP="00F244AB" w:rsidRDefault="001C6D62" w14:paraId="351F8728" w14:textId="6C65B9B9">
            <w:pPr>
              <w:jc w:val="left"/>
              <w:cnfStyle w:val="000000100000" w:firstRow="0" w:lastRow="0" w:firstColumn="0" w:lastColumn="0" w:oddVBand="0" w:evenVBand="0" w:oddHBand="1" w:evenHBand="0" w:firstRowFirstColumn="0" w:firstRowLastColumn="0" w:lastRowFirstColumn="0" w:lastRowLastColumn="0"/>
              <w:rPr>
                <w:sz w:val="24"/>
                <w:szCs w:val="24"/>
              </w:rPr>
            </w:pPr>
            <w:hyperlink w:history="1" r:id="rId14">
              <w:r w:rsidRPr="001757D0" w:rsidR="00E31157">
                <w:rPr>
                  <w:rStyle w:val="Hyperlink"/>
                  <w:sz w:val="24"/>
                  <w:szCs w:val="24"/>
                </w:rPr>
                <w:t>Lindsay.drunasky@usda.gov</w:t>
              </w:r>
            </w:hyperlink>
          </w:p>
          <w:p w:rsidRPr="00FF00C5" w:rsidR="00F244AB" w:rsidP="00F244AB" w:rsidRDefault="00F244AB" w14:paraId="4CA62F63" w14:textId="3E649E73">
            <w:pPr>
              <w:jc w:val="left"/>
              <w:cnfStyle w:val="000000100000" w:firstRow="0" w:lastRow="0" w:firstColumn="0" w:lastColumn="0" w:oddVBand="0" w:evenVBand="0" w:oddHBand="1" w:evenHBand="0" w:firstRowFirstColumn="0" w:firstRowLastColumn="0" w:lastRowFirstColumn="0" w:lastRowLastColumn="0"/>
              <w:rPr>
                <w:sz w:val="24"/>
                <w:szCs w:val="24"/>
              </w:rPr>
            </w:pPr>
          </w:p>
        </w:tc>
      </w:tr>
    </w:tbl>
    <w:p w:rsidRPr="002F5800" w:rsidR="004F54C8" w:rsidP="0041651B" w:rsidRDefault="004F54C8" w14:paraId="274C6015" w14:textId="77777777">
      <w:pPr>
        <w:jc w:val="left"/>
        <w:rPr>
          <w:sz w:val="24"/>
          <w:szCs w:val="24"/>
        </w:rPr>
      </w:pPr>
    </w:p>
    <w:sectPr w:rsidRPr="002F5800" w:rsidR="004F54C8">
      <w:headerReference w:type="default" r:id="rId15"/>
      <w:footerReference w:type="default" r:id="rId16"/>
      <w:pgSz w:w="12240" w:h="15840" w:code="1"/>
      <w:pgMar w:top="1440" w:right="1440" w:bottom="1440" w:left="1440" w:header="720" w:footer="576" w:gutter="0"/>
      <w:cols w:space="720"/>
      <w:titlePg/>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3F269" w14:textId="77777777" w:rsidR="00CB11DD" w:rsidRDefault="00CB11DD">
      <w:r>
        <w:separator/>
      </w:r>
    </w:p>
  </w:endnote>
  <w:endnote w:type="continuationSeparator" w:id="0">
    <w:p w14:paraId="4792C38B" w14:textId="77777777" w:rsidR="00CB11DD" w:rsidRDefault="00CB11DD">
      <w:r>
        <w:continuationSeparator/>
      </w:r>
    </w:p>
  </w:endnote>
  <w:endnote w:type="continuationNotice" w:id="1">
    <w:p w14:paraId="3818824E" w14:textId="77777777" w:rsidR="00CB11DD" w:rsidRDefault="00CB11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533373"/>
      <w:docPartObj>
        <w:docPartGallery w:val="Page Numbers (Bottom of Page)"/>
        <w:docPartUnique/>
      </w:docPartObj>
    </w:sdtPr>
    <w:sdtEndPr>
      <w:rPr>
        <w:noProof/>
      </w:rPr>
    </w:sdtEndPr>
    <w:sdtContent>
      <w:p w14:paraId="184C27FC" w14:textId="199E8227" w:rsidR="0097737A" w:rsidRDefault="0097737A">
        <w:pPr>
          <w:pStyle w:val="Footer"/>
          <w:jc w:val="center"/>
        </w:pPr>
        <w:r>
          <w:fldChar w:fldCharType="begin"/>
        </w:r>
        <w:r>
          <w:instrText xml:space="preserve"> PAGE   \* MERGEFORMAT </w:instrText>
        </w:r>
        <w:r>
          <w:fldChar w:fldCharType="separate"/>
        </w:r>
        <w:r w:rsidR="001C6D62">
          <w:rPr>
            <w:noProof/>
          </w:rPr>
          <w:t>19</w:t>
        </w:r>
        <w:r>
          <w:rPr>
            <w:noProof/>
          </w:rPr>
          <w:fldChar w:fldCharType="end"/>
        </w:r>
      </w:p>
    </w:sdtContent>
  </w:sdt>
  <w:p w14:paraId="199C23D2" w14:textId="77777777" w:rsidR="0097737A" w:rsidRDefault="00977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D112E" w14:textId="77777777" w:rsidR="00CB11DD" w:rsidRDefault="00CB11DD">
      <w:r>
        <w:separator/>
      </w:r>
    </w:p>
  </w:footnote>
  <w:footnote w:type="continuationSeparator" w:id="0">
    <w:p w14:paraId="62CBD29E" w14:textId="77777777" w:rsidR="00CB11DD" w:rsidRDefault="00CB11DD">
      <w:r>
        <w:continuationSeparator/>
      </w:r>
    </w:p>
  </w:footnote>
  <w:footnote w:type="continuationNotice" w:id="1">
    <w:p w14:paraId="2FB3EEFC" w14:textId="77777777" w:rsidR="00CB11DD" w:rsidRDefault="00CB11DD">
      <w:pPr>
        <w:spacing w:line="240" w:lineRule="auto"/>
      </w:pPr>
    </w:p>
  </w:footnote>
  <w:footnote w:id="2">
    <w:p w14:paraId="1039D0C1" w14:textId="5AC280DA" w:rsidR="00104AA5" w:rsidRPr="00AE26FA" w:rsidRDefault="00104AA5" w:rsidP="000F5861">
      <w:pPr>
        <w:pStyle w:val="FootnoteText"/>
        <w:tabs>
          <w:tab w:val="clear" w:pos="120"/>
          <w:tab w:val="left" w:pos="0"/>
        </w:tabs>
        <w:spacing w:before="0" w:line="240" w:lineRule="auto"/>
        <w:ind w:left="0" w:hanging="25"/>
        <w:jc w:val="both"/>
        <w:rPr>
          <w:rFonts w:ascii="Times New Roman" w:hAnsi="Times New Roman"/>
          <w:sz w:val="20"/>
          <w:szCs w:val="20"/>
        </w:rPr>
      </w:pPr>
      <w:r w:rsidRPr="00AE26FA">
        <w:rPr>
          <w:rStyle w:val="FootnoteReference"/>
          <w:rFonts w:ascii="Times New Roman" w:hAnsi="Times New Roman"/>
          <w:sz w:val="20"/>
          <w:szCs w:val="20"/>
        </w:rPr>
        <w:footnoteRef/>
      </w:r>
      <w:r w:rsidRPr="00AE26FA">
        <w:rPr>
          <w:rFonts w:ascii="Times New Roman" w:hAnsi="Times New Roman"/>
          <w:sz w:val="20"/>
          <w:szCs w:val="20"/>
        </w:rPr>
        <w:t xml:space="preserve"> FNS considers SNAP participants ages 18 to 59 as “adults” or “working age” and are generally subject to work requirements. In contrast, FNS considers</w:t>
      </w:r>
      <w:r w:rsidR="00166434">
        <w:rPr>
          <w:rFonts w:ascii="Times New Roman" w:hAnsi="Times New Roman"/>
          <w:sz w:val="20"/>
          <w:szCs w:val="20"/>
        </w:rPr>
        <w:t xml:space="preserve"> SNAP participants ages 60 to 69</w:t>
      </w:r>
      <w:r w:rsidRPr="00AE26FA">
        <w:rPr>
          <w:rFonts w:ascii="Times New Roman" w:hAnsi="Times New Roman"/>
          <w:sz w:val="20"/>
          <w:szCs w:val="20"/>
        </w:rPr>
        <w:t xml:space="preserve"> as elderly and are not subject to work requirements.</w:t>
      </w:r>
    </w:p>
  </w:footnote>
  <w:footnote w:id="3">
    <w:p w14:paraId="150A2E05" w14:textId="77777777" w:rsidR="00104AA5" w:rsidRPr="00AE26FA" w:rsidRDefault="00104AA5" w:rsidP="000F5861">
      <w:pPr>
        <w:pStyle w:val="FootnoteText"/>
        <w:tabs>
          <w:tab w:val="clear" w:pos="120"/>
          <w:tab w:val="left" w:pos="0"/>
        </w:tabs>
        <w:spacing w:before="0" w:line="240" w:lineRule="auto"/>
        <w:ind w:left="0" w:firstLine="0"/>
        <w:rPr>
          <w:rFonts w:ascii="Times New Roman" w:hAnsi="Times New Roman"/>
          <w:sz w:val="20"/>
          <w:szCs w:val="20"/>
        </w:rPr>
      </w:pPr>
      <w:r w:rsidRPr="00AE26FA">
        <w:rPr>
          <w:rStyle w:val="FootnoteReference"/>
          <w:rFonts w:ascii="Times New Roman" w:hAnsi="Times New Roman"/>
          <w:sz w:val="20"/>
          <w:szCs w:val="20"/>
        </w:rPr>
        <w:footnoteRef/>
      </w:r>
      <w:r w:rsidRPr="00AE26FA">
        <w:rPr>
          <w:rFonts w:ascii="Times New Roman" w:hAnsi="Times New Roman"/>
          <w:sz w:val="20"/>
          <w:szCs w:val="20"/>
        </w:rPr>
        <w:t xml:space="preserve"> The U.S. Census Bureau defines urban areas as those with populations of 50,000 or more and urban clusters as those with populations of at least 2,500. Rural includes all areas that are not urban. </w:t>
      </w:r>
      <w:hyperlink r:id="rId1" w:history="1">
        <w:r w:rsidRPr="00AE26FA">
          <w:rPr>
            <w:rStyle w:val="Hyperlink"/>
            <w:rFonts w:ascii="Times New Roman" w:hAnsi="Times New Roman"/>
            <w:sz w:val="20"/>
            <w:szCs w:val="20"/>
          </w:rPr>
          <w:t>https://www.census.gov/geo/reference/urban-rural.html</w:t>
        </w:r>
      </w:hyperlink>
    </w:p>
  </w:footnote>
  <w:footnote w:id="4">
    <w:p w14:paraId="4294283E" w14:textId="77777777" w:rsidR="003A2A31" w:rsidRPr="00AE26FA" w:rsidRDefault="003A2A31" w:rsidP="000F5861">
      <w:pPr>
        <w:pStyle w:val="FootnoteText"/>
        <w:tabs>
          <w:tab w:val="clear" w:pos="120"/>
          <w:tab w:val="left" w:pos="0"/>
        </w:tabs>
        <w:ind w:left="0" w:firstLine="0"/>
        <w:rPr>
          <w:rFonts w:ascii="Times New Roman" w:hAnsi="Times New Roman"/>
          <w:sz w:val="20"/>
          <w:szCs w:val="20"/>
        </w:rPr>
      </w:pPr>
      <w:r w:rsidRPr="00AE26FA">
        <w:rPr>
          <w:rStyle w:val="FootnoteReference"/>
          <w:rFonts w:ascii="Times New Roman" w:hAnsi="Times New Roman"/>
          <w:sz w:val="20"/>
          <w:szCs w:val="20"/>
        </w:rPr>
        <w:footnoteRef/>
      </w:r>
      <w:r w:rsidRPr="00AE26FA">
        <w:rPr>
          <w:rFonts w:ascii="Times New Roman" w:hAnsi="Times New Roman"/>
          <w:sz w:val="20"/>
          <w:szCs w:val="20"/>
        </w:rPr>
        <w:t xml:space="preserve"> </w:t>
      </w:r>
      <w:r w:rsidR="00AE26FA">
        <w:rPr>
          <w:rFonts w:ascii="Times New Roman" w:hAnsi="Times New Roman"/>
          <w:sz w:val="20"/>
          <w:szCs w:val="20"/>
        </w:rPr>
        <w:t>We do not plan to use a t</w:t>
      </w:r>
      <w:r w:rsidRPr="00AE26FA">
        <w:rPr>
          <w:rFonts w:ascii="Times New Roman" w:hAnsi="Times New Roman"/>
          <w:sz w:val="20"/>
          <w:szCs w:val="20"/>
        </w:rPr>
        <w:t>ribal area as a sampling domain</w:t>
      </w:r>
      <w:r w:rsidR="00014DD6" w:rsidRPr="00AE26FA">
        <w:rPr>
          <w:rFonts w:ascii="Times New Roman" w:hAnsi="Times New Roman"/>
          <w:sz w:val="20"/>
          <w:szCs w:val="20"/>
        </w:rPr>
        <w:t xml:space="preserve"> </w:t>
      </w:r>
      <w:r w:rsidRPr="00AE26FA">
        <w:rPr>
          <w:rFonts w:ascii="Times New Roman" w:hAnsi="Times New Roman"/>
          <w:sz w:val="20"/>
          <w:szCs w:val="20"/>
        </w:rPr>
        <w:t>but tribal areas will be included in the sample if they are in a sampled PSU.</w:t>
      </w:r>
    </w:p>
  </w:footnote>
  <w:footnote w:id="5">
    <w:p w14:paraId="48D8B5BA" w14:textId="347FE707" w:rsidR="00A23AD8" w:rsidRPr="00AE26FA" w:rsidRDefault="00A23AD8" w:rsidP="000F5861">
      <w:pPr>
        <w:pStyle w:val="FootnoteText"/>
        <w:tabs>
          <w:tab w:val="clear" w:pos="120"/>
          <w:tab w:val="left" w:pos="0"/>
        </w:tabs>
        <w:ind w:left="0" w:firstLine="0"/>
        <w:rPr>
          <w:rFonts w:ascii="Times New Roman" w:hAnsi="Times New Roman"/>
          <w:sz w:val="20"/>
          <w:szCs w:val="20"/>
        </w:rPr>
      </w:pPr>
      <w:r w:rsidRPr="00AE26FA">
        <w:rPr>
          <w:rFonts w:ascii="Times New Roman" w:hAnsi="Times New Roman"/>
          <w:sz w:val="20"/>
          <w:szCs w:val="20"/>
          <w:vertAlign w:val="superscript"/>
        </w:rPr>
        <w:footnoteRef/>
      </w:r>
      <w:r w:rsidR="000F5861">
        <w:rPr>
          <w:rFonts w:ascii="Times New Roman" w:hAnsi="Times New Roman"/>
          <w:sz w:val="20"/>
          <w:szCs w:val="20"/>
        </w:rPr>
        <w:t xml:space="preserve"> </w:t>
      </w:r>
      <w:r w:rsidRPr="00AE26FA">
        <w:rPr>
          <w:rFonts w:ascii="Times New Roman" w:hAnsi="Times New Roman"/>
          <w:sz w:val="20"/>
          <w:szCs w:val="20"/>
        </w:rPr>
        <w:t>Rust, K.F. and Rao, J.N.K. (1996). Variance estimation for complex surveys using replication techniques. Statistical. Methods in Medical. Research, 5, 283-310.</w:t>
      </w:r>
    </w:p>
  </w:footnote>
  <w:footnote w:id="6">
    <w:p w14:paraId="3CC08D4B" w14:textId="77777777" w:rsidR="00F47071" w:rsidRPr="00AE26FA" w:rsidRDefault="00F47071" w:rsidP="000F5861">
      <w:pPr>
        <w:pStyle w:val="FootnoteText"/>
        <w:tabs>
          <w:tab w:val="clear" w:pos="120"/>
          <w:tab w:val="left" w:pos="0"/>
        </w:tabs>
        <w:ind w:left="0" w:firstLine="0"/>
        <w:rPr>
          <w:rFonts w:ascii="Times New Roman" w:hAnsi="Times New Roman"/>
          <w:sz w:val="20"/>
          <w:szCs w:val="20"/>
        </w:rPr>
      </w:pPr>
      <w:r w:rsidRPr="00AE26FA">
        <w:rPr>
          <w:rStyle w:val="FootnoteReference"/>
          <w:rFonts w:ascii="Times New Roman" w:eastAsiaTheme="majorEastAsia" w:hAnsi="Times New Roman"/>
          <w:sz w:val="20"/>
          <w:szCs w:val="20"/>
        </w:rPr>
        <w:footnoteRef/>
      </w:r>
      <w:r w:rsidRPr="00AE26FA">
        <w:rPr>
          <w:rFonts w:ascii="Times New Roman" w:hAnsi="Times New Roman"/>
          <w:sz w:val="20"/>
          <w:szCs w:val="20"/>
        </w:rPr>
        <w:t xml:space="preserve"> This assumes initial State-level design effects of 1.05, 1.10, 1.15 and 1.20 based on previous studies conducted with PSU clustering within States. Each design effect </w:t>
      </w:r>
      <w:r w:rsidR="00AE26FA">
        <w:rPr>
          <w:rFonts w:ascii="Times New Roman" w:hAnsi="Times New Roman"/>
          <w:sz w:val="20"/>
          <w:szCs w:val="20"/>
        </w:rPr>
        <w:t>is</w:t>
      </w:r>
      <w:r w:rsidRPr="00AE26FA">
        <w:rPr>
          <w:rFonts w:ascii="Times New Roman" w:hAnsi="Times New Roman"/>
          <w:sz w:val="20"/>
          <w:szCs w:val="20"/>
        </w:rPr>
        <w:t xml:space="preserve"> multiplied by a factor to account for differential sampling rates for subsampling for field nonresponse to arrive at the estimated design effects. </w:t>
      </w:r>
    </w:p>
  </w:footnote>
  <w:footnote w:id="7">
    <w:p w14:paraId="09458F81" w14:textId="77777777" w:rsidR="00AC6B93" w:rsidRPr="00AC4F6D" w:rsidRDefault="00AC6B93" w:rsidP="000F5861">
      <w:pPr>
        <w:spacing w:line="240" w:lineRule="auto"/>
      </w:pPr>
      <w:r>
        <w:rPr>
          <w:rStyle w:val="FootnoteReference"/>
        </w:rPr>
        <w:footnoteRef/>
      </w:r>
      <w:r>
        <w:t xml:space="preserve"> </w:t>
      </w:r>
      <w:r w:rsidRPr="00AC6B93">
        <w:rPr>
          <w:sz w:val="20"/>
          <w:szCs w:val="20"/>
        </w:rPr>
        <w:t xml:space="preserve">American Association for Public Opinion Research (AAPOR). (2016). </w:t>
      </w:r>
      <w:r w:rsidRPr="00AC6B93">
        <w:rPr>
          <w:i/>
          <w:sz w:val="20"/>
          <w:szCs w:val="20"/>
        </w:rPr>
        <w:t>Standard Definitions: Final Disposition Codes and Outcome rates for Surveys.</w:t>
      </w:r>
      <w:r w:rsidRPr="00AC6B93">
        <w:rPr>
          <w:sz w:val="20"/>
          <w:szCs w:val="20"/>
        </w:rPr>
        <w:t xml:space="preserve"> 9</w:t>
      </w:r>
      <w:r w:rsidRPr="00AC6B93">
        <w:rPr>
          <w:sz w:val="20"/>
          <w:szCs w:val="20"/>
          <w:vertAlign w:val="superscript"/>
        </w:rPr>
        <w:t>th</w:t>
      </w:r>
      <w:r w:rsidRPr="00AC6B93">
        <w:rPr>
          <w:sz w:val="20"/>
          <w:szCs w:val="20"/>
        </w:rPr>
        <w:t xml:space="preserve"> edition. Lenexa, Kansas: AAPOR</w:t>
      </w:r>
      <w:r w:rsidRPr="00AC4F6D">
        <w:t>.</w:t>
      </w:r>
    </w:p>
    <w:p w14:paraId="6AD4270F" w14:textId="4D7899A3" w:rsidR="00AC6B93" w:rsidRDefault="00AC6B93">
      <w:pPr>
        <w:pStyle w:val="FootnoteText"/>
      </w:pPr>
    </w:p>
  </w:footnote>
  <w:footnote w:id="8">
    <w:p w14:paraId="3017F338" w14:textId="471699F5" w:rsidR="00C77020" w:rsidRPr="00C77020" w:rsidRDefault="00C77020" w:rsidP="000F5861">
      <w:pPr>
        <w:pStyle w:val="FootnoteText"/>
        <w:tabs>
          <w:tab w:val="clear" w:pos="120"/>
          <w:tab w:val="left" w:pos="0"/>
        </w:tabs>
        <w:ind w:left="0" w:firstLine="0"/>
        <w:rPr>
          <w:rFonts w:ascii="Times New Roman" w:hAnsi="Times New Roman"/>
          <w:sz w:val="20"/>
          <w:szCs w:val="20"/>
        </w:rPr>
      </w:pPr>
      <w:r w:rsidRPr="00C77020">
        <w:rPr>
          <w:rStyle w:val="FootnoteReference"/>
          <w:rFonts w:ascii="Times New Roman" w:hAnsi="Times New Roman"/>
          <w:sz w:val="20"/>
          <w:szCs w:val="20"/>
        </w:rPr>
        <w:footnoteRef/>
      </w:r>
      <w:r w:rsidRPr="00C77020">
        <w:rPr>
          <w:rFonts w:ascii="Times New Roman" w:hAnsi="Times New Roman"/>
          <w:sz w:val="20"/>
          <w:szCs w:val="20"/>
        </w:rPr>
        <w:t xml:space="preserve"> Mercer, A, Caporaso, A., Cantor, D. and Townsend R; How Much Gets You How Much? Monetary Incentives and Response Rates in Household Surveys. </w:t>
      </w:r>
      <w:r w:rsidRPr="00C77020">
        <w:rPr>
          <w:rFonts w:ascii="Times New Roman" w:hAnsi="Times New Roman"/>
          <w:i/>
          <w:sz w:val="20"/>
          <w:szCs w:val="20"/>
        </w:rPr>
        <w:t xml:space="preserve">Public Opinion Quarterly, </w:t>
      </w:r>
      <w:r w:rsidRPr="00C77020">
        <w:rPr>
          <w:rFonts w:ascii="Times New Roman" w:hAnsi="Times New Roman"/>
          <w:sz w:val="20"/>
          <w:szCs w:val="20"/>
        </w:rPr>
        <w:t>Spring 2015</w:t>
      </w:r>
      <w:r w:rsidRPr="00C77020">
        <w:rPr>
          <w:rFonts w:ascii="Times New Roman" w:hAnsi="Times New Roman"/>
          <w:b/>
          <w:sz w:val="20"/>
          <w:szCs w:val="20"/>
        </w:rPr>
        <w:t xml:space="preserve"> </w:t>
      </w:r>
      <w:r w:rsidRPr="00C77020">
        <w:rPr>
          <w:rFonts w:ascii="Times New Roman" w:hAnsi="Times New Roman"/>
          <w:sz w:val="20"/>
          <w:szCs w:val="20"/>
        </w:rPr>
        <w:t>vol. 79, no. 1 102-129.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EFD6" w14:textId="53D9497A" w:rsidR="00EE62F1" w:rsidRDefault="00EE62F1">
    <w:pPr>
      <w:pStyle w:val="Header"/>
    </w:pPr>
    <w:r>
      <w:t>Survey of SNAP and Work: Part B</w:t>
    </w:r>
  </w:p>
  <w:p w14:paraId="5A9712E0" w14:textId="77777777" w:rsidR="00EE62F1" w:rsidRDefault="00EE6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DC24C8C"/>
    <w:lvl w:ilvl="0">
      <w:numFmt w:val="bullet"/>
      <w:lvlText w:val="*"/>
      <w:lvlJc w:val="left"/>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CD4F6C"/>
    <w:multiLevelType w:val="hybridMultilevel"/>
    <w:tmpl w:val="69F8C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52AF0"/>
    <w:multiLevelType w:val="hybridMultilevel"/>
    <w:tmpl w:val="FDBE103C"/>
    <w:lvl w:ilvl="0" w:tplc="9D8C7CB0">
      <w:start w:val="1"/>
      <w:numFmt w:val="bullet"/>
      <w:lvlText w:val=""/>
      <w:lvlJc w:val="left"/>
      <w:pPr>
        <w:tabs>
          <w:tab w:val="num" w:pos="1440"/>
        </w:tabs>
        <w:ind w:left="1728" w:hanging="576"/>
      </w:pPr>
      <w:rPr>
        <w:rFonts w:ascii="Wingdings 3" w:hAnsi="Wingdings 3" w:hint="default"/>
        <w:color w:val="auto"/>
        <w:sz w:val="24"/>
        <w:szCs w:val="20"/>
      </w:rPr>
    </w:lvl>
    <w:lvl w:ilvl="1" w:tplc="EC2A87B8" w:tentative="1">
      <w:start w:val="1"/>
      <w:numFmt w:val="bullet"/>
      <w:lvlText w:val="o"/>
      <w:lvlJc w:val="left"/>
      <w:pPr>
        <w:tabs>
          <w:tab w:val="num" w:pos="1440"/>
        </w:tabs>
        <w:ind w:left="1440" w:hanging="360"/>
      </w:pPr>
      <w:rPr>
        <w:rFonts w:ascii="Courier New" w:hAnsi="Courier New" w:cs="Courier New" w:hint="default"/>
      </w:rPr>
    </w:lvl>
    <w:lvl w:ilvl="2" w:tplc="2626C85A" w:tentative="1">
      <w:start w:val="1"/>
      <w:numFmt w:val="bullet"/>
      <w:lvlText w:val=""/>
      <w:lvlJc w:val="left"/>
      <w:pPr>
        <w:tabs>
          <w:tab w:val="num" w:pos="2160"/>
        </w:tabs>
        <w:ind w:left="2160" w:hanging="360"/>
      </w:pPr>
      <w:rPr>
        <w:rFonts w:ascii="Wingdings" w:hAnsi="Wingdings" w:hint="default"/>
      </w:rPr>
    </w:lvl>
    <w:lvl w:ilvl="3" w:tplc="BC9E7954" w:tentative="1">
      <w:start w:val="1"/>
      <w:numFmt w:val="bullet"/>
      <w:lvlText w:val=""/>
      <w:lvlJc w:val="left"/>
      <w:pPr>
        <w:tabs>
          <w:tab w:val="num" w:pos="2880"/>
        </w:tabs>
        <w:ind w:left="2880" w:hanging="360"/>
      </w:pPr>
      <w:rPr>
        <w:rFonts w:ascii="Symbol" w:hAnsi="Symbol" w:hint="default"/>
      </w:rPr>
    </w:lvl>
    <w:lvl w:ilvl="4" w:tplc="E918E298" w:tentative="1">
      <w:start w:val="1"/>
      <w:numFmt w:val="bullet"/>
      <w:lvlText w:val="o"/>
      <w:lvlJc w:val="left"/>
      <w:pPr>
        <w:tabs>
          <w:tab w:val="num" w:pos="3600"/>
        </w:tabs>
        <w:ind w:left="3600" w:hanging="360"/>
      </w:pPr>
      <w:rPr>
        <w:rFonts w:ascii="Courier New" w:hAnsi="Courier New" w:cs="Courier New" w:hint="default"/>
      </w:rPr>
    </w:lvl>
    <w:lvl w:ilvl="5" w:tplc="70D051EC" w:tentative="1">
      <w:start w:val="1"/>
      <w:numFmt w:val="bullet"/>
      <w:lvlText w:val=""/>
      <w:lvlJc w:val="left"/>
      <w:pPr>
        <w:tabs>
          <w:tab w:val="num" w:pos="4320"/>
        </w:tabs>
        <w:ind w:left="4320" w:hanging="360"/>
      </w:pPr>
      <w:rPr>
        <w:rFonts w:ascii="Wingdings" w:hAnsi="Wingdings" w:hint="default"/>
      </w:rPr>
    </w:lvl>
    <w:lvl w:ilvl="6" w:tplc="453472E8" w:tentative="1">
      <w:start w:val="1"/>
      <w:numFmt w:val="bullet"/>
      <w:lvlText w:val=""/>
      <w:lvlJc w:val="left"/>
      <w:pPr>
        <w:tabs>
          <w:tab w:val="num" w:pos="5040"/>
        </w:tabs>
        <w:ind w:left="5040" w:hanging="360"/>
      </w:pPr>
      <w:rPr>
        <w:rFonts w:ascii="Symbol" w:hAnsi="Symbol" w:hint="default"/>
      </w:rPr>
    </w:lvl>
    <w:lvl w:ilvl="7" w:tplc="CDAE3716" w:tentative="1">
      <w:start w:val="1"/>
      <w:numFmt w:val="bullet"/>
      <w:lvlText w:val="o"/>
      <w:lvlJc w:val="left"/>
      <w:pPr>
        <w:tabs>
          <w:tab w:val="num" w:pos="5760"/>
        </w:tabs>
        <w:ind w:left="5760" w:hanging="360"/>
      </w:pPr>
      <w:rPr>
        <w:rFonts w:ascii="Courier New" w:hAnsi="Courier New" w:cs="Courier New" w:hint="default"/>
      </w:rPr>
    </w:lvl>
    <w:lvl w:ilvl="8" w:tplc="C1D493F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CA42C0"/>
    <w:multiLevelType w:val="hybridMultilevel"/>
    <w:tmpl w:val="EFC0222C"/>
    <w:lvl w:ilvl="0" w:tplc="04090005">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63CD75EB"/>
    <w:multiLevelType w:val="hybridMultilevel"/>
    <w:tmpl w:val="201E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943785"/>
    <w:multiLevelType w:val="hybridMultilevel"/>
    <w:tmpl w:val="64C4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num w:numId="1">
    <w:abstractNumId w:val="6"/>
  </w:num>
  <w:num w:numId="2">
    <w:abstractNumId w:val="6"/>
  </w:num>
  <w:num w:numId="3">
    <w:abstractNumId w:val="9"/>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5"/>
  </w:num>
  <w:num w:numId="6">
    <w:abstractNumId w:val="7"/>
  </w:num>
  <w:num w:numId="7">
    <w:abstractNumId w:val="1"/>
  </w:num>
  <w:num w:numId="8">
    <w:abstractNumId w:val="3"/>
  </w:num>
  <w:num w:numId="9">
    <w:abstractNumId w:val="2"/>
  </w:num>
  <w:num w:numId="10">
    <w:abstractNumId w:val="8"/>
  </w:num>
  <w:num w:numId="11">
    <w:abstractNumId w:val="13"/>
  </w:num>
  <w:num w:numId="12">
    <w:abstractNumId w:val="10"/>
  </w:num>
  <w:num w:numId="13">
    <w:abstractNumId w:val="12"/>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841"/>
    <w:rsid w:val="00010B55"/>
    <w:rsid w:val="00014DD6"/>
    <w:rsid w:val="000614FD"/>
    <w:rsid w:val="00077FBF"/>
    <w:rsid w:val="000842CF"/>
    <w:rsid w:val="00095A80"/>
    <w:rsid w:val="000E5D95"/>
    <w:rsid w:val="000F5861"/>
    <w:rsid w:val="000F7C63"/>
    <w:rsid w:val="00104AA5"/>
    <w:rsid w:val="0010766F"/>
    <w:rsid w:val="00166434"/>
    <w:rsid w:val="001B33BB"/>
    <w:rsid w:val="001C6D62"/>
    <w:rsid w:val="001E0EA8"/>
    <w:rsid w:val="001E2B93"/>
    <w:rsid w:val="00200614"/>
    <w:rsid w:val="00232AC3"/>
    <w:rsid w:val="0024517E"/>
    <w:rsid w:val="002F5800"/>
    <w:rsid w:val="00313F6F"/>
    <w:rsid w:val="00342BD4"/>
    <w:rsid w:val="00383DF1"/>
    <w:rsid w:val="003A2A31"/>
    <w:rsid w:val="003B0101"/>
    <w:rsid w:val="003B4E0B"/>
    <w:rsid w:val="003D16E0"/>
    <w:rsid w:val="00416196"/>
    <w:rsid w:val="0041651B"/>
    <w:rsid w:val="00430416"/>
    <w:rsid w:val="00444E54"/>
    <w:rsid w:val="00447994"/>
    <w:rsid w:val="004877A5"/>
    <w:rsid w:val="00491464"/>
    <w:rsid w:val="004B1DF4"/>
    <w:rsid w:val="004E0DE4"/>
    <w:rsid w:val="004F54C8"/>
    <w:rsid w:val="0053348F"/>
    <w:rsid w:val="0054010A"/>
    <w:rsid w:val="0056550E"/>
    <w:rsid w:val="005C1E65"/>
    <w:rsid w:val="005F00AD"/>
    <w:rsid w:val="00623553"/>
    <w:rsid w:val="00625F19"/>
    <w:rsid w:val="00626C00"/>
    <w:rsid w:val="00692CA3"/>
    <w:rsid w:val="006B47EA"/>
    <w:rsid w:val="006D1CA5"/>
    <w:rsid w:val="006D2B92"/>
    <w:rsid w:val="006E4923"/>
    <w:rsid w:val="007060C5"/>
    <w:rsid w:val="007543AA"/>
    <w:rsid w:val="00765525"/>
    <w:rsid w:val="00765E9B"/>
    <w:rsid w:val="007B2868"/>
    <w:rsid w:val="007B5430"/>
    <w:rsid w:val="007C7812"/>
    <w:rsid w:val="00815144"/>
    <w:rsid w:val="00833FBD"/>
    <w:rsid w:val="008524B1"/>
    <w:rsid w:val="008B7841"/>
    <w:rsid w:val="00933B26"/>
    <w:rsid w:val="00942276"/>
    <w:rsid w:val="00976758"/>
    <w:rsid w:val="0097737A"/>
    <w:rsid w:val="0098582D"/>
    <w:rsid w:val="009B21E0"/>
    <w:rsid w:val="009F21E2"/>
    <w:rsid w:val="009F3F19"/>
    <w:rsid w:val="00A15A0D"/>
    <w:rsid w:val="00A23AD8"/>
    <w:rsid w:val="00A3005A"/>
    <w:rsid w:val="00A46575"/>
    <w:rsid w:val="00A56079"/>
    <w:rsid w:val="00A60DC9"/>
    <w:rsid w:val="00AC6B93"/>
    <w:rsid w:val="00AE0680"/>
    <w:rsid w:val="00AE26FA"/>
    <w:rsid w:val="00B05114"/>
    <w:rsid w:val="00B33F56"/>
    <w:rsid w:val="00B50AF1"/>
    <w:rsid w:val="00B5114C"/>
    <w:rsid w:val="00BC3EF7"/>
    <w:rsid w:val="00C36800"/>
    <w:rsid w:val="00C40767"/>
    <w:rsid w:val="00C47090"/>
    <w:rsid w:val="00C516EF"/>
    <w:rsid w:val="00C760DC"/>
    <w:rsid w:val="00C77020"/>
    <w:rsid w:val="00C81986"/>
    <w:rsid w:val="00CA6092"/>
    <w:rsid w:val="00CB11DD"/>
    <w:rsid w:val="00CD5931"/>
    <w:rsid w:val="00D13D5A"/>
    <w:rsid w:val="00D35BAC"/>
    <w:rsid w:val="00DA007F"/>
    <w:rsid w:val="00DA0B1F"/>
    <w:rsid w:val="00DC53F1"/>
    <w:rsid w:val="00E31157"/>
    <w:rsid w:val="00E51D94"/>
    <w:rsid w:val="00EA5AC3"/>
    <w:rsid w:val="00EE62F1"/>
    <w:rsid w:val="00F244AB"/>
    <w:rsid w:val="00F47071"/>
    <w:rsid w:val="00FF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AAC7E69"/>
  <w15:chartTrackingRefBased/>
  <w15:docId w15:val="{C6E098EF-99B4-49D4-9614-E3A8E82F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locked="1" w:semiHidden="1" w:uiPriority="0" w:unhideWhenUsed="1" w:qFormat="1"/>
    <w:lsdException w:name="heading 4" w:uiPriority="9"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841"/>
    <w:pPr>
      <w:tabs>
        <w:tab w:val="left" w:pos="1152"/>
      </w:tabs>
      <w:spacing w:line="276" w:lineRule="auto"/>
      <w:jc w:val="both"/>
    </w:pPr>
    <w:rPr>
      <w:rFonts w:ascii="Times New Roman" w:eastAsia="Times New Roman" w:hAnsi="Times New Roman"/>
    </w:rPr>
  </w:style>
  <w:style w:type="paragraph" w:styleId="Heading1">
    <w:name w:val="heading 1"/>
    <w:aliases w:val="H1-Sec.Head,H1-Chap. Head"/>
    <w:basedOn w:val="Normal"/>
    <w:next w:val="Normal"/>
    <w:link w:val="Heading1Char"/>
    <w:qFormat/>
    <w:rsid w:val="00626C00"/>
    <w:pPr>
      <w:keepNext/>
      <w:spacing w:after="360" w:line="360" w:lineRule="atLeast"/>
      <w:ind w:left="1152" w:hanging="1152"/>
      <w:outlineLvl w:val="0"/>
    </w:pPr>
    <w:rPr>
      <w:rFonts w:eastAsia="Batang"/>
      <w:b/>
    </w:rPr>
  </w:style>
  <w:style w:type="paragraph" w:styleId="Heading2">
    <w:name w:val="heading 2"/>
    <w:aliases w:val="H2-Sec. Head"/>
    <w:basedOn w:val="Normal"/>
    <w:next w:val="Normal"/>
    <w:link w:val="Heading2Char"/>
    <w:unhideWhenUsed/>
    <w:qFormat/>
    <w:rsid w:val="00626C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Sec. Head"/>
    <w:basedOn w:val="Heading1"/>
    <w:next w:val="L1-FlLSp12"/>
    <w:semiHidden/>
    <w:unhideWhenUsed/>
    <w:qFormat/>
    <w:locked/>
    <w:rsid w:val="00626C00"/>
    <w:pPr>
      <w:keepLines/>
      <w:tabs>
        <w:tab w:val="clear" w:pos="1152"/>
      </w:tabs>
      <w:spacing w:before="200" w:after="0" w:line="240" w:lineRule="auto"/>
      <w:ind w:left="0" w:firstLine="0"/>
      <w:jc w:val="left"/>
      <w:outlineLvl w:val="2"/>
    </w:pPr>
    <w:rPr>
      <w:rFonts w:asciiTheme="majorHAnsi" w:eastAsiaTheme="majorEastAsia" w:hAnsiTheme="majorHAnsi" w:cstheme="majorBidi"/>
      <w:bCs/>
      <w:color w:val="4F81BD" w:themeColor="accent1"/>
      <w:sz w:val="24"/>
    </w:rPr>
  </w:style>
  <w:style w:type="paragraph" w:styleId="Heading4">
    <w:name w:val="heading 4"/>
    <w:aliases w:val="H4 Sec.Heading"/>
    <w:basedOn w:val="Normal"/>
    <w:next w:val="Normal"/>
    <w:link w:val="Heading4Char"/>
    <w:uiPriority w:val="9"/>
    <w:unhideWhenUsed/>
    <w:qFormat/>
    <w:rsid w:val="00626C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semiHidden/>
    <w:unhideWhenUsed/>
    <w:qFormat/>
    <w:locked/>
    <w:rsid w:val="00626C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semiHidden/>
    <w:unhideWhenUsed/>
    <w:qFormat/>
    <w:locked/>
    <w:rsid w:val="00626C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semiHidden/>
    <w:unhideWhenUsed/>
    <w:qFormat/>
    <w:locked/>
    <w:rsid w:val="00626C0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link w:val="P1-StandParaChar"/>
    <w:pPr>
      <w:spacing w:line="360" w:lineRule="atLeast"/>
      <w:ind w:firstLine="1152"/>
    </w:pPr>
  </w:style>
  <w:style w:type="paragraph" w:customStyle="1" w:styleId="C1-CtrBoldHd">
    <w:name w:val="C1-Ctr BoldHd"/>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pPr>
      <w:keepLines/>
      <w:jc w:val="center"/>
    </w:pPr>
  </w:style>
  <w:style w:type="paragraph" w:customStyle="1" w:styleId="C3-CtrSp12">
    <w:name w:val="C3-Ctr Sp&amp;1/2"/>
    <w:basedOn w:val="Normal"/>
    <w:pPr>
      <w:keepLines/>
      <w:spacing w:line="360" w:lineRule="atLeast"/>
      <w:jc w:val="center"/>
    </w:pPr>
  </w:style>
  <w:style w:type="paragraph" w:customStyle="1" w:styleId="E1-Equation">
    <w:name w:val="E1-Equation"/>
    <w:basedOn w:val="Normal"/>
    <w:pPr>
      <w:tabs>
        <w:tab w:val="center" w:pos="4680"/>
        <w:tab w:val="right" w:pos="9360"/>
      </w:tabs>
    </w:pPr>
  </w:style>
  <w:style w:type="paragraph" w:customStyle="1" w:styleId="E2-Equation">
    <w:name w:val="E2-Equation"/>
    <w:basedOn w:val="Normal"/>
    <w:pPr>
      <w:tabs>
        <w:tab w:val="right" w:pos="1152"/>
        <w:tab w:val="center" w:pos="1440"/>
        <w:tab w:val="left" w:pos="1728"/>
      </w:tabs>
      <w:ind w:left="1728" w:hanging="1728"/>
    </w:pPr>
  </w:style>
  <w:style w:type="paragraph" w:styleId="Footer">
    <w:name w:val="footer"/>
    <w:basedOn w:val="Normal"/>
    <w:link w:val="FooterChar"/>
    <w:uiPriority w:val="99"/>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F"/>
    <w:link w:val="FootnoteTextChar"/>
    <w:pPr>
      <w:tabs>
        <w:tab w:val="left" w:pos="120"/>
      </w:tabs>
      <w:spacing w:before="120" w:line="200" w:lineRule="atLeast"/>
      <w:ind w:left="115" w:hanging="115"/>
    </w:pPr>
    <w:rPr>
      <w:rFonts w:ascii="Garamond" w:hAnsi="Garamond"/>
      <w:sz w:val="16"/>
    </w:rPr>
  </w:style>
  <w:style w:type="paragraph" w:styleId="Header">
    <w:name w:val="header"/>
    <w:basedOn w:val="Normal"/>
    <w:link w:val="HeaderChar"/>
    <w:uiPriority w:val="99"/>
    <w:rPr>
      <w:sz w:val="16"/>
    </w:rPr>
  </w:style>
  <w:style w:type="paragraph" w:customStyle="1" w:styleId="L1-FlLSp12">
    <w:name w:val="L1-FlL Sp&amp;1/2"/>
    <w:basedOn w:val="Normal"/>
    <w:link w:val="L1-FlLSp12Char"/>
    <w:qFormat/>
    <w:pPr>
      <w:spacing w:line="360" w:lineRule="atLeast"/>
    </w:p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link w:val="N1-1stBulletChar"/>
    <w:pPr>
      <w:numPr>
        <w:numId w:val="7"/>
      </w:numPr>
      <w:spacing w:after="240"/>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numPr>
        <w:numId w:val="6"/>
      </w:numPr>
      <w:spacing w:after="240"/>
    </w:pPr>
  </w:style>
  <w:style w:type="paragraph" w:customStyle="1" w:styleId="N4-4thBullet">
    <w:name w:val="N4-4th Bullet"/>
    <w:basedOn w:val="Normal"/>
    <w:pPr>
      <w:numPr>
        <w:numId w:val="9"/>
      </w:numPr>
      <w:spacing w:after="240"/>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ind w:left="1152" w:right="1152"/>
    </w:pPr>
  </w:style>
  <w:style w:type="paragraph" w:customStyle="1" w:styleId="N8-QxQBlock">
    <w:name w:val="N8-QxQ Block"/>
    <w:basedOn w:val="Normal"/>
    <w:pPr>
      <w:spacing w:after="360" w:line="360" w:lineRule="atLeast"/>
      <w:ind w:left="1152" w:hanging="1152"/>
    </w:pPr>
  </w:style>
  <w:style w:type="paragraph" w:customStyle="1" w:styleId="Q1-BestFinQ">
    <w:name w:val="Q1-Best/Fin Q"/>
    <w:basedOn w:val="Heading1"/>
    <w:pPr>
      <w:spacing w:line="240" w:lineRule="atLeast"/>
    </w:pPr>
    <w:rPr>
      <w:rFonts w:cs="Times New Roman Bold"/>
      <w:sz w:val="24"/>
    </w:rPr>
  </w:style>
  <w:style w:type="paragraph" w:customStyle="1" w:styleId="SH-SglSpHead">
    <w:name w:val="SH-Sgl Sp Head"/>
    <w:basedOn w:val="Heading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style>
  <w:style w:type="paragraph" w:customStyle="1" w:styleId="SP-SglSpPara">
    <w:name w:val="SP-Sgl Sp Para"/>
    <w:basedOn w:val="Normal"/>
    <w:pPr>
      <w:tabs>
        <w:tab w:val="left" w:pos="576"/>
      </w:tabs>
      <w:ind w:firstLine="576"/>
    </w:pPr>
  </w:style>
  <w:style w:type="paragraph" w:customStyle="1" w:styleId="T0-ChapPgHd">
    <w:name w:val="T0-Chap/Pg Hd"/>
    <w:basedOn w:val="Normal"/>
    <w:pPr>
      <w:tabs>
        <w:tab w:val="left" w:pos="8640"/>
      </w:tabs>
    </w:pPr>
    <w:rPr>
      <w:rFonts w:ascii="Franklin Gothic Medium" w:hAnsi="Franklin Gothic Medium"/>
      <w:szCs w:val="24"/>
      <w:u w:val="words"/>
    </w:rPr>
  </w:style>
  <w:style w:type="paragraph" w:styleId="TOC1">
    <w:name w:val="toc 1"/>
    <w:basedOn w:val="Normal"/>
    <w:uiPriority w:val="39"/>
    <w:pPr>
      <w:tabs>
        <w:tab w:val="left" w:pos="1440"/>
        <w:tab w:val="right" w:leader="dot" w:pos="8208"/>
        <w:tab w:val="left" w:pos="8640"/>
      </w:tabs>
      <w:ind w:left="1440" w:right="1800" w:hanging="1152"/>
    </w:pPr>
  </w:style>
  <w:style w:type="paragraph" w:styleId="TOC2">
    <w:name w:val="toc 2"/>
    <w:basedOn w:val="Normal"/>
    <w:uiPriority w:val="39"/>
    <w:pPr>
      <w:tabs>
        <w:tab w:val="left" w:pos="2160"/>
        <w:tab w:val="right" w:leader="dot" w:pos="8208"/>
        <w:tab w:val="left" w:pos="8640"/>
      </w:tabs>
      <w:ind w:left="2160" w:right="1800" w:hanging="720"/>
    </w:pPr>
  </w:style>
  <w:style w:type="paragraph" w:styleId="TOC3">
    <w:name w:val="toc 3"/>
    <w:basedOn w:val="Normal"/>
    <w:uiPriority w:val="39"/>
    <w:pPr>
      <w:tabs>
        <w:tab w:val="left" w:pos="3024"/>
        <w:tab w:val="right" w:leader="dot" w:pos="8208"/>
        <w:tab w:val="left" w:pos="8640"/>
      </w:tabs>
      <w:ind w:left="3024" w:right="1800" w:hanging="864"/>
    </w:pPr>
  </w:style>
  <w:style w:type="paragraph" w:styleId="TOC4">
    <w:name w:val="toc 4"/>
    <w:basedOn w:val="Normal"/>
    <w:semiHidden/>
    <w:pPr>
      <w:tabs>
        <w:tab w:val="left" w:pos="3888"/>
        <w:tab w:val="right" w:leader="dot" w:pos="8208"/>
        <w:tab w:val="left" w:pos="8640"/>
      </w:tabs>
      <w:ind w:left="3888" w:right="1800" w:hanging="864"/>
    </w:pPr>
  </w:style>
  <w:style w:type="paragraph" w:styleId="TOC5">
    <w:name w:val="toc 5"/>
    <w:basedOn w:val="Normal"/>
    <w:semiHidden/>
    <w:pPr>
      <w:tabs>
        <w:tab w:val="left" w:pos="1440"/>
        <w:tab w:val="right" w:leader="dot" w:pos="8208"/>
        <w:tab w:val="left" w:pos="8640"/>
      </w:tabs>
      <w:ind w:left="1440" w:right="1800" w:hanging="1152"/>
    </w:pPr>
  </w:style>
  <w:style w:type="paragraph" w:customStyle="1" w:styleId="TT-TableTitle">
    <w:name w:val="TT-Table Title"/>
    <w:basedOn w:val="Heading1"/>
    <w:link w:val="TT-TableTitleChar"/>
    <w:pPr>
      <w:tabs>
        <w:tab w:val="clear" w:pos="1152"/>
        <w:tab w:val="left" w:pos="1440"/>
      </w:tabs>
      <w:spacing w:after="0" w:line="240" w:lineRule="atLeast"/>
      <w:ind w:left="1440" w:hanging="1440"/>
    </w:pPr>
    <w:rPr>
      <w:b w:val="0"/>
    </w:rPr>
  </w:style>
  <w:style w:type="paragraph" w:customStyle="1" w:styleId="CT-ContractInformation">
    <w:name w:val="CT-Contract Information"/>
    <w:basedOn w:val="Normal"/>
    <w:pPr>
      <w:tabs>
        <w:tab w:val="left" w:pos="2232"/>
      </w:tabs>
      <w:spacing w:line="240" w:lineRule="exact"/>
    </w:pPr>
    <w:rPr>
      <w:vanish/>
    </w:rPr>
  </w:style>
  <w:style w:type="paragraph" w:customStyle="1" w:styleId="R1-ResPara">
    <w:name w:val="R1-Res. Para"/>
    <w:basedOn w:val="Normal"/>
    <w:pPr>
      <w:ind w:left="288"/>
    </w:pPr>
  </w:style>
  <w:style w:type="paragraph" w:customStyle="1" w:styleId="R2-ResBullet">
    <w:name w:val="R2-Res Bullet"/>
    <w:basedOn w:val="Normal"/>
    <w:pPr>
      <w:tabs>
        <w:tab w:val="left" w:pos="720"/>
      </w:tabs>
      <w:ind w:left="720" w:hanging="432"/>
    </w:pPr>
  </w:style>
  <w:style w:type="paragraph" w:customStyle="1" w:styleId="RF-Reference">
    <w:name w:val="RF-Reference"/>
    <w:basedOn w:val="Normal"/>
    <w:pPr>
      <w:spacing w:line="240" w:lineRule="exact"/>
      <w:ind w:left="216" w:hanging="216"/>
    </w:pPr>
  </w:style>
  <w:style w:type="paragraph" w:customStyle="1" w:styleId="RH-SglSpHead">
    <w:name w:val="RH-Sgl Sp Head"/>
    <w:basedOn w:val="Heading1"/>
    <w:next w:val="RL-FlLftSgl"/>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pPr>
      <w:tabs>
        <w:tab w:val="clear" w:pos="1152"/>
      </w:tabs>
      <w:spacing w:after="0" w:line="240" w:lineRule="atLeast"/>
      <w:ind w:left="0" w:firstLine="0"/>
    </w:pPr>
    <w:rPr>
      <w:sz w:val="24"/>
    </w:rPr>
  </w:style>
  <w:style w:type="paragraph" w:customStyle="1" w:styleId="SU-FlLftUndln">
    <w:name w:val="SU-Fl Lft Undln"/>
    <w:basedOn w:val="Normal"/>
    <w:pPr>
      <w:keepNext/>
      <w:spacing w:line="240" w:lineRule="exact"/>
    </w:pPr>
    <w:rPr>
      <w:u w:val="single"/>
    </w:rPr>
  </w:style>
  <w:style w:type="character" w:styleId="PageNumber">
    <w:name w:val="page number"/>
    <w:basedOn w:val="DefaultParagraphFont"/>
  </w:style>
  <w:style w:type="paragraph" w:customStyle="1" w:styleId="TH-TableHeading">
    <w:name w:val="TH-Table Heading"/>
    <w:basedOn w:val="Heading1"/>
    <w:pPr>
      <w:tabs>
        <w:tab w:val="clear" w:pos="1152"/>
      </w:tabs>
      <w:spacing w:after="0" w:line="240" w:lineRule="atLeast"/>
      <w:ind w:left="0" w:firstLine="0"/>
      <w:jc w:val="center"/>
    </w:pPr>
    <w:rPr>
      <w:sz w:val="20"/>
    </w:rPr>
  </w:style>
  <w:style w:type="paragraph" w:styleId="TOC6">
    <w:name w:val="toc 6"/>
    <w:semiHidden/>
    <w:pPr>
      <w:tabs>
        <w:tab w:val="right" w:leader="dot" w:pos="8208"/>
        <w:tab w:val="left" w:pos="8640"/>
      </w:tabs>
      <w:ind w:left="288" w:right="1800"/>
    </w:pPr>
    <w:rPr>
      <w:rFonts w:ascii="Garamond" w:hAnsi="Garamond"/>
      <w:sz w:val="24"/>
    </w:rPr>
  </w:style>
  <w:style w:type="paragraph" w:styleId="TOC7">
    <w:name w:val="toc 7"/>
    <w:semiHidden/>
    <w:pPr>
      <w:tabs>
        <w:tab w:val="right" w:leader="dot" w:pos="8208"/>
        <w:tab w:val="left" w:pos="8640"/>
      </w:tabs>
      <w:ind w:left="1440" w:right="1800"/>
    </w:pPr>
    <w:rPr>
      <w:rFonts w:ascii="Garamond" w:hAnsi="Garamond"/>
      <w:sz w:val="24"/>
    </w:rPr>
  </w:style>
  <w:style w:type="table" w:customStyle="1" w:styleId="TableWestatStandardFormat">
    <w:name w:val="Table Westat Standard Format"/>
    <w:basedOn w:val="TableNormal"/>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Pr>
      <w:rFonts w:ascii="Franklin Gothic Medium" w:hAnsi="Franklin Gothic Medium"/>
      <w:sz w:val="20"/>
    </w:rPr>
  </w:style>
  <w:style w:type="paragraph" w:customStyle="1" w:styleId="Heading0">
    <w:name w:val="Heading 0"/>
    <w:aliases w:val="H0-Chap Head"/>
    <w:basedOn w:val="Heading1"/>
    <w:pPr>
      <w:tabs>
        <w:tab w:val="clear" w:pos="1152"/>
      </w:tabs>
      <w:spacing w:after="0"/>
      <w:ind w:left="0" w:firstLine="0"/>
      <w:jc w:val="right"/>
    </w:pPr>
    <w:rPr>
      <w:sz w:val="40"/>
    </w:rPr>
  </w:style>
  <w:style w:type="paragraph" w:customStyle="1" w:styleId="Header-1">
    <w:name w:val="Header-1"/>
    <w:basedOn w:val="Heading1"/>
    <w:pPr>
      <w:tabs>
        <w:tab w:val="clear" w:pos="1152"/>
      </w:tabs>
      <w:spacing w:after="0" w:line="240" w:lineRule="atLeast"/>
      <w:ind w:left="0" w:firstLine="0"/>
      <w:jc w:val="right"/>
    </w:pPr>
    <w:rPr>
      <w:sz w:val="20"/>
    </w:rPr>
  </w:style>
  <w:style w:type="paragraph" w:styleId="TOC8">
    <w:name w:val="toc 8"/>
    <w:semiHidden/>
    <w:pPr>
      <w:tabs>
        <w:tab w:val="right" w:leader="dot" w:pos="8208"/>
        <w:tab w:val="left" w:pos="8640"/>
      </w:tabs>
      <w:ind w:left="2160" w:right="1800"/>
    </w:pPr>
    <w:rPr>
      <w:rFonts w:ascii="Garamond" w:hAnsi="Garamond"/>
      <w:sz w:val="24"/>
    </w:rPr>
  </w:style>
  <w:style w:type="paragraph" w:styleId="TOC9">
    <w:name w:val="toc 9"/>
    <w:semiHidden/>
    <w:pPr>
      <w:tabs>
        <w:tab w:val="right" w:leader="dot" w:pos="8208"/>
        <w:tab w:val="left" w:pos="8640"/>
      </w:tabs>
      <w:ind w:left="3024" w:right="1800"/>
    </w:pPr>
    <w:rPr>
      <w:rFonts w:ascii="Garamond" w:hAnsi="Garamond"/>
      <w:sz w:val="24"/>
    </w:rPr>
  </w:style>
  <w:style w:type="paragraph" w:customStyle="1" w:styleId="TC-TableofContentsHeading">
    <w:name w:val="TC-Table of Contents Heading"/>
    <w:basedOn w:val="Heading1"/>
    <w:next w:val="T0-ChapPgHd"/>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pPr>
      <w:tabs>
        <w:tab w:val="clear" w:pos="1152"/>
      </w:tabs>
      <w:spacing w:after="0" w:line="240" w:lineRule="atLeast"/>
      <w:ind w:left="0" w:firstLine="0"/>
    </w:pPr>
    <w:rPr>
      <w:rFonts w:cs="Times New Roman Bold"/>
      <w:b w:val="0"/>
      <w:i/>
      <w:sz w:val="24"/>
    </w:rPr>
  </w:style>
  <w:style w:type="paragraph" w:customStyle="1" w:styleId="TF-TblFN">
    <w:name w:val="TF-Tbl FN"/>
    <w:basedOn w:val="FootnoteText"/>
    <w:rPr>
      <w:rFonts w:ascii="Franklin Gothic Medium" w:hAnsi="Franklin Gothic Medium"/>
    </w:rPr>
  </w:style>
  <w:style w:type="character" w:customStyle="1" w:styleId="Heading1Char">
    <w:name w:val="Heading 1 Char"/>
    <w:aliases w:val="H1-Sec.Head Char,H1-Chap. Head Char"/>
    <w:basedOn w:val="DefaultParagraphFont"/>
    <w:link w:val="Heading1"/>
    <w:rsid w:val="00626C00"/>
    <w:rPr>
      <w:rFonts w:ascii="Times New Roman" w:eastAsia="Batang" w:hAnsi="Times New Roman"/>
      <w:b/>
      <w:szCs w:val="20"/>
    </w:rPr>
  </w:style>
  <w:style w:type="character" w:customStyle="1" w:styleId="Heading2Char">
    <w:name w:val="Heading 2 Char"/>
    <w:aliases w:val="H2-Sec. Head Char"/>
    <w:basedOn w:val="DefaultParagraphFont"/>
    <w:link w:val="Heading2"/>
    <w:rsid w:val="00626C00"/>
    <w:rPr>
      <w:rFonts w:asciiTheme="majorHAnsi" w:eastAsiaTheme="majorEastAsia" w:hAnsiTheme="majorHAnsi" w:cstheme="majorBidi"/>
      <w:b/>
      <w:bCs/>
      <w:color w:val="4F81BD" w:themeColor="accent1"/>
      <w:sz w:val="26"/>
      <w:szCs w:val="26"/>
    </w:rPr>
  </w:style>
  <w:style w:type="character" w:customStyle="1" w:styleId="Heading4Char">
    <w:name w:val="Heading 4 Char"/>
    <w:aliases w:val="H4 Sec.Heading Char"/>
    <w:basedOn w:val="DefaultParagraphFont"/>
    <w:link w:val="Heading4"/>
    <w:uiPriority w:val="9"/>
    <w:rsid w:val="00626C00"/>
    <w:rPr>
      <w:rFonts w:asciiTheme="majorHAnsi" w:eastAsiaTheme="majorEastAsia" w:hAnsiTheme="majorHAnsi" w:cstheme="majorBidi"/>
      <w:b/>
      <w:bCs/>
      <w:i/>
      <w:iCs/>
      <w:color w:val="4F81BD" w:themeColor="accent1"/>
    </w:rPr>
  </w:style>
  <w:style w:type="paragraph" w:styleId="Title">
    <w:name w:val="Title"/>
    <w:basedOn w:val="Normal"/>
    <w:link w:val="TitleChar"/>
    <w:uiPriority w:val="99"/>
    <w:qFormat/>
    <w:rsid w:val="00626C00"/>
    <w:pPr>
      <w:spacing w:before="240" w:after="60"/>
      <w:jc w:val="center"/>
    </w:pPr>
    <w:rPr>
      <w:rFonts w:ascii="Arial" w:hAnsi="Arial"/>
      <w:b/>
      <w:kern w:val="28"/>
      <w:sz w:val="20"/>
    </w:rPr>
  </w:style>
  <w:style w:type="character" w:customStyle="1" w:styleId="TitleChar">
    <w:name w:val="Title Char"/>
    <w:basedOn w:val="DefaultParagraphFont"/>
    <w:link w:val="Title"/>
    <w:uiPriority w:val="99"/>
    <w:rsid w:val="00626C00"/>
    <w:rPr>
      <w:rFonts w:ascii="Arial" w:hAnsi="Arial"/>
      <w:b/>
      <w:kern w:val="28"/>
      <w:sz w:val="20"/>
      <w:szCs w:val="20"/>
    </w:rPr>
  </w:style>
  <w:style w:type="paragraph" w:styleId="ListParagraph">
    <w:name w:val="List Paragraph"/>
    <w:basedOn w:val="Normal"/>
    <w:uiPriority w:val="34"/>
    <w:qFormat/>
    <w:rsid w:val="00626C00"/>
    <w:pPr>
      <w:spacing w:after="200"/>
      <w:ind w:left="720"/>
    </w:pPr>
    <w:rPr>
      <w:rFonts w:ascii="Calibri" w:hAnsi="Calibri"/>
    </w:rPr>
  </w:style>
  <w:style w:type="character" w:customStyle="1" w:styleId="L1-FlLSp12Char">
    <w:name w:val="L1-FlL Sp&amp;1/2 Char"/>
    <w:basedOn w:val="DefaultParagraphFont"/>
    <w:link w:val="L1-FlLSp12"/>
    <w:locked/>
    <w:rsid w:val="008B7841"/>
    <w:rPr>
      <w:rFonts w:ascii="Times New Roman" w:eastAsia="Times New Roman" w:hAnsi="Times New Roman"/>
    </w:rPr>
  </w:style>
  <w:style w:type="paragraph" w:styleId="NoSpacing">
    <w:name w:val="No Spacing"/>
    <w:link w:val="NoSpacingChar"/>
    <w:uiPriority w:val="1"/>
    <w:qFormat/>
    <w:rsid w:val="004F54C8"/>
    <w:pPr>
      <w:spacing w:line="360" w:lineRule="atLeast"/>
      <w:jc w:val="center"/>
    </w:pPr>
    <w:rPr>
      <w:rFonts w:eastAsia="Times New Roman"/>
      <w:b/>
      <w:sz w:val="24"/>
      <w:szCs w:val="20"/>
    </w:rPr>
  </w:style>
  <w:style w:type="character" w:customStyle="1" w:styleId="NoSpacingChar">
    <w:name w:val="No Spacing Char"/>
    <w:basedOn w:val="DefaultParagraphFont"/>
    <w:link w:val="NoSpacing"/>
    <w:uiPriority w:val="1"/>
    <w:rsid w:val="004F54C8"/>
    <w:rPr>
      <w:rFonts w:eastAsia="Times New Roman"/>
      <w:b/>
      <w:sz w:val="24"/>
      <w:szCs w:val="20"/>
    </w:rPr>
  </w:style>
  <w:style w:type="character" w:customStyle="1" w:styleId="N1-1stBulletChar">
    <w:name w:val="N1-1st Bullet Char"/>
    <w:basedOn w:val="DefaultParagraphFont"/>
    <w:link w:val="N1-1stBullet"/>
    <w:locked/>
    <w:rsid w:val="004F54C8"/>
    <w:rPr>
      <w:rFonts w:ascii="Times New Roman" w:eastAsia="Times New Roman" w:hAnsi="Times New Roman"/>
    </w:rPr>
  </w:style>
  <w:style w:type="paragraph" w:customStyle="1" w:styleId="NormalSS">
    <w:name w:val="NormalSS"/>
    <w:basedOn w:val="Normal"/>
    <w:qFormat/>
    <w:rsid w:val="004F54C8"/>
    <w:pPr>
      <w:tabs>
        <w:tab w:val="clear" w:pos="1152"/>
        <w:tab w:val="left" w:pos="432"/>
      </w:tabs>
      <w:spacing w:after="240" w:line="240" w:lineRule="auto"/>
      <w:ind w:firstLine="432"/>
    </w:pPr>
    <w:rPr>
      <w:rFonts w:ascii="Garamond" w:hAnsi="Garamond"/>
      <w:sz w:val="24"/>
      <w:szCs w:val="24"/>
    </w:rPr>
  </w:style>
  <w:style w:type="paragraph" w:styleId="Caption">
    <w:name w:val="caption"/>
    <w:basedOn w:val="Normal"/>
    <w:next w:val="Normal"/>
    <w:qFormat/>
    <w:locked/>
    <w:rsid w:val="004F54C8"/>
    <w:pPr>
      <w:widowControl w:val="0"/>
      <w:tabs>
        <w:tab w:val="clear" w:pos="1152"/>
      </w:tabs>
      <w:overflowPunct w:val="0"/>
      <w:autoSpaceDE w:val="0"/>
      <w:autoSpaceDN w:val="0"/>
      <w:adjustRightInd w:val="0"/>
      <w:spacing w:line="240" w:lineRule="auto"/>
      <w:jc w:val="left"/>
      <w:textAlignment w:val="baseline"/>
    </w:pPr>
    <w:rPr>
      <w:sz w:val="24"/>
      <w:szCs w:val="20"/>
    </w:rPr>
  </w:style>
  <w:style w:type="paragraph" w:styleId="BalloonText">
    <w:name w:val="Balloon Text"/>
    <w:basedOn w:val="Normal"/>
    <w:link w:val="BalloonTextChar"/>
    <w:uiPriority w:val="99"/>
    <w:semiHidden/>
    <w:unhideWhenUsed/>
    <w:rsid w:val="008151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144"/>
    <w:rPr>
      <w:rFonts w:ascii="Segoe UI" w:eastAsia="Times New Roman" w:hAnsi="Segoe UI" w:cs="Segoe UI"/>
      <w:sz w:val="18"/>
      <w:szCs w:val="18"/>
    </w:rPr>
  </w:style>
  <w:style w:type="character" w:styleId="FootnoteReference">
    <w:name w:val="footnote reference"/>
    <w:aliases w:val="*Footnote Reference"/>
    <w:basedOn w:val="DefaultParagraphFont"/>
    <w:uiPriority w:val="99"/>
    <w:unhideWhenUsed/>
    <w:rsid w:val="00104AA5"/>
    <w:rPr>
      <w:vertAlign w:val="superscript"/>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F Char"/>
    <w:basedOn w:val="DefaultParagraphFont"/>
    <w:link w:val="FootnoteText"/>
    <w:uiPriority w:val="24"/>
    <w:rsid w:val="00104AA5"/>
    <w:rPr>
      <w:rFonts w:ascii="Garamond" w:hAnsi="Garamond"/>
      <w:sz w:val="16"/>
    </w:rPr>
  </w:style>
  <w:style w:type="character" w:customStyle="1" w:styleId="P1-StandParaChar">
    <w:name w:val="P1-Stand Para Char"/>
    <w:link w:val="P1-StandPara"/>
    <w:locked/>
    <w:rsid w:val="00104AA5"/>
    <w:rPr>
      <w:rFonts w:ascii="Times New Roman" w:eastAsia="Times New Roman" w:hAnsi="Times New Roman"/>
    </w:rPr>
  </w:style>
  <w:style w:type="character" w:styleId="Hyperlink">
    <w:name w:val="Hyperlink"/>
    <w:basedOn w:val="DefaultParagraphFont"/>
    <w:uiPriority w:val="99"/>
    <w:unhideWhenUsed/>
    <w:rsid w:val="00104AA5"/>
    <w:rPr>
      <w:color w:val="0000FF" w:themeColor="hyperlink"/>
      <w:u w:val="single"/>
    </w:rPr>
  </w:style>
  <w:style w:type="paragraph" w:styleId="CommentText">
    <w:name w:val="annotation text"/>
    <w:basedOn w:val="Normal"/>
    <w:link w:val="CommentTextChar"/>
    <w:uiPriority w:val="99"/>
    <w:rsid w:val="00F47071"/>
    <w:pPr>
      <w:tabs>
        <w:tab w:val="clear" w:pos="1152"/>
        <w:tab w:val="left" w:pos="432"/>
      </w:tabs>
      <w:spacing w:line="240" w:lineRule="atLeast"/>
      <w:ind w:firstLine="432"/>
      <w:jc w:val="left"/>
    </w:pPr>
    <w:rPr>
      <w:sz w:val="20"/>
      <w:szCs w:val="20"/>
    </w:rPr>
  </w:style>
  <w:style w:type="character" w:customStyle="1" w:styleId="CommentTextChar">
    <w:name w:val="Comment Text Char"/>
    <w:basedOn w:val="DefaultParagraphFont"/>
    <w:link w:val="CommentText"/>
    <w:uiPriority w:val="99"/>
    <w:rsid w:val="00F47071"/>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F47071"/>
    <w:rPr>
      <w:sz w:val="16"/>
      <w:szCs w:val="16"/>
    </w:rPr>
  </w:style>
  <w:style w:type="character" w:customStyle="1" w:styleId="TT-TableTitleChar">
    <w:name w:val="TT-Table Title Char"/>
    <w:basedOn w:val="DefaultParagraphFont"/>
    <w:link w:val="TT-TableTitle"/>
    <w:locked/>
    <w:rsid w:val="00F47071"/>
    <w:rPr>
      <w:rFonts w:ascii="Times New Roman" w:eastAsia="Batang" w:hAnsi="Times New Roman"/>
    </w:rPr>
  </w:style>
  <w:style w:type="table" w:styleId="GridTable4-Accent1">
    <w:name w:val="Grid Table 4 Accent 1"/>
    <w:basedOn w:val="TableNormal"/>
    <w:uiPriority w:val="49"/>
    <w:rsid w:val="0044799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44799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CommentSubject">
    <w:name w:val="annotation subject"/>
    <w:basedOn w:val="CommentText"/>
    <w:next w:val="CommentText"/>
    <w:link w:val="CommentSubjectChar"/>
    <w:uiPriority w:val="99"/>
    <w:semiHidden/>
    <w:unhideWhenUsed/>
    <w:rsid w:val="00491464"/>
    <w:pPr>
      <w:tabs>
        <w:tab w:val="clear" w:pos="432"/>
        <w:tab w:val="left" w:pos="1152"/>
      </w:tabs>
      <w:spacing w:line="240" w:lineRule="auto"/>
      <w:ind w:firstLine="0"/>
      <w:jc w:val="both"/>
    </w:pPr>
    <w:rPr>
      <w:b/>
      <w:bCs/>
    </w:rPr>
  </w:style>
  <w:style w:type="character" w:customStyle="1" w:styleId="CommentSubjectChar">
    <w:name w:val="Comment Subject Char"/>
    <w:basedOn w:val="CommentTextChar"/>
    <w:link w:val="CommentSubject"/>
    <w:uiPriority w:val="99"/>
    <w:semiHidden/>
    <w:rsid w:val="00491464"/>
    <w:rPr>
      <w:rFonts w:ascii="Times New Roman" w:eastAsia="Times New Roman" w:hAnsi="Times New Roman"/>
      <w:b/>
      <w:bCs/>
      <w:sz w:val="20"/>
      <w:szCs w:val="20"/>
    </w:rPr>
  </w:style>
  <w:style w:type="paragraph" w:styleId="Revision">
    <w:name w:val="Revision"/>
    <w:hidden/>
    <w:uiPriority w:val="99"/>
    <w:semiHidden/>
    <w:rsid w:val="00A3005A"/>
    <w:rPr>
      <w:rFonts w:ascii="Times New Roman" w:eastAsia="Times New Roman" w:hAnsi="Times New Roman"/>
    </w:rPr>
  </w:style>
  <w:style w:type="character" w:customStyle="1" w:styleId="HeaderChar">
    <w:name w:val="Header Char"/>
    <w:basedOn w:val="DefaultParagraphFont"/>
    <w:link w:val="Header"/>
    <w:uiPriority w:val="99"/>
    <w:rsid w:val="00EE62F1"/>
    <w:rPr>
      <w:rFonts w:ascii="Times New Roman" w:eastAsia="Times New Roman" w:hAnsi="Times New Roman"/>
      <w:sz w:val="16"/>
    </w:rPr>
  </w:style>
  <w:style w:type="paragraph" w:styleId="TOCHeading">
    <w:name w:val="TOC Heading"/>
    <w:basedOn w:val="Heading1"/>
    <w:next w:val="Normal"/>
    <w:uiPriority w:val="39"/>
    <w:unhideWhenUsed/>
    <w:qFormat/>
    <w:rsid w:val="00C516EF"/>
    <w:pPr>
      <w:keepLines/>
      <w:tabs>
        <w:tab w:val="clear" w:pos="1152"/>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character" w:customStyle="1" w:styleId="FooterChar">
    <w:name w:val="Footer Char"/>
    <w:basedOn w:val="DefaultParagraphFont"/>
    <w:link w:val="Footer"/>
    <w:uiPriority w:val="99"/>
    <w:rsid w:val="0097737A"/>
    <w:rPr>
      <w:rFonts w:ascii="Times New Roman" w:eastAsia="Times New Roman" w:hAnsi="Times New Roman"/>
    </w:rPr>
  </w:style>
  <w:style w:type="table" w:styleId="TableGridLight">
    <w:name w:val="Grid Table Light"/>
    <w:basedOn w:val="TableNormal"/>
    <w:uiPriority w:val="40"/>
    <w:rsid w:val="00DC53F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F244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M.Reist@census.gov" TargetMode="External"/><Relationship Id="rId13" Type="http://schemas.openxmlformats.org/officeDocument/2006/relationships/hyperlink" Target="mailto:michael.burke@fns.usd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IEHEN@ers.usd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s@northweste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ychocolaad@naswa.org" TargetMode="External"/><Relationship Id="rId4" Type="http://schemas.openxmlformats.org/officeDocument/2006/relationships/settings" Target="settings.xml"/><Relationship Id="rId9" Type="http://schemas.openxmlformats.org/officeDocument/2006/relationships/hyperlink" Target="mailto:rosenbaum@cbpp.org" TargetMode="External"/><Relationship Id="rId14" Type="http://schemas.openxmlformats.org/officeDocument/2006/relationships/hyperlink" Target="mailto:Lindsay.drunasky@usd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ensus.gov/geo/reference/urban-rur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9344-698F-443D-ACE0-4FD0AAE65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4164</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Bennici</dc:creator>
  <cp:keywords/>
  <dc:description/>
  <cp:lastModifiedBy>Ragland-Greene, Rachelle - FNS</cp:lastModifiedBy>
  <cp:revision>3</cp:revision>
  <cp:lastPrinted>2019-07-30T20:34:00Z</cp:lastPrinted>
  <dcterms:created xsi:type="dcterms:W3CDTF">2020-05-21T15:28:00Z</dcterms:created>
  <dcterms:modified xsi:type="dcterms:W3CDTF">2020-05-21T15:37:00Z</dcterms:modified>
</cp:coreProperties>
</file>