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1202" w:rsidR="00376187" w:rsidP="00AF7102" w:rsidRDefault="00CF1132" w14:paraId="17E50031" w14:textId="63D727A9">
      <w:pPr>
        <w:rPr>
          <w:rFonts w:ascii="Times New Roman" w:hAnsi="Times New Roman"/>
          <w:b/>
        </w:rPr>
      </w:pPr>
      <w:r w:rsidRPr="00241202">
        <w:rPr>
          <w:rFonts w:ascii="Times New Roman" w:hAnsi="Times New Roman"/>
          <w:b/>
        </w:rPr>
        <w:t>Appendix</w:t>
      </w:r>
      <w:r w:rsidRPr="00241202" w:rsidR="0018217D">
        <w:rPr>
          <w:rFonts w:ascii="Times New Roman" w:hAnsi="Times New Roman"/>
          <w:b/>
        </w:rPr>
        <w:t xml:space="preserve"> </w:t>
      </w:r>
      <w:r w:rsidRPr="00241202" w:rsidR="00241202">
        <w:rPr>
          <w:rFonts w:ascii="Times New Roman" w:hAnsi="Times New Roman"/>
          <w:b/>
        </w:rPr>
        <w:t>T</w:t>
      </w:r>
      <w:r w:rsidRPr="00241202" w:rsidR="0018217D">
        <w:rPr>
          <w:rFonts w:ascii="Times New Roman" w:hAnsi="Times New Roman"/>
          <w:b/>
        </w:rPr>
        <w:t xml:space="preserve"> - </w:t>
      </w:r>
      <w:r w:rsidRPr="00241202">
        <w:rPr>
          <w:rFonts w:ascii="Times New Roman" w:hAnsi="Times New Roman"/>
          <w:b/>
        </w:rPr>
        <w:t>Incentives and Response Rates</w:t>
      </w:r>
    </w:p>
    <w:p w:rsidRPr="00241202" w:rsidR="00CF1132" w:rsidP="00AF7102" w:rsidRDefault="00CF1132" w14:paraId="47451791" w14:textId="77777777">
      <w:pPr>
        <w:rPr>
          <w:rFonts w:ascii="Times New Roman" w:hAnsi="Times New Roman"/>
        </w:rPr>
      </w:pPr>
    </w:p>
    <w:p w:rsidRPr="00241202" w:rsidR="00CF1132" w:rsidP="00AF7102" w:rsidRDefault="00CF1132" w14:paraId="40A5DF41" w14:textId="77777777">
      <w:pPr>
        <w:rPr>
          <w:rFonts w:ascii="Times New Roman" w:hAnsi="Times New Roman"/>
        </w:rPr>
      </w:pPr>
    </w:p>
    <w:p w:rsidRPr="00241202" w:rsidR="00CF1132" w:rsidP="00CF1132" w:rsidRDefault="00CF1132" w14:paraId="3672A8B1" w14:textId="77777777">
      <w:pPr>
        <w:pStyle w:val="L1-FlLSp12"/>
        <w:spacing w:line="480" w:lineRule="auto"/>
        <w:rPr>
          <w:rFonts w:ascii="Times New Roman" w:hAnsi="Times New Roman"/>
          <w:b/>
          <w:i/>
          <w:szCs w:val="24"/>
        </w:rPr>
      </w:pPr>
      <w:r w:rsidRPr="00241202">
        <w:rPr>
          <w:rFonts w:ascii="Times New Roman" w:hAnsi="Times New Roman"/>
          <w:b/>
          <w:i/>
          <w:szCs w:val="24"/>
        </w:rPr>
        <w:t>Incentives and Response Rates</w:t>
      </w:r>
    </w:p>
    <w:p w:rsidR="00CF1132" w:rsidP="00CF1132" w:rsidRDefault="00CF1132" w14:paraId="67BE4D3D" w14:textId="77777777">
      <w:pPr>
        <w:pStyle w:val="NormalSS"/>
        <w:spacing w:after="0" w:line="480" w:lineRule="auto"/>
        <w:ind w:firstLine="0"/>
      </w:pPr>
      <w:r>
        <w:rPr>
          <w:b/>
          <w:i/>
          <w:szCs w:val="24"/>
        </w:rPr>
        <w:t xml:space="preserve">Postpaid Incentives. </w:t>
      </w:r>
      <w:r w:rsidRPr="00564C7E">
        <w:rPr>
          <w:szCs w:val="24"/>
        </w:rPr>
        <w:t>Research unequivocally demonstrates that incentives increase response rates</w:t>
      </w:r>
      <w:r>
        <w:rPr>
          <w:szCs w:val="24"/>
        </w:rPr>
        <w:t>.</w:t>
      </w:r>
      <w:r w:rsidRPr="00BC748C">
        <w:t xml:space="preserve"> </w:t>
      </w:r>
      <w:r w:rsidRPr="005F5CB9">
        <w:t>Singer and Ye</w:t>
      </w:r>
      <w:r w:rsidRPr="005F5CB9">
        <w:rPr>
          <w:u w:color="000080"/>
          <w:vertAlign w:val="superscript"/>
        </w:rPr>
        <w:footnoteReference w:id="1"/>
      </w:r>
      <w:r w:rsidRPr="005F5CB9">
        <w:t xml:space="preserve"> completed a systematic review of articles on the use of incentives to enhance response rates published after 2002. They found that</w:t>
      </w:r>
      <w:r>
        <w:t>:</w:t>
      </w:r>
      <w:r w:rsidRPr="005F5CB9">
        <w:t xml:space="preserve"> </w:t>
      </w:r>
      <w:r>
        <w:t xml:space="preserve">(a) </w:t>
      </w:r>
      <w:r w:rsidRPr="005F5CB9">
        <w:t>incentives increase response rates for all modes of administration</w:t>
      </w:r>
      <w:r>
        <w:t xml:space="preserve">; (b) </w:t>
      </w:r>
      <w:r w:rsidRPr="005F5CB9">
        <w:t xml:space="preserve">increasing incentive amounts continue to improve </w:t>
      </w:r>
      <w:proofErr w:type="gramStart"/>
      <w:r w:rsidRPr="005F5CB9">
        <w:t>response</w:t>
      </w:r>
      <w:proofErr w:type="gramEnd"/>
      <w:r w:rsidRPr="005F5CB9">
        <w:t xml:space="preserve"> rates</w:t>
      </w:r>
      <w:r>
        <w:t xml:space="preserve">; and (c) </w:t>
      </w:r>
      <w:r w:rsidRPr="005F5CB9">
        <w:t>monetary incentives were more effective than promised gifts. It is likely that incentives influence response rates</w:t>
      </w:r>
      <w:r w:rsidRPr="00841A8C">
        <w:t xml:space="preserve"> either through facilitating contact with the potential respondent or by stimulating cooperation. In another meta-analysis of monetary incentives,</w:t>
      </w:r>
      <w:r w:rsidRPr="00BC748C">
        <w:t xml:space="preserve"> Mercer and colleagues</w:t>
      </w:r>
      <w:r w:rsidRPr="00BC748C">
        <w:rPr>
          <w:rStyle w:val="FootnoteReference"/>
        </w:rPr>
        <w:footnoteReference w:id="2"/>
      </w:r>
      <w:r w:rsidRPr="00BC748C">
        <w:t xml:space="preserve"> reported a 10</w:t>
      </w:r>
      <w:r>
        <w:t>-</w:t>
      </w:r>
      <w:r w:rsidRPr="00BC748C">
        <w:t xml:space="preserve">percentage point increase in response rates for mail surveys when participants were paid a $2 pre-paid incentives and </w:t>
      </w:r>
      <w:r>
        <w:t xml:space="preserve">a </w:t>
      </w:r>
      <w:r w:rsidRPr="00BC748C">
        <w:t>6 percentage</w:t>
      </w:r>
      <w:r>
        <w:t>-</w:t>
      </w:r>
      <w:r w:rsidRPr="00BC748C">
        <w:t>point increase for phone surveys when participants were offered a $20 post-incentive.  Similarly, research indicates that post-paid incentives improves responses to mail and interviewer-administered surveys.</w:t>
      </w:r>
      <w:r w:rsidRPr="00BC748C">
        <w:rPr>
          <w:vertAlign w:val="superscript"/>
        </w:rPr>
        <w:t>10,11</w:t>
      </w:r>
      <w:r w:rsidRPr="00BC748C">
        <w:t xml:space="preserve">  For example, Cantor et al.</w:t>
      </w:r>
      <w:r w:rsidRPr="00BC748C">
        <w:rPr>
          <w:rStyle w:val="FootnoteReference"/>
        </w:rPr>
        <w:footnoteReference w:id="3"/>
      </w:r>
      <w:r w:rsidRPr="00BC748C">
        <w:t xml:space="preserve"> reported an effect of 9.1 percentage points when offering a post-incentive of $20</w:t>
      </w:r>
      <w:r>
        <w:t xml:space="preserve"> (compared to no incentive).  </w:t>
      </w:r>
    </w:p>
    <w:p w:rsidR="00CF1132" w:rsidP="00CF1132" w:rsidRDefault="00CF1132" w14:paraId="0AA60D2E" w14:textId="77777777">
      <w:pPr>
        <w:pStyle w:val="NormalSS"/>
        <w:spacing w:after="0" w:line="480" w:lineRule="auto"/>
        <w:ind w:firstLine="0"/>
      </w:pPr>
    </w:p>
    <w:p w:rsidR="00CF1132" w:rsidP="00CF1132" w:rsidRDefault="00CF1132" w14:paraId="1F546665" w14:textId="77777777">
      <w:pPr>
        <w:pStyle w:val="NormalSS"/>
        <w:spacing w:line="480" w:lineRule="auto"/>
        <w:ind w:firstLine="0"/>
        <w:rPr>
          <w:szCs w:val="24"/>
        </w:rPr>
      </w:pPr>
      <w:r w:rsidRPr="008F5AFA">
        <w:rPr>
          <w:szCs w:val="24"/>
        </w:rPr>
        <w:t xml:space="preserve">There has been extensive research on the relative effectiveness of different incentive amounts. </w:t>
      </w:r>
      <w:r>
        <w:rPr>
          <w:szCs w:val="24"/>
        </w:rPr>
        <w:t>H</w:t>
      </w:r>
      <w:r w:rsidRPr="00BD095A">
        <w:rPr>
          <w:szCs w:val="24"/>
        </w:rPr>
        <w:t>igher incentive amounts increase response rates, although the relationship between incentive amounts and response rates is not linear</w:t>
      </w:r>
      <w:r w:rsidRPr="00DE0882">
        <w:rPr>
          <w:szCs w:val="24"/>
        </w:rPr>
        <w:t>.</w:t>
      </w:r>
      <w:r w:rsidRPr="008F5AFA">
        <w:rPr>
          <w:rStyle w:val="FootnoteReference"/>
          <w:szCs w:val="24"/>
        </w:rPr>
        <w:footnoteReference w:id="4"/>
      </w:r>
      <w:r w:rsidRPr="008F5AFA">
        <w:rPr>
          <w:szCs w:val="24"/>
        </w:rPr>
        <w:t xml:space="preserve"> </w:t>
      </w:r>
      <w:r w:rsidRPr="00646A7E">
        <w:rPr>
          <w:szCs w:val="24"/>
        </w:rPr>
        <w:t>T</w:t>
      </w:r>
      <w:r>
        <w:rPr>
          <w:szCs w:val="24"/>
        </w:rPr>
        <w:t>his means that the</w:t>
      </w:r>
      <w:r w:rsidRPr="00646A7E">
        <w:rPr>
          <w:szCs w:val="24"/>
        </w:rPr>
        <w:t xml:space="preserve"> marginal increase in response rate </w:t>
      </w:r>
      <w:r w:rsidRPr="00646A7E">
        <w:rPr>
          <w:szCs w:val="24"/>
        </w:rPr>
        <w:lastRenderedPageBreak/>
        <w:t>decreases as incentive amounts increase. For example, Mercer et al. found that while response rates increased with higher incentive amounts, the effect tapered off at about $20 (in 2012 dollars).</w:t>
      </w:r>
      <w:r w:rsidRPr="00646A7E">
        <w:rPr>
          <w:rStyle w:val="FootnoteReference"/>
          <w:szCs w:val="24"/>
        </w:rPr>
        <w:t xml:space="preserve"> </w:t>
      </w:r>
      <w:r w:rsidRPr="00646A7E">
        <w:rPr>
          <w:rStyle w:val="FootnoteReference"/>
          <w:szCs w:val="24"/>
        </w:rPr>
        <w:footnoteReference w:id="5"/>
      </w:r>
      <w:r w:rsidRPr="00646A7E">
        <w:rPr>
          <w:szCs w:val="24"/>
        </w:rPr>
        <w:t xml:space="preserve"> </w:t>
      </w:r>
      <w:r>
        <w:rPr>
          <w:szCs w:val="24"/>
        </w:rPr>
        <w:t>Cantor et al. (2008) obtained similar results.</w:t>
      </w:r>
      <w:r>
        <w:rPr>
          <w:rStyle w:val="FootnoteReference"/>
          <w:szCs w:val="24"/>
        </w:rPr>
        <w:footnoteReference w:id="6"/>
      </w:r>
      <w:r>
        <w:rPr>
          <w:szCs w:val="24"/>
        </w:rPr>
        <w:t xml:space="preserve"> A survey of unemployed and dislocated workers found that</w:t>
      </w:r>
      <w:r w:rsidRPr="00234172">
        <w:rPr>
          <w:szCs w:val="24"/>
        </w:rPr>
        <w:t xml:space="preserve"> </w:t>
      </w:r>
      <w:r>
        <w:rPr>
          <w:szCs w:val="24"/>
        </w:rPr>
        <w:t>$50 and $75 resulted in</w:t>
      </w:r>
      <w:r w:rsidRPr="00234172">
        <w:rPr>
          <w:szCs w:val="24"/>
        </w:rPr>
        <w:t xml:space="preserve"> significant</w:t>
      </w:r>
      <w:r>
        <w:rPr>
          <w:szCs w:val="24"/>
        </w:rPr>
        <w:t>ly</w:t>
      </w:r>
      <w:r w:rsidRPr="00234172">
        <w:rPr>
          <w:szCs w:val="24"/>
        </w:rPr>
        <w:t xml:space="preserve"> higher response rate than an incentive of $25. However, the $50 incentive was more cost effective than the $75 incentive.</w:t>
      </w:r>
    </w:p>
    <w:p w:rsidRPr="00841A8C" w:rsidR="00CF1132" w:rsidP="00CF1132" w:rsidRDefault="00CF1132" w14:paraId="03E8EB84" w14:textId="77777777">
      <w:pPr>
        <w:pStyle w:val="BodyText"/>
        <w:spacing w:line="480" w:lineRule="auto"/>
      </w:pPr>
      <w:r w:rsidRPr="005F5CB9">
        <w:rPr>
          <w:b/>
          <w:i/>
          <w:szCs w:val="24"/>
        </w:rPr>
        <w:t>Early Response Incentives.</w:t>
      </w:r>
      <w:r>
        <w:rPr>
          <w:szCs w:val="24"/>
        </w:rPr>
        <w:t xml:space="preserve"> </w:t>
      </w:r>
      <w:r w:rsidRPr="00C75695">
        <w:rPr>
          <w:sz w:val="24"/>
        </w:rPr>
        <w:t>Survey literature suggests that incentives can be effective at increasing early response</w:t>
      </w:r>
      <w:r w:rsidRPr="005F5CB9">
        <w:rPr>
          <w:sz w:val="24"/>
          <w:szCs w:val="24"/>
        </w:rPr>
        <w:t>.</w:t>
      </w:r>
      <w:r w:rsidRPr="005F5CB9">
        <w:rPr>
          <w:rStyle w:val="FootnoteReference"/>
          <w:sz w:val="24"/>
          <w:szCs w:val="24"/>
        </w:rPr>
        <w:footnoteReference w:id="7"/>
      </w:r>
      <w:r w:rsidRPr="005F5CB9">
        <w:rPr>
          <w:sz w:val="24"/>
          <w:szCs w:val="24"/>
        </w:rPr>
        <w:t xml:space="preserve"> One study found that providing an early </w:t>
      </w:r>
      <w:r>
        <w:rPr>
          <w:sz w:val="24"/>
          <w:szCs w:val="24"/>
          <w:lang w:val="en-US"/>
        </w:rPr>
        <w:t>response</w:t>
      </w:r>
      <w:r w:rsidRPr="005F5CB9">
        <w:rPr>
          <w:sz w:val="24"/>
          <w:szCs w:val="24"/>
        </w:rPr>
        <w:t xml:space="preserve"> incentive of $100 increased the response rate </w:t>
      </w:r>
      <w:r w:rsidRPr="00CD605C">
        <w:rPr>
          <w:sz w:val="24"/>
          <w:szCs w:val="24"/>
        </w:rPr>
        <w:t>from 20 percent to 29 percent</w:t>
      </w:r>
      <w:r w:rsidRPr="00C047FC">
        <w:rPr>
          <w:sz w:val="24"/>
          <w:szCs w:val="24"/>
        </w:rPr>
        <w:t xml:space="preserve"> </w:t>
      </w:r>
      <w:r w:rsidRPr="005F5CB9">
        <w:rPr>
          <w:sz w:val="24"/>
          <w:szCs w:val="24"/>
        </w:rPr>
        <w:t>in the cutoff period compared to a $50 incentive.</w:t>
      </w:r>
      <w:r w:rsidRPr="005F5CB9">
        <w:rPr>
          <w:rStyle w:val="FootnoteReference"/>
          <w:sz w:val="24"/>
          <w:szCs w:val="24"/>
        </w:rPr>
        <w:footnoteReference w:id="8"/>
      </w:r>
      <w:r w:rsidRPr="005F5CB9">
        <w:rPr>
          <w:sz w:val="24"/>
          <w:szCs w:val="24"/>
        </w:rPr>
        <w:t xml:space="preserve"> Similarly, another study with disconnected youth found that </w:t>
      </w:r>
      <w:r w:rsidRPr="005F5CB9">
        <w:rPr>
          <w:noProof/>
          <w:sz w:val="24"/>
          <w:szCs w:val="24"/>
        </w:rPr>
        <w:t>those who were offered the $40 incentive had 38 percent higher odds of completing their survey within the first four weeks, compared to those who were offered the $25 incentive.</w:t>
      </w:r>
      <w:r w:rsidRPr="00C75695">
        <w:rPr>
          <w:sz w:val="24"/>
        </w:rPr>
        <w:t xml:space="preserve"> An early response incentive has the potential to reduce overall data collection costs by shortening the data collection period and </w:t>
      </w:r>
      <w:r w:rsidRPr="005F5CB9">
        <w:rPr>
          <w:sz w:val="24"/>
          <w:szCs w:val="24"/>
        </w:rPr>
        <w:t>driving more responses into the more cost effective web mode</w:t>
      </w:r>
      <w:r w:rsidRPr="00C75695">
        <w:rPr>
          <w:sz w:val="24"/>
        </w:rPr>
        <w:t xml:space="preserve">. </w:t>
      </w:r>
    </w:p>
    <w:p w:rsidR="00CF1132" w:rsidP="00CF1132" w:rsidRDefault="00CF1132" w14:paraId="199FCA9F" w14:textId="77777777">
      <w:pPr>
        <w:pStyle w:val="NormalSS"/>
        <w:spacing w:line="480" w:lineRule="auto"/>
        <w:ind w:firstLine="0"/>
        <w:rPr>
          <w:b/>
          <w:i/>
          <w:szCs w:val="24"/>
        </w:rPr>
      </w:pPr>
    </w:p>
    <w:p w:rsidR="00CF1132" w:rsidP="00CF1132" w:rsidRDefault="00CF1132" w14:paraId="222CFAEC" w14:textId="77777777">
      <w:pPr>
        <w:pStyle w:val="NormalSS"/>
        <w:spacing w:line="480" w:lineRule="auto"/>
        <w:ind w:firstLine="0"/>
        <w:rPr>
          <w:szCs w:val="24"/>
        </w:rPr>
      </w:pPr>
      <w:r w:rsidRPr="005F5CB9">
        <w:rPr>
          <w:b/>
          <w:i/>
          <w:szCs w:val="24"/>
        </w:rPr>
        <w:lastRenderedPageBreak/>
        <w:t>Prepaid Incentives.</w:t>
      </w:r>
      <w:r w:rsidRPr="005F5CB9">
        <w:t xml:space="preserve"> </w:t>
      </w:r>
      <w:r>
        <w:t>Other</w:t>
      </w:r>
      <w:r w:rsidRPr="005F5CB9">
        <w:t xml:space="preserve"> literature documents the effectiveness of prepaid incentives.</w:t>
      </w:r>
      <w:r w:rsidRPr="005F5CB9">
        <w:rPr>
          <w:rStyle w:val="FootnoteReference"/>
        </w:rPr>
        <w:footnoteReference w:id="9"/>
      </w:r>
      <w:r w:rsidRPr="005F5CB9">
        <w:t xml:space="preserve"> </w:t>
      </w:r>
      <w:r>
        <w:rPr>
          <w:szCs w:val="24"/>
        </w:rPr>
        <w:t xml:space="preserve">A review by </w:t>
      </w:r>
      <w:r w:rsidRPr="005F5CB9">
        <w:t xml:space="preserve">Cantor, O’Hare, and </w:t>
      </w:r>
      <w:r w:rsidRPr="006C70F3">
        <w:rPr>
          <w:szCs w:val="24"/>
        </w:rPr>
        <w:t>O’Connor</w:t>
      </w:r>
      <w:r w:rsidRPr="005F5CB9">
        <w:rPr>
          <w:rStyle w:val="FootnoteReference"/>
        </w:rPr>
        <w:footnoteReference w:id="10"/>
      </w:r>
      <w:r w:rsidRPr="005F5CB9">
        <w:t xml:space="preserve"> of incentive experiments in telephone surveys found consistently significant effects for prepaid incentives </w:t>
      </w:r>
      <w:r>
        <w:rPr>
          <w:szCs w:val="24"/>
        </w:rPr>
        <w:t>of</w:t>
      </w:r>
      <w:r w:rsidRPr="005F5CB9">
        <w:t xml:space="preserve"> $1 </w:t>
      </w:r>
      <w:r>
        <w:rPr>
          <w:szCs w:val="24"/>
        </w:rPr>
        <w:t>to</w:t>
      </w:r>
      <w:r w:rsidRPr="005F5CB9">
        <w:t xml:space="preserve"> $5, with increases in response rate of 2.2 to 12.1 percentage points.</w:t>
      </w:r>
      <w:r w:rsidRPr="005F5CB9">
        <w:rPr>
          <w:rStyle w:val="FootnoteReference"/>
        </w:rPr>
        <w:footnoteReference w:id="11"/>
      </w:r>
      <w:r w:rsidRPr="005F5CB9">
        <w:t xml:space="preserve"> A recent experiment conducted by FNS for the SNAP Barriers Study found that a $2 pre-incentive and $20 post-incentive increased the response rate by 5.8 percentage points compared to receipt of </w:t>
      </w:r>
      <w:r w:rsidRPr="00835346">
        <w:t>a $20 post-incentive only.</w:t>
      </w:r>
      <w:r w:rsidRPr="005F5CB9">
        <w:rPr>
          <w:rStyle w:val="FootnoteReference"/>
        </w:rPr>
        <w:footnoteReference w:id="12"/>
      </w:r>
      <w:r w:rsidRPr="005F5CB9">
        <w:t xml:space="preserve"> </w:t>
      </w:r>
      <w:r>
        <w:rPr>
          <w:szCs w:val="24"/>
        </w:rPr>
        <w:t xml:space="preserve"> </w:t>
      </w:r>
      <w:r w:rsidRPr="00646A7E">
        <w:t xml:space="preserve">In a meta-analysis of 40 studies, Messer and </w:t>
      </w:r>
      <w:proofErr w:type="spellStart"/>
      <w:r w:rsidRPr="00646A7E">
        <w:t>Dillman</w:t>
      </w:r>
      <w:proofErr w:type="spellEnd"/>
      <w:r w:rsidRPr="00646A7E">
        <w:rPr>
          <w:rStyle w:val="FootnoteReference"/>
        </w:rPr>
        <w:footnoteReference w:id="13"/>
      </w:r>
      <w:r w:rsidRPr="00646A7E">
        <w:t xml:space="preserve"> </w:t>
      </w:r>
      <w:r>
        <w:t xml:space="preserve">found regarding </w:t>
      </w:r>
      <w:r w:rsidRPr="00646A7E">
        <w:t xml:space="preserve">response rates </w:t>
      </w:r>
      <w:r>
        <w:t>on</w:t>
      </w:r>
      <w:r w:rsidRPr="00646A7E">
        <w:t xml:space="preserve"> multi-mode surveys </w:t>
      </w:r>
      <w:r>
        <w:t xml:space="preserve">using </w:t>
      </w:r>
      <w:r w:rsidRPr="00646A7E">
        <w:t>varying incentive amounts that offering a $5 pre-incentive and implementing a web-mail design yielded significant increase in response rates.</w:t>
      </w:r>
    </w:p>
    <w:p w:rsidR="00CF1132" w:rsidP="00CF1132" w:rsidRDefault="00CF1132" w14:paraId="32A2FC50" w14:textId="77777777">
      <w:pPr>
        <w:tabs>
          <w:tab w:val="left" w:pos="432"/>
        </w:tabs>
        <w:spacing w:line="480" w:lineRule="auto"/>
        <w:rPr>
          <w:rFonts w:ascii="Times New Roman" w:hAnsi="Times New Roman"/>
        </w:rPr>
      </w:pPr>
      <w:r w:rsidRPr="00646A7E">
        <w:rPr>
          <w:rFonts w:ascii="Times New Roman" w:hAnsi="Times New Roman"/>
        </w:rPr>
        <w:t xml:space="preserve">The Food and Nutrition Service (FNS) study: </w:t>
      </w:r>
      <w:r w:rsidRPr="00646A7E">
        <w:rPr>
          <w:rFonts w:ascii="Times New Roman" w:hAnsi="Times New Roman"/>
          <w:i/>
        </w:rPr>
        <w:t>Nutrition Assistance in Farmers Markets: Understanding the Shopping Patterns of SNAP Participants (FMCS)</w:t>
      </w:r>
      <w:r w:rsidRPr="00646A7E">
        <w:rPr>
          <w:rStyle w:val="FootnoteReference"/>
          <w:rFonts w:ascii="Times New Roman" w:hAnsi="Times New Roman"/>
          <w:i/>
        </w:rPr>
        <w:footnoteReference w:id="14"/>
      </w:r>
      <w:r w:rsidRPr="00646A7E">
        <w:rPr>
          <w:rFonts w:ascii="Times New Roman" w:hAnsi="Times New Roman"/>
        </w:rPr>
        <w:t xml:space="preserve"> (OMB Control Number: 0584-0564; Expiration Date: November 30, 2014) involved survey data collection from SNAP participants; the respondent burden was comparable to the proposed burden for the FINI national evaluation.  The FMCS included an incentive experiment to examine the impact of a differential incentive on survey completion rates among SNAP participants.  The estimated burden for completing the</w:t>
      </w:r>
      <w:r>
        <w:rPr>
          <w:rFonts w:ascii="Times New Roman" w:hAnsi="Times New Roman"/>
        </w:rPr>
        <w:t xml:space="preserve"> one-time</w:t>
      </w:r>
      <w:r w:rsidRPr="00646A7E">
        <w:rPr>
          <w:rFonts w:ascii="Times New Roman" w:hAnsi="Times New Roman"/>
        </w:rPr>
        <w:t xml:space="preserve"> survey was 25 minutes. Survey completion rates ranged from 42.5 to </w:t>
      </w:r>
      <w:r w:rsidRPr="00646A7E">
        <w:rPr>
          <w:rFonts w:ascii="Times New Roman" w:hAnsi="Times New Roman"/>
        </w:rPr>
        <w:lastRenderedPageBreak/>
        <w:t>48.9 percent, with the highest response rate for the $5 initial (pre-paid or pre-survey) and $20 post survey completi</w:t>
      </w:r>
      <w:r>
        <w:rPr>
          <w:rFonts w:ascii="Times New Roman" w:hAnsi="Times New Roman"/>
        </w:rPr>
        <w:t>on incentive group</w:t>
      </w:r>
      <w:r w:rsidRPr="00646A7E">
        <w:rPr>
          <w:rFonts w:ascii="Times New Roman" w:hAnsi="Times New Roman"/>
        </w:rPr>
        <w:t xml:space="preserve">. Response rates were approximately 6 percentage points higher in the $20 post survey completion incentive group than the $10 post survey completion incentive group.    </w:t>
      </w:r>
    </w:p>
    <w:p w:rsidR="00CF1132" w:rsidP="00CF1132" w:rsidRDefault="00CF1132" w14:paraId="31B654F7" w14:textId="77777777">
      <w:pPr>
        <w:tabs>
          <w:tab w:val="left" w:pos="432"/>
        </w:tabs>
        <w:spacing w:line="480" w:lineRule="auto"/>
        <w:rPr>
          <w:rFonts w:ascii="Times New Roman" w:hAnsi="Times New Roman"/>
        </w:rPr>
      </w:pPr>
    </w:p>
    <w:p w:rsidR="00CF1132" w:rsidP="00CF1132" w:rsidRDefault="00CF1132" w14:paraId="3AE661A5" w14:textId="77777777">
      <w:pPr>
        <w:pStyle w:val="BodyText"/>
        <w:spacing w:line="480" w:lineRule="auto"/>
        <w:rPr>
          <w:szCs w:val="24"/>
        </w:rPr>
      </w:pPr>
      <w:r w:rsidRPr="008D694E">
        <w:rPr>
          <w:sz w:val="24"/>
          <w:szCs w:val="24"/>
        </w:rPr>
        <w:t xml:space="preserve">Most directly relevant to the current data collection, there is evidence that a prepaid incentive can increase response rates in sequential multimode designs </w:t>
      </w:r>
      <w:r w:rsidRPr="008D694E">
        <w:rPr>
          <w:sz w:val="24"/>
          <w:szCs w:val="24"/>
          <w:lang w:val="en-US"/>
        </w:rPr>
        <w:t>similar to the one used for this study</w:t>
      </w:r>
      <w:r w:rsidRPr="00BD095A">
        <w:rPr>
          <w:sz w:val="24"/>
          <w:szCs w:val="24"/>
        </w:rPr>
        <w:t>.</w:t>
      </w:r>
      <w:r w:rsidRPr="008D694E">
        <w:rPr>
          <w:rStyle w:val="FootnoteReference"/>
          <w:sz w:val="24"/>
          <w:szCs w:val="24"/>
        </w:rPr>
        <w:footnoteReference w:id="15"/>
      </w:r>
      <w:r w:rsidRPr="008D694E">
        <w:rPr>
          <w:sz w:val="24"/>
          <w:szCs w:val="24"/>
        </w:rPr>
        <w:t xml:space="preserve"> An experiment conducted by </w:t>
      </w:r>
      <w:r w:rsidRPr="008D694E">
        <w:rPr>
          <w:sz w:val="24"/>
          <w:szCs w:val="24"/>
          <w:lang w:val="en-US"/>
        </w:rPr>
        <w:t xml:space="preserve">the </w:t>
      </w:r>
      <w:r w:rsidRPr="00C75695">
        <w:rPr>
          <w:sz w:val="24"/>
          <w:lang w:val="en-US"/>
        </w:rPr>
        <w:t>D</w:t>
      </w:r>
      <w:r w:rsidRPr="008D694E">
        <w:rPr>
          <w:sz w:val="24"/>
          <w:szCs w:val="24"/>
          <w:lang w:val="en-US"/>
        </w:rPr>
        <w:t xml:space="preserve">epartment of </w:t>
      </w:r>
      <w:r w:rsidRPr="00C75695">
        <w:rPr>
          <w:sz w:val="24"/>
          <w:lang w:val="en-US"/>
        </w:rPr>
        <w:t>L</w:t>
      </w:r>
      <w:r w:rsidRPr="008D694E">
        <w:rPr>
          <w:sz w:val="24"/>
          <w:szCs w:val="24"/>
          <w:lang w:val="en-US"/>
        </w:rPr>
        <w:t>abor</w:t>
      </w:r>
      <w:r w:rsidRPr="00BD095A">
        <w:rPr>
          <w:sz w:val="24"/>
          <w:szCs w:val="24"/>
        </w:rPr>
        <w:t xml:space="preserve"> examined the use of a prepaid incentive in a survey of </w:t>
      </w:r>
      <w:r w:rsidRPr="00BD095A">
        <w:rPr>
          <w:sz w:val="24"/>
          <w:szCs w:val="24"/>
          <w:lang w:val="en-US"/>
        </w:rPr>
        <w:t>low-wage workers</w:t>
      </w:r>
      <w:r w:rsidRPr="00BD095A">
        <w:rPr>
          <w:sz w:val="24"/>
          <w:szCs w:val="24"/>
        </w:rPr>
        <w:t>. The survey included web and telephone with an early response incentive</w:t>
      </w:r>
      <w:r w:rsidRPr="00DE0882">
        <w:rPr>
          <w:sz w:val="24"/>
          <w:szCs w:val="24"/>
        </w:rPr>
        <w:t xml:space="preserve"> for respondents to complete the survey on the web. The control group was offered a $40 incentive to complete the surv</w:t>
      </w:r>
      <w:r w:rsidRPr="009C0D14">
        <w:rPr>
          <w:sz w:val="24"/>
          <w:szCs w:val="24"/>
        </w:rPr>
        <w:t xml:space="preserve">ey on the web and a $30 incentive to complete the survey on the telephone. The treatment group was offered $35 to complete on the web and $25 to complete on the telephone plus a $5 prepaid incentive. The $5 prepaid incentive significantly increased the response rate and reduced more costly locating efforts, making it cost effective. The increase in response rate was largely due to increases in the response rate to the web mode. </w:t>
      </w:r>
    </w:p>
    <w:p w:rsidRPr="005F5CB9" w:rsidR="00CF1132" w:rsidP="00CF1132" w:rsidRDefault="00CF1132" w14:paraId="333CCF95" w14:textId="77777777">
      <w:pPr>
        <w:pStyle w:val="BodyText"/>
        <w:spacing w:line="480" w:lineRule="auto"/>
        <w:rPr>
          <w:b/>
          <w:i/>
          <w:szCs w:val="24"/>
          <w:lang w:val="en-US"/>
        </w:rPr>
      </w:pPr>
      <w:r w:rsidRPr="005F5CB9">
        <w:rPr>
          <w:b/>
          <w:i/>
          <w:sz w:val="24"/>
          <w:szCs w:val="24"/>
          <w:lang w:val="en-US"/>
        </w:rPr>
        <w:t>Incentives and Nonresponse Bias</w:t>
      </w:r>
    </w:p>
    <w:p w:rsidR="00CF1132" w:rsidP="00CF1132" w:rsidRDefault="00CF1132" w14:paraId="3EF45C66" w14:textId="77777777">
      <w:pPr>
        <w:pStyle w:val="L1-FlLSp12"/>
        <w:spacing w:line="480" w:lineRule="auto"/>
        <w:rPr>
          <w:rFonts w:ascii="Times New Roman" w:hAnsi="Times New Roman"/>
          <w:szCs w:val="24"/>
        </w:rPr>
      </w:pPr>
      <w:r w:rsidRPr="009C0D14">
        <w:rPr>
          <w:rFonts w:ascii="Times New Roman" w:hAnsi="Times New Roman"/>
          <w:szCs w:val="24"/>
        </w:rPr>
        <w:t xml:space="preserve">Several studies have also found that the use of incentives </w:t>
      </w:r>
      <w:r>
        <w:rPr>
          <w:rFonts w:ascii="Times New Roman" w:hAnsi="Times New Roman"/>
          <w:szCs w:val="24"/>
        </w:rPr>
        <w:t xml:space="preserve">is </w:t>
      </w:r>
      <w:r w:rsidRPr="009C0D14">
        <w:rPr>
          <w:rFonts w:ascii="Times New Roman" w:hAnsi="Times New Roman"/>
          <w:szCs w:val="24"/>
        </w:rPr>
        <w:t xml:space="preserve">effective at changing the composition of the sample and potentially reducing nonresponse bias. Offering incentives can increase participation among low-income respondents and those who are less interested in the </w:t>
      </w:r>
      <w:r w:rsidRPr="009C0D14">
        <w:rPr>
          <w:rFonts w:ascii="Times New Roman" w:hAnsi="Times New Roman"/>
          <w:szCs w:val="24"/>
        </w:rPr>
        <w:lastRenderedPageBreak/>
        <w:t>research.</w:t>
      </w:r>
      <w:r w:rsidRPr="005F5CB9">
        <w:rPr>
          <w:rStyle w:val="SL-FlLftSglChar"/>
          <w:rFonts w:ascii="Times New Roman" w:hAnsi="Times New Roman"/>
          <w:szCs w:val="24"/>
        </w:rPr>
        <w:t xml:space="preserve"> </w:t>
      </w:r>
      <w:r w:rsidRPr="00C613BA">
        <w:rPr>
          <w:rStyle w:val="FootnoteReference"/>
          <w:rFonts w:ascii="Times New Roman" w:hAnsi="Times New Roman"/>
          <w:szCs w:val="24"/>
        </w:rPr>
        <w:footnoteReference w:id="16"/>
      </w:r>
      <w:r w:rsidRPr="00C613BA">
        <w:rPr>
          <w:rStyle w:val="SL-FlLftSglChar"/>
          <w:rFonts w:ascii="Times New Roman" w:hAnsi="Times New Roman"/>
          <w:szCs w:val="24"/>
          <w:vertAlign w:val="superscript"/>
        </w:rPr>
        <w:t>,</w:t>
      </w:r>
      <w:r w:rsidRPr="005F5CB9">
        <w:rPr>
          <w:rStyle w:val="FootnoteReference"/>
          <w:rFonts w:ascii="Times New Roman" w:hAnsi="Times New Roman"/>
          <w:szCs w:val="24"/>
        </w:rPr>
        <w:footnoteReference w:id="17"/>
      </w:r>
      <w:r w:rsidRPr="005F5CB9">
        <w:rPr>
          <w:rFonts w:ascii="Times New Roman" w:hAnsi="Times New Roman"/>
          <w:szCs w:val="24"/>
        </w:rPr>
        <w:t xml:space="preserve"> </w:t>
      </w:r>
      <w:r w:rsidRPr="009C0D14">
        <w:rPr>
          <w:rFonts w:ascii="Times New Roman" w:hAnsi="Times New Roman"/>
          <w:szCs w:val="24"/>
        </w:rPr>
        <w:t>For example, Singer et al. (2000) found that a $5 prepaid incentive brought a disproportionate number of low-education respondents into the sample.</w:t>
      </w:r>
      <w:r>
        <w:rPr>
          <w:rStyle w:val="FootnoteReference"/>
          <w:rFonts w:ascii="Times New Roman" w:hAnsi="Times New Roman"/>
          <w:szCs w:val="24"/>
        </w:rPr>
        <w:footnoteReference w:id="18"/>
      </w:r>
      <w:r w:rsidRPr="009C0D14">
        <w:rPr>
          <w:rFonts w:ascii="Times New Roman" w:hAnsi="Times New Roman"/>
          <w:szCs w:val="24"/>
        </w:rPr>
        <w:t xml:space="preserve"> One study that used data from the Health and Retirement Survey</w:t>
      </w:r>
      <w:r w:rsidRPr="00E073B1">
        <w:rPr>
          <w:rFonts w:ascii="Times New Roman" w:hAnsi="Times New Roman"/>
          <w:szCs w:val="24"/>
        </w:rPr>
        <w:t xml:space="preserve"> (HRS) found that offering a $100 incentive per individual (or $200 per couple) to respondents who initially refused brought in respondents who had about 25 percent </w:t>
      </w:r>
      <w:r w:rsidRPr="009C0D14">
        <w:rPr>
          <w:rFonts w:ascii="Times New Roman" w:hAnsi="Times New Roman"/>
          <w:szCs w:val="24"/>
        </w:rPr>
        <w:t xml:space="preserve">higher net worth and a 16 percent higher income than those who never refused. </w:t>
      </w:r>
      <w:r w:rsidRPr="005F5CB9">
        <w:rPr>
          <w:rFonts w:ascii="Times New Roman" w:hAnsi="Times New Roman"/>
        </w:rPr>
        <w:t>Another experiment,</w:t>
      </w:r>
      <w:r w:rsidRPr="005F5CB9">
        <w:rPr>
          <w:rStyle w:val="FootnoteReference"/>
          <w:rFonts w:ascii="Times New Roman" w:hAnsi="Times New Roman"/>
        </w:rPr>
        <w:footnoteReference w:id="19"/>
      </w:r>
      <w:r w:rsidRPr="005F5CB9">
        <w:rPr>
          <w:rFonts w:ascii="Times New Roman" w:hAnsi="Times New Roman"/>
        </w:rPr>
        <w:t xml:space="preserve"> examining the impact of providing incentives to telephone survey non-respondents on sample composition and data quality in the New York Adult Tobacco Survey, found that offering an incentive to individuals who refused to participate in the survey led to increased proportion of respondents who were over age 55, did not have a college degree, and were not employed. Many of these subpopulations are represented in the SNAP universe.  </w:t>
      </w:r>
      <w:r>
        <w:rPr>
          <w:rFonts w:ascii="Times New Roman" w:hAnsi="Times New Roman"/>
          <w:szCs w:val="24"/>
        </w:rPr>
        <w:t>Studies also suggest that incentives may potentially reduce nonresponse bias by bringing in respondents to whom the research topic is not salient or not of interest. For example, Groves et al. (2000) found that while individuals more involved in their community were more likely to respond to a survey about issues facing the community, the provision of a $5 prepaid incentive increased response among those who were not involved.</w:t>
      </w:r>
      <w:r>
        <w:rPr>
          <w:rStyle w:val="FootnoteReference"/>
          <w:rFonts w:ascii="Times New Roman" w:hAnsi="Times New Roman"/>
          <w:szCs w:val="24"/>
        </w:rPr>
        <w:footnoteReference w:id="20"/>
      </w:r>
      <w:r>
        <w:rPr>
          <w:rFonts w:ascii="Times New Roman" w:hAnsi="Times New Roman"/>
          <w:szCs w:val="24"/>
        </w:rPr>
        <w:t xml:space="preserve"> The incentive was more effective among those for whom the topic was less salient: the incentive increased the response rate in the “low community involvement group” by 42 percentage points and in the “high community </w:t>
      </w:r>
      <w:r>
        <w:rPr>
          <w:rFonts w:ascii="Times New Roman" w:hAnsi="Times New Roman"/>
          <w:szCs w:val="24"/>
        </w:rPr>
        <w:lastRenderedPageBreak/>
        <w:t xml:space="preserve">involvement” group by 16 percentage points. This suggests that without the incentive, the sample would be biased toward individuals who were more interested in the topic and estimates of community involvement from the survey would be biased upward.  </w:t>
      </w:r>
    </w:p>
    <w:p w:rsidRPr="00835346" w:rsidR="00CF1132" w:rsidP="00CF1132" w:rsidRDefault="00CF1132" w14:paraId="3F8983A8" w14:textId="77777777">
      <w:pPr>
        <w:spacing w:line="480" w:lineRule="auto"/>
        <w:rPr>
          <w:rFonts w:ascii="Times New Roman" w:hAnsi="Times New Roman"/>
        </w:rPr>
      </w:pPr>
    </w:p>
    <w:p w:rsidRPr="008634B9" w:rsidR="00CF1132" w:rsidP="00CF1132" w:rsidRDefault="00CF1132" w14:paraId="198C8C44" w14:textId="14E602D9">
      <w:pPr>
        <w:spacing w:line="480" w:lineRule="auto"/>
        <w:rPr>
          <w:rFonts w:ascii="Times New Roman" w:hAnsi="Times New Roman"/>
        </w:rPr>
      </w:pPr>
      <w:r w:rsidRPr="0040094E">
        <w:rPr>
          <w:rFonts w:ascii="Times New Roman" w:hAnsi="Times New Roman"/>
        </w:rPr>
        <w:t xml:space="preserve">We propose to provide survey respondents </w:t>
      </w:r>
      <w:r w:rsidRPr="0040094E">
        <w:rPr>
          <w:rFonts w:ascii="Times New Roman" w:hAnsi="Times New Roman"/>
          <w:szCs w:val="24"/>
        </w:rPr>
        <w:t>a cash incentive of $</w:t>
      </w:r>
      <w:r w:rsidRPr="00571C19">
        <w:rPr>
          <w:rFonts w:ascii="Times New Roman" w:hAnsi="Times New Roman"/>
          <w:szCs w:val="24"/>
        </w:rPr>
        <w:t>20 upon completion of the survey</w:t>
      </w:r>
      <w:r w:rsidRPr="006C70F3">
        <w:rPr>
          <w:rFonts w:ascii="Times New Roman" w:hAnsi="Times New Roman"/>
          <w:szCs w:val="24"/>
        </w:rPr>
        <w:t xml:space="preserve">. </w:t>
      </w:r>
      <w:r w:rsidR="00A6568F">
        <w:rPr>
          <w:rFonts w:ascii="Times New Roman" w:hAnsi="Times New Roman"/>
          <w:szCs w:val="24"/>
        </w:rPr>
        <w:t xml:space="preserve">A monetary incentive serves as a token of our appreciation and can be used to offset any expenses such as cellular phone air time or internet connectivity charges. </w:t>
      </w:r>
      <w:r w:rsidRPr="006C70F3">
        <w:rPr>
          <w:rFonts w:ascii="Times New Roman" w:hAnsi="Times New Roman"/>
          <w:szCs w:val="24"/>
        </w:rPr>
        <w:t xml:space="preserve">In order to drive respondents to completing the survey via the most cost efficient mode, the web survey (thereby increasing the efficiency of data collection), we propose to provide an additional $20 if the respondents complete the survey within the first 4 weeks. </w:t>
      </w:r>
      <w:r w:rsidRPr="005F5CB9">
        <w:rPr>
          <w:rFonts w:ascii="Times New Roman" w:hAnsi="Times New Roman"/>
        </w:rPr>
        <w:t>We believe that the early and late</w:t>
      </w:r>
      <w:r w:rsidR="00A6568F">
        <w:rPr>
          <w:rFonts w:ascii="Times New Roman" w:hAnsi="Times New Roman"/>
        </w:rPr>
        <w:t>r</w:t>
      </w:r>
      <w:r w:rsidRPr="005F5CB9">
        <w:rPr>
          <w:rFonts w:ascii="Times New Roman" w:hAnsi="Times New Roman"/>
        </w:rPr>
        <w:t xml:space="preserve"> incentives of $40 and $20, respectively, strike a good balance between encouraging cooperation and the efficient use of project resources. Moreover, these amounts are in line with other </w:t>
      </w:r>
      <w:r w:rsidRPr="008634B9">
        <w:rPr>
          <w:rFonts w:ascii="Times New Roman" w:hAnsi="Times New Roman"/>
        </w:rPr>
        <w:t>recent FNS studies:</w:t>
      </w:r>
    </w:p>
    <w:p w:rsidRPr="005709F2" w:rsidR="00CF1132" w:rsidP="00CF1132" w:rsidRDefault="00CF1132" w14:paraId="3FEDC413" w14:textId="77777777">
      <w:pPr>
        <w:pStyle w:val="ListParagraph"/>
        <w:numPr>
          <w:ilvl w:val="0"/>
          <w:numId w:val="27"/>
        </w:numPr>
        <w:spacing w:after="200" w:line="480" w:lineRule="auto"/>
        <w:contextualSpacing w:val="0"/>
        <w:rPr>
          <w:rFonts w:ascii="Times New Roman" w:hAnsi="Times New Roman"/>
          <w:szCs w:val="24"/>
        </w:rPr>
      </w:pPr>
      <w:r>
        <w:rPr>
          <w:rFonts w:ascii="Times New Roman" w:hAnsi="Times New Roman"/>
          <w:szCs w:val="24"/>
        </w:rPr>
        <w:t xml:space="preserve">Most directly relevant, </w:t>
      </w:r>
      <w:r w:rsidRPr="008634B9">
        <w:rPr>
          <w:rFonts w:ascii="Times New Roman" w:hAnsi="Times New Roman"/>
          <w:szCs w:val="24"/>
        </w:rPr>
        <w:t>t</w:t>
      </w:r>
      <w:r w:rsidRPr="005F5CB9">
        <w:rPr>
          <w:rFonts w:ascii="Times New Roman" w:hAnsi="Times New Roman"/>
          <w:szCs w:val="24"/>
        </w:rPr>
        <w:t xml:space="preserve">he USDA-FNS SNAP E&amp;T Registrant and Participant Survey </w:t>
      </w:r>
      <w:r w:rsidRPr="00C75695">
        <w:rPr>
          <w:rFonts w:ascii="Times New Roman" w:hAnsi="Times New Roman"/>
          <w:szCs w:val="24"/>
        </w:rPr>
        <w:t>(OMB control number: 0584-0339, expiration date: 1/31/2021)</w:t>
      </w:r>
      <w:r w:rsidRPr="005F5CB9">
        <w:rPr>
          <w:rFonts w:ascii="Times New Roman" w:hAnsi="Times New Roman"/>
          <w:szCs w:val="24"/>
        </w:rPr>
        <w:t xml:space="preserve"> involves a survey of SNAP E&amp;T participants and work registrants with a 30</w:t>
      </w:r>
      <w:r>
        <w:rPr>
          <w:rFonts w:ascii="Times New Roman" w:hAnsi="Times New Roman"/>
          <w:szCs w:val="24"/>
        </w:rPr>
        <w:t>-</w:t>
      </w:r>
      <w:r w:rsidRPr="005F5CB9">
        <w:rPr>
          <w:rFonts w:ascii="Times New Roman" w:hAnsi="Times New Roman"/>
          <w:szCs w:val="24"/>
        </w:rPr>
        <w:t>minute burden.</w:t>
      </w:r>
      <w:r>
        <w:rPr>
          <w:rFonts w:ascii="Times New Roman" w:hAnsi="Times New Roman"/>
          <w:szCs w:val="24"/>
        </w:rPr>
        <w:t xml:space="preserve"> </w:t>
      </w:r>
      <w:r w:rsidRPr="005F5CB9">
        <w:rPr>
          <w:rFonts w:ascii="Times New Roman" w:hAnsi="Times New Roman"/>
          <w:szCs w:val="24"/>
        </w:rPr>
        <w:t xml:space="preserve">Respondents were offered a $40 early </w:t>
      </w:r>
      <w:r>
        <w:rPr>
          <w:rFonts w:ascii="Times New Roman" w:hAnsi="Times New Roman"/>
          <w:szCs w:val="24"/>
        </w:rPr>
        <w:t>response</w:t>
      </w:r>
      <w:r w:rsidRPr="005F5CB9">
        <w:rPr>
          <w:rFonts w:ascii="Times New Roman" w:hAnsi="Times New Roman"/>
          <w:szCs w:val="24"/>
        </w:rPr>
        <w:t xml:space="preserve"> incentive for completing the survey on the web and a $20 incentive for completing on the telephone. </w:t>
      </w:r>
    </w:p>
    <w:p w:rsidRPr="005709F2" w:rsidR="00CF1132" w:rsidP="00CF1132" w:rsidRDefault="00CF1132" w14:paraId="1F87EFA9" w14:textId="77777777">
      <w:pPr>
        <w:pStyle w:val="ListParagraph"/>
        <w:numPr>
          <w:ilvl w:val="0"/>
          <w:numId w:val="27"/>
        </w:numPr>
        <w:spacing w:after="200" w:line="480" w:lineRule="auto"/>
        <w:contextualSpacing w:val="0"/>
        <w:rPr>
          <w:rFonts w:ascii="Times New Roman" w:hAnsi="Times New Roman"/>
          <w:szCs w:val="24"/>
        </w:rPr>
      </w:pPr>
      <w:r>
        <w:rPr>
          <w:rFonts w:ascii="Times New Roman" w:hAnsi="Times New Roman"/>
          <w:szCs w:val="24"/>
        </w:rPr>
        <w:t xml:space="preserve">The USDA-FNS Evaluation of Food Insecurity Nutrition Incentives (FINI) </w:t>
      </w:r>
      <w:r w:rsidRPr="00C75695">
        <w:rPr>
          <w:rFonts w:ascii="Times New Roman" w:hAnsi="Times New Roman"/>
          <w:szCs w:val="24"/>
        </w:rPr>
        <w:t>(OMB control number: 0584-0616, expiration date: 11/30/2019)</w:t>
      </w:r>
      <w:r w:rsidRPr="00646A7E">
        <w:rPr>
          <w:rFonts w:ascii="Times New Roman" w:hAnsi="Times New Roman"/>
          <w:szCs w:val="24"/>
        </w:rPr>
        <w:t xml:space="preserve"> </w:t>
      </w:r>
      <w:r>
        <w:rPr>
          <w:rFonts w:ascii="Times New Roman" w:hAnsi="Times New Roman"/>
          <w:szCs w:val="24"/>
        </w:rPr>
        <w:t xml:space="preserve">included baseline and follow-up surveys with SNAP participants. The estimated burden was 20 minutes for each survey and the incentive was $20. </w:t>
      </w:r>
    </w:p>
    <w:p w:rsidRPr="005F5CB9" w:rsidR="00CF1132" w:rsidP="00CF1132" w:rsidRDefault="00CF1132" w14:paraId="3D01E94E" w14:textId="77777777">
      <w:pPr>
        <w:pStyle w:val="L1-FlLSp12"/>
        <w:numPr>
          <w:ilvl w:val="0"/>
          <w:numId w:val="27"/>
        </w:numPr>
        <w:spacing w:after="0" w:line="480" w:lineRule="auto"/>
        <w:rPr>
          <w:rFonts w:ascii="Times New Roman" w:hAnsi="Times New Roman"/>
          <w:szCs w:val="24"/>
        </w:rPr>
      </w:pPr>
      <w:r w:rsidRPr="005F5CB9">
        <w:rPr>
          <w:rFonts w:ascii="Times New Roman" w:hAnsi="Times New Roman"/>
          <w:szCs w:val="24"/>
        </w:rPr>
        <w:lastRenderedPageBreak/>
        <w:t xml:space="preserve">The USDA- FNS study Evaluation of SNAP Employment and Training Pilots (OMB control number: 0584-0604, expiration date: 1/31/2019) involves surveying participants in the treatment and control groups after 12 months of participation and again after 36 months of participation. The estimated burden for the completion of each survey is about 30 minutes. A $30 incentive </w:t>
      </w:r>
      <w:r>
        <w:rPr>
          <w:rFonts w:ascii="Times New Roman" w:hAnsi="Times New Roman"/>
          <w:szCs w:val="24"/>
        </w:rPr>
        <w:t>was</w:t>
      </w:r>
      <w:r w:rsidRPr="005F5CB9">
        <w:rPr>
          <w:rFonts w:ascii="Times New Roman" w:hAnsi="Times New Roman"/>
          <w:szCs w:val="24"/>
        </w:rPr>
        <w:t xml:space="preserve"> approved for the completion of the 12 month follow-up survey and a $40 incentive for the completion of the 36 month follow-up survey; there is no baseline survey. </w:t>
      </w:r>
    </w:p>
    <w:p w:rsidRPr="006C70F3" w:rsidR="00CF1132" w:rsidP="00CF1132" w:rsidRDefault="00CF1132" w14:paraId="0D60370C" w14:textId="77777777">
      <w:pPr>
        <w:pStyle w:val="BodyText"/>
        <w:spacing w:line="480" w:lineRule="auto"/>
      </w:pPr>
    </w:p>
    <w:p w:rsidRPr="00AF7102" w:rsidR="00CF1132" w:rsidP="00AF7102" w:rsidRDefault="00CF1132" w14:paraId="3F2C7571" w14:textId="77777777"/>
    <w:sectPr w:rsidRPr="00AF7102" w:rsidR="00CF1132" w:rsidSect="00D0294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575BC" w14:textId="77777777" w:rsidR="00CF1132" w:rsidRDefault="00CF1132">
      <w:r>
        <w:separator/>
      </w:r>
    </w:p>
  </w:endnote>
  <w:endnote w:type="continuationSeparator" w:id="0">
    <w:p w14:paraId="4DFAD90F" w14:textId="77777777" w:rsidR="00CF1132" w:rsidRDefault="00C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52E3F" w14:textId="77777777" w:rsidR="001E02EB" w:rsidRDefault="001E0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491418"/>
      <w:docPartObj>
        <w:docPartGallery w:val="Page Numbers (Bottom of Page)"/>
        <w:docPartUnique/>
      </w:docPartObj>
    </w:sdtPr>
    <w:sdtEndPr>
      <w:rPr>
        <w:noProof/>
      </w:rPr>
    </w:sdtEndPr>
    <w:sdtContent>
      <w:p w14:paraId="35F502F9" w14:textId="2ADBDD4B" w:rsidR="00FD5F84" w:rsidRDefault="00FD5F84">
        <w:pPr>
          <w:pStyle w:val="Footer"/>
          <w:jc w:val="center"/>
        </w:pPr>
        <w:r>
          <w:fldChar w:fldCharType="begin"/>
        </w:r>
        <w:r>
          <w:instrText xml:space="preserve"> PAGE   \* MERGEFORMAT </w:instrText>
        </w:r>
        <w:r>
          <w:fldChar w:fldCharType="separate"/>
        </w:r>
        <w:r w:rsidR="001E02EB">
          <w:rPr>
            <w:noProof/>
          </w:rPr>
          <w:t>1</w:t>
        </w:r>
        <w:r>
          <w:rPr>
            <w:noProof/>
          </w:rPr>
          <w:fldChar w:fldCharType="end"/>
        </w:r>
      </w:p>
    </w:sdtContent>
  </w:sdt>
  <w:p w14:paraId="00C3DAF0" w14:textId="77777777" w:rsidR="00D02942" w:rsidRPr="00D02942" w:rsidRDefault="00D02942" w:rsidP="00D02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7D906" w14:textId="77777777" w:rsidR="001E02EB" w:rsidRDefault="001E0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FADD6" w14:textId="77777777" w:rsidR="00CF1132" w:rsidRDefault="00CF1132">
      <w:r>
        <w:separator/>
      </w:r>
    </w:p>
  </w:footnote>
  <w:footnote w:type="continuationSeparator" w:id="0">
    <w:p w14:paraId="4C423AC5" w14:textId="77777777" w:rsidR="00CF1132" w:rsidRDefault="00CF1132">
      <w:r>
        <w:continuationSeparator/>
      </w:r>
    </w:p>
  </w:footnote>
  <w:footnote w:id="1">
    <w:p w14:paraId="294338FC" w14:textId="77777777" w:rsidR="00CF1132" w:rsidRPr="00C75695" w:rsidRDefault="00CF1132" w:rsidP="00CF1132"/>
  </w:footnote>
  <w:footnote w:id="2">
    <w:p w14:paraId="12EDE4FB" w14:textId="77777777" w:rsidR="00CF1132" w:rsidRPr="005F5CB9" w:rsidRDefault="00CF1132" w:rsidP="00CF1132">
      <w:pPr>
        <w:pStyle w:val="FootnoteText"/>
        <w:tabs>
          <w:tab w:val="clear" w:pos="120"/>
          <w:tab w:val="left" w:pos="0"/>
        </w:tabs>
        <w:spacing w:before="0"/>
        <w:ind w:left="0" w:firstLine="0"/>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 Mercer A, </w:t>
      </w:r>
      <w:proofErr w:type="spellStart"/>
      <w:r w:rsidRPr="005F5CB9">
        <w:rPr>
          <w:rFonts w:ascii="Times New Roman" w:hAnsi="Times New Roman"/>
        </w:rPr>
        <w:t>Caporaso</w:t>
      </w:r>
      <w:proofErr w:type="spellEnd"/>
      <w:r w:rsidRPr="005F5CB9">
        <w:rPr>
          <w:rFonts w:ascii="Times New Roman" w:hAnsi="Times New Roman"/>
        </w:rPr>
        <w:t xml:space="preserve"> A, Cantor D, Townsend R (2015).  How much gets you how much? Monetary incentives and response rates in household surveys.  </w:t>
      </w:r>
      <w:r w:rsidRPr="005F5CB9">
        <w:rPr>
          <w:rFonts w:ascii="Times New Roman" w:hAnsi="Times New Roman"/>
          <w:i/>
        </w:rPr>
        <w:t>Public Opinion Quarterly</w:t>
      </w:r>
      <w:r w:rsidRPr="005F5CB9">
        <w:rPr>
          <w:rFonts w:ascii="Times New Roman" w:hAnsi="Times New Roman"/>
        </w:rPr>
        <w:t>, 79:105-129.</w:t>
      </w:r>
    </w:p>
  </w:footnote>
  <w:footnote w:id="3">
    <w:p w14:paraId="4B7624F5" w14:textId="77777777" w:rsidR="00CF1132" w:rsidRPr="005F5CB9" w:rsidRDefault="00CF1132" w:rsidP="00CF1132">
      <w:pPr>
        <w:pStyle w:val="FootnoteText"/>
        <w:tabs>
          <w:tab w:val="clear" w:pos="120"/>
          <w:tab w:val="left" w:pos="0"/>
          <w:tab w:val="left" w:pos="270"/>
        </w:tabs>
        <w:spacing w:before="0"/>
        <w:ind w:left="0" w:firstLine="0"/>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Cantor, David, Kevin Wang, and Natalie Abi-Habib. (2003). “Comparing Promised and Pre-Paid Incentives for an Extended Interview on a Random Digit Dial Survey.” </w:t>
      </w:r>
      <w:r w:rsidRPr="005F5CB9">
        <w:rPr>
          <w:rFonts w:ascii="Times New Roman" w:hAnsi="Times New Roman"/>
          <w:i/>
        </w:rPr>
        <w:t>Proceedings of the American Statistical Association, Survey Research Section.</w:t>
      </w:r>
    </w:p>
  </w:footnote>
  <w:footnote w:id="4">
    <w:p w14:paraId="0E74B88D" w14:textId="77777777" w:rsidR="00CF1132" w:rsidRPr="000A0455" w:rsidRDefault="00CF1132" w:rsidP="00CF1132">
      <w:pPr>
        <w:pStyle w:val="FootnoteText"/>
        <w:spacing w:before="0"/>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 </w:t>
      </w:r>
      <w:r w:rsidRPr="005F5CB9">
        <w:rPr>
          <w:rFonts w:ascii="Times New Roman" w:hAnsi="Times New Roman"/>
          <w:color w:val="333333"/>
          <w:shd w:val="clear" w:color="auto" w:fill="FFFFFF"/>
        </w:rPr>
        <w:t>Mercer, et al., (2015).</w:t>
      </w:r>
    </w:p>
  </w:footnote>
  <w:footnote w:id="5">
    <w:p w14:paraId="2ED8C221" w14:textId="77777777" w:rsidR="00CF1132" w:rsidRPr="00901AA4" w:rsidRDefault="00CF1132" w:rsidP="00CF1132">
      <w:pPr>
        <w:pStyle w:val="FootnoteText"/>
        <w:spacing w:before="0"/>
        <w:rPr>
          <w:rFonts w:ascii="Times New Roman" w:hAnsi="Times New Roman"/>
        </w:rPr>
      </w:pPr>
      <w:r w:rsidRPr="00901AA4">
        <w:rPr>
          <w:rStyle w:val="FootnoteReference"/>
          <w:rFonts w:ascii="Times New Roman" w:hAnsi="Times New Roman"/>
        </w:rPr>
        <w:footnoteRef/>
      </w:r>
      <w:r w:rsidRPr="00901AA4">
        <w:rPr>
          <w:rFonts w:ascii="Times New Roman" w:hAnsi="Times New Roman"/>
        </w:rPr>
        <w:t xml:space="preserve"> Mercer, et al., (2015).</w:t>
      </w:r>
    </w:p>
  </w:footnote>
  <w:footnote w:id="6">
    <w:p w14:paraId="4C9C3BB6" w14:textId="77777777" w:rsidR="00CF1132" w:rsidRDefault="00CF1132" w:rsidP="00CF1132">
      <w:pPr>
        <w:pStyle w:val="FootnoteText"/>
        <w:tabs>
          <w:tab w:val="clear" w:pos="120"/>
          <w:tab w:val="left" w:pos="0"/>
        </w:tabs>
        <w:spacing w:before="0"/>
        <w:ind w:left="0" w:firstLine="0"/>
      </w:pPr>
      <w:r w:rsidRPr="005F5CB9">
        <w:rPr>
          <w:rStyle w:val="FootnoteReference"/>
          <w:rFonts w:ascii="Times New Roman" w:hAnsi="Times New Roman"/>
        </w:rPr>
        <w:footnoteRef/>
      </w:r>
      <w:r w:rsidRPr="005F5CB9">
        <w:rPr>
          <w:rFonts w:ascii="Times New Roman" w:hAnsi="Times New Roman"/>
        </w:rPr>
        <w:t xml:space="preserve"> </w:t>
      </w:r>
      <w:r w:rsidRPr="00901AA4">
        <w:rPr>
          <w:rFonts w:ascii="Times New Roman" w:hAnsi="Times New Roman"/>
        </w:rPr>
        <w:t xml:space="preserve">Cantor, D., O’Hare, B., &amp; O’Connor, K. (2008). The use of monetary incentives to reduce non-response in random digit dial telephone surveys. In Advances in Telephone Survey Methodology, eds. James M. </w:t>
      </w:r>
      <w:proofErr w:type="spellStart"/>
      <w:r w:rsidRPr="00901AA4">
        <w:rPr>
          <w:rFonts w:ascii="Times New Roman" w:hAnsi="Times New Roman"/>
        </w:rPr>
        <w:t>Lepkowski</w:t>
      </w:r>
      <w:proofErr w:type="spellEnd"/>
      <w:r w:rsidRPr="00901AA4">
        <w:rPr>
          <w:rFonts w:ascii="Times New Roman" w:hAnsi="Times New Roman"/>
        </w:rPr>
        <w:t xml:space="preserve">, Clyde Tucker, J. Michael Brick, Edith de </w:t>
      </w:r>
      <w:proofErr w:type="spellStart"/>
      <w:r w:rsidRPr="00901AA4">
        <w:rPr>
          <w:rFonts w:ascii="Times New Roman" w:hAnsi="Times New Roman"/>
        </w:rPr>
        <w:t>Leeuw</w:t>
      </w:r>
      <w:proofErr w:type="spellEnd"/>
      <w:r w:rsidRPr="00901AA4">
        <w:rPr>
          <w:rFonts w:ascii="Times New Roman" w:hAnsi="Times New Roman"/>
        </w:rPr>
        <w:t xml:space="preserve">, Lilli </w:t>
      </w:r>
      <w:proofErr w:type="spellStart"/>
      <w:r w:rsidRPr="00901AA4">
        <w:rPr>
          <w:rFonts w:ascii="Times New Roman" w:hAnsi="Times New Roman"/>
        </w:rPr>
        <w:t>Japec</w:t>
      </w:r>
      <w:proofErr w:type="spellEnd"/>
      <w:r w:rsidRPr="00901AA4">
        <w:rPr>
          <w:rFonts w:ascii="Times New Roman" w:hAnsi="Times New Roman"/>
        </w:rPr>
        <w:t xml:space="preserve">, Paul J. </w:t>
      </w:r>
      <w:proofErr w:type="spellStart"/>
      <w:r w:rsidRPr="00901AA4">
        <w:rPr>
          <w:rFonts w:ascii="Times New Roman" w:hAnsi="Times New Roman"/>
        </w:rPr>
        <w:t>Lavrakas</w:t>
      </w:r>
      <w:proofErr w:type="spellEnd"/>
      <w:r w:rsidRPr="00901AA4">
        <w:rPr>
          <w:rFonts w:ascii="Times New Roman" w:hAnsi="Times New Roman"/>
        </w:rPr>
        <w:t>, Michael W. Link, and Roberta L. Sangster, 471-98. New York: Wiley</w:t>
      </w:r>
    </w:p>
  </w:footnote>
  <w:footnote w:id="7">
    <w:p w14:paraId="20AB9926" w14:textId="77777777" w:rsidR="00CF1132" w:rsidRPr="00901AA4" w:rsidRDefault="00CF1132" w:rsidP="00CF1132">
      <w:pPr>
        <w:rPr>
          <w:rFonts w:ascii="Times New Roman" w:hAnsi="Times New Roman"/>
          <w:sz w:val="20"/>
          <w:shd w:val="clear" w:color="auto" w:fill="FFFFFF"/>
        </w:rPr>
      </w:pPr>
      <w:r w:rsidRPr="00901AA4">
        <w:rPr>
          <w:rStyle w:val="FootnoteReference"/>
          <w:rFonts w:ascii="Times New Roman" w:hAnsi="Times New Roman"/>
          <w:sz w:val="20"/>
        </w:rPr>
        <w:footnoteRef/>
      </w:r>
      <w:r w:rsidRPr="00901AA4">
        <w:rPr>
          <w:rFonts w:ascii="Times New Roman" w:hAnsi="Times New Roman"/>
          <w:sz w:val="20"/>
        </w:rPr>
        <w:t xml:space="preserve"> </w:t>
      </w:r>
      <w:proofErr w:type="spellStart"/>
      <w:r w:rsidRPr="00901AA4">
        <w:rPr>
          <w:rFonts w:ascii="Times New Roman" w:hAnsi="Times New Roman"/>
          <w:sz w:val="20"/>
          <w:shd w:val="clear" w:color="auto" w:fill="FFFFFF"/>
        </w:rPr>
        <w:t>LeClere</w:t>
      </w:r>
      <w:proofErr w:type="spellEnd"/>
      <w:r w:rsidRPr="00901AA4">
        <w:rPr>
          <w:rFonts w:ascii="Times New Roman" w:hAnsi="Times New Roman"/>
          <w:sz w:val="20"/>
          <w:shd w:val="clear" w:color="auto" w:fill="FFFFFF"/>
        </w:rPr>
        <w:t xml:space="preserve">, F., </w:t>
      </w:r>
      <w:proofErr w:type="spellStart"/>
      <w:r w:rsidRPr="00901AA4">
        <w:rPr>
          <w:rFonts w:ascii="Times New Roman" w:hAnsi="Times New Roman"/>
          <w:sz w:val="20"/>
          <w:shd w:val="clear" w:color="auto" w:fill="FFFFFF"/>
        </w:rPr>
        <w:t>Plumme</w:t>
      </w:r>
      <w:proofErr w:type="spellEnd"/>
      <w:r w:rsidRPr="00901AA4">
        <w:rPr>
          <w:rFonts w:ascii="Times New Roman" w:hAnsi="Times New Roman"/>
          <w:sz w:val="20"/>
          <w:shd w:val="clear" w:color="auto" w:fill="FFFFFF"/>
        </w:rPr>
        <w:t xml:space="preserve">, S., </w:t>
      </w:r>
      <w:proofErr w:type="spellStart"/>
      <w:r w:rsidRPr="00901AA4">
        <w:rPr>
          <w:rFonts w:ascii="Times New Roman" w:hAnsi="Times New Roman"/>
          <w:sz w:val="20"/>
          <w:shd w:val="clear" w:color="auto" w:fill="FFFFFF"/>
        </w:rPr>
        <w:t>Vanicek</w:t>
      </w:r>
      <w:proofErr w:type="spellEnd"/>
      <w:r w:rsidRPr="00901AA4">
        <w:rPr>
          <w:rFonts w:ascii="Times New Roman" w:hAnsi="Times New Roman"/>
          <w:sz w:val="20"/>
          <w:shd w:val="clear" w:color="auto" w:fill="FFFFFF"/>
        </w:rPr>
        <w:t xml:space="preserve">, J., Amaya, A., &amp; </w:t>
      </w:r>
      <w:proofErr w:type="spellStart"/>
      <w:r w:rsidRPr="00901AA4">
        <w:rPr>
          <w:rFonts w:ascii="Times New Roman" w:hAnsi="Times New Roman"/>
          <w:sz w:val="20"/>
          <w:shd w:val="clear" w:color="auto" w:fill="FFFFFF"/>
        </w:rPr>
        <w:t>Carris</w:t>
      </w:r>
      <w:proofErr w:type="spellEnd"/>
      <w:r w:rsidRPr="00901AA4">
        <w:rPr>
          <w:rFonts w:ascii="Times New Roman" w:hAnsi="Times New Roman"/>
          <w:sz w:val="20"/>
          <w:shd w:val="clear" w:color="auto" w:fill="FFFFFF"/>
        </w:rPr>
        <w:t>, K. (2012). Household early bird incentives: leveraging family influence to improve household response rates. In</w:t>
      </w:r>
      <w:r w:rsidRPr="00901AA4">
        <w:rPr>
          <w:rStyle w:val="apple-converted-space"/>
          <w:rFonts w:ascii="Times New Roman" w:hAnsi="Times New Roman"/>
          <w:sz w:val="20"/>
          <w:shd w:val="clear" w:color="auto" w:fill="FFFFFF"/>
        </w:rPr>
        <w:t> </w:t>
      </w:r>
      <w:r w:rsidRPr="00901AA4">
        <w:rPr>
          <w:rFonts w:ascii="Times New Roman" w:hAnsi="Times New Roman"/>
          <w:i/>
          <w:iCs/>
          <w:sz w:val="20"/>
          <w:shd w:val="clear" w:color="auto" w:fill="FFFFFF"/>
        </w:rPr>
        <w:t>American Statistical Association Joint Statistical Meetings, Section on Survey Research</w:t>
      </w:r>
      <w:r w:rsidRPr="00901AA4">
        <w:rPr>
          <w:rFonts w:ascii="Times New Roman" w:hAnsi="Times New Roman"/>
          <w:sz w:val="20"/>
          <w:shd w:val="clear" w:color="auto" w:fill="FFFFFF"/>
        </w:rPr>
        <w:t>.</w:t>
      </w:r>
    </w:p>
  </w:footnote>
  <w:footnote w:id="8">
    <w:p w14:paraId="721F0D16" w14:textId="77777777" w:rsidR="00CF1132" w:rsidRPr="005F5CB9" w:rsidRDefault="00CF1132" w:rsidP="00CF1132">
      <w:pPr>
        <w:rPr>
          <w:rFonts w:ascii="Times New Roman" w:hAnsi="Times New Roman"/>
          <w:color w:val="222222"/>
          <w:sz w:val="20"/>
          <w:shd w:val="clear" w:color="auto" w:fill="FFFFFF"/>
        </w:rPr>
      </w:pPr>
      <w:r w:rsidRPr="005F5CB9">
        <w:rPr>
          <w:rStyle w:val="FootnoteReference"/>
          <w:rFonts w:ascii="Times New Roman" w:hAnsi="Times New Roman"/>
          <w:sz w:val="20"/>
        </w:rPr>
        <w:footnoteRef/>
      </w:r>
      <w:r w:rsidRPr="005F5CB9">
        <w:rPr>
          <w:rFonts w:ascii="Times New Roman" w:hAnsi="Times New Roman"/>
          <w:sz w:val="20"/>
        </w:rPr>
        <w:t xml:space="preserve"> </w:t>
      </w:r>
      <w:proofErr w:type="spellStart"/>
      <w:r w:rsidRPr="005F5CB9">
        <w:rPr>
          <w:rFonts w:ascii="Times New Roman" w:hAnsi="Times New Roman"/>
          <w:color w:val="222222"/>
          <w:sz w:val="20"/>
          <w:shd w:val="clear" w:color="auto" w:fill="FFFFFF"/>
        </w:rPr>
        <w:t>Coopersmith</w:t>
      </w:r>
      <w:proofErr w:type="spellEnd"/>
      <w:r w:rsidRPr="005F5CB9">
        <w:rPr>
          <w:rFonts w:ascii="Times New Roman" w:hAnsi="Times New Roman"/>
          <w:color w:val="222222"/>
          <w:sz w:val="20"/>
          <w:shd w:val="clear" w:color="auto" w:fill="FFFFFF"/>
        </w:rPr>
        <w:t xml:space="preserve">, J., Vogel, L. K., </w:t>
      </w:r>
      <w:proofErr w:type="spellStart"/>
      <w:r w:rsidRPr="005F5CB9">
        <w:rPr>
          <w:rFonts w:ascii="Times New Roman" w:hAnsi="Times New Roman"/>
          <w:color w:val="222222"/>
          <w:sz w:val="20"/>
          <w:shd w:val="clear" w:color="auto" w:fill="FFFFFF"/>
        </w:rPr>
        <w:t>Bruursema</w:t>
      </w:r>
      <w:proofErr w:type="spellEnd"/>
      <w:r w:rsidRPr="005F5CB9">
        <w:rPr>
          <w:rFonts w:ascii="Times New Roman" w:hAnsi="Times New Roman"/>
          <w:color w:val="222222"/>
          <w:sz w:val="20"/>
          <w:shd w:val="clear" w:color="auto" w:fill="FFFFFF"/>
        </w:rPr>
        <w:t>, T., &amp; Feeney, K. (2016). Effects of Incentive Amount and Type of Web Survey Response Rates.</w:t>
      </w:r>
      <w:r w:rsidRPr="005F5CB9">
        <w:rPr>
          <w:rStyle w:val="apple-converted-space"/>
          <w:rFonts w:ascii="Times New Roman" w:hAnsi="Times New Roman"/>
          <w:color w:val="222222"/>
          <w:sz w:val="20"/>
          <w:shd w:val="clear" w:color="auto" w:fill="FFFFFF"/>
        </w:rPr>
        <w:t> </w:t>
      </w:r>
      <w:r w:rsidRPr="005F5CB9">
        <w:rPr>
          <w:rFonts w:ascii="Times New Roman" w:hAnsi="Times New Roman"/>
          <w:i/>
          <w:iCs/>
          <w:color w:val="222222"/>
          <w:sz w:val="20"/>
          <w:shd w:val="clear" w:color="auto" w:fill="FFFFFF"/>
        </w:rPr>
        <w:t>Survey Practice</w:t>
      </w:r>
      <w:r w:rsidRPr="005F5CB9">
        <w:rPr>
          <w:rFonts w:ascii="Times New Roman" w:hAnsi="Times New Roman"/>
          <w:color w:val="222222"/>
          <w:sz w:val="20"/>
          <w:shd w:val="clear" w:color="auto" w:fill="FFFFFF"/>
        </w:rPr>
        <w:t>,</w:t>
      </w:r>
      <w:r w:rsidRPr="005F5CB9">
        <w:rPr>
          <w:rStyle w:val="apple-converted-space"/>
          <w:rFonts w:ascii="Times New Roman" w:hAnsi="Times New Roman"/>
          <w:color w:val="222222"/>
          <w:sz w:val="20"/>
          <w:shd w:val="clear" w:color="auto" w:fill="FFFFFF"/>
        </w:rPr>
        <w:t> </w:t>
      </w:r>
      <w:r w:rsidRPr="005F5CB9">
        <w:rPr>
          <w:rFonts w:ascii="Times New Roman" w:hAnsi="Times New Roman"/>
          <w:i/>
          <w:iCs/>
          <w:color w:val="222222"/>
          <w:sz w:val="20"/>
          <w:shd w:val="clear" w:color="auto" w:fill="FFFFFF"/>
        </w:rPr>
        <w:t>9</w:t>
      </w:r>
      <w:r w:rsidRPr="005F5CB9">
        <w:rPr>
          <w:rFonts w:ascii="Times New Roman" w:hAnsi="Times New Roman"/>
          <w:color w:val="222222"/>
          <w:sz w:val="20"/>
          <w:shd w:val="clear" w:color="auto" w:fill="FFFFFF"/>
        </w:rPr>
        <w:t>(1).</w:t>
      </w:r>
    </w:p>
  </w:footnote>
  <w:footnote w:id="9">
    <w:p w14:paraId="2C45ED5E" w14:textId="77777777" w:rsidR="00CF1132" w:rsidRPr="00D84DF7" w:rsidRDefault="00CF1132" w:rsidP="00CF1132">
      <w:pPr>
        <w:pStyle w:val="FootnoteText"/>
        <w:ind w:left="0" w:firstLine="0"/>
        <w:rPr>
          <w:rFonts w:ascii="Times New Roman" w:hAnsi="Times New Roman"/>
        </w:rPr>
      </w:pPr>
      <w:r w:rsidRPr="00901AA4">
        <w:rPr>
          <w:rStyle w:val="FootnoteReference"/>
          <w:rFonts w:ascii="Times New Roman" w:hAnsi="Times New Roman"/>
        </w:rPr>
        <w:footnoteRef/>
      </w:r>
      <w:r w:rsidRPr="00901AA4">
        <w:rPr>
          <w:rFonts w:ascii="Times New Roman" w:hAnsi="Times New Roman"/>
        </w:rPr>
        <w:t xml:space="preserve">Singer, E., van </w:t>
      </w:r>
      <w:proofErr w:type="spellStart"/>
      <w:r w:rsidRPr="00901AA4">
        <w:rPr>
          <w:rFonts w:ascii="Times New Roman" w:hAnsi="Times New Roman"/>
        </w:rPr>
        <w:t>Hoewyk</w:t>
      </w:r>
      <w:proofErr w:type="spellEnd"/>
      <w:r w:rsidRPr="00901AA4">
        <w:rPr>
          <w:rFonts w:ascii="Times New Roman" w:hAnsi="Times New Roman"/>
        </w:rPr>
        <w:t xml:space="preserve">, J., and Maher, M. P. (2000). Experiments with incentives in telephone surveys. </w:t>
      </w:r>
      <w:r w:rsidRPr="00C75695">
        <w:rPr>
          <w:rFonts w:ascii="Times New Roman" w:hAnsi="Times New Roman"/>
          <w:i/>
        </w:rPr>
        <w:t>Public Opinion Quarterly</w:t>
      </w:r>
      <w:r w:rsidRPr="00901AA4">
        <w:rPr>
          <w:rFonts w:ascii="Times New Roman" w:hAnsi="Times New Roman"/>
        </w:rPr>
        <w:t xml:space="preserve">, 64, 171–188; and Singer, E., Groves, R. M., and Corning, A. D. (1999). Differential incentives: Beliefs about practices, perceptions of equity, and effects on survey participation. </w:t>
      </w:r>
      <w:r w:rsidRPr="00C75695">
        <w:rPr>
          <w:rFonts w:ascii="Times New Roman" w:hAnsi="Times New Roman"/>
          <w:i/>
        </w:rPr>
        <w:t>Public Opinion Quarterly</w:t>
      </w:r>
      <w:r w:rsidRPr="00901AA4">
        <w:rPr>
          <w:rFonts w:ascii="Times New Roman" w:hAnsi="Times New Roman"/>
        </w:rPr>
        <w:t>, 63, 251–260.</w:t>
      </w:r>
    </w:p>
  </w:footnote>
  <w:footnote w:id="10">
    <w:p w14:paraId="11B00A0A" w14:textId="77777777" w:rsidR="00CF1132" w:rsidRDefault="00CF1132" w:rsidP="00CF1132">
      <w:pPr>
        <w:pStyle w:val="FootnoteText"/>
        <w:spacing w:before="0"/>
      </w:pPr>
      <w:r w:rsidRPr="00C613BA">
        <w:rPr>
          <w:rStyle w:val="FootnoteReference"/>
          <w:rFonts w:ascii="Times New Roman" w:hAnsi="Times New Roman"/>
        </w:rPr>
        <w:footnoteRef/>
      </w:r>
      <w:r>
        <w:t xml:space="preserve"> </w:t>
      </w:r>
      <w:r w:rsidRPr="00D84DF7">
        <w:rPr>
          <w:rFonts w:ascii="Times New Roman" w:hAnsi="Times New Roman"/>
        </w:rPr>
        <w:t xml:space="preserve">Cantor, </w:t>
      </w:r>
      <w:r>
        <w:rPr>
          <w:rFonts w:ascii="Times New Roman" w:hAnsi="Times New Roman"/>
        </w:rPr>
        <w:t xml:space="preserve">et al., </w:t>
      </w:r>
      <w:r w:rsidRPr="00D84DF7">
        <w:rPr>
          <w:rFonts w:ascii="Times New Roman" w:hAnsi="Times New Roman"/>
        </w:rPr>
        <w:t xml:space="preserve">(2008). </w:t>
      </w:r>
    </w:p>
  </w:footnote>
  <w:footnote w:id="11">
    <w:p w14:paraId="297DE1C6" w14:textId="77777777" w:rsidR="00CF1132" w:rsidRPr="00D84DF7" w:rsidRDefault="00CF1132" w:rsidP="00CF1132">
      <w:pPr>
        <w:pStyle w:val="FootnoteText"/>
        <w:spacing w:before="0"/>
        <w:rPr>
          <w:rFonts w:ascii="Times New Roman" w:hAnsi="Times New Roman"/>
        </w:rPr>
      </w:pPr>
      <w:r w:rsidRPr="00D84DF7">
        <w:rPr>
          <w:rStyle w:val="FootnoteReference"/>
          <w:rFonts w:ascii="Times New Roman" w:hAnsi="Times New Roman"/>
        </w:rPr>
        <w:footnoteRef/>
      </w:r>
      <w:r w:rsidRPr="00D84DF7">
        <w:rPr>
          <w:rFonts w:ascii="Times New Roman" w:hAnsi="Times New Roman"/>
        </w:rPr>
        <w:t xml:space="preserve"> Cantor, </w:t>
      </w:r>
      <w:r>
        <w:rPr>
          <w:rFonts w:ascii="Times New Roman" w:hAnsi="Times New Roman"/>
        </w:rPr>
        <w:t xml:space="preserve">et al., </w:t>
      </w:r>
      <w:r w:rsidRPr="00D84DF7">
        <w:rPr>
          <w:rFonts w:ascii="Times New Roman" w:hAnsi="Times New Roman"/>
        </w:rPr>
        <w:t xml:space="preserve">(2008). </w:t>
      </w:r>
    </w:p>
  </w:footnote>
  <w:footnote w:id="12">
    <w:p w14:paraId="5D4B2EFC" w14:textId="77777777" w:rsidR="00CF1132" w:rsidRPr="00901AA4" w:rsidRDefault="00CF1132" w:rsidP="00CF1132">
      <w:pPr>
        <w:pStyle w:val="SL-FlLftSgl"/>
        <w:rPr>
          <w:rFonts w:ascii="Times New Roman" w:hAnsi="Times New Roman"/>
          <w:sz w:val="20"/>
        </w:rPr>
      </w:pPr>
      <w:r w:rsidRPr="00901AA4">
        <w:rPr>
          <w:rStyle w:val="FootnoteReference"/>
          <w:rFonts w:ascii="Times New Roman" w:hAnsi="Times New Roman"/>
          <w:sz w:val="20"/>
        </w:rPr>
        <w:footnoteRef/>
      </w:r>
      <w:r w:rsidRPr="00901AA4">
        <w:rPr>
          <w:rFonts w:ascii="Times New Roman" w:hAnsi="Times New Roman"/>
          <w:sz w:val="20"/>
        </w:rPr>
        <w:t xml:space="preserve"> Gearing, Maeve. 2017. Assessment of the Barriers that Constrain the Adequacy of Supplemental Nutrition Assistance Program (SNAP) Allotments: Results of Incentive Experiment. Memo submitted to FNS.</w:t>
      </w:r>
    </w:p>
  </w:footnote>
  <w:footnote w:id="13">
    <w:p w14:paraId="28567362" w14:textId="77777777" w:rsidR="00CF1132" w:rsidRPr="005F5CB9" w:rsidRDefault="00CF1132" w:rsidP="00CF1132">
      <w:pPr>
        <w:pStyle w:val="FootnoteText"/>
        <w:tabs>
          <w:tab w:val="clear" w:pos="120"/>
          <w:tab w:val="left" w:pos="0"/>
        </w:tabs>
        <w:spacing w:before="0"/>
        <w:ind w:left="0" w:firstLine="0"/>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 Messer, B. and </w:t>
      </w:r>
      <w:proofErr w:type="spellStart"/>
      <w:r w:rsidRPr="005F5CB9">
        <w:rPr>
          <w:rFonts w:ascii="Times New Roman" w:hAnsi="Times New Roman"/>
        </w:rPr>
        <w:t>Dillman</w:t>
      </w:r>
      <w:proofErr w:type="spellEnd"/>
      <w:r w:rsidRPr="005F5CB9">
        <w:rPr>
          <w:rFonts w:ascii="Times New Roman" w:hAnsi="Times New Roman"/>
        </w:rPr>
        <w:t>, D. (2011). Surveying the general public over the internet using address-based sampling and mail contact procedures.</w:t>
      </w:r>
      <w:r>
        <w:rPr>
          <w:rFonts w:ascii="Times New Roman" w:hAnsi="Times New Roman"/>
        </w:rPr>
        <w:t xml:space="preserve"> </w:t>
      </w:r>
      <w:r w:rsidRPr="005F5CB9">
        <w:rPr>
          <w:rFonts w:ascii="Times New Roman" w:hAnsi="Times New Roman"/>
          <w:i/>
        </w:rPr>
        <w:t xml:space="preserve">Public </w:t>
      </w:r>
      <w:r>
        <w:rPr>
          <w:rFonts w:ascii="Times New Roman" w:hAnsi="Times New Roman"/>
          <w:i/>
        </w:rPr>
        <w:t>O</w:t>
      </w:r>
      <w:r w:rsidRPr="005F5CB9">
        <w:rPr>
          <w:rFonts w:ascii="Times New Roman" w:hAnsi="Times New Roman"/>
          <w:i/>
        </w:rPr>
        <w:t>pinion Quarterly</w:t>
      </w:r>
      <w:r w:rsidRPr="005F5CB9">
        <w:rPr>
          <w:rFonts w:ascii="Times New Roman" w:hAnsi="Times New Roman"/>
        </w:rPr>
        <w:t xml:space="preserve">: 64: 171-188. </w:t>
      </w:r>
    </w:p>
  </w:footnote>
  <w:footnote w:id="14">
    <w:p w14:paraId="1795376B" w14:textId="77777777" w:rsidR="00CF1132" w:rsidRDefault="00CF1132" w:rsidP="00CF1132">
      <w:pPr>
        <w:pStyle w:val="FootnoteText"/>
        <w:tabs>
          <w:tab w:val="clear" w:pos="120"/>
          <w:tab w:val="left" w:pos="0"/>
        </w:tabs>
        <w:spacing w:before="0"/>
        <w:ind w:left="0" w:firstLine="0"/>
      </w:pPr>
      <w:r w:rsidRPr="005F5CB9">
        <w:rPr>
          <w:rStyle w:val="FootnoteReference"/>
          <w:rFonts w:ascii="Times New Roman" w:hAnsi="Times New Roman"/>
        </w:rPr>
        <w:footnoteRef/>
      </w:r>
      <w:r w:rsidRPr="005F5CB9">
        <w:rPr>
          <w:rFonts w:ascii="Times New Roman" w:hAnsi="Times New Roman"/>
        </w:rPr>
        <w:t xml:space="preserve"> </w:t>
      </w:r>
      <w:proofErr w:type="spellStart"/>
      <w:r w:rsidRPr="005F5CB9">
        <w:rPr>
          <w:rFonts w:ascii="Times New Roman" w:hAnsi="Times New Roman"/>
        </w:rPr>
        <w:t>Karakus</w:t>
      </w:r>
      <w:proofErr w:type="spellEnd"/>
      <w:r w:rsidRPr="005F5CB9">
        <w:rPr>
          <w:rFonts w:ascii="Times New Roman" w:hAnsi="Times New Roman"/>
        </w:rPr>
        <w:t xml:space="preserve">, Mustafa, </w:t>
      </w:r>
      <w:proofErr w:type="spellStart"/>
      <w:r w:rsidRPr="005F5CB9">
        <w:rPr>
          <w:rFonts w:ascii="Times New Roman" w:hAnsi="Times New Roman"/>
        </w:rPr>
        <w:t>MacAllum</w:t>
      </w:r>
      <w:proofErr w:type="spellEnd"/>
      <w:r w:rsidRPr="005F5CB9">
        <w:rPr>
          <w:rFonts w:ascii="Times New Roman" w:hAnsi="Times New Roman"/>
        </w:rPr>
        <w:t xml:space="preserve">, Keith, </w:t>
      </w:r>
      <w:proofErr w:type="spellStart"/>
      <w:r w:rsidRPr="005F5CB9">
        <w:rPr>
          <w:rFonts w:ascii="Times New Roman" w:hAnsi="Times New Roman"/>
        </w:rPr>
        <w:t>Milfort</w:t>
      </w:r>
      <w:proofErr w:type="spellEnd"/>
      <w:r w:rsidRPr="005F5CB9">
        <w:rPr>
          <w:rFonts w:ascii="Times New Roman" w:hAnsi="Times New Roman"/>
        </w:rPr>
        <w:t xml:space="preserve">, </w:t>
      </w:r>
      <w:proofErr w:type="spellStart"/>
      <w:r w:rsidRPr="005F5CB9">
        <w:rPr>
          <w:rFonts w:ascii="Times New Roman" w:hAnsi="Times New Roman"/>
        </w:rPr>
        <w:t>Roline</w:t>
      </w:r>
      <w:proofErr w:type="spellEnd"/>
      <w:r w:rsidRPr="005F5CB9">
        <w:rPr>
          <w:rFonts w:ascii="Times New Roman" w:hAnsi="Times New Roman"/>
        </w:rPr>
        <w:t xml:space="preserve"> and </w:t>
      </w:r>
      <w:proofErr w:type="spellStart"/>
      <w:r w:rsidRPr="005F5CB9">
        <w:rPr>
          <w:rFonts w:ascii="Times New Roman" w:hAnsi="Times New Roman"/>
        </w:rPr>
        <w:t>Hao</w:t>
      </w:r>
      <w:proofErr w:type="spellEnd"/>
      <w:r w:rsidRPr="005F5CB9">
        <w:rPr>
          <w:rFonts w:ascii="Times New Roman" w:hAnsi="Times New Roman"/>
        </w:rPr>
        <w:t xml:space="preserve">, </w:t>
      </w:r>
      <w:proofErr w:type="spellStart"/>
      <w:r w:rsidRPr="005F5CB9">
        <w:rPr>
          <w:rFonts w:ascii="Times New Roman" w:hAnsi="Times New Roman"/>
        </w:rPr>
        <w:t>Hongsheng</w:t>
      </w:r>
      <w:proofErr w:type="spellEnd"/>
      <w:r w:rsidRPr="005F5CB9">
        <w:rPr>
          <w:rFonts w:ascii="Times New Roman" w:hAnsi="Times New Roman"/>
        </w:rPr>
        <w:t xml:space="preserve">. </w:t>
      </w:r>
      <w:r w:rsidRPr="005F5CB9">
        <w:rPr>
          <w:rFonts w:ascii="Times New Roman" w:hAnsi="Times New Roman"/>
          <w:i/>
          <w:iCs/>
        </w:rPr>
        <w:t>Nutrition Assistance in Farmers Markets: Understanding the Shopping Patterns of SNAP Participants</w:t>
      </w:r>
      <w:r w:rsidRPr="005F5CB9">
        <w:rPr>
          <w:rFonts w:ascii="Times New Roman" w:hAnsi="Times New Roman"/>
        </w:rPr>
        <w:t xml:space="preserve">. Prepared by </w:t>
      </w:r>
      <w:proofErr w:type="spellStart"/>
      <w:r w:rsidRPr="005F5CB9">
        <w:rPr>
          <w:rFonts w:ascii="Times New Roman" w:hAnsi="Times New Roman"/>
        </w:rPr>
        <w:t>Westat</w:t>
      </w:r>
      <w:proofErr w:type="spellEnd"/>
      <w:r w:rsidRPr="005F5CB9">
        <w:rPr>
          <w:rFonts w:ascii="Times New Roman" w:hAnsi="Times New Roman"/>
        </w:rPr>
        <w:t xml:space="preserve"> for the U.S. Department of Agriculture, Food and Nutrition Service, October 2014.</w:t>
      </w:r>
      <w:r>
        <w:t xml:space="preserve"> </w:t>
      </w:r>
    </w:p>
  </w:footnote>
  <w:footnote w:id="15">
    <w:p w14:paraId="527BBBEB" w14:textId="77777777" w:rsidR="00CF1132" w:rsidRPr="00901AA4" w:rsidRDefault="00CF1132" w:rsidP="00CF1132">
      <w:pPr>
        <w:pStyle w:val="FootnoteText"/>
        <w:tabs>
          <w:tab w:val="clear" w:pos="120"/>
          <w:tab w:val="left" w:pos="0"/>
        </w:tabs>
        <w:spacing w:before="0"/>
        <w:ind w:left="0" w:firstLine="0"/>
        <w:rPr>
          <w:rFonts w:ascii="Times New Roman" w:hAnsi="Times New Roman"/>
        </w:rPr>
      </w:pPr>
      <w:r w:rsidRPr="00901AA4">
        <w:rPr>
          <w:rStyle w:val="FootnoteReference"/>
          <w:rFonts w:ascii="Times New Roman" w:hAnsi="Times New Roman"/>
        </w:rPr>
        <w:footnoteRef/>
      </w:r>
      <w:r w:rsidRPr="00901AA4">
        <w:rPr>
          <w:rFonts w:ascii="Times New Roman" w:hAnsi="Times New Roman"/>
        </w:rPr>
        <w:t xml:space="preserve"> Hock, Heinrich, </w:t>
      </w:r>
      <w:proofErr w:type="spellStart"/>
      <w:r w:rsidRPr="00901AA4">
        <w:rPr>
          <w:rFonts w:ascii="Times New Roman" w:hAnsi="Times New Roman"/>
        </w:rPr>
        <w:t>Anand</w:t>
      </w:r>
      <w:proofErr w:type="spellEnd"/>
      <w:r w:rsidRPr="00901AA4">
        <w:rPr>
          <w:rFonts w:ascii="Times New Roman" w:hAnsi="Times New Roman"/>
        </w:rPr>
        <w:t xml:space="preserve">, Priyanka, </w:t>
      </w:r>
      <w:proofErr w:type="spellStart"/>
      <w:r w:rsidRPr="00901AA4">
        <w:rPr>
          <w:rFonts w:ascii="Times New Roman" w:hAnsi="Times New Roman"/>
        </w:rPr>
        <w:t>Mendenko</w:t>
      </w:r>
      <w:proofErr w:type="spellEnd"/>
      <w:r w:rsidRPr="00901AA4">
        <w:rPr>
          <w:rFonts w:ascii="Times New Roman" w:hAnsi="Times New Roman"/>
        </w:rPr>
        <w:t xml:space="preserve">, Linda, </w:t>
      </w:r>
      <w:proofErr w:type="spellStart"/>
      <w:r w:rsidRPr="00901AA4">
        <w:rPr>
          <w:rFonts w:ascii="Times New Roman" w:hAnsi="Times New Roman"/>
        </w:rPr>
        <w:t>DiGiuseppe</w:t>
      </w:r>
      <w:proofErr w:type="spellEnd"/>
      <w:r w:rsidRPr="00901AA4">
        <w:rPr>
          <w:rFonts w:ascii="Times New Roman" w:hAnsi="Times New Roman"/>
        </w:rPr>
        <w:t xml:space="preserve">, Rebecca and </w:t>
      </w:r>
      <w:proofErr w:type="spellStart"/>
      <w:r w:rsidRPr="00901AA4">
        <w:rPr>
          <w:rFonts w:ascii="Times New Roman" w:hAnsi="Times New Roman"/>
        </w:rPr>
        <w:t>McInerney</w:t>
      </w:r>
      <w:proofErr w:type="spellEnd"/>
      <w:r w:rsidRPr="00901AA4">
        <w:rPr>
          <w:rFonts w:ascii="Times New Roman" w:hAnsi="Times New Roman"/>
        </w:rPr>
        <w:t xml:space="preserve">, Ryan (May 2015). “The Effectiveness of Prepaid Incentives in a Mixed-Mode Survey.” Presentation at the 70th Annual Conference of the American Association for Public Opinion Research Hollywood, FL May 2015: </w:t>
      </w:r>
      <w:hyperlink r:id="rId1" w:history="1">
        <w:r w:rsidRPr="00901AA4">
          <w:rPr>
            <w:rStyle w:val="Hyperlink"/>
            <w:rFonts w:ascii="Times New Roman" w:hAnsi="Times New Roman"/>
          </w:rPr>
          <w:t>http://www.aapor.org/AAPOR_Main/media/AnnualMeetingProceedings/2015/G2-3-Mendenko.pdf</w:t>
        </w:r>
      </w:hyperlink>
    </w:p>
  </w:footnote>
  <w:footnote w:id="16">
    <w:p w14:paraId="6FE4FB1D" w14:textId="77777777" w:rsidR="00CF1132" w:rsidRPr="005F5CB9" w:rsidRDefault="00CF1132" w:rsidP="00CF1132">
      <w:pPr>
        <w:pStyle w:val="FootnoteText"/>
        <w:tabs>
          <w:tab w:val="clear" w:pos="120"/>
          <w:tab w:val="left" w:pos="0"/>
        </w:tabs>
        <w:ind w:left="0" w:firstLine="0"/>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 Groves RM, Couper MP, Presser S, Singer E, </w:t>
      </w:r>
      <w:proofErr w:type="spellStart"/>
      <w:r w:rsidRPr="005F5CB9">
        <w:rPr>
          <w:rFonts w:ascii="Times New Roman" w:hAnsi="Times New Roman"/>
        </w:rPr>
        <w:t>Tourangeau</w:t>
      </w:r>
      <w:proofErr w:type="spellEnd"/>
      <w:r w:rsidRPr="005F5CB9">
        <w:rPr>
          <w:rFonts w:ascii="Times New Roman" w:hAnsi="Times New Roman"/>
        </w:rPr>
        <w:t xml:space="preserve"> R, Acosta G, Nelson L. (2006) Experiments in Producing Nonresponse bias.  </w:t>
      </w:r>
      <w:r w:rsidRPr="005F5CB9">
        <w:rPr>
          <w:rFonts w:ascii="Times New Roman" w:hAnsi="Times New Roman"/>
          <w:i/>
        </w:rPr>
        <w:t>Public Opinion Quarterly</w:t>
      </w:r>
      <w:r w:rsidRPr="005F5CB9">
        <w:rPr>
          <w:rFonts w:ascii="Times New Roman" w:hAnsi="Times New Roman"/>
        </w:rPr>
        <w:t>. 70(5): 720-736</w:t>
      </w:r>
    </w:p>
  </w:footnote>
  <w:footnote w:id="17">
    <w:p w14:paraId="3E827215" w14:textId="77777777" w:rsidR="00CF1132" w:rsidRDefault="00CF1132" w:rsidP="00CF1132">
      <w:pPr>
        <w:pStyle w:val="FootnoteText"/>
        <w:tabs>
          <w:tab w:val="clear" w:pos="120"/>
          <w:tab w:val="left" w:pos="0"/>
        </w:tabs>
        <w:spacing w:before="0"/>
        <w:ind w:left="0" w:firstLine="0"/>
      </w:pPr>
      <w:r w:rsidRPr="005F5CB9">
        <w:rPr>
          <w:rStyle w:val="FootnoteReference"/>
          <w:rFonts w:ascii="Times New Roman" w:hAnsi="Times New Roman"/>
        </w:rPr>
        <w:footnoteRef/>
      </w:r>
      <w:r w:rsidRPr="005F5CB9">
        <w:rPr>
          <w:rFonts w:ascii="Times New Roman" w:hAnsi="Times New Roman"/>
        </w:rPr>
        <w:t xml:space="preserve"> Singer, E., and R.A. </w:t>
      </w:r>
      <w:proofErr w:type="spellStart"/>
      <w:r w:rsidRPr="005F5CB9">
        <w:rPr>
          <w:rFonts w:ascii="Times New Roman" w:hAnsi="Times New Roman"/>
        </w:rPr>
        <w:t>Kulka</w:t>
      </w:r>
      <w:proofErr w:type="spellEnd"/>
      <w:r w:rsidRPr="005F5CB9">
        <w:rPr>
          <w:rFonts w:ascii="Times New Roman" w:hAnsi="Times New Roman"/>
        </w:rPr>
        <w:t xml:space="preserve">. “Paying Respondents for Survey Participation.” In </w:t>
      </w:r>
      <w:r w:rsidRPr="005F5CB9">
        <w:rPr>
          <w:rFonts w:ascii="Times New Roman" w:hAnsi="Times New Roman"/>
          <w:i/>
        </w:rPr>
        <w:t>Studies of Welfare Populations: Data Collection and Research Issues. Panel on Data and Methods for Measuring the Effects of Changes in Social Welfare Programs,</w:t>
      </w:r>
      <w:r w:rsidRPr="005F5CB9">
        <w:rPr>
          <w:rFonts w:ascii="Times New Roman" w:hAnsi="Times New Roman"/>
        </w:rPr>
        <w:t xml:space="preserve"> edited by Michele </w:t>
      </w:r>
      <w:proofErr w:type="spellStart"/>
      <w:r w:rsidRPr="005F5CB9">
        <w:rPr>
          <w:rFonts w:ascii="Times New Roman" w:hAnsi="Times New Roman"/>
        </w:rPr>
        <w:t>Ver</w:t>
      </w:r>
      <w:proofErr w:type="spellEnd"/>
      <w:r w:rsidRPr="005F5CB9">
        <w:rPr>
          <w:rFonts w:ascii="Times New Roman" w:hAnsi="Times New Roman"/>
        </w:rPr>
        <w:t xml:space="preserve"> </w:t>
      </w:r>
      <w:proofErr w:type="spellStart"/>
      <w:r w:rsidRPr="005F5CB9">
        <w:rPr>
          <w:rFonts w:ascii="Times New Roman" w:hAnsi="Times New Roman"/>
        </w:rPr>
        <w:t>Ploeg</w:t>
      </w:r>
      <w:proofErr w:type="spellEnd"/>
      <w:r w:rsidRPr="005F5CB9">
        <w:rPr>
          <w:rFonts w:ascii="Times New Roman" w:hAnsi="Times New Roman"/>
        </w:rPr>
        <w:t xml:space="preserve">, Robert A. Moffitt, and Constance F. </w:t>
      </w:r>
      <w:proofErr w:type="spellStart"/>
      <w:r w:rsidRPr="005F5CB9">
        <w:rPr>
          <w:rFonts w:ascii="Times New Roman" w:hAnsi="Times New Roman"/>
        </w:rPr>
        <w:t>Citro</w:t>
      </w:r>
      <w:proofErr w:type="spellEnd"/>
      <w:r w:rsidRPr="005F5CB9">
        <w:rPr>
          <w:rFonts w:ascii="Times New Roman" w:hAnsi="Times New Roman"/>
        </w:rPr>
        <w:t>. Committee on National Statistics, Division of Behavioral and Social Sciences and Education. Washington, DC: National Academy Press, 2002, pp. 105–128.</w:t>
      </w:r>
    </w:p>
  </w:footnote>
  <w:footnote w:id="18">
    <w:p w14:paraId="2D5F74DC" w14:textId="77777777" w:rsidR="00CF1132" w:rsidRPr="005F5CB9" w:rsidRDefault="00CF1132" w:rsidP="00CF1132">
      <w:pPr>
        <w:pStyle w:val="FootnoteText"/>
        <w:spacing w:before="0"/>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 Singer, et al., (2000).</w:t>
      </w:r>
    </w:p>
  </w:footnote>
  <w:footnote w:id="19">
    <w:p w14:paraId="4212DE9C" w14:textId="77777777" w:rsidR="00CF1132" w:rsidRPr="005F5CB9" w:rsidRDefault="00CF1132" w:rsidP="00CF1132">
      <w:pPr>
        <w:pStyle w:val="FootnoteText"/>
        <w:tabs>
          <w:tab w:val="clear" w:pos="120"/>
          <w:tab w:val="left" w:pos="0"/>
        </w:tabs>
        <w:spacing w:before="0"/>
        <w:ind w:left="0" w:firstLine="0"/>
        <w:rPr>
          <w:rFonts w:ascii="Times New Roman" w:hAnsi="Times New Roman"/>
        </w:rPr>
      </w:pPr>
      <w:r w:rsidRPr="005F5CB9">
        <w:rPr>
          <w:rStyle w:val="FootnoteReference"/>
          <w:rFonts w:ascii="Times New Roman" w:hAnsi="Times New Roman"/>
        </w:rPr>
        <w:footnoteRef/>
      </w:r>
      <w:r w:rsidRPr="005F5CB9">
        <w:rPr>
          <w:rFonts w:ascii="Times New Roman" w:hAnsi="Times New Roman"/>
        </w:rPr>
        <w:t xml:space="preserve"> </w:t>
      </w:r>
      <w:proofErr w:type="spellStart"/>
      <w:r w:rsidRPr="005F5CB9">
        <w:rPr>
          <w:rFonts w:ascii="Times New Roman" w:hAnsi="Times New Roman"/>
        </w:rPr>
        <w:t>Currivan</w:t>
      </w:r>
      <w:proofErr w:type="spellEnd"/>
      <w:r w:rsidRPr="005F5CB9">
        <w:rPr>
          <w:rFonts w:ascii="Times New Roman" w:hAnsi="Times New Roman"/>
        </w:rPr>
        <w:t xml:space="preserve"> D (2005).  The impact of providing incentives to initial telephone survey refusers on sample composition and data quality.  Prepared for the American Association of Public Opinion Research Annual Meeting in Miami, 2005. </w:t>
      </w:r>
    </w:p>
  </w:footnote>
  <w:footnote w:id="20">
    <w:p w14:paraId="68F2D379" w14:textId="77777777" w:rsidR="00CF1132" w:rsidRDefault="00CF1132" w:rsidP="00CF1132">
      <w:pPr>
        <w:pStyle w:val="FootnoteText"/>
        <w:tabs>
          <w:tab w:val="clear" w:pos="120"/>
          <w:tab w:val="left" w:pos="0"/>
        </w:tabs>
        <w:spacing w:before="0"/>
        <w:ind w:left="0" w:firstLine="0"/>
      </w:pPr>
      <w:r w:rsidRPr="005F5CB9">
        <w:rPr>
          <w:rStyle w:val="FootnoteReference"/>
          <w:rFonts w:ascii="Times New Roman" w:hAnsi="Times New Roman"/>
        </w:rPr>
        <w:footnoteRef/>
      </w:r>
      <w:r w:rsidRPr="005F5CB9">
        <w:rPr>
          <w:rFonts w:ascii="Times New Roman" w:hAnsi="Times New Roman"/>
        </w:rPr>
        <w:t xml:space="preserve"> Groves, R., Singer, E. and Corning, A. (2000). Leverage-salience theory of survey participation: description and illustration. </w:t>
      </w:r>
      <w:r w:rsidRPr="005F5CB9">
        <w:rPr>
          <w:rFonts w:ascii="Times New Roman" w:hAnsi="Times New Roman"/>
          <w:i/>
        </w:rPr>
        <w:t>Public Opinion Quarterly</w:t>
      </w:r>
      <w:r w:rsidRPr="005F5CB9">
        <w:rPr>
          <w:rFonts w:ascii="Times New Roman" w:hAnsi="Times New Roman"/>
        </w:rPr>
        <w:t>: 64 (3): 299-308.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091C" w14:textId="77777777" w:rsidR="001E02EB" w:rsidRDefault="001E0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BC139" w14:textId="1645D716" w:rsidR="001E02EB" w:rsidRDefault="001E02EB" w:rsidP="001E02EB">
    <w:pPr>
      <w:pStyle w:val="Header"/>
      <w:ind w:left="5760" w:firstLine="720"/>
    </w:pPr>
    <w:r>
      <w:t>OMB Control Number: 0584-NEW</w:t>
    </w:r>
  </w:p>
  <w:p w14:paraId="71410F70" w14:textId="419D7A60" w:rsidR="001E02EB" w:rsidRDefault="001E02EB" w:rsidP="001E02EB">
    <w:pPr>
      <w:pStyle w:val="Header"/>
      <w:ind w:left="6480"/>
    </w:pPr>
    <w:bookmarkStart w:id="0" w:name="_GoBack"/>
    <w:bookmarkEnd w:id="0"/>
    <w:r>
      <w:t>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F3E1E" w14:textId="77777777" w:rsidR="001E02EB" w:rsidRDefault="001E0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6"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1" w15:restartNumberingAfterBreak="0">
    <w:nsid w:val="67381F4B"/>
    <w:multiLevelType w:val="hybridMultilevel"/>
    <w:tmpl w:val="5A9A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D77956"/>
    <w:multiLevelType w:val="hybridMultilevel"/>
    <w:tmpl w:val="8D6CE2E8"/>
    <w:lvl w:ilvl="0" w:tplc="58D670B6">
      <w:start w:val="1"/>
      <w:numFmt w:val="bullet"/>
      <w:lvlText w:val="–"/>
      <w:lvlJc w:val="left"/>
      <w:pPr>
        <w:ind w:left="720" w:hanging="360"/>
      </w:pPr>
      <w:rPr>
        <w:rFonts w:ascii="Franklin Gothic Medium" w:hAnsi="Franklin Gothic Medium"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F665BB"/>
    <w:multiLevelType w:val="hybridMultilevel"/>
    <w:tmpl w:val="184221A0"/>
    <w:lvl w:ilvl="0" w:tplc="2F367118">
      <w:start w:val="1"/>
      <w:numFmt w:val="bullet"/>
      <w:lvlText w:val=""/>
      <w:lvlJc w:val="left"/>
      <w:pPr>
        <w:ind w:left="720" w:hanging="360"/>
      </w:pPr>
      <w:rPr>
        <w:rFonts w:ascii="Symbol" w:hAnsi="Symbol" w:hint="default"/>
        <w:color w:val="00467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14"/>
  </w:num>
  <w:num w:numId="5">
    <w:abstractNumId w:val="5"/>
  </w:num>
  <w:num w:numId="6">
    <w:abstractNumId w:val="0"/>
  </w:num>
  <w:num w:numId="7">
    <w:abstractNumId w:val="10"/>
  </w:num>
  <w:num w:numId="8">
    <w:abstractNumId w:val="6"/>
  </w:num>
  <w:num w:numId="9">
    <w:abstractNumId w:val="12"/>
  </w:num>
  <w:num w:numId="10">
    <w:abstractNumId w:val="7"/>
    <w:lvlOverride w:ilvl="0">
      <w:startOverride w:val="1"/>
    </w:lvlOverride>
  </w:num>
  <w:num w:numId="11">
    <w:abstractNumId w:val="3"/>
    <w:lvlOverride w:ilvl="0">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num>
  <w:num w:numId="17">
    <w:abstractNumId w:val="10"/>
    <w:lvlOverride w:ilvl="0">
      <w:startOverride w:val="1"/>
    </w:lvlOverride>
  </w:num>
  <w:num w:numId="18">
    <w:abstractNumId w:val="6"/>
    <w:lvlOverride w:ilvl="0">
      <w:startOverride w:val="1"/>
    </w:lvlOverride>
  </w:num>
  <w:num w:numId="19">
    <w:abstractNumId w:val="12"/>
    <w:lvlOverride w:ilvl="0">
      <w:startOverride w:val="1"/>
    </w:lvlOverride>
  </w:num>
  <w:num w:numId="20">
    <w:abstractNumId w:val="4"/>
  </w:num>
  <w:num w:numId="21">
    <w:abstractNumId w:val="2"/>
  </w:num>
  <w:num w:numId="22">
    <w:abstractNumId w:val="9"/>
  </w:num>
  <w:num w:numId="23">
    <w:abstractNumId w:val="8"/>
  </w:num>
  <w:num w:numId="24">
    <w:abstractNumId w:val="15"/>
  </w:num>
  <w:num w:numId="25">
    <w:abstractNumId w:val="16"/>
  </w:num>
  <w:num w:numId="26">
    <w:abstractNumId w:val="13"/>
  </w:num>
  <w:num w:numId="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32"/>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5855"/>
    <w:rsid w:val="00065B1F"/>
    <w:rsid w:val="0006602E"/>
    <w:rsid w:val="00066207"/>
    <w:rsid w:val="00073632"/>
    <w:rsid w:val="00073F2D"/>
    <w:rsid w:val="00076495"/>
    <w:rsid w:val="00077B5F"/>
    <w:rsid w:val="00080EA4"/>
    <w:rsid w:val="000837C2"/>
    <w:rsid w:val="00091A23"/>
    <w:rsid w:val="00092D00"/>
    <w:rsid w:val="000A6F9A"/>
    <w:rsid w:val="000B4B3C"/>
    <w:rsid w:val="000C15BC"/>
    <w:rsid w:val="000C33DB"/>
    <w:rsid w:val="000D02CD"/>
    <w:rsid w:val="000D0BBC"/>
    <w:rsid w:val="000D51B5"/>
    <w:rsid w:val="000E07BE"/>
    <w:rsid w:val="000E352C"/>
    <w:rsid w:val="000E74AE"/>
    <w:rsid w:val="000F4CFB"/>
    <w:rsid w:val="001008DC"/>
    <w:rsid w:val="00101C84"/>
    <w:rsid w:val="00105054"/>
    <w:rsid w:val="001066E1"/>
    <w:rsid w:val="00114C6E"/>
    <w:rsid w:val="00120A6B"/>
    <w:rsid w:val="00121A4A"/>
    <w:rsid w:val="00134EFB"/>
    <w:rsid w:val="00147353"/>
    <w:rsid w:val="00147D20"/>
    <w:rsid w:val="00152B01"/>
    <w:rsid w:val="00156208"/>
    <w:rsid w:val="00161441"/>
    <w:rsid w:val="00162A37"/>
    <w:rsid w:val="001659AC"/>
    <w:rsid w:val="00173CE1"/>
    <w:rsid w:val="001768BA"/>
    <w:rsid w:val="0018217D"/>
    <w:rsid w:val="00184A10"/>
    <w:rsid w:val="00196E90"/>
    <w:rsid w:val="001A10A2"/>
    <w:rsid w:val="001A1E7D"/>
    <w:rsid w:val="001B097C"/>
    <w:rsid w:val="001B53DF"/>
    <w:rsid w:val="001B6AA1"/>
    <w:rsid w:val="001C14F6"/>
    <w:rsid w:val="001C5B1E"/>
    <w:rsid w:val="001C69DD"/>
    <w:rsid w:val="001C7A25"/>
    <w:rsid w:val="001D0187"/>
    <w:rsid w:val="001D09EB"/>
    <w:rsid w:val="001D1322"/>
    <w:rsid w:val="001D1F70"/>
    <w:rsid w:val="001E02EB"/>
    <w:rsid w:val="001E25F3"/>
    <w:rsid w:val="001E3800"/>
    <w:rsid w:val="001E5F24"/>
    <w:rsid w:val="001E6079"/>
    <w:rsid w:val="00202534"/>
    <w:rsid w:val="00202859"/>
    <w:rsid w:val="00203CA4"/>
    <w:rsid w:val="00203EFB"/>
    <w:rsid w:val="0020415E"/>
    <w:rsid w:val="0020526D"/>
    <w:rsid w:val="00207E23"/>
    <w:rsid w:val="00212FFB"/>
    <w:rsid w:val="002143C2"/>
    <w:rsid w:val="00214B46"/>
    <w:rsid w:val="002224AD"/>
    <w:rsid w:val="00232D4B"/>
    <w:rsid w:val="00235244"/>
    <w:rsid w:val="00241202"/>
    <w:rsid w:val="00241BC9"/>
    <w:rsid w:val="00244270"/>
    <w:rsid w:val="00254C68"/>
    <w:rsid w:val="00266495"/>
    <w:rsid w:val="00267260"/>
    <w:rsid w:val="00267642"/>
    <w:rsid w:val="002747D9"/>
    <w:rsid w:val="00275240"/>
    <w:rsid w:val="00282212"/>
    <w:rsid w:val="00282312"/>
    <w:rsid w:val="002848CA"/>
    <w:rsid w:val="002851B1"/>
    <w:rsid w:val="002955F4"/>
    <w:rsid w:val="002A62CA"/>
    <w:rsid w:val="002A6821"/>
    <w:rsid w:val="002C1108"/>
    <w:rsid w:val="002D1420"/>
    <w:rsid w:val="002D3E8C"/>
    <w:rsid w:val="002E1FE8"/>
    <w:rsid w:val="002F0F19"/>
    <w:rsid w:val="002F5259"/>
    <w:rsid w:val="00302E5C"/>
    <w:rsid w:val="00303F9B"/>
    <w:rsid w:val="00304009"/>
    <w:rsid w:val="003108B7"/>
    <w:rsid w:val="00315646"/>
    <w:rsid w:val="00315F39"/>
    <w:rsid w:val="00323FC9"/>
    <w:rsid w:val="003254F9"/>
    <w:rsid w:val="003255FF"/>
    <w:rsid w:val="00326127"/>
    <w:rsid w:val="003334DC"/>
    <w:rsid w:val="0036068A"/>
    <w:rsid w:val="00376187"/>
    <w:rsid w:val="00383C29"/>
    <w:rsid w:val="00397B0B"/>
    <w:rsid w:val="003A1CAE"/>
    <w:rsid w:val="003A33F2"/>
    <w:rsid w:val="003A4615"/>
    <w:rsid w:val="003A522C"/>
    <w:rsid w:val="003A6AB6"/>
    <w:rsid w:val="003B08B4"/>
    <w:rsid w:val="003C0336"/>
    <w:rsid w:val="003C3199"/>
    <w:rsid w:val="003D26D6"/>
    <w:rsid w:val="003D7178"/>
    <w:rsid w:val="003F4F98"/>
    <w:rsid w:val="00412834"/>
    <w:rsid w:val="004144E2"/>
    <w:rsid w:val="00414B36"/>
    <w:rsid w:val="004153AF"/>
    <w:rsid w:val="00417779"/>
    <w:rsid w:val="00421E98"/>
    <w:rsid w:val="004273F4"/>
    <w:rsid w:val="00435E37"/>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5028F3"/>
    <w:rsid w:val="00507822"/>
    <w:rsid w:val="005136D6"/>
    <w:rsid w:val="00517BD9"/>
    <w:rsid w:val="005444F4"/>
    <w:rsid w:val="00546E7B"/>
    <w:rsid w:val="005526CC"/>
    <w:rsid w:val="005547B9"/>
    <w:rsid w:val="00570065"/>
    <w:rsid w:val="005714D4"/>
    <w:rsid w:val="00575C11"/>
    <w:rsid w:val="00580B23"/>
    <w:rsid w:val="00582F2F"/>
    <w:rsid w:val="00593313"/>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14494"/>
    <w:rsid w:val="0062314E"/>
    <w:rsid w:val="006313A0"/>
    <w:rsid w:val="00644471"/>
    <w:rsid w:val="0064783A"/>
    <w:rsid w:val="00651022"/>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1FAB"/>
    <w:rsid w:val="0074389B"/>
    <w:rsid w:val="00745576"/>
    <w:rsid w:val="00770E81"/>
    <w:rsid w:val="00771EC0"/>
    <w:rsid w:val="00774268"/>
    <w:rsid w:val="007766F3"/>
    <w:rsid w:val="0077775D"/>
    <w:rsid w:val="00795760"/>
    <w:rsid w:val="007A4BF5"/>
    <w:rsid w:val="007A76FF"/>
    <w:rsid w:val="007A7CB3"/>
    <w:rsid w:val="007B0A80"/>
    <w:rsid w:val="007C0946"/>
    <w:rsid w:val="007C2D80"/>
    <w:rsid w:val="007D14CE"/>
    <w:rsid w:val="008034BE"/>
    <w:rsid w:val="00804C29"/>
    <w:rsid w:val="00806E5D"/>
    <w:rsid w:val="00812021"/>
    <w:rsid w:val="00820C97"/>
    <w:rsid w:val="00826631"/>
    <w:rsid w:val="00840DB8"/>
    <w:rsid w:val="008478CF"/>
    <w:rsid w:val="00850A8B"/>
    <w:rsid w:val="00853851"/>
    <w:rsid w:val="008562F2"/>
    <w:rsid w:val="0086324B"/>
    <w:rsid w:val="00867646"/>
    <w:rsid w:val="008750B5"/>
    <w:rsid w:val="00876040"/>
    <w:rsid w:val="0088021E"/>
    <w:rsid w:val="00884C42"/>
    <w:rsid w:val="008874B0"/>
    <w:rsid w:val="00887EC8"/>
    <w:rsid w:val="00894610"/>
    <w:rsid w:val="00895E95"/>
    <w:rsid w:val="008B2C48"/>
    <w:rsid w:val="008B577C"/>
    <w:rsid w:val="008C26E3"/>
    <w:rsid w:val="008C3DDD"/>
    <w:rsid w:val="008D45A5"/>
    <w:rsid w:val="008D5EA1"/>
    <w:rsid w:val="008E5106"/>
    <w:rsid w:val="008E63B6"/>
    <w:rsid w:val="009045FF"/>
    <w:rsid w:val="00914207"/>
    <w:rsid w:val="00921C92"/>
    <w:rsid w:val="00923737"/>
    <w:rsid w:val="00923C66"/>
    <w:rsid w:val="009272BE"/>
    <w:rsid w:val="009355F7"/>
    <w:rsid w:val="00940319"/>
    <w:rsid w:val="00940420"/>
    <w:rsid w:val="00942283"/>
    <w:rsid w:val="009426D9"/>
    <w:rsid w:val="00942894"/>
    <w:rsid w:val="00947B87"/>
    <w:rsid w:val="00950A60"/>
    <w:rsid w:val="0095362B"/>
    <w:rsid w:val="0095620D"/>
    <w:rsid w:val="0096462A"/>
    <w:rsid w:val="00970D07"/>
    <w:rsid w:val="0097142D"/>
    <w:rsid w:val="00972B61"/>
    <w:rsid w:val="009871D3"/>
    <w:rsid w:val="00987CBC"/>
    <w:rsid w:val="00992616"/>
    <w:rsid w:val="00992641"/>
    <w:rsid w:val="009943A4"/>
    <w:rsid w:val="009A4330"/>
    <w:rsid w:val="009C7747"/>
    <w:rsid w:val="009D254B"/>
    <w:rsid w:val="009D4E02"/>
    <w:rsid w:val="009D6021"/>
    <w:rsid w:val="009D6BE4"/>
    <w:rsid w:val="009E291A"/>
    <w:rsid w:val="00A11B2A"/>
    <w:rsid w:val="00A15A6F"/>
    <w:rsid w:val="00A203A1"/>
    <w:rsid w:val="00A25771"/>
    <w:rsid w:val="00A26E08"/>
    <w:rsid w:val="00A3063D"/>
    <w:rsid w:val="00A3553A"/>
    <w:rsid w:val="00A44935"/>
    <w:rsid w:val="00A44F9B"/>
    <w:rsid w:val="00A45F08"/>
    <w:rsid w:val="00A5064E"/>
    <w:rsid w:val="00A51100"/>
    <w:rsid w:val="00A6568F"/>
    <w:rsid w:val="00A668DB"/>
    <w:rsid w:val="00A755BD"/>
    <w:rsid w:val="00A75648"/>
    <w:rsid w:val="00A77D80"/>
    <w:rsid w:val="00A80085"/>
    <w:rsid w:val="00A80934"/>
    <w:rsid w:val="00A80C12"/>
    <w:rsid w:val="00A8188C"/>
    <w:rsid w:val="00A84638"/>
    <w:rsid w:val="00A877F4"/>
    <w:rsid w:val="00A90754"/>
    <w:rsid w:val="00A9104B"/>
    <w:rsid w:val="00A91FF2"/>
    <w:rsid w:val="00AA4570"/>
    <w:rsid w:val="00AC023D"/>
    <w:rsid w:val="00AC49A1"/>
    <w:rsid w:val="00AC64BC"/>
    <w:rsid w:val="00AD5980"/>
    <w:rsid w:val="00AD7609"/>
    <w:rsid w:val="00AE3C51"/>
    <w:rsid w:val="00AE6E00"/>
    <w:rsid w:val="00AE710A"/>
    <w:rsid w:val="00AE7C45"/>
    <w:rsid w:val="00AF1251"/>
    <w:rsid w:val="00AF3094"/>
    <w:rsid w:val="00AF7102"/>
    <w:rsid w:val="00B00CD0"/>
    <w:rsid w:val="00B06CAC"/>
    <w:rsid w:val="00B118D4"/>
    <w:rsid w:val="00B11E90"/>
    <w:rsid w:val="00B16335"/>
    <w:rsid w:val="00B231D1"/>
    <w:rsid w:val="00B33098"/>
    <w:rsid w:val="00B3358D"/>
    <w:rsid w:val="00B35641"/>
    <w:rsid w:val="00B36133"/>
    <w:rsid w:val="00B47EA8"/>
    <w:rsid w:val="00B54406"/>
    <w:rsid w:val="00B546C7"/>
    <w:rsid w:val="00B55900"/>
    <w:rsid w:val="00B55B95"/>
    <w:rsid w:val="00B60897"/>
    <w:rsid w:val="00B674BC"/>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6E81"/>
    <w:rsid w:val="00BD0F94"/>
    <w:rsid w:val="00BD18A4"/>
    <w:rsid w:val="00BD1970"/>
    <w:rsid w:val="00BD28C1"/>
    <w:rsid w:val="00BD4AB9"/>
    <w:rsid w:val="00BD7843"/>
    <w:rsid w:val="00BE4591"/>
    <w:rsid w:val="00BE6197"/>
    <w:rsid w:val="00BF2625"/>
    <w:rsid w:val="00C02332"/>
    <w:rsid w:val="00C02D69"/>
    <w:rsid w:val="00C0492B"/>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61ED2"/>
    <w:rsid w:val="00C64D43"/>
    <w:rsid w:val="00C7209C"/>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3C5B"/>
    <w:rsid w:val="00CE436B"/>
    <w:rsid w:val="00CE6820"/>
    <w:rsid w:val="00CE740B"/>
    <w:rsid w:val="00CE76E7"/>
    <w:rsid w:val="00CF1132"/>
    <w:rsid w:val="00CF2F50"/>
    <w:rsid w:val="00CF4ED9"/>
    <w:rsid w:val="00D026CE"/>
    <w:rsid w:val="00D02942"/>
    <w:rsid w:val="00D03CF1"/>
    <w:rsid w:val="00D052C9"/>
    <w:rsid w:val="00D05ECA"/>
    <w:rsid w:val="00D15EEB"/>
    <w:rsid w:val="00D21221"/>
    <w:rsid w:val="00D256B0"/>
    <w:rsid w:val="00D25BB8"/>
    <w:rsid w:val="00D302BC"/>
    <w:rsid w:val="00D37C80"/>
    <w:rsid w:val="00D40E17"/>
    <w:rsid w:val="00D42381"/>
    <w:rsid w:val="00D43F23"/>
    <w:rsid w:val="00D453C0"/>
    <w:rsid w:val="00D51EED"/>
    <w:rsid w:val="00D564BE"/>
    <w:rsid w:val="00D63563"/>
    <w:rsid w:val="00D75A15"/>
    <w:rsid w:val="00D91AD4"/>
    <w:rsid w:val="00DB2B3A"/>
    <w:rsid w:val="00DB4B6E"/>
    <w:rsid w:val="00DD05BF"/>
    <w:rsid w:val="00DD418E"/>
    <w:rsid w:val="00DD4E06"/>
    <w:rsid w:val="00DD5FDC"/>
    <w:rsid w:val="00DD6A35"/>
    <w:rsid w:val="00DE658E"/>
    <w:rsid w:val="00DF0084"/>
    <w:rsid w:val="00DF435E"/>
    <w:rsid w:val="00DF6664"/>
    <w:rsid w:val="00E052A7"/>
    <w:rsid w:val="00E074B4"/>
    <w:rsid w:val="00E11011"/>
    <w:rsid w:val="00E11D52"/>
    <w:rsid w:val="00E1521A"/>
    <w:rsid w:val="00E152FD"/>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2BCD"/>
    <w:rsid w:val="00E65595"/>
    <w:rsid w:val="00E657FB"/>
    <w:rsid w:val="00E70DFB"/>
    <w:rsid w:val="00E7410E"/>
    <w:rsid w:val="00E7464C"/>
    <w:rsid w:val="00E80DBD"/>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36D2"/>
    <w:rsid w:val="00F05C7C"/>
    <w:rsid w:val="00F125DB"/>
    <w:rsid w:val="00F15B69"/>
    <w:rsid w:val="00F23B5C"/>
    <w:rsid w:val="00F304A3"/>
    <w:rsid w:val="00F36FA7"/>
    <w:rsid w:val="00F41F5C"/>
    <w:rsid w:val="00F53009"/>
    <w:rsid w:val="00F54A25"/>
    <w:rsid w:val="00F66F64"/>
    <w:rsid w:val="00F72113"/>
    <w:rsid w:val="00F82C30"/>
    <w:rsid w:val="00F96BAA"/>
    <w:rsid w:val="00F96E16"/>
    <w:rsid w:val="00FB163E"/>
    <w:rsid w:val="00FB2FBC"/>
    <w:rsid w:val="00FB518A"/>
    <w:rsid w:val="00FC6550"/>
    <w:rsid w:val="00FD5F84"/>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6C72E1"/>
  <w15:chartTrackingRefBased/>
  <w15:docId w15:val="{934F6E20-3954-4F57-8AAF-4A58A34B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87"/>
    <w:rPr>
      <w:rFonts w:ascii="Garamond" w:hAnsi="Garamond"/>
      <w:sz w:val="24"/>
    </w:rPr>
  </w:style>
  <w:style w:type="paragraph" w:styleId="Heading1">
    <w:name w:val="heading 1"/>
    <w:aliases w:val="H1-Doc. Head"/>
    <w:basedOn w:val="Normal"/>
    <w:next w:val="L1-FlLSp12"/>
    <w:link w:val="Heading1Char"/>
    <w:qFormat/>
    <w:rsid w:val="00AE7C45"/>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F05C7C"/>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F05C7C"/>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basedOn w:val="Normal"/>
    <w:semiHidden/>
    <w:rsid w:val="00E53874"/>
    <w:pPr>
      <w:keepLines/>
      <w:spacing w:line="360" w:lineRule="auto"/>
      <w:jc w:val="center"/>
    </w:p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Footnote Text Char Char,Footnote Text2,F,*Footnote Text,Footnote Text ERA,Footnote Text ERA1,Footnote Text ERA2,Footnote Text ERA11,Footnote Text ERA3,Footnote Text ERA12,Footnote Text ERA21,Footnote Text ERA111,Footnote Text ERA4"/>
    <w:link w:val="FootnoteTextChar"/>
    <w:qFormat/>
    <w:rsid w:val="006C0E3A"/>
    <w:pPr>
      <w:tabs>
        <w:tab w:val="left" w:pos="120"/>
      </w:tabs>
      <w:spacing w:before="120"/>
      <w:ind w:left="115" w:hanging="115"/>
    </w:pPr>
    <w:rPr>
      <w:rFonts w:ascii="Garamond" w:hAnsi="Garamond"/>
    </w:rPr>
  </w:style>
  <w:style w:type="paragraph" w:styleId="Header">
    <w:name w:val="header"/>
    <w:basedOn w:val="Normal"/>
    <w:link w:val="HeaderChar"/>
    <w:semiHidden/>
    <w:rsid w:val="00B35641"/>
    <w:rPr>
      <w:sz w:val="20"/>
    </w:rPr>
  </w:style>
  <w:style w:type="paragraph" w:customStyle="1" w:styleId="L1-FlLSp12">
    <w:name w:val="L1-FlL Sp&amp;1/2"/>
    <w:basedOn w:val="Normal"/>
    <w:link w:val="L1-FlLSp12Char"/>
    <w:qFormat/>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link w:val="SL-FlLftSglChar"/>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202859"/>
    <w:pPr>
      <w:numPr>
        <w:numId w:val="4"/>
      </w:numPr>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36D6"/>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aliases w:val="*Footnote Reference"/>
    <w:basedOn w:val="DefaultParagraphFont"/>
    <w:unhideWhenUsed/>
    <w:qFormat/>
    <w:rsid w:val="00774268"/>
    <w:rPr>
      <w:vertAlign w:val="superscript"/>
    </w:rPr>
  </w:style>
  <w:style w:type="paragraph" w:customStyle="1" w:styleId="HeadingA2">
    <w:name w:val="Heading A2"/>
    <w:aliases w:val="Appendix_H2_Head"/>
    <w:basedOn w:val="Heading2"/>
    <w:next w:val="L1-FlLSp12"/>
    <w:rsid w:val="00AA4570"/>
    <w:pPr>
      <w:ind w:left="0" w:firstLine="0"/>
    </w:pPr>
    <w:rPr>
      <w:rFonts w:eastAsiaTheme="minorEastAsia"/>
    </w:rPr>
  </w:style>
  <w:style w:type="character" w:customStyle="1" w:styleId="Heading2Char">
    <w:name w:val="Heading 2 Char"/>
    <w:aliases w:val="H2-Chap. Head Char"/>
    <w:basedOn w:val="DefaultParagraphFont"/>
    <w:link w:val="Heading2"/>
    <w:rsid w:val="00AA4570"/>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rsid w:val="00315F39"/>
    <w:pPr>
      <w:keepNext/>
      <w:spacing w:after="12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AA4570"/>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EC7DC0"/>
    <w:rPr>
      <w:rFonts w:eastAsiaTheme="minorEastAsia"/>
    </w:rPr>
  </w:style>
  <w:style w:type="paragraph" w:customStyle="1" w:styleId="HeadingA4">
    <w:name w:val="Heading A4"/>
    <w:aliases w:val="Appendix_H4_Head"/>
    <w:basedOn w:val="Heading4"/>
    <w:next w:val="L1-FlLSp12"/>
    <w:rsid w:val="00EC7DC0"/>
    <w:rPr>
      <w:rFonts w:eastAsiaTheme="minorEastAsia"/>
    </w:rPr>
  </w:style>
  <w:style w:type="paragraph" w:customStyle="1" w:styleId="HeadingA5">
    <w:name w:val="Heading A5"/>
    <w:aliases w:val="Appendix_H5_Head"/>
    <w:basedOn w:val="Heading5"/>
    <w:next w:val="L1-FlLSp12"/>
    <w:rsid w:val="004A44CC"/>
    <w:rPr>
      <w:rFonts w:eastAsiaTheme="minorEastAsia"/>
    </w:rPr>
  </w:style>
  <w:style w:type="paragraph" w:customStyle="1" w:styleId="HeadingA6">
    <w:name w:val="Heading A6"/>
    <w:aliases w:val="Appendix_H6_Head"/>
    <w:basedOn w:val="Heading6"/>
    <w:next w:val="L1-FlLSp12"/>
    <w:rsid w:val="00AA4570"/>
    <w:rPr>
      <w:rFonts w:eastAsiaTheme="minorEastAsia"/>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AA4570"/>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AA4570"/>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AA4570"/>
    <w:rPr>
      <w:rFonts w:ascii="Franklin Gothic Medium" w:hAnsi="Franklin Gothic Medium"/>
      <w:b/>
      <w:i/>
      <w:sz w:val="24"/>
    </w:rPr>
  </w:style>
  <w:style w:type="character" w:customStyle="1" w:styleId="FootnoteTextChar">
    <w:name w:val="Footnote Text Char"/>
    <w:aliases w:val="F1 Char,Footnote Text Char Char Char,Footnote Text2 Char,F Char,*Footnote Text Char,Footnote Text ERA Char,Footnote Text ERA1 Char,Footnote Text ERA2 Char,Footnote Text ERA11 Char,Footnote Text ERA3 Char,Footnote Text ERA12 Char"/>
    <w:basedOn w:val="DefaultParagraphFont"/>
    <w:link w:val="FootnoteText"/>
    <w:rsid w:val="00DD5FDC"/>
    <w:rPr>
      <w:rFonts w:ascii="Garamond" w:hAnsi="Garamond"/>
    </w:rPr>
  </w:style>
  <w:style w:type="character" w:customStyle="1" w:styleId="HeaderChar">
    <w:name w:val="Header Char"/>
    <w:basedOn w:val="DefaultParagraphFont"/>
    <w:link w:val="Header"/>
    <w:semiHidden/>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A3063D"/>
    <w:pPr>
      <w:ind w:left="720"/>
      <w:contextualSpacing/>
    </w:pPr>
  </w:style>
  <w:style w:type="character" w:customStyle="1" w:styleId="Heading1Char">
    <w:name w:val="Heading 1 Char"/>
    <w:aliases w:val="H1-Doc. Head Char"/>
    <w:basedOn w:val="DefaultParagraphFont"/>
    <w:link w:val="Heading1"/>
    <w:rsid w:val="00AE7C45"/>
    <w:rPr>
      <w:rFonts w:ascii="Franklin Gothic Medium" w:hAnsi="Franklin Gothic Medium"/>
      <w:b/>
      <w:color w:val="00467F"/>
      <w:sz w:val="48"/>
    </w:rPr>
  </w:style>
  <w:style w:type="paragraph" w:customStyle="1" w:styleId="TB2-TableBullet2">
    <w:name w:val="TB2-Table Bullet 2"/>
    <w:basedOn w:val="TB-TableBullet"/>
    <w:qFormat/>
    <w:rsid w:val="00826631"/>
    <w:pPr>
      <w:numPr>
        <w:numId w:val="26"/>
      </w:numPr>
    </w:pPr>
  </w:style>
  <w:style w:type="paragraph" w:customStyle="1" w:styleId="Q2-BestFinQ">
    <w:name w:val="Q2-Best/Fin Q"/>
    <w:basedOn w:val="Q1-BestFinQ"/>
    <w:qFormat/>
    <w:rsid w:val="00376187"/>
    <w:pPr>
      <w:spacing w:after="240"/>
      <w:ind w:left="1728" w:hanging="576"/>
    </w:pPr>
    <w:rPr>
      <w:rFonts w:cs="Times New Roman"/>
      <w:color w:val="000000" w:themeColor="text1"/>
    </w:rPr>
  </w:style>
  <w:style w:type="character" w:styleId="Hyperlink">
    <w:name w:val="Hyperlink"/>
    <w:uiPriority w:val="99"/>
    <w:unhideWhenUsed/>
    <w:rsid w:val="00CF1132"/>
    <w:rPr>
      <w:color w:val="0000FF"/>
      <w:u w:val="single"/>
    </w:rPr>
  </w:style>
  <w:style w:type="character" w:customStyle="1" w:styleId="SL-FlLftSglChar">
    <w:name w:val="SL-Fl Lft Sgl Char"/>
    <w:basedOn w:val="DefaultParagraphFont"/>
    <w:link w:val="SL-FlLftSgl"/>
    <w:rsid w:val="00CF1132"/>
    <w:rPr>
      <w:rFonts w:ascii="Garamond" w:hAnsi="Garamond"/>
      <w:sz w:val="24"/>
    </w:rPr>
  </w:style>
  <w:style w:type="character" w:customStyle="1" w:styleId="L1-FlLSp12Char">
    <w:name w:val="L1-FlL Sp&amp;1/2 Char"/>
    <w:basedOn w:val="DefaultParagraphFont"/>
    <w:link w:val="L1-FlLSp12"/>
    <w:locked/>
    <w:rsid w:val="00CF1132"/>
    <w:rPr>
      <w:rFonts w:ascii="Garamond" w:hAnsi="Garamond"/>
      <w:sz w:val="24"/>
    </w:rPr>
  </w:style>
  <w:style w:type="paragraph" w:styleId="BodyText">
    <w:name w:val="Body Text"/>
    <w:basedOn w:val="Normal"/>
    <w:link w:val="BodyTextChar"/>
    <w:uiPriority w:val="99"/>
    <w:rsid w:val="00CF1132"/>
    <w:pPr>
      <w:spacing w:after="180" w:line="264" w:lineRule="auto"/>
    </w:pPr>
    <w:rPr>
      <w:rFonts w:ascii="Times New Roman" w:hAnsi="Times New Roman"/>
      <w:sz w:val="22"/>
      <w:lang w:val="x-none" w:eastAsia="x-none"/>
    </w:rPr>
  </w:style>
  <w:style w:type="character" w:customStyle="1" w:styleId="BodyTextChar">
    <w:name w:val="Body Text Char"/>
    <w:basedOn w:val="DefaultParagraphFont"/>
    <w:link w:val="BodyText"/>
    <w:uiPriority w:val="99"/>
    <w:rsid w:val="00CF1132"/>
    <w:rPr>
      <w:sz w:val="22"/>
      <w:lang w:val="x-none" w:eastAsia="x-none"/>
    </w:rPr>
  </w:style>
  <w:style w:type="paragraph" w:customStyle="1" w:styleId="NormalSS">
    <w:name w:val="NormalSS"/>
    <w:basedOn w:val="Normal"/>
    <w:link w:val="NormalSSChar"/>
    <w:qFormat/>
    <w:rsid w:val="00CF1132"/>
    <w:pPr>
      <w:tabs>
        <w:tab w:val="left" w:pos="432"/>
      </w:tabs>
      <w:spacing w:after="240"/>
      <w:ind w:firstLine="432"/>
    </w:pPr>
    <w:rPr>
      <w:rFonts w:ascii="Times New Roman" w:hAnsi="Times New Roman"/>
    </w:rPr>
  </w:style>
  <w:style w:type="character" w:customStyle="1" w:styleId="NormalSSChar">
    <w:name w:val="NormalSS Char"/>
    <w:link w:val="NormalSS"/>
    <w:locked/>
    <w:rsid w:val="00CF1132"/>
    <w:rPr>
      <w:sz w:val="24"/>
    </w:rPr>
  </w:style>
  <w:style w:type="character" w:customStyle="1" w:styleId="apple-converted-space">
    <w:name w:val="apple-converted-space"/>
    <w:basedOn w:val="DefaultParagraphFont"/>
    <w:rsid w:val="00CF1132"/>
  </w:style>
  <w:style w:type="character" w:styleId="CommentReference">
    <w:name w:val="annotation reference"/>
    <w:basedOn w:val="DefaultParagraphFont"/>
    <w:uiPriority w:val="99"/>
    <w:semiHidden/>
    <w:unhideWhenUsed/>
    <w:rsid w:val="00B60897"/>
    <w:rPr>
      <w:sz w:val="16"/>
      <w:szCs w:val="16"/>
    </w:rPr>
  </w:style>
  <w:style w:type="paragraph" w:styleId="CommentText">
    <w:name w:val="annotation text"/>
    <w:basedOn w:val="Normal"/>
    <w:link w:val="CommentTextChar"/>
    <w:uiPriority w:val="99"/>
    <w:unhideWhenUsed/>
    <w:rsid w:val="00B60897"/>
    <w:rPr>
      <w:sz w:val="20"/>
    </w:rPr>
  </w:style>
  <w:style w:type="character" w:customStyle="1" w:styleId="CommentTextChar">
    <w:name w:val="Comment Text Char"/>
    <w:basedOn w:val="DefaultParagraphFont"/>
    <w:link w:val="CommentText"/>
    <w:uiPriority w:val="99"/>
    <w:rsid w:val="00B60897"/>
    <w:rPr>
      <w:rFonts w:ascii="Garamond" w:hAnsi="Garamond"/>
    </w:rPr>
  </w:style>
  <w:style w:type="paragraph" w:styleId="CommentSubject">
    <w:name w:val="annotation subject"/>
    <w:basedOn w:val="CommentText"/>
    <w:next w:val="CommentText"/>
    <w:link w:val="CommentSubjectChar"/>
    <w:uiPriority w:val="99"/>
    <w:semiHidden/>
    <w:unhideWhenUsed/>
    <w:rsid w:val="00B60897"/>
    <w:rPr>
      <w:b/>
      <w:bCs/>
    </w:rPr>
  </w:style>
  <w:style w:type="character" w:customStyle="1" w:styleId="CommentSubjectChar">
    <w:name w:val="Comment Subject Char"/>
    <w:basedOn w:val="CommentTextChar"/>
    <w:link w:val="CommentSubject"/>
    <w:uiPriority w:val="99"/>
    <w:semiHidden/>
    <w:rsid w:val="00B60897"/>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apor.org/AAPOR_Main/media/AnnualMeetingProceedings/2015/G2-3-Mendenk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0C84-92DF-407F-BC33-ADFFE9E6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1439</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Ragland-Greene, Rachelle - FNS</cp:lastModifiedBy>
  <cp:revision>4</cp:revision>
  <cp:lastPrinted>2018-02-21T18:38:00Z</cp:lastPrinted>
  <dcterms:created xsi:type="dcterms:W3CDTF">2020-06-25T21:21:00Z</dcterms:created>
  <dcterms:modified xsi:type="dcterms:W3CDTF">2020-09-28T18:45:00Z</dcterms:modified>
</cp:coreProperties>
</file>