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0534" w:rsidR="00C10534" w:rsidP="00BA58B9" w:rsidRDefault="00C10534">
      <w:pPr>
        <w:pStyle w:val="C3-CtrSp12"/>
        <w:spacing w:line="240" w:lineRule="auto"/>
        <w:jc w:val="left"/>
        <w:rPr>
          <w:rFonts w:asciiTheme="minorHAnsi" w:hAnsiTheme="minorHAnsi"/>
          <w:sz w:val="20"/>
        </w:rPr>
      </w:pPr>
      <w:r>
        <w:rPr>
          <w:rFonts w:asciiTheme="minorHAnsi" w:hAnsiTheme="minorHAnsi"/>
          <w:b/>
        </w:rPr>
        <w:t xml:space="preserve">Appendix </w:t>
      </w:r>
      <w:r w:rsidR="009D28B4">
        <w:rPr>
          <w:rFonts w:asciiTheme="minorHAnsi" w:hAnsiTheme="minorHAnsi"/>
          <w:b/>
        </w:rPr>
        <w:t>D</w:t>
      </w:r>
      <w:r>
        <w:rPr>
          <w:rFonts w:asciiTheme="minorHAnsi" w:hAnsiTheme="minorHAnsi"/>
          <w:b/>
        </w:rPr>
        <w:t xml:space="preserve"> – Fact sheet</w:t>
      </w:r>
      <w:r w:rsidRPr="00C10534">
        <w:t xml:space="preserve"> </w:t>
      </w:r>
      <w:r>
        <w:tab/>
      </w:r>
      <w:r>
        <w:tab/>
      </w:r>
      <w:r>
        <w:tab/>
      </w:r>
      <w:r>
        <w:tab/>
      </w:r>
      <w:r>
        <w:tab/>
      </w:r>
      <w:r>
        <w:tab/>
      </w:r>
    </w:p>
    <w:p w:rsidRPr="003E4241" w:rsidR="003E4241" w:rsidP="003E4241" w:rsidRDefault="003E4241">
      <w:pPr>
        <w:pStyle w:val="C3-CtrSp12"/>
        <w:rPr>
          <w:rFonts w:asciiTheme="minorHAnsi" w:hAnsiTheme="minorHAnsi"/>
          <w:b/>
        </w:rPr>
      </w:pPr>
      <w:r w:rsidRPr="003E4241">
        <w:rPr>
          <w:rFonts w:asciiTheme="minorHAnsi" w:hAnsiTheme="minorHAnsi"/>
          <w:b/>
        </w:rPr>
        <w:t>FACT SHEET</w:t>
      </w:r>
    </w:p>
    <w:p w:rsidRPr="003E4241" w:rsidR="003E4241" w:rsidP="003E4241" w:rsidRDefault="003E4241">
      <w:pPr>
        <w:pStyle w:val="C3-CtrSp12"/>
        <w:rPr>
          <w:rFonts w:asciiTheme="minorHAnsi" w:hAnsiTheme="minorHAnsi"/>
          <w:b/>
        </w:rPr>
      </w:pPr>
      <w:r w:rsidRPr="003E4241">
        <w:rPr>
          <w:rFonts w:asciiTheme="minorHAnsi" w:hAnsiTheme="minorHAnsi"/>
          <w:b/>
        </w:rPr>
        <w:t>SURVEY OF SNAP AND WORK</w:t>
      </w:r>
    </w:p>
    <w:p w:rsidR="003E4241" w:rsidP="003E4241" w:rsidRDefault="003E4241">
      <w:pPr>
        <w:pStyle w:val="C3-CtrSp12"/>
        <w:jc w:val="left"/>
        <w:rPr>
          <w:rFonts w:asciiTheme="minorHAnsi" w:hAnsiTheme="minorHAnsi"/>
        </w:rPr>
      </w:pPr>
    </w:p>
    <w:p w:rsidRPr="00835D28" w:rsidR="00835D28" w:rsidP="003E4241" w:rsidRDefault="00835D28">
      <w:pPr>
        <w:pStyle w:val="C3-CtrSp12"/>
        <w:jc w:val="left"/>
        <w:rPr>
          <w:rFonts w:asciiTheme="minorHAnsi" w:hAnsiTheme="minorHAnsi"/>
          <w:b/>
        </w:rPr>
      </w:pPr>
      <w:r w:rsidRPr="00835D28">
        <w:rPr>
          <w:rFonts w:asciiTheme="minorHAnsi" w:hAnsiTheme="minorHAnsi"/>
          <w:b/>
        </w:rPr>
        <w:t>Purpose of the Survey</w:t>
      </w:r>
    </w:p>
    <w:p w:rsidR="00835D28" w:rsidP="003E4241" w:rsidRDefault="003E4241">
      <w:pPr>
        <w:pStyle w:val="C3-CtrSp12"/>
        <w:jc w:val="left"/>
        <w:rPr>
          <w:rStyle w:val="P1-StandParaChar"/>
          <w:rFonts w:asciiTheme="minorHAnsi" w:hAnsiTheme="minorHAnsi" w:eastAsiaTheme="minorHAnsi"/>
        </w:rPr>
      </w:pPr>
      <w:r w:rsidRPr="003E4241">
        <w:rPr>
          <w:rFonts w:asciiTheme="minorHAnsi" w:hAnsiTheme="minorHAnsi"/>
        </w:rPr>
        <w:t>The purpose of the Survey of Supplemental Nutrition Assistance Program (SNAP) Participation and Work</w:t>
      </w:r>
      <w:r w:rsidRPr="003E4241">
        <w:rPr>
          <w:rStyle w:val="P1-StandParaChar"/>
          <w:rFonts w:asciiTheme="minorHAnsi" w:hAnsiTheme="minorHAnsi" w:eastAsiaTheme="minorHAnsi"/>
        </w:rPr>
        <w:t xml:space="preserve"> (hereafter the Survey of SNAP and Work) is to provide </w:t>
      </w:r>
      <w:r w:rsidR="002223E1">
        <w:rPr>
          <w:rStyle w:val="P1-StandParaChar"/>
          <w:rFonts w:asciiTheme="minorHAnsi" w:hAnsiTheme="minorHAnsi" w:eastAsiaTheme="minorHAnsi"/>
        </w:rPr>
        <w:t xml:space="preserve">State SNAP agencies and </w:t>
      </w:r>
      <w:r w:rsidRPr="003E4241">
        <w:rPr>
          <w:rStyle w:val="P1-StandParaChar"/>
          <w:rFonts w:asciiTheme="minorHAnsi" w:hAnsiTheme="minorHAnsi" w:eastAsiaTheme="minorHAnsi"/>
        </w:rPr>
        <w:t xml:space="preserve">the U.S. Department of Agriculture (USDA) Food and Nutrition Service (FNS) with information about the employment patterns and characteristics of nondisabled adult SNAP participants, information not currently collected in </w:t>
      </w:r>
      <w:r w:rsidR="009F1C69">
        <w:rPr>
          <w:rStyle w:val="P1-StandParaChar"/>
          <w:rFonts w:asciiTheme="minorHAnsi" w:hAnsiTheme="minorHAnsi" w:eastAsiaTheme="minorHAnsi"/>
        </w:rPr>
        <w:t>other surveys</w:t>
      </w:r>
      <w:r w:rsidRPr="003E4241">
        <w:rPr>
          <w:rStyle w:val="P1-StandParaChar"/>
          <w:rFonts w:asciiTheme="minorHAnsi" w:hAnsiTheme="minorHAnsi" w:eastAsiaTheme="minorHAnsi"/>
        </w:rPr>
        <w:t xml:space="preserve">. In addition, the Survey of SNAP and Work will identify health, social, and personal factors that promote or inhibit employment among SNAP participants. </w:t>
      </w:r>
    </w:p>
    <w:p w:rsidR="00835D28" w:rsidP="003E4241" w:rsidRDefault="00835D28">
      <w:pPr>
        <w:pStyle w:val="C3-CtrSp12"/>
        <w:jc w:val="left"/>
        <w:rPr>
          <w:rStyle w:val="P1-StandParaChar"/>
          <w:rFonts w:asciiTheme="minorHAnsi" w:hAnsiTheme="minorHAnsi" w:eastAsiaTheme="minorHAnsi"/>
        </w:rPr>
      </w:pPr>
    </w:p>
    <w:p w:rsidRPr="00835D28" w:rsidR="00835D28" w:rsidP="003E4241" w:rsidRDefault="00835D28">
      <w:pPr>
        <w:pStyle w:val="C3-CtrSp12"/>
        <w:jc w:val="left"/>
        <w:rPr>
          <w:rStyle w:val="P1-StandParaChar"/>
          <w:rFonts w:asciiTheme="minorHAnsi" w:hAnsiTheme="minorHAnsi" w:eastAsiaTheme="minorHAnsi"/>
          <w:b/>
        </w:rPr>
      </w:pPr>
      <w:r w:rsidRPr="00835D28">
        <w:rPr>
          <w:rStyle w:val="P1-StandParaChar"/>
          <w:rFonts w:asciiTheme="minorHAnsi" w:hAnsiTheme="minorHAnsi" w:eastAsiaTheme="minorHAnsi"/>
          <w:b/>
        </w:rPr>
        <w:t>Study Objectives</w:t>
      </w:r>
    </w:p>
    <w:p w:rsidR="00835D28" w:rsidP="003E4241" w:rsidRDefault="00835D28">
      <w:pPr>
        <w:pStyle w:val="C3-CtrSp12"/>
        <w:jc w:val="left"/>
        <w:rPr>
          <w:rStyle w:val="P1-StandParaChar"/>
          <w:rFonts w:asciiTheme="minorHAnsi" w:hAnsiTheme="minorHAnsi" w:eastAsiaTheme="minorHAnsi"/>
        </w:rPr>
      </w:pPr>
      <w:r>
        <w:rPr>
          <w:rStyle w:val="P1-StandParaChar"/>
          <w:rFonts w:asciiTheme="minorHAnsi" w:hAnsiTheme="minorHAnsi" w:eastAsiaTheme="minorHAnsi"/>
        </w:rPr>
        <w:t>The study objectives include:</w:t>
      </w:r>
    </w:p>
    <w:p w:rsidR="00835D28" w:rsidP="00835D28" w:rsidRDefault="00835D28">
      <w:pPr>
        <w:pStyle w:val="C3-CtrSp12"/>
        <w:numPr>
          <w:ilvl w:val="0"/>
          <w:numId w:val="11"/>
        </w:numPr>
        <w:jc w:val="left"/>
        <w:rPr>
          <w:rStyle w:val="P1-StandParaChar"/>
          <w:rFonts w:asciiTheme="minorHAnsi" w:hAnsiTheme="minorHAnsi" w:eastAsiaTheme="minorHAnsi"/>
        </w:rPr>
      </w:pPr>
      <w:r>
        <w:rPr>
          <w:rStyle w:val="P1-StandParaChar"/>
          <w:rFonts w:asciiTheme="minorHAnsi" w:hAnsiTheme="minorHAnsi" w:eastAsiaTheme="minorHAnsi"/>
        </w:rPr>
        <w:t>Product descriptive statistics on:</w:t>
      </w:r>
    </w:p>
    <w:p w:rsidRPr="003E4241" w:rsidR="00BF1E08" w:rsidP="0089458C" w:rsidRDefault="00BF1E08">
      <w:pPr>
        <w:pStyle w:val="N1-1stBullet"/>
        <w:numPr>
          <w:ilvl w:val="3"/>
          <w:numId w:val="11"/>
        </w:numPr>
        <w:spacing w:after="0" w:line="360" w:lineRule="atLeast"/>
        <w:ind w:left="1080"/>
        <w:rPr>
          <w:rFonts w:asciiTheme="minorHAnsi" w:hAnsiTheme="minorHAnsi"/>
        </w:rPr>
      </w:pPr>
      <w:r>
        <w:rPr>
          <w:rFonts w:asciiTheme="minorHAnsi" w:hAnsiTheme="minorHAnsi"/>
        </w:rPr>
        <w:t>S</w:t>
      </w:r>
      <w:r w:rsidRPr="003E4241">
        <w:rPr>
          <w:rFonts w:asciiTheme="minorHAnsi" w:hAnsiTheme="minorHAnsi"/>
        </w:rPr>
        <w:t>ociodemographic and economic characteristics</w:t>
      </w:r>
    </w:p>
    <w:p w:rsidRPr="003E4241" w:rsidR="00BF1E08" w:rsidP="0089458C" w:rsidRDefault="00BF1E08">
      <w:pPr>
        <w:pStyle w:val="N1-1stBullet"/>
        <w:numPr>
          <w:ilvl w:val="3"/>
          <w:numId w:val="11"/>
        </w:numPr>
        <w:spacing w:after="0" w:line="360" w:lineRule="atLeast"/>
        <w:ind w:left="1080"/>
        <w:rPr>
          <w:rFonts w:asciiTheme="minorHAnsi" w:hAnsiTheme="minorHAnsi"/>
        </w:rPr>
      </w:pPr>
      <w:r>
        <w:rPr>
          <w:rFonts w:asciiTheme="minorHAnsi" w:hAnsiTheme="minorHAnsi"/>
        </w:rPr>
        <w:t>E</w:t>
      </w:r>
      <w:r w:rsidRPr="003E4241">
        <w:rPr>
          <w:rFonts w:asciiTheme="minorHAnsi" w:hAnsiTheme="minorHAnsi"/>
        </w:rPr>
        <w:t>mployment status and employment characteristics</w:t>
      </w:r>
    </w:p>
    <w:p w:rsidRPr="003E4241" w:rsidR="00BF1E08" w:rsidP="0089458C" w:rsidRDefault="00BF1E08">
      <w:pPr>
        <w:pStyle w:val="N1-1stBullet"/>
        <w:numPr>
          <w:ilvl w:val="3"/>
          <w:numId w:val="11"/>
        </w:numPr>
        <w:spacing w:after="0" w:line="360" w:lineRule="atLeast"/>
        <w:ind w:left="1080"/>
        <w:rPr>
          <w:rFonts w:asciiTheme="minorHAnsi" w:hAnsiTheme="minorHAnsi"/>
        </w:rPr>
      </w:pPr>
      <w:r>
        <w:rPr>
          <w:rFonts w:asciiTheme="minorHAnsi" w:hAnsiTheme="minorHAnsi"/>
        </w:rPr>
        <w:t>L</w:t>
      </w:r>
      <w:r w:rsidRPr="003E4241">
        <w:rPr>
          <w:rFonts w:asciiTheme="minorHAnsi" w:hAnsiTheme="minorHAnsi"/>
        </w:rPr>
        <w:t>ength o</w:t>
      </w:r>
      <w:r>
        <w:rPr>
          <w:rFonts w:asciiTheme="minorHAnsi" w:hAnsiTheme="minorHAnsi"/>
        </w:rPr>
        <w:t>f detachment from the workforce</w:t>
      </w:r>
    </w:p>
    <w:p w:rsidRPr="003E4241" w:rsidR="00BF1E08" w:rsidP="0089458C" w:rsidRDefault="00BF1E08">
      <w:pPr>
        <w:pStyle w:val="N1-1stBullet"/>
        <w:numPr>
          <w:ilvl w:val="3"/>
          <w:numId w:val="11"/>
        </w:numPr>
        <w:spacing w:after="0" w:line="360" w:lineRule="atLeast"/>
        <w:ind w:left="1080"/>
        <w:rPr>
          <w:rFonts w:asciiTheme="minorHAnsi" w:hAnsiTheme="minorHAnsi"/>
        </w:rPr>
      </w:pPr>
      <w:r>
        <w:rPr>
          <w:rFonts w:asciiTheme="minorHAnsi" w:hAnsiTheme="minorHAnsi"/>
        </w:rPr>
        <w:t>Education and training</w:t>
      </w:r>
    </w:p>
    <w:p w:rsidRPr="003E4241" w:rsidR="00BF1E08" w:rsidP="0089458C" w:rsidRDefault="00BF1E08">
      <w:pPr>
        <w:pStyle w:val="N1-1stBullet"/>
        <w:numPr>
          <w:ilvl w:val="3"/>
          <w:numId w:val="11"/>
        </w:numPr>
        <w:spacing w:after="0" w:line="360" w:lineRule="atLeast"/>
        <w:ind w:left="1080"/>
        <w:rPr>
          <w:rFonts w:asciiTheme="minorHAnsi" w:hAnsiTheme="minorHAnsi"/>
        </w:rPr>
      </w:pPr>
      <w:r>
        <w:rPr>
          <w:rFonts w:asciiTheme="minorHAnsi" w:hAnsiTheme="minorHAnsi"/>
        </w:rPr>
        <w:t>H</w:t>
      </w:r>
      <w:r w:rsidRPr="003E4241">
        <w:rPr>
          <w:rFonts w:asciiTheme="minorHAnsi" w:hAnsiTheme="minorHAnsi"/>
        </w:rPr>
        <w:t>ealth, social, and persona</w:t>
      </w:r>
      <w:r>
        <w:rPr>
          <w:rFonts w:asciiTheme="minorHAnsi" w:hAnsiTheme="minorHAnsi"/>
        </w:rPr>
        <w:t>l factors related to employment</w:t>
      </w:r>
    </w:p>
    <w:p w:rsidRPr="003E4241" w:rsidR="003E4241" w:rsidP="00835D28" w:rsidRDefault="00BF1E08">
      <w:pPr>
        <w:pStyle w:val="C3-CtrSp12"/>
        <w:numPr>
          <w:ilvl w:val="0"/>
          <w:numId w:val="11"/>
        </w:numPr>
        <w:jc w:val="left"/>
        <w:rPr>
          <w:rStyle w:val="P1-StandParaChar"/>
          <w:rFonts w:asciiTheme="minorHAnsi" w:hAnsiTheme="minorHAnsi" w:eastAsiaTheme="minorHAnsi"/>
        </w:rPr>
      </w:pPr>
      <w:r>
        <w:rPr>
          <w:rStyle w:val="P1-StandParaChar"/>
          <w:rFonts w:asciiTheme="minorHAnsi" w:hAnsiTheme="minorHAnsi" w:eastAsiaTheme="minorHAnsi"/>
        </w:rPr>
        <w:t>Examine</w:t>
      </w:r>
      <w:r w:rsidRPr="00BF1E08">
        <w:rPr>
          <w:rFonts w:asciiTheme="minorHAnsi" w:hAnsiTheme="minorHAnsi"/>
        </w:rPr>
        <w:t xml:space="preserve"> </w:t>
      </w:r>
      <w:r w:rsidRPr="003E4241">
        <w:rPr>
          <w:rFonts w:asciiTheme="minorHAnsi" w:hAnsiTheme="minorHAnsi"/>
        </w:rPr>
        <w:t>the individual associations between key characteristics and employment status adjusted for other relevant characteristics</w:t>
      </w:r>
    </w:p>
    <w:p w:rsidRPr="003E4241" w:rsidR="003E4241" w:rsidP="003E4241" w:rsidRDefault="003E4241">
      <w:pPr>
        <w:pStyle w:val="C3-CtrSp12"/>
        <w:jc w:val="left"/>
        <w:rPr>
          <w:rStyle w:val="P1-StandParaChar"/>
          <w:rFonts w:asciiTheme="minorHAnsi" w:hAnsiTheme="minorHAnsi" w:eastAsiaTheme="minorHAnsi"/>
        </w:rPr>
      </w:pPr>
    </w:p>
    <w:p w:rsidRPr="00BF1E08" w:rsidR="0089458C" w:rsidP="0089458C" w:rsidRDefault="0089458C">
      <w:pPr>
        <w:pStyle w:val="P1-StandPara"/>
        <w:ind w:firstLine="0"/>
        <w:rPr>
          <w:rFonts w:asciiTheme="minorHAnsi" w:hAnsiTheme="minorHAnsi"/>
          <w:b/>
        </w:rPr>
      </w:pPr>
      <w:r w:rsidRPr="00BF1E08">
        <w:rPr>
          <w:rFonts w:asciiTheme="minorHAnsi" w:hAnsiTheme="minorHAnsi"/>
          <w:b/>
        </w:rPr>
        <w:t>The Study Team</w:t>
      </w:r>
    </w:p>
    <w:p w:rsidR="0089458C" w:rsidP="0089458C" w:rsidRDefault="0089458C">
      <w:pPr>
        <w:pStyle w:val="P1-StandPara"/>
        <w:ind w:firstLine="0"/>
        <w:rPr>
          <w:rFonts w:asciiTheme="minorHAnsi" w:hAnsiTheme="minorHAnsi"/>
        </w:rPr>
      </w:pPr>
      <w:r w:rsidRPr="003E4241">
        <w:rPr>
          <w:rFonts w:asciiTheme="minorHAnsi" w:hAnsiTheme="minorHAnsi"/>
        </w:rPr>
        <w:t>The study team includes Westat, the primary survey contractor, and Social Policy Research Associates (SPRA). Westat</w:t>
      </w:r>
      <w:r w:rsidR="009F1C69">
        <w:rPr>
          <w:rFonts w:asciiTheme="minorHAnsi" w:hAnsiTheme="minorHAnsi"/>
        </w:rPr>
        <w:t>, a social science research company,</w:t>
      </w:r>
      <w:r w:rsidRPr="003E4241">
        <w:rPr>
          <w:rFonts w:asciiTheme="minorHAnsi" w:hAnsiTheme="minorHAnsi"/>
        </w:rPr>
        <w:t xml:space="preserve"> is responsible for the study design, data collection, and analysis. SPRA leads the survey instrument design and contributes to the study design and analysis. </w:t>
      </w:r>
      <w:r w:rsidR="00ED51B1">
        <w:rPr>
          <w:rFonts w:asciiTheme="minorHAnsi" w:hAnsiTheme="minorHAnsi"/>
        </w:rPr>
        <w:t xml:space="preserve">USDA FNS </w:t>
      </w:r>
      <w:r w:rsidR="00D919AB">
        <w:rPr>
          <w:rFonts w:asciiTheme="minorHAnsi" w:hAnsiTheme="minorHAnsi"/>
        </w:rPr>
        <w:t xml:space="preserve">is sponsoring this data collection and </w:t>
      </w:r>
      <w:r w:rsidR="00ED51B1">
        <w:rPr>
          <w:rFonts w:asciiTheme="minorHAnsi" w:hAnsiTheme="minorHAnsi"/>
        </w:rPr>
        <w:t>provides oversight and guidance of the study.</w:t>
      </w:r>
      <w:bookmarkStart w:name="_GoBack" w:id="0"/>
      <w:bookmarkEnd w:id="0"/>
    </w:p>
    <w:p w:rsidR="0089458C" w:rsidP="003E4241" w:rsidRDefault="0089458C">
      <w:pPr>
        <w:pStyle w:val="P1-StandPara"/>
        <w:ind w:firstLine="0"/>
        <w:rPr>
          <w:rFonts w:asciiTheme="minorHAnsi" w:hAnsiTheme="minorHAnsi"/>
          <w:b/>
        </w:rPr>
      </w:pPr>
    </w:p>
    <w:p w:rsidRPr="00BF1E08" w:rsidR="00BF1E08" w:rsidP="003E4241" w:rsidRDefault="00BF1E08">
      <w:pPr>
        <w:pStyle w:val="P1-StandPara"/>
        <w:ind w:firstLine="0"/>
        <w:rPr>
          <w:rFonts w:asciiTheme="minorHAnsi" w:hAnsiTheme="minorHAnsi"/>
          <w:b/>
        </w:rPr>
      </w:pPr>
      <w:r w:rsidRPr="00BF1E08">
        <w:rPr>
          <w:rFonts w:asciiTheme="minorHAnsi" w:hAnsiTheme="minorHAnsi"/>
          <w:b/>
        </w:rPr>
        <w:t>Policy Context</w:t>
      </w:r>
    </w:p>
    <w:p w:rsidRPr="003E4241" w:rsidR="003E4241" w:rsidP="003E4241" w:rsidRDefault="003E4241">
      <w:pPr>
        <w:pStyle w:val="P1-StandPara"/>
        <w:ind w:firstLine="0"/>
        <w:rPr>
          <w:rStyle w:val="P1-StandParaChar"/>
          <w:rFonts w:asciiTheme="minorHAnsi" w:hAnsiTheme="minorHAnsi" w:eastAsiaTheme="minorHAnsi"/>
        </w:rPr>
      </w:pPr>
      <w:r w:rsidRPr="003E4241">
        <w:rPr>
          <w:rFonts w:asciiTheme="minorHAnsi" w:hAnsiTheme="minorHAnsi"/>
        </w:rPr>
        <w:t xml:space="preserve">The survey will provide information on the extent to which SNAP participants face challenges that interfere with compliance with work requirements or participation in training programs, and ultimately, obtaining and retaining jobs. By seeking to understand the employability of SNAP participants, this study will provide information about individuals vulnerable to losing SNAP benefits due to weak connection to the labor market. The results of this study can be used by SNAP E&amp;T administrators to design programs that are tailored to the specific work histories and barriers faced by SNAP participants in their local environments. </w:t>
      </w:r>
    </w:p>
    <w:p w:rsidR="003E4241" w:rsidP="003E4241" w:rsidRDefault="003E4241">
      <w:pPr>
        <w:pStyle w:val="P1-StandPara"/>
        <w:ind w:firstLine="0"/>
        <w:rPr>
          <w:rFonts w:eastAsia="Garamond" w:asciiTheme="minorHAnsi" w:hAnsiTheme="minorHAnsi"/>
        </w:rPr>
      </w:pPr>
    </w:p>
    <w:p w:rsidRPr="00BF1E08" w:rsidR="00BF1E08" w:rsidP="003E4241" w:rsidRDefault="00BF1E08">
      <w:pPr>
        <w:pStyle w:val="P1-StandPara"/>
        <w:ind w:firstLine="0"/>
        <w:rPr>
          <w:rFonts w:asciiTheme="minorHAnsi" w:hAnsiTheme="minorHAnsi"/>
          <w:b/>
        </w:rPr>
      </w:pPr>
      <w:r w:rsidRPr="00BF1E08">
        <w:rPr>
          <w:rFonts w:asciiTheme="minorHAnsi" w:hAnsiTheme="minorHAnsi"/>
          <w:b/>
        </w:rPr>
        <w:t>Study Population</w:t>
      </w:r>
    </w:p>
    <w:p w:rsidR="00BF1E08" w:rsidP="003E4241" w:rsidRDefault="003E4241">
      <w:pPr>
        <w:pStyle w:val="P1-StandPara"/>
        <w:ind w:firstLine="0"/>
        <w:rPr>
          <w:rFonts w:asciiTheme="minorHAnsi" w:hAnsiTheme="minorHAnsi"/>
        </w:rPr>
      </w:pPr>
      <w:r w:rsidRPr="003E4241">
        <w:rPr>
          <w:rFonts w:asciiTheme="minorHAnsi" w:hAnsiTheme="minorHAnsi"/>
        </w:rPr>
        <w:t xml:space="preserve">The study focuses on SNAP recipients who are nondisabled and ages 18 to 69.  This population includes work registrants and </w:t>
      </w:r>
      <w:r w:rsidR="00ED51B1">
        <w:rPr>
          <w:rFonts w:asciiTheme="minorHAnsi" w:hAnsiTheme="minorHAnsi"/>
        </w:rPr>
        <w:t>Able-Bodied Adults without Dependents (</w:t>
      </w:r>
      <w:r w:rsidRPr="003E4241">
        <w:rPr>
          <w:rFonts w:asciiTheme="minorHAnsi" w:hAnsiTheme="minorHAnsi"/>
        </w:rPr>
        <w:t>ABAWDs</w:t>
      </w:r>
      <w:r w:rsidR="00ED51B1">
        <w:rPr>
          <w:rFonts w:asciiTheme="minorHAnsi" w:hAnsiTheme="minorHAnsi"/>
        </w:rPr>
        <w:t>)</w:t>
      </w:r>
      <w:r w:rsidRPr="003E4241">
        <w:rPr>
          <w:rFonts w:asciiTheme="minorHAnsi" w:hAnsiTheme="minorHAnsi"/>
        </w:rPr>
        <w:t xml:space="preserve">, as well as individuals not required to register for work or participate in SNAP work programs. </w:t>
      </w:r>
    </w:p>
    <w:p w:rsidR="00037F17" w:rsidP="003E4241" w:rsidRDefault="00037F17">
      <w:pPr>
        <w:pStyle w:val="P1-StandPara"/>
        <w:ind w:firstLine="0"/>
        <w:rPr>
          <w:rFonts w:asciiTheme="minorHAnsi" w:hAnsiTheme="minorHAnsi"/>
        </w:rPr>
      </w:pPr>
    </w:p>
    <w:p w:rsidRPr="0089458C" w:rsidR="00835D28" w:rsidP="00037F17" w:rsidRDefault="0089458C">
      <w:pPr>
        <w:pStyle w:val="P1-StandPara"/>
        <w:ind w:firstLine="0"/>
        <w:rPr>
          <w:rFonts w:asciiTheme="minorHAnsi" w:hAnsiTheme="minorHAnsi"/>
          <w:b/>
        </w:rPr>
      </w:pPr>
      <w:r w:rsidRPr="0089458C">
        <w:rPr>
          <w:rFonts w:asciiTheme="minorHAnsi" w:hAnsiTheme="minorHAnsi"/>
          <w:b/>
        </w:rPr>
        <w:t>The Survey Sample</w:t>
      </w:r>
    </w:p>
    <w:p w:rsidRPr="00835D28" w:rsidR="00835D28" w:rsidP="00835D28" w:rsidRDefault="005C6C59">
      <w:pPr>
        <w:pStyle w:val="P1-StandPara"/>
        <w:ind w:firstLine="0"/>
        <w:rPr>
          <w:rFonts w:eastAsia="Garamond" w:asciiTheme="minorHAnsi" w:hAnsiTheme="minorHAnsi"/>
        </w:rPr>
      </w:pPr>
      <w:r w:rsidRPr="003E4241">
        <w:rPr>
          <w:rFonts w:asciiTheme="minorHAnsi" w:hAnsiTheme="minorHAnsi"/>
        </w:rPr>
        <w:t>The study team</w:t>
      </w:r>
      <w:r w:rsidR="00835D28">
        <w:rPr>
          <w:rFonts w:eastAsia="Garamond" w:asciiTheme="minorHAnsi" w:hAnsiTheme="minorHAnsi"/>
        </w:rPr>
        <w:t xml:space="preserve"> </w:t>
      </w:r>
      <w:r w:rsidRPr="00835D28" w:rsidR="00835D28">
        <w:rPr>
          <w:rFonts w:eastAsia="Garamond" w:asciiTheme="minorHAnsi" w:hAnsiTheme="minorHAnsi"/>
        </w:rPr>
        <w:t xml:space="preserve">will use a two-stage sample design. In the first stage, </w:t>
      </w:r>
      <w:r>
        <w:rPr>
          <w:rFonts w:eastAsia="Garamond" w:asciiTheme="minorHAnsi" w:hAnsiTheme="minorHAnsi"/>
        </w:rPr>
        <w:t>we</w:t>
      </w:r>
      <w:r w:rsidRPr="00835D28" w:rsidR="00835D28">
        <w:rPr>
          <w:rFonts w:eastAsia="Garamond" w:asciiTheme="minorHAnsi" w:hAnsiTheme="minorHAnsi"/>
        </w:rPr>
        <w:t xml:space="preserve"> will select primary sampling units (PSUs) in each State and the District of Columbia (DC) </w:t>
      </w:r>
      <w:r w:rsidR="00ED51B1">
        <w:rPr>
          <w:rFonts w:eastAsia="Garamond" w:asciiTheme="minorHAnsi" w:hAnsiTheme="minorHAnsi"/>
        </w:rPr>
        <w:t>to represent</w:t>
      </w:r>
      <w:r w:rsidRPr="00835D28" w:rsidR="00835D28">
        <w:rPr>
          <w:rFonts w:eastAsia="Garamond" w:asciiTheme="minorHAnsi" w:hAnsiTheme="minorHAnsi"/>
        </w:rPr>
        <w:t xml:space="preserve"> the </w:t>
      </w:r>
      <w:r w:rsidR="00ED51B1">
        <w:rPr>
          <w:rFonts w:eastAsia="Garamond" w:asciiTheme="minorHAnsi" w:hAnsiTheme="minorHAnsi"/>
        </w:rPr>
        <w:t xml:space="preserve">proportional </w:t>
      </w:r>
      <w:r w:rsidRPr="00835D28" w:rsidR="00835D28">
        <w:rPr>
          <w:rFonts w:eastAsia="Garamond" w:asciiTheme="minorHAnsi" w:hAnsiTheme="minorHAnsi"/>
        </w:rPr>
        <w:t>number of SNAP participants.</w:t>
      </w:r>
      <w:r w:rsidR="00B522D2">
        <w:rPr>
          <w:rFonts w:eastAsia="Garamond" w:asciiTheme="minorHAnsi" w:hAnsiTheme="minorHAnsi"/>
        </w:rPr>
        <w:t xml:space="preserve"> PSUs will be counties or groups of small counties</w:t>
      </w:r>
      <w:r w:rsidR="00ED51B1">
        <w:rPr>
          <w:rFonts w:eastAsia="Garamond" w:asciiTheme="minorHAnsi" w:hAnsiTheme="minorHAnsi"/>
        </w:rPr>
        <w:t xml:space="preserve"> and</w:t>
      </w:r>
      <w:r w:rsidR="00B522D2">
        <w:rPr>
          <w:rFonts w:asciiTheme="minorHAnsi" w:hAnsiTheme="minorHAnsi"/>
        </w:rPr>
        <w:t xml:space="preserve"> include representation of rural and urban areas.</w:t>
      </w:r>
    </w:p>
    <w:p w:rsidRPr="00835D28" w:rsidR="00835D28" w:rsidP="00835D28" w:rsidRDefault="00835D28">
      <w:pPr>
        <w:pStyle w:val="P1-StandPara"/>
        <w:ind w:firstLine="0"/>
        <w:rPr>
          <w:rFonts w:eastAsia="Garamond" w:asciiTheme="minorHAnsi" w:hAnsiTheme="minorHAnsi"/>
        </w:rPr>
      </w:pPr>
    </w:p>
    <w:p w:rsidR="009F1C69" w:rsidP="00835D28" w:rsidRDefault="00835D28">
      <w:pPr>
        <w:pStyle w:val="P1-StandPara"/>
        <w:ind w:firstLine="0"/>
        <w:rPr>
          <w:rFonts w:eastAsia="Garamond" w:asciiTheme="minorHAnsi" w:hAnsiTheme="minorHAnsi"/>
          <w:spacing w:val="-2"/>
        </w:rPr>
      </w:pPr>
      <w:r w:rsidRPr="00835D28">
        <w:rPr>
          <w:rFonts w:eastAsia="Garamond" w:asciiTheme="minorHAnsi" w:hAnsiTheme="minorHAnsi"/>
        </w:rPr>
        <w:t xml:space="preserve">At the second stage, </w:t>
      </w:r>
      <w:r w:rsidR="005C6C59">
        <w:rPr>
          <w:rFonts w:eastAsia="Garamond" w:asciiTheme="minorHAnsi" w:hAnsiTheme="minorHAnsi"/>
        </w:rPr>
        <w:t>we</w:t>
      </w:r>
      <w:r w:rsidR="0089458C">
        <w:rPr>
          <w:rFonts w:eastAsia="Garamond" w:asciiTheme="minorHAnsi" w:hAnsiTheme="minorHAnsi"/>
        </w:rPr>
        <w:t xml:space="preserve"> </w:t>
      </w:r>
      <w:r w:rsidRPr="00835D28">
        <w:rPr>
          <w:rFonts w:eastAsia="Garamond" w:asciiTheme="minorHAnsi" w:hAnsiTheme="minorHAnsi"/>
        </w:rPr>
        <w:t>will sample nondisabled SNAP participants ages 18 to 69 in each PSU. SNAP participants include all SNAP participants living in SNAP households and eligible to receive SNAP benefits. We will select the sample in each State from SNAP participants during a calendar month</w:t>
      </w:r>
      <w:r w:rsidR="0089458C">
        <w:rPr>
          <w:rFonts w:eastAsia="Garamond" w:asciiTheme="minorHAnsi" w:hAnsiTheme="minorHAnsi"/>
        </w:rPr>
        <w:t>.</w:t>
      </w:r>
      <w:r w:rsidR="009F1C69">
        <w:rPr>
          <w:rFonts w:eastAsia="Garamond" w:asciiTheme="minorHAnsi" w:hAnsiTheme="minorHAnsi"/>
        </w:rPr>
        <w:t xml:space="preserve"> </w:t>
      </w:r>
      <w:r w:rsidRPr="00835D28">
        <w:rPr>
          <w:rFonts w:eastAsia="Garamond" w:asciiTheme="minorHAnsi" w:hAnsiTheme="minorHAnsi"/>
          <w:spacing w:val="-2"/>
        </w:rPr>
        <w:t xml:space="preserve">We </w:t>
      </w:r>
      <w:r w:rsidR="009F1C69">
        <w:rPr>
          <w:rFonts w:eastAsia="Garamond" w:asciiTheme="minorHAnsi" w:hAnsiTheme="minorHAnsi"/>
          <w:spacing w:val="-2"/>
        </w:rPr>
        <w:t>will need a sample of about 1,</w:t>
      </w:r>
      <w:r w:rsidR="002F2C48">
        <w:rPr>
          <w:rFonts w:eastAsia="Garamond" w:asciiTheme="minorHAnsi" w:hAnsiTheme="minorHAnsi"/>
          <w:spacing w:val="-2"/>
        </w:rPr>
        <w:t>733</w:t>
      </w:r>
      <w:r w:rsidR="009F1C69">
        <w:rPr>
          <w:rFonts w:eastAsia="Garamond" w:asciiTheme="minorHAnsi" w:hAnsiTheme="minorHAnsi"/>
          <w:spacing w:val="-2"/>
        </w:rPr>
        <w:t xml:space="preserve"> SNAP participants per state to achieve </w:t>
      </w:r>
      <w:r w:rsidR="002F2C48">
        <w:rPr>
          <w:rFonts w:eastAsia="Garamond" w:asciiTheme="minorHAnsi" w:hAnsiTheme="minorHAnsi"/>
          <w:spacing w:val="-2"/>
        </w:rPr>
        <w:t>780</w:t>
      </w:r>
      <w:r w:rsidRPr="00835D28">
        <w:rPr>
          <w:rFonts w:eastAsia="Garamond" w:asciiTheme="minorHAnsi" w:hAnsiTheme="minorHAnsi"/>
          <w:spacing w:val="-2"/>
        </w:rPr>
        <w:t xml:space="preserve"> completed interviews per State. </w:t>
      </w:r>
      <w:r w:rsidR="0019617E">
        <w:rPr>
          <w:rFonts w:eastAsia="Garamond" w:asciiTheme="minorHAnsi" w:hAnsiTheme="minorHAnsi"/>
          <w:spacing w:val="-2"/>
        </w:rPr>
        <w:t xml:space="preserve">These numbers will provide a high level of statistical precision for State-level </w:t>
      </w:r>
      <w:r w:rsidR="00ED51B1">
        <w:rPr>
          <w:rFonts w:eastAsia="Garamond" w:asciiTheme="minorHAnsi" w:hAnsiTheme="minorHAnsi"/>
          <w:spacing w:val="-2"/>
        </w:rPr>
        <w:t>statistics</w:t>
      </w:r>
      <w:r w:rsidR="0019617E">
        <w:rPr>
          <w:rFonts w:eastAsia="Garamond" w:asciiTheme="minorHAnsi" w:hAnsiTheme="minorHAnsi"/>
          <w:spacing w:val="-2"/>
        </w:rPr>
        <w:t>.</w:t>
      </w:r>
    </w:p>
    <w:p w:rsidR="009F1C69" w:rsidP="00835D28" w:rsidRDefault="009F1C69">
      <w:pPr>
        <w:pStyle w:val="P1-StandPara"/>
        <w:ind w:firstLine="0"/>
        <w:rPr>
          <w:rFonts w:eastAsia="Garamond" w:asciiTheme="minorHAnsi" w:hAnsiTheme="minorHAnsi"/>
          <w:spacing w:val="-2"/>
        </w:rPr>
      </w:pPr>
    </w:p>
    <w:p w:rsidRPr="009F1C69" w:rsidR="009F1C69" w:rsidP="00835D28" w:rsidRDefault="009F1C69">
      <w:pPr>
        <w:pStyle w:val="P1-StandPara"/>
        <w:ind w:firstLine="0"/>
        <w:rPr>
          <w:rFonts w:eastAsia="Garamond" w:asciiTheme="minorHAnsi" w:hAnsiTheme="minorHAnsi"/>
          <w:b/>
          <w:spacing w:val="-2"/>
        </w:rPr>
      </w:pPr>
      <w:r w:rsidRPr="009F1C69">
        <w:rPr>
          <w:rFonts w:eastAsia="Garamond" w:asciiTheme="minorHAnsi" w:hAnsiTheme="minorHAnsi"/>
          <w:b/>
          <w:spacing w:val="-2"/>
        </w:rPr>
        <w:t>Data Collection</w:t>
      </w:r>
    </w:p>
    <w:p w:rsidR="009F1C69" w:rsidP="00835D28" w:rsidRDefault="00835D28">
      <w:pPr>
        <w:pStyle w:val="P1-StandPara"/>
        <w:ind w:firstLine="0"/>
        <w:rPr>
          <w:rFonts w:asciiTheme="minorHAnsi" w:hAnsiTheme="minorHAnsi"/>
        </w:rPr>
      </w:pPr>
      <w:r w:rsidRPr="00835D28">
        <w:rPr>
          <w:rFonts w:eastAsia="Garamond" w:asciiTheme="minorHAnsi" w:hAnsiTheme="minorHAnsi"/>
        </w:rPr>
        <w:t xml:space="preserve">The data collection will </w:t>
      </w:r>
      <w:r w:rsidR="00ED51B1">
        <w:rPr>
          <w:rFonts w:eastAsia="Garamond" w:asciiTheme="minorHAnsi" w:hAnsiTheme="minorHAnsi"/>
        </w:rPr>
        <w:t xml:space="preserve">include the </w:t>
      </w:r>
      <w:r w:rsidRPr="00835D28">
        <w:rPr>
          <w:rFonts w:eastAsia="Garamond" w:asciiTheme="minorHAnsi" w:hAnsiTheme="minorHAnsi"/>
        </w:rPr>
        <w:t xml:space="preserve">use </w:t>
      </w:r>
      <w:r w:rsidR="00ED51B1">
        <w:rPr>
          <w:rFonts w:eastAsia="Garamond" w:asciiTheme="minorHAnsi" w:hAnsiTheme="minorHAnsi"/>
        </w:rPr>
        <w:t xml:space="preserve">of a </w:t>
      </w:r>
      <w:r w:rsidRPr="00835D28">
        <w:rPr>
          <w:rFonts w:eastAsia="Garamond" w:asciiTheme="minorHAnsi" w:hAnsiTheme="minorHAnsi"/>
        </w:rPr>
        <w:t>web</w:t>
      </w:r>
      <w:r w:rsidR="00ED51B1">
        <w:rPr>
          <w:rFonts w:eastAsia="Garamond" w:asciiTheme="minorHAnsi" w:hAnsiTheme="minorHAnsi"/>
        </w:rPr>
        <w:t xml:space="preserve"> survey and a</w:t>
      </w:r>
      <w:r w:rsidRPr="00835D28">
        <w:rPr>
          <w:rFonts w:eastAsia="Garamond" w:asciiTheme="minorHAnsi" w:hAnsiTheme="minorHAnsi"/>
        </w:rPr>
        <w:t xml:space="preserve"> telephone</w:t>
      </w:r>
      <w:r w:rsidR="00ED51B1">
        <w:rPr>
          <w:rFonts w:eastAsia="Garamond" w:asciiTheme="minorHAnsi" w:hAnsiTheme="minorHAnsi"/>
        </w:rPr>
        <w:t xml:space="preserve"> survey</w:t>
      </w:r>
      <w:r w:rsidRPr="00835D28">
        <w:rPr>
          <w:rFonts w:eastAsia="Garamond" w:asciiTheme="minorHAnsi" w:hAnsiTheme="minorHAnsi"/>
        </w:rPr>
        <w:t xml:space="preserve">, </w:t>
      </w:r>
      <w:r w:rsidR="00ED51B1">
        <w:rPr>
          <w:rFonts w:eastAsia="Garamond" w:asciiTheme="minorHAnsi" w:hAnsiTheme="minorHAnsi"/>
        </w:rPr>
        <w:t>followed by field</w:t>
      </w:r>
      <w:r w:rsidR="002F2C48">
        <w:rPr>
          <w:rFonts w:eastAsia="Garamond" w:asciiTheme="minorHAnsi" w:hAnsiTheme="minorHAnsi"/>
        </w:rPr>
        <w:t xml:space="preserve"> location</w:t>
      </w:r>
      <w:r w:rsidR="00ED51B1">
        <w:rPr>
          <w:rFonts w:eastAsia="Garamond" w:asciiTheme="minorHAnsi" w:hAnsiTheme="minorHAnsi"/>
        </w:rPr>
        <w:t xml:space="preserve"> of </w:t>
      </w:r>
      <w:r w:rsidRPr="00835D28">
        <w:rPr>
          <w:rFonts w:eastAsia="Garamond" w:asciiTheme="minorHAnsi" w:hAnsiTheme="minorHAnsi"/>
        </w:rPr>
        <w:t xml:space="preserve">a subsample of </w:t>
      </w:r>
      <w:r w:rsidR="00EB0D78">
        <w:rPr>
          <w:rFonts w:eastAsia="Garamond" w:asciiTheme="minorHAnsi" w:hAnsiTheme="minorHAnsi"/>
        </w:rPr>
        <w:t>survey non-</w:t>
      </w:r>
      <w:r w:rsidRPr="00835D28">
        <w:rPr>
          <w:rFonts w:eastAsia="Garamond" w:asciiTheme="minorHAnsi" w:hAnsiTheme="minorHAnsi"/>
        </w:rPr>
        <w:t xml:space="preserve">respondents. </w:t>
      </w:r>
      <w:r w:rsidRPr="00835D28">
        <w:rPr>
          <w:rFonts w:asciiTheme="minorHAnsi" w:hAnsiTheme="minorHAnsi"/>
        </w:rPr>
        <w:t xml:space="preserve">Within each State, the total </w:t>
      </w:r>
      <w:r w:rsidR="00EB0D78">
        <w:rPr>
          <w:rFonts w:asciiTheme="minorHAnsi" w:hAnsiTheme="minorHAnsi"/>
        </w:rPr>
        <w:t xml:space="preserve">data collection </w:t>
      </w:r>
      <w:r w:rsidRPr="00835D28">
        <w:rPr>
          <w:rFonts w:asciiTheme="minorHAnsi" w:hAnsiTheme="minorHAnsi"/>
        </w:rPr>
        <w:t xml:space="preserve">will be </w:t>
      </w:r>
      <w:r w:rsidR="009F1C69">
        <w:rPr>
          <w:rFonts w:asciiTheme="minorHAnsi" w:hAnsiTheme="minorHAnsi"/>
        </w:rPr>
        <w:t xml:space="preserve">about </w:t>
      </w:r>
      <w:r w:rsidRPr="00835D28">
        <w:rPr>
          <w:rFonts w:asciiTheme="minorHAnsi" w:hAnsiTheme="minorHAnsi"/>
        </w:rPr>
        <w:t xml:space="preserve">14 weeks. </w:t>
      </w:r>
      <w:r w:rsidR="009F1C69">
        <w:rPr>
          <w:rFonts w:asciiTheme="minorHAnsi" w:hAnsiTheme="minorHAnsi"/>
        </w:rPr>
        <w:t xml:space="preserve">The data collection </w:t>
      </w:r>
      <w:r w:rsidR="002F2C48">
        <w:rPr>
          <w:rFonts w:asciiTheme="minorHAnsi" w:hAnsiTheme="minorHAnsi"/>
        </w:rPr>
        <w:t>will</w:t>
      </w:r>
      <w:r w:rsidR="009F1C69">
        <w:rPr>
          <w:rFonts w:asciiTheme="minorHAnsi" w:hAnsiTheme="minorHAnsi"/>
        </w:rPr>
        <w:t xml:space="preserve"> occur in the </w:t>
      </w:r>
      <w:r w:rsidR="002F2C48">
        <w:rPr>
          <w:rFonts w:asciiTheme="minorHAnsi" w:hAnsiTheme="minorHAnsi"/>
        </w:rPr>
        <w:t xml:space="preserve">first </w:t>
      </w:r>
      <w:r w:rsidR="009F1C69">
        <w:rPr>
          <w:rFonts w:asciiTheme="minorHAnsi" w:hAnsiTheme="minorHAnsi"/>
        </w:rPr>
        <w:t xml:space="preserve">half of </w:t>
      </w:r>
      <w:r w:rsidR="002F2C48">
        <w:rPr>
          <w:rFonts w:asciiTheme="minorHAnsi" w:hAnsiTheme="minorHAnsi"/>
        </w:rPr>
        <w:t>2021</w:t>
      </w:r>
      <w:r w:rsidR="0019617E">
        <w:rPr>
          <w:rFonts w:asciiTheme="minorHAnsi" w:hAnsiTheme="minorHAnsi"/>
        </w:rPr>
        <w:t xml:space="preserve"> (after receiving federal approval for the data collection)</w:t>
      </w:r>
      <w:r w:rsidR="009F1C69">
        <w:rPr>
          <w:rFonts w:asciiTheme="minorHAnsi" w:hAnsiTheme="minorHAnsi"/>
        </w:rPr>
        <w:t>.</w:t>
      </w:r>
    </w:p>
    <w:p w:rsidR="009F1C69" w:rsidP="00835D28" w:rsidRDefault="009F1C69">
      <w:pPr>
        <w:pStyle w:val="P1-StandPara"/>
        <w:ind w:firstLine="0"/>
        <w:rPr>
          <w:rFonts w:asciiTheme="minorHAnsi" w:hAnsiTheme="minorHAnsi"/>
        </w:rPr>
      </w:pPr>
    </w:p>
    <w:p w:rsidRPr="009F1C69" w:rsidR="009F1C69" w:rsidP="00835D28" w:rsidRDefault="009F1C69">
      <w:pPr>
        <w:pStyle w:val="P1-StandPara"/>
        <w:ind w:firstLine="0"/>
        <w:rPr>
          <w:rFonts w:cs="Garamond" w:asciiTheme="minorHAnsi" w:hAnsiTheme="minorHAnsi"/>
          <w:b/>
        </w:rPr>
      </w:pPr>
      <w:r w:rsidRPr="009F1C69">
        <w:rPr>
          <w:rFonts w:cs="Garamond" w:asciiTheme="minorHAnsi" w:hAnsiTheme="minorHAnsi"/>
          <w:b/>
        </w:rPr>
        <w:t>Analysis of Survey Results</w:t>
      </w:r>
    </w:p>
    <w:p w:rsidR="00037F17" w:rsidP="00037F17" w:rsidRDefault="00D919AB">
      <w:pPr>
        <w:pStyle w:val="P1-StandPara"/>
        <w:ind w:firstLine="0"/>
        <w:rPr>
          <w:rFonts w:asciiTheme="minorHAnsi" w:hAnsiTheme="minorHAnsi"/>
        </w:rPr>
      </w:pPr>
      <w:r>
        <w:rPr>
          <w:rFonts w:cs="Garamond" w:asciiTheme="minorHAnsi" w:hAnsiTheme="minorHAnsi"/>
        </w:rPr>
        <w:lastRenderedPageBreak/>
        <w:t>The study team</w:t>
      </w:r>
      <w:r w:rsidRPr="00835D28" w:rsidR="00835D28">
        <w:rPr>
          <w:rFonts w:cs="Garamond" w:asciiTheme="minorHAnsi" w:hAnsiTheme="minorHAnsi"/>
        </w:rPr>
        <w:t xml:space="preserve"> will conduct National-level and State-level analyses to answer the study objectives. Specifically, </w:t>
      </w:r>
      <w:r w:rsidR="009F1C69">
        <w:rPr>
          <w:rFonts w:cs="Garamond" w:asciiTheme="minorHAnsi" w:hAnsiTheme="minorHAnsi"/>
        </w:rPr>
        <w:t>it</w:t>
      </w:r>
      <w:r w:rsidRPr="00835D28" w:rsidR="00835D28">
        <w:rPr>
          <w:rFonts w:cs="Garamond" w:asciiTheme="minorHAnsi" w:hAnsiTheme="minorHAnsi"/>
        </w:rPr>
        <w:t xml:space="preserve"> will use descriptive analysis to understand the employment of SNAP participants and differences between key subgroups. We will use regression analysis to examine the association between employment and social, health, and personal factors. At the National-level,</w:t>
      </w:r>
      <w:r w:rsidRPr="00835D28" w:rsidR="00835D28">
        <w:rPr>
          <w:rFonts w:asciiTheme="minorHAnsi" w:hAnsiTheme="minorHAnsi"/>
        </w:rPr>
        <w:t xml:space="preserve"> additional analyses will be possible owing to the high level of precision. These include estimates for small subgroups. </w:t>
      </w:r>
    </w:p>
    <w:p w:rsidRPr="003E4241" w:rsidR="00037F17" w:rsidP="003E4241" w:rsidRDefault="00C10534">
      <w:pPr>
        <w:pStyle w:val="P1-StandPara"/>
        <w:ind w:firstLine="0"/>
        <w:rPr>
          <w:rFonts w:asciiTheme="minorHAnsi" w:hAnsiTheme="minorHAnsi"/>
        </w:rPr>
      </w:pPr>
      <w:r>
        <w:rPr>
          <w:noProof/>
        </w:rPr>
        <mc:AlternateContent>
          <mc:Choice Requires="wps">
            <w:drawing>
              <wp:anchor distT="0" distB="0" distL="114300" distR="114300" simplePos="0" relativeHeight="251659264" behindDoc="0" locked="0" layoutInCell="1" allowOverlap="1" wp14:editId="60985B48" wp14:anchorId="3F98B659">
                <wp:simplePos x="0" y="0"/>
                <wp:positionH relativeFrom="column">
                  <wp:posOffset>-257175</wp:posOffset>
                </wp:positionH>
                <wp:positionV relativeFrom="paragraph">
                  <wp:posOffset>85725</wp:posOffset>
                </wp:positionV>
                <wp:extent cx="6610350" cy="88201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882015"/>
                        </a:xfrm>
                        <a:prstGeom prst="rect">
                          <a:avLst/>
                        </a:prstGeom>
                        <a:solidFill>
                          <a:srgbClr val="FFFFFF"/>
                        </a:solidFill>
                        <a:ln w="9525">
                          <a:solidFill>
                            <a:srgbClr val="000000"/>
                          </a:solidFill>
                          <a:miter lim="800000"/>
                          <a:headEnd/>
                          <a:tailEnd/>
                        </a:ln>
                      </wps:spPr>
                      <wps:txbx>
                        <w:txbxContent>
                          <w:p w:rsidRPr="00376FC0" w:rsidR="00D14E44" w:rsidP="00D14E44" w:rsidRDefault="00D14E44">
                            <w:pPr>
                              <w:tabs>
                                <w:tab w:val="center" w:pos="4680"/>
                                <w:tab w:val="right" w:pos="9360"/>
                              </w:tabs>
                              <w:rPr>
                                <w:rFonts w:ascii="Calibri" w:hAnsi="Calibri"/>
                              </w:rPr>
                            </w:pPr>
                            <w:r w:rsidRPr="00376FC0">
                              <w:rPr>
                                <w:rFonts w:ascii="Arial" w:hAnsi="Arial" w:cs="Arial"/>
                                <w:sz w:val="16"/>
                                <w:szCs w:val="16"/>
                              </w:rPr>
                              <w:t>Public reporting burden for this collection of infor</w:t>
                            </w:r>
                            <w:r>
                              <w:rPr>
                                <w:rFonts w:ascii="Arial" w:hAnsi="Arial" w:cs="Arial"/>
                                <w:sz w:val="16"/>
                                <w:szCs w:val="16"/>
                              </w:rPr>
                              <w:t>mation is estimated to average 2</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3F11C0">
                              <w:rPr>
                                <w:rFonts w:ascii="Arial" w:hAnsi="Arial" w:cs="Arial"/>
                                <w:sz w:val="16"/>
                                <w:szCs w:val="16"/>
                              </w:rPr>
                              <w:t xml:space="preserve">Braddock Metro Center II, 1320 Braddock Place, Alexandria, VA  22314 </w:t>
                            </w:r>
                            <w:r w:rsidRPr="00376FC0" w:rsidR="003F11C0">
                              <w:rPr>
                                <w:rFonts w:ascii="Arial" w:hAnsi="Arial" w:cs="Arial"/>
                                <w:sz w:val="16"/>
                                <w:szCs w:val="16"/>
                              </w:rPr>
                              <w:t xml:space="preserve">ATTN: PRA (0584-xxxx*). </w:t>
                            </w:r>
                            <w:r w:rsidRPr="00376FC0">
                              <w:rPr>
                                <w:rFonts w:ascii="Arial" w:hAnsi="Arial" w:cs="Arial"/>
                                <w:sz w:val="16"/>
                                <w:szCs w:val="16"/>
                              </w:rPr>
                              <w:t xml:space="preserve"> </w:t>
                            </w:r>
                          </w:p>
                          <w:p w:rsidRPr="004879E3" w:rsidR="00C10534" w:rsidP="00C10534" w:rsidRDefault="00C10534">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98B659">
                <v:stroke joinstyle="miter"/>
                <v:path gradientshapeok="t" o:connecttype="rect"/>
              </v:shapetype>
              <v:shape id="Text Box 2" style="position:absolute;margin-left:-20.25pt;margin-top:6.75pt;width:520.5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">
                <v:textbox>
                  <w:txbxContent>
                    <w:p w:rsidRPr="00376FC0" w:rsidR="00D14E44" w:rsidP="00D14E44" w:rsidRDefault="00D14E44">
                      <w:pPr>
                        <w:tabs>
                          <w:tab w:val="center" w:pos="4680"/>
                          <w:tab w:val="right" w:pos="9360"/>
                        </w:tabs>
                        <w:rPr>
                          <w:rFonts w:ascii="Calibri" w:hAnsi="Calibri"/>
                        </w:rPr>
                      </w:pPr>
                      <w:r w:rsidRPr="00376FC0">
                        <w:rPr>
                          <w:rFonts w:ascii="Arial" w:hAnsi="Arial" w:cs="Arial"/>
                          <w:sz w:val="16"/>
                          <w:szCs w:val="16"/>
                        </w:rPr>
                        <w:t>Public reporting burden for this collection of infor</w:t>
                      </w:r>
                      <w:r>
                        <w:rPr>
                          <w:rFonts w:ascii="Arial" w:hAnsi="Arial" w:cs="Arial"/>
                          <w:sz w:val="16"/>
                          <w:szCs w:val="16"/>
                        </w:rPr>
                        <w:t xml:space="preserve">mation </w:t>
                      </w:r>
                      <w:proofErr w:type="gramStart"/>
                      <w:r>
                        <w:rPr>
                          <w:rFonts w:ascii="Arial" w:hAnsi="Arial" w:cs="Arial"/>
                          <w:sz w:val="16"/>
                          <w:szCs w:val="16"/>
                        </w:rPr>
                        <w:t>is estimated</w:t>
                      </w:r>
                      <w:proofErr w:type="gramEnd"/>
                      <w:r>
                        <w:rPr>
                          <w:rFonts w:ascii="Arial" w:hAnsi="Arial" w:cs="Arial"/>
                          <w:sz w:val="16"/>
                          <w:szCs w:val="16"/>
                        </w:rPr>
                        <w:t xml:space="preserve"> to average 2</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3F11C0">
                        <w:rPr>
                          <w:rFonts w:ascii="Arial" w:hAnsi="Arial" w:cs="Arial"/>
                          <w:sz w:val="16"/>
                          <w:szCs w:val="16"/>
                        </w:rPr>
                        <w:t xml:space="preserve">Braddock Metro Center II, 1320 Braddock Place, Alexandria, VA  22314 </w:t>
                      </w:r>
                      <w:r w:rsidRPr="00376FC0" w:rsidR="003F11C0">
                        <w:rPr>
                          <w:rFonts w:ascii="Arial" w:hAnsi="Arial" w:cs="Arial"/>
                          <w:sz w:val="16"/>
                          <w:szCs w:val="16"/>
                        </w:rPr>
                        <w:t xml:space="preserve">ATTN: PRA (0584-xxxx*). </w:t>
                      </w:r>
                      <w:r w:rsidRPr="00376FC0">
                        <w:rPr>
                          <w:rFonts w:ascii="Arial" w:hAnsi="Arial" w:cs="Arial"/>
                          <w:sz w:val="16"/>
                          <w:szCs w:val="16"/>
                        </w:rPr>
                        <w:t xml:space="preserve"> </w:t>
                      </w:r>
                    </w:p>
                    <w:p w:rsidRPr="004879E3" w:rsidR="00C10534" w:rsidP="00C10534" w:rsidRDefault="00C10534">
                      <w:pPr>
                        <w:rPr>
                          <w:szCs w:val="16"/>
                        </w:rPr>
                      </w:pPr>
                    </w:p>
                  </w:txbxContent>
                </v:textbox>
              </v:shape>
            </w:pict>
          </mc:Fallback>
        </mc:AlternateContent>
      </w:r>
    </w:p>
    <w:sectPr w:rsidRPr="003E4241" w:rsidR="00037F17">
      <w:headerReference w:type="first" r:id="rId7"/>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3D7" w:rsidRDefault="007D73D7">
      <w:r>
        <w:separator/>
      </w:r>
    </w:p>
  </w:endnote>
  <w:endnote w:type="continuationSeparator" w:id="0">
    <w:p w:rsidR="007D73D7" w:rsidRDefault="007D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3D7" w:rsidRDefault="007D73D7">
      <w:r>
        <w:separator/>
      </w:r>
    </w:p>
  </w:footnote>
  <w:footnote w:type="continuationSeparator" w:id="0">
    <w:p w:rsidR="007D73D7" w:rsidRDefault="007D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8B9" w:rsidRPr="00C10534" w:rsidRDefault="00BA58B9" w:rsidP="00BA58B9">
    <w:pPr>
      <w:pStyle w:val="C3-CtrSp12"/>
      <w:spacing w:line="240" w:lineRule="auto"/>
      <w:jc w:val="right"/>
      <w:rPr>
        <w:rFonts w:asciiTheme="minorHAnsi" w:hAnsiTheme="minorHAnsi"/>
        <w:sz w:val="20"/>
      </w:rPr>
    </w:pPr>
    <w:r>
      <w:rPr>
        <w:rFonts w:asciiTheme="minorHAnsi" w:hAnsiTheme="minorHAnsi"/>
        <w:sz w:val="20"/>
      </w:rPr>
      <w:t>OMB Number: 0584</w:t>
    </w:r>
    <w:r w:rsidRPr="00C10534">
      <w:rPr>
        <w:rFonts w:asciiTheme="minorHAnsi" w:hAnsiTheme="minorHAnsi"/>
        <w:sz w:val="20"/>
      </w:rPr>
      <w:t>-XXXX</w:t>
    </w:r>
  </w:p>
  <w:p w:rsidR="00BA58B9" w:rsidRPr="00C10534" w:rsidRDefault="00BA58B9" w:rsidP="00BA58B9">
    <w:pPr>
      <w:pStyle w:val="C3-CtrSp12"/>
      <w:spacing w:line="240" w:lineRule="auto"/>
      <w:ind w:left="5760"/>
      <w:jc w:val="right"/>
      <w:rPr>
        <w:rFonts w:asciiTheme="minorHAnsi" w:hAnsiTheme="minorHAnsi"/>
        <w:sz w:val="20"/>
      </w:rPr>
    </w:pPr>
    <w:r w:rsidRPr="00C10534">
      <w:rPr>
        <w:rFonts w:asciiTheme="minorHAnsi" w:hAnsiTheme="minorHAnsi"/>
        <w:sz w:val="20"/>
      </w:rPr>
      <w:t xml:space="preserve">      </w:t>
    </w:r>
    <w:r>
      <w:rPr>
        <w:rFonts w:asciiTheme="minorHAnsi" w:hAnsiTheme="minorHAnsi"/>
        <w:sz w:val="20"/>
      </w:rPr>
      <w:t xml:space="preserve">   </w:t>
    </w:r>
    <w:r w:rsidRPr="00C10534">
      <w:rPr>
        <w:rFonts w:asciiTheme="minorHAnsi" w:hAnsiTheme="minorHAnsi"/>
        <w:sz w:val="20"/>
      </w:rPr>
      <w:t xml:space="preserve"> Expiration Date:  XX/XX/20XX</w:t>
    </w:r>
  </w:p>
  <w:p w:rsidR="00BA58B9" w:rsidRDefault="00BA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96BED"/>
    <w:multiLevelType w:val="hybridMultilevel"/>
    <w:tmpl w:val="866A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32B1F"/>
    <w:multiLevelType w:val="hybridMultilevel"/>
    <w:tmpl w:val="880A6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8"/>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41"/>
    <w:rsid w:val="00025D1C"/>
    <w:rsid w:val="00037F17"/>
    <w:rsid w:val="0019617E"/>
    <w:rsid w:val="002223E1"/>
    <w:rsid w:val="002F0F31"/>
    <w:rsid w:val="002F2C48"/>
    <w:rsid w:val="00342BD4"/>
    <w:rsid w:val="003E4241"/>
    <w:rsid w:val="003F11C0"/>
    <w:rsid w:val="005C6C59"/>
    <w:rsid w:val="00626C00"/>
    <w:rsid w:val="007060C5"/>
    <w:rsid w:val="007535BA"/>
    <w:rsid w:val="007B5430"/>
    <w:rsid w:val="007D73D7"/>
    <w:rsid w:val="00835D28"/>
    <w:rsid w:val="00856878"/>
    <w:rsid w:val="0089458C"/>
    <w:rsid w:val="00934EC8"/>
    <w:rsid w:val="009D28B4"/>
    <w:rsid w:val="009F1C69"/>
    <w:rsid w:val="009F21E2"/>
    <w:rsid w:val="00B34D8E"/>
    <w:rsid w:val="00B522D2"/>
    <w:rsid w:val="00BA58B9"/>
    <w:rsid w:val="00BF1E08"/>
    <w:rsid w:val="00C10534"/>
    <w:rsid w:val="00C5093C"/>
    <w:rsid w:val="00D115CB"/>
    <w:rsid w:val="00D14E44"/>
    <w:rsid w:val="00D919AB"/>
    <w:rsid w:val="00E925B6"/>
    <w:rsid w:val="00EB0D78"/>
    <w:rsid w:val="00ED51B1"/>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69D3DA"/>
  <w15:chartTrackingRefBased/>
  <w15:docId w15:val="{4ED6E03B-D138-4DB1-B359-E2416734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F"/>
    <w:link w:val="FootnoteTextChar"/>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customStyle="1" w:styleId="P1-StandParaChar">
    <w:name w:val="P1-Stand Para Char"/>
    <w:link w:val="P1-StandPara"/>
    <w:locked/>
    <w:rsid w:val="003E4241"/>
    <w:rPr>
      <w:rFonts w:ascii="Courier" w:hAnsi="Courier"/>
      <w:sz w:val="24"/>
      <w:szCs w:val="20"/>
    </w:rPr>
  </w:style>
  <w:style w:type="character" w:customStyle="1" w:styleId="N1-1stBulletChar">
    <w:name w:val="N1-1st Bullet Char"/>
    <w:basedOn w:val="DefaultParagraphFont"/>
    <w:link w:val="N1-1stBullet"/>
    <w:locked/>
    <w:rsid w:val="003E4241"/>
    <w:rPr>
      <w:rFonts w:ascii="Courier" w:hAnsi="Courier"/>
      <w:sz w:val="24"/>
      <w:szCs w:val="20"/>
    </w:rPr>
  </w:style>
  <w:style w:type="character" w:customStyle="1" w:styleId="SL-FlLftSglChar">
    <w:name w:val="SL-Fl Lft Sgl Char"/>
    <w:basedOn w:val="DefaultParagraphFont"/>
    <w:link w:val="SL-FlLftSgl"/>
    <w:rsid w:val="003E4241"/>
    <w:rPr>
      <w:rFonts w:ascii="Courier" w:hAnsi="Courier"/>
      <w:sz w:val="24"/>
      <w:szCs w:val="20"/>
    </w:rPr>
  </w:style>
  <w:style w:type="character" w:styleId="FootnoteReference">
    <w:name w:val="footnote reference"/>
    <w:aliases w:val="*Footnote Reference"/>
    <w:basedOn w:val="DefaultParagraphFont"/>
    <w:uiPriority w:val="99"/>
    <w:unhideWhenUsed/>
    <w:rsid w:val="00835D28"/>
    <w:rPr>
      <w:vertAlign w:val="superscript"/>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F Char"/>
    <w:basedOn w:val="DefaultParagraphFont"/>
    <w:link w:val="FootnoteText"/>
    <w:rsid w:val="00835D28"/>
    <w:rPr>
      <w:rFonts w:ascii="Garamond" w:hAnsi="Garamond"/>
      <w:sz w:val="16"/>
    </w:rPr>
  </w:style>
  <w:style w:type="character" w:styleId="Hyperlink">
    <w:name w:val="Hyperlink"/>
    <w:basedOn w:val="DefaultParagraphFont"/>
    <w:uiPriority w:val="99"/>
    <w:unhideWhenUsed/>
    <w:rsid w:val="00835D28"/>
    <w:rPr>
      <w:color w:val="0000FF" w:themeColor="hyperlink"/>
      <w:u w:val="single"/>
    </w:rPr>
  </w:style>
  <w:style w:type="character" w:styleId="CommentReference">
    <w:name w:val="annotation reference"/>
    <w:basedOn w:val="DefaultParagraphFont"/>
    <w:uiPriority w:val="99"/>
    <w:semiHidden/>
    <w:unhideWhenUsed/>
    <w:rsid w:val="00B522D2"/>
    <w:rPr>
      <w:sz w:val="16"/>
      <w:szCs w:val="16"/>
    </w:rPr>
  </w:style>
  <w:style w:type="paragraph" w:styleId="CommentText">
    <w:name w:val="annotation text"/>
    <w:basedOn w:val="Normal"/>
    <w:link w:val="CommentTextChar"/>
    <w:uiPriority w:val="99"/>
    <w:semiHidden/>
    <w:unhideWhenUsed/>
    <w:rsid w:val="00B522D2"/>
    <w:rPr>
      <w:sz w:val="20"/>
    </w:rPr>
  </w:style>
  <w:style w:type="character" w:customStyle="1" w:styleId="CommentTextChar">
    <w:name w:val="Comment Text Char"/>
    <w:basedOn w:val="DefaultParagraphFont"/>
    <w:link w:val="CommentText"/>
    <w:uiPriority w:val="99"/>
    <w:semiHidden/>
    <w:rsid w:val="00B522D2"/>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B522D2"/>
    <w:rPr>
      <w:b/>
      <w:bCs/>
    </w:rPr>
  </w:style>
  <w:style w:type="character" w:customStyle="1" w:styleId="CommentSubjectChar">
    <w:name w:val="Comment Subject Char"/>
    <w:basedOn w:val="CommentTextChar"/>
    <w:link w:val="CommentSubject"/>
    <w:uiPriority w:val="99"/>
    <w:semiHidden/>
    <w:rsid w:val="00B522D2"/>
    <w:rPr>
      <w:rFonts w:ascii="Courier" w:hAnsi="Courier"/>
      <w:b/>
      <w:bCs/>
      <w:sz w:val="20"/>
      <w:szCs w:val="20"/>
    </w:rPr>
  </w:style>
  <w:style w:type="paragraph" w:styleId="BalloonText">
    <w:name w:val="Balloon Text"/>
    <w:basedOn w:val="Normal"/>
    <w:link w:val="BalloonTextChar"/>
    <w:uiPriority w:val="99"/>
    <w:semiHidden/>
    <w:unhideWhenUsed/>
    <w:rsid w:val="00B52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2D2"/>
    <w:rPr>
      <w:rFonts w:ascii="Segoe UI" w:hAnsi="Segoe UI" w:cs="Segoe UI"/>
      <w:sz w:val="18"/>
      <w:szCs w:val="18"/>
    </w:rPr>
  </w:style>
  <w:style w:type="paragraph" w:styleId="Revision">
    <w:name w:val="Revision"/>
    <w:hidden/>
    <w:uiPriority w:val="99"/>
    <w:semiHidden/>
    <w:rsid w:val="00B522D2"/>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Ragland-Greene, Rachelle - FNS</cp:lastModifiedBy>
  <cp:revision>3</cp:revision>
  <cp:lastPrinted>2008-03-12T18:00:00Z</cp:lastPrinted>
  <dcterms:created xsi:type="dcterms:W3CDTF">2020-10-01T15:02:00Z</dcterms:created>
  <dcterms:modified xsi:type="dcterms:W3CDTF">2020-10-01T15:03:00Z</dcterms:modified>
</cp:coreProperties>
</file>