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6" w:rsidP="00AC5BD4" w:rsidRDefault="00F92ACC" w14:paraId="23E54A9E" w14:textId="77777777">
      <w:pPr>
        <w:pStyle w:val="NormalWeb"/>
        <w:tabs>
          <w:tab w:val="left" w:pos="360"/>
          <w:tab w:val="left" w:pos="720"/>
          <w:tab w:val="left" w:pos="1080"/>
          <w:tab w:val="left" w:pos="1440"/>
        </w:tabs>
        <w:spacing w:line="288" w:lineRule="atLeast"/>
        <w:jc w:val="center"/>
        <w:rPr>
          <w:u w:val="single"/>
        </w:rPr>
      </w:pPr>
      <w:bookmarkStart w:name="cs31d" w:id="0"/>
      <w:r>
        <w:rPr>
          <w:u w:val="single"/>
        </w:rPr>
        <w:t>SUPPORTING STATEMENT</w:t>
      </w:r>
      <w:r w:rsidR="00F84680">
        <w:rPr>
          <w:u w:val="single"/>
        </w:rPr>
        <w:t xml:space="preserve"> – PART A</w:t>
      </w:r>
    </w:p>
    <w:p w:rsidR="00F32885" w:rsidP="00AC5BD4" w:rsidRDefault="00F84680" w14:paraId="2E6C4DE4" w14:textId="77777777">
      <w:pPr>
        <w:pStyle w:val="NormalWeb"/>
        <w:tabs>
          <w:tab w:val="left" w:pos="360"/>
          <w:tab w:val="left" w:pos="720"/>
          <w:tab w:val="left" w:pos="1080"/>
          <w:tab w:val="left" w:pos="1440"/>
        </w:tabs>
        <w:spacing w:line="288" w:lineRule="atLeast"/>
        <w:jc w:val="center"/>
        <w:rPr>
          <w:u w:val="single"/>
        </w:rPr>
      </w:pPr>
      <w:r>
        <w:rPr>
          <w:u w:val="single"/>
        </w:rPr>
        <w:t>Defense Federal Acquisition Regulation Supplement (DFARS) Part 204, Administrative Matters, and Related Clause</w:t>
      </w:r>
      <w:r w:rsidR="00263854">
        <w:rPr>
          <w:u w:val="single"/>
        </w:rPr>
        <w:t xml:space="preserve"> at 252.204; O</w:t>
      </w:r>
      <w:r>
        <w:rPr>
          <w:u w:val="single"/>
        </w:rPr>
        <w:t>M</w:t>
      </w:r>
      <w:r w:rsidR="00263854">
        <w:rPr>
          <w:u w:val="single"/>
        </w:rPr>
        <w:t>B</w:t>
      </w:r>
      <w:r>
        <w:rPr>
          <w:u w:val="single"/>
        </w:rPr>
        <w:t xml:space="preserve"> Control Number </w:t>
      </w:r>
      <w:r w:rsidR="00533E4E">
        <w:rPr>
          <w:u w:val="single"/>
        </w:rPr>
        <w:t>0704-0225</w:t>
      </w:r>
    </w:p>
    <w:p w:rsidR="005E0A0F" w:rsidP="00AC5BD4" w:rsidRDefault="005E0A0F" w14:paraId="0BF4EA0A" w14:textId="77777777">
      <w:pPr>
        <w:pStyle w:val="NormalWeb"/>
        <w:tabs>
          <w:tab w:val="left" w:pos="360"/>
          <w:tab w:val="left" w:pos="720"/>
          <w:tab w:val="left" w:pos="1080"/>
          <w:tab w:val="left" w:pos="1440"/>
        </w:tabs>
        <w:spacing w:line="288" w:lineRule="atLeast"/>
      </w:pPr>
      <w:r>
        <w:t xml:space="preserve">A.  </w:t>
      </w:r>
      <w:r>
        <w:rPr>
          <w:u w:val="single"/>
        </w:rPr>
        <w:t>JUSTIFICATION</w:t>
      </w:r>
    </w:p>
    <w:p w:rsidR="005E0A0F" w:rsidP="00AC5BD4" w:rsidRDefault="00AC5BD4" w14:paraId="4DC33CAD" w14:textId="77777777">
      <w:pPr>
        <w:pStyle w:val="NormalWeb"/>
        <w:tabs>
          <w:tab w:val="left" w:pos="360"/>
          <w:tab w:val="left" w:pos="720"/>
          <w:tab w:val="left" w:pos="1080"/>
          <w:tab w:val="left" w:pos="1440"/>
        </w:tabs>
        <w:spacing w:line="288" w:lineRule="atLeast"/>
      </w:pPr>
      <w:bookmarkStart w:name="cp432" w:id="1"/>
      <w:bookmarkEnd w:id="0"/>
      <w:r>
        <w:tab/>
      </w:r>
      <w:r w:rsidR="005E0A0F">
        <w:t xml:space="preserve">1.  </w:t>
      </w:r>
      <w:r w:rsidR="005E0A0F">
        <w:rPr>
          <w:u w:val="single"/>
        </w:rPr>
        <w:t>Need for the Information Collection</w:t>
      </w:r>
    </w:p>
    <w:bookmarkEnd w:id="1"/>
    <w:p w:rsidR="00EB0C6C" w:rsidP="00AC5BD4" w:rsidRDefault="00EB0C6C" w14:paraId="55FB97C8" w14:textId="77777777">
      <w:pPr>
        <w:pStyle w:val="NormalWeb"/>
        <w:tabs>
          <w:tab w:val="left" w:pos="360"/>
          <w:tab w:val="left" w:pos="720"/>
          <w:tab w:val="left" w:pos="1080"/>
          <w:tab w:val="left" w:pos="1440"/>
        </w:tabs>
        <w:spacing w:line="288" w:lineRule="atLeast"/>
      </w:pPr>
      <w:r>
        <w:tab/>
      </w:r>
      <w:r w:rsidR="00F84680">
        <w:tab/>
      </w:r>
      <w:r w:rsidRPr="00533E4E" w:rsidR="00533E4E">
        <w:t>DFARS 204.404-70(a) prescribes the use of the clause at DFARS 252.204-7000, Disclosure of Information, when the contractor will have access to or generate unclassified information that may be sensitive and inappropriate for release to the public.</w:t>
      </w:r>
      <w:r w:rsidR="00C06E0F">
        <w:t xml:space="preserve"> </w:t>
      </w:r>
      <w:r w:rsidRPr="00533E4E" w:rsidR="00533E4E">
        <w:t xml:space="preserve"> This clause requires contractors to obtain contracting officer approval to release unclassified information outside of the contractor's organization, unless the information is already in the public domain</w:t>
      </w:r>
      <w:r w:rsidR="00154969">
        <w:t xml:space="preserve"> or part of a project determined in writing to be fundamental research in accordance with certain agency directives and memoranda</w:t>
      </w:r>
      <w:r w:rsidRPr="00533E4E" w:rsidR="00533E4E">
        <w:t>.</w:t>
      </w:r>
      <w:r w:rsidR="00C06E0F">
        <w:t xml:space="preserve"> </w:t>
      </w:r>
      <w:r w:rsidRPr="00533E4E" w:rsidR="00533E4E">
        <w:t xml:space="preserve"> In requesting such approval, the contractor must identify the specific information that will be released, the medium that will be used, and the purpose of the release.</w:t>
      </w:r>
    </w:p>
    <w:p w:rsidR="005E0A0F" w:rsidP="00AC5BD4" w:rsidRDefault="00AC5BD4" w14:paraId="2FFAB2D1" w14:textId="77777777">
      <w:pPr>
        <w:pStyle w:val="NormalWeb"/>
        <w:tabs>
          <w:tab w:val="left" w:pos="360"/>
          <w:tab w:val="left" w:pos="720"/>
          <w:tab w:val="left" w:pos="1080"/>
          <w:tab w:val="left" w:pos="1440"/>
        </w:tabs>
        <w:spacing w:line="288" w:lineRule="atLeast"/>
      </w:pPr>
      <w:r>
        <w:tab/>
      </w:r>
      <w:r w:rsidR="005E0A0F">
        <w:t>2.</w:t>
      </w:r>
      <w:r>
        <w:tab/>
      </w:r>
      <w:r w:rsidR="005E0A0F">
        <w:rPr>
          <w:u w:val="single"/>
        </w:rPr>
        <w:t>Use of the Information</w:t>
      </w:r>
    </w:p>
    <w:p w:rsidR="00533E4E" w:rsidP="00AC5BD4" w:rsidRDefault="00AC5BD4" w14:paraId="3FAAC9A0" w14:textId="77777777">
      <w:pPr>
        <w:pStyle w:val="NormalWeb"/>
        <w:tabs>
          <w:tab w:val="left" w:pos="360"/>
          <w:tab w:val="left" w:pos="720"/>
          <w:tab w:val="left" w:pos="1080"/>
          <w:tab w:val="left" w:pos="1440"/>
        </w:tabs>
        <w:spacing w:line="288" w:lineRule="atLeast"/>
      </w:pPr>
      <w:r>
        <w:tab/>
      </w:r>
      <w:r>
        <w:tab/>
      </w:r>
      <w:r w:rsidR="00BC323C">
        <w:t>Upon receipt of a contractor’s request, t</w:t>
      </w:r>
      <w:r w:rsidRPr="009B7321" w:rsidR="00533E4E">
        <w:t xml:space="preserve">he Government reviews the information provided by the contractor to determine if it is sensitive or otherwise inappropriate for release for the stated purpose. </w:t>
      </w:r>
      <w:r w:rsidR="00C06E0F">
        <w:t xml:space="preserve"> </w:t>
      </w:r>
      <w:r w:rsidRPr="000E37A9" w:rsidR="00154969">
        <w:t>These requests for disclosure are typically</w:t>
      </w:r>
      <w:r w:rsidRPr="000E37A9" w:rsidR="00533E4E">
        <w:t xml:space="preserve"> </w:t>
      </w:r>
      <w:r w:rsidRPr="000E37A9" w:rsidR="00154969">
        <w:t>only received</w:t>
      </w:r>
      <w:r w:rsidRPr="000E37A9" w:rsidR="00533E4E">
        <w:t xml:space="preserve"> on research and development contracts or large dollar systems or operations contracts.</w:t>
      </w:r>
    </w:p>
    <w:p w:rsidR="005E0A0F" w:rsidP="00AC5BD4" w:rsidRDefault="00AC5BD4" w14:paraId="1605E6D4" w14:textId="77777777">
      <w:pPr>
        <w:pStyle w:val="NormalWeb"/>
        <w:tabs>
          <w:tab w:val="left" w:pos="360"/>
          <w:tab w:val="left" w:pos="720"/>
          <w:tab w:val="left" w:pos="1080"/>
          <w:tab w:val="left" w:pos="1440"/>
        </w:tabs>
        <w:spacing w:line="288" w:lineRule="atLeast"/>
      </w:pPr>
      <w:r>
        <w:tab/>
      </w:r>
      <w:r w:rsidR="005E0A0F">
        <w:t>3.</w:t>
      </w:r>
      <w:r>
        <w:tab/>
      </w:r>
      <w:r w:rsidR="005E0A0F">
        <w:rPr>
          <w:u w:val="single"/>
        </w:rPr>
        <w:t>Use of Information Technology</w:t>
      </w:r>
    </w:p>
    <w:p w:rsidR="005E0A0F" w:rsidP="00533E4E" w:rsidRDefault="00AC5BD4" w14:paraId="7B751579" w14:textId="77777777">
      <w:pPr>
        <w:pStyle w:val="p3"/>
      </w:pPr>
      <w:r>
        <w:tab/>
      </w:r>
      <w:r w:rsidRPr="009B7321" w:rsidR="00533E4E">
        <w:rPr>
          <w:bCs/>
        </w:rPr>
        <w:t xml:space="preserve">Information technology </w:t>
      </w:r>
      <w:r w:rsidR="004220E0">
        <w:rPr>
          <w:bCs/>
        </w:rPr>
        <w:t>is</w:t>
      </w:r>
      <w:r w:rsidRPr="009B7321" w:rsidR="00533E4E">
        <w:rPr>
          <w:bCs/>
        </w:rPr>
        <w:t xml:space="preserve"> used </w:t>
      </w:r>
      <w:r w:rsidR="00B82075">
        <w:rPr>
          <w:bCs/>
        </w:rPr>
        <w:t>100% of the time</w:t>
      </w:r>
      <w:r w:rsidRPr="009B7321" w:rsidR="00533E4E">
        <w:rPr>
          <w:bCs/>
        </w:rPr>
        <w:t xml:space="preserve"> to reduce burden.</w:t>
      </w:r>
      <w:r w:rsidR="00C06E0F">
        <w:rPr>
          <w:bCs/>
        </w:rPr>
        <w:t xml:space="preserve"> </w:t>
      </w:r>
      <w:r w:rsidRPr="009B7321" w:rsidR="00533E4E">
        <w:rPr>
          <w:bCs/>
        </w:rPr>
        <w:t xml:space="preserve"> </w:t>
      </w:r>
      <w:r w:rsidRPr="009B7321" w:rsidR="00533E4E">
        <w:t>Where both the Government agency and contractors are capable of electronic interchange, contractors may submit this information collection requirement electronically.</w:t>
      </w:r>
      <w:r w:rsidRPr="009B7321" w:rsidR="00533E4E">
        <w:rPr>
          <w:bCs/>
        </w:rPr>
        <w:t xml:space="preserve">  </w:t>
      </w:r>
      <w:r w:rsidRPr="009B7321" w:rsidR="00533E4E">
        <w:t>This information collection complies with the Government Paperwork Elimination Act, Pub. L. 105-277, Title XVII.</w:t>
      </w:r>
    </w:p>
    <w:p w:rsidR="005E0A0F" w:rsidP="00AC5BD4" w:rsidRDefault="00AC5BD4" w14:paraId="55C5C794" w14:textId="77777777">
      <w:pPr>
        <w:pStyle w:val="NormalWeb"/>
        <w:tabs>
          <w:tab w:val="left" w:pos="360"/>
          <w:tab w:val="left" w:pos="720"/>
          <w:tab w:val="left" w:pos="1080"/>
          <w:tab w:val="left" w:pos="1440"/>
        </w:tabs>
        <w:spacing w:line="288" w:lineRule="atLeast"/>
      </w:pPr>
      <w:r>
        <w:tab/>
      </w:r>
      <w:r w:rsidR="005E0A0F">
        <w:t>4.</w:t>
      </w:r>
      <w:r>
        <w:tab/>
      </w:r>
      <w:r w:rsidR="005E0A0F">
        <w:rPr>
          <w:u w:val="single"/>
        </w:rPr>
        <w:t>Non-duplication</w:t>
      </w:r>
    </w:p>
    <w:p w:rsidR="00FB3212" w:rsidP="00AC5BD4" w:rsidRDefault="00AC5BD4" w14:paraId="1F866617" w14:textId="77777777">
      <w:pPr>
        <w:pStyle w:val="NormalWeb"/>
        <w:tabs>
          <w:tab w:val="left" w:pos="360"/>
          <w:tab w:val="left" w:pos="720"/>
          <w:tab w:val="left" w:pos="1080"/>
          <w:tab w:val="left" w:pos="1440"/>
        </w:tabs>
        <w:spacing w:line="288" w:lineRule="atLeast"/>
      </w:pPr>
      <w:r>
        <w:tab/>
      </w:r>
      <w:r>
        <w:tab/>
      </w:r>
      <w:bookmarkStart w:name="cp440" w:id="2"/>
      <w:r w:rsidRPr="003525BE" w:rsidR="003525BE">
        <w:t>As a matter of policy, DoD reviews the Federal Acquisition Regulation to determine if adequate language already exists.  The language in DFARS part 2</w:t>
      </w:r>
      <w:r w:rsidR="003525BE">
        <w:t>04</w:t>
      </w:r>
      <w:r w:rsidRPr="003525BE" w:rsidR="003525BE">
        <w:t xml:space="preserve"> applies solely to DoD and is not considered duplicativ</w:t>
      </w:r>
      <w:r w:rsidR="003525BE">
        <w:t>e of the language in FAR part 4</w:t>
      </w:r>
      <w:r w:rsidRPr="003525BE" w:rsidR="003525BE">
        <w:t>.  Since the nature of the reporting requirement is contract specific, similar information is not readily available.</w:t>
      </w:r>
    </w:p>
    <w:p w:rsidR="005E0A0F" w:rsidP="00AC5BD4" w:rsidRDefault="00AC5BD4" w14:paraId="0207345C" w14:textId="77777777">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rsidR="00FB3212" w:rsidP="00AC5BD4" w:rsidRDefault="00AC5BD4" w14:paraId="69706325" w14:textId="77777777">
      <w:pPr>
        <w:pStyle w:val="NormalWeb"/>
        <w:tabs>
          <w:tab w:val="left" w:pos="360"/>
          <w:tab w:val="left" w:pos="720"/>
          <w:tab w:val="left" w:pos="1080"/>
          <w:tab w:val="left" w:pos="1440"/>
        </w:tabs>
        <w:spacing w:line="288" w:lineRule="atLeast"/>
      </w:pPr>
      <w:bookmarkStart w:name="cp441" w:id="3"/>
      <w:bookmarkEnd w:id="2"/>
      <w:r>
        <w:tab/>
      </w:r>
      <w:r>
        <w:tab/>
      </w:r>
      <w:bookmarkEnd w:id="3"/>
      <w:r w:rsidRPr="00AE6FF8" w:rsidR="00922541">
        <w:t xml:space="preserve">The collection of this information is not expected to have a significant impact on a substantial number of small businesses or other small entities.  The requirements for </w:t>
      </w:r>
      <w:r w:rsidR="004220E0">
        <w:t xml:space="preserve">this </w:t>
      </w:r>
      <w:r w:rsidRPr="00AE6FF8" w:rsidR="00922541">
        <w:t xml:space="preserve">information collection are </w:t>
      </w:r>
      <w:r w:rsidR="001930C3">
        <w:t xml:space="preserve">determined </w:t>
      </w:r>
      <w:r w:rsidR="00CE07E1">
        <w:t>on a case-by-case basis</w:t>
      </w:r>
      <w:r w:rsidR="001930C3">
        <w:t>,</w:t>
      </w:r>
      <w:r w:rsidR="00CE07E1">
        <w:t xml:space="preserve"> </w:t>
      </w:r>
      <w:r w:rsidRPr="00AE6FF8" w:rsidR="00922541">
        <w:t xml:space="preserve">as the circumstances dictate.  </w:t>
      </w:r>
      <w:r w:rsidRPr="009B7321" w:rsidR="00533E4E">
        <w:t xml:space="preserve">The </w:t>
      </w:r>
      <w:r w:rsidRPr="009B7321" w:rsidR="00533E4E">
        <w:lastRenderedPageBreak/>
        <w:t xml:space="preserve">burden applied to small businesses is the minimum consistent with </w:t>
      </w:r>
      <w:r w:rsidR="00922541">
        <w:t>applicable laws, Executive o</w:t>
      </w:r>
      <w:r w:rsidRPr="009B7321" w:rsidR="00533E4E">
        <w:t>rders, and prudent business practices.</w:t>
      </w:r>
    </w:p>
    <w:p w:rsidR="005E0A0F" w:rsidP="00AC5BD4" w:rsidRDefault="00AC5BD4" w14:paraId="1798655A" w14:textId="77777777">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rsidR="00FB3212" w:rsidP="00AC5BD4" w:rsidRDefault="00AC5BD4" w14:paraId="4C74EF2F" w14:textId="77777777">
      <w:pPr>
        <w:pStyle w:val="NormalWeb"/>
        <w:tabs>
          <w:tab w:val="left" w:pos="360"/>
          <w:tab w:val="left" w:pos="720"/>
          <w:tab w:val="left" w:pos="1080"/>
          <w:tab w:val="left" w:pos="1440"/>
        </w:tabs>
        <w:spacing w:line="288" w:lineRule="atLeast"/>
      </w:pPr>
      <w:bookmarkStart w:name="cp444" w:id="4"/>
      <w:r>
        <w:tab/>
      </w:r>
      <w:r>
        <w:tab/>
      </w:r>
      <w:r w:rsidR="00935A4E">
        <w:t>The</w:t>
      </w:r>
      <w:r w:rsidRPr="00922541" w:rsidR="00922541">
        <w:t xml:space="preserve"> nature of the reporting r</w:t>
      </w:r>
      <w:r w:rsidR="00935A4E">
        <w:t>equirement is contract specific and</w:t>
      </w:r>
      <w:r w:rsidRPr="00922541" w:rsidR="00922541">
        <w:t xml:space="preserve"> </w:t>
      </w:r>
      <w:r w:rsidR="00935A4E">
        <w:t>the</w:t>
      </w:r>
      <w:r w:rsidRPr="00922541" w:rsidR="00922541">
        <w:t xml:space="preserve"> information is not readily available elsewhere; therefore, collection is required on a case-by-case basis pursuant to the contract clause requirements.  </w:t>
      </w:r>
      <w:r w:rsidR="00922541">
        <w:t>The consequence</w:t>
      </w:r>
      <w:r w:rsidR="001930C3">
        <w:t>s</w:t>
      </w:r>
      <w:r w:rsidR="00922541">
        <w:t xml:space="preserve"> </w:t>
      </w:r>
      <w:r w:rsidRPr="009B7321" w:rsidR="00533E4E">
        <w:t xml:space="preserve">of not collecting this data or collecting </w:t>
      </w:r>
      <w:r w:rsidR="001930C3">
        <w:t xml:space="preserve">the data </w:t>
      </w:r>
      <w:r w:rsidRPr="009B7321" w:rsidR="00533E4E">
        <w:t xml:space="preserve">less frequently </w:t>
      </w:r>
      <w:r w:rsidR="001930C3">
        <w:t xml:space="preserve">are: </w:t>
      </w:r>
      <w:r w:rsidR="00160D37">
        <w:t xml:space="preserve"> (1) </w:t>
      </w:r>
      <w:r w:rsidR="002457D0">
        <w:t>impairment</w:t>
      </w:r>
      <w:r w:rsidR="001930C3">
        <w:t xml:space="preserve"> to</w:t>
      </w:r>
      <w:r w:rsidRPr="009B7321" w:rsidR="00533E4E">
        <w:t xml:space="preserve"> the eff</w:t>
      </w:r>
      <w:r w:rsidR="00922541">
        <w:t xml:space="preserve">ective and efficient management </w:t>
      </w:r>
      <w:r w:rsidRPr="009B7321" w:rsidR="00533E4E">
        <w:t xml:space="preserve">of </w:t>
      </w:r>
      <w:r w:rsidR="000D003F">
        <w:t xml:space="preserve">releasable information by </w:t>
      </w:r>
      <w:r w:rsidRPr="009B7321" w:rsidR="00533E4E">
        <w:t>DoD public affairs</w:t>
      </w:r>
      <w:r w:rsidR="001930C3">
        <w:t xml:space="preserve">, </w:t>
      </w:r>
      <w:r w:rsidR="000D003F">
        <w:t xml:space="preserve">and </w:t>
      </w:r>
      <w:r w:rsidR="00160D37">
        <w:t xml:space="preserve">(2) </w:t>
      </w:r>
      <w:r w:rsidR="00935A4E">
        <w:t xml:space="preserve">the </w:t>
      </w:r>
      <w:r w:rsidR="00302DA1">
        <w:t>technical, legal, and security</w:t>
      </w:r>
      <w:r w:rsidR="00935A4E">
        <w:t xml:space="preserve"> </w:t>
      </w:r>
      <w:r w:rsidR="002457D0">
        <w:t xml:space="preserve">ramifications associated with the </w:t>
      </w:r>
      <w:r w:rsidR="00935A4E">
        <w:t xml:space="preserve">disclosure of unclassified information that is </w:t>
      </w:r>
      <w:bookmarkStart w:name="BM204_4" w:id="5"/>
      <w:r w:rsidR="00935A4E">
        <w:t>sensitive and inappropriate for release to the public</w:t>
      </w:r>
      <w:bookmarkEnd w:id="5"/>
      <w:r w:rsidRPr="009B7321" w:rsidR="00533E4E">
        <w:t>.</w:t>
      </w:r>
    </w:p>
    <w:p w:rsidR="005E0A0F" w:rsidP="00AC5BD4" w:rsidRDefault="00AC5BD4" w14:paraId="3D08AE79" w14:textId="77777777">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rsidR="00FB3212" w:rsidP="00AC5BD4" w:rsidRDefault="00AC5BD4" w14:paraId="111A2DFA" w14:textId="77777777">
      <w:pPr>
        <w:pStyle w:val="NormalWeb"/>
        <w:tabs>
          <w:tab w:val="left" w:pos="360"/>
          <w:tab w:val="left" w:pos="720"/>
          <w:tab w:val="left" w:pos="1080"/>
          <w:tab w:val="left" w:pos="1440"/>
        </w:tabs>
        <w:spacing w:line="288" w:lineRule="atLeast"/>
      </w:pPr>
      <w:bookmarkStart w:name="cp446" w:id="6"/>
      <w:bookmarkEnd w:id="4"/>
      <w:r>
        <w:tab/>
      </w:r>
      <w:r>
        <w:tab/>
      </w:r>
      <w:r w:rsidRPr="000133D0" w:rsidR="00F05A56">
        <w:t>There are no special circumstances for collection.  Collection of this information is consistent with the guidelines at 5 CFR 1320.5(d)(2).</w:t>
      </w:r>
    </w:p>
    <w:p w:rsidR="005E0A0F" w:rsidP="00AC5BD4" w:rsidRDefault="00AC5BD4" w14:paraId="34629761" w14:textId="77777777">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rsidR="00B82075" w:rsidP="00B82075" w:rsidRDefault="00AC5BD4" w14:paraId="4556299F" w14:textId="74CE4992">
      <w:pPr>
        <w:pStyle w:val="NormalWeb"/>
        <w:tabs>
          <w:tab w:val="left" w:pos="360"/>
          <w:tab w:val="left" w:pos="720"/>
          <w:tab w:val="left" w:pos="1080"/>
          <w:tab w:val="left" w:pos="1440"/>
        </w:tabs>
        <w:spacing w:line="288" w:lineRule="atLeast"/>
      </w:pPr>
      <w:bookmarkStart w:name="cp447" w:id="7"/>
      <w:bookmarkEnd w:id="6"/>
      <w:r>
        <w:tab/>
      </w:r>
      <w:r>
        <w:tab/>
      </w:r>
      <w:bookmarkStart w:name="cp449" w:id="8"/>
      <w:bookmarkEnd w:id="7"/>
      <w:r w:rsidR="00B82075">
        <w:t xml:space="preserve">a.  </w:t>
      </w:r>
      <w:r w:rsidRPr="007C38D0" w:rsidR="007508F1">
        <w:t>This information collection is consistent with the guidelines in 5 CFR 1320.</w:t>
      </w:r>
      <w:r w:rsidR="007508F1">
        <w:t>6.</w:t>
      </w:r>
      <w:r w:rsidRPr="007C38D0" w:rsidR="007508F1">
        <w:t xml:space="preserve">  </w:t>
      </w:r>
      <w:r w:rsidR="007508F1">
        <w:t>I</w:t>
      </w:r>
      <w:r w:rsidRPr="007C38D0" w:rsidR="007508F1">
        <w:t>n</w:t>
      </w:r>
      <w:r w:rsidR="007508F1">
        <w:t xml:space="preserve"> accordance with</w:t>
      </w:r>
      <w:r w:rsidRPr="007C38D0" w:rsidR="007508F1">
        <w:t xml:space="preserve"> 5 CFR 1320.8(d)</w:t>
      </w:r>
      <w:r w:rsidR="007508F1">
        <w:t xml:space="preserve">, public comments were solicited in the </w:t>
      </w:r>
      <w:r w:rsidRPr="00267E5F" w:rsidR="007508F1">
        <w:rPr>
          <w:i/>
        </w:rPr>
        <w:t>Federal Register</w:t>
      </w:r>
      <w:r w:rsidR="007508F1">
        <w:t xml:space="preserve"> on </w:t>
      </w:r>
      <w:r w:rsidR="00261A00">
        <w:t>February</w:t>
      </w:r>
      <w:r w:rsidR="00764A75">
        <w:t xml:space="preserve"> </w:t>
      </w:r>
      <w:r w:rsidR="00B86630">
        <w:t>27</w:t>
      </w:r>
      <w:r w:rsidR="00764A75">
        <w:t>, 2020</w:t>
      </w:r>
      <w:r w:rsidR="007508F1">
        <w:t xml:space="preserve"> (</w:t>
      </w:r>
      <w:hyperlink w:history="1" r:id="rId8">
        <w:r w:rsidRPr="00A30D99" w:rsidR="00A30D99">
          <w:rPr>
            <w:rStyle w:val="Hyperlink"/>
          </w:rPr>
          <w:t>85</w:t>
        </w:r>
        <w:r w:rsidRPr="00A30D99" w:rsidR="00764A75">
          <w:rPr>
            <w:rStyle w:val="Hyperlink"/>
          </w:rPr>
          <w:t xml:space="preserve"> FR </w:t>
        </w:r>
        <w:r w:rsidRPr="00A30D99" w:rsidR="00A30D99">
          <w:rPr>
            <w:rStyle w:val="Hyperlink"/>
          </w:rPr>
          <w:t>11352</w:t>
        </w:r>
      </w:hyperlink>
      <w:r w:rsidR="00764A75">
        <w:t>).</w:t>
      </w:r>
      <w:r w:rsidR="007508F1">
        <w:t xml:space="preserve">  </w:t>
      </w:r>
      <w:r w:rsidR="00A30D99">
        <w:t>No</w:t>
      </w:r>
      <w:r w:rsidR="007508F1">
        <w:t xml:space="preserve"> comments were received</w:t>
      </w:r>
      <w:r w:rsidRPr="007C38D0" w:rsidR="007508F1">
        <w:t>.</w:t>
      </w:r>
    </w:p>
    <w:p w:rsidR="00267E5F" w:rsidP="00267E5F" w:rsidRDefault="00267E5F" w14:paraId="15879A3F" w14:textId="77777777">
      <w:pPr>
        <w:pStyle w:val="NormalWeb"/>
        <w:tabs>
          <w:tab w:val="left" w:pos="360"/>
          <w:tab w:val="left" w:pos="720"/>
          <w:tab w:val="left" w:pos="1080"/>
          <w:tab w:val="left" w:pos="1440"/>
        </w:tabs>
        <w:spacing w:line="288" w:lineRule="atLeast"/>
      </w:pPr>
      <w:r>
        <w:tab/>
      </w:r>
      <w:r>
        <w:tab/>
        <w:t xml:space="preserve">b.  </w:t>
      </w:r>
      <w:r w:rsidRPr="007508F1" w:rsidR="007508F1">
        <w:t>A DoD subject matter expert reviewed the validity of the information collection requirements of the clause to provide updated estimates of the public burden.  The burden, included in paragraph 12 below, reflects the validation of the need for the collection requirement, judgement, and best estimates of the DoD subject matter specialist.</w:t>
      </w:r>
    </w:p>
    <w:p w:rsidR="00267E5F" w:rsidP="00267E5F" w:rsidRDefault="00267E5F" w14:paraId="0E35226E" w14:textId="4DA4F5B4">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A30D99">
        <w:t>May</w:t>
      </w:r>
      <w:r w:rsidR="009C740C">
        <w:t xml:space="preserve"> </w:t>
      </w:r>
      <w:r w:rsidR="00A51840">
        <w:t>28</w:t>
      </w:r>
      <w:r w:rsidRPr="00267E5F">
        <w:t>, 20</w:t>
      </w:r>
      <w:r w:rsidR="00764A75">
        <w:t>20</w:t>
      </w:r>
      <w:r w:rsidRPr="00267E5F">
        <w:t xml:space="preserve"> (</w:t>
      </w:r>
      <w:hyperlink w:history="1" r:id="rId9">
        <w:r w:rsidRPr="00A51840" w:rsidR="00A51840">
          <w:rPr>
            <w:rStyle w:val="Hyperlink"/>
          </w:rPr>
          <w:t>85 FR 32020</w:t>
        </w:r>
      </w:hyperlink>
      <w:r w:rsidR="00764A75">
        <w:t>).</w:t>
      </w:r>
    </w:p>
    <w:p w:rsidR="005E0A0F" w:rsidP="007C38D0" w:rsidRDefault="00AC5BD4" w14:paraId="27768AA3" w14:textId="77777777">
      <w:pPr>
        <w:pStyle w:val="NormalWeb"/>
        <w:tabs>
          <w:tab w:val="left" w:pos="360"/>
          <w:tab w:val="left" w:pos="720"/>
          <w:tab w:val="left" w:pos="1080"/>
          <w:tab w:val="left" w:pos="1440"/>
        </w:tabs>
        <w:spacing w:line="288" w:lineRule="atLeast"/>
      </w:pPr>
      <w:r>
        <w:tab/>
      </w:r>
      <w:r w:rsidR="005E0A0F">
        <w:t xml:space="preserve">9.  </w:t>
      </w:r>
      <w:r w:rsidR="005E0A0F">
        <w:rPr>
          <w:u w:val="single"/>
        </w:rPr>
        <w:t>Gifts or Payment</w:t>
      </w:r>
    </w:p>
    <w:p w:rsidR="00AC5BD4" w:rsidP="00AC5BD4" w:rsidRDefault="00AC5BD4" w14:paraId="09B15D4B" w14:textId="77777777">
      <w:pPr>
        <w:pStyle w:val="NormalWeb"/>
        <w:tabs>
          <w:tab w:val="left" w:pos="360"/>
          <w:tab w:val="left" w:pos="720"/>
          <w:tab w:val="left" w:pos="1080"/>
          <w:tab w:val="left" w:pos="1440"/>
        </w:tabs>
        <w:spacing w:line="288" w:lineRule="atLeast"/>
      </w:pPr>
      <w:bookmarkStart w:name="cp450" w:id="9"/>
      <w:bookmarkEnd w:id="8"/>
      <w:r>
        <w:tab/>
      </w:r>
      <w:r>
        <w:tab/>
      </w:r>
      <w:bookmarkEnd w:id="9"/>
      <w:r w:rsidRPr="009F484F" w:rsidR="00F05A56">
        <w:t>DoD will not provide a p</w:t>
      </w:r>
      <w:r w:rsidR="00CE07E1">
        <w:t>ayment or gift to respondents of</w:t>
      </w:r>
      <w:r w:rsidRPr="009F484F" w:rsidR="00F05A56">
        <w:t xml:space="preserve"> this information collection requirement.</w:t>
      </w:r>
    </w:p>
    <w:p w:rsidR="005E0A0F" w:rsidP="00AC5BD4" w:rsidRDefault="00AC5BD4" w14:paraId="7454C40F" w14:textId="77777777">
      <w:pPr>
        <w:pStyle w:val="NormalWeb"/>
        <w:tabs>
          <w:tab w:val="left" w:pos="360"/>
          <w:tab w:val="left" w:pos="720"/>
          <w:tab w:val="left" w:pos="1080"/>
          <w:tab w:val="left" w:pos="1440"/>
        </w:tabs>
        <w:spacing w:line="288" w:lineRule="atLeast"/>
      </w:pPr>
      <w:r>
        <w:tab/>
      </w:r>
      <w:r w:rsidR="005E0A0F">
        <w:t xml:space="preserve">10.  </w:t>
      </w:r>
      <w:r w:rsidR="005E0A0F">
        <w:rPr>
          <w:u w:val="single"/>
        </w:rPr>
        <w:t>Confidentiality</w:t>
      </w:r>
    </w:p>
    <w:p w:rsidR="00FB3212" w:rsidP="00FB3212" w:rsidRDefault="00FB3212" w14:paraId="72F26E07" w14:textId="096E2CD8">
      <w:pPr>
        <w:pStyle w:val="NormalWeb"/>
        <w:tabs>
          <w:tab w:val="left" w:pos="360"/>
          <w:tab w:val="left" w:pos="720"/>
          <w:tab w:val="left" w:pos="1080"/>
          <w:tab w:val="left" w:pos="1440"/>
        </w:tabs>
        <w:spacing w:line="288" w:lineRule="atLeast"/>
      </w:pPr>
      <w:r>
        <w:tab/>
      </w:r>
      <w:r>
        <w:tab/>
      </w:r>
      <w:r w:rsidRPr="00F05A56" w:rsidR="00F05A56">
        <w:t>This information is disclosed only to the extent consistent with statutory requirements, current regulations, and prudent business practices.  The collection of information does not include any personally identifiable information</w:t>
      </w:r>
      <w:r w:rsidR="00795F30">
        <w:t xml:space="preserve"> (PII)</w:t>
      </w:r>
      <w:r w:rsidR="00CE07E1">
        <w:t xml:space="preserve"> and records are not retrievable by PII</w:t>
      </w:r>
      <w:r w:rsidRPr="00F05A56" w:rsidR="00F05A56">
        <w:t>; therefore, no Privacy Impact Assessment or Privacy Act System of Records Notice is required.</w:t>
      </w:r>
    </w:p>
    <w:p w:rsidR="0020625E" w:rsidP="00FB3212" w:rsidRDefault="0020625E" w14:paraId="62BB14E9" w14:textId="77777777">
      <w:pPr>
        <w:pStyle w:val="NormalWeb"/>
        <w:tabs>
          <w:tab w:val="left" w:pos="360"/>
          <w:tab w:val="left" w:pos="720"/>
          <w:tab w:val="left" w:pos="1080"/>
          <w:tab w:val="left" w:pos="1440"/>
        </w:tabs>
        <w:spacing w:line="288" w:lineRule="atLeast"/>
      </w:pPr>
    </w:p>
    <w:p w:rsidR="005E0A0F" w:rsidP="00FB3212" w:rsidRDefault="00AC5BD4" w14:paraId="5974090A" w14:textId="77777777">
      <w:pPr>
        <w:pStyle w:val="NormalWeb"/>
        <w:tabs>
          <w:tab w:val="left" w:pos="360"/>
          <w:tab w:val="left" w:pos="720"/>
          <w:tab w:val="left" w:pos="1080"/>
          <w:tab w:val="left" w:pos="1440"/>
        </w:tabs>
        <w:spacing w:line="288" w:lineRule="atLeast"/>
      </w:pPr>
      <w:r>
        <w:lastRenderedPageBreak/>
        <w:tab/>
      </w:r>
      <w:r w:rsidR="005E0A0F">
        <w:t xml:space="preserve">11.  </w:t>
      </w:r>
      <w:r w:rsidR="005E0A0F">
        <w:rPr>
          <w:u w:val="single"/>
        </w:rPr>
        <w:t>Sensitive Questions</w:t>
      </w:r>
    </w:p>
    <w:p w:rsidR="00FB3212" w:rsidP="00AC5BD4" w:rsidRDefault="00AC5BD4" w14:paraId="538BA045" w14:textId="77777777">
      <w:pPr>
        <w:pStyle w:val="NormalWeb"/>
        <w:tabs>
          <w:tab w:val="left" w:pos="360"/>
          <w:tab w:val="left" w:pos="720"/>
          <w:tab w:val="left" w:pos="1080"/>
          <w:tab w:val="left" w:pos="1440"/>
        </w:tabs>
        <w:spacing w:line="288" w:lineRule="atLeast"/>
      </w:pPr>
      <w:bookmarkStart w:name="cp456" w:id="10"/>
      <w:r>
        <w:tab/>
      </w:r>
      <w:r>
        <w:tab/>
      </w:r>
      <w:r w:rsidRPr="009B7321" w:rsidR="003525BE">
        <w:t>No sensitive questions are involved</w:t>
      </w:r>
      <w:r w:rsidR="00F05A56">
        <w:t xml:space="preserve"> in the information collection</w:t>
      </w:r>
      <w:r w:rsidRPr="009B7321" w:rsidR="003525BE">
        <w:t>.</w:t>
      </w:r>
    </w:p>
    <w:p w:rsidR="005E0A0F" w:rsidP="00AC5BD4" w:rsidRDefault="00AC5BD4" w14:paraId="2E905687" w14:textId="77777777">
      <w:pPr>
        <w:pStyle w:val="NormalWeb"/>
        <w:tabs>
          <w:tab w:val="left" w:pos="360"/>
          <w:tab w:val="left" w:pos="720"/>
          <w:tab w:val="left" w:pos="1080"/>
          <w:tab w:val="left" w:pos="1440"/>
        </w:tabs>
        <w:spacing w:line="288" w:lineRule="atLeast"/>
      </w:pPr>
      <w:r>
        <w:tab/>
      </w:r>
      <w:r w:rsidR="005E0A0F">
        <w:t xml:space="preserve">12.  </w:t>
      </w:r>
      <w:r w:rsidR="005E0A0F">
        <w:rPr>
          <w:u w:val="single"/>
        </w:rPr>
        <w:t>Respondent Burden, and its Labor Costs</w:t>
      </w:r>
    </w:p>
    <w:p w:rsidR="003002A0" w:rsidP="00D141EB" w:rsidRDefault="003C26F7" w14:paraId="72543C40" w14:textId="77777777">
      <w:pPr>
        <w:pStyle w:val="NormalWeb"/>
        <w:tabs>
          <w:tab w:val="left" w:pos="360"/>
          <w:tab w:val="left" w:pos="720"/>
          <w:tab w:val="left" w:pos="1080"/>
          <w:tab w:val="left" w:pos="1440"/>
        </w:tabs>
        <w:spacing w:line="288" w:lineRule="atLeast"/>
      </w:pPr>
      <w:bookmarkStart w:name="cp457" w:id="11"/>
      <w:bookmarkEnd w:id="10"/>
      <w:r>
        <w:tab/>
      </w:r>
      <w:r>
        <w:tab/>
        <w:t>a.</w:t>
      </w:r>
      <w:r>
        <w:tab/>
      </w:r>
      <w:r w:rsidR="005E0A0F">
        <w:rPr>
          <w:u w:val="single"/>
        </w:rPr>
        <w:t>Estimation of Respondent Burden</w:t>
      </w:r>
      <w:r>
        <w:t xml:space="preserve"> </w:t>
      </w:r>
    </w:p>
    <w:p w:rsidR="00650809" w:rsidP="00FB3212" w:rsidRDefault="00FB3212" w14:paraId="249860D5" w14:textId="3FF77C80">
      <w:pPr>
        <w:pStyle w:val="NormalWeb"/>
        <w:tabs>
          <w:tab w:val="left" w:pos="360"/>
          <w:tab w:val="left" w:pos="720"/>
          <w:tab w:val="left" w:pos="1080"/>
          <w:tab w:val="left" w:pos="1440"/>
        </w:tabs>
        <w:spacing w:line="288" w:lineRule="atLeast"/>
      </w:pPr>
      <w:r>
        <w:tab/>
      </w:r>
      <w:r>
        <w:tab/>
      </w:r>
      <w:r>
        <w:tab/>
      </w:r>
      <w:r w:rsidR="00DB7F6A">
        <w:t xml:space="preserve">According to data </w:t>
      </w:r>
      <w:r w:rsidR="00160D37">
        <w:t xml:space="preserve">obtained </w:t>
      </w:r>
      <w:r w:rsidR="00DB7F6A">
        <w:t xml:space="preserve">from </w:t>
      </w:r>
      <w:r w:rsidR="007A68EB">
        <w:t>Electronic D</w:t>
      </w:r>
      <w:r w:rsidR="00673BD1">
        <w:t xml:space="preserve">ocument </w:t>
      </w:r>
      <w:r w:rsidR="007A68EB">
        <w:t>Access (EDA)</w:t>
      </w:r>
      <w:r w:rsidR="00DB7F6A">
        <w:t xml:space="preserve">, DoD awarded </w:t>
      </w:r>
      <w:r w:rsidR="00B81A86">
        <w:t xml:space="preserve">an average of </w:t>
      </w:r>
      <w:r w:rsidR="00935E82">
        <w:t>30,358</w:t>
      </w:r>
      <w:r w:rsidR="00DB7F6A">
        <w:t xml:space="preserve"> new </w:t>
      </w:r>
      <w:r w:rsidR="007A68EB">
        <w:t>awards in FY</w:t>
      </w:r>
      <w:r w:rsidR="00935E82">
        <w:t xml:space="preserve"> 20</w:t>
      </w:r>
      <w:r w:rsidR="007A68EB">
        <w:t>17-FY</w:t>
      </w:r>
      <w:r w:rsidR="00935E82">
        <w:t xml:space="preserve"> 20</w:t>
      </w:r>
      <w:r w:rsidR="007A68EB">
        <w:t>1</w:t>
      </w:r>
      <w:r w:rsidR="00261A00">
        <w:t>8</w:t>
      </w:r>
      <w:r w:rsidR="00B81A86">
        <w:t xml:space="preserve"> that contain the DFARS clause 252.204-7000</w:t>
      </w:r>
      <w:r w:rsidR="00DB7F6A">
        <w:t xml:space="preserve">.  These </w:t>
      </w:r>
      <w:r w:rsidR="00935E82">
        <w:t>30,358</w:t>
      </w:r>
      <w:r w:rsidR="00DB7F6A">
        <w:t xml:space="preserve"> new awards were made to </w:t>
      </w:r>
      <w:r w:rsidR="007A68EB">
        <w:t xml:space="preserve">an average of </w:t>
      </w:r>
      <w:r w:rsidR="00935E82">
        <w:t>5</w:t>
      </w:r>
      <w:r w:rsidR="00D31A6D">
        <w:t>,</w:t>
      </w:r>
      <w:r w:rsidR="00935E82">
        <w:t>45</w:t>
      </w:r>
      <w:r w:rsidR="00D31A6D">
        <w:t>1</w:t>
      </w:r>
      <w:r w:rsidR="00DB7F6A">
        <w:t xml:space="preserve"> uniquely identifiable vendors</w:t>
      </w:r>
      <w:r w:rsidR="00B81A86">
        <w:t xml:space="preserve"> in </w:t>
      </w:r>
      <w:r w:rsidR="007A68EB">
        <w:t>FY</w:t>
      </w:r>
      <w:r w:rsidR="00935E82">
        <w:t xml:space="preserve"> 20</w:t>
      </w:r>
      <w:r w:rsidR="007A68EB">
        <w:t>17-FY</w:t>
      </w:r>
      <w:r w:rsidR="00935E82">
        <w:t xml:space="preserve"> 20</w:t>
      </w:r>
      <w:r w:rsidR="007A68EB">
        <w:t>1</w:t>
      </w:r>
      <w:r w:rsidR="00935E82">
        <w:t>8</w:t>
      </w:r>
      <w:r w:rsidR="00DB7F6A">
        <w:t xml:space="preserve">. </w:t>
      </w:r>
      <w:r w:rsidR="0020625E">
        <w:t xml:space="preserve">The data exclude contracts awarded under commercial item FAR part 12 procurements, for research, and task/delivery orders. </w:t>
      </w:r>
      <w:r w:rsidR="00DB7F6A">
        <w:t xml:space="preserve"> Based on prior history and </w:t>
      </w:r>
      <w:r w:rsidR="00395F5A">
        <w:t>reporting</w:t>
      </w:r>
      <w:r w:rsidR="00DB7F6A">
        <w:t xml:space="preserve">, </w:t>
      </w:r>
      <w:r w:rsidR="00C06E0F">
        <w:t>DoD</w:t>
      </w:r>
      <w:r w:rsidR="00534F84">
        <w:t xml:space="preserve"> </w:t>
      </w:r>
      <w:r w:rsidR="007A68EB">
        <w:t xml:space="preserve">estimates </w:t>
      </w:r>
      <w:r w:rsidR="00DB7F6A">
        <w:t xml:space="preserve">that ten percent of </w:t>
      </w:r>
      <w:r w:rsidRPr="00DB7F6A" w:rsidR="00DB7F6A">
        <w:t>new contract actions</w:t>
      </w:r>
      <w:r w:rsidR="007A68EB">
        <w:t xml:space="preserve"> that include DFARS clause 252.204-7000</w:t>
      </w:r>
      <w:r w:rsidRPr="00DB7F6A" w:rsidR="00DB7F6A">
        <w:t xml:space="preserve"> </w:t>
      </w:r>
      <w:r w:rsidR="00DB7F6A">
        <w:t>will respond to the reporting requirement</w:t>
      </w:r>
      <w:r w:rsidR="00395F5A">
        <w:t xml:space="preserve">.  </w:t>
      </w:r>
      <w:r w:rsidR="00534F84">
        <w:t>Using the information above</w:t>
      </w:r>
      <w:r w:rsidR="00395F5A">
        <w:t xml:space="preserve">, the </w:t>
      </w:r>
      <w:r w:rsidR="00534F84">
        <w:t xml:space="preserve">number of respondents is calculated as </w:t>
      </w:r>
      <w:r w:rsidR="00935E82">
        <w:t>545</w:t>
      </w:r>
      <w:r w:rsidR="00534F84">
        <w:t xml:space="preserve"> (</w:t>
      </w:r>
      <w:r w:rsidR="00935E82">
        <w:t>5,451</w:t>
      </w:r>
      <w:r w:rsidR="00534F84">
        <w:t xml:space="preserve"> * .10 = </w:t>
      </w:r>
      <w:r w:rsidR="00935E82">
        <w:t>545</w:t>
      </w:r>
      <w:r w:rsidR="00534F84">
        <w:t xml:space="preserve">) and the number of responses is calculated as </w:t>
      </w:r>
      <w:r w:rsidR="00935E82">
        <w:t>3,036</w:t>
      </w:r>
      <w:r w:rsidR="007A68EB">
        <w:t xml:space="preserve"> (</w:t>
      </w:r>
      <w:r w:rsidR="00935E82">
        <w:t>30,358</w:t>
      </w:r>
      <w:r w:rsidR="007A68EB">
        <w:t xml:space="preserve"> * .10 = </w:t>
      </w:r>
      <w:r w:rsidR="00935E82">
        <w:t>3,036</w:t>
      </w:r>
      <w:r w:rsidR="00534F84">
        <w:t xml:space="preserve">). </w:t>
      </w:r>
      <w:r w:rsidR="00935E82">
        <w:t xml:space="preserve">  Data was obtained for FY 2019, however, there appeared to be an aberration that could not be accounted for that reflected 270, 850 awards, or an approximate increase in awards of a magnitude of 9 times over the prior two years and significantly over the level of the data used for the prior update in FY 2017.  Therefore, </w:t>
      </w:r>
      <w:r w:rsidR="00D31A6D">
        <w:t xml:space="preserve">the FY 2019 data was not used in the burden calculations, and </w:t>
      </w:r>
      <w:r w:rsidR="00935E82">
        <w:t>on</w:t>
      </w:r>
      <w:r w:rsidR="00D31A6D">
        <w:t>ly</w:t>
      </w:r>
      <w:r w:rsidR="00935E82">
        <w:t xml:space="preserve"> EDA data for FY 2017-FY 2018 was used.  </w:t>
      </w:r>
    </w:p>
    <w:p w:rsidR="00FB3212" w:rsidP="00FB3212" w:rsidRDefault="00403287" w14:paraId="04C78F58" w14:textId="77777777">
      <w:pPr>
        <w:pStyle w:val="NormalWeb"/>
        <w:tabs>
          <w:tab w:val="left" w:pos="360"/>
          <w:tab w:val="left" w:pos="720"/>
          <w:tab w:val="left" w:pos="1080"/>
          <w:tab w:val="left" w:pos="1440"/>
        </w:tabs>
        <w:spacing w:line="288" w:lineRule="atLeast"/>
      </w:pPr>
      <w:r>
        <w:t xml:space="preserve">                   </w:t>
      </w:r>
      <w:r w:rsidR="005B5559">
        <w:t xml:space="preserve">The </w:t>
      </w:r>
      <w:r w:rsidR="00F0796D">
        <w:t>estimate</w:t>
      </w:r>
      <w:r w:rsidRPr="00E341F7" w:rsidR="00F0796D">
        <w:t xml:space="preserve"> of </w:t>
      </w:r>
      <w:r w:rsidR="00F0796D">
        <w:t>hours spent developing and submitting</w:t>
      </w:r>
      <w:r w:rsidRPr="00E341F7" w:rsidR="00F0796D">
        <w:t xml:space="preserve"> </w:t>
      </w:r>
      <w:r w:rsidR="00F0796D">
        <w:t xml:space="preserve">a request is based on </w:t>
      </w:r>
      <w:r w:rsidRPr="00E341F7" w:rsidR="00F0796D">
        <w:t xml:space="preserve">estimates </w:t>
      </w:r>
      <w:r w:rsidR="00F0796D">
        <w:t>from</w:t>
      </w:r>
      <w:r w:rsidRPr="00E341F7" w:rsidR="00F0796D">
        <w:t xml:space="preserve"> contracting professionals familiar with processing requests for release of unclassified information.</w:t>
      </w:r>
      <w:r w:rsidR="00682749">
        <w:t xml:space="preserve"> </w:t>
      </w:r>
      <w:r w:rsidR="00160D37">
        <w:t xml:space="preserve"> </w:t>
      </w:r>
      <w:r w:rsidRPr="00E341F7" w:rsidR="00682749">
        <w:t>We estimate the total cost as follows</w:t>
      </w:r>
      <w:r w:rsidR="00682749">
        <w:t>:</w:t>
      </w:r>
    </w:p>
    <w:tbl>
      <w:tblPr>
        <w:tblW w:w="85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1530"/>
      </w:tblGrid>
      <w:tr w:rsidRPr="005B5559" w:rsidR="005B5559" w:rsidTr="00DA4D04" w14:paraId="1006D5C6" w14:textId="77777777">
        <w:trPr>
          <w:trHeight w:val="386"/>
        </w:trPr>
        <w:tc>
          <w:tcPr>
            <w:tcW w:w="8550" w:type="dxa"/>
            <w:gridSpan w:val="2"/>
            <w:tcBorders>
              <w:top w:val="single" w:color="auto" w:sz="4" w:space="0"/>
              <w:left w:val="single" w:color="auto" w:sz="4" w:space="0"/>
              <w:bottom w:val="single" w:color="auto" w:sz="4" w:space="0"/>
              <w:right w:val="single" w:color="auto" w:sz="4" w:space="0"/>
            </w:tcBorders>
            <w:vAlign w:val="center"/>
            <w:hideMark/>
          </w:tcPr>
          <w:p w:rsidRPr="005B5559" w:rsidR="00452A09" w:rsidP="005B5559" w:rsidRDefault="005B5559" w14:paraId="76D2CCC7" w14:textId="77777777">
            <w:pPr>
              <w:pStyle w:val="NormalWeb"/>
              <w:tabs>
                <w:tab w:val="left" w:pos="360"/>
                <w:tab w:val="left" w:pos="720"/>
                <w:tab w:val="left" w:pos="1080"/>
                <w:tab w:val="left" w:pos="1440"/>
              </w:tabs>
            </w:pPr>
            <w:bookmarkStart w:name="cp460" w:id="12"/>
            <w:bookmarkEnd w:id="11"/>
            <w:r w:rsidRPr="005B5559">
              <w:t>Estimation of Respondent Burden Hours: 252.2</w:t>
            </w:r>
            <w:r>
              <w:t>04</w:t>
            </w:r>
            <w:r w:rsidRPr="005B5559">
              <w:t>-7</w:t>
            </w:r>
            <w:r>
              <w:t>000</w:t>
            </w:r>
          </w:p>
        </w:tc>
      </w:tr>
      <w:tr w:rsidRPr="005B5559" w:rsidR="005B5559" w:rsidTr="00DA4D04" w14:paraId="4537230F" w14:textId="77777777">
        <w:trPr>
          <w:trHeight w:val="386"/>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5B5559" w:rsidP="005B5559" w:rsidRDefault="005B5559" w14:paraId="7143BA8F" w14:textId="77777777">
            <w:pPr>
              <w:pStyle w:val="NormalWeb"/>
              <w:tabs>
                <w:tab w:val="left" w:pos="720"/>
                <w:tab w:val="left" w:pos="1080"/>
                <w:tab w:val="left" w:pos="1440"/>
              </w:tabs>
              <w:spacing w:line="288" w:lineRule="atLeast"/>
            </w:pPr>
            <w:bookmarkStart w:name="cp458" w:id="13"/>
            <w:r w:rsidRPr="005B5559">
              <w:t xml:space="preserve">Number of respondents </w:t>
            </w:r>
          </w:p>
        </w:tc>
        <w:tc>
          <w:tcPr>
            <w:tcW w:w="1530" w:type="dxa"/>
            <w:tcBorders>
              <w:top w:val="single" w:color="auto" w:sz="4" w:space="0"/>
              <w:left w:val="single" w:color="auto" w:sz="4" w:space="0"/>
              <w:bottom w:val="single" w:color="auto" w:sz="4" w:space="0"/>
              <w:right w:val="single" w:color="auto" w:sz="4" w:space="0"/>
            </w:tcBorders>
            <w:vAlign w:val="center"/>
          </w:tcPr>
          <w:p w:rsidRPr="005B5559" w:rsidR="00452A09" w:rsidP="00E70CA5" w:rsidRDefault="00935E82" w14:paraId="4E58F18A" w14:textId="062E2550">
            <w:pPr>
              <w:pStyle w:val="NormalWeb"/>
              <w:tabs>
                <w:tab w:val="left" w:pos="360"/>
                <w:tab w:val="left" w:pos="720"/>
                <w:tab w:val="left" w:pos="1080"/>
                <w:tab w:val="left" w:pos="1440"/>
              </w:tabs>
              <w:spacing w:line="288" w:lineRule="atLeast"/>
              <w:jc w:val="right"/>
            </w:pPr>
            <w:r>
              <w:t>545</w:t>
            </w:r>
          </w:p>
        </w:tc>
      </w:tr>
      <w:tr w:rsidRPr="005B5559" w:rsidR="005B5559" w:rsidTr="00DA4D04" w14:paraId="19E912A9" w14:textId="77777777">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5B5559" w:rsidP="005B5559" w:rsidRDefault="005B5559" w14:paraId="6F48CDD0" w14:textId="77777777">
            <w:pPr>
              <w:pStyle w:val="NormalWeb"/>
              <w:tabs>
                <w:tab w:val="left" w:pos="720"/>
                <w:tab w:val="left" w:pos="1080"/>
                <w:tab w:val="left" w:pos="1440"/>
              </w:tabs>
              <w:spacing w:line="288" w:lineRule="atLeast"/>
            </w:pPr>
            <w:r w:rsidRPr="005B5559">
              <w:t xml:space="preserve">Responses per respondent </w:t>
            </w:r>
          </w:p>
        </w:tc>
        <w:tc>
          <w:tcPr>
            <w:tcW w:w="1530" w:type="dxa"/>
            <w:tcBorders>
              <w:top w:val="single" w:color="auto" w:sz="4" w:space="0"/>
              <w:left w:val="single" w:color="auto" w:sz="4" w:space="0"/>
              <w:bottom w:val="single" w:color="auto" w:sz="4" w:space="0"/>
              <w:right w:val="single" w:color="auto" w:sz="4" w:space="0"/>
            </w:tcBorders>
            <w:vAlign w:val="center"/>
          </w:tcPr>
          <w:p w:rsidRPr="005B5559" w:rsidR="00452A09" w:rsidP="00E70CA5" w:rsidRDefault="00935E82" w14:paraId="570C9CD2" w14:textId="1506385E">
            <w:pPr>
              <w:pStyle w:val="NormalWeb"/>
              <w:tabs>
                <w:tab w:val="left" w:pos="360"/>
                <w:tab w:val="left" w:pos="720"/>
                <w:tab w:val="left" w:pos="1080"/>
                <w:tab w:val="left" w:pos="1440"/>
              </w:tabs>
              <w:spacing w:line="288" w:lineRule="atLeast"/>
              <w:jc w:val="right"/>
            </w:pPr>
            <w:r>
              <w:t>5.57</w:t>
            </w:r>
          </w:p>
        </w:tc>
      </w:tr>
      <w:tr w:rsidRPr="005B5559" w:rsidR="00B81A86" w:rsidTr="00620D28" w14:paraId="6724D1CD"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81A86" w:rsidP="00B81A86" w:rsidRDefault="00B81A86" w14:paraId="1D7DA63A" w14:textId="77777777">
            <w:pPr>
              <w:pStyle w:val="NormalWeb"/>
              <w:tabs>
                <w:tab w:val="left" w:pos="720"/>
                <w:tab w:val="left" w:pos="1080"/>
                <w:tab w:val="left" w:pos="1440"/>
              </w:tabs>
              <w:spacing w:line="288" w:lineRule="atLeast"/>
            </w:pPr>
            <w:r w:rsidRPr="005B5559">
              <w:t xml:space="preserve">Number of responses </w:t>
            </w:r>
          </w:p>
        </w:tc>
        <w:tc>
          <w:tcPr>
            <w:tcW w:w="1530" w:type="dxa"/>
            <w:tcBorders>
              <w:top w:val="single" w:color="auto" w:sz="4" w:space="0"/>
              <w:left w:val="single" w:color="auto" w:sz="4" w:space="0"/>
              <w:bottom w:val="single" w:color="auto" w:sz="4" w:space="0"/>
              <w:right w:val="single" w:color="auto" w:sz="4" w:space="0"/>
            </w:tcBorders>
          </w:tcPr>
          <w:p w:rsidRPr="005B5559" w:rsidR="00B81A86" w:rsidP="00E70CA5" w:rsidRDefault="00935E82" w14:paraId="785EC7D3" w14:textId="782E90CF">
            <w:pPr>
              <w:pStyle w:val="NormalWeb"/>
              <w:tabs>
                <w:tab w:val="left" w:pos="360"/>
                <w:tab w:val="left" w:pos="720"/>
                <w:tab w:val="left" w:pos="1080"/>
                <w:tab w:val="left" w:pos="1440"/>
              </w:tabs>
              <w:spacing w:line="288" w:lineRule="atLeast"/>
              <w:jc w:val="right"/>
            </w:pPr>
            <w:r>
              <w:t>3,036</w:t>
            </w:r>
            <w:r w:rsidRPr="000F730C" w:rsidR="00B81A86">
              <w:t xml:space="preserve"> </w:t>
            </w:r>
          </w:p>
        </w:tc>
      </w:tr>
      <w:tr w:rsidRPr="005B5559" w:rsidR="00B81A86" w:rsidTr="00620D28" w14:paraId="6DF62791"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81A86" w:rsidP="00B81A86" w:rsidRDefault="00B81A86" w14:paraId="0A9191E6" w14:textId="77777777">
            <w:pPr>
              <w:pStyle w:val="NormalWeb"/>
              <w:tabs>
                <w:tab w:val="left" w:pos="720"/>
                <w:tab w:val="left" w:pos="1080"/>
                <w:tab w:val="left" w:pos="1440"/>
              </w:tabs>
              <w:spacing w:line="288" w:lineRule="atLeast"/>
            </w:pPr>
            <w:r w:rsidRPr="005B5559">
              <w:t xml:space="preserve">Hours per response </w:t>
            </w:r>
          </w:p>
        </w:tc>
        <w:tc>
          <w:tcPr>
            <w:tcW w:w="1530" w:type="dxa"/>
            <w:tcBorders>
              <w:top w:val="single" w:color="auto" w:sz="4" w:space="0"/>
              <w:left w:val="single" w:color="auto" w:sz="4" w:space="0"/>
              <w:bottom w:val="single" w:color="auto" w:sz="4" w:space="0"/>
              <w:right w:val="single" w:color="auto" w:sz="4" w:space="0"/>
            </w:tcBorders>
          </w:tcPr>
          <w:p w:rsidRPr="005B5559" w:rsidR="00B81A86" w:rsidP="00E70CA5" w:rsidRDefault="00B81A86" w14:paraId="0D96D1AA" w14:textId="77777777">
            <w:pPr>
              <w:pStyle w:val="NormalWeb"/>
              <w:tabs>
                <w:tab w:val="left" w:pos="360"/>
                <w:tab w:val="left" w:pos="720"/>
                <w:tab w:val="left" w:pos="1080"/>
                <w:tab w:val="left" w:pos="1440"/>
              </w:tabs>
              <w:spacing w:line="288" w:lineRule="atLeast"/>
              <w:jc w:val="right"/>
            </w:pPr>
            <w:r w:rsidRPr="000F730C">
              <w:t>3</w:t>
            </w:r>
          </w:p>
        </w:tc>
      </w:tr>
      <w:tr w:rsidRPr="005B5559" w:rsidR="00B81A86" w:rsidTr="00620D28" w14:paraId="7AFE62DC"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81A86" w:rsidP="00B81A86" w:rsidRDefault="00B81A86" w14:paraId="1758EA74" w14:textId="77777777">
            <w:pPr>
              <w:pStyle w:val="NormalWeb"/>
              <w:tabs>
                <w:tab w:val="left" w:pos="720"/>
                <w:tab w:val="left" w:pos="1080"/>
                <w:tab w:val="left" w:pos="1440"/>
              </w:tabs>
              <w:spacing w:line="288" w:lineRule="atLeast"/>
            </w:pPr>
            <w:r w:rsidRPr="005B5559">
              <w:t>Estimated hours (number of responses multiplied hours per response)</w:t>
            </w:r>
          </w:p>
        </w:tc>
        <w:tc>
          <w:tcPr>
            <w:tcW w:w="1530" w:type="dxa"/>
            <w:tcBorders>
              <w:top w:val="single" w:color="auto" w:sz="4" w:space="0"/>
              <w:left w:val="single" w:color="auto" w:sz="4" w:space="0"/>
              <w:bottom w:val="single" w:color="auto" w:sz="4" w:space="0"/>
              <w:right w:val="single" w:color="auto" w:sz="4" w:space="0"/>
            </w:tcBorders>
          </w:tcPr>
          <w:p w:rsidRPr="005B5559" w:rsidR="00B81A86" w:rsidP="00E70CA5" w:rsidRDefault="00935E82" w14:paraId="49271285" w14:textId="3BB720F1">
            <w:pPr>
              <w:pStyle w:val="NormalWeb"/>
              <w:tabs>
                <w:tab w:val="left" w:pos="360"/>
                <w:tab w:val="left" w:pos="720"/>
                <w:tab w:val="left" w:pos="1080"/>
                <w:tab w:val="left" w:pos="1440"/>
              </w:tabs>
              <w:spacing w:line="288" w:lineRule="atLeast"/>
              <w:jc w:val="right"/>
            </w:pPr>
            <w:r>
              <w:t>9,108</w:t>
            </w:r>
            <w:r w:rsidRPr="000F730C" w:rsidR="00B81A86">
              <w:t xml:space="preserve"> </w:t>
            </w:r>
          </w:p>
        </w:tc>
      </w:tr>
      <w:tr w:rsidRPr="005B5559" w:rsidR="00B81A86" w:rsidTr="00620D28" w14:paraId="63C8D378"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81A86" w:rsidP="00B81A86" w:rsidRDefault="00B81A86" w14:paraId="0C239D5E" w14:textId="77777777">
            <w:pPr>
              <w:pStyle w:val="NormalWeb"/>
              <w:tabs>
                <w:tab w:val="left" w:pos="720"/>
                <w:tab w:val="left" w:pos="1080"/>
                <w:tab w:val="left" w:pos="1440"/>
              </w:tabs>
              <w:spacing w:line="288" w:lineRule="atLeast"/>
            </w:pPr>
            <w:r w:rsidRPr="005B5559">
              <w:t>Cost per hour</w:t>
            </w:r>
            <w:r>
              <w:rPr>
                <w:rStyle w:val="FootnoteReference"/>
              </w:rPr>
              <w:footnoteReference w:id="1"/>
            </w:r>
            <w:r w:rsidRPr="005B5559">
              <w:t xml:space="preserve"> (hourly wage)</w:t>
            </w:r>
          </w:p>
        </w:tc>
        <w:tc>
          <w:tcPr>
            <w:tcW w:w="1530" w:type="dxa"/>
            <w:tcBorders>
              <w:top w:val="single" w:color="auto" w:sz="4" w:space="0"/>
              <w:left w:val="single" w:color="auto" w:sz="4" w:space="0"/>
              <w:bottom w:val="single" w:color="auto" w:sz="4" w:space="0"/>
              <w:right w:val="single" w:color="auto" w:sz="4" w:space="0"/>
            </w:tcBorders>
          </w:tcPr>
          <w:p w:rsidRPr="005B5559" w:rsidR="00B81A86" w:rsidP="00E70CA5" w:rsidRDefault="00B81A86" w14:paraId="4D58D3F9" w14:textId="14BA3BD1">
            <w:pPr>
              <w:pStyle w:val="NormalWeb"/>
              <w:tabs>
                <w:tab w:val="left" w:pos="360"/>
                <w:tab w:val="left" w:pos="720"/>
                <w:tab w:val="left" w:pos="1080"/>
                <w:tab w:val="left" w:pos="1440"/>
              </w:tabs>
              <w:spacing w:line="288" w:lineRule="atLeast"/>
              <w:jc w:val="right"/>
            </w:pPr>
            <w:r w:rsidRPr="000F730C">
              <w:t>$</w:t>
            </w:r>
            <w:r w:rsidR="00E70CA5">
              <w:t>39</w:t>
            </w:r>
          </w:p>
        </w:tc>
      </w:tr>
      <w:tr w:rsidRPr="005B5559" w:rsidR="00B81A86" w:rsidTr="00620D28" w14:paraId="1DE5C7F8"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81A86" w:rsidP="00B81A86" w:rsidRDefault="00B81A86" w14:paraId="2A657E88" w14:textId="77777777">
            <w:pPr>
              <w:pStyle w:val="NormalWeb"/>
              <w:tabs>
                <w:tab w:val="left" w:pos="720"/>
                <w:tab w:val="left" w:pos="1080"/>
                <w:tab w:val="left" w:pos="1440"/>
              </w:tabs>
              <w:spacing w:line="288" w:lineRule="atLeast"/>
            </w:pPr>
            <w:r w:rsidRPr="005B5559">
              <w:t>Annual public burden (estimated hours multiplied by cost per hour)</w:t>
            </w:r>
          </w:p>
        </w:tc>
        <w:tc>
          <w:tcPr>
            <w:tcW w:w="1530" w:type="dxa"/>
            <w:tcBorders>
              <w:top w:val="single" w:color="auto" w:sz="4" w:space="0"/>
              <w:left w:val="single" w:color="auto" w:sz="4" w:space="0"/>
              <w:bottom w:val="single" w:color="auto" w:sz="4" w:space="0"/>
              <w:right w:val="single" w:color="auto" w:sz="4" w:space="0"/>
            </w:tcBorders>
          </w:tcPr>
          <w:p w:rsidRPr="005B5559" w:rsidR="00B81A86" w:rsidP="00E70CA5" w:rsidRDefault="00B81A86" w14:paraId="12B3FC61" w14:textId="38382987">
            <w:pPr>
              <w:pStyle w:val="NormalWeb"/>
              <w:tabs>
                <w:tab w:val="left" w:pos="360"/>
                <w:tab w:val="left" w:pos="720"/>
                <w:tab w:val="left" w:pos="1080"/>
                <w:tab w:val="left" w:pos="1440"/>
              </w:tabs>
              <w:spacing w:line="288" w:lineRule="atLeast"/>
              <w:jc w:val="right"/>
            </w:pPr>
            <w:r w:rsidRPr="000F730C">
              <w:t>$</w:t>
            </w:r>
            <w:r w:rsidR="00935E82">
              <w:t>355,212</w:t>
            </w:r>
            <w:r w:rsidRPr="000F730C">
              <w:t xml:space="preserve"> </w:t>
            </w:r>
          </w:p>
        </w:tc>
      </w:tr>
    </w:tbl>
    <w:p w:rsidR="007F70AC" w:rsidP="00746F33" w:rsidRDefault="007F70AC" w14:paraId="13352773" w14:textId="1798274C">
      <w:pPr>
        <w:pStyle w:val="NormalWeb"/>
        <w:tabs>
          <w:tab w:val="left" w:pos="360"/>
          <w:tab w:val="left" w:pos="720"/>
          <w:tab w:val="left" w:pos="1080"/>
          <w:tab w:val="left" w:pos="1440"/>
        </w:tabs>
        <w:spacing w:before="0" w:beforeAutospacing="0" w:after="0" w:afterAutospacing="0"/>
      </w:pPr>
      <w:bookmarkStart w:name="cp462" w:id="14"/>
      <w:bookmarkEnd w:id="12"/>
      <w:bookmarkEnd w:id="13"/>
    </w:p>
    <w:p w:rsidR="00935E82" w:rsidP="00746F33" w:rsidRDefault="00746F33" w14:paraId="0D9146EB" w14:textId="77777777">
      <w:pPr>
        <w:pStyle w:val="NormalWeb"/>
        <w:tabs>
          <w:tab w:val="left" w:pos="360"/>
          <w:tab w:val="left" w:pos="720"/>
          <w:tab w:val="left" w:pos="1080"/>
          <w:tab w:val="left" w:pos="1440"/>
        </w:tabs>
        <w:spacing w:before="0" w:beforeAutospacing="0" w:after="0" w:afterAutospacing="0"/>
      </w:pPr>
      <w:r>
        <w:tab/>
      </w:r>
    </w:p>
    <w:p w:rsidR="00935E82" w:rsidP="00746F33" w:rsidRDefault="00935E82" w14:paraId="3C0EF77C" w14:textId="77777777">
      <w:pPr>
        <w:pStyle w:val="NormalWeb"/>
        <w:tabs>
          <w:tab w:val="left" w:pos="360"/>
          <w:tab w:val="left" w:pos="720"/>
          <w:tab w:val="left" w:pos="1080"/>
          <w:tab w:val="left" w:pos="1440"/>
        </w:tabs>
        <w:spacing w:before="0" w:beforeAutospacing="0" w:after="0" w:afterAutospacing="0"/>
      </w:pPr>
    </w:p>
    <w:p w:rsidR="005E0A0F" w:rsidP="00746F33" w:rsidRDefault="005E0A0F" w14:paraId="79371CA6" w14:textId="195A6630">
      <w:pPr>
        <w:pStyle w:val="NormalWeb"/>
        <w:tabs>
          <w:tab w:val="left" w:pos="360"/>
          <w:tab w:val="left" w:pos="720"/>
          <w:tab w:val="left" w:pos="1080"/>
          <w:tab w:val="left" w:pos="1440"/>
        </w:tabs>
        <w:spacing w:before="0" w:beforeAutospacing="0" w:after="0" w:afterAutospacing="0"/>
      </w:pPr>
      <w:r>
        <w:t>13.</w:t>
      </w:r>
      <w:r w:rsidR="00127C69">
        <w:tab/>
      </w:r>
      <w:r>
        <w:rPr>
          <w:u w:val="single"/>
        </w:rPr>
        <w:t>Respondent Costs Other Than Burden Hour Costs</w:t>
      </w:r>
    </w:p>
    <w:p w:rsidR="00EB0C6C" w:rsidP="00CE07E1" w:rsidRDefault="006E7819" w14:paraId="5252FD25" w14:textId="77777777">
      <w:pPr>
        <w:pStyle w:val="NormalWeb"/>
        <w:tabs>
          <w:tab w:val="left" w:pos="360"/>
          <w:tab w:val="left" w:pos="720"/>
          <w:tab w:val="left" w:pos="1080"/>
          <w:tab w:val="left" w:pos="1440"/>
        </w:tabs>
        <w:spacing w:line="288" w:lineRule="atLeast"/>
      </w:pPr>
      <w:bookmarkStart w:name="cp464" w:id="15"/>
      <w:bookmarkEnd w:id="14"/>
      <w:r>
        <w:tab/>
      </w:r>
      <w:r>
        <w:tab/>
      </w:r>
      <w:bookmarkStart w:name="cp466" w:id="16"/>
      <w:bookmarkEnd w:id="15"/>
      <w:r w:rsidR="004D5E92">
        <w:t xml:space="preserve">It is not anticipated that the information collection will generate any additional annualized costs to respondents other than the labor burden costs addressed in Item 12. </w:t>
      </w:r>
    </w:p>
    <w:p w:rsidR="00D141EB" w:rsidP="00FB3212" w:rsidRDefault="006E7819" w14:paraId="54C6638F" w14:textId="77777777">
      <w:pPr>
        <w:pStyle w:val="NormalWeb"/>
        <w:tabs>
          <w:tab w:val="left" w:pos="360"/>
          <w:tab w:val="left" w:pos="720"/>
          <w:tab w:val="left" w:pos="1080"/>
          <w:tab w:val="left" w:pos="1440"/>
        </w:tabs>
        <w:spacing w:line="288" w:lineRule="atLeast"/>
      </w:pPr>
      <w:r>
        <w:tab/>
      </w:r>
      <w:r w:rsidR="005E0A0F">
        <w:t>14.</w:t>
      </w:r>
      <w:r w:rsidR="00D141EB">
        <w:tab/>
      </w:r>
      <w:r w:rsidR="005E0A0F">
        <w:rPr>
          <w:u w:val="single"/>
        </w:rPr>
        <w:t>Cost to the Federal Government</w:t>
      </w:r>
      <w:bookmarkEnd w:id="16"/>
    </w:p>
    <w:p w:rsidRPr="000C5FFB" w:rsidR="000C5FFB" w:rsidP="00534F84" w:rsidRDefault="00EB0C6C" w14:paraId="59E64D19" w14:textId="77777777">
      <w:pPr>
        <w:pStyle w:val="NormalWeb"/>
        <w:tabs>
          <w:tab w:val="left" w:pos="360"/>
          <w:tab w:val="left" w:pos="720"/>
          <w:tab w:val="left" w:pos="1080"/>
          <w:tab w:val="left" w:pos="1440"/>
        </w:tabs>
        <w:spacing w:line="288" w:lineRule="atLeast"/>
      </w:pPr>
      <w:r>
        <w:tab/>
      </w:r>
      <w:r>
        <w:tab/>
      </w:r>
      <w:r w:rsidR="00682749">
        <w:t xml:space="preserve">In the table below, the number of respondents </w:t>
      </w:r>
      <w:r w:rsidR="00403287">
        <w:t>and the number of responses are</w:t>
      </w:r>
      <w:r w:rsidR="00682749">
        <w:t xml:space="preserve"> </w:t>
      </w:r>
      <w:r w:rsidR="00534F84">
        <w:t xml:space="preserve">based on the same information and calculated in the same manner as </w:t>
      </w:r>
      <w:r w:rsidR="00403287">
        <w:t>discussed</w:t>
      </w:r>
      <w:r w:rsidR="00534F84">
        <w:t xml:space="preserve"> in paragraph 12.  </w:t>
      </w:r>
    </w:p>
    <w:p w:rsidR="00D3046A" w:rsidP="00FB3212" w:rsidRDefault="00C06E0F" w14:paraId="7328A45A" w14:textId="77777777">
      <w:pPr>
        <w:pStyle w:val="NormalWeb"/>
        <w:tabs>
          <w:tab w:val="left" w:pos="360"/>
          <w:tab w:val="left" w:pos="720"/>
          <w:tab w:val="left" w:pos="1080"/>
          <w:tab w:val="left" w:pos="1440"/>
        </w:tabs>
        <w:spacing w:line="288" w:lineRule="atLeast"/>
      </w:pPr>
      <w:r>
        <w:tab/>
      </w:r>
      <w:r>
        <w:tab/>
      </w:r>
      <w:r w:rsidR="00682749">
        <w:t>The estimate</w:t>
      </w:r>
      <w:r w:rsidRPr="00E341F7" w:rsidR="00682749">
        <w:t xml:space="preserve"> of </w:t>
      </w:r>
      <w:r w:rsidR="00682749">
        <w:t>hours spent reviewing and processing</w:t>
      </w:r>
      <w:r w:rsidRPr="00E341F7" w:rsidR="00682749">
        <w:t xml:space="preserve"> </w:t>
      </w:r>
      <w:r w:rsidR="00682749">
        <w:t xml:space="preserve">a request is based on </w:t>
      </w:r>
      <w:r w:rsidRPr="00E341F7" w:rsidR="00682749">
        <w:t xml:space="preserve">estimates </w:t>
      </w:r>
      <w:r w:rsidR="00682749">
        <w:t>from</w:t>
      </w:r>
      <w:r w:rsidRPr="00E341F7" w:rsidR="00682749">
        <w:t xml:space="preserve"> contracting professionals familiar with processing requests for release of unclassified information.</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682749" w:rsidR="00682749" w:rsidTr="00682749" w14:paraId="27281C47"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Pr="00682749" w:rsidR="00452A09" w:rsidP="00682749" w:rsidRDefault="00682749" w14:paraId="7935FC97" w14:textId="77777777">
            <w:pPr>
              <w:pStyle w:val="NormalWeb"/>
              <w:tabs>
                <w:tab w:val="left" w:pos="360"/>
                <w:tab w:val="left" w:pos="720"/>
                <w:tab w:val="left" w:pos="1080"/>
                <w:tab w:val="left" w:pos="1440"/>
              </w:tabs>
            </w:pPr>
            <w:r w:rsidRPr="00682749">
              <w:t>Estimation of Respondent Burden Hours: 252.2</w:t>
            </w:r>
            <w:r>
              <w:t>04-7000</w:t>
            </w:r>
          </w:p>
        </w:tc>
      </w:tr>
      <w:tr w:rsidRPr="00682749" w:rsidR="00B81A86" w:rsidTr="00620D28" w14:paraId="6007115D" w14:textId="77777777">
        <w:trPr>
          <w:trHeight w:val="386"/>
        </w:trPr>
        <w:tc>
          <w:tcPr>
            <w:tcW w:w="7020" w:type="dxa"/>
            <w:tcBorders>
              <w:top w:val="single" w:color="auto" w:sz="4" w:space="0"/>
              <w:left w:val="single" w:color="auto" w:sz="4" w:space="0"/>
              <w:bottom w:val="single" w:color="auto" w:sz="4" w:space="0"/>
              <w:right w:val="single" w:color="auto" w:sz="4" w:space="0"/>
            </w:tcBorders>
            <w:vAlign w:val="center"/>
            <w:hideMark/>
          </w:tcPr>
          <w:p w:rsidRPr="00682749" w:rsidR="00B81A86" w:rsidP="00B81A86" w:rsidRDefault="00B81A86" w14:paraId="48D1872A" w14:textId="77777777">
            <w:pPr>
              <w:pStyle w:val="NormalWeb"/>
              <w:tabs>
                <w:tab w:val="left" w:pos="720"/>
                <w:tab w:val="left" w:pos="1080"/>
                <w:tab w:val="left" w:pos="1440"/>
              </w:tabs>
              <w:spacing w:line="288" w:lineRule="atLeast"/>
            </w:pPr>
            <w:r w:rsidRPr="00682749">
              <w:t xml:space="preserve">Number of respondents </w:t>
            </w:r>
          </w:p>
        </w:tc>
        <w:tc>
          <w:tcPr>
            <w:tcW w:w="2250" w:type="dxa"/>
            <w:tcBorders>
              <w:top w:val="single" w:color="auto" w:sz="4" w:space="0"/>
              <w:left w:val="single" w:color="auto" w:sz="4" w:space="0"/>
              <w:bottom w:val="single" w:color="auto" w:sz="4" w:space="0"/>
              <w:right w:val="single" w:color="auto" w:sz="4" w:space="0"/>
            </w:tcBorders>
          </w:tcPr>
          <w:p w:rsidRPr="00682749" w:rsidR="00B81A86" w:rsidP="00764A75" w:rsidRDefault="00935E82" w14:paraId="293B3904" w14:textId="02D81740">
            <w:pPr>
              <w:pStyle w:val="NormalWeb"/>
              <w:tabs>
                <w:tab w:val="left" w:pos="360"/>
                <w:tab w:val="left" w:pos="720"/>
                <w:tab w:val="left" w:pos="1080"/>
                <w:tab w:val="left" w:pos="1440"/>
              </w:tabs>
              <w:spacing w:line="288" w:lineRule="atLeast"/>
              <w:jc w:val="right"/>
            </w:pPr>
            <w:r>
              <w:t>545</w:t>
            </w:r>
            <w:r w:rsidRPr="002D20C5" w:rsidR="00B81A86">
              <w:t xml:space="preserve"> </w:t>
            </w:r>
          </w:p>
        </w:tc>
      </w:tr>
      <w:tr w:rsidRPr="00682749" w:rsidR="00B81A86" w:rsidTr="00620D28" w14:paraId="1664BF05" w14:textId="77777777">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Pr="00682749" w:rsidR="00B81A86" w:rsidP="00B81A86" w:rsidRDefault="00B81A86" w14:paraId="0A31FE7F" w14:textId="77777777">
            <w:pPr>
              <w:pStyle w:val="NormalWeb"/>
              <w:tabs>
                <w:tab w:val="left" w:pos="720"/>
                <w:tab w:val="left" w:pos="1080"/>
                <w:tab w:val="left" w:pos="1440"/>
              </w:tabs>
              <w:spacing w:line="288" w:lineRule="atLeast"/>
            </w:pPr>
            <w:r w:rsidRPr="00682749">
              <w:t xml:space="preserve">Responses per respondent </w:t>
            </w:r>
          </w:p>
        </w:tc>
        <w:tc>
          <w:tcPr>
            <w:tcW w:w="2250" w:type="dxa"/>
            <w:tcBorders>
              <w:top w:val="single" w:color="auto" w:sz="4" w:space="0"/>
              <w:left w:val="single" w:color="auto" w:sz="4" w:space="0"/>
              <w:bottom w:val="single" w:color="auto" w:sz="4" w:space="0"/>
              <w:right w:val="single" w:color="auto" w:sz="4" w:space="0"/>
            </w:tcBorders>
          </w:tcPr>
          <w:p w:rsidRPr="00682749" w:rsidR="00B81A86" w:rsidP="00764A75" w:rsidRDefault="00F27484" w14:paraId="3AFCFC38" w14:textId="485AE8B1">
            <w:pPr>
              <w:pStyle w:val="NormalWeb"/>
              <w:tabs>
                <w:tab w:val="left" w:pos="360"/>
                <w:tab w:val="left" w:pos="720"/>
                <w:tab w:val="left" w:pos="1080"/>
                <w:tab w:val="left" w:pos="1440"/>
              </w:tabs>
              <w:spacing w:line="288" w:lineRule="atLeast"/>
              <w:jc w:val="right"/>
            </w:pPr>
            <w:r>
              <w:t>5.57</w:t>
            </w:r>
            <w:r w:rsidRPr="002D20C5" w:rsidR="00B81A86">
              <w:t xml:space="preserve"> </w:t>
            </w:r>
          </w:p>
        </w:tc>
      </w:tr>
      <w:tr w:rsidRPr="00682749" w:rsidR="00B81A86" w:rsidTr="00620D28" w14:paraId="716C384E"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Pr="00682749" w:rsidR="00B81A86" w:rsidP="00B81A86" w:rsidRDefault="00B81A86" w14:paraId="3200F204" w14:textId="77777777">
            <w:pPr>
              <w:pStyle w:val="NormalWeb"/>
              <w:tabs>
                <w:tab w:val="left" w:pos="720"/>
                <w:tab w:val="left" w:pos="1080"/>
                <w:tab w:val="left" w:pos="1440"/>
              </w:tabs>
              <w:spacing w:line="288" w:lineRule="atLeast"/>
            </w:pPr>
            <w:r w:rsidRPr="00682749">
              <w:t xml:space="preserve">Number of responses </w:t>
            </w:r>
          </w:p>
        </w:tc>
        <w:tc>
          <w:tcPr>
            <w:tcW w:w="2250" w:type="dxa"/>
            <w:tcBorders>
              <w:top w:val="single" w:color="auto" w:sz="4" w:space="0"/>
              <w:left w:val="single" w:color="auto" w:sz="4" w:space="0"/>
              <w:bottom w:val="single" w:color="auto" w:sz="4" w:space="0"/>
              <w:right w:val="single" w:color="auto" w:sz="4" w:space="0"/>
            </w:tcBorders>
          </w:tcPr>
          <w:p w:rsidRPr="00682749" w:rsidR="00B81A86" w:rsidP="00764A75" w:rsidRDefault="00935E82" w14:paraId="69515D11" w14:textId="7C096E95">
            <w:pPr>
              <w:pStyle w:val="NormalWeb"/>
              <w:tabs>
                <w:tab w:val="left" w:pos="360"/>
                <w:tab w:val="left" w:pos="720"/>
                <w:tab w:val="left" w:pos="1080"/>
                <w:tab w:val="left" w:pos="1440"/>
              </w:tabs>
              <w:spacing w:line="288" w:lineRule="atLeast"/>
              <w:jc w:val="right"/>
            </w:pPr>
            <w:r>
              <w:t>3,036</w:t>
            </w:r>
            <w:r w:rsidRPr="002D20C5" w:rsidR="00B81A86">
              <w:t xml:space="preserve"> </w:t>
            </w:r>
          </w:p>
        </w:tc>
      </w:tr>
      <w:tr w:rsidRPr="00682749" w:rsidR="00B81A86" w:rsidTr="00620D28" w14:paraId="1B4DDF91"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Pr="00682749" w:rsidR="00B81A86" w:rsidP="00B81A86" w:rsidRDefault="00B81A86" w14:paraId="5FB8EE16" w14:textId="77777777">
            <w:pPr>
              <w:pStyle w:val="NormalWeb"/>
              <w:tabs>
                <w:tab w:val="left" w:pos="720"/>
                <w:tab w:val="left" w:pos="1080"/>
                <w:tab w:val="left" w:pos="1440"/>
              </w:tabs>
              <w:spacing w:line="288" w:lineRule="atLeast"/>
            </w:pPr>
            <w:r w:rsidRPr="00682749">
              <w:t xml:space="preserve">Hours per response </w:t>
            </w:r>
          </w:p>
        </w:tc>
        <w:tc>
          <w:tcPr>
            <w:tcW w:w="2250" w:type="dxa"/>
            <w:tcBorders>
              <w:top w:val="single" w:color="auto" w:sz="4" w:space="0"/>
              <w:left w:val="single" w:color="auto" w:sz="4" w:space="0"/>
              <w:bottom w:val="single" w:color="auto" w:sz="4" w:space="0"/>
              <w:right w:val="single" w:color="auto" w:sz="4" w:space="0"/>
            </w:tcBorders>
          </w:tcPr>
          <w:p w:rsidRPr="00682749" w:rsidR="00B81A86" w:rsidP="00764A75" w:rsidRDefault="00B81A86" w14:paraId="5492B59B" w14:textId="77777777">
            <w:pPr>
              <w:pStyle w:val="NormalWeb"/>
              <w:tabs>
                <w:tab w:val="left" w:pos="360"/>
                <w:tab w:val="left" w:pos="720"/>
                <w:tab w:val="left" w:pos="1080"/>
                <w:tab w:val="left" w:pos="1440"/>
              </w:tabs>
              <w:spacing w:line="288" w:lineRule="atLeast"/>
              <w:jc w:val="right"/>
            </w:pPr>
            <w:r w:rsidRPr="002D20C5">
              <w:t>2</w:t>
            </w:r>
          </w:p>
        </w:tc>
      </w:tr>
      <w:tr w:rsidRPr="00682749" w:rsidR="00B81A86" w:rsidTr="00620D28" w14:paraId="6DF9A186"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Pr="00682749" w:rsidR="00B81A86" w:rsidP="00B81A86" w:rsidRDefault="00B81A86" w14:paraId="15867281" w14:textId="77777777">
            <w:pPr>
              <w:pStyle w:val="NormalWeb"/>
              <w:tabs>
                <w:tab w:val="left" w:pos="720"/>
                <w:tab w:val="left" w:pos="1080"/>
                <w:tab w:val="left" w:pos="1440"/>
              </w:tabs>
              <w:spacing w:line="288" w:lineRule="atLeast"/>
            </w:pPr>
            <w:r w:rsidRPr="00682749">
              <w:t>Estimated hours (number of responses multiplied hours per response)</w:t>
            </w:r>
          </w:p>
        </w:tc>
        <w:tc>
          <w:tcPr>
            <w:tcW w:w="2250" w:type="dxa"/>
            <w:tcBorders>
              <w:top w:val="single" w:color="auto" w:sz="4" w:space="0"/>
              <w:left w:val="single" w:color="auto" w:sz="4" w:space="0"/>
              <w:bottom w:val="single" w:color="auto" w:sz="4" w:space="0"/>
              <w:right w:val="single" w:color="auto" w:sz="4" w:space="0"/>
            </w:tcBorders>
          </w:tcPr>
          <w:p w:rsidRPr="00682749" w:rsidR="00B81A86" w:rsidP="00764A75" w:rsidRDefault="00F27484" w14:paraId="61E37483" w14:textId="2A219A4F">
            <w:pPr>
              <w:pStyle w:val="NormalWeb"/>
              <w:tabs>
                <w:tab w:val="left" w:pos="360"/>
                <w:tab w:val="left" w:pos="720"/>
                <w:tab w:val="left" w:pos="1080"/>
                <w:tab w:val="left" w:pos="1440"/>
              </w:tabs>
              <w:spacing w:line="288" w:lineRule="atLeast"/>
              <w:jc w:val="right"/>
            </w:pPr>
            <w:r>
              <w:t>6,072</w:t>
            </w:r>
            <w:r w:rsidRPr="002D20C5" w:rsidR="00B81A86">
              <w:t xml:space="preserve"> </w:t>
            </w:r>
          </w:p>
        </w:tc>
      </w:tr>
      <w:tr w:rsidRPr="00682749" w:rsidR="00B81A86" w:rsidTr="00E70CA5" w14:paraId="6CA3CE2A"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Pr="00682749" w:rsidR="00B81A86" w:rsidP="00B81A86" w:rsidRDefault="00B81A86" w14:paraId="1CB68D04" w14:textId="77777777">
            <w:pPr>
              <w:pStyle w:val="NormalWeb"/>
              <w:tabs>
                <w:tab w:val="left" w:pos="720"/>
                <w:tab w:val="left" w:pos="1080"/>
                <w:tab w:val="left" w:pos="1440"/>
              </w:tabs>
              <w:spacing w:line="288" w:lineRule="atLeast"/>
            </w:pPr>
            <w:r w:rsidRPr="00682749">
              <w:t>Cost per hour</w:t>
            </w:r>
            <w:r>
              <w:rPr>
                <w:rStyle w:val="FootnoteReference"/>
              </w:rPr>
              <w:footnoteReference w:id="2"/>
            </w:r>
            <w:r w:rsidRPr="00682749">
              <w:t xml:space="preserve"> (hourly wage)</w:t>
            </w:r>
          </w:p>
        </w:tc>
        <w:tc>
          <w:tcPr>
            <w:tcW w:w="2250" w:type="dxa"/>
            <w:tcBorders>
              <w:top w:val="single" w:color="auto" w:sz="4" w:space="0"/>
              <w:left w:val="single" w:color="auto" w:sz="4" w:space="0"/>
              <w:bottom w:val="single" w:color="auto" w:sz="4" w:space="0"/>
              <w:right w:val="single" w:color="auto" w:sz="4" w:space="0"/>
            </w:tcBorders>
          </w:tcPr>
          <w:p w:rsidRPr="00682749" w:rsidR="00B81A86" w:rsidP="00764A75" w:rsidRDefault="00B81A86" w14:paraId="224C8555" w14:textId="21ED97AC">
            <w:pPr>
              <w:pStyle w:val="NormalWeb"/>
              <w:tabs>
                <w:tab w:val="left" w:pos="360"/>
                <w:tab w:val="left" w:pos="720"/>
                <w:tab w:val="left" w:pos="1080"/>
                <w:tab w:val="left" w:pos="1440"/>
              </w:tabs>
              <w:spacing w:line="288" w:lineRule="atLeast"/>
              <w:jc w:val="right"/>
            </w:pPr>
            <w:r w:rsidRPr="002D20C5">
              <w:t>$3</w:t>
            </w:r>
            <w:r w:rsidR="00764A75">
              <w:t>9</w:t>
            </w:r>
          </w:p>
        </w:tc>
      </w:tr>
      <w:tr w:rsidRPr="00682749" w:rsidR="00B81A86" w:rsidTr="00E70CA5" w14:paraId="3A6C8CEC"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Pr="00682749" w:rsidR="00B81A86" w:rsidP="00B81A86" w:rsidRDefault="00B81A86" w14:paraId="63291B9D" w14:textId="77777777">
            <w:pPr>
              <w:pStyle w:val="NormalWeb"/>
              <w:tabs>
                <w:tab w:val="left" w:pos="720"/>
                <w:tab w:val="left" w:pos="1080"/>
                <w:tab w:val="left" w:pos="1440"/>
              </w:tabs>
              <w:spacing w:line="288" w:lineRule="atLeast"/>
            </w:pPr>
            <w:r w:rsidRPr="00682749">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tcPr>
          <w:p w:rsidRPr="00682749" w:rsidR="00B81A86" w:rsidP="00764A75" w:rsidRDefault="00B81A86" w14:paraId="3B1547B4" w14:textId="7B6E216A">
            <w:pPr>
              <w:pStyle w:val="NormalWeb"/>
              <w:tabs>
                <w:tab w:val="left" w:pos="360"/>
                <w:tab w:val="left" w:pos="720"/>
                <w:tab w:val="left" w:pos="1080"/>
                <w:tab w:val="left" w:pos="1440"/>
              </w:tabs>
              <w:spacing w:line="288" w:lineRule="atLeast"/>
              <w:jc w:val="right"/>
            </w:pPr>
            <w:r w:rsidRPr="002D20C5">
              <w:t xml:space="preserve"> $</w:t>
            </w:r>
            <w:r w:rsidR="00F27484">
              <w:t>236,808</w:t>
            </w:r>
            <w:r w:rsidRPr="002D20C5">
              <w:t xml:space="preserve"> </w:t>
            </w:r>
          </w:p>
        </w:tc>
      </w:tr>
    </w:tbl>
    <w:p w:rsidR="005E0A0F" w:rsidP="00AC5BD4" w:rsidRDefault="00D141EB" w14:paraId="71670CFA" w14:textId="77777777">
      <w:pPr>
        <w:pStyle w:val="NormalWeb"/>
        <w:tabs>
          <w:tab w:val="left" w:pos="360"/>
          <w:tab w:val="left" w:pos="720"/>
          <w:tab w:val="left" w:pos="1080"/>
          <w:tab w:val="left" w:pos="1440"/>
        </w:tabs>
        <w:spacing w:line="288" w:lineRule="atLeast"/>
      </w:pPr>
      <w:bookmarkStart w:name="cp468" w:id="17"/>
      <w:r>
        <w:tab/>
      </w:r>
      <w:r w:rsidR="00697856">
        <w:t xml:space="preserve">     </w:t>
      </w:r>
      <w:r w:rsidR="005E0A0F">
        <w:t>15.</w:t>
      </w:r>
      <w:r>
        <w:tab/>
      </w:r>
      <w:r w:rsidR="005E0A0F">
        <w:rPr>
          <w:u w:val="single"/>
        </w:rPr>
        <w:t>Reasons for Change in Burden</w:t>
      </w:r>
    </w:p>
    <w:bookmarkEnd w:id="17"/>
    <w:p w:rsidR="00C0462C" w:rsidP="00AC5BD4" w:rsidRDefault="00D141EB" w14:paraId="1969CB75" w14:textId="6C7E5D81">
      <w:pPr>
        <w:pStyle w:val="NormalWeb"/>
        <w:tabs>
          <w:tab w:val="left" w:pos="360"/>
          <w:tab w:val="left" w:pos="720"/>
          <w:tab w:val="left" w:pos="1080"/>
          <w:tab w:val="left" w:pos="1440"/>
        </w:tabs>
        <w:spacing w:line="288" w:lineRule="atLeast"/>
      </w:pPr>
      <w:r w:rsidRPr="00773EB3">
        <w:tab/>
      </w:r>
      <w:r w:rsidRPr="00773EB3">
        <w:tab/>
      </w:r>
      <w:r w:rsidRPr="00773EB3" w:rsidR="00C0462C">
        <w:t xml:space="preserve">This is </w:t>
      </w:r>
      <w:r w:rsidRPr="00773EB3" w:rsidR="00773EB3">
        <w:t>a revision</w:t>
      </w:r>
      <w:r w:rsidRPr="00773EB3" w:rsidR="00C0462C">
        <w:t xml:space="preserve"> of a currently approved public information collection</w:t>
      </w:r>
      <w:r w:rsidR="00D20198">
        <w:t xml:space="preserve"> review.  There </w:t>
      </w:r>
      <w:r w:rsidR="00DA4D04">
        <w:t xml:space="preserve">has </w:t>
      </w:r>
      <w:r w:rsidR="00D20198">
        <w:t xml:space="preserve">been a change in burden estimates since the last time this collection was </w:t>
      </w:r>
      <w:r w:rsidR="004B24D8">
        <w:t>reviewed</w:t>
      </w:r>
      <w:r w:rsidR="008A0FD1">
        <w:t>.</w:t>
      </w:r>
    </w:p>
    <w:p w:rsidR="008A0FD1" w:rsidP="00AC5BD4" w:rsidRDefault="005417F0" w14:paraId="40422B24" w14:textId="4B04C7F5">
      <w:pPr>
        <w:pStyle w:val="NormalWeb"/>
        <w:tabs>
          <w:tab w:val="left" w:pos="360"/>
          <w:tab w:val="left" w:pos="720"/>
          <w:tab w:val="left" w:pos="1080"/>
          <w:tab w:val="left" w:pos="1440"/>
        </w:tabs>
        <w:spacing w:line="288" w:lineRule="atLeast"/>
      </w:pPr>
      <w:r>
        <w:t xml:space="preserve">            </w:t>
      </w:r>
      <w:r w:rsidRPr="005417F0">
        <w:t xml:space="preserve">The number of respondents </w:t>
      </w:r>
      <w:r>
        <w:t>under Items 12 and 14</w:t>
      </w:r>
      <w:r w:rsidRPr="005417F0">
        <w:t xml:space="preserve"> changed becaus</w:t>
      </w:r>
      <w:r w:rsidR="009E6FA1">
        <w:t xml:space="preserve">e the </w:t>
      </w:r>
      <w:r w:rsidR="001D2653">
        <w:t>Government changed the variables upon which the final number is based.</w:t>
      </w:r>
      <w:r w:rsidR="00DA4D04">
        <w:t xml:space="preserve"> </w:t>
      </w:r>
      <w:r w:rsidR="001D2653">
        <w:t xml:space="preserve"> In the </w:t>
      </w:r>
      <w:r w:rsidR="00DA4D04">
        <w:t>FY</w:t>
      </w:r>
      <w:r w:rsidR="001D2653">
        <w:t xml:space="preserve"> </w:t>
      </w:r>
      <w:r w:rsidR="001C619A">
        <w:t>201</w:t>
      </w:r>
      <w:r w:rsidR="008A0FD1">
        <w:t>7</w:t>
      </w:r>
      <w:r w:rsidR="001C619A">
        <w:t xml:space="preserve"> </w:t>
      </w:r>
      <w:r w:rsidR="001D2653">
        <w:t>submission, the Government determined the total number of respondents for both the public and the Government to be an estimated ten percent of the total contracts awarded for that fiscal year</w:t>
      </w:r>
      <w:r w:rsidR="001C619A">
        <w:t xml:space="preserve"> that were above the simplified acquisition threshold (SAT)</w:t>
      </w:r>
      <w:r w:rsidR="001D2653">
        <w:t xml:space="preserve">.  </w:t>
      </w:r>
    </w:p>
    <w:p w:rsidR="00F27484" w:rsidP="00AC5BD4" w:rsidRDefault="00F27484" w14:paraId="1177E3F0" w14:textId="77777777">
      <w:pPr>
        <w:pStyle w:val="NormalWeb"/>
        <w:tabs>
          <w:tab w:val="left" w:pos="360"/>
          <w:tab w:val="left" w:pos="720"/>
          <w:tab w:val="left" w:pos="1080"/>
          <w:tab w:val="left" w:pos="1440"/>
        </w:tabs>
        <w:spacing w:line="288" w:lineRule="atLeast"/>
      </w:pPr>
    </w:p>
    <w:p w:rsidR="008A0FD1" w:rsidP="00AC5BD4" w:rsidRDefault="008A0FD1" w14:paraId="4B7A7637" w14:textId="1D8B9104">
      <w:pPr>
        <w:pStyle w:val="NormalWeb"/>
        <w:tabs>
          <w:tab w:val="left" w:pos="360"/>
          <w:tab w:val="left" w:pos="720"/>
          <w:tab w:val="left" w:pos="1080"/>
          <w:tab w:val="left" w:pos="1440"/>
        </w:tabs>
        <w:spacing w:line="288" w:lineRule="atLeast"/>
      </w:pPr>
      <w:r>
        <w:tab/>
      </w:r>
      <w:r>
        <w:tab/>
      </w:r>
      <w:r w:rsidR="00845710">
        <w:t xml:space="preserve">With this submission, the Government </w:t>
      </w:r>
      <w:r w:rsidR="00697856">
        <w:t>is able to query deeper</w:t>
      </w:r>
      <w:r w:rsidR="00845710">
        <w:t xml:space="preserve"> </w:t>
      </w:r>
      <w:r w:rsidR="00697856">
        <w:t>into</w:t>
      </w:r>
      <w:r w:rsidR="00845710">
        <w:t xml:space="preserve"> the</w:t>
      </w:r>
      <w:r w:rsidR="00697856">
        <w:t xml:space="preserve"> </w:t>
      </w:r>
      <w:r w:rsidR="001C619A">
        <w:t>E</w:t>
      </w:r>
      <w:r w:rsidR="00673BD1">
        <w:t>lectronic Document</w:t>
      </w:r>
      <w:r w:rsidR="001C619A">
        <w:t xml:space="preserve"> Access (EDA)</w:t>
      </w:r>
      <w:r w:rsidR="00697856">
        <w:t xml:space="preserve"> and define more discriminating data variables</w:t>
      </w:r>
      <w:r w:rsidR="00403287">
        <w:t xml:space="preserve"> (i.e., </w:t>
      </w:r>
      <w:r w:rsidR="001C619A">
        <w:t>number of contracts containing the clause</w:t>
      </w:r>
      <w:r w:rsidR="004819F3">
        <w:t>)</w:t>
      </w:r>
      <w:r w:rsidR="00697856">
        <w:t>.</w:t>
      </w:r>
      <w:r w:rsidR="00845710">
        <w:t xml:space="preserve">  </w:t>
      </w:r>
      <w:r w:rsidR="004819F3">
        <w:t xml:space="preserve">The number of total </w:t>
      </w:r>
      <w:r w:rsidR="00C5397F">
        <w:t xml:space="preserve">responses and total hours under Items 12 and 14 also changed because they are based on the number of respondents (discussed above).  </w:t>
      </w:r>
    </w:p>
    <w:p w:rsidR="008A0FD1" w:rsidP="00AC5BD4" w:rsidRDefault="008A0FD1" w14:paraId="0E40613A" w14:textId="493F5423">
      <w:pPr>
        <w:pStyle w:val="NormalWeb"/>
        <w:tabs>
          <w:tab w:val="left" w:pos="360"/>
          <w:tab w:val="left" w:pos="720"/>
          <w:tab w:val="left" w:pos="1080"/>
          <w:tab w:val="left" w:pos="1440"/>
        </w:tabs>
        <w:spacing w:line="288" w:lineRule="atLeast"/>
      </w:pPr>
      <w:r>
        <w:tab/>
      </w:r>
      <w:r>
        <w:tab/>
      </w:r>
      <w:r w:rsidRPr="00E940FB" w:rsidR="00E940FB">
        <w:t xml:space="preserve">The </w:t>
      </w:r>
      <w:r w:rsidR="00E940FB">
        <w:t xml:space="preserve">cost per hour </w:t>
      </w:r>
      <w:r w:rsidRPr="00E940FB" w:rsidR="00E940FB">
        <w:t xml:space="preserve">for both </w:t>
      </w:r>
      <w:r w:rsidR="00E940FB">
        <w:t>Federal</w:t>
      </w:r>
      <w:r w:rsidRPr="00E940FB" w:rsidR="00E940FB">
        <w:t xml:space="preserve"> and contractor responses increased </w:t>
      </w:r>
      <w:r w:rsidR="00E940FB">
        <w:t>from $</w:t>
      </w:r>
      <w:r w:rsidR="001C619A">
        <w:t>32</w:t>
      </w:r>
      <w:r w:rsidR="00E940FB">
        <w:t xml:space="preserve"> to $</w:t>
      </w:r>
      <w:r w:rsidR="001C619A">
        <w:t>3</w:t>
      </w:r>
      <w:r>
        <w:t>9</w:t>
      </w:r>
      <w:r w:rsidR="001C619A">
        <w:t xml:space="preserve"> </w:t>
      </w:r>
      <w:r w:rsidR="00E940FB">
        <w:t xml:space="preserve">per hour </w:t>
      </w:r>
      <w:r w:rsidRPr="00E940FB" w:rsidR="00E940FB">
        <w:t>because</w:t>
      </w:r>
      <w:r w:rsidR="00E940FB">
        <w:t>:</w:t>
      </w:r>
      <w:r w:rsidR="00C06E0F">
        <w:t xml:space="preserve"> </w:t>
      </w:r>
      <w:r w:rsidRPr="00E940FB" w:rsidR="00E940FB">
        <w:t xml:space="preserve"> </w:t>
      </w:r>
      <w:r w:rsidR="00C06E0F">
        <w:t>(</w:t>
      </w:r>
      <w:r w:rsidR="00E940FB">
        <w:t xml:space="preserve">1) </w:t>
      </w:r>
      <w:r w:rsidRPr="00E940FB" w:rsidR="00E940FB">
        <w:t xml:space="preserve">OPM </w:t>
      </w:r>
      <w:r w:rsidR="00E940FB">
        <w:t xml:space="preserve">has </w:t>
      </w:r>
      <w:r w:rsidRPr="00E940FB" w:rsidR="00E940FB">
        <w:t xml:space="preserve">increased the GS hourly wage for </w:t>
      </w:r>
      <w:r w:rsidR="00E940FB">
        <w:t xml:space="preserve">a GS-9, step 5 employee since </w:t>
      </w:r>
      <w:r w:rsidR="001C619A">
        <w:t>2016</w:t>
      </w:r>
      <w:r w:rsidR="00E940FB">
        <w:t xml:space="preserve">, and </w:t>
      </w:r>
      <w:r w:rsidR="00C06E0F">
        <w:t>(</w:t>
      </w:r>
      <w:r w:rsidR="00E940FB">
        <w:t>2) the total dollar amount is rounded to the nearest dollar, instead of cent</w:t>
      </w:r>
      <w:r w:rsidR="00E266F6">
        <w:t>.</w:t>
      </w:r>
      <w:r>
        <w:t xml:space="preserve">  The following chart shows the changes in burden from 2017 to the updated 2020 estimates.</w:t>
      </w:r>
    </w:p>
    <w:tbl>
      <w:tblPr>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07"/>
        <w:gridCol w:w="2053"/>
        <w:gridCol w:w="2054"/>
        <w:gridCol w:w="2054"/>
      </w:tblGrid>
      <w:tr w:rsidRPr="00474361" w:rsidR="008A0FD1" w:rsidTr="000178D3" w14:paraId="538FA97B" w14:textId="77777777">
        <w:trPr>
          <w:trHeight w:val="386"/>
        </w:trPr>
        <w:tc>
          <w:tcPr>
            <w:tcW w:w="3307" w:type="dxa"/>
            <w:shd w:val="clear" w:color="auto" w:fill="auto"/>
            <w:vAlign w:val="center"/>
          </w:tcPr>
          <w:p w:rsidRPr="00474361" w:rsidR="008A0FD1" w:rsidP="000178D3" w:rsidRDefault="008A0FD1" w14:paraId="78BA3B73" w14:textId="1E7CE85F">
            <w:pPr>
              <w:tabs>
                <w:tab w:val="left" w:pos="360"/>
              </w:tabs>
              <w:rPr>
                <w:rFonts w:cs="Courier New"/>
                <w:color w:val="000000"/>
              </w:rPr>
            </w:pPr>
            <w:r w:rsidRPr="00474361">
              <w:rPr>
                <w:rFonts w:cs="Courier New"/>
                <w:color w:val="000000"/>
              </w:rPr>
              <w:t>0704-</w:t>
            </w:r>
            <w:r>
              <w:rPr>
                <w:rFonts w:cs="Courier New"/>
                <w:color w:val="000000"/>
              </w:rPr>
              <w:t>0225</w:t>
            </w:r>
            <w:r w:rsidRPr="00474361">
              <w:rPr>
                <w:rFonts w:cs="Courier New"/>
                <w:color w:val="000000"/>
              </w:rPr>
              <w:t xml:space="preserve"> ICR</w:t>
            </w:r>
          </w:p>
        </w:tc>
        <w:tc>
          <w:tcPr>
            <w:tcW w:w="2053" w:type="dxa"/>
            <w:vAlign w:val="center"/>
          </w:tcPr>
          <w:p w:rsidRPr="00474361" w:rsidR="008A0FD1" w:rsidP="000178D3" w:rsidRDefault="008A0FD1" w14:paraId="1B87B2C6" w14:textId="77777777">
            <w:pPr>
              <w:jc w:val="center"/>
              <w:rPr>
                <w:color w:val="000000"/>
              </w:rPr>
            </w:pPr>
            <w:r w:rsidRPr="00474361">
              <w:rPr>
                <w:color w:val="000000"/>
              </w:rPr>
              <w:t>201</w:t>
            </w:r>
            <w:r>
              <w:rPr>
                <w:color w:val="000000"/>
              </w:rPr>
              <w:t>7</w:t>
            </w:r>
          </w:p>
        </w:tc>
        <w:tc>
          <w:tcPr>
            <w:tcW w:w="2054" w:type="dxa"/>
            <w:vAlign w:val="center"/>
          </w:tcPr>
          <w:p w:rsidRPr="00474361" w:rsidR="008A0FD1" w:rsidP="000178D3" w:rsidRDefault="008A0FD1" w14:paraId="3FE2237B" w14:textId="77777777">
            <w:pPr>
              <w:jc w:val="center"/>
              <w:rPr>
                <w:color w:val="000000"/>
              </w:rPr>
            </w:pPr>
            <w:r w:rsidRPr="00474361">
              <w:rPr>
                <w:color w:val="000000"/>
              </w:rPr>
              <w:t>20</w:t>
            </w:r>
            <w:r>
              <w:rPr>
                <w:color w:val="000000"/>
              </w:rPr>
              <w:t>20</w:t>
            </w:r>
          </w:p>
        </w:tc>
        <w:tc>
          <w:tcPr>
            <w:tcW w:w="2054" w:type="dxa"/>
            <w:shd w:val="clear" w:color="auto" w:fill="auto"/>
            <w:vAlign w:val="center"/>
          </w:tcPr>
          <w:p w:rsidRPr="00474361" w:rsidR="008A0FD1" w:rsidP="000178D3" w:rsidRDefault="008A0FD1" w14:paraId="6177FF72" w14:textId="77777777">
            <w:pPr>
              <w:jc w:val="center"/>
              <w:rPr>
                <w:color w:val="000000"/>
              </w:rPr>
            </w:pPr>
            <w:r w:rsidRPr="00474361">
              <w:rPr>
                <w:color w:val="000000"/>
              </w:rPr>
              <w:t>Change</w:t>
            </w:r>
          </w:p>
        </w:tc>
      </w:tr>
      <w:tr w:rsidRPr="00474361" w:rsidR="008A0FD1" w:rsidTr="000178D3" w14:paraId="3DB11C2D" w14:textId="77777777">
        <w:trPr>
          <w:trHeight w:val="386"/>
        </w:trPr>
        <w:tc>
          <w:tcPr>
            <w:tcW w:w="3307" w:type="dxa"/>
            <w:shd w:val="clear" w:color="auto" w:fill="auto"/>
            <w:vAlign w:val="center"/>
          </w:tcPr>
          <w:p w:rsidRPr="00474361" w:rsidR="008A0FD1" w:rsidP="000178D3" w:rsidRDefault="008A0FD1" w14:paraId="4965B132" w14:textId="77777777">
            <w:pPr>
              <w:tabs>
                <w:tab w:val="left" w:pos="360"/>
              </w:tabs>
              <w:rPr>
                <w:rFonts w:cs="Courier New"/>
                <w:color w:val="000000"/>
              </w:rPr>
            </w:pPr>
            <w:r w:rsidRPr="00474361">
              <w:rPr>
                <w:rFonts w:cs="Courier New"/>
                <w:color w:val="000000"/>
              </w:rPr>
              <w:t>Number of respondents</w:t>
            </w:r>
          </w:p>
        </w:tc>
        <w:tc>
          <w:tcPr>
            <w:tcW w:w="2053" w:type="dxa"/>
            <w:vAlign w:val="center"/>
          </w:tcPr>
          <w:p w:rsidRPr="00474361" w:rsidR="008A0FD1" w:rsidP="000178D3" w:rsidRDefault="008A0FD1" w14:paraId="5D4B9903" w14:textId="3AFF49B0">
            <w:pPr>
              <w:jc w:val="center"/>
              <w:rPr>
                <w:color w:val="000000"/>
              </w:rPr>
            </w:pPr>
            <w:r>
              <w:rPr>
                <w:color w:val="000000"/>
              </w:rPr>
              <w:t>1,196</w:t>
            </w:r>
          </w:p>
        </w:tc>
        <w:tc>
          <w:tcPr>
            <w:tcW w:w="2054" w:type="dxa"/>
            <w:vAlign w:val="center"/>
          </w:tcPr>
          <w:p w:rsidRPr="005B5559" w:rsidR="008A0FD1" w:rsidP="000178D3" w:rsidRDefault="00F27484" w14:paraId="3839FDBA" w14:textId="0F7D8DE5">
            <w:pPr>
              <w:pStyle w:val="NormalWeb"/>
              <w:tabs>
                <w:tab w:val="left" w:pos="360"/>
                <w:tab w:val="left" w:pos="720"/>
                <w:tab w:val="left" w:pos="1080"/>
                <w:tab w:val="left" w:pos="1440"/>
              </w:tabs>
              <w:spacing w:line="288" w:lineRule="atLeast"/>
              <w:jc w:val="center"/>
            </w:pPr>
            <w:r>
              <w:t>545</w:t>
            </w:r>
          </w:p>
        </w:tc>
        <w:tc>
          <w:tcPr>
            <w:tcW w:w="2054" w:type="dxa"/>
            <w:shd w:val="clear" w:color="auto" w:fill="auto"/>
            <w:vAlign w:val="center"/>
          </w:tcPr>
          <w:p w:rsidRPr="00474361" w:rsidR="008A0FD1" w:rsidP="000178D3" w:rsidRDefault="002C4450" w14:paraId="23C7A928" w14:textId="655F5EAC">
            <w:pPr>
              <w:jc w:val="center"/>
              <w:rPr>
                <w:color w:val="000000"/>
              </w:rPr>
            </w:pPr>
            <w:r>
              <w:rPr>
                <w:color w:val="000000"/>
              </w:rPr>
              <w:t>-</w:t>
            </w:r>
            <w:r w:rsidR="00F27484">
              <w:rPr>
                <w:color w:val="000000"/>
              </w:rPr>
              <w:t>651</w:t>
            </w:r>
          </w:p>
        </w:tc>
      </w:tr>
      <w:tr w:rsidRPr="00474361" w:rsidR="008A0FD1" w:rsidTr="000178D3" w14:paraId="3022A246" w14:textId="77777777">
        <w:trPr>
          <w:trHeight w:val="422"/>
        </w:trPr>
        <w:tc>
          <w:tcPr>
            <w:tcW w:w="3307" w:type="dxa"/>
            <w:shd w:val="clear" w:color="auto" w:fill="auto"/>
            <w:vAlign w:val="center"/>
          </w:tcPr>
          <w:p w:rsidRPr="00474361" w:rsidR="008A0FD1" w:rsidP="000178D3" w:rsidRDefault="008A0FD1" w14:paraId="4E92D079" w14:textId="77777777">
            <w:pPr>
              <w:tabs>
                <w:tab w:val="left" w:pos="360"/>
              </w:tabs>
              <w:rPr>
                <w:rFonts w:cs="Courier New"/>
                <w:color w:val="000000"/>
              </w:rPr>
            </w:pPr>
            <w:r w:rsidRPr="00474361">
              <w:rPr>
                <w:rFonts w:cs="Courier New"/>
                <w:color w:val="000000"/>
              </w:rPr>
              <w:t>Responses per respondent</w:t>
            </w:r>
          </w:p>
        </w:tc>
        <w:tc>
          <w:tcPr>
            <w:tcW w:w="2053" w:type="dxa"/>
            <w:vAlign w:val="center"/>
          </w:tcPr>
          <w:p w:rsidRPr="00474361" w:rsidR="008A0FD1" w:rsidP="000178D3" w:rsidRDefault="008A0FD1" w14:paraId="7154A1E6" w14:textId="735DB9AC">
            <w:pPr>
              <w:contextualSpacing/>
              <w:jc w:val="center"/>
            </w:pPr>
            <w:r>
              <w:t>2.35</w:t>
            </w:r>
          </w:p>
        </w:tc>
        <w:tc>
          <w:tcPr>
            <w:tcW w:w="2054" w:type="dxa"/>
            <w:vAlign w:val="center"/>
          </w:tcPr>
          <w:p w:rsidRPr="005B5559" w:rsidR="008A0FD1" w:rsidP="000178D3" w:rsidRDefault="00F27484" w14:paraId="56D3DCA1" w14:textId="6D2F3090">
            <w:pPr>
              <w:pStyle w:val="NormalWeb"/>
              <w:tabs>
                <w:tab w:val="left" w:pos="360"/>
                <w:tab w:val="left" w:pos="720"/>
                <w:tab w:val="left" w:pos="1080"/>
                <w:tab w:val="left" w:pos="1440"/>
              </w:tabs>
              <w:spacing w:line="288" w:lineRule="atLeast"/>
              <w:jc w:val="center"/>
            </w:pPr>
            <w:r>
              <w:t>5.57</w:t>
            </w:r>
          </w:p>
        </w:tc>
        <w:tc>
          <w:tcPr>
            <w:tcW w:w="2054" w:type="dxa"/>
            <w:shd w:val="clear" w:color="auto" w:fill="auto"/>
            <w:vAlign w:val="center"/>
          </w:tcPr>
          <w:p w:rsidRPr="00474361" w:rsidR="008A0FD1" w:rsidP="000178D3" w:rsidRDefault="006F28D5" w14:paraId="18C3F1DE" w14:textId="18BAEE58">
            <w:pPr>
              <w:jc w:val="center"/>
              <w:rPr>
                <w:color w:val="000000"/>
              </w:rPr>
            </w:pPr>
            <w:r>
              <w:rPr>
                <w:color w:val="000000"/>
              </w:rPr>
              <w:t>+3.22</w:t>
            </w:r>
          </w:p>
        </w:tc>
      </w:tr>
      <w:tr w:rsidRPr="00474361" w:rsidR="008A0FD1" w:rsidTr="000178D3" w14:paraId="66385E3C" w14:textId="77777777">
        <w:trPr>
          <w:trHeight w:val="431"/>
        </w:trPr>
        <w:tc>
          <w:tcPr>
            <w:tcW w:w="3307" w:type="dxa"/>
            <w:shd w:val="clear" w:color="auto" w:fill="auto"/>
            <w:vAlign w:val="center"/>
          </w:tcPr>
          <w:p w:rsidRPr="00474361" w:rsidR="008A0FD1" w:rsidP="000178D3" w:rsidRDefault="008A0FD1" w14:paraId="3BB81BFD" w14:textId="77777777">
            <w:pPr>
              <w:tabs>
                <w:tab w:val="left" w:pos="360"/>
              </w:tabs>
              <w:rPr>
                <w:rFonts w:cs="Courier New"/>
                <w:color w:val="000000"/>
              </w:rPr>
            </w:pPr>
            <w:r w:rsidRPr="00474361">
              <w:rPr>
                <w:rFonts w:cs="Courier New"/>
                <w:color w:val="000000"/>
              </w:rPr>
              <w:t>Number of responses</w:t>
            </w:r>
          </w:p>
        </w:tc>
        <w:tc>
          <w:tcPr>
            <w:tcW w:w="2053" w:type="dxa"/>
            <w:vAlign w:val="center"/>
          </w:tcPr>
          <w:p w:rsidRPr="00474361" w:rsidR="008A0FD1" w:rsidP="000178D3" w:rsidRDefault="008A0FD1" w14:paraId="21169A78" w14:textId="2596EBDC">
            <w:pPr>
              <w:contextualSpacing/>
              <w:jc w:val="center"/>
            </w:pPr>
            <w:r>
              <w:t>2,806</w:t>
            </w:r>
          </w:p>
        </w:tc>
        <w:tc>
          <w:tcPr>
            <w:tcW w:w="2054" w:type="dxa"/>
            <w:vAlign w:val="center"/>
          </w:tcPr>
          <w:p w:rsidRPr="005B5559" w:rsidR="008A0FD1" w:rsidP="000178D3" w:rsidRDefault="00F27484" w14:paraId="7B30B419" w14:textId="415B76A2">
            <w:pPr>
              <w:pStyle w:val="NormalWeb"/>
              <w:tabs>
                <w:tab w:val="left" w:pos="360"/>
                <w:tab w:val="left" w:pos="720"/>
                <w:tab w:val="left" w:pos="1080"/>
                <w:tab w:val="left" w:pos="1440"/>
              </w:tabs>
              <w:spacing w:line="288" w:lineRule="atLeast"/>
              <w:jc w:val="center"/>
            </w:pPr>
            <w:r>
              <w:t>3,036</w:t>
            </w:r>
          </w:p>
        </w:tc>
        <w:tc>
          <w:tcPr>
            <w:tcW w:w="2054" w:type="dxa"/>
            <w:shd w:val="clear" w:color="auto" w:fill="auto"/>
            <w:vAlign w:val="center"/>
          </w:tcPr>
          <w:p w:rsidRPr="00474361" w:rsidR="008A0FD1" w:rsidP="000178D3" w:rsidRDefault="0048050C" w14:paraId="167A205D" w14:textId="2F0CB5BB">
            <w:pPr>
              <w:jc w:val="center"/>
              <w:rPr>
                <w:color w:val="000000"/>
              </w:rPr>
            </w:pPr>
            <w:r>
              <w:rPr>
                <w:color w:val="000000"/>
              </w:rPr>
              <w:t>+</w:t>
            </w:r>
            <w:r w:rsidR="00F27484">
              <w:rPr>
                <w:color w:val="000000"/>
              </w:rPr>
              <w:t>230</w:t>
            </w:r>
          </w:p>
        </w:tc>
      </w:tr>
      <w:tr w:rsidRPr="00474361" w:rsidR="008A0FD1" w:rsidTr="000178D3" w14:paraId="5B2F845A" w14:textId="77777777">
        <w:trPr>
          <w:trHeight w:val="440"/>
        </w:trPr>
        <w:tc>
          <w:tcPr>
            <w:tcW w:w="3307" w:type="dxa"/>
            <w:shd w:val="clear" w:color="auto" w:fill="auto"/>
            <w:vAlign w:val="center"/>
          </w:tcPr>
          <w:p w:rsidRPr="00474361" w:rsidR="008A0FD1" w:rsidP="000178D3" w:rsidRDefault="008A0FD1" w14:paraId="1B840475" w14:textId="77777777">
            <w:pPr>
              <w:tabs>
                <w:tab w:val="left" w:pos="360"/>
              </w:tabs>
              <w:rPr>
                <w:rFonts w:cs="Courier New"/>
                <w:color w:val="000000"/>
              </w:rPr>
            </w:pPr>
            <w:r>
              <w:rPr>
                <w:rFonts w:cs="Courier New"/>
                <w:color w:val="000000"/>
              </w:rPr>
              <w:t>Hours</w:t>
            </w:r>
            <w:r w:rsidRPr="00474361">
              <w:rPr>
                <w:rFonts w:cs="Courier New"/>
                <w:color w:val="000000"/>
              </w:rPr>
              <w:t xml:space="preserve"> per response</w:t>
            </w:r>
          </w:p>
        </w:tc>
        <w:tc>
          <w:tcPr>
            <w:tcW w:w="2053" w:type="dxa"/>
            <w:vAlign w:val="center"/>
          </w:tcPr>
          <w:p w:rsidRPr="00474361" w:rsidR="008A0FD1" w:rsidP="000178D3" w:rsidRDefault="008A0FD1" w14:paraId="32ABBC1F" w14:textId="07E467C8">
            <w:pPr>
              <w:contextualSpacing/>
              <w:jc w:val="center"/>
            </w:pPr>
            <w:r>
              <w:t>3</w:t>
            </w:r>
          </w:p>
        </w:tc>
        <w:tc>
          <w:tcPr>
            <w:tcW w:w="2054" w:type="dxa"/>
            <w:vAlign w:val="center"/>
          </w:tcPr>
          <w:p w:rsidRPr="005B5559" w:rsidR="008A0FD1" w:rsidP="000178D3" w:rsidRDefault="0048050C" w14:paraId="015CACE9" w14:textId="5ED835F4">
            <w:pPr>
              <w:pStyle w:val="NormalWeb"/>
              <w:tabs>
                <w:tab w:val="left" w:pos="360"/>
                <w:tab w:val="left" w:pos="720"/>
                <w:tab w:val="left" w:pos="1080"/>
                <w:tab w:val="left" w:pos="1440"/>
              </w:tabs>
              <w:spacing w:line="288" w:lineRule="atLeast"/>
              <w:jc w:val="center"/>
            </w:pPr>
            <w:r>
              <w:t>3</w:t>
            </w:r>
          </w:p>
        </w:tc>
        <w:tc>
          <w:tcPr>
            <w:tcW w:w="2054" w:type="dxa"/>
            <w:shd w:val="clear" w:color="auto" w:fill="auto"/>
            <w:vAlign w:val="center"/>
          </w:tcPr>
          <w:p w:rsidRPr="00474361" w:rsidR="008A0FD1" w:rsidP="000178D3" w:rsidRDefault="002C4450" w14:paraId="5B620A3C" w14:textId="1D346CF4">
            <w:pPr>
              <w:jc w:val="center"/>
              <w:rPr>
                <w:color w:val="000000"/>
              </w:rPr>
            </w:pPr>
            <w:r>
              <w:rPr>
                <w:color w:val="000000"/>
              </w:rPr>
              <w:t>-</w:t>
            </w:r>
          </w:p>
        </w:tc>
      </w:tr>
      <w:tr w:rsidRPr="00474361" w:rsidR="008A0FD1" w:rsidTr="000178D3" w14:paraId="1CAD5BFD" w14:textId="77777777">
        <w:trPr>
          <w:trHeight w:val="449"/>
        </w:trPr>
        <w:tc>
          <w:tcPr>
            <w:tcW w:w="3307" w:type="dxa"/>
            <w:shd w:val="clear" w:color="auto" w:fill="auto"/>
            <w:vAlign w:val="center"/>
          </w:tcPr>
          <w:p w:rsidRPr="00474361" w:rsidR="008A0FD1" w:rsidP="000178D3" w:rsidRDefault="008A0FD1" w14:paraId="48F54CDB" w14:textId="77777777">
            <w:pPr>
              <w:tabs>
                <w:tab w:val="left" w:pos="360"/>
              </w:tabs>
              <w:rPr>
                <w:rFonts w:cs="Courier New"/>
                <w:color w:val="000000"/>
              </w:rPr>
            </w:pPr>
            <w:r w:rsidRPr="00474361">
              <w:rPr>
                <w:rFonts w:cs="Courier New"/>
                <w:color w:val="000000"/>
              </w:rPr>
              <w:t xml:space="preserve">Estimated hours </w:t>
            </w:r>
          </w:p>
        </w:tc>
        <w:tc>
          <w:tcPr>
            <w:tcW w:w="2053" w:type="dxa"/>
            <w:vAlign w:val="center"/>
          </w:tcPr>
          <w:p w:rsidRPr="00474361" w:rsidR="008A0FD1" w:rsidP="000178D3" w:rsidRDefault="008A0FD1" w14:paraId="05925770" w14:textId="50FA3914">
            <w:pPr>
              <w:contextualSpacing/>
              <w:jc w:val="center"/>
              <w:rPr>
                <w:color w:val="000000"/>
              </w:rPr>
            </w:pPr>
            <w:r>
              <w:rPr>
                <w:color w:val="000000"/>
              </w:rPr>
              <w:t>8,418</w:t>
            </w:r>
          </w:p>
        </w:tc>
        <w:tc>
          <w:tcPr>
            <w:tcW w:w="2054" w:type="dxa"/>
            <w:vAlign w:val="center"/>
          </w:tcPr>
          <w:p w:rsidRPr="005B5559" w:rsidR="008A0FD1" w:rsidP="000178D3" w:rsidRDefault="00F27484" w14:paraId="5A310A0D" w14:textId="319835C2">
            <w:pPr>
              <w:pStyle w:val="NormalWeb"/>
              <w:tabs>
                <w:tab w:val="left" w:pos="360"/>
                <w:tab w:val="left" w:pos="720"/>
                <w:tab w:val="left" w:pos="1080"/>
                <w:tab w:val="left" w:pos="1440"/>
              </w:tabs>
              <w:spacing w:line="288" w:lineRule="atLeast"/>
              <w:jc w:val="center"/>
            </w:pPr>
            <w:r>
              <w:t>9,108</w:t>
            </w:r>
          </w:p>
        </w:tc>
        <w:tc>
          <w:tcPr>
            <w:tcW w:w="2054" w:type="dxa"/>
            <w:shd w:val="clear" w:color="auto" w:fill="auto"/>
            <w:vAlign w:val="center"/>
          </w:tcPr>
          <w:p w:rsidRPr="00474361" w:rsidR="008A0FD1" w:rsidP="000178D3" w:rsidRDefault="0048050C" w14:paraId="265B6E90" w14:textId="06749DFF">
            <w:pPr>
              <w:jc w:val="center"/>
              <w:rPr>
                <w:color w:val="000000"/>
              </w:rPr>
            </w:pPr>
            <w:r>
              <w:rPr>
                <w:color w:val="000000"/>
              </w:rPr>
              <w:t>+</w:t>
            </w:r>
            <w:r w:rsidR="00F27484">
              <w:rPr>
                <w:color w:val="000000"/>
              </w:rPr>
              <w:t>690</w:t>
            </w:r>
          </w:p>
        </w:tc>
      </w:tr>
      <w:tr w:rsidRPr="00474361" w:rsidR="008A0FD1" w:rsidTr="000178D3" w14:paraId="6565D44E" w14:textId="77777777">
        <w:trPr>
          <w:trHeight w:val="431"/>
        </w:trPr>
        <w:tc>
          <w:tcPr>
            <w:tcW w:w="3307" w:type="dxa"/>
            <w:shd w:val="clear" w:color="auto" w:fill="auto"/>
            <w:vAlign w:val="center"/>
          </w:tcPr>
          <w:p w:rsidRPr="00474361" w:rsidR="008A0FD1" w:rsidP="000178D3" w:rsidRDefault="008A0FD1" w14:paraId="41AEABF0" w14:textId="77777777">
            <w:pPr>
              <w:tabs>
                <w:tab w:val="left" w:pos="360"/>
              </w:tabs>
              <w:rPr>
                <w:rFonts w:cs="Courier New"/>
                <w:color w:val="000000"/>
              </w:rPr>
            </w:pPr>
            <w:r w:rsidRPr="00474361">
              <w:rPr>
                <w:rFonts w:cs="Courier New"/>
                <w:color w:val="000000"/>
              </w:rPr>
              <w:t xml:space="preserve">Cost per hour </w:t>
            </w:r>
          </w:p>
        </w:tc>
        <w:tc>
          <w:tcPr>
            <w:tcW w:w="2053" w:type="dxa"/>
            <w:vAlign w:val="center"/>
          </w:tcPr>
          <w:p w:rsidRPr="00474361" w:rsidR="008A0FD1" w:rsidP="000178D3" w:rsidRDefault="008A0FD1" w14:paraId="6506E469" w14:textId="77777777">
            <w:pPr>
              <w:contextualSpacing/>
              <w:jc w:val="center"/>
            </w:pPr>
            <w:r w:rsidRPr="00474361">
              <w:t>$</w:t>
            </w:r>
            <w:r>
              <w:t>32</w:t>
            </w:r>
          </w:p>
        </w:tc>
        <w:tc>
          <w:tcPr>
            <w:tcW w:w="2054" w:type="dxa"/>
            <w:vAlign w:val="center"/>
          </w:tcPr>
          <w:p w:rsidRPr="005B5559" w:rsidR="008A0FD1" w:rsidP="000178D3" w:rsidRDefault="008A0FD1" w14:paraId="54758242" w14:textId="678F0057">
            <w:pPr>
              <w:pStyle w:val="NormalWeb"/>
              <w:tabs>
                <w:tab w:val="left" w:pos="360"/>
                <w:tab w:val="left" w:pos="720"/>
                <w:tab w:val="left" w:pos="1080"/>
                <w:tab w:val="left" w:pos="1440"/>
              </w:tabs>
              <w:spacing w:line="288" w:lineRule="atLeast"/>
              <w:jc w:val="center"/>
            </w:pPr>
            <w:r>
              <w:t>$3</w:t>
            </w:r>
            <w:r w:rsidR="0048050C">
              <w:t>9</w:t>
            </w:r>
          </w:p>
        </w:tc>
        <w:tc>
          <w:tcPr>
            <w:tcW w:w="2054" w:type="dxa"/>
            <w:shd w:val="clear" w:color="auto" w:fill="auto"/>
            <w:vAlign w:val="center"/>
          </w:tcPr>
          <w:p w:rsidRPr="00474361" w:rsidR="008A0FD1" w:rsidP="000178D3" w:rsidRDefault="006F28D5" w14:paraId="3B131051" w14:textId="2569BE94">
            <w:pPr>
              <w:jc w:val="center"/>
              <w:rPr>
                <w:color w:val="000000"/>
              </w:rPr>
            </w:pPr>
            <w:r>
              <w:rPr>
                <w:color w:val="000000"/>
              </w:rPr>
              <w:t>+$7</w:t>
            </w:r>
          </w:p>
        </w:tc>
      </w:tr>
      <w:tr w:rsidRPr="00474361" w:rsidR="008A0FD1" w:rsidTr="000178D3" w14:paraId="5D1D7E3D" w14:textId="77777777">
        <w:trPr>
          <w:trHeight w:val="440"/>
        </w:trPr>
        <w:tc>
          <w:tcPr>
            <w:tcW w:w="3307" w:type="dxa"/>
            <w:shd w:val="clear" w:color="auto" w:fill="auto"/>
            <w:vAlign w:val="center"/>
          </w:tcPr>
          <w:p w:rsidRPr="00474361" w:rsidR="008A0FD1" w:rsidP="000178D3" w:rsidRDefault="008A0FD1" w14:paraId="0E8EAF39" w14:textId="77777777">
            <w:pPr>
              <w:tabs>
                <w:tab w:val="left" w:pos="360"/>
              </w:tabs>
              <w:rPr>
                <w:rFonts w:cs="Courier New"/>
                <w:color w:val="000000"/>
              </w:rPr>
            </w:pPr>
            <w:r w:rsidRPr="00474361">
              <w:rPr>
                <w:rFonts w:cs="Courier New"/>
                <w:color w:val="000000"/>
              </w:rPr>
              <w:t xml:space="preserve">Annual public burden </w:t>
            </w:r>
          </w:p>
        </w:tc>
        <w:tc>
          <w:tcPr>
            <w:tcW w:w="2053" w:type="dxa"/>
            <w:vAlign w:val="center"/>
          </w:tcPr>
          <w:p w:rsidRPr="00474361" w:rsidR="008A0FD1" w:rsidP="000178D3" w:rsidRDefault="008A0FD1" w14:paraId="12E4CCFD" w14:textId="54DE4D14">
            <w:pPr>
              <w:contextualSpacing/>
              <w:jc w:val="center"/>
            </w:pPr>
            <w:r w:rsidRPr="00474361">
              <w:t>$</w:t>
            </w:r>
            <w:r>
              <w:t>269,376</w:t>
            </w:r>
          </w:p>
        </w:tc>
        <w:tc>
          <w:tcPr>
            <w:tcW w:w="2054" w:type="dxa"/>
            <w:vAlign w:val="center"/>
          </w:tcPr>
          <w:p w:rsidRPr="005B5559" w:rsidR="008A0FD1" w:rsidP="000178D3" w:rsidRDefault="008A0FD1" w14:paraId="6E98D0FC" w14:textId="6304AEB9">
            <w:pPr>
              <w:pStyle w:val="NormalWeb"/>
              <w:tabs>
                <w:tab w:val="left" w:pos="360"/>
                <w:tab w:val="left" w:pos="720"/>
                <w:tab w:val="left" w:pos="1080"/>
                <w:tab w:val="left" w:pos="1440"/>
              </w:tabs>
              <w:spacing w:line="288" w:lineRule="atLeast"/>
              <w:jc w:val="center"/>
            </w:pPr>
            <w:r>
              <w:t>$</w:t>
            </w:r>
            <w:r w:rsidR="00F27484">
              <w:t>355,212</w:t>
            </w:r>
          </w:p>
        </w:tc>
        <w:tc>
          <w:tcPr>
            <w:tcW w:w="2054" w:type="dxa"/>
            <w:shd w:val="clear" w:color="auto" w:fill="auto"/>
            <w:vAlign w:val="center"/>
          </w:tcPr>
          <w:p w:rsidRPr="00474361" w:rsidR="008A0FD1" w:rsidP="000178D3" w:rsidRDefault="0048050C" w14:paraId="779653E5" w14:textId="2467386C">
            <w:pPr>
              <w:jc w:val="center"/>
              <w:rPr>
                <w:color w:val="000000"/>
              </w:rPr>
            </w:pPr>
            <w:r>
              <w:rPr>
                <w:color w:val="000000"/>
              </w:rPr>
              <w:t>+$</w:t>
            </w:r>
            <w:r w:rsidR="00F27484">
              <w:rPr>
                <w:color w:val="000000"/>
              </w:rPr>
              <w:t>85,836</w:t>
            </w:r>
          </w:p>
        </w:tc>
      </w:tr>
    </w:tbl>
    <w:p w:rsidRPr="00D141EB" w:rsidR="005E0A0F" w:rsidP="00AC5BD4" w:rsidRDefault="00D141EB" w14:paraId="786EA35E" w14:textId="77777777">
      <w:pPr>
        <w:pStyle w:val="NormalWeb"/>
        <w:tabs>
          <w:tab w:val="left" w:pos="360"/>
          <w:tab w:val="left" w:pos="720"/>
          <w:tab w:val="left" w:pos="1080"/>
          <w:tab w:val="left" w:pos="1440"/>
        </w:tabs>
        <w:spacing w:line="288" w:lineRule="atLeast"/>
        <w:rPr>
          <w:u w:val="single"/>
        </w:rPr>
      </w:pPr>
      <w:r>
        <w:tab/>
      </w:r>
      <w:r w:rsidR="005E0A0F">
        <w:t xml:space="preserve">16.  </w:t>
      </w:r>
      <w:r w:rsidR="005E0A0F">
        <w:rPr>
          <w:u w:val="single"/>
        </w:rPr>
        <w:t>Publication of Results</w:t>
      </w:r>
    </w:p>
    <w:p w:rsidR="00EB0C6C" w:rsidP="00AC5BD4" w:rsidRDefault="00D141EB" w14:paraId="477E3A05" w14:textId="77777777">
      <w:pPr>
        <w:pStyle w:val="NormalWeb"/>
        <w:tabs>
          <w:tab w:val="left" w:pos="360"/>
          <w:tab w:val="left" w:pos="720"/>
          <w:tab w:val="left" w:pos="1080"/>
          <w:tab w:val="left" w:pos="1440"/>
        </w:tabs>
        <w:spacing w:line="288" w:lineRule="atLeast"/>
      </w:pPr>
      <w:bookmarkStart w:name="cp471" w:id="18"/>
      <w:r>
        <w:tab/>
      </w:r>
      <w:r>
        <w:tab/>
      </w:r>
      <w:r w:rsidRPr="00936232" w:rsidR="00F05A56">
        <w:t>Results of this collection will not be published.</w:t>
      </w:r>
      <w:bookmarkStart w:name="_GoBack" w:id="19"/>
      <w:bookmarkEnd w:id="19"/>
    </w:p>
    <w:p w:rsidR="005E0A0F" w:rsidP="00AC5BD4" w:rsidRDefault="00D141EB" w14:paraId="0C4CE29F" w14:textId="77777777">
      <w:pPr>
        <w:pStyle w:val="NormalWeb"/>
        <w:tabs>
          <w:tab w:val="left" w:pos="360"/>
          <w:tab w:val="left" w:pos="720"/>
          <w:tab w:val="left" w:pos="1080"/>
          <w:tab w:val="left" w:pos="1440"/>
        </w:tabs>
        <w:spacing w:line="288" w:lineRule="atLeast"/>
      </w:pPr>
      <w:r>
        <w:tab/>
      </w:r>
      <w:r w:rsidR="005E0A0F">
        <w:t xml:space="preserve">17.  </w:t>
      </w:r>
      <w:r w:rsidR="005E0A0F">
        <w:rPr>
          <w:u w:val="single"/>
        </w:rPr>
        <w:t>Non-Display of OMB Expiration Date</w:t>
      </w:r>
    </w:p>
    <w:p w:rsidR="00D141EB" w:rsidP="00AC5BD4" w:rsidRDefault="00D141EB" w14:paraId="7C9EA3EE" w14:textId="77777777">
      <w:pPr>
        <w:pStyle w:val="NormalWeb"/>
        <w:tabs>
          <w:tab w:val="left" w:pos="360"/>
          <w:tab w:val="left" w:pos="720"/>
          <w:tab w:val="left" w:pos="1080"/>
          <w:tab w:val="left" w:pos="1440"/>
        </w:tabs>
        <w:spacing w:line="288" w:lineRule="atLeast"/>
      </w:pPr>
      <w:bookmarkStart w:name="cp473" w:id="20"/>
      <w:bookmarkEnd w:id="18"/>
      <w:r>
        <w:tab/>
      </w:r>
      <w:r>
        <w:tab/>
      </w:r>
      <w:r w:rsidR="00F05A56">
        <w:t>DoD does not</w:t>
      </w:r>
      <w:r w:rsidRPr="00936232" w:rsidR="00F05A56">
        <w:t xml:space="preserve"> seek approval to not display the expiration date for OMB approval of the information collection.</w:t>
      </w:r>
    </w:p>
    <w:p w:rsidR="005E0A0F" w:rsidP="00AC5BD4" w:rsidRDefault="00D141EB" w14:paraId="6D03EE2D" w14:textId="77777777">
      <w:pPr>
        <w:pStyle w:val="NormalWeb"/>
        <w:tabs>
          <w:tab w:val="left" w:pos="360"/>
          <w:tab w:val="left" w:pos="720"/>
          <w:tab w:val="left" w:pos="1080"/>
          <w:tab w:val="left" w:pos="1440"/>
        </w:tabs>
        <w:spacing w:line="288" w:lineRule="atLeast"/>
      </w:pPr>
      <w:r>
        <w:tab/>
      </w:r>
      <w:r w:rsidR="005E0A0F">
        <w:t xml:space="preserve">18.  </w:t>
      </w:r>
      <w:r w:rsidR="005E0A0F">
        <w:rPr>
          <w:u w:val="single"/>
        </w:rPr>
        <w:t>Exceptions to "Certification for Paperwork Reduction Submissions"</w:t>
      </w:r>
    </w:p>
    <w:p w:rsidR="00D141EB" w:rsidP="00D141EB" w:rsidRDefault="00D141EB" w14:paraId="4AD512FB" w14:textId="77777777">
      <w:pPr>
        <w:pStyle w:val="NormalWeb"/>
        <w:tabs>
          <w:tab w:val="left" w:pos="360"/>
          <w:tab w:val="left" w:pos="720"/>
          <w:tab w:val="left" w:pos="1080"/>
          <w:tab w:val="left" w:pos="1440"/>
        </w:tabs>
        <w:spacing w:line="288" w:lineRule="atLeast"/>
      </w:pPr>
      <w:bookmarkStart w:name="cp474" w:id="21"/>
      <w:bookmarkEnd w:id="20"/>
      <w:r>
        <w:tab/>
      </w:r>
      <w:r>
        <w:tab/>
      </w:r>
      <w:bookmarkEnd w:id="21"/>
      <w:r w:rsidRPr="00936232" w:rsidR="00F05A56">
        <w:t>There are no exceptions to the certification accompanying this Paperwork Reduction Act submission.</w:t>
      </w:r>
    </w:p>
    <w:sectPr w:rsidR="00D141EB" w:rsidSect="00A7063B">
      <w:footerReference w:type="default" r:id="rId10"/>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07609" w14:textId="77777777" w:rsidR="00346599" w:rsidRDefault="00346599" w:rsidP="00D74D55">
      <w:r>
        <w:separator/>
      </w:r>
    </w:p>
  </w:endnote>
  <w:endnote w:type="continuationSeparator" w:id="0">
    <w:p w14:paraId="2823B88C" w14:textId="77777777" w:rsidR="00346599" w:rsidRDefault="00346599"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1B03" w14:textId="2F6A0B39" w:rsidR="00D74D55" w:rsidRDefault="00D74D55">
    <w:pPr>
      <w:pStyle w:val="Footer"/>
      <w:jc w:val="center"/>
    </w:pPr>
    <w:r>
      <w:fldChar w:fldCharType="begin"/>
    </w:r>
    <w:r>
      <w:instrText xml:space="preserve"> PAGE   \* MERGEFORMAT </w:instrText>
    </w:r>
    <w:r>
      <w:fldChar w:fldCharType="separate"/>
    </w:r>
    <w:r w:rsidR="006F28D5">
      <w:rPr>
        <w:noProof/>
      </w:rPr>
      <w:t>5</w:t>
    </w:r>
    <w:r>
      <w:fldChar w:fldCharType="end"/>
    </w:r>
  </w:p>
  <w:p w14:paraId="5B373DF2" w14:textId="77777777" w:rsidR="00C06E0F" w:rsidRDefault="00C06E0F">
    <w:pPr>
      <w:pStyle w:val="Footer"/>
      <w:jc w:val="center"/>
    </w:pPr>
  </w:p>
  <w:p w14:paraId="7150507E" w14:textId="77777777" w:rsidR="00D74D55" w:rsidRDefault="00D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6113E" w14:textId="77777777" w:rsidR="00346599" w:rsidRDefault="00346599" w:rsidP="00D74D55">
      <w:r>
        <w:separator/>
      </w:r>
    </w:p>
  </w:footnote>
  <w:footnote w:type="continuationSeparator" w:id="0">
    <w:p w14:paraId="6A11022C" w14:textId="77777777" w:rsidR="00346599" w:rsidRDefault="00346599" w:rsidP="00D74D55">
      <w:r>
        <w:continuationSeparator/>
      </w:r>
    </w:p>
  </w:footnote>
  <w:footnote w:id="1">
    <w:p w14:paraId="4DD91FBB" w14:textId="08BBF68A" w:rsidR="00B81A86" w:rsidRDefault="00B81A86" w:rsidP="00B81A86">
      <w:pPr>
        <w:pStyle w:val="FootnoteText"/>
      </w:pPr>
      <w:r>
        <w:rPr>
          <w:rStyle w:val="FootnoteReference"/>
        </w:rPr>
        <w:footnoteRef/>
      </w:r>
      <w:r>
        <w:t xml:space="preserve"> </w:t>
      </w:r>
      <w:r w:rsidRPr="007F70AC">
        <w:t>Based on the salary table for GS-</w:t>
      </w:r>
      <w:r>
        <w:t>9</w:t>
      </w:r>
      <w:r w:rsidRPr="007F70AC">
        <w:t>/step 5 salary ($</w:t>
      </w:r>
      <w:r w:rsidR="00764A75">
        <w:t>28.73</w:t>
      </w:r>
      <w:r w:rsidRPr="007F70AC">
        <w:t xml:space="preserve"> an hour for base salary) plus 36.25 percent burden, </w:t>
      </w:r>
      <w:r w:rsidR="005D3FF9">
        <w:t xml:space="preserve">is $39.14 </w:t>
      </w:r>
      <w:r w:rsidRPr="007F70AC">
        <w:t xml:space="preserve">rounded to the nearest dollar, </w:t>
      </w:r>
      <w:r w:rsidR="007007AA">
        <w:t>to $39</w:t>
      </w:r>
      <w:r w:rsidRPr="007F70AC">
        <w:t xml:space="preserve">.  The burden rate used is that mandated by OMB memorandum M-08-13 for use in public-private competition, as updated by OMB for the current year.  Reference Salary Table </w:t>
      </w:r>
      <w:r w:rsidR="00764A75">
        <w:t>2020-RUS</w:t>
      </w:r>
      <w:r w:rsidRPr="007F70AC">
        <w:t xml:space="preserve">, Effective January </w:t>
      </w:r>
      <w:r w:rsidR="000319AB" w:rsidRPr="007F70AC">
        <w:t>20</w:t>
      </w:r>
      <w:r w:rsidR="00764A75">
        <w:t>20</w:t>
      </w:r>
      <w:r w:rsidRPr="007F70AC">
        <w:t xml:space="preserve">, found at </w:t>
      </w:r>
      <w:hyperlink r:id="rId1" w:history="1">
        <w:r w:rsidRPr="007F70AC">
          <w:rPr>
            <w:rStyle w:val="Hyperlink"/>
          </w:rPr>
          <w:t>www.opm.gov</w:t>
        </w:r>
      </w:hyperlink>
      <w:r w:rsidRPr="007F70AC">
        <w:t>).</w:t>
      </w:r>
    </w:p>
  </w:footnote>
  <w:footnote w:id="2">
    <w:p w14:paraId="1DA3173C" w14:textId="521AA5BD" w:rsidR="00B81A86" w:rsidRDefault="00B81A86" w:rsidP="00B81A86">
      <w:pPr>
        <w:pStyle w:val="FootnoteText"/>
      </w:pPr>
      <w:r>
        <w:rPr>
          <w:rStyle w:val="FootnoteReference"/>
        </w:rPr>
        <w:footnoteRef/>
      </w:r>
      <w:r>
        <w:t xml:space="preserve"> </w:t>
      </w:r>
      <w:r w:rsidR="006D00D0" w:rsidRPr="007F70AC">
        <w:t>Based on the salary table for GS-</w:t>
      </w:r>
      <w:r w:rsidR="006D00D0">
        <w:t>9</w:t>
      </w:r>
      <w:r w:rsidR="006D00D0" w:rsidRPr="007F70AC">
        <w:t>/step 5 salary ($</w:t>
      </w:r>
      <w:r w:rsidR="0020625E">
        <w:t>28.73</w:t>
      </w:r>
      <w:r w:rsidR="006D00D0" w:rsidRPr="007F70AC">
        <w:t xml:space="preserve"> an hour for base salary) plus 36.25 percent burden, rounded to the nearest dollar, or $3</w:t>
      </w:r>
      <w:r w:rsidR="0020625E">
        <w:t>9</w:t>
      </w:r>
      <w:r w:rsidR="006D00D0" w:rsidRPr="007F70AC">
        <w:t xml:space="preserve"> an hour.  The burden rate used is that mandated by OMB memorandum M-08-13 for use in public-private competition, as updated by OMB for the current year.  Reference Salary Table 20</w:t>
      </w:r>
      <w:r w:rsidR="0020625E">
        <w:t>20</w:t>
      </w:r>
      <w:r w:rsidR="006D00D0" w:rsidRPr="007F70AC">
        <w:t>-GS, Effective January 20</w:t>
      </w:r>
      <w:r w:rsidR="0020625E">
        <w:t>20</w:t>
      </w:r>
      <w:r w:rsidR="006D00D0" w:rsidRPr="007F70AC">
        <w:t xml:space="preserve">, found at </w:t>
      </w:r>
      <w:hyperlink r:id="rId2" w:history="1">
        <w:r w:rsidR="006D00D0" w:rsidRPr="007F70AC">
          <w:rPr>
            <w:rStyle w:val="Hyperlink"/>
          </w:rPr>
          <w:t>www.opm.gov</w:t>
        </w:r>
      </w:hyperlink>
      <w:r w:rsidR="006D00D0" w:rsidRPr="007F70A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39D8"/>
    <w:rsid w:val="000319AB"/>
    <w:rsid w:val="000502DE"/>
    <w:rsid w:val="0005246F"/>
    <w:rsid w:val="000611B8"/>
    <w:rsid w:val="000A2459"/>
    <w:rsid w:val="000A2A03"/>
    <w:rsid w:val="000C5FFB"/>
    <w:rsid w:val="000D003F"/>
    <w:rsid w:val="000E37A9"/>
    <w:rsid w:val="00127C69"/>
    <w:rsid w:val="00154969"/>
    <w:rsid w:val="00160D37"/>
    <w:rsid w:val="001870C7"/>
    <w:rsid w:val="00191C5D"/>
    <w:rsid w:val="001930C3"/>
    <w:rsid w:val="001C619A"/>
    <w:rsid w:val="001D0984"/>
    <w:rsid w:val="001D2653"/>
    <w:rsid w:val="0020625E"/>
    <w:rsid w:val="002230B5"/>
    <w:rsid w:val="002429FD"/>
    <w:rsid w:val="002457D0"/>
    <w:rsid w:val="00261A00"/>
    <w:rsid w:val="00263854"/>
    <w:rsid w:val="00267E5F"/>
    <w:rsid w:val="00297F93"/>
    <w:rsid w:val="002C4450"/>
    <w:rsid w:val="0030008B"/>
    <w:rsid w:val="003002A0"/>
    <w:rsid w:val="00302DA1"/>
    <w:rsid w:val="00305997"/>
    <w:rsid w:val="0032295F"/>
    <w:rsid w:val="00346599"/>
    <w:rsid w:val="003525BE"/>
    <w:rsid w:val="00375DB1"/>
    <w:rsid w:val="00383DFF"/>
    <w:rsid w:val="00395F5A"/>
    <w:rsid w:val="003B6446"/>
    <w:rsid w:val="003C26F7"/>
    <w:rsid w:val="003C6B0A"/>
    <w:rsid w:val="003F4011"/>
    <w:rsid w:val="00403287"/>
    <w:rsid w:val="004220E0"/>
    <w:rsid w:val="00452A09"/>
    <w:rsid w:val="0048050C"/>
    <w:rsid w:val="004819F3"/>
    <w:rsid w:val="00485C2F"/>
    <w:rsid w:val="0049641C"/>
    <w:rsid w:val="004B24D8"/>
    <w:rsid w:val="004B27AF"/>
    <w:rsid w:val="004B494E"/>
    <w:rsid w:val="004B6441"/>
    <w:rsid w:val="004C7516"/>
    <w:rsid w:val="004D1DF3"/>
    <w:rsid w:val="004D5E92"/>
    <w:rsid w:val="004E0F06"/>
    <w:rsid w:val="00533827"/>
    <w:rsid w:val="00533E4E"/>
    <w:rsid w:val="00534F84"/>
    <w:rsid w:val="005417F0"/>
    <w:rsid w:val="00555DFE"/>
    <w:rsid w:val="005B5559"/>
    <w:rsid w:val="005C4463"/>
    <w:rsid w:val="005D3FF9"/>
    <w:rsid w:val="005E0A0F"/>
    <w:rsid w:val="005F2316"/>
    <w:rsid w:val="0060388A"/>
    <w:rsid w:val="006202E6"/>
    <w:rsid w:val="00620D28"/>
    <w:rsid w:val="00635430"/>
    <w:rsid w:val="00650809"/>
    <w:rsid w:val="0067356A"/>
    <w:rsid w:val="00673BD1"/>
    <w:rsid w:val="00682749"/>
    <w:rsid w:val="00697856"/>
    <w:rsid w:val="006B2B17"/>
    <w:rsid w:val="006D00D0"/>
    <w:rsid w:val="006E7819"/>
    <w:rsid w:val="006F28D5"/>
    <w:rsid w:val="007007AA"/>
    <w:rsid w:val="00746F33"/>
    <w:rsid w:val="007508F1"/>
    <w:rsid w:val="00764A75"/>
    <w:rsid w:val="00773EB3"/>
    <w:rsid w:val="00795F30"/>
    <w:rsid w:val="007A68EB"/>
    <w:rsid w:val="007C38D0"/>
    <w:rsid w:val="007E450E"/>
    <w:rsid w:val="007F70AC"/>
    <w:rsid w:val="00845710"/>
    <w:rsid w:val="00865FCE"/>
    <w:rsid w:val="008972BD"/>
    <w:rsid w:val="008A0FD1"/>
    <w:rsid w:val="00922541"/>
    <w:rsid w:val="00935A4E"/>
    <w:rsid w:val="00935E82"/>
    <w:rsid w:val="00981425"/>
    <w:rsid w:val="009C740C"/>
    <w:rsid w:val="009E6FA1"/>
    <w:rsid w:val="00A30D99"/>
    <w:rsid w:val="00A3558E"/>
    <w:rsid w:val="00A51840"/>
    <w:rsid w:val="00A6761C"/>
    <w:rsid w:val="00A7063B"/>
    <w:rsid w:val="00A8228B"/>
    <w:rsid w:val="00A93CBF"/>
    <w:rsid w:val="00AA6C7E"/>
    <w:rsid w:val="00AC3144"/>
    <w:rsid w:val="00AC5BD4"/>
    <w:rsid w:val="00AF66E0"/>
    <w:rsid w:val="00B4193F"/>
    <w:rsid w:val="00B75E8A"/>
    <w:rsid w:val="00B808DB"/>
    <w:rsid w:val="00B81A86"/>
    <w:rsid w:val="00B82075"/>
    <w:rsid w:val="00B85611"/>
    <w:rsid w:val="00B86630"/>
    <w:rsid w:val="00BC323C"/>
    <w:rsid w:val="00BF6680"/>
    <w:rsid w:val="00C00C1A"/>
    <w:rsid w:val="00C0462C"/>
    <w:rsid w:val="00C06E0F"/>
    <w:rsid w:val="00C12CE7"/>
    <w:rsid w:val="00C34D08"/>
    <w:rsid w:val="00C44175"/>
    <w:rsid w:val="00C5397F"/>
    <w:rsid w:val="00C66D8C"/>
    <w:rsid w:val="00C735EB"/>
    <w:rsid w:val="00C818BD"/>
    <w:rsid w:val="00CC2EFF"/>
    <w:rsid w:val="00CC35E3"/>
    <w:rsid w:val="00CE07E1"/>
    <w:rsid w:val="00CE6BEB"/>
    <w:rsid w:val="00D11721"/>
    <w:rsid w:val="00D141EB"/>
    <w:rsid w:val="00D20198"/>
    <w:rsid w:val="00D3046A"/>
    <w:rsid w:val="00D31A6D"/>
    <w:rsid w:val="00D37A50"/>
    <w:rsid w:val="00D46148"/>
    <w:rsid w:val="00D46CB7"/>
    <w:rsid w:val="00D55D61"/>
    <w:rsid w:val="00D74D55"/>
    <w:rsid w:val="00DA4D04"/>
    <w:rsid w:val="00DB7F6A"/>
    <w:rsid w:val="00DC6260"/>
    <w:rsid w:val="00DD23C5"/>
    <w:rsid w:val="00DF234F"/>
    <w:rsid w:val="00E25C5F"/>
    <w:rsid w:val="00E266F6"/>
    <w:rsid w:val="00E341F7"/>
    <w:rsid w:val="00E53C2C"/>
    <w:rsid w:val="00E70CA5"/>
    <w:rsid w:val="00E830F9"/>
    <w:rsid w:val="00E90B41"/>
    <w:rsid w:val="00E940FB"/>
    <w:rsid w:val="00EB0C6C"/>
    <w:rsid w:val="00ED1B2F"/>
    <w:rsid w:val="00EE5BBD"/>
    <w:rsid w:val="00F05A56"/>
    <w:rsid w:val="00F0796D"/>
    <w:rsid w:val="00F1447C"/>
    <w:rsid w:val="00F27484"/>
    <w:rsid w:val="00F32885"/>
    <w:rsid w:val="00F357EB"/>
    <w:rsid w:val="00F508E6"/>
    <w:rsid w:val="00F5137D"/>
    <w:rsid w:val="00F830CD"/>
    <w:rsid w:val="00F84680"/>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D15A3E"/>
  <w15:docId w15:val="{90023372-F1F6-4DB5-8257-E4BAA653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unhideWhenUsed/>
    <w:rsid w:val="006E7819"/>
    <w:rPr>
      <w:sz w:val="20"/>
      <w:szCs w:val="20"/>
    </w:rPr>
  </w:style>
  <w:style w:type="character" w:customStyle="1" w:styleId="FootnoteTextChar">
    <w:name w:val="Footnote Text Char"/>
    <w:basedOn w:val="DefaultParagraphFont"/>
    <w:link w:val="FootnoteText"/>
    <w:rsid w:val="006E7819"/>
    <w:rPr>
      <w:rFonts w:ascii="Times New Roman" w:eastAsia="Times New Roman" w:hAnsi="Times New Roman"/>
    </w:rPr>
  </w:style>
  <w:style w:type="character" w:styleId="FootnoteReference">
    <w:name w:val="footnote reference"/>
    <w:basedOn w:val="DefaultParagraphFont"/>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customStyle="1" w:styleId="p3">
    <w:name w:val="p3"/>
    <w:basedOn w:val="Normal"/>
    <w:rsid w:val="00533E4E"/>
    <w:pPr>
      <w:widowControl w:val="0"/>
      <w:tabs>
        <w:tab w:val="left" w:pos="663"/>
      </w:tabs>
      <w:autoSpaceDE w:val="0"/>
      <w:autoSpaceDN w:val="0"/>
      <w:adjustRightInd w:val="0"/>
    </w:pPr>
  </w:style>
  <w:style w:type="character" w:styleId="Hyperlink">
    <w:name w:val="Hyperlink"/>
    <w:basedOn w:val="DefaultParagraphFont"/>
    <w:uiPriority w:val="99"/>
    <w:unhideWhenUsed/>
    <w:rsid w:val="007F70AC"/>
    <w:rPr>
      <w:color w:val="0000FF" w:themeColor="hyperlink"/>
      <w:u w:val="single"/>
    </w:rPr>
  </w:style>
  <w:style w:type="character" w:customStyle="1" w:styleId="UnresolvedMention">
    <w:name w:val="Unresolved Mention"/>
    <w:basedOn w:val="DefaultParagraphFont"/>
    <w:uiPriority w:val="99"/>
    <w:semiHidden/>
    <w:unhideWhenUsed/>
    <w:rsid w:val="00A30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96529">
      <w:bodyDiv w:val="1"/>
      <w:marLeft w:val="0"/>
      <w:marRight w:val="0"/>
      <w:marTop w:val="0"/>
      <w:marBottom w:val="0"/>
      <w:divBdr>
        <w:top w:val="none" w:sz="0" w:space="0" w:color="auto"/>
        <w:left w:val="none" w:sz="0" w:space="0" w:color="auto"/>
        <w:bottom w:val="none" w:sz="0" w:space="0" w:color="auto"/>
        <w:right w:val="none" w:sz="0" w:space="0" w:color="auto"/>
      </w:divBdr>
    </w:div>
    <w:div w:id="581334933">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92839514">
      <w:bodyDiv w:val="1"/>
      <w:marLeft w:val="0"/>
      <w:marRight w:val="0"/>
      <w:marTop w:val="0"/>
      <w:marBottom w:val="0"/>
      <w:divBdr>
        <w:top w:val="none" w:sz="0" w:space="0" w:color="auto"/>
        <w:left w:val="none" w:sz="0" w:space="0" w:color="auto"/>
        <w:bottom w:val="none" w:sz="0" w:space="0" w:color="auto"/>
        <w:right w:val="none" w:sz="0" w:space="0" w:color="auto"/>
      </w:divBdr>
    </w:div>
    <w:div w:id="2039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02-27/pdf/2020-0388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ocuments/2020/05/28/2020-11477/information-collection-requirement-defense-federal-acquisition-regulation-supplement-dfar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pm.gov" TargetMode="External"/><Relationship Id="rId1"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7964-DCA9-4D1E-9ED9-ADE1758E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Hawes, Jennifer L CIV OSD OUSD A-S (USA)</cp:lastModifiedBy>
  <cp:revision>2</cp:revision>
  <cp:lastPrinted>2020-01-21T20:59:00Z</cp:lastPrinted>
  <dcterms:created xsi:type="dcterms:W3CDTF">2020-07-29T14:31:00Z</dcterms:created>
  <dcterms:modified xsi:type="dcterms:W3CDTF">2020-07-29T14:31:00Z</dcterms:modified>
</cp:coreProperties>
</file>