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65991" w:rsidR="00B65991" w:rsidP="00B65991" w:rsidRDefault="00B65991">
      <w:pPr>
        <w:spacing w:after="0"/>
        <w:jc w:val="right"/>
        <w:rPr>
          <w:rFonts w:ascii="Arial" w:hAnsi="Arial" w:cs="Arial"/>
          <w:sz w:val="16"/>
          <w:szCs w:val="16"/>
        </w:rPr>
      </w:pPr>
      <w:bookmarkStart w:name="_GoBack" w:id="0"/>
      <w:bookmarkEnd w:id="0"/>
      <w:r w:rsidRPr="00B65991">
        <w:rPr>
          <w:rFonts w:ascii="Arial" w:hAnsi="Arial" w:cs="Arial"/>
          <w:sz w:val="16"/>
          <w:szCs w:val="16"/>
        </w:rPr>
        <w:t>OMB No.: 0915-</w:t>
      </w:r>
      <w:r w:rsidR="00D94AF8">
        <w:rPr>
          <w:rFonts w:ascii="Arial" w:hAnsi="Arial" w:cs="Arial"/>
          <w:sz w:val="16"/>
          <w:szCs w:val="16"/>
        </w:rPr>
        <w:t>0285. Expiration Date: XX/XX/20XX</w:t>
      </w:r>
    </w:p>
    <w:p w:rsidRPr="00B65991" w:rsidR="00B65991" w:rsidP="00B65991" w:rsidRDefault="00B548F0">
      <w:pPr>
        <w:spacing w:after="0"/>
        <w:ind w:left="-720" w:right="-720"/>
        <w:rPr>
          <w:rFonts w:ascii="Arial" w:hAnsi="Arial" w:cs="Arial"/>
          <w:bCs/>
          <w:color w:val="000000"/>
          <w:sz w:val="20"/>
          <w:szCs w:val="20"/>
        </w:rPr>
      </w:pPr>
      <w:r w:rsidRPr="00957D3F">
        <w:rPr>
          <w:noProof/>
        </w:rPr>
        <w:drawing>
          <wp:inline distT="0" distB="0" distL="0" distR="0">
            <wp:extent cx="6867525" cy="854338"/>
            <wp:effectExtent l="0" t="0" r="0" b="0"/>
            <wp:docPr id="1" name="Picture 2" descr="The grant number will pre-populate in this form for current grantees and the application tracking number will pre-populate  for all applicant types." title="Form 3: Income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grant number will pre-populate in this form for current grantees and the application tracking number will pre-populate  for all applicant types." title="Form 3: Income Analysis"/>
                    <pic:cNvPicPr/>
                  </pic:nvPicPr>
                  <pic:blipFill>
                    <a:blip r:embed="rId11"/>
                    <a:stretch>
                      <a:fillRect/>
                    </a:stretch>
                  </pic:blipFill>
                  <pic:spPr>
                    <a:xfrm>
                      <a:off x="0" y="0"/>
                      <a:ext cx="6867525" cy="854075"/>
                    </a:xfrm>
                    <a:prstGeom prst="rect">
                      <a:avLst/>
                    </a:prstGeom>
                  </pic:spPr>
                </pic:pic>
              </a:graphicData>
            </a:graphic>
          </wp:inline>
        </w:drawing>
      </w:r>
    </w:p>
    <w:p w:rsidRPr="0046159F" w:rsidR="00B65991" w:rsidP="00D62392" w:rsidRDefault="00B65991">
      <w:pPr>
        <w:pBdr>
          <w:top w:val="single" w:color="A6A6A6" w:sz="4" w:space="1"/>
          <w:left w:val="single" w:color="A6A6A6" w:sz="4" w:space="3"/>
          <w:bottom w:val="single" w:color="A6A6A6" w:sz="4" w:space="1"/>
          <w:right w:val="single" w:color="A6A6A6" w:sz="4" w:space="4"/>
          <w:between w:val="single" w:color="A6A6A6" w:sz="4" w:space="1"/>
          <w:bar w:val="single" w:color="A6A6A6" w:sz="4"/>
        </w:pBdr>
        <w:shd w:val="clear" w:color="auto" w:fill="FFFFFF"/>
        <w:spacing w:after="0"/>
        <w:ind w:left="-630" w:right="-630"/>
        <w:rPr>
          <w:rFonts w:ascii="Arial" w:hAnsi="Arial" w:cs="Arial"/>
          <w:sz w:val="20"/>
          <w:szCs w:val="20"/>
        </w:rPr>
      </w:pPr>
      <w:r w:rsidRPr="00B65991">
        <w:rPr>
          <w:rFonts w:ascii="Arial" w:hAnsi="Arial" w:cs="Arial"/>
          <w:bCs/>
          <w:color w:val="000000"/>
          <w:sz w:val="20"/>
          <w:szCs w:val="20"/>
        </w:rPr>
        <w:t>Note: The value in the Projected Income (d) column should equal the value in the Billable Visits (b) column multiplied by the value in the Income per Visit (c) column. If not, explain in the Comments/Explanatory Notes box.</w:t>
      </w:r>
      <w:r xmlns:w="http://schemas.openxmlformats.org/wordprocessingml/2006/main" w:rsidR="0046159F">
        <w:rPr>
          <w:rFonts w:ascii="Arial" w:hAnsi="Arial" w:cs="Arial"/>
          <w:bCs/>
          <w:color w:val="000000"/>
          <w:sz w:val="20"/>
          <w:szCs w:val="20"/>
        </w:rPr>
        <w:t xml:space="preserve"> </w:t>
      </w:r>
      <w:r xmlns:w="http://schemas.openxmlformats.org/wordprocessingml/2006/main" w:rsidRPr="0046159F" w:rsidR="0046159F">
        <w:rPr>
          <w:rFonts w:ascii="Arial" w:hAnsi="Arial" w:cs="Arial"/>
          <w:sz w:val="20"/>
          <w:szCs w:val="20"/>
        </w:rPr>
        <w:t>In the Prior FY Income (e) column, enter the income data from the health center’s most recent fiscal year audit or interim financial statement.</w:t>
      </w:r>
    </w:p>
    <w:p w:rsidRPr="00B65991" w:rsidR="00B65991" w:rsidP="00D62392" w:rsidRDefault="00B65991">
      <w:pPr>
        <w:pBdr>
          <w:top w:val="single" w:color="A6A6A6" w:sz="4" w:space="1"/>
          <w:left w:val="single" w:color="A6A6A6" w:sz="4" w:space="0"/>
          <w:bottom w:val="single" w:color="A6A6A6" w:sz="4" w:space="1"/>
          <w:right w:val="single" w:color="A6A6A6" w:sz="4" w:space="4"/>
          <w:between w:val="single" w:color="A6A6A6" w:sz="4" w:space="1"/>
          <w:bar w:val="single" w:color="A6A6A6" w:sz="4"/>
        </w:pBdr>
        <w:shd w:val="clear" w:color="auto" w:fill="95B3D7"/>
        <w:spacing w:after="0"/>
        <w:ind w:left="-720" w:right="-630" w:firstLine="90"/>
        <w:rPr>
          <w:sz w:val="2"/>
          <w:szCs w:val="2"/>
        </w:rPr>
      </w:pPr>
      <w:r w:rsidRPr="00B65991">
        <w:rPr>
          <w:rFonts w:ascii="Arial" w:hAnsi="Arial" w:cs="Arial"/>
          <w:b/>
          <w:sz w:val="20"/>
          <w:szCs w:val="20"/>
        </w:rPr>
        <w:t>Part 1: Patient Service Revenue – Program Income</w:t>
      </w:r>
    </w:p>
    <w:tbl>
      <w:tblPr>
        <w:tblW w:w="10800" w:type="dxa"/>
        <w:tblInd w:w="-612"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Look w:val="04A0" w:firstRow="1" w:lastRow="0" w:firstColumn="1" w:lastColumn="0" w:noHBand="0" w:noVBand="1"/>
      </w:tblPr>
      <w:tblGrid>
        <w:gridCol w:w="2070"/>
        <w:gridCol w:w="2430"/>
        <w:gridCol w:w="1350"/>
        <w:gridCol w:w="1710"/>
        <w:gridCol w:w="1800"/>
        <w:gridCol w:w="1440"/>
      </w:tblGrid>
      <w:tr w:rsidRPr="00D62392" w:rsidR="004056A2" w:rsidTr="004056A2">
        <w:trPr>
          <w:cantSplit/>
          <w:tblHeader/>
        </w:trPr>
        <w:tc>
          <w:tcPr>
            <w:tcW w:w="2070" w:type="dxa"/>
            <w:shd w:val="clear" w:color="auto" w:fill="DBE5F1"/>
            <w:vAlign w:val="center"/>
          </w:tcPr>
          <w:p w:rsidRPr="00D62392" w:rsidR="00B65991" w:rsidP="00D62392" w:rsidRDefault="00B65991">
            <w:pPr>
              <w:spacing w:before="60" w:after="60" w:line="240" w:lineRule="auto"/>
              <w:jc w:val="center"/>
              <w:rPr>
                <w:rFonts w:ascii="Arial" w:hAnsi="Arial" w:cs="Arial"/>
                <w:b/>
                <w:sz w:val="20"/>
                <w:szCs w:val="20"/>
              </w:rPr>
            </w:pPr>
            <w:r w:rsidRPr="00D62392">
              <w:rPr>
                <w:rFonts w:ascii="Arial" w:hAnsi="Arial" w:cs="Arial"/>
                <w:b/>
                <w:sz w:val="20"/>
                <w:szCs w:val="20"/>
              </w:rPr>
              <w:t>Payer Category</w:t>
            </w:r>
          </w:p>
        </w:tc>
        <w:tc>
          <w:tcPr>
            <w:tcW w:w="2430" w:type="dxa"/>
            <w:shd w:val="clear" w:color="auto" w:fill="DBE5F1"/>
            <w:vAlign w:val="center"/>
          </w:tcPr>
          <w:p w:rsidRPr="00D62392" w:rsidR="00B65991" w:rsidP="00D62392" w:rsidRDefault="00B65991">
            <w:pPr>
              <w:spacing w:before="60" w:after="60" w:line="240" w:lineRule="auto"/>
              <w:jc w:val="center"/>
              <w:rPr>
                <w:rFonts w:ascii="Arial" w:hAnsi="Arial" w:cs="Arial"/>
                <w:b/>
                <w:sz w:val="20"/>
                <w:szCs w:val="20"/>
              </w:rPr>
            </w:pPr>
            <w:r w:rsidRPr="00D62392">
              <w:rPr>
                <w:rFonts w:ascii="Arial" w:hAnsi="Arial" w:cs="Arial"/>
                <w:b/>
                <w:sz w:val="20"/>
                <w:szCs w:val="20"/>
              </w:rPr>
              <w:t xml:space="preserve">Patients by Primary Medical Insurance (a)           </w:t>
            </w:r>
          </w:p>
        </w:tc>
        <w:tc>
          <w:tcPr>
            <w:tcW w:w="1350" w:type="dxa"/>
            <w:shd w:val="clear" w:color="auto" w:fill="DBE5F1"/>
            <w:vAlign w:val="center"/>
          </w:tcPr>
          <w:p w:rsidRPr="00D62392" w:rsidR="00B65991" w:rsidP="00D62392" w:rsidRDefault="00B65991">
            <w:pPr>
              <w:spacing w:before="60" w:after="60" w:line="240" w:lineRule="auto"/>
              <w:jc w:val="center"/>
              <w:rPr>
                <w:rFonts w:ascii="Arial" w:hAnsi="Arial" w:cs="Arial"/>
                <w:b/>
                <w:sz w:val="20"/>
                <w:szCs w:val="20"/>
              </w:rPr>
            </w:pPr>
            <w:r w:rsidRPr="00D62392">
              <w:rPr>
                <w:rFonts w:ascii="Arial" w:hAnsi="Arial" w:cs="Arial"/>
                <w:b/>
                <w:sz w:val="20"/>
                <w:szCs w:val="20"/>
              </w:rPr>
              <w:t>Billable Visits (b)</w:t>
            </w:r>
          </w:p>
        </w:tc>
        <w:tc>
          <w:tcPr>
            <w:tcW w:w="1710" w:type="dxa"/>
            <w:shd w:val="clear" w:color="auto" w:fill="DBE5F1"/>
            <w:vAlign w:val="center"/>
          </w:tcPr>
          <w:p w:rsidRPr="00D62392" w:rsidR="00B65991" w:rsidP="00D62392" w:rsidRDefault="00B65991">
            <w:pPr>
              <w:spacing w:before="60" w:after="60" w:line="240" w:lineRule="auto"/>
              <w:jc w:val="center"/>
              <w:rPr>
                <w:rFonts w:ascii="Arial" w:hAnsi="Arial" w:cs="Arial"/>
                <w:b/>
                <w:sz w:val="20"/>
                <w:szCs w:val="20"/>
              </w:rPr>
            </w:pPr>
            <w:r w:rsidRPr="00D62392">
              <w:rPr>
                <w:rFonts w:ascii="Arial" w:hAnsi="Arial" w:cs="Arial"/>
                <w:b/>
                <w:sz w:val="20"/>
                <w:szCs w:val="20"/>
              </w:rPr>
              <w:t>Income per Visit (c)</w:t>
            </w:r>
          </w:p>
        </w:tc>
        <w:tc>
          <w:tcPr>
            <w:tcW w:w="1800" w:type="dxa"/>
            <w:shd w:val="clear" w:color="auto" w:fill="DBE5F1"/>
            <w:vAlign w:val="center"/>
          </w:tcPr>
          <w:p w:rsidRPr="00D62392" w:rsidR="00B65991" w:rsidP="00D62392" w:rsidRDefault="00B65991">
            <w:pPr>
              <w:spacing w:before="60" w:after="60" w:line="240" w:lineRule="auto"/>
              <w:jc w:val="center"/>
              <w:rPr>
                <w:rFonts w:ascii="Arial" w:hAnsi="Arial" w:cs="Arial"/>
                <w:b/>
                <w:sz w:val="20"/>
                <w:szCs w:val="20"/>
              </w:rPr>
            </w:pPr>
            <w:r w:rsidRPr="00D62392">
              <w:rPr>
                <w:rFonts w:ascii="Arial" w:hAnsi="Arial" w:cs="Arial"/>
                <w:b/>
                <w:sz w:val="20"/>
                <w:szCs w:val="20"/>
              </w:rPr>
              <w:t>Projected Income (d)</w:t>
            </w:r>
          </w:p>
        </w:tc>
        <w:tc>
          <w:tcPr>
            <w:tcW w:w="1440" w:type="dxa"/>
            <w:shd w:val="clear" w:color="auto" w:fill="DBE5F1"/>
            <w:vAlign w:val="center"/>
          </w:tcPr>
          <w:p w:rsidRPr="00D62392" w:rsidR="00B65991" w:rsidP="00D62392" w:rsidRDefault="004F4B73">
            <w:pPr>
              <w:spacing w:before="60" w:after="60" w:line="240" w:lineRule="auto"/>
              <w:jc w:val="center"/>
              <w:rPr>
                <w:rFonts w:ascii="Arial" w:hAnsi="Arial" w:cs="Arial"/>
                <w:b/>
                <w:sz w:val="20"/>
                <w:szCs w:val="20"/>
              </w:rPr>
            </w:pPr>
            <w:r w:rsidRPr="00D62392">
              <w:rPr>
                <w:rFonts w:ascii="Arial" w:hAnsi="Arial" w:cs="Arial"/>
                <w:b/>
                <w:sz w:val="20"/>
                <w:szCs w:val="20"/>
              </w:rPr>
              <w:t xml:space="preserve">Prior FY Income </w:t>
            </w:r>
          </w:p>
        </w:tc>
      </w:tr>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ind w:left="432"/>
              <w:contextualSpacing/>
              <w:rPr>
                <w:rFonts w:ascii="Arial" w:hAnsi="Arial" w:cs="Arial"/>
                <w:sz w:val="20"/>
                <w:szCs w:val="20"/>
              </w:rPr>
            </w:pPr>
            <w:r w:rsidRPr="00D62392">
              <w:rPr>
                <w:rFonts w:ascii="Arial" w:hAnsi="Arial" w:cs="Arial"/>
                <w:sz w:val="20"/>
                <w:szCs w:val="20"/>
              </w:rPr>
              <w:t>Medicaid</w:t>
            </w:r>
          </w:p>
        </w:tc>
        <w:tc>
          <w:tcPr>
            <w:tcW w:w="243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35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71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80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44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r>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ind w:left="432"/>
              <w:contextualSpacing/>
              <w:rPr>
                <w:rFonts w:ascii="Arial" w:hAnsi="Arial" w:cs="Arial"/>
                <w:sz w:val="20"/>
                <w:szCs w:val="20"/>
              </w:rPr>
            </w:pPr>
            <w:r w:rsidRPr="00D62392">
              <w:rPr>
                <w:rFonts w:ascii="Arial" w:hAnsi="Arial" w:cs="Arial"/>
                <w:sz w:val="20"/>
                <w:szCs w:val="20"/>
              </w:rPr>
              <w:t>Medicare</w:t>
            </w:r>
          </w:p>
        </w:tc>
        <w:tc>
          <w:tcPr>
            <w:tcW w:w="243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35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71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80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44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r>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ind w:left="432"/>
              <w:contextualSpacing/>
              <w:rPr>
                <w:rFonts w:ascii="Arial" w:hAnsi="Arial" w:cs="Arial"/>
                <w:sz w:val="20"/>
                <w:szCs w:val="20"/>
              </w:rPr>
            </w:pPr>
            <w:r w:rsidRPr="00D62392">
              <w:rPr>
                <w:rFonts w:ascii="Arial" w:hAnsi="Arial" w:cs="Arial"/>
                <w:sz w:val="20"/>
                <w:szCs w:val="20"/>
              </w:rPr>
              <w:t>Other Public</w:t>
            </w:r>
          </w:p>
        </w:tc>
        <w:tc>
          <w:tcPr>
            <w:tcW w:w="243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35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71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80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44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r>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ind w:left="432"/>
              <w:contextualSpacing/>
              <w:rPr>
                <w:rFonts w:ascii="Arial" w:hAnsi="Arial" w:cs="Arial"/>
                <w:sz w:val="20"/>
                <w:szCs w:val="20"/>
              </w:rPr>
            </w:pPr>
            <w:r w:rsidRPr="00D62392">
              <w:rPr>
                <w:rFonts w:ascii="Arial" w:hAnsi="Arial" w:cs="Arial"/>
                <w:sz w:val="20"/>
                <w:szCs w:val="20"/>
              </w:rPr>
              <w:t>Private</w:t>
            </w:r>
          </w:p>
        </w:tc>
        <w:tc>
          <w:tcPr>
            <w:tcW w:w="243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35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71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80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44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r>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ind w:left="432"/>
              <w:contextualSpacing/>
              <w:rPr>
                <w:rFonts w:ascii="Arial" w:hAnsi="Arial" w:cs="Arial"/>
                <w:sz w:val="20"/>
                <w:szCs w:val="20"/>
              </w:rPr>
            </w:pPr>
            <w:r w:rsidRPr="00D62392">
              <w:rPr>
                <w:rFonts w:ascii="Arial" w:hAnsi="Arial" w:cs="Arial"/>
                <w:sz w:val="20"/>
                <w:szCs w:val="20"/>
              </w:rPr>
              <w:t>Self Pay</w:t>
            </w:r>
          </w:p>
        </w:tc>
        <w:tc>
          <w:tcPr>
            <w:tcW w:w="243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350" w:type="dxa"/>
            <w:tcBorders>
              <w:bottom w:val="single" w:color="A6A6A6" w:sz="4" w:space="0"/>
            </w:tcBorders>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710" w:type="dxa"/>
            <w:tcBorders>
              <w:bottom w:val="single" w:color="A6A6A6" w:sz="4" w:space="0"/>
            </w:tcBorders>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800" w:type="dxa"/>
            <w:tcBorders>
              <w:bottom w:val="single" w:color="A6A6A6" w:sz="4" w:space="0"/>
            </w:tcBorders>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c>
          <w:tcPr>
            <w:tcW w:w="144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p>
        </w:tc>
      </w:tr>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ind w:left="432"/>
              <w:contextualSpacing/>
              <w:rPr>
                <w:rFonts w:ascii="Arial" w:hAnsi="Arial" w:cs="Arial"/>
                <w:sz w:val="20"/>
                <w:szCs w:val="20"/>
              </w:rPr>
            </w:pPr>
            <w:r w:rsidRPr="00D62392">
              <w:rPr>
                <w:rFonts w:ascii="Arial" w:hAnsi="Arial" w:cs="Arial"/>
                <w:sz w:val="20"/>
                <w:szCs w:val="20"/>
              </w:rPr>
              <w:t>Total (Lines 1-5)</w:t>
            </w:r>
          </w:p>
        </w:tc>
        <w:tc>
          <w:tcPr>
            <w:tcW w:w="243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color w:val="FF0000"/>
                <w:sz w:val="20"/>
                <w:szCs w:val="20"/>
              </w:rPr>
              <w:t>will auto-calculate in EHB</w:t>
            </w:r>
          </w:p>
        </w:tc>
        <w:tc>
          <w:tcPr>
            <w:tcW w:w="135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color w:val="FF0000"/>
                <w:sz w:val="20"/>
                <w:szCs w:val="20"/>
              </w:rPr>
              <w:t>will auto-calculate in EHB</w:t>
            </w:r>
          </w:p>
        </w:tc>
        <w:tc>
          <w:tcPr>
            <w:tcW w:w="171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80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color w:val="FF0000"/>
                <w:sz w:val="20"/>
                <w:szCs w:val="20"/>
              </w:rPr>
              <w:t>will auto-calculate in EHB</w:t>
            </w:r>
          </w:p>
        </w:tc>
        <w:tc>
          <w:tcPr>
            <w:tcW w:w="1440" w:type="dxa"/>
            <w:shd w:val="clear" w:color="auto" w:fill="auto"/>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color w:val="FF0000"/>
                <w:sz w:val="20"/>
                <w:szCs w:val="20"/>
              </w:rPr>
              <w:t>will auto-calculate in EHB</w:t>
            </w:r>
          </w:p>
        </w:tc>
      </w:tr>
    </w:tbl>
    <w:p w:rsidRPr="00B65991" w:rsidR="00B65991" w:rsidP="00D62392" w:rsidRDefault="00B65991">
      <w:pPr>
        <w:pBdr>
          <w:top w:val="single" w:color="A6A6A6" w:sz="4" w:space="1"/>
          <w:left w:val="single" w:color="A6A6A6" w:sz="4" w:space="0"/>
          <w:bottom w:val="single" w:color="A6A6A6" w:sz="4" w:space="1"/>
          <w:right w:val="single" w:color="A6A6A6" w:sz="4" w:space="4"/>
          <w:between w:val="single" w:color="A6A6A6" w:sz="4" w:space="1"/>
          <w:bar w:val="single" w:color="A6A6A6" w:sz="4"/>
        </w:pBdr>
        <w:shd w:val="clear" w:color="auto" w:fill="95B3D7"/>
        <w:spacing w:after="0"/>
        <w:ind w:left="-720" w:right="-630" w:firstLine="90"/>
        <w:rPr>
          <w:rFonts w:ascii="Arial" w:hAnsi="Arial" w:cs="Arial"/>
          <w:b/>
          <w:sz w:val="20"/>
          <w:szCs w:val="20"/>
        </w:rPr>
      </w:pPr>
      <w:r w:rsidRPr="00B65991">
        <w:rPr>
          <w:rFonts w:ascii="Arial" w:hAnsi="Arial" w:cs="Arial"/>
          <w:b/>
          <w:sz w:val="20"/>
          <w:szCs w:val="20"/>
        </w:rPr>
        <w:t>Part 2: Other Income – Other Federal, State, Local, and Other Income</w:t>
      </w:r>
    </w:p>
    <w:tbl>
      <w:tblPr>
        <w:tblW w:w="10800" w:type="dxa"/>
        <w:tblInd w:w="-612"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Look w:val="04A0" w:firstRow="1" w:lastRow="0" w:firstColumn="1" w:lastColumn="0" w:noHBand="0" w:noVBand="1"/>
      </w:tblPr>
      <w:tblGrid>
        <w:gridCol w:w="2070"/>
        <w:gridCol w:w="2430"/>
        <w:gridCol w:w="1350"/>
        <w:gridCol w:w="1710"/>
        <w:gridCol w:w="1800"/>
        <w:gridCol w:w="1440"/>
      </w:tblGrid>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ind w:left="432"/>
              <w:contextualSpacing/>
              <w:rPr>
                <w:rFonts w:ascii="Arial" w:hAnsi="Arial" w:cs="Arial"/>
                <w:sz w:val="20"/>
                <w:szCs w:val="20"/>
              </w:rPr>
            </w:pPr>
            <w:r w:rsidRPr="00D62392">
              <w:rPr>
                <w:rFonts w:ascii="Arial" w:hAnsi="Arial" w:cs="Arial"/>
                <w:sz w:val="20"/>
                <w:szCs w:val="20"/>
              </w:rPr>
              <w:t>Other Federal</w:t>
            </w:r>
          </w:p>
        </w:tc>
        <w:tc>
          <w:tcPr>
            <w:tcW w:w="243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35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71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800" w:type="dxa"/>
            <w:shd w:val="clear" w:color="auto" w:fill="FFFFFF"/>
            <w:vAlign w:val="center"/>
          </w:tcPr>
          <w:p w:rsidRPr="00D62392" w:rsidR="00B65991" w:rsidP="00D62392" w:rsidRDefault="00B65991">
            <w:pPr>
              <w:spacing w:before="60" w:after="60" w:line="240" w:lineRule="auto"/>
              <w:rPr>
                <w:rFonts w:ascii="Arial" w:hAnsi="Arial" w:cs="Arial"/>
                <w:b/>
                <w:sz w:val="20"/>
                <w:szCs w:val="20"/>
              </w:rPr>
            </w:pPr>
          </w:p>
        </w:tc>
        <w:tc>
          <w:tcPr>
            <w:tcW w:w="1440" w:type="dxa"/>
            <w:shd w:val="clear" w:color="auto" w:fill="auto"/>
            <w:vAlign w:val="center"/>
          </w:tcPr>
          <w:p w:rsidRPr="00D62392" w:rsidR="00B65991" w:rsidP="00D62392" w:rsidRDefault="00B65991">
            <w:pPr>
              <w:spacing w:before="60" w:after="60" w:line="240" w:lineRule="auto"/>
              <w:rPr>
                <w:rFonts w:ascii="Arial" w:hAnsi="Arial" w:cs="Arial"/>
                <w:b/>
                <w:sz w:val="20"/>
                <w:szCs w:val="20"/>
              </w:rPr>
            </w:pPr>
          </w:p>
        </w:tc>
      </w:tr>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ind w:left="432"/>
              <w:contextualSpacing/>
              <w:rPr>
                <w:rFonts w:ascii="Arial" w:hAnsi="Arial" w:cs="Arial"/>
                <w:sz w:val="20"/>
                <w:szCs w:val="20"/>
              </w:rPr>
            </w:pPr>
            <w:r w:rsidRPr="00D62392">
              <w:rPr>
                <w:rFonts w:ascii="Arial" w:hAnsi="Arial" w:cs="Arial"/>
                <w:sz w:val="20"/>
                <w:szCs w:val="20"/>
              </w:rPr>
              <w:t>State Government</w:t>
            </w:r>
          </w:p>
        </w:tc>
        <w:tc>
          <w:tcPr>
            <w:tcW w:w="243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35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71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800" w:type="dxa"/>
            <w:shd w:val="clear" w:color="auto" w:fill="FFFFFF"/>
            <w:vAlign w:val="center"/>
          </w:tcPr>
          <w:p w:rsidRPr="00D62392" w:rsidR="00B65991" w:rsidP="00D62392" w:rsidRDefault="00B65991">
            <w:pPr>
              <w:spacing w:before="60" w:after="60" w:line="240" w:lineRule="auto"/>
              <w:rPr>
                <w:rFonts w:ascii="Arial" w:hAnsi="Arial" w:cs="Arial"/>
                <w:b/>
                <w:sz w:val="20"/>
                <w:szCs w:val="20"/>
              </w:rPr>
            </w:pPr>
          </w:p>
        </w:tc>
        <w:tc>
          <w:tcPr>
            <w:tcW w:w="1440" w:type="dxa"/>
            <w:shd w:val="clear" w:color="auto" w:fill="auto"/>
            <w:vAlign w:val="center"/>
          </w:tcPr>
          <w:p w:rsidRPr="00D62392" w:rsidR="00B65991" w:rsidP="00D62392" w:rsidRDefault="00B65991">
            <w:pPr>
              <w:spacing w:before="60" w:after="60" w:line="240" w:lineRule="auto"/>
              <w:rPr>
                <w:rFonts w:ascii="Arial" w:hAnsi="Arial" w:cs="Arial"/>
                <w:b/>
                <w:sz w:val="20"/>
                <w:szCs w:val="20"/>
              </w:rPr>
            </w:pPr>
          </w:p>
        </w:tc>
      </w:tr>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ind w:left="432"/>
              <w:contextualSpacing/>
              <w:rPr>
                <w:rFonts w:ascii="Arial" w:hAnsi="Arial" w:cs="Arial"/>
                <w:sz w:val="20"/>
                <w:szCs w:val="20"/>
              </w:rPr>
            </w:pPr>
            <w:r w:rsidRPr="00D62392">
              <w:rPr>
                <w:rFonts w:ascii="Arial" w:hAnsi="Arial" w:cs="Arial"/>
                <w:sz w:val="20"/>
                <w:szCs w:val="20"/>
              </w:rPr>
              <w:t>Local Government</w:t>
            </w:r>
          </w:p>
        </w:tc>
        <w:tc>
          <w:tcPr>
            <w:tcW w:w="243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35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71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800" w:type="dxa"/>
            <w:shd w:val="clear" w:color="auto" w:fill="FFFFFF"/>
            <w:vAlign w:val="center"/>
          </w:tcPr>
          <w:p w:rsidRPr="00D62392" w:rsidR="00B65991" w:rsidP="00D62392" w:rsidRDefault="00B65991">
            <w:pPr>
              <w:spacing w:before="60" w:after="60" w:line="240" w:lineRule="auto"/>
              <w:rPr>
                <w:rFonts w:ascii="Arial" w:hAnsi="Arial" w:cs="Arial"/>
                <w:b/>
                <w:sz w:val="20"/>
                <w:szCs w:val="20"/>
              </w:rPr>
            </w:pPr>
          </w:p>
        </w:tc>
        <w:tc>
          <w:tcPr>
            <w:tcW w:w="1440" w:type="dxa"/>
            <w:shd w:val="clear" w:color="auto" w:fill="auto"/>
            <w:vAlign w:val="center"/>
          </w:tcPr>
          <w:p w:rsidRPr="00D62392" w:rsidR="00B65991" w:rsidP="00D62392" w:rsidRDefault="00B65991">
            <w:pPr>
              <w:spacing w:before="60" w:after="60" w:line="240" w:lineRule="auto"/>
              <w:rPr>
                <w:rFonts w:ascii="Arial" w:hAnsi="Arial" w:cs="Arial"/>
                <w:b/>
                <w:sz w:val="20"/>
                <w:szCs w:val="20"/>
              </w:rPr>
            </w:pPr>
          </w:p>
        </w:tc>
      </w:tr>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ind w:left="432"/>
              <w:contextualSpacing/>
              <w:rPr>
                <w:rFonts w:ascii="Arial" w:hAnsi="Arial" w:cs="Arial"/>
                <w:sz w:val="20"/>
                <w:szCs w:val="20"/>
              </w:rPr>
            </w:pPr>
            <w:r w:rsidRPr="00D62392">
              <w:rPr>
                <w:rFonts w:ascii="Arial" w:hAnsi="Arial" w:cs="Arial"/>
                <w:sz w:val="20"/>
                <w:szCs w:val="20"/>
              </w:rPr>
              <w:t>Private Grants/ Contracts</w:t>
            </w:r>
          </w:p>
        </w:tc>
        <w:tc>
          <w:tcPr>
            <w:tcW w:w="243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35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71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800" w:type="dxa"/>
            <w:shd w:val="clear" w:color="auto" w:fill="FFFFFF"/>
            <w:vAlign w:val="center"/>
          </w:tcPr>
          <w:p w:rsidRPr="00D62392" w:rsidR="00B65991" w:rsidP="00D62392" w:rsidRDefault="00B65991">
            <w:pPr>
              <w:spacing w:before="60" w:after="60" w:line="240" w:lineRule="auto"/>
              <w:rPr>
                <w:rFonts w:ascii="Arial" w:hAnsi="Arial" w:cs="Arial"/>
                <w:b/>
                <w:sz w:val="20"/>
                <w:szCs w:val="20"/>
              </w:rPr>
            </w:pPr>
          </w:p>
        </w:tc>
        <w:tc>
          <w:tcPr>
            <w:tcW w:w="1440" w:type="dxa"/>
            <w:shd w:val="clear" w:color="auto" w:fill="auto"/>
            <w:vAlign w:val="center"/>
          </w:tcPr>
          <w:p w:rsidRPr="00D62392" w:rsidR="00B65991" w:rsidP="00D62392" w:rsidRDefault="00B65991">
            <w:pPr>
              <w:spacing w:before="60" w:after="60" w:line="240" w:lineRule="auto"/>
              <w:rPr>
                <w:rFonts w:ascii="Arial" w:hAnsi="Arial" w:cs="Arial"/>
                <w:b/>
                <w:sz w:val="20"/>
                <w:szCs w:val="20"/>
              </w:rPr>
            </w:pPr>
          </w:p>
        </w:tc>
      </w:tr>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ind w:left="432"/>
              <w:contextualSpacing/>
              <w:rPr>
                <w:rFonts w:ascii="Arial" w:hAnsi="Arial" w:cs="Arial"/>
                <w:sz w:val="20"/>
                <w:szCs w:val="20"/>
              </w:rPr>
            </w:pPr>
            <w:r w:rsidRPr="00D62392">
              <w:rPr>
                <w:rFonts w:ascii="Arial" w:hAnsi="Arial" w:cs="Arial"/>
                <w:sz w:val="20"/>
                <w:szCs w:val="20"/>
              </w:rPr>
              <w:t>Contributions</w:t>
            </w:r>
          </w:p>
        </w:tc>
        <w:tc>
          <w:tcPr>
            <w:tcW w:w="243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35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71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800" w:type="dxa"/>
            <w:shd w:val="clear" w:color="auto" w:fill="FFFFFF"/>
            <w:vAlign w:val="center"/>
          </w:tcPr>
          <w:p w:rsidRPr="00D62392" w:rsidR="00B65991" w:rsidP="00D62392" w:rsidRDefault="00B65991">
            <w:pPr>
              <w:spacing w:before="60" w:after="60" w:line="240" w:lineRule="auto"/>
              <w:rPr>
                <w:rFonts w:ascii="Arial" w:hAnsi="Arial" w:cs="Arial"/>
                <w:b/>
                <w:sz w:val="20"/>
                <w:szCs w:val="20"/>
              </w:rPr>
            </w:pPr>
          </w:p>
        </w:tc>
        <w:tc>
          <w:tcPr>
            <w:tcW w:w="1440" w:type="dxa"/>
            <w:shd w:val="clear" w:color="auto" w:fill="auto"/>
            <w:vAlign w:val="center"/>
          </w:tcPr>
          <w:p w:rsidRPr="00D62392" w:rsidR="00B65991" w:rsidP="00D62392" w:rsidRDefault="00B65991">
            <w:pPr>
              <w:spacing w:before="60" w:after="60" w:line="240" w:lineRule="auto"/>
              <w:rPr>
                <w:rFonts w:ascii="Arial" w:hAnsi="Arial" w:cs="Arial"/>
                <w:b/>
                <w:sz w:val="20"/>
                <w:szCs w:val="20"/>
              </w:rPr>
            </w:pPr>
          </w:p>
        </w:tc>
      </w:tr>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ind w:left="432"/>
              <w:contextualSpacing/>
              <w:rPr>
                <w:rFonts w:ascii="Arial" w:hAnsi="Arial" w:cs="Arial"/>
                <w:sz w:val="20"/>
                <w:szCs w:val="20"/>
              </w:rPr>
            </w:pPr>
            <w:r w:rsidRPr="00D62392">
              <w:rPr>
                <w:rFonts w:ascii="Arial" w:hAnsi="Arial" w:cs="Arial"/>
                <w:sz w:val="20"/>
                <w:szCs w:val="20"/>
              </w:rPr>
              <w:t>Other</w:t>
            </w:r>
          </w:p>
        </w:tc>
        <w:tc>
          <w:tcPr>
            <w:tcW w:w="243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35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71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800" w:type="dxa"/>
            <w:shd w:val="clear" w:color="auto" w:fill="FFFFFF"/>
            <w:vAlign w:val="center"/>
          </w:tcPr>
          <w:p w:rsidRPr="00D62392" w:rsidR="00B65991" w:rsidP="00D62392" w:rsidRDefault="00B65991">
            <w:pPr>
              <w:spacing w:before="60" w:after="60" w:line="240" w:lineRule="auto"/>
              <w:rPr>
                <w:rFonts w:ascii="Arial" w:hAnsi="Arial" w:cs="Arial"/>
                <w:b/>
                <w:sz w:val="20"/>
                <w:szCs w:val="20"/>
              </w:rPr>
            </w:pPr>
          </w:p>
        </w:tc>
        <w:tc>
          <w:tcPr>
            <w:tcW w:w="1440" w:type="dxa"/>
            <w:shd w:val="clear" w:color="auto" w:fill="auto"/>
            <w:vAlign w:val="center"/>
          </w:tcPr>
          <w:p w:rsidRPr="00D62392" w:rsidR="00B65991" w:rsidP="00D62392" w:rsidRDefault="00B65991">
            <w:pPr>
              <w:spacing w:before="60" w:after="60" w:line="240" w:lineRule="auto"/>
              <w:rPr>
                <w:rFonts w:ascii="Arial" w:hAnsi="Arial" w:cs="Arial"/>
                <w:b/>
                <w:sz w:val="20"/>
                <w:szCs w:val="20"/>
              </w:rPr>
            </w:pPr>
          </w:p>
        </w:tc>
      </w:tr>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ind w:left="432"/>
              <w:contextualSpacing/>
              <w:rPr>
                <w:rFonts w:ascii="Arial" w:hAnsi="Arial" w:cs="Arial"/>
                <w:sz w:val="20"/>
                <w:szCs w:val="20"/>
              </w:rPr>
            </w:pPr>
            <w:r w:rsidRPr="00D62392">
              <w:rPr>
                <w:rFonts w:ascii="Arial" w:hAnsi="Arial" w:cs="Arial"/>
                <w:sz w:val="20"/>
                <w:szCs w:val="20"/>
              </w:rPr>
              <w:t>Applicant (Retained Earnings)</w:t>
            </w:r>
          </w:p>
        </w:tc>
        <w:tc>
          <w:tcPr>
            <w:tcW w:w="243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35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71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800" w:type="dxa"/>
            <w:shd w:val="clear" w:color="auto" w:fill="FFFFFF"/>
            <w:vAlign w:val="center"/>
          </w:tcPr>
          <w:p w:rsidRPr="00D62392" w:rsidR="00B65991" w:rsidP="00D62392" w:rsidRDefault="00B65991">
            <w:pPr>
              <w:spacing w:before="60" w:after="60" w:line="240" w:lineRule="auto"/>
              <w:rPr>
                <w:rFonts w:ascii="Arial" w:hAnsi="Arial" w:cs="Arial"/>
                <w:b/>
                <w:sz w:val="20"/>
                <w:szCs w:val="20"/>
              </w:rPr>
            </w:pPr>
          </w:p>
        </w:tc>
        <w:tc>
          <w:tcPr>
            <w:tcW w:w="1440" w:type="dxa"/>
            <w:shd w:val="clear" w:color="auto" w:fill="auto"/>
            <w:vAlign w:val="center"/>
          </w:tcPr>
          <w:p w:rsidRPr="00D62392" w:rsidR="00B65991" w:rsidP="00D62392" w:rsidRDefault="00B65991">
            <w:pPr>
              <w:spacing w:before="60" w:after="60" w:line="240" w:lineRule="auto"/>
              <w:rPr>
                <w:rFonts w:ascii="Arial" w:hAnsi="Arial" w:cs="Arial"/>
                <w:b/>
                <w:sz w:val="20"/>
                <w:szCs w:val="20"/>
              </w:rPr>
            </w:pPr>
          </w:p>
        </w:tc>
      </w:tr>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ind w:left="432"/>
              <w:contextualSpacing/>
              <w:rPr>
                <w:rFonts w:ascii="Arial" w:hAnsi="Arial" w:cs="Arial"/>
                <w:sz w:val="20"/>
                <w:szCs w:val="20"/>
              </w:rPr>
            </w:pPr>
            <w:r w:rsidRPr="00D62392">
              <w:rPr>
                <w:rFonts w:ascii="Arial" w:hAnsi="Arial" w:cs="Arial"/>
                <w:sz w:val="20"/>
                <w:szCs w:val="20"/>
              </w:rPr>
              <w:t>Total Other: (Lines 7-13)</w:t>
            </w:r>
          </w:p>
        </w:tc>
        <w:tc>
          <w:tcPr>
            <w:tcW w:w="243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35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71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800" w:type="dxa"/>
            <w:shd w:val="clear" w:color="auto" w:fill="FFFFFF"/>
            <w:vAlign w:val="center"/>
          </w:tcPr>
          <w:p w:rsidRPr="00D62392" w:rsidR="00B65991" w:rsidP="00D62392" w:rsidRDefault="00B65991">
            <w:pPr>
              <w:spacing w:before="60" w:after="60" w:line="240" w:lineRule="auto"/>
              <w:jc w:val="center"/>
              <w:rPr>
                <w:rFonts w:ascii="Arial" w:hAnsi="Arial" w:cs="Arial"/>
                <w:b/>
                <w:sz w:val="20"/>
                <w:szCs w:val="20"/>
              </w:rPr>
            </w:pPr>
            <w:r w:rsidRPr="00D62392">
              <w:rPr>
                <w:rFonts w:ascii="Arial" w:hAnsi="Arial" w:cs="Arial"/>
                <w:color w:val="FF0000"/>
                <w:sz w:val="20"/>
                <w:szCs w:val="20"/>
              </w:rPr>
              <w:t>will auto-calculate in EHB</w:t>
            </w:r>
          </w:p>
        </w:tc>
        <w:tc>
          <w:tcPr>
            <w:tcW w:w="1440" w:type="dxa"/>
            <w:shd w:val="clear" w:color="auto" w:fill="auto"/>
            <w:vAlign w:val="center"/>
          </w:tcPr>
          <w:p w:rsidRPr="00D62392" w:rsidR="00B65991" w:rsidP="00D62392" w:rsidRDefault="00B65991">
            <w:pPr>
              <w:spacing w:before="60" w:after="60" w:line="240" w:lineRule="auto"/>
              <w:jc w:val="center"/>
              <w:rPr>
                <w:rFonts w:ascii="Arial" w:hAnsi="Arial" w:cs="Arial"/>
                <w:b/>
                <w:sz w:val="20"/>
                <w:szCs w:val="20"/>
              </w:rPr>
            </w:pPr>
            <w:r w:rsidRPr="00D62392">
              <w:rPr>
                <w:rFonts w:ascii="Arial" w:hAnsi="Arial" w:cs="Arial"/>
                <w:color w:val="FF0000"/>
                <w:sz w:val="20"/>
                <w:szCs w:val="20"/>
              </w:rPr>
              <w:t>will auto-calculate in EHB</w:t>
            </w:r>
          </w:p>
        </w:tc>
      </w:tr>
    </w:tbl>
    <w:p w:rsidRPr="00B65991" w:rsidR="00B65991" w:rsidP="00D62392" w:rsidRDefault="00B65991">
      <w:pPr>
        <w:keepNext/>
        <w:pBdr>
          <w:top w:val="single" w:color="A6A6A6" w:sz="4" w:space="1"/>
          <w:left w:val="single" w:color="A6A6A6" w:sz="4" w:space="0"/>
          <w:bottom w:val="single" w:color="A6A6A6" w:sz="4" w:space="1"/>
          <w:right w:val="single" w:color="A6A6A6" w:sz="4" w:space="4"/>
          <w:between w:val="single" w:color="A6A6A6" w:sz="4" w:space="1"/>
          <w:bar w:val="single" w:color="A6A6A6" w:sz="4"/>
        </w:pBdr>
        <w:shd w:val="clear" w:color="auto" w:fill="95B3D7"/>
        <w:spacing w:after="0"/>
        <w:ind w:left="-720" w:right="-634" w:firstLine="86"/>
        <w:rPr>
          <w:rFonts w:ascii="Arial" w:hAnsi="Arial" w:cs="Arial"/>
          <w:b/>
          <w:sz w:val="20"/>
          <w:szCs w:val="20"/>
        </w:rPr>
      </w:pPr>
      <w:r w:rsidRPr="00B65991">
        <w:rPr>
          <w:rFonts w:ascii="Arial" w:hAnsi="Arial" w:cs="Arial"/>
          <w:b/>
          <w:sz w:val="20"/>
          <w:szCs w:val="20"/>
        </w:rPr>
        <w:t xml:space="preserve">Total Non-Federal (Non-Health Center Program) Income (Program Income </w:t>
      </w:r>
      <w:proofErr w:type="gramStart"/>
      <w:r w:rsidRPr="00B65991">
        <w:rPr>
          <w:rFonts w:ascii="Arial" w:hAnsi="Arial" w:cs="Arial"/>
          <w:b/>
          <w:sz w:val="20"/>
          <w:szCs w:val="20"/>
        </w:rPr>
        <w:t>Plus</w:t>
      </w:r>
      <w:proofErr w:type="gramEnd"/>
      <w:r w:rsidRPr="00B65991">
        <w:rPr>
          <w:rFonts w:ascii="Arial" w:hAnsi="Arial" w:cs="Arial"/>
          <w:b/>
          <w:sz w:val="20"/>
          <w:szCs w:val="20"/>
        </w:rPr>
        <w:t xml:space="preserve"> Other)</w:t>
      </w:r>
    </w:p>
    <w:tbl>
      <w:tblPr>
        <w:tblW w:w="10800" w:type="dxa"/>
        <w:tblInd w:w="-612"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Look w:val="04A0" w:firstRow="1" w:lastRow="0" w:firstColumn="1" w:lastColumn="0" w:noHBand="0" w:noVBand="1"/>
      </w:tblPr>
      <w:tblGrid>
        <w:gridCol w:w="2070"/>
        <w:gridCol w:w="2430"/>
        <w:gridCol w:w="1350"/>
        <w:gridCol w:w="1710"/>
        <w:gridCol w:w="1440"/>
        <w:gridCol w:w="1800"/>
      </w:tblGrid>
      <w:tr w:rsidRPr="00D62392" w:rsidR="004056A2" w:rsidTr="004056A2">
        <w:trPr>
          <w:cantSplit/>
          <w:tblHeader/>
        </w:trPr>
        <w:tc>
          <w:tcPr>
            <w:tcW w:w="2070" w:type="dxa"/>
            <w:shd w:val="clear" w:color="auto" w:fill="DBE5F1"/>
            <w:vAlign w:val="center"/>
          </w:tcPr>
          <w:p w:rsidRPr="00D62392" w:rsidR="00B65991" w:rsidP="00D62392" w:rsidRDefault="00B65991">
            <w:pPr>
              <w:spacing w:before="60" w:after="60" w:line="240" w:lineRule="auto"/>
              <w:ind w:left="72"/>
              <w:rPr>
                <w:rFonts w:ascii="Arial" w:hAnsi="Arial" w:cs="Arial"/>
                <w:sz w:val="20"/>
                <w:szCs w:val="20"/>
              </w:rPr>
            </w:pPr>
            <w:r w:rsidRPr="00D62392">
              <w:rPr>
                <w:rFonts w:ascii="Arial" w:hAnsi="Arial" w:cs="Arial"/>
                <w:b/>
                <w:sz w:val="20"/>
                <w:szCs w:val="20"/>
              </w:rPr>
              <w:t>Payer Category</w:t>
            </w:r>
          </w:p>
        </w:tc>
        <w:tc>
          <w:tcPr>
            <w:tcW w:w="2430" w:type="dxa"/>
            <w:shd w:val="clear" w:color="auto" w:fill="DBE5F1"/>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b/>
                <w:sz w:val="20"/>
                <w:szCs w:val="20"/>
              </w:rPr>
              <w:t xml:space="preserve">Patients by Primary Medical Insurance (a)           </w:t>
            </w:r>
          </w:p>
        </w:tc>
        <w:tc>
          <w:tcPr>
            <w:tcW w:w="1350" w:type="dxa"/>
            <w:shd w:val="clear" w:color="auto" w:fill="DBE5F1"/>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b/>
                <w:sz w:val="20"/>
                <w:szCs w:val="20"/>
              </w:rPr>
              <w:t>Billable Visits (b)</w:t>
            </w:r>
          </w:p>
        </w:tc>
        <w:tc>
          <w:tcPr>
            <w:tcW w:w="1710" w:type="dxa"/>
            <w:shd w:val="clear" w:color="auto" w:fill="DBE5F1"/>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b/>
                <w:sz w:val="20"/>
                <w:szCs w:val="20"/>
              </w:rPr>
              <w:t>Income per Visit (c)</w:t>
            </w:r>
          </w:p>
        </w:tc>
        <w:tc>
          <w:tcPr>
            <w:tcW w:w="1440" w:type="dxa"/>
            <w:shd w:val="clear" w:color="auto" w:fill="DBE5F1"/>
            <w:vAlign w:val="center"/>
          </w:tcPr>
          <w:p w:rsidRPr="00D62392" w:rsidR="00B65991" w:rsidP="00D62392" w:rsidRDefault="00B65991">
            <w:pPr>
              <w:spacing w:before="60" w:after="60" w:line="240" w:lineRule="auto"/>
              <w:jc w:val="center"/>
              <w:rPr>
                <w:rFonts w:ascii="Arial" w:hAnsi="Arial" w:cs="Arial"/>
                <w:color w:val="FF0000"/>
                <w:sz w:val="20"/>
                <w:szCs w:val="20"/>
              </w:rPr>
            </w:pPr>
            <w:r w:rsidRPr="00D62392">
              <w:rPr>
                <w:rFonts w:ascii="Arial" w:hAnsi="Arial" w:cs="Arial"/>
                <w:b/>
                <w:sz w:val="20"/>
                <w:szCs w:val="20"/>
              </w:rPr>
              <w:t>Projected Income (d)</w:t>
            </w:r>
          </w:p>
        </w:tc>
        <w:tc>
          <w:tcPr>
            <w:tcW w:w="1800" w:type="dxa"/>
            <w:shd w:val="clear" w:color="auto" w:fill="DBE5F1"/>
            <w:vAlign w:val="center"/>
          </w:tcPr>
          <w:p w:rsidRPr="00D62392" w:rsidR="00B65991" w:rsidP="00D62392" w:rsidRDefault="00B65991">
            <w:pPr>
              <w:spacing w:before="60" w:after="60" w:line="240" w:lineRule="auto"/>
              <w:jc w:val="center"/>
              <w:rPr>
                <w:rFonts w:ascii="Arial" w:hAnsi="Arial" w:cs="Arial"/>
                <w:color w:val="FF0000"/>
                <w:sz w:val="20"/>
                <w:szCs w:val="20"/>
              </w:rPr>
            </w:pPr>
            <w:r w:rsidRPr="00D62392">
              <w:rPr>
                <w:rFonts w:ascii="Arial" w:hAnsi="Arial" w:cs="Arial"/>
                <w:b/>
                <w:sz w:val="20"/>
                <w:szCs w:val="20"/>
              </w:rPr>
              <w:t>Prior FY Income (e)</w:t>
            </w:r>
          </w:p>
        </w:tc>
      </w:tr>
      <w:tr w:rsidRPr="00D62392" w:rsidR="004056A2" w:rsidTr="004056A2">
        <w:trPr>
          <w:tblHeader/>
        </w:trPr>
        <w:tc>
          <w:tcPr>
            <w:tcW w:w="2070" w:type="dxa"/>
            <w:shd w:val="clear" w:color="auto" w:fill="auto"/>
            <w:vAlign w:val="center"/>
          </w:tcPr>
          <w:p w:rsidRPr="00D62392" w:rsidR="00B65991" w:rsidP="00D62392" w:rsidRDefault="00B65991">
            <w:pPr>
              <w:numPr>
                <w:ilvl w:val="0"/>
                <w:numId w:val="1"/>
              </w:numPr>
              <w:spacing w:before="60" w:after="60" w:line="240" w:lineRule="auto"/>
              <w:contextualSpacing/>
              <w:rPr>
                <w:rFonts w:ascii="Arial" w:hAnsi="Arial" w:cs="Arial"/>
                <w:sz w:val="20"/>
                <w:szCs w:val="20"/>
              </w:rPr>
            </w:pPr>
            <w:r w:rsidRPr="00D62392">
              <w:rPr>
                <w:rFonts w:ascii="Arial" w:hAnsi="Arial" w:cs="Arial"/>
                <w:sz w:val="20"/>
                <w:szCs w:val="20"/>
              </w:rPr>
              <w:t>Total Non-Federal (Lines 6+14)</w:t>
            </w:r>
          </w:p>
        </w:tc>
        <w:tc>
          <w:tcPr>
            <w:tcW w:w="243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35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710" w:type="dxa"/>
            <w:shd w:val="clear" w:color="auto" w:fill="BFBFBF"/>
            <w:vAlign w:val="center"/>
          </w:tcPr>
          <w:p w:rsidRPr="00D62392" w:rsidR="00B65991" w:rsidP="00D62392" w:rsidRDefault="00B65991">
            <w:pPr>
              <w:spacing w:before="60" w:after="60" w:line="240" w:lineRule="auto"/>
              <w:jc w:val="center"/>
              <w:rPr>
                <w:rFonts w:ascii="Arial" w:hAnsi="Arial" w:cs="Arial"/>
                <w:sz w:val="20"/>
                <w:szCs w:val="20"/>
              </w:rPr>
            </w:pPr>
            <w:r w:rsidRPr="00D62392">
              <w:rPr>
                <w:rFonts w:ascii="Arial" w:hAnsi="Arial" w:cs="Arial"/>
                <w:sz w:val="20"/>
                <w:szCs w:val="20"/>
              </w:rPr>
              <w:t>N/A</w:t>
            </w:r>
          </w:p>
        </w:tc>
        <w:tc>
          <w:tcPr>
            <w:tcW w:w="1440" w:type="dxa"/>
            <w:shd w:val="clear" w:color="auto" w:fill="FFFFFF"/>
            <w:vAlign w:val="center"/>
          </w:tcPr>
          <w:p w:rsidRPr="00D62392" w:rsidR="00B65991" w:rsidP="00D62392" w:rsidRDefault="00B65991">
            <w:pPr>
              <w:spacing w:before="60" w:after="60" w:line="240" w:lineRule="auto"/>
              <w:jc w:val="center"/>
              <w:rPr>
                <w:rFonts w:ascii="Arial" w:hAnsi="Arial" w:cs="Arial"/>
                <w:b/>
                <w:sz w:val="20"/>
                <w:szCs w:val="20"/>
              </w:rPr>
            </w:pPr>
            <w:r w:rsidRPr="00D62392">
              <w:rPr>
                <w:rFonts w:ascii="Arial" w:hAnsi="Arial" w:cs="Arial"/>
                <w:color w:val="FF0000"/>
                <w:sz w:val="20"/>
                <w:szCs w:val="20"/>
              </w:rPr>
              <w:t>will auto-calculate in EHB</w:t>
            </w:r>
          </w:p>
        </w:tc>
        <w:tc>
          <w:tcPr>
            <w:tcW w:w="1800" w:type="dxa"/>
            <w:shd w:val="clear" w:color="auto" w:fill="auto"/>
            <w:vAlign w:val="center"/>
          </w:tcPr>
          <w:p w:rsidRPr="00D62392" w:rsidR="00B65991" w:rsidP="00D62392" w:rsidRDefault="00B65991">
            <w:pPr>
              <w:spacing w:before="60" w:after="60" w:line="240" w:lineRule="auto"/>
              <w:jc w:val="center"/>
              <w:rPr>
                <w:rFonts w:ascii="Arial" w:hAnsi="Arial" w:cs="Arial"/>
                <w:b/>
                <w:sz w:val="20"/>
                <w:szCs w:val="20"/>
              </w:rPr>
            </w:pPr>
            <w:r w:rsidRPr="00D62392">
              <w:rPr>
                <w:rFonts w:ascii="Arial" w:hAnsi="Arial" w:cs="Arial"/>
                <w:color w:val="FF0000"/>
                <w:sz w:val="20"/>
                <w:szCs w:val="20"/>
              </w:rPr>
              <w:t>will auto-calculate in EHB</w:t>
            </w:r>
          </w:p>
        </w:tc>
      </w:tr>
    </w:tbl>
    <w:p w:rsidRPr="00B65991" w:rsidR="004F4B73" w:rsidP="00D62392" w:rsidRDefault="004F4B73">
      <w:pPr>
        <w:keepNext/>
        <w:pBdr>
          <w:top w:val="single" w:color="A6A6A6" w:sz="4" w:space="1"/>
          <w:left w:val="single" w:color="A6A6A6" w:sz="4" w:space="0"/>
          <w:bottom w:val="single" w:color="A6A6A6" w:sz="4" w:space="1"/>
          <w:right w:val="single" w:color="A6A6A6" w:sz="4" w:space="9"/>
          <w:between w:val="single" w:color="A6A6A6" w:sz="4" w:space="1"/>
          <w:bar w:val="single" w:color="A6A6A6" w:sz="4"/>
        </w:pBdr>
        <w:shd w:val="clear" w:color="auto" w:fill="95B3D7"/>
        <w:spacing w:after="0"/>
        <w:ind w:left="-720" w:right="-634" w:firstLine="86"/>
        <w:rPr>
          <w:rFonts w:ascii="Arial" w:hAnsi="Arial" w:cs="Arial"/>
          <w:b/>
          <w:sz w:val="20"/>
          <w:szCs w:val="20"/>
        </w:rPr>
      </w:pPr>
      <w:r w:rsidRPr="004F4B73">
        <w:rPr>
          <w:rFonts w:ascii="Arial" w:hAnsi="Arial" w:cs="Arial"/>
          <w:b/>
          <w:sz w:val="20"/>
          <w:szCs w:val="20"/>
        </w:rPr>
        <w:t>Comments/Explanatory Notes (if applicable)</w:t>
      </w:r>
    </w:p>
    <w:tbl>
      <w:tblPr>
        <w:tblW w:w="10814" w:type="dxa"/>
        <w:tblInd w:w="-612"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Look w:val="04A0" w:firstRow="1" w:lastRow="0" w:firstColumn="1" w:lastColumn="0" w:noHBand="0" w:noVBand="1"/>
        <w:tblPrChange w:author="Karen Fitzgerald" w:date="2020-02-21T09:03:00Z" w:id="2">
          <w:tblPr>
            <w:tblW w:w="10800" w:type="dxa"/>
            <w:tblInd w:w="-612"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Look w:val="04A0" w:firstRow="1" w:lastRow="0" w:firstColumn="1" w:lastColumn="0" w:noHBand="0" w:noVBand="1"/>
          </w:tblPr>
        </w:tblPrChange>
      </w:tblPr>
      <w:tblGrid>
        <w:gridCol w:w="10814"/>
        <w:tblGridChange w:id="3">
          <w:tblGrid>
            <w:gridCol w:w="10800"/>
          </w:tblGrid>
        </w:tblGridChange>
      </w:tblGrid>
      <w:tr w:rsidRPr="00D62392" w:rsidR="004056A2" w:rsidTr="007F5057">
        <w:trPr>
          <w:trHeight w:val="350"/>
          <w:tblHeader/>
          <w:trPrChange w:author="Karen Fitzgerald" w:date="2020-02-21T09:03:00Z" w:id="4">
            <w:trPr>
              <w:trHeight w:val="1115"/>
              <w:tblHeader/>
            </w:trPr>
          </w:trPrChange>
        </w:trPr>
        <w:tc>
          <w:tcPr>
            <w:tcW w:w="10814" w:type="dxa"/>
            <w:shd w:val="clear" w:color="auto" w:fill="auto"/>
            <w:vAlign w:val="center"/>
            <w:tcPrChange w:author="Karen Fitzgerald" w:date="2020-02-21T09:03:00Z" w:id="5">
              <w:tcPr>
                <w:tcW w:w="10800" w:type="dxa"/>
                <w:shd w:val="clear" w:color="auto" w:fill="auto"/>
                <w:vAlign w:val="center"/>
              </w:tcPr>
            </w:tcPrChange>
          </w:tcPr>
          <w:p w:rsidRPr="00D62392" w:rsidR="004F4B73" w:rsidP="007F5057" w:rsidRDefault="004F4B73">
            <w:pPr>
              <w:spacing w:before="60" w:after="60" w:line="240" w:lineRule="auto"/>
              <w:contextualSpacing/>
              <w:rPr>
                <w:rFonts w:ascii="Arial" w:hAnsi="Arial" w:cs="Arial"/>
                <w:sz w:val="20"/>
                <w:szCs w:val="20"/>
              </w:rPr>
            </w:pPr>
          </w:p>
        </w:tc>
      </w:tr>
    </w:tbl>
    <w:p w:rsidR="004F4B73" w:rsidDel="005801BD" w:rsidP="007F5057" w:rsidRDefault="004F4B73">
      <w:pPr>
        <w:spacing w:before="60" w:after="60" w:line="240" w:lineRule="auto"/>
        <w:ind w:left="-630" w:right="-720"/>
        <w:rPr>
          <w:rFonts w:ascii="Arial" w:hAnsi="Arial" w:cs="Arial"/>
          <w:color w:val="000000"/>
          <w:sz w:val="16"/>
          <w:szCs w:val="16"/>
        </w:rPr>
      </w:pPr>
    </w:p>
    <w:p w:rsidR="004F4B73" w:rsidDel="007F5057" w:rsidP="007F5057" w:rsidRDefault="004F4B73">
      <w:pPr>
        <w:spacing w:before="60" w:after="60" w:line="240" w:lineRule="auto"/>
        <w:ind w:left="-630" w:right="-720"/>
        <w:rPr>
          <w:rFonts w:ascii="Arial" w:hAnsi="Arial" w:cs="Arial"/>
          <w:color w:val="000000"/>
          <w:sz w:val="16"/>
          <w:szCs w:val="16"/>
        </w:rPr>
      </w:pPr>
    </w:p>
    <w:p w:rsidRPr="007F5057" w:rsidR="00B65991" w:rsidDel="005801BD" w:rsidP="007F5057" w:rsidRDefault="007F5057">
      <w:pPr>
        <w:spacing w:after="0" w:line="240" w:lineRule="auto"/>
        <w:ind w:left="-630" w:right="-720"/>
        <w:rPr>
          <w:rFonts w:cs="Calibri"/>
          <w:color w:val="000000"/>
          <w:sz w:val="16"/>
          <w:szCs w:val="16"/>
          <w:rPrChange w:author="Karen Fitzgerald" w:date="2020-02-21T09:03:00Z" w:id="12">
            <w:rPr>
              <w:rFonts w:ascii="Arial" w:hAnsi="Arial" w:cs="Arial"/>
              <w:color w:val="000000"/>
              <w:sz w:val="16"/>
              <w:szCs w:val="16"/>
            </w:rPr>
          </w:rPrChange>
        </w:rPr>
      </w:pPr>
      <w:r xmlns:w="http://schemas.openxmlformats.org/wordprocessingml/2006/main" w:rsidRPr="007F5057">
        <w:rPr>
          <w:rFonts w:cs="Calibr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xmlns:w="http://schemas.openxmlformats.org/wordprocessingml/2006/main" w:rsidRPr="007F5057">
        <w:rPr>
          <w:rFonts w:cs="Calibri"/>
          <w:color w:val="000000"/>
          <w:sz w:val="16"/>
          <w:szCs w:val="16"/>
        </w:rPr>
        <w:t xml:space="preserve">.  </w:t>
      </w:r>
      <w:r xmlns:w="http://schemas.openxmlformats.org/wordprocessingml/2006/main" w:rsidRPr="007F5057">
        <w:rPr>
          <w:rFonts w:cs="Calibri"/>
          <w:color w:val="000000"/>
          <w:sz w:val="16"/>
          <w:szCs w:val="16"/>
        </w:rPr>
        <w:fldChar w:fldCharType="end"/>
      </w:r>
      <w:r xmlns:w="http://schemas.openxmlformats.org/wordprocessingml/2006/main" w:rsidRPr="007F5057">
        <w:rPr>
          <w:rStyle w:val="Hyperlink"/>
          <w:rFonts w:cs="Calibri"/>
          <w:sz w:val="16"/>
          <w:szCs w:val="16"/>
        </w:rPr>
        <w:t>paperwork@hrsa.gov</w:t>
      </w:r>
      <w:r xmlns:w="http://schemas.openxmlformats.org/wordprocessingml/2006/main" w:rsidRPr="007F5057">
        <w:rPr>
          <w:rFonts w:cs="Calibri"/>
          <w:color w:val="000000"/>
          <w:sz w:val="16"/>
          <w:szCs w:val="16"/>
        </w:rPr>
        <w:fldChar w:fldCharType="separate"/>
      </w:r>
      <w:r xmlns:w="http://schemas.openxmlformats.org/wordprocessingml/2006/main" w:rsidRPr="007F5057">
        <w:rPr>
          <w:rFonts w:cs="Calibri"/>
          <w:color w:val="000000"/>
          <w:sz w:val="16"/>
          <w:szCs w:val="16"/>
        </w:rPr>
        <w:instrText xml:space="preserve"> HYPERLINK "https://sharepoint.hrsa.gov/sites/bphc/oppd/ED1/OMB%20Forms%20Approval%202020/paperwork@hrsa.gov" </w:instrText>
      </w:r>
      <w:r xmlns:w="http://schemas.openxmlformats.org/wordprocessingml/2006/main" w:rsidRPr="007F5057">
        <w:rPr>
          <w:rFonts w:cs="Calibri"/>
          <w:color w:val="000000"/>
          <w:sz w:val="16"/>
          <w:szCs w:val="16"/>
        </w:rPr>
        <w:fldChar w:fldCharType="begin"/>
      </w:r>
      <w:r xmlns:w="http://schemas.openxmlformats.org/wordprocessingml/2006/main" w:rsidRPr="007F5057">
        <w:rPr>
          <w:rFonts w:cs="Calibri"/>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xmlns:w="http://schemas.openxmlformats.org/wordprocessingml/2006/main" w:rsidR="00625729">
        <w:rPr>
          <w:rFonts w:cs="Calibri"/>
          <w:color w:val="000000"/>
          <w:sz w:val="16"/>
          <w:szCs w:val="16"/>
        </w:rPr>
        <w:t xml:space="preserve"> to average 1 hour</w:t>
      </w:r>
      <w:r xmlns:w="http://schemas.openxmlformats.org/wordprocessingml/2006/main" w:rsidR="00625729">
        <w:rPr>
          <w:rFonts w:cs="Calibri"/>
          <w:color w:val="000000"/>
          <w:sz w:val="16"/>
          <w:szCs w:val="16"/>
        </w:rPr>
        <w:t>is estimated</w:t>
      </w:r>
      <w:r xmlns:w="http://schemas.openxmlformats.org/wordprocessingml/2006/main" w:rsidR="00625729">
        <w:rPr>
          <w:rFonts w:cs="Calibri"/>
          <w:color w:val="000000"/>
          <w:sz w:val="16"/>
          <w:szCs w:val="16"/>
        </w:rPr>
        <w:t xml:space="preserve"> </w:t>
      </w:r>
      <w:r xmlns:w="http://schemas.openxmlformats.org/wordprocessingml/2006/main" w:rsidRPr="007F5057">
        <w:rPr>
          <w:rFonts w:cs="Calibri"/>
          <w:color w:val="000000"/>
          <w:sz w:val="16"/>
          <w:szCs w:val="16"/>
        </w:rPr>
        <w:t>). Public reporting burden for this collection of information</w:t>
      </w:r>
      <w:r xmlns:w="http://schemas.openxmlformats.org/wordprocessingml/2006/main" w:rsidRPr="007F5057">
        <w:rPr>
          <w:rFonts w:cs="Calibri"/>
          <w:color w:val="000000"/>
          <w:sz w:val="16"/>
          <w:szCs w:val="16"/>
        </w:rPr>
        <w:fldChar w:fldCharType="end"/>
      </w:r>
      <w:r xmlns:w="http://schemas.openxmlformats.org/wordprocessingml/2006/main" w:rsidRPr="007F5057">
        <w:rPr>
          <w:rStyle w:val="Hyperlink"/>
          <w:rFonts w:cs="Calibri"/>
          <w:sz w:val="16"/>
          <w:szCs w:val="16"/>
        </w:rPr>
        <w:t>42 U.S.C. 254b</w:t>
      </w:r>
      <w:r xmlns:w="http://schemas.openxmlformats.org/wordprocessingml/2006/main" w:rsidRPr="007F5057">
        <w:rPr>
          <w:rFonts w:cs="Calibri"/>
          <w:color w:val="000000"/>
          <w:sz w:val="16"/>
          <w:szCs w:val="16"/>
        </w:rPr>
        <w:fldChar w:fldCharType="separate"/>
      </w:r>
      <w:r xmlns:w="http://schemas.openxmlformats.org/wordprocessingml/2006/main" w:rsidRPr="007F5057">
        <w:rPr>
          <w:rFonts w:cs="Calibri"/>
          <w:color w:val="000000"/>
          <w:sz w:val="16"/>
          <w:szCs w:val="16"/>
        </w:rPr>
        <w:instrText xml:space="preserve"> HYPERLINK "http://uscode.house.gov/view.xhtml?req=granuleid:USC-prelim-title42-section254b&amp;num=0&amp;edition=prelim" </w:instrText>
      </w:r>
      <w:r xmlns:w="http://schemas.openxmlformats.org/wordprocessingml/2006/main" w:rsidRPr="007F5057">
        <w:rPr>
          <w:rFonts w:cs="Calibri"/>
          <w:color w:val="000000"/>
          <w:sz w:val="16"/>
          <w:szCs w:val="16"/>
        </w:rPr>
        <w:fldChar w:fldCharType="begin"/>
      </w:r>
      <w:r xmlns:w="http://schemas.openxmlformats.org/wordprocessingml/2006/main" w:rsidRPr="007F5057">
        <w:rPr>
          <w:rFonts w:cs="Calibr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r xmlns:w="http://schemas.openxmlformats.org/wordprocessingml/2006/main" w:rsidRPr="007F5057">
        <w:rPr>
          <w:rFonts w:cs="Calibri"/>
          <w:sz w:val="16"/>
          <w:szCs w:val="16"/>
        </w:rPr>
        <w:t xml:space="preserve"> for application evaluation; funding recommendation and approval; designation; and monitoring.  </w:t>
      </w:r>
      <w:r xmlns:w="http://schemas.openxmlformats.org/wordprocessingml/2006/main" w:rsidRPr="007F5057">
        <w:rPr>
          <w:rFonts w:cs="Calibri"/>
          <w:sz w:val="16"/>
          <w:szCs w:val="16"/>
        </w:rPr>
        <w:t>objective review committee panels</w:t>
      </w:r>
      <w:r xmlns:w="http://schemas.openxmlformats.org/wordprocessingml/2006/main" w:rsidRPr="007F5057">
        <w:rPr>
          <w:rFonts w:cs="Calibri"/>
          <w:sz w:val="16"/>
          <w:szCs w:val="16"/>
        </w:rPr>
        <w:t xml:space="preserve">The Health Center Program application forms provide essential information to HRSA staff and </w:t>
      </w:r>
    </w:p>
    <w:p w:rsidR="00AA59E4" w:rsidP="007F5057" w:rsidRDefault="00AA59E4">
      <w:pPr>
        <w:spacing w:before="60" w:after="60" w:line="240" w:lineRule="auto"/>
        <w:ind w:left="-630" w:right="-720"/>
      </w:pPr>
    </w:p>
    <w:sectPr w:rsidR="00AA59E4" w:rsidSect="005801BD">
      <w:pgSz w:w="12240" w:h="15840"/>
      <w:pgMar w:top="180" w:right="1440" w:bottom="90" w:left="1440" w:header="720" w:footer="720" w:gutter="0"/>
      <w:cols w:space="720"/>
      <w:docGrid w:linePitch="360"/>
      <w:sectPrChange w:author="Karen Fitzgerald" w:date="2019-11-06T08:18:00Z" w:id="21">
        <w:sectPr w:rsidR="00AA59E4" w:rsidSect="005801BD">
          <w:pgMar w:top="1440" w:right="1440" w:bottom="1440" w:left="144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809EA"/>
    <w:multiLevelType w:val="hybridMultilevel"/>
    <w:tmpl w:val="9348DBDC"/>
    <w:lvl w:ilvl="0" w:tplc="F8E03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E7E02"/>
    <w:multiLevelType w:val="hybridMultilevel"/>
    <w:tmpl w:val="9348DBDC"/>
    <w:lvl w:ilvl="0" w:tplc="F8E03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991"/>
    <w:rsid w:val="00053EA7"/>
    <w:rsid w:val="004056A2"/>
    <w:rsid w:val="0046159F"/>
    <w:rsid w:val="0046214E"/>
    <w:rsid w:val="004F4B73"/>
    <w:rsid w:val="005801BD"/>
    <w:rsid w:val="00625729"/>
    <w:rsid w:val="007F5057"/>
    <w:rsid w:val="00912E94"/>
    <w:rsid w:val="00AA59E4"/>
    <w:rsid w:val="00AC4734"/>
    <w:rsid w:val="00B548F0"/>
    <w:rsid w:val="00B65991"/>
    <w:rsid w:val="00D62392"/>
    <w:rsid w:val="00D94AF8"/>
    <w:rsid w:val="00E85204"/>
    <w:rsid w:val="00ED6432"/>
    <w:rsid w:val="00F84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5D0E27E-E892-4276-81B7-B6F3C85F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59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5991"/>
    <w:rPr>
      <w:rFonts w:ascii="Tahoma" w:hAnsi="Tahoma" w:cs="Tahoma"/>
      <w:sz w:val="16"/>
      <w:szCs w:val="16"/>
    </w:rPr>
  </w:style>
  <w:style w:type="character" w:styleId="CommentReference">
    <w:name w:val="annotation reference"/>
    <w:uiPriority w:val="99"/>
    <w:semiHidden/>
    <w:unhideWhenUsed/>
    <w:rsid w:val="00AC4734"/>
    <w:rPr>
      <w:sz w:val="16"/>
      <w:szCs w:val="16"/>
    </w:rPr>
  </w:style>
  <w:style w:type="paragraph" w:styleId="CommentText">
    <w:name w:val="annotation text"/>
    <w:basedOn w:val="Normal"/>
    <w:link w:val="CommentTextChar"/>
    <w:uiPriority w:val="99"/>
    <w:semiHidden/>
    <w:unhideWhenUsed/>
    <w:rsid w:val="00AC4734"/>
    <w:pPr>
      <w:spacing w:line="240" w:lineRule="auto"/>
    </w:pPr>
    <w:rPr>
      <w:sz w:val="20"/>
      <w:szCs w:val="20"/>
    </w:rPr>
  </w:style>
  <w:style w:type="character" w:customStyle="1" w:styleId="CommentTextChar">
    <w:name w:val="Comment Text Char"/>
    <w:link w:val="CommentText"/>
    <w:uiPriority w:val="99"/>
    <w:semiHidden/>
    <w:rsid w:val="00AC4734"/>
    <w:rPr>
      <w:sz w:val="20"/>
      <w:szCs w:val="20"/>
    </w:rPr>
  </w:style>
  <w:style w:type="character" w:styleId="Hyperlink">
    <w:name w:val="Hyperlink"/>
    <w:uiPriority w:val="99"/>
    <w:semiHidden/>
    <w:unhideWhenUsed/>
    <w:rsid w:val="007F5057"/>
    <w:rPr>
      <w:color w:val="00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35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3ff120d-8bd5-4291-a148-70db8d7e9204" ContentTypeId="0x01" PreviousValue="false"/>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19467568-BA4C-49E6-B11D-721309EA496A}">
  <ds:schemaRefs>
    <ds:schemaRef ds:uri="http://schemas.microsoft.com/sharepoint/v3/contenttype/forms"/>
  </ds:schemaRefs>
</ds:datastoreItem>
</file>

<file path=customXml/itemProps2.xml><?xml version="1.0" encoding="utf-8"?>
<ds:datastoreItem xmlns:ds="http://schemas.openxmlformats.org/officeDocument/2006/customXml" ds:itemID="{A677BF13-1E5B-4230-BD79-5D4B49FD8139}">
  <ds:schemaRefs>
    <ds:schemaRef ds:uri="Microsoft.SharePoint.Taxonomy.ContentTypeSync"/>
  </ds:schemaRefs>
</ds:datastoreItem>
</file>

<file path=customXml/itemProps3.xml><?xml version="1.0" encoding="utf-8"?>
<ds:datastoreItem xmlns:ds="http://schemas.openxmlformats.org/officeDocument/2006/customXml" ds:itemID="{1D1A974C-6C05-4B06-97A5-0539EF630CA4}">
  <ds:schemaRefs>
    <ds:schemaRef ds:uri="http://schemas.microsoft.com/office/2006/metadata/longProperties"/>
  </ds:schemaRefs>
</ds:datastoreItem>
</file>

<file path=customXml/itemProps4.xml><?xml version="1.0" encoding="utf-8"?>
<ds:datastoreItem xmlns:ds="http://schemas.openxmlformats.org/officeDocument/2006/customXml" ds:itemID="{FC521F64-3B2B-4CF2-8254-64B9B5A2D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F66DFF-4C17-4B67-AAF6-65F805582687}">
  <ds:schemaRefs>
    <ds:schemaRef ds:uri="http://schemas.microsoft.com/sharepoint/events"/>
  </ds:schemaRefs>
</ds:datastoreItem>
</file>

<file path=customXml/itemProps6.xml><?xml version="1.0" encoding="utf-8"?>
<ds:datastoreItem xmlns:ds="http://schemas.openxmlformats.org/officeDocument/2006/customXml" ds:itemID="{4F8DD3E4-2508-499E-ADF7-93A04C2B7C1E}">
  <ds:schemaRef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053a5afd-1424-405b-82d9-63deec7446f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Form 3 - 2017</vt:lpstr>
    </vt:vector>
  </TitlesOfParts>
  <Company>HRSA</Company>
  <LinksUpToDate>false</LinksUpToDate>
  <CharactersWithSpaces>3780</CharactersWithSpaces>
  <SharedDoc>false</SharedDoc>
  <HLinks>
    <vt:vector size="12" baseType="variant">
      <vt:variant>
        <vt:i4>4391026</vt:i4>
      </vt:variant>
      <vt:variant>
        <vt:i4>3</vt:i4>
      </vt:variant>
      <vt:variant>
        <vt:i4>0</vt:i4>
      </vt:variant>
      <vt:variant>
        <vt:i4>5</vt:i4>
      </vt:variant>
      <vt:variant>
        <vt:lpwstr>https://sharepoint.hrsa.gov/sites/bphc/oppd/ED1/OMB Forms Approval 2020/paperwork@hrsa.gov</vt:lpwstr>
      </vt:variant>
      <vt:variant>
        <vt:lpwstr/>
      </vt:variant>
      <vt:variant>
        <vt:i4>5242907</vt:i4>
      </vt:variant>
      <vt:variant>
        <vt:i4>0</vt:i4>
      </vt:variant>
      <vt:variant>
        <vt:i4>0</vt:i4>
      </vt:variant>
      <vt:variant>
        <vt:i4>5</vt:i4>
      </vt:variant>
      <vt:variant>
        <vt:lpwstr>http://uscode.house.gov/view.xhtml?req=granuleid:USC-prelim-title42-section254b&amp;num=0&amp;edition=prelim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3 - 2017</dc:title>
  <dc:subject/>
  <dc:creator>Beth Hartmayer</dc:creator>
  <cp:keywords/>
  <cp:lastModifiedBy>Elyana N.  Bowman</cp:lastModifiedBy>
  <cp:revision>2</cp:revision>
  <dcterms:created xsi:type="dcterms:W3CDTF">2020-03-11T14:53:00Z</dcterms:created>
  <dcterms:modified xsi:type="dcterms:W3CDTF">2020-03-11T14:53:00Z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RZP75TDPC7SH-625-2521</vt:lpwstr>
  </property>
  <property fmtid="{D5CDD505-2E9C-101B-9397-08002B2CF9AE}" pid="3" name="_dlc_DocIdItemGuid">
    <vt:lpwstr>fad31621-f8c4-4a01-8916-0cb4212e5154</vt:lpwstr>
  </property>
  <property fmtid="{D5CDD505-2E9C-101B-9397-08002B2CF9AE}" pid="4" name="_dlc_DocIdUrl">
    <vt:lpwstr>https://sharepoint.hrsa.gov/sites/bphc/oppd/_layouts/15/DocIdRedir.aspx?ID=RZP75TDPC7SH-625-2521, RZP75TDPC7SH-625-2521</vt:lpwstr>
  </property>
  <property fmtid="{D5CDD505-2E9C-101B-9397-08002B2CF9AE}" pid="5" name="Order">
    <vt:lpwstr>12300.0000000000</vt:lpwstr>
  </property>
</Properties>
</file>