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289D" w:rsidR="0076319A" w:rsidP="000C3CE8" w:rsidRDefault="00FF6E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0E289D" w:rsidR="00990BC8">
        <w:rPr>
          <w:rFonts w:ascii="Times New Roman" w:hAnsi="Times New Roman" w:cs="Times New Roman"/>
          <w:b/>
          <w:sz w:val="24"/>
          <w:szCs w:val="24"/>
        </w:rPr>
        <w:t>upporting Statement for Form SSA-1691</w:t>
      </w:r>
    </w:p>
    <w:p w:rsidRPr="000E289D" w:rsidR="00990BC8" w:rsidP="000C3CE8" w:rsidRDefault="00990BC8">
      <w:pPr>
        <w:spacing w:after="0" w:line="240" w:lineRule="auto"/>
        <w:jc w:val="center"/>
        <w:rPr>
          <w:rFonts w:ascii="Times New Roman" w:hAnsi="Times New Roman" w:cs="Times New Roman"/>
          <w:b/>
          <w:sz w:val="24"/>
          <w:szCs w:val="24"/>
        </w:rPr>
      </w:pPr>
      <w:r w:rsidRPr="00654BC5">
        <w:rPr>
          <w:rFonts w:ascii="Times New Roman" w:hAnsi="Times New Roman" w:cs="Times New Roman"/>
          <w:b/>
          <w:sz w:val="24"/>
          <w:szCs w:val="24"/>
        </w:rPr>
        <w:t>Social Security Administration Eligible Non-Attorney Representative</w:t>
      </w:r>
    </w:p>
    <w:p w:rsidRPr="000E289D" w:rsidR="00990BC8" w:rsidP="000C3CE8" w:rsidRDefault="00990BC8">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 xml:space="preserve">20 CFR 404.1717, 404.1745 </w:t>
      </w:r>
      <w:r w:rsidR="00750582">
        <w:rPr>
          <w:rFonts w:ascii="Times New Roman" w:hAnsi="Times New Roman" w:cs="Times New Roman"/>
          <w:b/>
          <w:sz w:val="24"/>
          <w:szCs w:val="24"/>
        </w:rPr>
        <w:t>-</w:t>
      </w:r>
      <w:r w:rsidRPr="000E289D">
        <w:rPr>
          <w:rFonts w:ascii="Times New Roman" w:hAnsi="Times New Roman" w:cs="Times New Roman"/>
          <w:b/>
          <w:sz w:val="24"/>
          <w:szCs w:val="24"/>
        </w:rPr>
        <w:t xml:space="preserve"> 404.1799, 416.1517, and 416.1545 </w:t>
      </w:r>
      <w:r w:rsidR="00750582">
        <w:rPr>
          <w:rFonts w:ascii="Times New Roman" w:hAnsi="Times New Roman" w:cs="Times New Roman"/>
          <w:b/>
          <w:sz w:val="24"/>
          <w:szCs w:val="24"/>
        </w:rPr>
        <w:t>-</w:t>
      </w:r>
      <w:r w:rsidRPr="000E289D">
        <w:rPr>
          <w:rFonts w:ascii="Times New Roman" w:hAnsi="Times New Roman" w:cs="Times New Roman"/>
          <w:b/>
          <w:sz w:val="24"/>
          <w:szCs w:val="24"/>
        </w:rPr>
        <w:t xml:space="preserve"> 416.1599</w:t>
      </w:r>
    </w:p>
    <w:p w:rsidRPr="000E289D" w:rsidR="00990BC8" w:rsidP="000C3CE8" w:rsidRDefault="00990BC8">
      <w:pPr>
        <w:spacing w:after="0" w:line="240" w:lineRule="auto"/>
        <w:jc w:val="center"/>
        <w:rPr>
          <w:rFonts w:ascii="Times New Roman" w:hAnsi="Times New Roman" w:cs="Times New Roman"/>
          <w:b/>
          <w:sz w:val="24"/>
          <w:szCs w:val="24"/>
        </w:rPr>
      </w:pPr>
      <w:r w:rsidRPr="000E289D">
        <w:rPr>
          <w:rFonts w:ascii="Times New Roman" w:hAnsi="Times New Roman" w:cs="Times New Roman"/>
          <w:b/>
          <w:sz w:val="24"/>
          <w:szCs w:val="24"/>
        </w:rPr>
        <w:t>OMB No. 0960-0699</w:t>
      </w:r>
    </w:p>
    <w:p w:rsidRPr="000E289D" w:rsidR="00990BC8" w:rsidP="00750582" w:rsidRDefault="00990BC8">
      <w:pPr>
        <w:spacing w:after="0" w:line="240" w:lineRule="auto"/>
        <w:rPr>
          <w:rFonts w:ascii="Times New Roman" w:hAnsi="Times New Roman" w:cs="Times New Roman"/>
          <w:b/>
          <w:sz w:val="24"/>
          <w:szCs w:val="24"/>
        </w:rPr>
      </w:pPr>
    </w:p>
    <w:p w:rsidRPr="000E289D" w:rsidR="00990BC8" w:rsidP="00750582" w:rsidRDefault="00990BC8">
      <w:pPr>
        <w:pStyle w:val="ListParagraph"/>
        <w:numPr>
          <w:ilvl w:val="0"/>
          <w:numId w:val="1"/>
        </w:numPr>
        <w:spacing w:after="0" w:line="240" w:lineRule="auto"/>
        <w:ind w:left="720" w:hanging="540"/>
        <w:rPr>
          <w:rFonts w:ascii="Times New Roman" w:hAnsi="Times New Roman" w:cs="Times New Roman"/>
          <w:b/>
          <w:sz w:val="24"/>
          <w:szCs w:val="24"/>
        </w:rPr>
      </w:pPr>
      <w:r w:rsidRPr="000E289D">
        <w:rPr>
          <w:rFonts w:ascii="Times New Roman" w:hAnsi="Times New Roman" w:cs="Times New Roman"/>
          <w:b/>
          <w:sz w:val="24"/>
          <w:szCs w:val="24"/>
          <w:u w:val="single"/>
        </w:rPr>
        <w:t>Justification</w:t>
      </w:r>
    </w:p>
    <w:p w:rsidRPr="000E289D" w:rsidR="00990BC8" w:rsidP="000C3CE8" w:rsidRDefault="00990BC8">
      <w:pPr>
        <w:spacing w:after="0" w:line="240" w:lineRule="auto"/>
        <w:rPr>
          <w:rFonts w:ascii="Times New Roman" w:hAnsi="Times New Roman" w:cs="Times New Roman"/>
          <w:b/>
          <w:sz w:val="24"/>
          <w:szCs w:val="24"/>
        </w:rPr>
      </w:pPr>
    </w:p>
    <w:p w:rsidRPr="000E289D" w:rsidR="00990BC8" w:rsidP="00750582" w:rsidRDefault="00990BC8">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Introduction/Authoring Laws and Regulations</w:t>
      </w:r>
    </w:p>
    <w:p w:rsidR="00C75B57" w:rsidP="00750582" w:rsidRDefault="00990BC8">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 xml:space="preserve">Section </w:t>
      </w:r>
      <w:r w:rsidRPr="000E289D">
        <w:rPr>
          <w:rFonts w:ascii="Times New Roman" w:hAnsi="Times New Roman" w:cs="Times New Roman"/>
          <w:i/>
          <w:sz w:val="24"/>
          <w:szCs w:val="24"/>
        </w:rPr>
        <w:t>3</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Social Security Disability Applicants Access to Professional Representation Act</w:t>
      </w:r>
      <w:r w:rsidRPr="000E289D">
        <w:rPr>
          <w:rFonts w:ascii="Times New Roman" w:hAnsi="Times New Roman" w:cs="Times New Roman"/>
          <w:sz w:val="24"/>
          <w:szCs w:val="24"/>
        </w:rPr>
        <w:t xml:space="preserve"> (</w:t>
      </w:r>
      <w:r w:rsidRPr="000E289D">
        <w:rPr>
          <w:rFonts w:ascii="Times New Roman" w:hAnsi="Times New Roman" w:cs="Times New Roman"/>
          <w:i/>
          <w:sz w:val="24"/>
          <w:szCs w:val="24"/>
        </w:rPr>
        <w:t xml:space="preserve">PRA) </w:t>
      </w:r>
      <w:r w:rsidRPr="002872DE">
        <w:rPr>
          <w:rFonts w:ascii="Times New Roman" w:hAnsi="Times New Roman" w:cs="Times New Roman"/>
          <w:i/>
          <w:sz w:val="24"/>
          <w:szCs w:val="24"/>
        </w:rPr>
        <w:t>of 2010</w:t>
      </w:r>
      <w:r w:rsidRPr="000E289D">
        <w:rPr>
          <w:rFonts w:ascii="Times New Roman" w:hAnsi="Times New Roman" w:cs="Times New Roman"/>
          <w:i/>
          <w:sz w:val="24"/>
          <w:szCs w:val="24"/>
        </w:rPr>
        <w:t xml:space="preserve">, Public Law (Pub.L.) 111-142, </w:t>
      </w:r>
      <w:r w:rsidRPr="000E289D">
        <w:rPr>
          <w:rFonts w:ascii="Times New Roman" w:hAnsi="Times New Roman" w:cs="Times New Roman"/>
          <w:sz w:val="24"/>
          <w:szCs w:val="24"/>
        </w:rPr>
        <w:t>permanently extends the direct payment provision of Section</w:t>
      </w:r>
      <w:r w:rsidRPr="000E289D">
        <w:rPr>
          <w:rFonts w:ascii="Times New Roman" w:hAnsi="Times New Roman" w:cs="Times New Roman"/>
          <w:i/>
          <w:sz w:val="24"/>
          <w:szCs w:val="24"/>
        </w:rPr>
        <w:t xml:space="preserve"> 303 </w:t>
      </w:r>
      <w:r w:rsidRPr="000E289D">
        <w:rPr>
          <w:rFonts w:ascii="Times New Roman" w:hAnsi="Times New Roman" w:cs="Times New Roman"/>
          <w:sz w:val="24"/>
          <w:szCs w:val="24"/>
        </w:rPr>
        <w:t xml:space="preserve">of the </w:t>
      </w:r>
      <w:r w:rsidRPr="000E289D">
        <w:rPr>
          <w:rFonts w:ascii="Times New Roman" w:hAnsi="Times New Roman" w:cs="Times New Roman"/>
          <w:i/>
          <w:sz w:val="24"/>
          <w:szCs w:val="24"/>
        </w:rPr>
        <w:t>Social Security Protection Act (</w:t>
      </w:r>
      <w:r w:rsidR="00C75B57">
        <w:rPr>
          <w:rFonts w:ascii="Times New Roman" w:hAnsi="Times New Roman" w:cs="Times New Roman"/>
          <w:i/>
          <w:sz w:val="24"/>
          <w:szCs w:val="24"/>
        </w:rPr>
        <w:t xml:space="preserve">SSPA) </w:t>
      </w:r>
      <w:r w:rsidRPr="002872DE">
        <w:rPr>
          <w:rFonts w:ascii="Times New Roman" w:hAnsi="Times New Roman" w:cs="Times New Roman"/>
          <w:i/>
          <w:sz w:val="24"/>
          <w:szCs w:val="24"/>
        </w:rPr>
        <w:t>of</w:t>
      </w:r>
      <w:r w:rsidRPr="000E289D">
        <w:rPr>
          <w:rFonts w:ascii="Times New Roman" w:hAnsi="Times New Roman" w:cs="Times New Roman"/>
          <w:i/>
          <w:sz w:val="24"/>
          <w:szCs w:val="24"/>
        </w:rPr>
        <w:t xml:space="preserve"> 2004, Pub.L. 108-203.</w:t>
      </w:r>
      <w:r w:rsidR="00C75B57">
        <w:rPr>
          <w:rFonts w:ascii="Times New Roman" w:hAnsi="Times New Roman" w:cs="Times New Roman"/>
          <w:sz w:val="24"/>
          <w:szCs w:val="24"/>
        </w:rPr>
        <w:t xml:space="preserve"> </w:t>
      </w:r>
      <w:r w:rsidRPr="000E289D">
        <w:rPr>
          <w:rFonts w:ascii="Times New Roman" w:hAnsi="Times New Roman" w:cs="Times New Roman"/>
          <w:sz w:val="24"/>
          <w:szCs w:val="24"/>
        </w:rPr>
        <w:t xml:space="preserve">The </w:t>
      </w:r>
      <w:r w:rsidRPr="000E289D">
        <w:rPr>
          <w:rFonts w:ascii="Times New Roman" w:hAnsi="Times New Roman" w:cs="Times New Roman"/>
          <w:i/>
          <w:sz w:val="24"/>
          <w:szCs w:val="24"/>
        </w:rPr>
        <w:t>PRA</w:t>
      </w:r>
      <w:r w:rsidRPr="000E289D">
        <w:rPr>
          <w:rFonts w:ascii="Times New Roman" w:hAnsi="Times New Roman" w:cs="Times New Roman"/>
          <w:sz w:val="24"/>
          <w:szCs w:val="24"/>
        </w:rPr>
        <w:t xml:space="preserve"> permits the Social Security Administration (SSA) to extend direct payment of approved fees from claimants’ past-due benefits to certain non-attorney representatives.  Prior to the enactment of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and</w:t>
      </w:r>
      <w:r w:rsidRPr="000E289D">
        <w:rPr>
          <w:rFonts w:ascii="Times New Roman" w:hAnsi="Times New Roman" w:cs="Times New Roman"/>
          <w:i/>
          <w:sz w:val="24"/>
          <w:szCs w:val="24"/>
        </w:rPr>
        <w:t xml:space="preserve"> PRA</w:t>
      </w:r>
      <w:r w:rsidRPr="000E289D">
        <w:rPr>
          <w:rFonts w:ascii="Times New Roman" w:hAnsi="Times New Roman" w:cs="Times New Roman"/>
          <w:sz w:val="24"/>
          <w:szCs w:val="24"/>
        </w:rPr>
        <w:t xml:space="preserve">, only attorneys could receive direct payment of SSA-approved fees.  Under the </w:t>
      </w:r>
      <w:r w:rsidRPr="000E289D">
        <w:rPr>
          <w:rFonts w:ascii="Times New Roman" w:hAnsi="Times New Roman" w:cs="Times New Roman"/>
          <w:i/>
          <w:sz w:val="24"/>
          <w:szCs w:val="24"/>
        </w:rPr>
        <w:t>PRA</w:t>
      </w:r>
      <w:r w:rsidRPr="000E289D">
        <w:rPr>
          <w:rFonts w:ascii="Times New Roman" w:hAnsi="Times New Roman" w:cs="Times New Roman"/>
          <w:sz w:val="24"/>
          <w:szCs w:val="24"/>
        </w:rPr>
        <w:t>, non-attorneys must meet the following prerequisites to be eligible for direct payment of fees:</w:t>
      </w:r>
    </w:p>
    <w:p w:rsidRPr="00C75B57" w:rsidR="00C75B57" w:rsidP="00750582" w:rsidRDefault="00C75B57">
      <w:pPr>
        <w:pStyle w:val="ListParagraph"/>
        <w:spacing w:after="0" w:line="240" w:lineRule="auto"/>
        <w:ind w:left="1440"/>
        <w:rPr>
          <w:rFonts w:ascii="Times New Roman" w:hAnsi="Times New Roman" w:cs="Times New Roman"/>
          <w:sz w:val="24"/>
          <w:szCs w:val="24"/>
        </w:rPr>
      </w:pPr>
    </w:p>
    <w:p w:rsidRPr="00C75B57" w:rsidR="00990BC8" w:rsidP="00A05ED6" w:rsidRDefault="00990BC8">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Have been awarded a bachelor’s degree from an accredited institution of higher education, or at least four years of relevant professional experience and either a high school diploma or General Education Development (GED) certificate;</w:t>
      </w:r>
    </w:p>
    <w:p w:rsidRPr="00C75B57" w:rsidR="00990BC8" w:rsidP="00A05ED6" w:rsidRDefault="00990BC8">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Pass a written examination that the Social Security Administration (SSA) writes and administers which tests the knowledge of the relevant provisions of the </w:t>
      </w:r>
      <w:r w:rsidRPr="000E289D">
        <w:rPr>
          <w:rFonts w:ascii="Times New Roman" w:hAnsi="Times New Roman" w:cs="Times New Roman"/>
          <w:bCs/>
          <w:i/>
          <w:sz w:val="24"/>
          <w:szCs w:val="24"/>
        </w:rPr>
        <w:t>Social Security Act (Act)</w:t>
      </w:r>
      <w:r w:rsidRPr="000E289D">
        <w:rPr>
          <w:rFonts w:ascii="Times New Roman" w:hAnsi="Times New Roman" w:cs="Times New Roman"/>
          <w:bCs/>
          <w:sz w:val="24"/>
          <w:szCs w:val="24"/>
        </w:rPr>
        <w:t xml:space="preserve"> and the most recent developments in SSA and court decisions affecting the benefit programs under </w:t>
      </w:r>
      <w:r w:rsidR="0047003D">
        <w:rPr>
          <w:rFonts w:ascii="Times New Roman" w:hAnsi="Times New Roman" w:cs="Times New Roman"/>
          <w:bCs/>
          <w:sz w:val="24"/>
          <w:szCs w:val="24"/>
        </w:rPr>
        <w:t>T</w:t>
      </w:r>
      <w:r w:rsidRPr="000E289D">
        <w:rPr>
          <w:rFonts w:ascii="Times New Roman" w:hAnsi="Times New Roman" w:cs="Times New Roman"/>
          <w:bCs/>
          <w:sz w:val="24"/>
          <w:szCs w:val="24"/>
        </w:rPr>
        <w:t>itles</w:t>
      </w:r>
      <w:r w:rsidRPr="000E289D">
        <w:rPr>
          <w:rFonts w:ascii="Times New Roman" w:hAnsi="Times New Roman" w:cs="Times New Roman"/>
          <w:bCs/>
          <w:i/>
          <w:sz w:val="24"/>
          <w:szCs w:val="24"/>
        </w:rPr>
        <w:t xml:space="preserve"> II </w:t>
      </w:r>
      <w:r w:rsidRPr="000E289D">
        <w:rPr>
          <w:rFonts w:ascii="Times New Roman" w:hAnsi="Times New Roman" w:cs="Times New Roman"/>
          <w:bCs/>
          <w:sz w:val="24"/>
          <w:szCs w:val="24"/>
        </w:rPr>
        <w:t xml:space="preserve">and </w:t>
      </w:r>
      <w:r w:rsidRPr="000E289D">
        <w:rPr>
          <w:rFonts w:ascii="Times New Roman" w:hAnsi="Times New Roman" w:cs="Times New Roman"/>
          <w:bCs/>
          <w:i/>
          <w:sz w:val="24"/>
          <w:szCs w:val="24"/>
        </w:rPr>
        <w:t>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r w:rsidRPr="000E289D">
        <w:rPr>
          <w:rFonts w:ascii="Times New Roman" w:hAnsi="Times New Roman" w:cs="Times New Roman"/>
          <w:bCs/>
          <w:sz w:val="24"/>
          <w:szCs w:val="24"/>
        </w:rPr>
        <w:t>;</w:t>
      </w:r>
    </w:p>
    <w:p w:rsidRPr="00C75B57" w:rsidR="00990BC8" w:rsidP="00A05ED6" w:rsidRDefault="00990BC8">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Secure and maintain continuous professional liability insurance or equivalent insurance to protect claimants in the event of malpractice by the non-attorney representative;</w:t>
      </w:r>
    </w:p>
    <w:p w:rsidRPr="00C75B57" w:rsidR="00990BC8" w:rsidP="00A05ED6" w:rsidRDefault="00990BC8">
      <w:pPr>
        <w:numPr>
          <w:ilvl w:val="0"/>
          <w:numId w:val="3"/>
        </w:numPr>
        <w:tabs>
          <w:tab w:val="left" w:pos="-720"/>
        </w:tabs>
        <w:suppressAutoHyphens/>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Pass a criminal background check; and</w:t>
      </w:r>
    </w:p>
    <w:p w:rsidRPr="00C75B57" w:rsidR="00990BC8" w:rsidP="00A05ED6" w:rsidRDefault="00990BC8">
      <w:pPr>
        <w:pStyle w:val="ListParagraph"/>
        <w:numPr>
          <w:ilvl w:val="0"/>
          <w:numId w:val="3"/>
        </w:numPr>
        <w:spacing w:after="0" w:line="240" w:lineRule="auto"/>
        <w:rPr>
          <w:rFonts w:ascii="Times New Roman" w:hAnsi="Times New Roman" w:cs="Times New Roman"/>
          <w:sz w:val="24"/>
          <w:szCs w:val="24"/>
        </w:rPr>
      </w:pPr>
      <w:r w:rsidRPr="000E289D">
        <w:rPr>
          <w:rFonts w:ascii="Times New Roman" w:hAnsi="Times New Roman" w:cs="Times New Roman"/>
          <w:bCs/>
          <w:sz w:val="24"/>
          <w:szCs w:val="24"/>
        </w:rPr>
        <w:t xml:space="preserve">Demonstrate ongoing completion of continuing education courses, including courses in ethics and professional conduct, to enhance professional knowledge in matters related to entitlement to, or eligibility for, benefits based on disability under </w:t>
      </w:r>
      <w:r w:rsidR="0047003D">
        <w:rPr>
          <w:rFonts w:ascii="Times New Roman" w:hAnsi="Times New Roman" w:cs="Times New Roman"/>
          <w:bCs/>
          <w:sz w:val="24"/>
          <w:szCs w:val="24"/>
        </w:rPr>
        <w:t>T</w:t>
      </w:r>
      <w:r w:rsidRPr="000E289D">
        <w:rPr>
          <w:rFonts w:ascii="Times New Roman" w:hAnsi="Times New Roman" w:cs="Times New Roman"/>
          <w:bCs/>
          <w:sz w:val="24"/>
          <w:szCs w:val="24"/>
        </w:rPr>
        <w:t>itles</w:t>
      </w:r>
      <w:r w:rsidRPr="000E289D">
        <w:rPr>
          <w:rFonts w:ascii="Times New Roman" w:hAnsi="Times New Roman" w:cs="Times New Roman"/>
          <w:bCs/>
          <w:i/>
          <w:sz w:val="24"/>
          <w:szCs w:val="24"/>
        </w:rPr>
        <w:t xml:space="preserve"> II</w:t>
      </w:r>
      <w:r w:rsidRPr="000E289D">
        <w:rPr>
          <w:rFonts w:ascii="Times New Roman" w:hAnsi="Times New Roman" w:cs="Times New Roman"/>
          <w:bCs/>
          <w:sz w:val="24"/>
          <w:szCs w:val="24"/>
        </w:rPr>
        <w:t xml:space="preserve"> and</w:t>
      </w:r>
      <w:r w:rsidRPr="000E289D">
        <w:rPr>
          <w:rFonts w:ascii="Times New Roman" w:hAnsi="Times New Roman" w:cs="Times New Roman"/>
          <w:bCs/>
          <w:i/>
          <w:sz w:val="24"/>
          <w:szCs w:val="24"/>
        </w:rPr>
        <w:t xml:space="preserve"> XVI</w:t>
      </w:r>
      <w:r w:rsidRPr="000E289D">
        <w:rPr>
          <w:rFonts w:ascii="Times New Roman" w:hAnsi="Times New Roman" w:cs="Times New Roman"/>
          <w:bCs/>
          <w:sz w:val="24"/>
          <w:szCs w:val="24"/>
        </w:rPr>
        <w:t xml:space="preserve"> of the </w:t>
      </w:r>
      <w:r w:rsidRPr="000E289D">
        <w:rPr>
          <w:rFonts w:ascii="Times New Roman" w:hAnsi="Times New Roman" w:cs="Times New Roman"/>
          <w:bCs/>
          <w:i/>
          <w:sz w:val="24"/>
          <w:szCs w:val="24"/>
        </w:rPr>
        <w:t>Act.</w:t>
      </w:r>
    </w:p>
    <w:p w:rsidRPr="00C75B57" w:rsidR="00C75B57" w:rsidP="00750582" w:rsidRDefault="00C75B57">
      <w:pPr>
        <w:pStyle w:val="ListParagraph"/>
        <w:spacing w:after="0" w:line="240" w:lineRule="auto"/>
        <w:ind w:left="1440"/>
        <w:rPr>
          <w:rFonts w:ascii="Times New Roman" w:hAnsi="Times New Roman" w:cs="Times New Roman"/>
          <w:sz w:val="24"/>
          <w:szCs w:val="24"/>
        </w:rPr>
      </w:pPr>
    </w:p>
    <w:p w:rsidRPr="000E289D" w:rsidR="00990BC8" w:rsidP="00750582" w:rsidRDefault="00990BC8">
      <w:pPr>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The</w:t>
      </w:r>
      <w:r w:rsidRPr="000E289D">
        <w:rPr>
          <w:rFonts w:ascii="Times New Roman" w:hAnsi="Times New Roman" w:cs="Times New Roman"/>
          <w:i/>
          <w:sz w:val="24"/>
          <w:szCs w:val="24"/>
        </w:rPr>
        <w:t xml:space="preserve"> PRA, </w:t>
      </w:r>
      <w:r w:rsidRPr="000E289D">
        <w:rPr>
          <w:rFonts w:ascii="Times New Roman" w:hAnsi="Times New Roman" w:cs="Times New Roman"/>
          <w:sz w:val="24"/>
          <w:szCs w:val="24"/>
        </w:rPr>
        <w:t xml:space="preserve">as did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requires SSA to collect the information needed to determine if applicants satisfied these prerequisites.  Under the </w:t>
      </w:r>
      <w:r w:rsidRPr="000E289D">
        <w:rPr>
          <w:rFonts w:ascii="Times New Roman" w:hAnsi="Times New Roman" w:cs="Times New Roman"/>
          <w:i/>
          <w:sz w:val="24"/>
          <w:szCs w:val="24"/>
        </w:rPr>
        <w:t>SSPA</w:t>
      </w:r>
      <w:r w:rsidRPr="000E289D">
        <w:rPr>
          <w:rFonts w:ascii="Times New Roman" w:hAnsi="Times New Roman" w:cs="Times New Roman"/>
          <w:sz w:val="24"/>
          <w:szCs w:val="24"/>
        </w:rPr>
        <w:t xml:space="preserve">, we used the Social Security Administration Non-Attorney Representative Demonstration Project Application to collect applicants’ prerequisite information.  SSA codified these rules in </w:t>
      </w:r>
      <w:r w:rsidRPr="000E289D">
        <w:rPr>
          <w:rFonts w:ascii="Times New Roman" w:hAnsi="Times New Roman" w:cs="Times New Roman"/>
          <w:i/>
          <w:sz w:val="24"/>
          <w:szCs w:val="24"/>
        </w:rPr>
        <w:t>20 CFR 404.1717, 404.1745-404.1799</w:t>
      </w:r>
      <w:r w:rsidRPr="000E289D">
        <w:rPr>
          <w:rFonts w:ascii="Times New Roman" w:hAnsi="Times New Roman" w:cs="Times New Roman"/>
          <w:sz w:val="24"/>
          <w:szCs w:val="24"/>
        </w:rPr>
        <w:t xml:space="preserve">, and </w:t>
      </w:r>
      <w:r w:rsidRPr="000E289D">
        <w:rPr>
          <w:rFonts w:ascii="Times New Roman" w:hAnsi="Times New Roman" w:cs="Times New Roman"/>
          <w:i/>
          <w:sz w:val="24"/>
          <w:szCs w:val="24"/>
        </w:rPr>
        <w:t>20 CFR 416.1517, 416.1545-416.1599</w:t>
      </w:r>
      <w:r w:rsidRPr="000E289D">
        <w:rPr>
          <w:rFonts w:ascii="Times New Roman" w:hAnsi="Times New Roman" w:cs="Times New Roman"/>
          <w:sz w:val="24"/>
          <w:szCs w:val="24"/>
        </w:rPr>
        <w:t xml:space="preserve"> of the </w:t>
      </w:r>
      <w:r w:rsidRPr="000E289D">
        <w:rPr>
          <w:rFonts w:ascii="Times New Roman" w:hAnsi="Times New Roman" w:cs="Times New Roman"/>
          <w:i/>
          <w:sz w:val="24"/>
          <w:szCs w:val="24"/>
        </w:rPr>
        <w:t>Code of Federal Regulations.</w:t>
      </w:r>
    </w:p>
    <w:p w:rsidRPr="000E289D" w:rsidR="00C75B57" w:rsidP="00750582" w:rsidRDefault="00C75B57">
      <w:pPr>
        <w:spacing w:after="0" w:line="240" w:lineRule="auto"/>
        <w:ind w:left="1440"/>
        <w:rPr>
          <w:rFonts w:ascii="Times New Roman" w:hAnsi="Times New Roman" w:cs="Times New Roman"/>
          <w:sz w:val="24"/>
          <w:szCs w:val="24"/>
        </w:rPr>
      </w:pPr>
    </w:p>
    <w:p w:rsidRPr="000E289D" w:rsidR="00990BC8" w:rsidP="00750582" w:rsidRDefault="00990BC8">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Description of Collection</w:t>
      </w:r>
    </w:p>
    <w:p w:rsidRPr="000E289D" w:rsidR="00990BC8" w:rsidP="00750582" w:rsidRDefault="00990BC8">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bCs/>
          <w:sz w:val="24"/>
          <w:szCs w:val="24"/>
        </w:rPr>
        <w:t xml:space="preserve">The </w:t>
      </w:r>
      <w:r w:rsidRPr="000E289D">
        <w:rPr>
          <w:rFonts w:ascii="Times New Roman" w:hAnsi="Times New Roman" w:cs="Times New Roman"/>
          <w:sz w:val="24"/>
          <w:szCs w:val="24"/>
        </w:rPr>
        <w:t>information we collect helps us determine whether an applic</w:t>
      </w:r>
      <w:r w:rsidR="00C75B57">
        <w:rPr>
          <w:rFonts w:ascii="Times New Roman" w:hAnsi="Times New Roman" w:cs="Times New Roman"/>
          <w:sz w:val="24"/>
          <w:szCs w:val="24"/>
        </w:rPr>
        <w:t xml:space="preserve">ant </w:t>
      </w:r>
      <w:r w:rsidRPr="000E289D">
        <w:rPr>
          <w:rFonts w:ascii="Times New Roman" w:hAnsi="Times New Roman" w:cs="Times New Roman"/>
          <w:sz w:val="24"/>
          <w:szCs w:val="24"/>
        </w:rPr>
        <w:t xml:space="preserve">fulfilled the statutory prerequisites and regulatory requirements as listed in item number 1 </w:t>
      </w:r>
      <w:r w:rsidRPr="000E289D">
        <w:rPr>
          <w:rFonts w:ascii="Times New Roman" w:hAnsi="Times New Roman" w:cs="Times New Roman"/>
          <w:sz w:val="24"/>
          <w:szCs w:val="24"/>
        </w:rPr>
        <w:lastRenderedPageBreak/>
        <w:t>above.  To v</w:t>
      </w:r>
      <w:r w:rsidR="00C75B57">
        <w:rPr>
          <w:rFonts w:ascii="Times New Roman" w:hAnsi="Times New Roman" w:cs="Times New Roman"/>
          <w:sz w:val="24"/>
          <w:szCs w:val="24"/>
        </w:rPr>
        <w:t xml:space="preserve">erify this information, we </w:t>
      </w:r>
      <w:r w:rsidRPr="000E289D">
        <w:rPr>
          <w:rFonts w:ascii="Times New Roman" w:hAnsi="Times New Roman" w:cs="Times New Roman"/>
          <w:sz w:val="24"/>
          <w:szCs w:val="24"/>
        </w:rPr>
        <w:t>collect the following items, in addition to the application:</w:t>
      </w:r>
    </w:p>
    <w:p w:rsidRPr="000E289D" w:rsidR="00E82A93" w:rsidP="00750582" w:rsidRDefault="00E82A93">
      <w:pPr>
        <w:spacing w:after="0" w:line="240" w:lineRule="auto"/>
        <w:ind w:left="1440"/>
        <w:rPr>
          <w:rFonts w:ascii="Times New Roman" w:hAnsi="Times New Roman" w:cs="Times New Roman"/>
          <w:sz w:val="24"/>
          <w:szCs w:val="24"/>
        </w:rPr>
      </w:pPr>
    </w:p>
    <w:p w:rsidRPr="000E289D" w:rsidR="00E82A93" w:rsidP="00A05ED6" w:rsidRDefault="00E82A93">
      <w:pPr>
        <w:pStyle w:val="ListParagraph"/>
        <w:numPr>
          <w:ilvl w:val="0"/>
          <w:numId w:val="6"/>
        </w:numPr>
        <w:spacing w:after="0" w:line="240" w:lineRule="auto"/>
        <w:ind w:left="2160"/>
        <w:rPr>
          <w:rFonts w:ascii="Times New Roman" w:hAnsi="Times New Roman" w:cs="Times New Roman"/>
          <w:sz w:val="24"/>
          <w:szCs w:val="24"/>
        </w:rPr>
      </w:pPr>
      <w:r w:rsidRPr="000E289D">
        <w:rPr>
          <w:rFonts w:ascii="Times New Roman" w:hAnsi="Times New Roman" w:cs="Times New Roman"/>
          <w:sz w:val="24"/>
          <w:szCs w:val="24"/>
        </w:rPr>
        <w:t>a signed criminal background form, allowing us to conduct criminal background checks;</w:t>
      </w:r>
    </w:p>
    <w:p w:rsidRPr="000E289D" w:rsidR="00E82A93" w:rsidP="00A05ED6" w:rsidRDefault="00C75B57">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the examination document</w:t>
      </w:r>
      <w:r w:rsidRPr="000E289D" w:rsidR="00E82A93">
        <w:rPr>
          <w:rFonts w:ascii="Times New Roman" w:hAnsi="Times New Roman" w:cs="Times New Roman"/>
          <w:bCs/>
          <w:sz w:val="24"/>
          <w:szCs w:val="24"/>
        </w:rPr>
        <w:t xml:space="preserve"> and score for appl</w:t>
      </w:r>
      <w:r w:rsidR="006307F0">
        <w:rPr>
          <w:rFonts w:ascii="Times New Roman" w:hAnsi="Times New Roman" w:cs="Times New Roman"/>
          <w:bCs/>
          <w:sz w:val="24"/>
          <w:szCs w:val="24"/>
        </w:rPr>
        <w:t>icants who take the examination;</w:t>
      </w:r>
    </w:p>
    <w:p w:rsidRPr="000E289D" w:rsidR="00E82A93" w:rsidP="00A05ED6" w:rsidRDefault="00E82A93">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sidRPr="000E289D">
        <w:rPr>
          <w:rFonts w:ascii="Times New Roman" w:hAnsi="Times New Roman" w:cs="Times New Roman"/>
          <w:bCs/>
          <w:sz w:val="24"/>
          <w:szCs w:val="24"/>
        </w:rPr>
        <w:t>professional or business liability insurance policies from applicants who pass the examination;</w:t>
      </w:r>
    </w:p>
    <w:p w:rsidRPr="000E289D" w:rsidR="00E82A93" w:rsidP="00A05ED6" w:rsidRDefault="00E82A93">
      <w:pPr>
        <w:numPr>
          <w:ilvl w:val="0"/>
          <w:numId w:val="8"/>
        </w:numPr>
        <w:tabs>
          <w:tab w:val="left" w:pos="-720"/>
          <w:tab w:val="left" w:pos="0"/>
        </w:tabs>
        <w:suppressAutoHyphens/>
        <w:spacing w:after="0" w:line="240" w:lineRule="auto"/>
        <w:ind w:left="2160"/>
        <w:rPr>
          <w:rFonts w:ascii="Times New Roman" w:hAnsi="Times New Roman" w:cs="Times New Roman"/>
          <w:bCs/>
          <w:sz w:val="24"/>
          <w:szCs w:val="24"/>
        </w:rPr>
      </w:pPr>
      <w:r w:rsidRPr="000E289D">
        <w:rPr>
          <w:rFonts w:ascii="Times New Roman" w:hAnsi="Times New Roman" w:cs="Times New Roman"/>
          <w:bCs/>
          <w:sz w:val="24"/>
          <w:szCs w:val="24"/>
        </w:rPr>
        <w:t>official college transcripts from applicants who pass the examination and possess a bachelor’s degree or higher</w:t>
      </w:r>
      <w:r w:rsidR="006307F0">
        <w:rPr>
          <w:rFonts w:ascii="Times New Roman" w:hAnsi="Times New Roman" w:cs="Times New Roman"/>
          <w:bCs/>
          <w:sz w:val="24"/>
          <w:szCs w:val="24"/>
        </w:rPr>
        <w:t>;</w:t>
      </w:r>
      <w:r w:rsidRPr="000E289D">
        <w:rPr>
          <w:rFonts w:ascii="Times New Roman" w:hAnsi="Times New Roman" w:cs="Times New Roman"/>
          <w:bCs/>
          <w:sz w:val="24"/>
          <w:szCs w:val="24"/>
        </w:rPr>
        <w:t xml:space="preserve"> </w:t>
      </w:r>
    </w:p>
    <w:p w:rsidRPr="000E289D" w:rsidR="00E82A93" w:rsidP="00A05ED6" w:rsidRDefault="00E82A93">
      <w:pPr>
        <w:numPr>
          <w:ilvl w:val="1"/>
          <w:numId w:val="8"/>
        </w:numPr>
        <w:tabs>
          <w:tab w:val="left" w:pos="-720"/>
          <w:tab w:val="left" w:pos="0"/>
        </w:tabs>
        <w:suppressAutoHyphens/>
        <w:spacing w:after="0" w:line="240" w:lineRule="auto"/>
        <w:rPr>
          <w:rFonts w:ascii="Times New Roman" w:hAnsi="Times New Roman" w:cs="Times New Roman"/>
          <w:bCs/>
          <w:sz w:val="24"/>
          <w:szCs w:val="24"/>
        </w:rPr>
      </w:pPr>
      <w:r w:rsidRPr="000E289D">
        <w:rPr>
          <w:rFonts w:ascii="Times New Roman" w:hAnsi="Times New Roman" w:cs="Times New Roman"/>
          <w:bCs/>
          <w:sz w:val="24"/>
          <w:szCs w:val="24"/>
        </w:rPr>
        <w:t>high school transcripts, diplomas, or GED certificates and proof (e.g., Internal Revenue Service Form W-2(s) and wage and tax statement(s)) of relevant professional experience from applicants who pass the examination, but do not possess a bachelor’s degree or higher</w:t>
      </w:r>
      <w:r w:rsidR="006307F0">
        <w:rPr>
          <w:rFonts w:ascii="Times New Roman" w:hAnsi="Times New Roman" w:cs="Times New Roman"/>
          <w:bCs/>
          <w:sz w:val="24"/>
          <w:szCs w:val="24"/>
        </w:rPr>
        <w:t>;</w:t>
      </w:r>
      <w:r w:rsidRPr="000E289D">
        <w:rPr>
          <w:rFonts w:ascii="Times New Roman" w:hAnsi="Times New Roman" w:cs="Times New Roman"/>
          <w:bCs/>
          <w:sz w:val="24"/>
          <w:szCs w:val="24"/>
        </w:rPr>
        <w:t xml:space="preserve">  </w:t>
      </w:r>
    </w:p>
    <w:p w:rsidRPr="000E289D" w:rsidR="00E82A93" w:rsidP="00A05ED6" w:rsidRDefault="006307F0">
      <w:pPr>
        <w:pStyle w:val="ListParagraph"/>
        <w:numPr>
          <w:ilvl w:val="0"/>
          <w:numId w:val="6"/>
        </w:numPr>
        <w:spacing w:after="0" w:line="240" w:lineRule="auto"/>
        <w:ind w:left="2160"/>
        <w:rPr>
          <w:rFonts w:ascii="Times New Roman" w:hAnsi="Times New Roman" w:cs="Times New Roman"/>
          <w:sz w:val="24"/>
          <w:szCs w:val="24"/>
        </w:rPr>
      </w:pPr>
      <w:r w:rsidRPr="000E289D">
        <w:rPr>
          <w:rFonts w:ascii="Times New Roman" w:hAnsi="Times New Roman" w:cs="Times New Roman"/>
          <w:bCs/>
          <w:sz w:val="24"/>
          <w:szCs w:val="24"/>
        </w:rPr>
        <w:t>Email</w:t>
      </w:r>
      <w:r w:rsidRPr="000E289D" w:rsidR="00E82A93">
        <w:rPr>
          <w:rFonts w:ascii="Times New Roman" w:hAnsi="Times New Roman" w:cs="Times New Roman"/>
          <w:bCs/>
          <w:sz w:val="24"/>
          <w:szCs w:val="24"/>
        </w:rPr>
        <w:t xml:space="preserve"> messages, from eligible non-attorneys, which certify the completion of a required continuing education course</w:t>
      </w:r>
      <w:r>
        <w:rPr>
          <w:rFonts w:ascii="Times New Roman" w:hAnsi="Times New Roman" w:cs="Times New Roman"/>
          <w:bCs/>
          <w:sz w:val="24"/>
          <w:szCs w:val="24"/>
        </w:rPr>
        <w:t>.</w:t>
      </w:r>
    </w:p>
    <w:p w:rsidRPr="000E289D" w:rsidR="00E82A93" w:rsidP="00750582" w:rsidRDefault="00E82A93">
      <w:pPr>
        <w:spacing w:after="0" w:line="240" w:lineRule="auto"/>
        <w:ind w:left="1440"/>
        <w:rPr>
          <w:rFonts w:ascii="Times New Roman" w:hAnsi="Times New Roman" w:cs="Times New Roman"/>
          <w:sz w:val="24"/>
          <w:szCs w:val="24"/>
        </w:rPr>
      </w:pPr>
    </w:p>
    <w:p w:rsidRPr="000E289D" w:rsidR="00E82A93" w:rsidP="00750582" w:rsidRDefault="00E82A93">
      <w:pPr>
        <w:spacing w:after="0" w:line="240" w:lineRule="auto"/>
        <w:ind w:left="1440"/>
        <w:rPr>
          <w:rFonts w:ascii="Times New Roman" w:hAnsi="Times New Roman" w:cs="Times New Roman"/>
          <w:sz w:val="24"/>
          <w:szCs w:val="24"/>
        </w:rPr>
      </w:pPr>
      <w:r w:rsidRPr="000E289D">
        <w:rPr>
          <w:rFonts w:ascii="Times New Roman" w:hAnsi="Times New Roman" w:cs="Times New Roman"/>
          <w:bCs/>
          <w:sz w:val="24"/>
          <w:szCs w:val="24"/>
        </w:rPr>
        <w:t>Every year, S</w:t>
      </w:r>
      <w:r w:rsidR="00C75B57">
        <w:rPr>
          <w:rFonts w:ascii="Times New Roman" w:hAnsi="Times New Roman" w:cs="Times New Roman"/>
          <w:bCs/>
          <w:sz w:val="24"/>
          <w:szCs w:val="24"/>
        </w:rPr>
        <w:t xml:space="preserve">SA </w:t>
      </w:r>
      <w:r w:rsidRPr="000E289D">
        <w:rPr>
          <w:rFonts w:ascii="Times New Roman" w:hAnsi="Times New Roman" w:cs="Times New Roman"/>
          <w:bCs/>
          <w:sz w:val="24"/>
          <w:szCs w:val="24"/>
        </w:rPr>
        <w:t>evaluate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the applications, conduct</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verification investigations, and issue</w:t>
      </w:r>
      <w:r w:rsidR="00C75B57">
        <w:rPr>
          <w:rFonts w:ascii="Times New Roman" w:hAnsi="Times New Roman" w:cs="Times New Roman"/>
          <w:bCs/>
          <w:sz w:val="24"/>
          <w:szCs w:val="24"/>
        </w:rPr>
        <w:t>s</w:t>
      </w:r>
      <w:r w:rsidRPr="000E289D">
        <w:rPr>
          <w:rFonts w:ascii="Times New Roman" w:hAnsi="Times New Roman" w:cs="Times New Roman"/>
          <w:bCs/>
          <w:sz w:val="24"/>
          <w:szCs w:val="24"/>
        </w:rPr>
        <w:t xml:space="preserve"> recommendations regarding applicants’ eligibility to sit for the examination and eligibility to receive direct payment.  </w:t>
      </w:r>
      <w:r w:rsidRPr="000E289D">
        <w:rPr>
          <w:rFonts w:ascii="Times New Roman" w:hAnsi="Times New Roman" w:cs="Times New Roman"/>
          <w:sz w:val="24"/>
          <w:szCs w:val="24"/>
        </w:rPr>
        <w:t>In addition, one of the requirements for direct payment is the completion of continuing education credits.  To meet these credits, elig</w:t>
      </w:r>
      <w:r w:rsidR="00C75B57">
        <w:rPr>
          <w:rFonts w:ascii="Times New Roman" w:hAnsi="Times New Roman" w:cs="Times New Roman"/>
          <w:sz w:val="24"/>
          <w:szCs w:val="24"/>
        </w:rPr>
        <w:t xml:space="preserve">ible non-attorneys </w:t>
      </w:r>
      <w:r w:rsidRPr="000E289D">
        <w:rPr>
          <w:rFonts w:ascii="Times New Roman" w:hAnsi="Times New Roman" w:cs="Times New Roman"/>
          <w:sz w:val="24"/>
          <w:szCs w:val="24"/>
        </w:rPr>
        <w:t>view training guides and materials, including but not limited to PowerPoint presentations, or Webinars, on ethics, professional conduct, disabilit</w:t>
      </w:r>
      <w:r w:rsidR="00C75B57">
        <w:rPr>
          <w:rFonts w:ascii="Times New Roman" w:hAnsi="Times New Roman" w:cs="Times New Roman"/>
          <w:sz w:val="24"/>
          <w:szCs w:val="24"/>
        </w:rPr>
        <w:t xml:space="preserve">y listings, etc. which SSA </w:t>
      </w:r>
      <w:r w:rsidRPr="000E289D">
        <w:rPr>
          <w:rFonts w:ascii="Times New Roman" w:hAnsi="Times New Roman" w:cs="Times New Roman"/>
          <w:sz w:val="24"/>
          <w:szCs w:val="24"/>
        </w:rPr>
        <w:t>make</w:t>
      </w:r>
      <w:r w:rsidR="00C75B57">
        <w:rPr>
          <w:rFonts w:ascii="Times New Roman" w:hAnsi="Times New Roman" w:cs="Times New Roman"/>
          <w:sz w:val="24"/>
          <w:szCs w:val="24"/>
        </w:rPr>
        <w:t>s</w:t>
      </w:r>
      <w:r w:rsidRPr="000E289D">
        <w:rPr>
          <w:rFonts w:ascii="Times New Roman" w:hAnsi="Times New Roman" w:cs="Times New Roman"/>
          <w:sz w:val="24"/>
          <w:szCs w:val="24"/>
        </w:rPr>
        <w:t xml:space="preserve"> available on the Soc</w:t>
      </w:r>
      <w:r w:rsidR="00C75B57">
        <w:rPr>
          <w:rFonts w:ascii="Times New Roman" w:hAnsi="Times New Roman" w:cs="Times New Roman"/>
          <w:sz w:val="24"/>
          <w:szCs w:val="24"/>
        </w:rPr>
        <w:t>ial Security Website.  The</w:t>
      </w:r>
      <w:r w:rsidR="00981721">
        <w:rPr>
          <w:rFonts w:ascii="Times New Roman" w:hAnsi="Times New Roman" w:cs="Times New Roman"/>
          <w:sz w:val="24"/>
          <w:szCs w:val="24"/>
        </w:rPr>
        <w:t xml:space="preserve">se non-attorneys </w:t>
      </w:r>
      <w:r w:rsidRPr="000E289D">
        <w:rPr>
          <w:rFonts w:ascii="Times New Roman" w:hAnsi="Times New Roman" w:cs="Times New Roman"/>
          <w:sz w:val="24"/>
          <w:szCs w:val="24"/>
        </w:rPr>
        <w:t xml:space="preserve">certify they </w:t>
      </w:r>
      <w:r w:rsidR="00C75B57">
        <w:rPr>
          <w:rFonts w:ascii="Times New Roman" w:hAnsi="Times New Roman" w:cs="Times New Roman"/>
          <w:sz w:val="24"/>
          <w:szCs w:val="24"/>
        </w:rPr>
        <w:t>took</w:t>
      </w:r>
      <w:r w:rsidRPr="000E289D">
        <w:rPr>
          <w:rFonts w:ascii="Times New Roman" w:hAnsi="Times New Roman" w:cs="Times New Roman"/>
          <w:sz w:val="24"/>
          <w:szCs w:val="24"/>
        </w:rPr>
        <w:t xml:space="preserve"> the training by sending us an email message acknowledging their completion of the training within a specified period as </w:t>
      </w:r>
      <w:r w:rsidR="00981721">
        <w:rPr>
          <w:rFonts w:ascii="Times New Roman" w:hAnsi="Times New Roman" w:cs="Times New Roman"/>
          <w:sz w:val="24"/>
          <w:szCs w:val="24"/>
        </w:rPr>
        <w:t xml:space="preserve">we </w:t>
      </w:r>
      <w:r w:rsidRPr="000E289D">
        <w:rPr>
          <w:rFonts w:ascii="Times New Roman" w:hAnsi="Times New Roman" w:cs="Times New Roman"/>
          <w:sz w:val="24"/>
          <w:szCs w:val="24"/>
        </w:rPr>
        <w:t xml:space="preserve">directed.  </w:t>
      </w:r>
      <w:r w:rsidRPr="000E289D">
        <w:rPr>
          <w:rFonts w:ascii="Times New Roman" w:hAnsi="Times New Roman" w:cs="Times New Roman"/>
          <w:bCs/>
          <w:sz w:val="24"/>
          <w:szCs w:val="24"/>
        </w:rPr>
        <w:t>The respondents are non</w:t>
      </w:r>
      <w:r w:rsidR="00405651">
        <w:rPr>
          <w:rFonts w:ascii="Times New Roman" w:hAnsi="Times New Roman" w:cs="Times New Roman"/>
          <w:bCs/>
          <w:sz w:val="24"/>
          <w:szCs w:val="24"/>
        </w:rPr>
        <w:noBreakHyphen/>
      </w:r>
      <w:r w:rsidRPr="000E289D">
        <w:rPr>
          <w:rFonts w:ascii="Times New Roman" w:hAnsi="Times New Roman" w:cs="Times New Roman"/>
          <w:bCs/>
          <w:sz w:val="24"/>
          <w:szCs w:val="24"/>
        </w:rPr>
        <w:t>attorneys who want to receive direct payment of their fees for representational services before SSA.</w:t>
      </w:r>
    </w:p>
    <w:p w:rsidRPr="000E289D" w:rsidR="00990BC8" w:rsidP="00750582" w:rsidRDefault="00990BC8">
      <w:pPr>
        <w:spacing w:after="0" w:line="240" w:lineRule="auto"/>
        <w:ind w:left="1440"/>
        <w:rPr>
          <w:rFonts w:ascii="Times New Roman" w:hAnsi="Times New Roman" w:cs="Times New Roman"/>
          <w:sz w:val="24"/>
          <w:szCs w:val="24"/>
        </w:rPr>
      </w:pPr>
    </w:p>
    <w:p w:rsidR="00990BC8" w:rsidP="00750582" w:rsidRDefault="00990BC8">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Use of Information Technology to Collect the Information</w:t>
      </w:r>
    </w:p>
    <w:p w:rsidR="006123BD" w:rsidP="006123BD" w:rsidRDefault="006123BD">
      <w:pPr>
        <w:pStyle w:val="ListParagraph"/>
        <w:spacing w:after="0" w:line="240" w:lineRule="auto"/>
        <w:ind w:left="1440"/>
        <w:rPr>
          <w:rFonts w:ascii="Times New Roman" w:hAnsi="Times New Roman" w:cs="Times New Roman"/>
          <w:b/>
          <w:sz w:val="24"/>
          <w:szCs w:val="24"/>
        </w:rPr>
      </w:pPr>
      <w:r w:rsidRPr="00A67B7E">
        <w:rPr>
          <w:rFonts w:ascii="Times New Roman" w:hAnsi="Times New Roman" w:cs="Times New Roman"/>
          <w:sz w:val="24"/>
          <w:szCs w:val="24"/>
        </w:rPr>
        <w:t xml:space="preserve">SSA is unable to create an Internet version of this information collection, </w:t>
      </w:r>
      <w:r>
        <w:rPr>
          <w:rFonts w:ascii="Times New Roman" w:hAnsi="Times New Roman" w:cs="Times New Roman"/>
          <w:sz w:val="24"/>
          <w:szCs w:val="24"/>
        </w:rPr>
        <w:t>as</w:t>
      </w:r>
      <w:r w:rsidRPr="000E289D">
        <w:rPr>
          <w:rFonts w:ascii="Times New Roman" w:hAnsi="Times New Roman" w:cs="Times New Roman"/>
          <w:sz w:val="24"/>
          <w:szCs w:val="24"/>
        </w:rPr>
        <w:t xml:space="preserve"> the Statement of Work states the contractor must collect the information using a paper questionnaire form since </w:t>
      </w:r>
      <w:r>
        <w:rPr>
          <w:rFonts w:ascii="Times New Roman" w:hAnsi="Times New Roman" w:cs="Times New Roman"/>
          <w:sz w:val="24"/>
          <w:szCs w:val="24"/>
        </w:rPr>
        <w:t xml:space="preserve">we require </w:t>
      </w:r>
      <w:r w:rsidRPr="000E289D">
        <w:rPr>
          <w:rFonts w:ascii="Times New Roman" w:hAnsi="Times New Roman" w:cs="Times New Roman"/>
          <w:sz w:val="24"/>
          <w:szCs w:val="24"/>
        </w:rPr>
        <w:t>a wet signature on the application.  SSA made the paper form available for print on the contractor’s Internet website.  However, applicants need to print it out, complete the form, and mail or deliver the signed paper form to the contractor.</w:t>
      </w:r>
    </w:p>
    <w:p w:rsidRPr="00C75B57" w:rsidR="00C75B57" w:rsidP="00750582" w:rsidRDefault="00C75B57">
      <w:pPr>
        <w:spacing w:after="0" w:line="240" w:lineRule="auto"/>
        <w:ind w:left="1440"/>
        <w:rPr>
          <w:rFonts w:ascii="Times New Roman" w:hAnsi="Times New Roman" w:cs="Times New Roman"/>
          <w:b/>
          <w:sz w:val="24"/>
          <w:szCs w:val="24"/>
        </w:rPr>
      </w:pP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Why We Cannot Use Duplicate Information</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The nature of the information we collect</w:t>
      </w:r>
      <w:r w:rsidR="00405651">
        <w:rPr>
          <w:rFonts w:ascii="Times New Roman" w:hAnsi="Times New Roman" w:cs="Times New Roman"/>
          <w:sz w:val="24"/>
          <w:szCs w:val="24"/>
        </w:rPr>
        <w:t xml:space="preserve"> </w:t>
      </w:r>
      <w:r w:rsidRPr="000E289D">
        <w:rPr>
          <w:rFonts w:ascii="Times New Roman" w:hAnsi="Times New Roman" w:cs="Times New Roman"/>
          <w:sz w:val="24"/>
          <w:szCs w:val="24"/>
        </w:rPr>
        <w:t>and the manner in which we collect</w:t>
      </w:r>
      <w:r w:rsidR="00405651">
        <w:rPr>
          <w:rFonts w:ascii="Times New Roman" w:hAnsi="Times New Roman" w:cs="Times New Roman"/>
          <w:sz w:val="24"/>
          <w:szCs w:val="24"/>
        </w:rPr>
        <w:t xml:space="preserve"> </w:t>
      </w:r>
      <w:r w:rsidRPr="000E289D">
        <w:rPr>
          <w:rFonts w:ascii="Times New Roman" w:hAnsi="Times New Roman" w:cs="Times New Roman"/>
          <w:sz w:val="24"/>
          <w:szCs w:val="24"/>
        </w:rPr>
        <w:t>it preclude duplication.  SSA does not use another collection instrument to obtain similar data.</w:t>
      </w:r>
    </w:p>
    <w:p w:rsidRPr="000E289D" w:rsidR="00981721" w:rsidP="00750582" w:rsidRDefault="00981721">
      <w:pPr>
        <w:pStyle w:val="ListParagraph"/>
        <w:spacing w:after="0" w:line="240" w:lineRule="auto"/>
        <w:ind w:left="1440"/>
        <w:rPr>
          <w:rFonts w:ascii="Times New Roman" w:hAnsi="Times New Roman" w:cs="Times New Roman"/>
          <w:b/>
          <w:sz w:val="24"/>
          <w:szCs w:val="24"/>
        </w:rPr>
      </w:pP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Minimizing Burden on Small Respondents</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This collection does not affect small businesses or other small entities.</w:t>
      </w: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Consequence of Not Collecting Information or Collecting it Less Frequently</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If we did not use the application, the applicants would have no way to apply to become eligible to receive direct payment.  This would be in violation of regulations at </w:t>
      </w:r>
      <w:r w:rsidRPr="00405651" w:rsidR="00405651">
        <w:rPr>
          <w:rFonts w:ascii="Times New Roman" w:hAnsi="Times New Roman" w:cs="Times New Roman"/>
          <w:i/>
          <w:sz w:val="24"/>
          <w:szCs w:val="24"/>
        </w:rPr>
        <w:t>20 CFR 404.1717</w:t>
      </w:r>
      <w:r w:rsidRPr="000E289D">
        <w:rPr>
          <w:rFonts w:ascii="Times New Roman" w:hAnsi="Times New Roman" w:cs="Times New Roman"/>
          <w:i/>
          <w:sz w:val="24"/>
          <w:szCs w:val="24"/>
        </w:rPr>
        <w:t xml:space="preserve">.  </w:t>
      </w:r>
      <w:r w:rsidRPr="000E289D">
        <w:rPr>
          <w:rFonts w:ascii="Times New Roman" w:hAnsi="Times New Roman" w:cs="Times New Roman"/>
          <w:sz w:val="24"/>
          <w:szCs w:val="24"/>
        </w:rPr>
        <w:t>Since the applicants must submit their applications during the yearly application period within the time we prescribe, we cannot collect the information less frequently.  There are no technical or legal obstacles to burden reduction.</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Special Circumstance</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There are no special circumstances that would cause SSA to conduct this information collection in a manner inconsistent with </w:t>
      </w:r>
      <w:r w:rsidRPr="000E289D">
        <w:rPr>
          <w:rFonts w:ascii="Times New Roman" w:hAnsi="Times New Roman" w:cs="Times New Roman"/>
          <w:i/>
          <w:sz w:val="24"/>
          <w:szCs w:val="24"/>
        </w:rPr>
        <w:t>5 CFR 1320.5.</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Solicitation of Public Comment and Other Consultations with the Public</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The 60-day advance Federal </w:t>
      </w:r>
      <w:r w:rsidR="00A7225A">
        <w:rPr>
          <w:rFonts w:ascii="Times New Roman" w:hAnsi="Times New Roman" w:cs="Times New Roman"/>
          <w:sz w:val="24"/>
          <w:szCs w:val="24"/>
        </w:rPr>
        <w:t xml:space="preserve">Register Notice published on </w:t>
      </w:r>
      <w:r w:rsidR="002872DE">
        <w:rPr>
          <w:rFonts w:ascii="Times New Roman" w:hAnsi="Times New Roman" w:cs="Times New Roman"/>
          <w:sz w:val="24"/>
          <w:szCs w:val="24"/>
        </w:rPr>
        <w:t>February 21</w:t>
      </w:r>
      <w:r w:rsidRPr="000E289D">
        <w:rPr>
          <w:rFonts w:ascii="Times New Roman" w:hAnsi="Times New Roman" w:cs="Times New Roman"/>
          <w:sz w:val="24"/>
          <w:szCs w:val="24"/>
        </w:rPr>
        <w:t xml:space="preserve">, </w:t>
      </w:r>
      <w:r w:rsidR="002872DE">
        <w:rPr>
          <w:rFonts w:ascii="Times New Roman" w:hAnsi="Times New Roman" w:cs="Times New Roman"/>
          <w:sz w:val="24"/>
          <w:szCs w:val="24"/>
        </w:rPr>
        <w:t xml:space="preserve">2017, </w:t>
      </w:r>
      <w:r w:rsidRPr="000E289D">
        <w:rPr>
          <w:rFonts w:ascii="Times New Roman" w:hAnsi="Times New Roman" w:cs="Times New Roman"/>
          <w:sz w:val="24"/>
          <w:szCs w:val="24"/>
        </w:rPr>
        <w:t xml:space="preserve">at </w:t>
      </w:r>
      <w:r w:rsidR="002872DE">
        <w:rPr>
          <w:rFonts w:ascii="Times New Roman" w:hAnsi="Times New Roman" w:cs="Times New Roman"/>
          <w:sz w:val="24"/>
          <w:szCs w:val="24"/>
        </w:rPr>
        <w:t>82</w:t>
      </w:r>
      <w:r w:rsidRPr="000E289D">
        <w:rPr>
          <w:rFonts w:ascii="Times New Roman" w:hAnsi="Times New Roman" w:cs="Times New Roman"/>
          <w:sz w:val="24"/>
          <w:szCs w:val="24"/>
        </w:rPr>
        <w:t xml:space="preserve"> FR </w:t>
      </w:r>
      <w:r w:rsidR="002872DE">
        <w:rPr>
          <w:rFonts w:ascii="Times New Roman" w:hAnsi="Times New Roman" w:cs="Times New Roman"/>
          <w:sz w:val="24"/>
          <w:szCs w:val="24"/>
        </w:rPr>
        <w:t>11293</w:t>
      </w:r>
      <w:r w:rsidRPr="000E289D">
        <w:rPr>
          <w:rFonts w:ascii="Times New Roman" w:hAnsi="Times New Roman" w:cs="Times New Roman"/>
          <w:sz w:val="24"/>
          <w:szCs w:val="24"/>
        </w:rPr>
        <w:t xml:space="preserve">, and we received no public comments.  </w:t>
      </w:r>
      <w:r w:rsidRPr="002872DE" w:rsidR="002872DE">
        <w:rPr>
          <w:rFonts w:ascii="Times New Roman" w:hAnsi="Times New Roman" w:cs="Times New Roman"/>
          <w:sz w:val="24"/>
          <w:szCs w:val="24"/>
        </w:rPr>
        <w:t xml:space="preserve">The 30-day FRN published on </w:t>
      </w:r>
      <w:r w:rsidR="002A05EE">
        <w:rPr>
          <w:rFonts w:ascii="Times New Roman" w:hAnsi="Times New Roman" w:cs="Times New Roman"/>
          <w:sz w:val="24"/>
          <w:szCs w:val="24"/>
        </w:rPr>
        <w:t xml:space="preserve">May 5, 2017 </w:t>
      </w:r>
      <w:r w:rsidRPr="002872DE" w:rsidR="002872DE">
        <w:rPr>
          <w:rFonts w:ascii="Times New Roman" w:hAnsi="Times New Roman" w:cs="Times New Roman"/>
          <w:sz w:val="24"/>
          <w:szCs w:val="24"/>
        </w:rPr>
        <w:t xml:space="preserve">at </w:t>
      </w:r>
      <w:r w:rsidR="002A05EE">
        <w:rPr>
          <w:rFonts w:ascii="Times New Roman" w:hAnsi="Times New Roman" w:cs="Times New Roman"/>
          <w:sz w:val="24"/>
          <w:szCs w:val="24"/>
        </w:rPr>
        <w:t>82</w:t>
      </w:r>
      <w:r w:rsidRPr="002872DE" w:rsidR="002872DE">
        <w:rPr>
          <w:rFonts w:ascii="Times New Roman" w:hAnsi="Times New Roman" w:cs="Times New Roman"/>
          <w:sz w:val="24"/>
          <w:szCs w:val="24"/>
        </w:rPr>
        <w:t xml:space="preserve"> FR </w:t>
      </w:r>
      <w:r w:rsidR="002A05EE">
        <w:rPr>
          <w:rFonts w:ascii="Times New Roman" w:hAnsi="Times New Roman" w:cs="Times New Roman"/>
          <w:sz w:val="24"/>
          <w:szCs w:val="24"/>
        </w:rPr>
        <w:t>21291</w:t>
      </w:r>
      <w:r w:rsidRPr="002872DE" w:rsidR="002872DE">
        <w:rPr>
          <w:rFonts w:ascii="Times New Roman" w:hAnsi="Times New Roman" w:cs="Times New Roman"/>
          <w:sz w:val="24"/>
          <w:szCs w:val="24"/>
        </w:rPr>
        <w:t>.  If we receive any comments in response to this Notice, we will forward them to OMB</w:t>
      </w:r>
      <w:r w:rsidRPr="000E289D">
        <w:rPr>
          <w:rFonts w:ascii="Times New Roman" w:hAnsi="Times New Roman" w:cs="Times New Roman"/>
          <w:sz w:val="24"/>
          <w:szCs w:val="24"/>
        </w:rPr>
        <w:t>.</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Payment or Gifts to Respondents</w:t>
      </w:r>
    </w:p>
    <w:p w:rsidRPr="000E289D" w:rsidR="00E82A93" w:rsidP="00750582" w:rsidRDefault="00E82A93">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SSA does not provide payments or gifts to the respondents.</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Assurances of Confidentiality</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 xml:space="preserve">SSA protects and holds confidential the information it collects in accordance with </w:t>
      </w:r>
      <w:r w:rsidRPr="000E289D">
        <w:rPr>
          <w:rFonts w:ascii="Times New Roman" w:hAnsi="Times New Roman" w:cs="Times New Roman"/>
          <w:i/>
          <w:sz w:val="24"/>
          <w:szCs w:val="24"/>
        </w:rPr>
        <w:t xml:space="preserve">42 U.S.C. 1306, 20 CFR 401 </w:t>
      </w:r>
      <w:r w:rsidRPr="000E289D">
        <w:rPr>
          <w:rFonts w:ascii="Times New Roman" w:hAnsi="Times New Roman" w:cs="Times New Roman"/>
          <w:sz w:val="24"/>
          <w:szCs w:val="24"/>
        </w:rPr>
        <w:t xml:space="preserve">and </w:t>
      </w:r>
      <w:r w:rsidRPr="000E289D">
        <w:rPr>
          <w:rFonts w:ascii="Times New Roman" w:hAnsi="Times New Roman" w:cs="Times New Roman"/>
          <w:i/>
          <w:sz w:val="24"/>
          <w:szCs w:val="24"/>
        </w:rPr>
        <w:t xml:space="preserve">402, 5 U.S.C. 552 </w:t>
      </w:r>
      <w:r w:rsidRPr="000E289D">
        <w:rPr>
          <w:rFonts w:ascii="Times New Roman" w:hAnsi="Times New Roman" w:cs="Times New Roman"/>
          <w:sz w:val="24"/>
          <w:szCs w:val="24"/>
        </w:rPr>
        <w:t>(Freedom of Information Act),</w:t>
      </w:r>
      <w:r w:rsidRPr="000E289D">
        <w:rPr>
          <w:rFonts w:ascii="Times New Roman" w:hAnsi="Times New Roman" w:cs="Times New Roman"/>
          <w:i/>
          <w:sz w:val="24"/>
          <w:szCs w:val="24"/>
        </w:rPr>
        <w:t xml:space="preserve"> 5 U.S.C. 552a </w:t>
      </w:r>
      <w:r w:rsidRPr="000E289D">
        <w:rPr>
          <w:rFonts w:ascii="Times New Roman" w:hAnsi="Times New Roman" w:cs="Times New Roman"/>
          <w:sz w:val="24"/>
          <w:szCs w:val="24"/>
        </w:rPr>
        <w:t>(Privacy Act of 1974), and OMB Circular No. A-130.</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p>
    <w:p w:rsidRPr="000E289D" w:rsidR="00E82A93" w:rsidP="00750582"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Justification for Sensitive Questions</w:t>
      </w:r>
    </w:p>
    <w:p w:rsidRPr="000E289D" w:rsidR="00E82A93" w:rsidP="00750582" w:rsidRDefault="00E82A93">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The information collection does not contain any questions of a sensitive nature.</w:t>
      </w:r>
    </w:p>
    <w:p w:rsidRPr="000E289D" w:rsidR="00E82A93" w:rsidP="00750582" w:rsidRDefault="00E82A93">
      <w:pPr>
        <w:pStyle w:val="ListParagraph"/>
        <w:spacing w:after="0" w:line="240" w:lineRule="auto"/>
        <w:ind w:left="1440"/>
        <w:rPr>
          <w:rFonts w:ascii="Times New Roman" w:hAnsi="Times New Roman" w:cs="Times New Roman"/>
          <w:b/>
          <w:sz w:val="24"/>
          <w:szCs w:val="24"/>
        </w:rPr>
      </w:pPr>
    </w:p>
    <w:p w:rsidRPr="006307F0" w:rsidR="00E82A93" w:rsidP="006307F0" w:rsidRDefault="00E82A93">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 xml:space="preserve">Estimates of </w:t>
      </w:r>
      <w:r w:rsidR="00104AF2">
        <w:rPr>
          <w:rFonts w:ascii="Times New Roman" w:hAnsi="Times New Roman" w:cs="Times New Roman"/>
          <w:b/>
          <w:sz w:val="24"/>
          <w:szCs w:val="24"/>
        </w:rPr>
        <w:t>Public Reporting Burden</w:t>
      </w:r>
    </w:p>
    <w:tbl>
      <w:tblPr>
        <w:tblpPr w:leftFromText="180" w:rightFromText="180" w:vertAnchor="text" w:horzAnchor="page" w:tblpX="701" w:tblpY="422"/>
        <w:tblW w:w="1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530"/>
        <w:gridCol w:w="1350"/>
        <w:gridCol w:w="1350"/>
        <w:gridCol w:w="1260"/>
        <w:gridCol w:w="1530"/>
        <w:gridCol w:w="1990"/>
      </w:tblGrid>
      <w:tr w:rsidRPr="00EF73EF" w:rsidR="00770067" w:rsidTr="00770067">
        <w:trPr>
          <w:trHeight w:val="220"/>
        </w:trPr>
        <w:tc>
          <w:tcPr>
            <w:tcW w:w="2250" w:type="dxa"/>
            <w:shd w:val="clear" w:color="auto" w:fill="auto"/>
          </w:tcPr>
          <w:p w:rsidRPr="00EF73EF" w:rsidR="00EF73EF" w:rsidP="00770067" w:rsidRDefault="00EF73EF">
            <w:pPr>
              <w:tabs>
                <w:tab w:val="left" w:pos="1350"/>
              </w:tabs>
              <w:autoSpaceDE w:val="0"/>
              <w:autoSpaceDN w:val="0"/>
              <w:adjustRightInd w:val="0"/>
              <w:spacing w:after="0" w:line="240" w:lineRule="auto"/>
              <w:ind w:hanging="18"/>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Modality of Completion</w:t>
            </w:r>
          </w:p>
        </w:tc>
        <w:tc>
          <w:tcPr>
            <w:tcW w:w="1530" w:type="dxa"/>
            <w:shd w:val="clear" w:color="auto" w:fill="auto"/>
          </w:tcPr>
          <w:p w:rsidRPr="00EF73EF" w:rsidR="00EF73EF" w:rsidP="00770067" w:rsidRDefault="00EF73EF">
            <w:pPr>
              <w:tabs>
                <w:tab w:val="left" w:pos="1350"/>
              </w:tabs>
              <w:autoSpaceDE w:val="0"/>
              <w:autoSpaceDN w:val="0"/>
              <w:adjustRightInd w:val="0"/>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Number of Respondents</w:t>
            </w:r>
          </w:p>
        </w:tc>
        <w:tc>
          <w:tcPr>
            <w:tcW w:w="1350" w:type="dxa"/>
            <w:shd w:val="clear" w:color="auto" w:fill="auto"/>
          </w:tcPr>
          <w:p w:rsidRPr="00EF73EF" w:rsidR="00EF73EF" w:rsidP="00770067" w:rsidRDefault="00EF73EF">
            <w:pPr>
              <w:tabs>
                <w:tab w:val="left" w:pos="1350"/>
              </w:tabs>
              <w:autoSpaceDE w:val="0"/>
              <w:autoSpaceDN w:val="0"/>
              <w:adjustRightInd w:val="0"/>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Frequency of Response</w:t>
            </w:r>
          </w:p>
        </w:tc>
        <w:tc>
          <w:tcPr>
            <w:tcW w:w="1350" w:type="dxa"/>
            <w:shd w:val="clear" w:color="auto" w:fill="auto"/>
          </w:tcPr>
          <w:p w:rsidRPr="00EF73EF" w:rsidR="00EF73EF" w:rsidP="00770067" w:rsidRDefault="00EF73EF">
            <w:pPr>
              <w:tabs>
                <w:tab w:val="left" w:pos="1350"/>
              </w:tabs>
              <w:autoSpaceDE w:val="0"/>
              <w:autoSpaceDN w:val="0"/>
              <w:adjustRightInd w:val="0"/>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Average Burden per Response (minutes)</w:t>
            </w:r>
          </w:p>
        </w:tc>
        <w:tc>
          <w:tcPr>
            <w:tcW w:w="1260" w:type="dxa"/>
            <w:shd w:val="clear" w:color="auto" w:fill="auto"/>
          </w:tcPr>
          <w:p w:rsidRPr="00EF73EF" w:rsidR="00EF73EF" w:rsidP="00770067" w:rsidRDefault="00EF73EF">
            <w:pPr>
              <w:tabs>
                <w:tab w:val="left" w:pos="1350"/>
              </w:tabs>
              <w:autoSpaceDE w:val="0"/>
              <w:autoSpaceDN w:val="0"/>
              <w:adjustRightInd w:val="0"/>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Estimated Total Annual Burden (hours)</w:t>
            </w:r>
          </w:p>
        </w:tc>
        <w:tc>
          <w:tcPr>
            <w:tcW w:w="1530" w:type="dxa"/>
            <w:shd w:val="clear" w:color="auto" w:fill="auto"/>
          </w:tcPr>
          <w:p w:rsidRPr="00EF73EF" w:rsidR="00EF73EF" w:rsidP="00770067" w:rsidRDefault="00EF73EF">
            <w:pPr>
              <w:tabs>
                <w:tab w:val="left" w:pos="1350"/>
              </w:tabs>
              <w:autoSpaceDE w:val="0"/>
              <w:autoSpaceDN w:val="0"/>
              <w:adjustRightInd w:val="0"/>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Average Theoretical Hourly Cost Amount (dollars)*</w:t>
            </w:r>
          </w:p>
        </w:tc>
        <w:tc>
          <w:tcPr>
            <w:tcW w:w="1990" w:type="dxa"/>
            <w:shd w:val="clear" w:color="auto" w:fill="auto"/>
          </w:tcPr>
          <w:p w:rsidRPr="00EF73EF" w:rsidR="00EF73EF" w:rsidP="00770067" w:rsidRDefault="00EF73EF">
            <w:pPr>
              <w:autoSpaceDE w:val="0"/>
              <w:autoSpaceDN w:val="0"/>
              <w:adjustRightInd w:val="0"/>
              <w:spacing w:after="0" w:line="240" w:lineRule="auto"/>
              <w:rPr>
                <w:rFonts w:ascii="Times New Roman" w:hAnsi="Times New Roman" w:eastAsia="Calibri" w:cs="Times New Roman"/>
                <w:b/>
                <w:sz w:val="24"/>
                <w:szCs w:val="24"/>
                <w:lang w:eastAsia="zh-CN"/>
              </w:rPr>
            </w:pPr>
            <w:r w:rsidRPr="00EF73EF">
              <w:rPr>
                <w:rFonts w:ascii="Times New Roman" w:hAnsi="Times New Roman" w:eastAsia="Calibri" w:cs="Times New Roman"/>
                <w:b/>
                <w:sz w:val="24"/>
                <w:szCs w:val="24"/>
                <w:lang w:eastAsia="zh-CN"/>
              </w:rPr>
              <w:t>Total Annual Opportu</w:t>
            </w:r>
            <w:r w:rsidR="00770067">
              <w:rPr>
                <w:rFonts w:ascii="Times New Roman" w:hAnsi="Times New Roman" w:eastAsia="Calibri" w:cs="Times New Roman"/>
                <w:b/>
                <w:sz w:val="24"/>
                <w:szCs w:val="24"/>
                <w:lang w:eastAsia="zh-CN"/>
              </w:rPr>
              <w:t>nity Cost (dollars) **</w:t>
            </w:r>
          </w:p>
        </w:tc>
      </w:tr>
      <w:tr w:rsidRPr="00EF73EF" w:rsidR="00770067" w:rsidTr="006123BD">
        <w:trPr>
          <w:trHeight w:val="1658"/>
        </w:trPr>
        <w:tc>
          <w:tcPr>
            <w:tcW w:w="2250" w:type="dxa"/>
            <w:shd w:val="clear" w:color="auto" w:fill="auto"/>
          </w:tcPr>
          <w:p w:rsidRPr="00EF73EF" w:rsidR="00EF73EF" w:rsidP="00770067" w:rsidRDefault="00EF73EF">
            <w:pPr>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New Respondents – Paper Application (complete and submit) – 404.1717(b)&amp;(c);</w:t>
            </w:r>
          </w:p>
          <w:p w:rsidRPr="00EF73EF" w:rsidR="00EF73EF" w:rsidP="006123BD" w:rsidRDefault="00EF73EF">
            <w:pPr>
              <w:widowControl w:val="0"/>
              <w:spacing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416.1517(b)&amp;(c)</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468</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45</w:t>
            </w:r>
          </w:p>
        </w:tc>
        <w:tc>
          <w:tcPr>
            <w:tcW w:w="126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351</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$26.45*</w:t>
            </w:r>
          </w:p>
        </w:tc>
        <w:tc>
          <w:tcPr>
            <w:tcW w:w="1990" w:type="dxa"/>
            <w:shd w:val="clear" w:color="auto" w:fill="auto"/>
          </w:tcPr>
          <w:p w:rsidRPr="00EF73EF" w:rsidR="00EF73EF" w:rsidP="00770067" w:rsidRDefault="00EF73EF">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w:t>
            </w:r>
            <w:r>
              <w:rPr>
                <w:rFonts w:ascii="Times New Roman" w:hAnsi="Times New Roman" w:eastAsia="Calibri" w:cs="Times New Roman"/>
                <w:sz w:val="24"/>
                <w:szCs w:val="24"/>
                <w:lang w:eastAsia="zh-CN"/>
              </w:rPr>
              <w:t>9,284</w:t>
            </w:r>
            <w:r w:rsidR="00770067">
              <w:rPr>
                <w:rFonts w:ascii="Times New Roman" w:hAnsi="Times New Roman" w:eastAsia="Calibri" w:cs="Times New Roman"/>
                <w:sz w:val="24"/>
                <w:szCs w:val="24"/>
                <w:lang w:eastAsia="zh-CN"/>
              </w:rPr>
              <w:t>**</w:t>
            </w:r>
          </w:p>
        </w:tc>
      </w:tr>
      <w:tr w:rsidRPr="00EF73EF" w:rsidR="00770067" w:rsidTr="00770067">
        <w:trPr>
          <w:trHeight w:val="293"/>
        </w:trPr>
        <w:tc>
          <w:tcPr>
            <w:tcW w:w="2250" w:type="dxa"/>
            <w:shd w:val="clear" w:color="auto" w:fill="auto"/>
          </w:tcPr>
          <w:p w:rsidRPr="00EF73EF" w:rsidR="00EF73EF" w:rsidP="00770067" w:rsidRDefault="00EF73EF">
            <w:pPr>
              <w:widowControl w:val="0"/>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New Respondents Examination – 404.1717(a)(5); 416.1517(a)(5)</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460</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120</w:t>
            </w:r>
          </w:p>
        </w:tc>
        <w:tc>
          <w:tcPr>
            <w:tcW w:w="126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920</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$26.45*</w:t>
            </w:r>
          </w:p>
        </w:tc>
        <w:tc>
          <w:tcPr>
            <w:tcW w:w="1990" w:type="dxa"/>
            <w:shd w:val="clear" w:color="auto" w:fill="auto"/>
          </w:tcPr>
          <w:p w:rsidRPr="00EF73EF" w:rsidR="00EF73EF" w:rsidP="00770067" w:rsidRDefault="00EF73EF">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w:t>
            </w:r>
            <w:r>
              <w:rPr>
                <w:rFonts w:ascii="Times New Roman" w:hAnsi="Times New Roman" w:eastAsia="Calibri" w:cs="Times New Roman"/>
                <w:sz w:val="24"/>
                <w:szCs w:val="24"/>
                <w:lang w:eastAsia="zh-CN"/>
              </w:rPr>
              <w:t>24,334</w:t>
            </w:r>
            <w:r w:rsidR="00770067">
              <w:rPr>
                <w:rFonts w:ascii="Times New Roman" w:hAnsi="Times New Roman" w:eastAsia="Calibri" w:cs="Times New Roman"/>
                <w:sz w:val="24"/>
                <w:szCs w:val="24"/>
                <w:lang w:eastAsia="zh-CN"/>
              </w:rPr>
              <w:t>**</w:t>
            </w:r>
          </w:p>
        </w:tc>
      </w:tr>
      <w:tr w:rsidRPr="00EF73EF" w:rsidR="00770067" w:rsidTr="00770067">
        <w:trPr>
          <w:trHeight w:val="293"/>
        </w:trPr>
        <w:tc>
          <w:tcPr>
            <w:tcW w:w="2250" w:type="dxa"/>
            <w:shd w:val="clear" w:color="auto" w:fill="auto"/>
          </w:tcPr>
          <w:p w:rsidRPr="00EF73EF" w:rsidR="00EF73EF" w:rsidP="00770067" w:rsidRDefault="00EF73EF">
            <w:pPr>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New Respondents  -  Submission of proof of Bachelor’s Degree or Equivalent Qualifications – 404.1717(a)(3);</w:t>
            </w:r>
          </w:p>
          <w:p w:rsidRPr="00EF73EF" w:rsidR="00EF73EF" w:rsidP="00770067" w:rsidRDefault="00EF73EF">
            <w:pPr>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416.1517(a)(3)</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458</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10</w:t>
            </w:r>
          </w:p>
        </w:tc>
        <w:tc>
          <w:tcPr>
            <w:tcW w:w="126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76</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$26.45*</w:t>
            </w:r>
          </w:p>
        </w:tc>
        <w:tc>
          <w:tcPr>
            <w:tcW w:w="1990" w:type="dxa"/>
            <w:shd w:val="clear" w:color="auto" w:fill="auto"/>
          </w:tcPr>
          <w:p w:rsidRPr="00EF73EF" w:rsidR="00EF73EF" w:rsidP="00770067" w:rsidRDefault="00EF73EF">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$24,334</w:t>
            </w:r>
            <w:r w:rsidR="00770067">
              <w:rPr>
                <w:rFonts w:ascii="Times New Roman" w:hAnsi="Times New Roman" w:eastAsia="Calibri" w:cs="Times New Roman"/>
                <w:sz w:val="24"/>
                <w:szCs w:val="24"/>
                <w:lang w:eastAsia="zh-CN"/>
              </w:rPr>
              <w:t>**</w:t>
            </w:r>
          </w:p>
        </w:tc>
      </w:tr>
      <w:tr w:rsidRPr="00EF73EF" w:rsidR="00770067" w:rsidTr="00770067">
        <w:trPr>
          <w:trHeight w:val="293"/>
        </w:trPr>
        <w:tc>
          <w:tcPr>
            <w:tcW w:w="2250" w:type="dxa"/>
            <w:shd w:val="clear" w:color="auto" w:fill="auto"/>
          </w:tcPr>
          <w:p w:rsidRPr="00EF73EF" w:rsidR="00EF73EF" w:rsidP="00770067" w:rsidRDefault="00EF73EF">
            <w:pPr>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New and Existing Respondents - CE Submission via email/mail/or FAX of training courses taken as  prescribed by SSA – 404.1717(a)(7); 416.1517(a)(7)</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1,374</w:t>
            </w:r>
          </w:p>
        </w:tc>
        <w:tc>
          <w:tcPr>
            <w:tcW w:w="1350" w:type="dxa"/>
            <w:shd w:val="clear" w:color="auto" w:fill="auto"/>
          </w:tcPr>
          <w:p w:rsidRPr="00EF73EF" w:rsidR="00EF73EF" w:rsidP="00770067" w:rsidRDefault="00EF73EF">
            <w:pPr>
              <w:widowControl w:val="0"/>
              <w:tabs>
                <w:tab w:val="left" w:pos="241"/>
              </w:tabs>
              <w:snapToGrid w:val="0"/>
              <w:spacing w:after="0" w:line="240" w:lineRule="auto"/>
              <w:ind w:left="-104" w:firstLine="104"/>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20</w:t>
            </w:r>
          </w:p>
        </w:tc>
        <w:tc>
          <w:tcPr>
            <w:tcW w:w="126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458</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$26.45*</w:t>
            </w:r>
          </w:p>
        </w:tc>
        <w:tc>
          <w:tcPr>
            <w:tcW w:w="1990" w:type="dxa"/>
            <w:shd w:val="clear" w:color="auto" w:fill="auto"/>
          </w:tcPr>
          <w:p w:rsidRPr="00EF73EF" w:rsidR="00EF73EF" w:rsidP="00770067" w:rsidRDefault="00EF73EF">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$24,334</w:t>
            </w:r>
            <w:r w:rsidR="00770067">
              <w:rPr>
                <w:rFonts w:ascii="Times New Roman" w:hAnsi="Times New Roman" w:eastAsia="Calibri" w:cs="Times New Roman"/>
                <w:sz w:val="24"/>
                <w:szCs w:val="24"/>
                <w:lang w:eastAsia="zh-CN"/>
              </w:rPr>
              <w:t>**</w:t>
            </w:r>
          </w:p>
        </w:tc>
      </w:tr>
      <w:tr w:rsidRPr="00EF73EF" w:rsidR="00770067" w:rsidTr="00770067">
        <w:trPr>
          <w:trHeight w:val="293"/>
        </w:trPr>
        <w:tc>
          <w:tcPr>
            <w:tcW w:w="2250" w:type="dxa"/>
            <w:shd w:val="clear" w:color="auto" w:fill="auto"/>
          </w:tcPr>
          <w:p w:rsidRPr="00EF73EF" w:rsidR="00EF73EF" w:rsidP="00770067" w:rsidRDefault="00EF73EF">
            <w:pPr>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New and Existing Respondents - Proof of Continuous Professional or Business Liability Insurance Coverage (Scan and  Email) – 404.1717(a)(6); 416.1517(a)(6)</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1,099</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10</w:t>
            </w:r>
          </w:p>
        </w:tc>
        <w:tc>
          <w:tcPr>
            <w:tcW w:w="126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183</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$26.45*</w:t>
            </w:r>
          </w:p>
        </w:tc>
        <w:tc>
          <w:tcPr>
            <w:tcW w:w="1990" w:type="dxa"/>
            <w:shd w:val="clear" w:color="auto" w:fill="auto"/>
          </w:tcPr>
          <w:p w:rsidRPr="00EF73EF" w:rsidR="00EF73EF" w:rsidP="00770067" w:rsidRDefault="00FB30F9">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$24,334</w:t>
            </w:r>
            <w:r w:rsidR="00770067">
              <w:rPr>
                <w:rFonts w:ascii="Times New Roman" w:hAnsi="Times New Roman" w:eastAsia="Calibri" w:cs="Times New Roman"/>
                <w:sz w:val="24"/>
                <w:szCs w:val="24"/>
                <w:lang w:eastAsia="zh-CN"/>
              </w:rPr>
              <w:t>**</w:t>
            </w:r>
          </w:p>
        </w:tc>
      </w:tr>
      <w:tr w:rsidRPr="00EF73EF" w:rsidR="00770067" w:rsidTr="00770067">
        <w:trPr>
          <w:trHeight w:val="293"/>
        </w:trPr>
        <w:tc>
          <w:tcPr>
            <w:tcW w:w="2250" w:type="dxa"/>
            <w:shd w:val="clear" w:color="auto" w:fill="auto"/>
          </w:tcPr>
          <w:p w:rsidRPr="00EF73EF" w:rsidR="00EF73EF" w:rsidP="00770067" w:rsidRDefault="00EF73EF">
            <w:pPr>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New and Existing Respondents - Proof of Continuous Professional or Business Liability Insurance Coverage (Copy and Mail) - 404.1717(a)(6); 416.1517(a)(6)</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275</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15</w:t>
            </w:r>
          </w:p>
        </w:tc>
        <w:tc>
          <w:tcPr>
            <w:tcW w:w="126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69</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$26.45*</w:t>
            </w:r>
          </w:p>
        </w:tc>
        <w:tc>
          <w:tcPr>
            <w:tcW w:w="1990" w:type="dxa"/>
            <w:shd w:val="clear" w:color="auto" w:fill="auto"/>
          </w:tcPr>
          <w:p w:rsidRPr="00EF73EF" w:rsidR="00EF73EF" w:rsidP="00770067" w:rsidRDefault="00FB30F9">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$24,334</w:t>
            </w:r>
            <w:r w:rsidR="00770067">
              <w:rPr>
                <w:rFonts w:ascii="Times New Roman" w:hAnsi="Times New Roman" w:eastAsia="Calibri" w:cs="Times New Roman"/>
                <w:sz w:val="24"/>
                <w:szCs w:val="24"/>
                <w:lang w:eastAsia="zh-CN"/>
              </w:rPr>
              <w:t>**</w:t>
            </w:r>
          </w:p>
        </w:tc>
      </w:tr>
      <w:tr w:rsidRPr="00EF73EF" w:rsidR="00770067" w:rsidTr="00770067">
        <w:trPr>
          <w:trHeight w:val="293"/>
        </w:trPr>
        <w:tc>
          <w:tcPr>
            <w:tcW w:w="2250" w:type="dxa"/>
            <w:shd w:val="clear" w:color="auto" w:fill="auto"/>
          </w:tcPr>
          <w:p w:rsidRPr="00EF73EF" w:rsidR="00EF73EF" w:rsidP="00770067" w:rsidRDefault="00EF73EF">
            <w:pPr>
              <w:spacing w:after="0" w:line="240" w:lineRule="auto"/>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New and Existing Respondents - Written Protests – 404.1717(d); 416.1517(d)</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45</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1</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45</w:t>
            </w:r>
          </w:p>
        </w:tc>
        <w:tc>
          <w:tcPr>
            <w:tcW w:w="126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34</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sz w:val="24"/>
                <w:szCs w:val="24"/>
                <w:lang w:eastAsia="zh-CN"/>
              </w:rPr>
              <w:t>$26.45*</w:t>
            </w:r>
          </w:p>
        </w:tc>
        <w:tc>
          <w:tcPr>
            <w:tcW w:w="1990" w:type="dxa"/>
            <w:shd w:val="clear" w:color="auto" w:fill="auto"/>
          </w:tcPr>
          <w:p w:rsidRPr="00EF73EF" w:rsidR="00EF73EF" w:rsidP="00770067" w:rsidRDefault="00FB30F9">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$24,334</w:t>
            </w:r>
            <w:r w:rsidR="00770067">
              <w:rPr>
                <w:rFonts w:ascii="Times New Roman" w:hAnsi="Times New Roman" w:eastAsia="Calibri" w:cs="Times New Roman"/>
                <w:sz w:val="24"/>
                <w:szCs w:val="24"/>
                <w:lang w:eastAsia="zh-CN"/>
              </w:rPr>
              <w:t>**</w:t>
            </w:r>
          </w:p>
        </w:tc>
      </w:tr>
      <w:tr w:rsidRPr="00EF73EF" w:rsidR="00770067" w:rsidTr="00770067">
        <w:trPr>
          <w:trHeight w:val="293"/>
        </w:trPr>
        <w:tc>
          <w:tcPr>
            <w:tcW w:w="2250" w:type="dxa"/>
            <w:shd w:val="clear" w:color="auto" w:fill="auto"/>
          </w:tcPr>
          <w:p w:rsidRPr="00EF73EF" w:rsidR="00EF73EF" w:rsidP="00770067" w:rsidRDefault="00EF73EF">
            <w:pPr>
              <w:tabs>
                <w:tab w:val="right" w:pos="1782"/>
              </w:tabs>
              <w:spacing w:after="0" w:line="240" w:lineRule="auto"/>
              <w:rPr>
                <w:rFonts w:ascii="Times New Roman" w:hAnsi="Times New Roman" w:eastAsia="Calibri" w:cs="Times New Roman"/>
                <w:b/>
                <w:sz w:val="24"/>
                <w:szCs w:val="24"/>
                <w:lang w:eastAsia="zh-CN"/>
              </w:rPr>
            </w:pPr>
            <w:r w:rsidRPr="00EF73EF">
              <w:rPr>
                <w:rFonts w:ascii="Times New Roman" w:hAnsi="Times New Roman" w:eastAsia="Calibri" w:cs="Times New Roman"/>
                <w:b/>
                <w:sz w:val="24"/>
                <w:szCs w:val="24"/>
                <w:lang w:eastAsia="zh-CN"/>
              </w:rPr>
              <w:t>Totals</w:t>
            </w:r>
          </w:p>
        </w:tc>
        <w:tc>
          <w:tcPr>
            <w:tcW w:w="153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4,179</w:t>
            </w:r>
          </w:p>
        </w:tc>
        <w:tc>
          <w:tcPr>
            <w:tcW w:w="1350" w:type="dxa"/>
            <w:shd w:val="clear" w:color="auto" w:fill="auto"/>
          </w:tcPr>
          <w:p w:rsidRPr="00EF73EF" w:rsidR="00EF73EF" w:rsidP="00770067" w:rsidRDefault="00EF73EF">
            <w:pPr>
              <w:spacing w:after="0" w:line="240" w:lineRule="auto"/>
              <w:jc w:val="right"/>
              <w:rPr>
                <w:rFonts w:ascii="Times New Roman" w:hAnsi="Times New Roman" w:eastAsia="Calibri" w:cs="Times New Roman"/>
                <w:sz w:val="24"/>
                <w:szCs w:val="24"/>
                <w:lang w:eastAsia="zh-CN"/>
              </w:rPr>
            </w:pPr>
          </w:p>
        </w:tc>
        <w:tc>
          <w:tcPr>
            <w:tcW w:w="1350" w:type="dxa"/>
            <w:shd w:val="clear" w:color="auto" w:fill="auto"/>
          </w:tcPr>
          <w:p w:rsidRPr="00EF73EF" w:rsidR="00EF73EF" w:rsidP="00770067" w:rsidRDefault="00EF73EF">
            <w:pPr>
              <w:widowControl w:val="0"/>
              <w:spacing w:after="0" w:line="240" w:lineRule="auto"/>
              <w:jc w:val="right"/>
              <w:rPr>
                <w:rFonts w:ascii="Times New Roman" w:hAnsi="Times New Roman" w:eastAsia="Calibri" w:cs="Times New Roman"/>
                <w:sz w:val="24"/>
                <w:szCs w:val="24"/>
                <w:lang w:eastAsia="zh-CN"/>
              </w:rPr>
            </w:pPr>
          </w:p>
        </w:tc>
        <w:tc>
          <w:tcPr>
            <w:tcW w:w="1260" w:type="dxa"/>
            <w:shd w:val="clear" w:color="auto" w:fill="auto"/>
          </w:tcPr>
          <w:p w:rsidRPr="00EF73EF" w:rsidR="00EF73EF" w:rsidP="00770067" w:rsidRDefault="00EF73EF">
            <w:pPr>
              <w:widowControl w:val="0"/>
              <w:spacing w:after="0" w:line="240" w:lineRule="auto"/>
              <w:jc w:val="right"/>
              <w:rPr>
                <w:rFonts w:ascii="Times New Roman" w:hAnsi="Times New Roman" w:eastAsia="Calibri" w:cs="Times New Roman"/>
                <w:b/>
                <w:sz w:val="24"/>
                <w:szCs w:val="24"/>
                <w:lang w:eastAsia="zh-CN"/>
              </w:rPr>
            </w:pPr>
            <w:r w:rsidRPr="00EF73EF">
              <w:rPr>
                <w:rFonts w:ascii="Times New Roman" w:hAnsi="Times New Roman" w:eastAsia="Calibri" w:cs="Times New Roman"/>
                <w:b/>
                <w:sz w:val="24"/>
                <w:szCs w:val="24"/>
                <w:lang w:eastAsia="zh-CN"/>
              </w:rPr>
              <w:t>2,091</w:t>
            </w:r>
          </w:p>
        </w:tc>
        <w:tc>
          <w:tcPr>
            <w:tcW w:w="1530" w:type="dxa"/>
            <w:shd w:val="clear" w:color="auto" w:fill="auto"/>
          </w:tcPr>
          <w:p w:rsidRPr="00EF73EF" w:rsidR="00EF73EF" w:rsidP="00770067" w:rsidRDefault="00EF73EF">
            <w:pPr>
              <w:widowControl w:val="0"/>
              <w:snapToGrid w:val="0"/>
              <w:spacing w:after="0" w:line="240" w:lineRule="auto"/>
              <w:jc w:val="right"/>
              <w:rPr>
                <w:rFonts w:ascii="Times New Roman" w:hAnsi="Times New Roman" w:eastAsia="Calibri" w:cs="Times New Roman"/>
                <w:sz w:val="24"/>
                <w:szCs w:val="24"/>
                <w:lang w:eastAsia="zh-CN"/>
              </w:rPr>
            </w:pPr>
          </w:p>
        </w:tc>
        <w:tc>
          <w:tcPr>
            <w:tcW w:w="1990" w:type="dxa"/>
            <w:shd w:val="clear" w:color="auto" w:fill="auto"/>
          </w:tcPr>
          <w:p w:rsidRPr="00EF73EF" w:rsidR="00EF73EF" w:rsidP="00770067" w:rsidRDefault="00EF73EF">
            <w:pPr>
              <w:tabs>
                <w:tab w:val="left" w:pos="1350"/>
              </w:tabs>
              <w:autoSpaceDE w:val="0"/>
              <w:autoSpaceDN w:val="0"/>
              <w:adjustRightInd w:val="0"/>
              <w:spacing w:after="0" w:line="240" w:lineRule="auto"/>
              <w:jc w:val="right"/>
              <w:rPr>
                <w:rFonts w:ascii="Times New Roman" w:hAnsi="Times New Roman" w:eastAsia="Calibri" w:cs="Times New Roman"/>
                <w:sz w:val="24"/>
                <w:szCs w:val="24"/>
                <w:lang w:eastAsia="zh-CN"/>
              </w:rPr>
            </w:pPr>
            <w:r w:rsidRPr="00EF73EF">
              <w:rPr>
                <w:rFonts w:ascii="Times New Roman" w:hAnsi="Times New Roman" w:eastAsia="Calibri" w:cs="Times New Roman"/>
                <w:b/>
                <w:sz w:val="24"/>
                <w:szCs w:val="24"/>
                <w:lang w:eastAsia="zh-CN"/>
              </w:rPr>
              <w:t>$</w:t>
            </w:r>
            <w:r w:rsidR="00FB30F9">
              <w:rPr>
                <w:rFonts w:ascii="Times New Roman" w:hAnsi="Times New Roman" w:eastAsia="Calibri" w:cs="Times New Roman"/>
                <w:b/>
                <w:sz w:val="24"/>
                <w:szCs w:val="24"/>
                <w:lang w:eastAsia="zh-CN"/>
              </w:rPr>
              <w:t>155,288</w:t>
            </w:r>
            <w:r w:rsidR="00770067">
              <w:rPr>
                <w:rFonts w:ascii="Times New Roman" w:hAnsi="Times New Roman" w:eastAsia="Calibri" w:cs="Times New Roman"/>
                <w:sz w:val="24"/>
                <w:szCs w:val="24"/>
                <w:lang w:eastAsia="zh-CN"/>
              </w:rPr>
              <w:t>**</w:t>
            </w:r>
          </w:p>
        </w:tc>
      </w:tr>
    </w:tbl>
    <w:p w:rsidRPr="00EF73EF" w:rsidR="00EF73EF" w:rsidP="00EF73EF" w:rsidRDefault="00EF73EF">
      <w:pPr>
        <w:widowControl w:val="0"/>
        <w:spacing w:after="0" w:line="240" w:lineRule="auto"/>
        <w:ind w:left="1440"/>
        <w:rPr>
          <w:rStyle w:val="Hyperlink"/>
          <w:rFonts w:ascii="Times New Roman" w:hAnsi="Times New Roman" w:eastAsia="Times New Roman"/>
          <w:snapToGrid w:val="0"/>
          <w:sz w:val="24"/>
          <w:szCs w:val="24"/>
        </w:rPr>
      </w:pPr>
      <w:r w:rsidRPr="00EF73EF">
        <w:rPr>
          <w:rFonts w:ascii="Times New Roman" w:hAnsi="Times New Roman" w:cs="Times New Roman"/>
          <w:sz w:val="24"/>
          <w:szCs w:val="24"/>
        </w:rPr>
        <w:t xml:space="preserve">* We based this figures on average Paralegal’s hourly salary, as reported by Bureau of Labor Statistics data. </w:t>
      </w:r>
      <w:r w:rsidRPr="00EF73EF">
        <w:rPr>
          <w:rFonts w:ascii="Times New Roman" w:hAnsi="Times New Roman" w:cs="Times New Roman"/>
          <w:sz w:val="24"/>
          <w:szCs w:val="24"/>
          <w:lang w:eastAsia="ar-SA"/>
        </w:rPr>
        <w:t>.</w:t>
      </w:r>
      <w:r w:rsidRPr="00EF73EF">
        <w:rPr>
          <w:rFonts w:ascii="Times New Roman" w:hAnsi="Times New Roman" w:cs="Times New Roman"/>
          <w:color w:val="000000"/>
          <w:sz w:val="24"/>
          <w:szCs w:val="24"/>
          <w:lang w:eastAsia="ar-SA"/>
        </w:rPr>
        <w:t xml:space="preserve">  </w:t>
      </w:r>
      <w:hyperlink w:history="1" r:id="rId5">
        <w:r w:rsidRPr="00EF73EF">
          <w:rPr>
            <w:rFonts w:ascii="Times New Roman" w:hAnsi="Times New Roman" w:cs="Times New Roman"/>
            <w:color w:val="0000FF"/>
            <w:sz w:val="24"/>
            <w:szCs w:val="24"/>
            <w:u w:val="single"/>
            <w:lang w:eastAsia="ar-SA"/>
          </w:rPr>
          <w:t>https://www.bls.gov/oes/current/oes_nat.htm</w:t>
        </w:r>
      </w:hyperlink>
    </w:p>
    <w:p w:rsidRPr="00EF73EF" w:rsidR="00EF73EF" w:rsidP="00EF73EF" w:rsidRDefault="00EF73EF">
      <w:pPr>
        <w:pStyle w:val="ListParagraph"/>
        <w:autoSpaceDE w:val="0"/>
        <w:autoSpaceDN w:val="0"/>
        <w:adjustRightInd w:val="0"/>
        <w:spacing w:after="0" w:line="240" w:lineRule="auto"/>
        <w:ind w:left="1440"/>
        <w:rPr>
          <w:rFonts w:ascii="Times New Roman" w:hAnsi="Times New Roman" w:cs="Times New Roman"/>
          <w:sz w:val="24"/>
          <w:szCs w:val="24"/>
        </w:rPr>
      </w:pPr>
      <w:r w:rsidRPr="00EF73EF">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F73EF">
        <w:rPr>
          <w:rFonts w:ascii="Times New Roman" w:hAnsi="Times New Roman" w:cs="Times New Roman"/>
          <w:b/>
          <w:sz w:val="24"/>
          <w:szCs w:val="24"/>
          <w:u w:val="single"/>
        </w:rPr>
        <w:t>There is no actual charge to respondents to complete the application</w:t>
      </w:r>
      <w:r w:rsidRPr="00EF73EF">
        <w:rPr>
          <w:rFonts w:ascii="Times New Roman" w:hAnsi="Times New Roman" w:cs="Times New Roman"/>
          <w:sz w:val="24"/>
          <w:szCs w:val="24"/>
        </w:rPr>
        <w:t>.</w:t>
      </w:r>
    </w:p>
    <w:p w:rsidRPr="000E289D" w:rsidR="00654BC5" w:rsidP="000C3CE8" w:rsidRDefault="00654BC5">
      <w:pPr>
        <w:pStyle w:val="ListParagraph"/>
        <w:spacing w:after="0" w:line="240" w:lineRule="auto"/>
        <w:rPr>
          <w:rFonts w:ascii="Times New Roman" w:hAnsi="Times New Roman" w:cs="Times New Roman"/>
          <w:bCs/>
          <w:sz w:val="24"/>
          <w:szCs w:val="24"/>
        </w:rPr>
      </w:pPr>
    </w:p>
    <w:p w:rsidR="00900049" w:rsidP="00900049" w:rsidRDefault="00900049">
      <w:pPr>
        <w:ind w:left="1440"/>
        <w:rPr>
          <w:rFonts w:ascii="Times New Roman" w:hAnsi="Times New Roman"/>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00900049" w:rsidP="00900049" w:rsidRDefault="00900049">
      <w:pPr>
        <w:pStyle w:val="ListParagraph"/>
        <w:ind w:left="1440"/>
        <w:rPr>
          <w:rFonts w:ascii="Times New Roman" w:hAnsi="Times New Roman"/>
        </w:rPr>
      </w:pPr>
      <w:r w:rsidRPr="0015062A">
        <w:rPr>
          <w:rFonts w:ascii="Times New Roman" w:hAnsi="Times New Roman"/>
          <w:color w:val="000000" w:themeColor="text1"/>
          <w:sz w:val="24"/>
          <w:szCs w:val="24"/>
        </w:rPr>
        <w:t>We base our burden estimates on current management information data, which includes data from actual interviews, as well as from years of conducting this information collection.  Per our management infor</w:t>
      </w:r>
      <w:r>
        <w:rPr>
          <w:rFonts w:ascii="Times New Roman" w:hAnsi="Times New Roman"/>
          <w:color w:val="000000" w:themeColor="text1"/>
          <w:sz w:val="24"/>
          <w:szCs w:val="24"/>
        </w:rPr>
        <w:t xml:space="preserve">mation data, we believe that </w:t>
      </w:r>
      <w:r w:rsidR="00D856CC">
        <w:rPr>
          <w:rFonts w:ascii="Times New Roman" w:hAnsi="Times New Roman"/>
          <w:color w:val="000000" w:themeColor="text1"/>
          <w:sz w:val="24"/>
          <w:szCs w:val="24"/>
        </w:rPr>
        <w:t>40</w:t>
      </w:r>
      <w:r>
        <w:rPr>
          <w:rFonts w:ascii="Times New Roman" w:hAnsi="Times New Roman"/>
          <w:color w:val="000000" w:themeColor="text1"/>
          <w:sz w:val="24"/>
          <w:szCs w:val="24"/>
        </w:rPr>
        <w:t xml:space="preserve"> </w:t>
      </w:r>
      <w:r w:rsidRPr="0015062A">
        <w:rPr>
          <w:rFonts w:ascii="Times New Roman" w:hAnsi="Times New Roman"/>
          <w:color w:val="000000" w:themeColor="text1"/>
          <w:sz w:val="24"/>
          <w:szCs w:val="24"/>
        </w:rPr>
        <w:t xml:space="preserve">minutes accurately shows the average burden per response for reading the </w:t>
      </w:r>
      <w:r w:rsidRPr="0015062A">
        <w:rPr>
          <w:rFonts w:ascii="Times New Roman" w:hAnsi="Times New Roman"/>
          <w:sz w:val="24"/>
          <w:szCs w:val="24"/>
        </w:rPr>
        <w:t>instructions, gathering the facts, and answering the questions</w:t>
      </w:r>
      <w:r w:rsidRPr="0015062A">
        <w:rPr>
          <w:rFonts w:ascii="Times New Roman" w:hAnsi="Times New Roman"/>
          <w:color w:val="000000" w:themeColor="text1"/>
          <w:sz w:val="24"/>
          <w:szCs w:val="24"/>
        </w:rPr>
        <w:t xml:space="preserve">.  Based on our current management information data, the current burden information we provided is accurate.  </w:t>
      </w:r>
      <w:r>
        <w:rPr>
          <w:rFonts w:ascii="Times New Roman" w:hAnsi="Times New Roman"/>
        </w:rPr>
        <w:t xml:space="preserve">The total burden for this ICR is </w:t>
      </w:r>
      <w:r>
        <w:rPr>
          <w:rFonts w:ascii="Times New Roman" w:hAnsi="Times New Roman"/>
          <w:b/>
        </w:rPr>
        <w:t>4,179</w:t>
      </w:r>
      <w:r>
        <w:rPr>
          <w:rFonts w:ascii="Times New Roman" w:hAnsi="Times New Roman"/>
        </w:rPr>
        <w:t xml:space="preserve"> burden hours (reflecting SSA management information data), which results in an associated theoretical (not actual) opportunity cost financial burden of </w:t>
      </w:r>
      <w:r w:rsidRPr="008F1851">
        <w:rPr>
          <w:rFonts w:ascii="Times New Roman" w:hAnsi="Times New Roman"/>
          <w:b/>
        </w:rPr>
        <w:t>$</w:t>
      </w:r>
      <w:r>
        <w:rPr>
          <w:rFonts w:ascii="Times New Roman" w:hAnsi="Times New Roman"/>
          <w:b/>
        </w:rPr>
        <w:t>155,288</w:t>
      </w:r>
      <w:r>
        <w:rPr>
          <w:rFonts w:ascii="Times New Roman" w:hAnsi="Times New Roman"/>
        </w:rPr>
        <w:t>.  SSA does not charge respondents to complete our applications.</w:t>
      </w:r>
    </w:p>
    <w:p w:rsidR="00EF73EF" w:rsidP="006307F0" w:rsidRDefault="00EF73EF">
      <w:pPr>
        <w:pStyle w:val="ListParagraph"/>
        <w:spacing w:after="0" w:line="240" w:lineRule="auto"/>
        <w:ind w:left="1440"/>
        <w:rPr>
          <w:rFonts w:ascii="Times New Roman" w:hAnsi="Times New Roman" w:cs="Times New Roman"/>
          <w:bCs/>
          <w:sz w:val="24"/>
          <w:szCs w:val="24"/>
        </w:rPr>
      </w:pPr>
    </w:p>
    <w:p w:rsidR="00E82A93" w:rsidP="00750582" w:rsidRDefault="000E289D">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Annual</w:t>
      </w:r>
      <w:r w:rsidRPr="000E289D">
        <w:rPr>
          <w:rFonts w:ascii="Times New Roman" w:hAnsi="Times New Roman" w:cs="Times New Roman"/>
          <w:sz w:val="24"/>
          <w:szCs w:val="24"/>
        </w:rPr>
        <w:t xml:space="preserve"> </w:t>
      </w:r>
      <w:r w:rsidRPr="000E289D">
        <w:rPr>
          <w:rFonts w:ascii="Times New Roman" w:hAnsi="Times New Roman" w:cs="Times New Roman"/>
          <w:b/>
          <w:sz w:val="24"/>
          <w:szCs w:val="24"/>
        </w:rPr>
        <w:t>Cost to the Respondents (Other)</w:t>
      </w:r>
    </w:p>
    <w:p w:rsidR="000E289D" w:rsidP="00750582" w:rsidRDefault="00CC39E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w:t>
      </w:r>
      <w:r w:rsidRPr="000E289D" w:rsidR="000E289D">
        <w:rPr>
          <w:rFonts w:ascii="Times New Roman" w:hAnsi="Times New Roman" w:cs="Times New Roman"/>
          <w:sz w:val="24"/>
          <w:szCs w:val="24"/>
        </w:rPr>
        <w:t>his collection imposes a one-time application fee of $1000 per applicant</w:t>
      </w:r>
    </w:p>
    <w:p w:rsidRPr="000E289D" w:rsidR="00CC39EB" w:rsidP="00750582" w:rsidRDefault="00CC39EB">
      <w:pPr>
        <w:pStyle w:val="ListParagraph"/>
        <w:spacing w:after="0" w:line="240" w:lineRule="auto"/>
        <w:ind w:left="1440"/>
        <w:rPr>
          <w:rFonts w:ascii="Times New Roman" w:hAnsi="Times New Roman" w:cs="Times New Roman"/>
          <w:b/>
          <w:sz w:val="24"/>
          <w:szCs w:val="24"/>
        </w:rPr>
      </w:pPr>
    </w:p>
    <w:p w:rsidR="00E82A93" w:rsidP="00750582" w:rsidRDefault="000E289D">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Annual Cost To Federal Government</w:t>
      </w:r>
    </w:p>
    <w:p w:rsidR="00CC39EB" w:rsidP="00CC39EB" w:rsidRDefault="00CC39EB">
      <w:pPr>
        <w:pStyle w:val="ListParagraph"/>
        <w:ind w:left="1440"/>
        <w:rPr>
          <w:rFonts w:ascii="Times New Roman" w:hAnsi="Times New Roman" w:cs="Times New Roman"/>
          <w:color w:val="000000"/>
          <w:sz w:val="24"/>
          <w:szCs w:val="24"/>
        </w:rPr>
      </w:pPr>
      <w:r w:rsidRPr="00A34A87">
        <w:rPr>
          <w:rFonts w:ascii="Times New Roman" w:hAnsi="Times New Roman" w:cs="Times New Roman"/>
          <w:color w:val="000000"/>
          <w:sz w:val="24"/>
          <w:szCs w:val="24"/>
        </w:rPr>
        <w:t xml:space="preserve">The annual cost to the Federal Government is approximately </w:t>
      </w:r>
      <w:r w:rsidRPr="00CC39EB">
        <w:rPr>
          <w:rFonts w:ascii="Times New Roman" w:hAnsi="Times New Roman" w:cs="Times New Roman"/>
          <w:b/>
          <w:color w:val="000000"/>
          <w:sz w:val="24"/>
          <w:szCs w:val="24"/>
        </w:rPr>
        <w:t>$107,142</w:t>
      </w:r>
      <w:r w:rsidRPr="00A34A87">
        <w:rPr>
          <w:rFonts w:ascii="Times New Roman" w:hAnsi="Times New Roman" w:cs="Times New Roman"/>
          <w:color w:val="000000"/>
          <w:sz w:val="24"/>
          <w:szCs w:val="24"/>
        </w:rPr>
        <w:t xml:space="preserve">.  This estimate accounts for costs from the following areas:  </w:t>
      </w:r>
    </w:p>
    <w:tbl>
      <w:tblPr>
        <w:tblStyle w:val="TableGrid1"/>
        <w:tblW w:w="8370" w:type="dxa"/>
        <w:tblInd w:w="1435" w:type="dxa"/>
        <w:tblLook w:val="04A0" w:firstRow="1" w:lastRow="0" w:firstColumn="1" w:lastColumn="0" w:noHBand="0" w:noVBand="1"/>
      </w:tblPr>
      <w:tblGrid>
        <w:gridCol w:w="2811"/>
        <w:gridCol w:w="3309"/>
        <w:gridCol w:w="2250"/>
      </w:tblGrid>
      <w:tr w:rsidRPr="0042067C" w:rsidR="00CC39EB" w:rsidTr="00247927">
        <w:tc>
          <w:tcPr>
            <w:tcW w:w="2811" w:type="dxa"/>
          </w:tcPr>
          <w:p w:rsidRPr="0042067C" w:rsidR="00CC39EB" w:rsidP="00247927" w:rsidRDefault="00CC39EB">
            <w:pPr>
              <w:contextualSpacing/>
              <w:rPr>
                <w:rFonts w:ascii="Times New Roman" w:hAnsi="Times New Roman" w:eastAsia="Calibri"/>
                <w:b/>
                <w:color w:val="000000"/>
                <w:sz w:val="24"/>
                <w:szCs w:val="24"/>
              </w:rPr>
            </w:pPr>
            <w:r w:rsidRPr="0042067C">
              <w:rPr>
                <w:rFonts w:ascii="Times New Roman" w:hAnsi="Times New Roman" w:eastAsia="Calibri"/>
                <w:b/>
                <w:color w:val="000000"/>
                <w:sz w:val="24"/>
                <w:szCs w:val="24"/>
              </w:rPr>
              <w:t>Description of Cost Factor</w:t>
            </w:r>
          </w:p>
        </w:tc>
        <w:tc>
          <w:tcPr>
            <w:tcW w:w="3309" w:type="dxa"/>
          </w:tcPr>
          <w:p w:rsidRPr="0042067C" w:rsidR="00CC39EB" w:rsidP="00247927" w:rsidRDefault="00CC39EB">
            <w:pPr>
              <w:contextualSpacing/>
              <w:rPr>
                <w:rFonts w:ascii="Times New Roman" w:hAnsi="Times New Roman" w:eastAsia="Calibri"/>
                <w:b/>
                <w:color w:val="000000"/>
                <w:sz w:val="24"/>
                <w:szCs w:val="24"/>
              </w:rPr>
            </w:pPr>
            <w:r w:rsidRPr="0042067C">
              <w:rPr>
                <w:rFonts w:ascii="Times New Roman" w:hAnsi="Times New Roman" w:eastAsia="Calibri"/>
                <w:b/>
                <w:color w:val="000000"/>
                <w:sz w:val="24"/>
                <w:szCs w:val="24"/>
              </w:rPr>
              <w:t>Methodology for Estimating Cost</w:t>
            </w:r>
          </w:p>
        </w:tc>
        <w:tc>
          <w:tcPr>
            <w:tcW w:w="2250" w:type="dxa"/>
          </w:tcPr>
          <w:p w:rsidRPr="0042067C" w:rsidR="00CC39EB" w:rsidP="00247927" w:rsidRDefault="00CC39EB">
            <w:pPr>
              <w:contextualSpacing/>
              <w:rPr>
                <w:rFonts w:ascii="Times New Roman" w:hAnsi="Times New Roman" w:eastAsia="Calibri"/>
                <w:b/>
                <w:color w:val="000000"/>
                <w:sz w:val="24"/>
                <w:szCs w:val="24"/>
              </w:rPr>
            </w:pPr>
            <w:r w:rsidRPr="0042067C">
              <w:rPr>
                <w:rFonts w:ascii="Times New Roman" w:hAnsi="Times New Roman" w:eastAsia="Calibri"/>
                <w:b/>
                <w:color w:val="000000"/>
                <w:sz w:val="24"/>
                <w:szCs w:val="24"/>
              </w:rPr>
              <w:t>Cost in Dollars*</w:t>
            </w:r>
          </w:p>
        </w:tc>
      </w:tr>
      <w:tr w:rsidRPr="0042067C" w:rsidR="00CC39EB" w:rsidTr="00247927">
        <w:tc>
          <w:tcPr>
            <w:tcW w:w="2811" w:type="dxa"/>
          </w:tcPr>
          <w:p w:rsidRPr="0042067C" w:rsidR="00CC39EB" w:rsidP="00247927" w:rsidRDefault="00CC39EB">
            <w:pPr>
              <w:contextualSpacing/>
              <w:rPr>
                <w:rFonts w:ascii="Times New Roman" w:hAnsi="Times New Roman" w:eastAsia="Calibri"/>
                <w:color w:val="000000"/>
                <w:sz w:val="24"/>
                <w:szCs w:val="24"/>
              </w:rPr>
            </w:pPr>
            <w:r w:rsidRPr="0042067C">
              <w:rPr>
                <w:rFonts w:ascii="Times New Roman" w:hAnsi="Times New Roman" w:eastAsia="Calibri"/>
                <w:color w:val="000000"/>
                <w:sz w:val="24"/>
                <w:szCs w:val="24"/>
              </w:rPr>
              <w:t>Designing, Printing, and Distributing the Form</w:t>
            </w:r>
          </w:p>
        </w:tc>
        <w:tc>
          <w:tcPr>
            <w:tcW w:w="3309" w:type="dxa"/>
          </w:tcPr>
          <w:p w:rsidRPr="0042067C" w:rsidR="00CC39EB" w:rsidP="00247927" w:rsidRDefault="00CC39EB">
            <w:pPr>
              <w:contextualSpacing/>
              <w:rPr>
                <w:rFonts w:ascii="Times New Roman" w:hAnsi="Times New Roman" w:eastAsia="Calibri"/>
                <w:color w:val="000000"/>
                <w:sz w:val="24"/>
                <w:szCs w:val="24"/>
              </w:rPr>
            </w:pPr>
            <w:r w:rsidRPr="0042067C">
              <w:rPr>
                <w:rFonts w:ascii="Times New Roman" w:hAnsi="Times New Roman" w:eastAsia="Calibri"/>
                <w:color w:val="000000"/>
                <w:sz w:val="24"/>
                <w:szCs w:val="24"/>
              </w:rPr>
              <w:t>Design Cost + Printing Cost + Distribution Cost</w:t>
            </w:r>
          </w:p>
        </w:tc>
        <w:tc>
          <w:tcPr>
            <w:tcW w:w="2250" w:type="dxa"/>
          </w:tcPr>
          <w:p w:rsidRPr="0042067C" w:rsidR="00CC39EB" w:rsidP="00127C0A" w:rsidRDefault="00CC39EB">
            <w:pPr>
              <w:contextualSpacing/>
              <w:rPr>
                <w:rFonts w:ascii="Times New Roman" w:hAnsi="Times New Roman" w:eastAsia="Calibri"/>
                <w:color w:val="000000"/>
                <w:sz w:val="24"/>
                <w:szCs w:val="24"/>
              </w:rPr>
            </w:pPr>
            <w:r>
              <w:rPr>
                <w:rFonts w:ascii="Times New Roman" w:hAnsi="Times New Roman" w:eastAsia="Calibri"/>
                <w:color w:val="000000"/>
                <w:sz w:val="24"/>
                <w:szCs w:val="24"/>
              </w:rPr>
              <w:t>$1,299</w:t>
            </w:r>
          </w:p>
        </w:tc>
      </w:tr>
      <w:tr w:rsidRPr="0042067C" w:rsidR="00CC39EB" w:rsidTr="00247927">
        <w:tc>
          <w:tcPr>
            <w:tcW w:w="2811" w:type="dxa"/>
          </w:tcPr>
          <w:p w:rsidRPr="0042067C" w:rsidR="00CC39EB" w:rsidP="00247927" w:rsidRDefault="00CC39EB">
            <w:pPr>
              <w:contextualSpacing/>
              <w:rPr>
                <w:rFonts w:ascii="Times New Roman" w:hAnsi="Times New Roman" w:eastAsia="Calibri"/>
                <w:color w:val="000000"/>
                <w:sz w:val="24"/>
                <w:szCs w:val="24"/>
              </w:rPr>
            </w:pPr>
            <w:r w:rsidRPr="0042067C">
              <w:rPr>
                <w:rFonts w:ascii="Times New Roman" w:hAnsi="Times New Roman" w:eastAsia="Calibri"/>
                <w:color w:val="000000"/>
                <w:sz w:val="24"/>
                <w:szCs w:val="24"/>
              </w:rPr>
              <w:t>SSA Employee (e.g., field office, 800 number, DDS staff) Information Collection and Processing Time</w:t>
            </w:r>
          </w:p>
        </w:tc>
        <w:tc>
          <w:tcPr>
            <w:tcW w:w="3309" w:type="dxa"/>
          </w:tcPr>
          <w:p w:rsidRPr="0042067C" w:rsidR="00CC39EB" w:rsidP="00247927" w:rsidRDefault="00CC39EB">
            <w:pPr>
              <w:contextualSpacing/>
              <w:rPr>
                <w:rFonts w:ascii="Times New Roman" w:hAnsi="Times New Roman" w:eastAsia="Calibri"/>
                <w:color w:val="000000"/>
                <w:sz w:val="24"/>
                <w:szCs w:val="24"/>
              </w:rPr>
            </w:pPr>
            <w:r w:rsidRPr="0042067C">
              <w:rPr>
                <w:rFonts w:ascii="Times New Roman" w:hAnsi="Times New Roman" w:eastAsia="Calibri"/>
                <w:color w:val="000000"/>
                <w:sz w:val="24"/>
                <w:szCs w:val="24"/>
              </w:rPr>
              <w:t>GS-9 employee x # of responses x processing time</w:t>
            </w:r>
          </w:p>
        </w:tc>
        <w:tc>
          <w:tcPr>
            <w:tcW w:w="2250" w:type="dxa"/>
          </w:tcPr>
          <w:p w:rsidRPr="0042067C" w:rsidR="00CC39EB" w:rsidP="00127C0A" w:rsidRDefault="00CC39EB">
            <w:pPr>
              <w:contextualSpacing/>
              <w:rPr>
                <w:rFonts w:ascii="Times New Roman" w:hAnsi="Times New Roman" w:eastAsia="Calibri"/>
                <w:color w:val="000000"/>
                <w:sz w:val="24"/>
                <w:szCs w:val="24"/>
              </w:rPr>
            </w:pPr>
            <w:r>
              <w:rPr>
                <w:rFonts w:ascii="Times New Roman" w:hAnsi="Times New Roman" w:eastAsia="Calibri"/>
                <w:color w:val="000000"/>
                <w:sz w:val="24"/>
                <w:szCs w:val="24"/>
              </w:rPr>
              <w:t>$104,475</w:t>
            </w:r>
          </w:p>
        </w:tc>
      </w:tr>
      <w:tr w:rsidRPr="0042067C" w:rsidR="00CC39EB" w:rsidTr="00247927">
        <w:tc>
          <w:tcPr>
            <w:tcW w:w="2811" w:type="dxa"/>
          </w:tcPr>
          <w:p w:rsidRPr="0042067C" w:rsidR="00CC39EB" w:rsidP="00247927" w:rsidRDefault="00CC39EB">
            <w:pPr>
              <w:contextualSpacing/>
              <w:rPr>
                <w:rFonts w:ascii="Times New Roman" w:hAnsi="Times New Roman" w:eastAsia="Calibri"/>
                <w:color w:val="000000"/>
                <w:sz w:val="24"/>
                <w:szCs w:val="24"/>
              </w:rPr>
            </w:pPr>
            <w:r w:rsidRPr="0042067C">
              <w:rPr>
                <w:rFonts w:ascii="Times New Roman" w:hAnsi="Times New Roman" w:eastAsia="Calibri"/>
                <w:color w:val="000000"/>
                <w:sz w:val="24"/>
                <w:szCs w:val="24"/>
              </w:rPr>
              <w:t>Systems Development, Updating, and Maintenance</w:t>
            </w:r>
          </w:p>
        </w:tc>
        <w:tc>
          <w:tcPr>
            <w:tcW w:w="3309" w:type="dxa"/>
          </w:tcPr>
          <w:p w:rsidRPr="0042067C" w:rsidR="00CC39EB" w:rsidP="00247927" w:rsidRDefault="00CC39EB">
            <w:pPr>
              <w:contextualSpacing/>
              <w:rPr>
                <w:rFonts w:ascii="Times New Roman" w:hAnsi="Times New Roman" w:eastAsia="Calibri"/>
                <w:color w:val="000000"/>
                <w:sz w:val="24"/>
                <w:szCs w:val="24"/>
              </w:rPr>
            </w:pPr>
            <w:r w:rsidRPr="0042067C">
              <w:rPr>
                <w:rFonts w:ascii="Times New Roman" w:hAnsi="Times New Roman" w:eastAsia="Calibri"/>
                <w:color w:val="000000"/>
                <w:sz w:val="24"/>
                <w:szCs w:val="24"/>
              </w:rPr>
              <w:t>GS-9 employee x man hours for development, updating, maintenance</w:t>
            </w:r>
          </w:p>
        </w:tc>
        <w:tc>
          <w:tcPr>
            <w:tcW w:w="2250" w:type="dxa"/>
          </w:tcPr>
          <w:p w:rsidR="00CC39EB" w:rsidP="00127C0A" w:rsidRDefault="00CC39EB">
            <w:pPr>
              <w:pStyle w:val="ListParagraph"/>
              <w:ind w:left="0"/>
              <w:rPr>
                <w:rFonts w:ascii="Times New Roman" w:hAnsi="Times New Roman" w:cs="Times New Roman"/>
                <w:color w:val="000000"/>
                <w:sz w:val="24"/>
                <w:szCs w:val="24"/>
              </w:rPr>
            </w:pPr>
            <w:r>
              <w:rPr>
                <w:rFonts w:ascii="Times New Roman" w:hAnsi="Times New Roman"/>
                <w:color w:val="000000"/>
              </w:rPr>
              <w:t>$1,368</w:t>
            </w:r>
          </w:p>
        </w:tc>
      </w:tr>
      <w:tr w:rsidRPr="0042067C" w:rsidR="00CC39EB" w:rsidTr="00247927">
        <w:tc>
          <w:tcPr>
            <w:tcW w:w="2811" w:type="dxa"/>
          </w:tcPr>
          <w:p w:rsidRPr="0042067C" w:rsidR="00CC39EB" w:rsidP="00247927" w:rsidRDefault="00CC39EB">
            <w:pPr>
              <w:contextualSpacing/>
              <w:rPr>
                <w:rFonts w:ascii="Times New Roman" w:hAnsi="Times New Roman" w:eastAsia="Calibri"/>
                <w:b/>
                <w:color w:val="000000"/>
                <w:sz w:val="24"/>
                <w:szCs w:val="24"/>
              </w:rPr>
            </w:pPr>
            <w:r w:rsidRPr="0042067C">
              <w:rPr>
                <w:rFonts w:ascii="Times New Roman" w:hAnsi="Times New Roman" w:eastAsia="Calibri"/>
                <w:b/>
                <w:color w:val="000000"/>
                <w:sz w:val="24"/>
                <w:szCs w:val="24"/>
              </w:rPr>
              <w:t>Total</w:t>
            </w:r>
          </w:p>
        </w:tc>
        <w:tc>
          <w:tcPr>
            <w:tcW w:w="3309" w:type="dxa"/>
          </w:tcPr>
          <w:p w:rsidRPr="0042067C" w:rsidR="00CC39EB" w:rsidP="00247927" w:rsidRDefault="00CC39EB">
            <w:pPr>
              <w:contextualSpacing/>
              <w:rPr>
                <w:rFonts w:ascii="Times New Roman" w:hAnsi="Times New Roman" w:eastAsia="Calibri"/>
                <w:color w:val="000000"/>
                <w:sz w:val="24"/>
                <w:szCs w:val="24"/>
              </w:rPr>
            </w:pPr>
          </w:p>
        </w:tc>
        <w:tc>
          <w:tcPr>
            <w:tcW w:w="2250" w:type="dxa"/>
          </w:tcPr>
          <w:p w:rsidRPr="0042067C" w:rsidR="00CC39EB" w:rsidP="00CC39EB" w:rsidRDefault="00CC39EB">
            <w:pPr>
              <w:contextualSpacing/>
              <w:rPr>
                <w:rFonts w:ascii="Times New Roman" w:hAnsi="Times New Roman" w:eastAsia="Calibri"/>
                <w:b/>
                <w:color w:val="000000"/>
                <w:sz w:val="24"/>
                <w:szCs w:val="24"/>
              </w:rPr>
            </w:pPr>
            <w:r w:rsidRPr="00CC39EB">
              <w:rPr>
                <w:rFonts w:ascii="Times New Roman" w:hAnsi="Times New Roman" w:eastAsia="Calibri"/>
                <w:b/>
                <w:color w:val="000000"/>
                <w:sz w:val="24"/>
                <w:szCs w:val="24"/>
              </w:rPr>
              <w:t>$</w:t>
            </w:r>
            <w:r>
              <w:rPr>
                <w:rFonts w:ascii="Times New Roman" w:hAnsi="Times New Roman" w:eastAsia="Calibri"/>
                <w:b/>
                <w:color w:val="000000"/>
                <w:sz w:val="24"/>
                <w:szCs w:val="24"/>
              </w:rPr>
              <w:t>107,142</w:t>
            </w:r>
          </w:p>
        </w:tc>
      </w:tr>
    </w:tbl>
    <w:p w:rsidR="00CC39EB" w:rsidP="00CC39EB" w:rsidRDefault="00CC39EB">
      <w:pPr>
        <w:spacing w:after="0" w:line="240" w:lineRule="auto"/>
        <w:rPr>
          <w:rFonts w:ascii="Times New Roman" w:hAnsi="Times New Roman" w:cs="Times New Roman"/>
          <w:b/>
          <w:sz w:val="24"/>
          <w:szCs w:val="24"/>
        </w:rPr>
      </w:pPr>
    </w:p>
    <w:p w:rsidRPr="000E289D" w:rsidR="00E82A93" w:rsidP="00750582" w:rsidRDefault="000E289D">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Program Changes or Adjustments to the Information Collection Request</w:t>
      </w:r>
    </w:p>
    <w:p w:rsidR="00127C0A" w:rsidP="00127C0A" w:rsidRDefault="00127C0A">
      <w:pPr>
        <w:pStyle w:val="ListParagraph"/>
        <w:ind w:left="1440"/>
        <w:rPr>
          <w:rFonts w:ascii="Times New Roman" w:hAnsi="Times New Roman"/>
          <w:sz w:val="24"/>
          <w:szCs w:val="24"/>
        </w:rPr>
      </w:pPr>
      <w:r w:rsidRPr="00127C0A">
        <w:rPr>
          <w:rFonts w:ascii="Times New Roman" w:hAnsi="Times New Roman"/>
          <w:sz w:val="24"/>
          <w:szCs w:val="24"/>
        </w:rPr>
        <w:t>When</w:t>
      </w:r>
      <w:r w:rsidR="00901B9F">
        <w:rPr>
          <w:rFonts w:ascii="Times New Roman" w:hAnsi="Times New Roman"/>
          <w:sz w:val="24"/>
          <w:szCs w:val="24"/>
        </w:rPr>
        <w:t xml:space="preserve"> we last cleared this IC in 2017</w:t>
      </w:r>
      <w:r w:rsidRPr="00127C0A">
        <w:rPr>
          <w:rFonts w:ascii="Times New Roman" w:hAnsi="Times New Roman"/>
          <w:sz w:val="24"/>
          <w:szCs w:val="24"/>
        </w:rPr>
        <w:t xml:space="preserve">, the burden was </w:t>
      </w:r>
      <w:r w:rsidR="00901B9F">
        <w:rPr>
          <w:rFonts w:ascii="Times New Roman" w:hAnsi="Times New Roman"/>
          <w:sz w:val="24"/>
          <w:szCs w:val="24"/>
        </w:rPr>
        <w:t xml:space="preserve">2,065 </w:t>
      </w:r>
      <w:r w:rsidRPr="00127C0A">
        <w:rPr>
          <w:rFonts w:ascii="Times New Roman" w:hAnsi="Times New Roman"/>
          <w:sz w:val="24"/>
          <w:szCs w:val="24"/>
        </w:rPr>
        <w:t xml:space="preserve">hours.  However, we are currently reporting a burden of </w:t>
      </w:r>
      <w:r w:rsidR="00901B9F">
        <w:rPr>
          <w:rFonts w:ascii="Times New Roman" w:hAnsi="Times New Roman"/>
          <w:sz w:val="24"/>
          <w:szCs w:val="24"/>
        </w:rPr>
        <w:t xml:space="preserve">4,179 </w:t>
      </w:r>
      <w:r w:rsidRPr="00127C0A">
        <w:rPr>
          <w:rFonts w:ascii="Times New Roman" w:hAnsi="Times New Roman"/>
          <w:sz w:val="24"/>
          <w:szCs w:val="24"/>
        </w:rPr>
        <w:t>hours.  This cha</w:t>
      </w:r>
      <w:r w:rsidR="00901B9F">
        <w:rPr>
          <w:rFonts w:ascii="Times New Roman" w:hAnsi="Times New Roman"/>
          <w:sz w:val="24"/>
          <w:szCs w:val="24"/>
        </w:rPr>
        <w:t>nge stems an i</w:t>
      </w:r>
      <w:r w:rsidRPr="00127C0A">
        <w:rPr>
          <w:rFonts w:ascii="Times New Roman" w:hAnsi="Times New Roman"/>
          <w:sz w:val="24"/>
          <w:szCs w:val="24"/>
        </w:rPr>
        <w:t xml:space="preserve">ncrease in the number of responses from </w:t>
      </w:r>
      <w:r w:rsidR="00901B9F">
        <w:rPr>
          <w:rFonts w:ascii="Times New Roman" w:hAnsi="Times New Roman"/>
          <w:sz w:val="24"/>
          <w:szCs w:val="24"/>
        </w:rPr>
        <w:t>976</w:t>
      </w:r>
      <w:r w:rsidRPr="00127C0A">
        <w:rPr>
          <w:rFonts w:ascii="Times New Roman" w:hAnsi="Times New Roman"/>
          <w:sz w:val="24"/>
          <w:szCs w:val="24"/>
        </w:rPr>
        <w:t xml:space="preserve"> to </w:t>
      </w:r>
      <w:r w:rsidRPr="00901B9F" w:rsidR="00901B9F">
        <w:rPr>
          <w:rFonts w:ascii="Times New Roman" w:hAnsi="Times New Roman" w:eastAsia="Calibri" w:cs="Times New Roman"/>
          <w:sz w:val="24"/>
          <w:szCs w:val="24"/>
          <w:lang w:eastAsia="zh-CN"/>
        </w:rPr>
        <w:t>2,091</w:t>
      </w:r>
      <w:r w:rsidRPr="00127C0A">
        <w:rPr>
          <w:rFonts w:ascii="Times New Roman" w:hAnsi="Times New Roman"/>
          <w:sz w:val="24"/>
          <w:szCs w:val="24"/>
        </w:rPr>
        <w:t>.  There is no change to the burden time per response.  Although the number of responses changed, SSA did not take any actions to cause this change.  These figures represent current Management Information data.</w:t>
      </w:r>
    </w:p>
    <w:p w:rsidR="000C3CE8" w:rsidP="00750582" w:rsidRDefault="000C3CE8">
      <w:pPr>
        <w:pStyle w:val="ListParagraph"/>
        <w:spacing w:after="0" w:line="240" w:lineRule="auto"/>
        <w:ind w:left="1440"/>
        <w:rPr>
          <w:rFonts w:ascii="Times New Roman" w:hAnsi="Times New Roman" w:cs="Times New Roman"/>
          <w:b/>
          <w:sz w:val="24"/>
          <w:szCs w:val="24"/>
        </w:rPr>
      </w:pPr>
      <w:bookmarkStart w:name="_GoBack" w:id="0"/>
      <w:bookmarkEnd w:id="0"/>
    </w:p>
    <w:p w:rsidRPr="000E289D" w:rsidR="00E82A93" w:rsidP="00750582" w:rsidRDefault="000E289D">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Plans for Publication Information Collection Results</w:t>
      </w:r>
    </w:p>
    <w:p w:rsidRPr="000E289D" w:rsidR="000E289D" w:rsidP="00750582" w:rsidRDefault="000E289D">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bCs/>
          <w:iCs/>
          <w:sz w:val="24"/>
          <w:szCs w:val="24"/>
        </w:rPr>
        <w:t>SSA will not publish the results of the information collection.</w:t>
      </w:r>
    </w:p>
    <w:p w:rsidRPr="000E289D" w:rsidR="000E289D" w:rsidP="00750582" w:rsidRDefault="000E289D">
      <w:pPr>
        <w:pStyle w:val="ListParagraph"/>
        <w:spacing w:after="0" w:line="240" w:lineRule="auto"/>
        <w:ind w:left="1440"/>
        <w:rPr>
          <w:rFonts w:ascii="Times New Roman" w:hAnsi="Times New Roman" w:cs="Times New Roman"/>
          <w:b/>
          <w:sz w:val="24"/>
          <w:szCs w:val="24"/>
        </w:rPr>
      </w:pPr>
    </w:p>
    <w:p w:rsidRPr="000E289D" w:rsidR="00E82A93" w:rsidP="00750582" w:rsidRDefault="000E289D">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Displaying the OMB Approval Expiration Date</w:t>
      </w:r>
    </w:p>
    <w:p w:rsidRPr="00405651" w:rsidR="000E289D" w:rsidP="00750582" w:rsidRDefault="00405651">
      <w:pPr>
        <w:pStyle w:val="ListParagraph"/>
        <w:spacing w:after="0" w:line="240" w:lineRule="auto"/>
        <w:ind w:left="1440"/>
        <w:rPr>
          <w:rFonts w:ascii="Times New Roman" w:hAnsi="Times New Roman" w:cs="Times New Roman"/>
          <w:b/>
          <w:sz w:val="24"/>
          <w:szCs w:val="24"/>
        </w:rPr>
      </w:pPr>
      <w:r w:rsidRPr="00405651">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405651" w:rsidR="000E289D">
        <w:rPr>
          <w:rFonts w:ascii="Times New Roman" w:hAnsi="Times New Roman" w:cs="Times New Roman"/>
          <w:bCs/>
          <w:iCs/>
          <w:sz w:val="24"/>
          <w:szCs w:val="24"/>
        </w:rPr>
        <w:t>.</w:t>
      </w:r>
    </w:p>
    <w:p w:rsidRPr="000E289D" w:rsidR="000E289D" w:rsidP="00750582" w:rsidRDefault="000E289D">
      <w:pPr>
        <w:pStyle w:val="ListParagraph"/>
        <w:spacing w:after="0" w:line="240" w:lineRule="auto"/>
        <w:ind w:left="1440"/>
        <w:rPr>
          <w:rFonts w:ascii="Times New Roman" w:hAnsi="Times New Roman" w:cs="Times New Roman"/>
          <w:b/>
          <w:sz w:val="24"/>
          <w:szCs w:val="24"/>
        </w:rPr>
      </w:pPr>
    </w:p>
    <w:p w:rsidRPr="000E289D" w:rsidR="00E82A93" w:rsidP="00750582" w:rsidRDefault="000E289D">
      <w:pPr>
        <w:pStyle w:val="ListParagraph"/>
        <w:numPr>
          <w:ilvl w:val="0"/>
          <w:numId w:val="2"/>
        </w:numPr>
        <w:spacing w:after="0" w:line="240" w:lineRule="auto"/>
        <w:ind w:left="1440" w:hanging="720"/>
        <w:rPr>
          <w:rFonts w:ascii="Times New Roman" w:hAnsi="Times New Roman" w:cs="Times New Roman"/>
          <w:b/>
          <w:sz w:val="24"/>
          <w:szCs w:val="24"/>
        </w:rPr>
      </w:pPr>
      <w:r w:rsidRPr="000E289D">
        <w:rPr>
          <w:rFonts w:ascii="Times New Roman" w:hAnsi="Times New Roman" w:cs="Times New Roman"/>
          <w:b/>
          <w:sz w:val="24"/>
          <w:szCs w:val="24"/>
        </w:rPr>
        <w:t>Exceptions to Certification Statement</w:t>
      </w:r>
    </w:p>
    <w:p w:rsidR="00104AF2" w:rsidP="00750582" w:rsidRDefault="000E289D">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sz w:val="24"/>
          <w:szCs w:val="24"/>
        </w:rPr>
        <w:t>SSA is not requesting an exception to the certification requirements at</w:t>
      </w:r>
    </w:p>
    <w:p w:rsidRPr="000E289D" w:rsidR="000E289D" w:rsidP="00750582" w:rsidRDefault="000E289D">
      <w:pPr>
        <w:pStyle w:val="ListParagraph"/>
        <w:spacing w:after="0" w:line="240" w:lineRule="auto"/>
        <w:ind w:left="1440"/>
        <w:rPr>
          <w:rFonts w:ascii="Times New Roman" w:hAnsi="Times New Roman" w:cs="Times New Roman"/>
          <w:sz w:val="24"/>
          <w:szCs w:val="24"/>
        </w:rPr>
      </w:pPr>
      <w:r w:rsidRPr="000E289D">
        <w:rPr>
          <w:rFonts w:ascii="Times New Roman" w:hAnsi="Times New Roman" w:cs="Times New Roman"/>
          <w:i/>
          <w:sz w:val="24"/>
          <w:szCs w:val="24"/>
        </w:rPr>
        <w:t>5 CFR 1320.9</w:t>
      </w:r>
      <w:r w:rsidRPr="000E289D">
        <w:rPr>
          <w:rFonts w:ascii="Times New Roman" w:hAnsi="Times New Roman" w:cs="Times New Roman"/>
          <w:sz w:val="24"/>
          <w:szCs w:val="24"/>
        </w:rPr>
        <w:t xml:space="preserve"> and related provisions at </w:t>
      </w:r>
      <w:r w:rsidRPr="000E289D">
        <w:rPr>
          <w:rFonts w:ascii="Times New Roman" w:hAnsi="Times New Roman" w:cs="Times New Roman"/>
          <w:i/>
          <w:sz w:val="24"/>
          <w:szCs w:val="24"/>
        </w:rPr>
        <w:t>5 CFR 1320.8(b)(3).</w:t>
      </w:r>
    </w:p>
    <w:p w:rsidRPr="000E289D" w:rsidR="00E82A93" w:rsidP="000C3CE8" w:rsidRDefault="00E82A93">
      <w:pPr>
        <w:pStyle w:val="ListParagraph"/>
        <w:spacing w:after="0" w:line="240" w:lineRule="auto"/>
        <w:rPr>
          <w:rFonts w:ascii="Times New Roman" w:hAnsi="Times New Roman" w:cs="Times New Roman"/>
          <w:b/>
          <w:sz w:val="24"/>
          <w:szCs w:val="24"/>
        </w:rPr>
      </w:pPr>
    </w:p>
    <w:p w:rsidRPr="000E289D" w:rsidR="00990BC8" w:rsidP="00750582" w:rsidRDefault="00990BC8">
      <w:pPr>
        <w:pStyle w:val="ListParagraph"/>
        <w:numPr>
          <w:ilvl w:val="0"/>
          <w:numId w:val="1"/>
        </w:numPr>
        <w:spacing w:after="0" w:line="240" w:lineRule="auto"/>
        <w:ind w:left="720" w:hanging="540"/>
        <w:rPr>
          <w:rFonts w:ascii="Times New Roman" w:hAnsi="Times New Roman" w:cs="Times New Roman"/>
          <w:b/>
          <w:sz w:val="24"/>
          <w:szCs w:val="24"/>
        </w:rPr>
      </w:pPr>
      <w:r w:rsidRPr="000E289D">
        <w:rPr>
          <w:rFonts w:ascii="Times New Roman" w:hAnsi="Times New Roman" w:cs="Times New Roman"/>
          <w:b/>
          <w:sz w:val="24"/>
          <w:szCs w:val="24"/>
          <w:u w:val="single"/>
        </w:rPr>
        <w:t>Collection of Information Employing Statistical Methods</w:t>
      </w:r>
    </w:p>
    <w:p w:rsidRPr="000E289D" w:rsidR="000E289D" w:rsidP="000C3CE8" w:rsidRDefault="000E289D">
      <w:pPr>
        <w:pStyle w:val="ListParagraph"/>
        <w:spacing w:after="0" w:line="240" w:lineRule="auto"/>
        <w:ind w:left="360"/>
        <w:rPr>
          <w:rFonts w:ascii="Times New Roman" w:hAnsi="Times New Roman" w:cs="Times New Roman"/>
          <w:b/>
          <w:sz w:val="24"/>
          <w:szCs w:val="24"/>
          <w:u w:val="single"/>
        </w:rPr>
      </w:pPr>
    </w:p>
    <w:p w:rsidRPr="000E289D" w:rsidR="000E289D" w:rsidP="00750582" w:rsidRDefault="000E289D">
      <w:pPr>
        <w:pStyle w:val="ListParagraph"/>
        <w:spacing w:after="0" w:line="240" w:lineRule="auto"/>
        <w:ind w:left="1440"/>
        <w:rPr>
          <w:rFonts w:ascii="Times New Roman" w:hAnsi="Times New Roman" w:cs="Times New Roman"/>
          <w:b/>
          <w:sz w:val="24"/>
          <w:szCs w:val="24"/>
        </w:rPr>
      </w:pPr>
      <w:r w:rsidRPr="000E289D">
        <w:rPr>
          <w:rFonts w:ascii="Times New Roman" w:hAnsi="Times New Roman" w:cs="Times New Roman"/>
          <w:sz w:val="24"/>
          <w:szCs w:val="24"/>
        </w:rPr>
        <w:t>SSA does not use statistical methods for this information collection.</w:t>
      </w:r>
    </w:p>
    <w:p w:rsidRPr="00990BC8" w:rsidR="00990BC8" w:rsidP="000C3CE8" w:rsidRDefault="00990BC8">
      <w:pPr>
        <w:spacing w:after="0" w:line="240" w:lineRule="auto"/>
        <w:jc w:val="center"/>
        <w:rPr>
          <w:rFonts w:ascii="Times New Roman" w:hAnsi="Times New Roman" w:cs="Times New Roman"/>
          <w:b/>
          <w:sz w:val="24"/>
          <w:szCs w:val="24"/>
        </w:rPr>
      </w:pPr>
    </w:p>
    <w:sectPr w:rsidRPr="00990BC8" w:rsidR="00990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D58"/>
    <w:multiLevelType w:val="hybridMultilevel"/>
    <w:tmpl w:val="6A5E358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494426"/>
    <w:multiLevelType w:val="hybridMultilevel"/>
    <w:tmpl w:val="C988DA06"/>
    <w:lvl w:ilvl="0" w:tplc="ABD6E5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940AD"/>
    <w:multiLevelType w:val="hybridMultilevel"/>
    <w:tmpl w:val="02246038"/>
    <w:lvl w:ilvl="0" w:tplc="6F989E1E">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087652"/>
    <w:multiLevelType w:val="hybridMultilevel"/>
    <w:tmpl w:val="56743062"/>
    <w:lvl w:ilvl="0" w:tplc="FED28D6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5A542D"/>
    <w:multiLevelType w:val="hybridMultilevel"/>
    <w:tmpl w:val="F1EC9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78B0B2B"/>
    <w:multiLevelType w:val="hybridMultilevel"/>
    <w:tmpl w:val="54CE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BE7C9D"/>
    <w:multiLevelType w:val="hybridMultilevel"/>
    <w:tmpl w:val="2DE04ED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5"/>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C8"/>
    <w:rsid w:val="000677CB"/>
    <w:rsid w:val="000C3CE8"/>
    <w:rsid w:val="000E289D"/>
    <w:rsid w:val="00104AF2"/>
    <w:rsid w:val="00127C0A"/>
    <w:rsid w:val="00147A50"/>
    <w:rsid w:val="001C54B2"/>
    <w:rsid w:val="001E1E0A"/>
    <w:rsid w:val="002872DE"/>
    <w:rsid w:val="002A05EE"/>
    <w:rsid w:val="003A72E1"/>
    <w:rsid w:val="00405651"/>
    <w:rsid w:val="0042067C"/>
    <w:rsid w:val="0047003D"/>
    <w:rsid w:val="0050097B"/>
    <w:rsid w:val="00522892"/>
    <w:rsid w:val="006123BD"/>
    <w:rsid w:val="00627F96"/>
    <w:rsid w:val="006307F0"/>
    <w:rsid w:val="00654BC5"/>
    <w:rsid w:val="00665ACC"/>
    <w:rsid w:val="00750582"/>
    <w:rsid w:val="00751B1E"/>
    <w:rsid w:val="0076319A"/>
    <w:rsid w:val="00770067"/>
    <w:rsid w:val="00900049"/>
    <w:rsid w:val="00901B9F"/>
    <w:rsid w:val="00981721"/>
    <w:rsid w:val="00990BC8"/>
    <w:rsid w:val="00A05ED6"/>
    <w:rsid w:val="00A26E75"/>
    <w:rsid w:val="00A37BCF"/>
    <w:rsid w:val="00A57632"/>
    <w:rsid w:val="00A7225A"/>
    <w:rsid w:val="00AB0614"/>
    <w:rsid w:val="00B836EE"/>
    <w:rsid w:val="00BA6FFF"/>
    <w:rsid w:val="00C2454D"/>
    <w:rsid w:val="00C75B57"/>
    <w:rsid w:val="00CC39EB"/>
    <w:rsid w:val="00CC5EE1"/>
    <w:rsid w:val="00D856CC"/>
    <w:rsid w:val="00DB174D"/>
    <w:rsid w:val="00E82A93"/>
    <w:rsid w:val="00EF73EF"/>
    <w:rsid w:val="00FB30F9"/>
    <w:rsid w:val="00FF106B"/>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C822"/>
  <w15:docId w15:val="{008F3F66-ACCB-4B11-A868-AF497C4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C8"/>
    <w:pPr>
      <w:ind w:left="720"/>
      <w:contextualSpacing/>
    </w:pPr>
  </w:style>
  <w:style w:type="paragraph" w:styleId="Header">
    <w:name w:val="header"/>
    <w:basedOn w:val="Normal"/>
    <w:link w:val="HeaderChar"/>
    <w:rsid w:val="00990BC8"/>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990BC8"/>
    <w:rPr>
      <w:rFonts w:ascii="Courier" w:eastAsia="Times New Roman" w:hAnsi="Courier" w:cs="Times New Roman"/>
      <w:snapToGrid w:val="0"/>
      <w:sz w:val="24"/>
      <w:szCs w:val="24"/>
    </w:rPr>
  </w:style>
  <w:style w:type="character" w:styleId="CommentReference">
    <w:name w:val="annotation reference"/>
    <w:basedOn w:val="DefaultParagraphFont"/>
    <w:uiPriority w:val="99"/>
    <w:semiHidden/>
    <w:unhideWhenUsed/>
    <w:rsid w:val="00522892"/>
    <w:rPr>
      <w:sz w:val="16"/>
      <w:szCs w:val="16"/>
    </w:rPr>
  </w:style>
  <w:style w:type="paragraph" w:styleId="CommentText">
    <w:name w:val="annotation text"/>
    <w:basedOn w:val="Normal"/>
    <w:link w:val="CommentTextChar"/>
    <w:uiPriority w:val="99"/>
    <w:semiHidden/>
    <w:unhideWhenUsed/>
    <w:rsid w:val="00522892"/>
    <w:pPr>
      <w:spacing w:line="240" w:lineRule="auto"/>
    </w:pPr>
    <w:rPr>
      <w:sz w:val="20"/>
      <w:szCs w:val="20"/>
    </w:rPr>
  </w:style>
  <w:style w:type="character" w:customStyle="1" w:styleId="CommentTextChar">
    <w:name w:val="Comment Text Char"/>
    <w:basedOn w:val="DefaultParagraphFont"/>
    <w:link w:val="CommentText"/>
    <w:uiPriority w:val="99"/>
    <w:semiHidden/>
    <w:rsid w:val="00522892"/>
    <w:rPr>
      <w:sz w:val="20"/>
      <w:szCs w:val="20"/>
    </w:rPr>
  </w:style>
  <w:style w:type="paragraph" w:styleId="CommentSubject">
    <w:name w:val="annotation subject"/>
    <w:basedOn w:val="CommentText"/>
    <w:next w:val="CommentText"/>
    <w:link w:val="CommentSubjectChar"/>
    <w:uiPriority w:val="99"/>
    <w:semiHidden/>
    <w:unhideWhenUsed/>
    <w:rsid w:val="00522892"/>
    <w:rPr>
      <w:b/>
      <w:bCs/>
    </w:rPr>
  </w:style>
  <w:style w:type="character" w:customStyle="1" w:styleId="CommentSubjectChar">
    <w:name w:val="Comment Subject Char"/>
    <w:basedOn w:val="CommentTextChar"/>
    <w:link w:val="CommentSubject"/>
    <w:uiPriority w:val="99"/>
    <w:semiHidden/>
    <w:rsid w:val="00522892"/>
    <w:rPr>
      <w:b/>
      <w:bCs/>
      <w:sz w:val="20"/>
      <w:szCs w:val="20"/>
    </w:rPr>
  </w:style>
  <w:style w:type="paragraph" w:styleId="Revision">
    <w:name w:val="Revision"/>
    <w:hidden/>
    <w:uiPriority w:val="99"/>
    <w:semiHidden/>
    <w:rsid w:val="00522892"/>
    <w:pPr>
      <w:spacing w:after="0" w:line="240" w:lineRule="auto"/>
    </w:pPr>
  </w:style>
  <w:style w:type="paragraph" w:styleId="BalloonText">
    <w:name w:val="Balloon Text"/>
    <w:basedOn w:val="Normal"/>
    <w:link w:val="BalloonTextChar"/>
    <w:uiPriority w:val="99"/>
    <w:semiHidden/>
    <w:unhideWhenUsed/>
    <w:rsid w:val="00522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892"/>
    <w:rPr>
      <w:rFonts w:ascii="Tahoma" w:hAnsi="Tahoma" w:cs="Tahoma"/>
      <w:sz w:val="16"/>
      <w:szCs w:val="16"/>
    </w:rPr>
  </w:style>
  <w:style w:type="character" w:styleId="Hyperlink">
    <w:name w:val="Hyperlink"/>
    <w:rsid w:val="00EF73EF"/>
    <w:rPr>
      <w:rFonts w:cs="Times New Roman"/>
      <w:color w:val="0000FF"/>
      <w:u w:val="single"/>
    </w:rPr>
  </w:style>
  <w:style w:type="table" w:styleId="TableGrid">
    <w:name w:val="Table Grid"/>
    <w:basedOn w:val="TableNormal"/>
    <w:uiPriority w:val="39"/>
    <w:rsid w:val="00EF73E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2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Mandley, Tasha</cp:lastModifiedBy>
  <cp:revision>12</cp:revision>
  <dcterms:created xsi:type="dcterms:W3CDTF">2020-08-24T14:10:00Z</dcterms:created>
  <dcterms:modified xsi:type="dcterms:W3CDTF">2020-08-26T17:39:00Z</dcterms:modified>
</cp:coreProperties>
</file>