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7577B" w:rsidR="006C7BF4" w:rsidP="00A03B38" w:rsidRDefault="00F64F67" w14:paraId="65C721D7" w14:textId="77777777">
      <w:pPr>
        <w:spacing w:after="0" w:line="240" w:lineRule="auto"/>
        <w:ind w:right="-40"/>
        <w:jc w:val="center"/>
        <w:rPr>
          <w:rFonts w:ascii="Times New Roman" w:hAnsi="Times New Roman" w:eastAsia="Times New Roman" w:cs="Times New Roman"/>
          <w:b/>
          <w:color w:val="030303"/>
          <w:spacing w:val="2"/>
          <w:sz w:val="24"/>
          <w:szCs w:val="24"/>
        </w:rPr>
      </w:pPr>
      <w:r w:rsidRPr="00D7577B">
        <w:rPr>
          <w:rFonts w:ascii="Times New Roman" w:hAnsi="Times New Roman" w:eastAsia="Times New Roman" w:cs="Times New Roman"/>
          <w:b/>
          <w:color w:val="030303"/>
          <w:spacing w:val="2"/>
          <w:sz w:val="24"/>
          <w:szCs w:val="24"/>
        </w:rPr>
        <w:t xml:space="preserve">Supporting </w:t>
      </w:r>
      <w:proofErr w:type="gramStart"/>
      <w:r w:rsidRPr="00D7577B">
        <w:rPr>
          <w:rFonts w:ascii="Times New Roman" w:hAnsi="Times New Roman" w:eastAsia="Times New Roman" w:cs="Times New Roman"/>
          <w:b/>
          <w:color w:val="030303"/>
          <w:spacing w:val="2"/>
          <w:sz w:val="24"/>
          <w:szCs w:val="24"/>
        </w:rPr>
        <w:t>Statement</w:t>
      </w:r>
      <w:proofErr w:type="gramEnd"/>
      <w:r w:rsidRPr="00D7577B">
        <w:rPr>
          <w:rFonts w:ascii="Times New Roman" w:hAnsi="Times New Roman" w:eastAsia="Times New Roman" w:cs="Times New Roman"/>
          <w:b/>
          <w:color w:val="030303"/>
          <w:spacing w:val="2"/>
          <w:sz w:val="24"/>
          <w:szCs w:val="24"/>
        </w:rPr>
        <w:t xml:space="preserve"> A </w:t>
      </w:r>
      <w:bookmarkStart w:name="_GoBack" w:id="0"/>
      <w:bookmarkEnd w:id="0"/>
    </w:p>
    <w:p w:rsidRPr="00D7577B" w:rsidR="006C7BF4" w:rsidP="00A03B38" w:rsidRDefault="00F64F67" w14:paraId="236A0FD8" w14:textId="77777777">
      <w:pPr>
        <w:spacing w:after="0" w:line="240" w:lineRule="auto"/>
        <w:ind w:right="-40"/>
        <w:jc w:val="center"/>
        <w:rPr>
          <w:rFonts w:ascii="Times New Roman" w:hAnsi="Times New Roman" w:eastAsia="Times New Roman" w:cs="Times New Roman"/>
          <w:b/>
          <w:color w:val="030303"/>
          <w:spacing w:val="2"/>
          <w:sz w:val="24"/>
          <w:szCs w:val="24"/>
        </w:rPr>
      </w:pPr>
      <w:r w:rsidRPr="00D7577B">
        <w:rPr>
          <w:rFonts w:ascii="Times New Roman" w:hAnsi="Times New Roman" w:eastAsia="Times New Roman" w:cs="Times New Roman"/>
          <w:b/>
          <w:color w:val="030303"/>
          <w:spacing w:val="2"/>
          <w:sz w:val="24"/>
          <w:szCs w:val="24"/>
        </w:rPr>
        <w:t>Air Quality</w:t>
      </w:r>
      <w:r w:rsidRPr="00D7577B" w:rsidR="00D4635B">
        <w:rPr>
          <w:rFonts w:ascii="Times New Roman" w:hAnsi="Times New Roman" w:eastAsia="Times New Roman" w:cs="Times New Roman"/>
          <w:b/>
          <w:color w:val="030303"/>
          <w:spacing w:val="2"/>
          <w:sz w:val="24"/>
          <w:szCs w:val="24"/>
        </w:rPr>
        <w:t xml:space="preserve"> Control, Reporting, and Compliance</w:t>
      </w:r>
      <w:r w:rsidRPr="00D7577B">
        <w:rPr>
          <w:rFonts w:ascii="Times New Roman" w:hAnsi="Times New Roman" w:eastAsia="Times New Roman" w:cs="Times New Roman"/>
          <w:b/>
          <w:color w:val="030303"/>
          <w:spacing w:val="2"/>
          <w:sz w:val="24"/>
          <w:szCs w:val="24"/>
        </w:rPr>
        <w:t xml:space="preserve"> </w:t>
      </w:r>
    </w:p>
    <w:p w:rsidRPr="00D7577B" w:rsidR="00577106" w:rsidP="00577106" w:rsidRDefault="00F64F67" w14:paraId="36EEAA09" w14:textId="77777777">
      <w:pPr>
        <w:spacing w:after="0" w:line="240" w:lineRule="auto"/>
        <w:ind w:right="-40"/>
        <w:jc w:val="center"/>
        <w:rPr>
          <w:rFonts w:ascii="Times New Roman" w:hAnsi="Times New Roman" w:eastAsia="Times New Roman" w:cs="Times New Roman"/>
          <w:b/>
          <w:color w:val="030303"/>
          <w:spacing w:val="2"/>
          <w:sz w:val="24"/>
          <w:szCs w:val="24"/>
        </w:rPr>
      </w:pPr>
      <w:r w:rsidRPr="00D7577B">
        <w:rPr>
          <w:rFonts w:ascii="Times New Roman" w:hAnsi="Times New Roman" w:eastAsia="Times New Roman" w:cs="Times New Roman"/>
          <w:b/>
          <w:color w:val="030303"/>
          <w:spacing w:val="2"/>
          <w:sz w:val="24"/>
          <w:szCs w:val="24"/>
        </w:rPr>
        <w:t>OMB Control Number 1010-</w:t>
      </w:r>
      <w:r w:rsidRPr="00D7577B" w:rsidR="00D4635B">
        <w:rPr>
          <w:rFonts w:ascii="Times New Roman" w:hAnsi="Times New Roman" w:eastAsia="Times New Roman" w:cs="Times New Roman"/>
          <w:b/>
          <w:color w:val="030303"/>
          <w:spacing w:val="2"/>
          <w:sz w:val="24"/>
          <w:szCs w:val="24"/>
        </w:rPr>
        <w:t>0</w:t>
      </w:r>
      <w:r w:rsidRPr="00D7577B" w:rsidR="00BB0153">
        <w:rPr>
          <w:rFonts w:ascii="Times New Roman" w:hAnsi="Times New Roman" w:eastAsia="Times New Roman" w:cs="Times New Roman"/>
          <w:b/>
          <w:color w:val="030303"/>
          <w:spacing w:val="2"/>
          <w:sz w:val="24"/>
          <w:szCs w:val="24"/>
        </w:rPr>
        <w:t>151</w:t>
      </w:r>
    </w:p>
    <w:p w:rsidRPr="00D7577B" w:rsidR="00020973" w:rsidP="00A03B38" w:rsidRDefault="00020973" w14:paraId="7CFDE991" w14:textId="77777777">
      <w:pPr>
        <w:spacing w:after="0" w:line="240" w:lineRule="auto"/>
        <w:ind w:right="-40" w:hanging="9"/>
        <w:rPr>
          <w:rFonts w:ascii="Times New Roman" w:hAnsi="Times New Roman" w:eastAsia="Times New Roman" w:cs="Times New Roman"/>
          <w:b/>
          <w:color w:val="030303"/>
          <w:spacing w:val="2"/>
          <w:w w:val="116"/>
          <w:sz w:val="24"/>
          <w:szCs w:val="24"/>
        </w:rPr>
      </w:pPr>
    </w:p>
    <w:p w:rsidRPr="00D7577B" w:rsidR="00F64F67" w:rsidP="00A03B38" w:rsidRDefault="00F64F67" w14:paraId="33F658C3" w14:textId="77777777">
      <w:pPr>
        <w:spacing w:after="0" w:line="240" w:lineRule="auto"/>
        <w:ind w:right="-40" w:hanging="9"/>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b/>
          <w:color w:val="030303"/>
          <w:spacing w:val="2"/>
          <w:w w:val="116"/>
          <w:sz w:val="24"/>
          <w:szCs w:val="24"/>
        </w:rPr>
        <w:t xml:space="preserve">Terms </w:t>
      </w:r>
      <w:r w:rsidRPr="00D7577B">
        <w:rPr>
          <w:rFonts w:ascii="Times New Roman" w:hAnsi="Times New Roman" w:eastAsia="Times New Roman" w:cs="Times New Roman"/>
          <w:b/>
          <w:color w:val="030303"/>
          <w:spacing w:val="2"/>
          <w:sz w:val="24"/>
          <w:szCs w:val="24"/>
        </w:rPr>
        <w:t xml:space="preserve">of </w:t>
      </w:r>
      <w:r w:rsidRPr="00D7577B">
        <w:rPr>
          <w:rFonts w:ascii="Times New Roman" w:hAnsi="Times New Roman" w:eastAsia="Times New Roman" w:cs="Times New Roman"/>
          <w:b/>
          <w:color w:val="030303"/>
          <w:spacing w:val="2"/>
          <w:w w:val="109"/>
          <w:sz w:val="24"/>
          <w:szCs w:val="24"/>
        </w:rPr>
        <w:t>Clearance:</w:t>
      </w:r>
      <w:r w:rsidRPr="00D7577B">
        <w:rPr>
          <w:rFonts w:ascii="Times New Roman" w:hAnsi="Times New Roman" w:eastAsia="Times New Roman" w:cs="Times New Roman"/>
          <w:color w:val="030303"/>
          <w:spacing w:val="2"/>
          <w:w w:val="109"/>
          <w:sz w:val="24"/>
          <w:szCs w:val="24"/>
        </w:rPr>
        <w:t xml:space="preserve"> </w:t>
      </w:r>
      <w:r w:rsidRPr="00D7577B" w:rsidR="0090548F">
        <w:rPr>
          <w:rFonts w:ascii="Times New Roman" w:hAnsi="Times New Roman" w:eastAsia="Times New Roman" w:cs="Times New Roman"/>
          <w:color w:val="030303"/>
          <w:spacing w:val="2"/>
          <w:w w:val="109"/>
          <w:sz w:val="24"/>
          <w:szCs w:val="24"/>
        </w:rPr>
        <w:t>In accordance with 5 CFR 1320, OMB is withholding approval at this time.  Prior to publication of the final rule, the agency must submit to OMB a summary of all comments related to the information collection contained in the proposed rule and the agency response.  The agency should clearly indicate any changes made the information collection as a result of these comments.</w:t>
      </w:r>
    </w:p>
    <w:p w:rsidRPr="00D7577B" w:rsidR="00A03B38" w:rsidP="00A03B38" w:rsidRDefault="00A03B38" w14:paraId="0CB7F8B3" w14:textId="77777777">
      <w:pPr>
        <w:spacing w:after="0" w:line="240" w:lineRule="auto"/>
        <w:ind w:right="-40" w:hanging="9"/>
        <w:rPr>
          <w:rFonts w:ascii="Times New Roman" w:hAnsi="Times New Roman" w:eastAsia="Times New Roman" w:cs="Times New Roman"/>
          <w:b/>
          <w:color w:val="030303"/>
          <w:spacing w:val="2"/>
          <w:sz w:val="24"/>
          <w:szCs w:val="24"/>
        </w:rPr>
      </w:pPr>
    </w:p>
    <w:p w:rsidRPr="00D7577B" w:rsidR="00F64F67" w:rsidP="00A03B38" w:rsidRDefault="00F64F67" w14:paraId="08CCA5ED" w14:textId="77777777">
      <w:pPr>
        <w:spacing w:after="0" w:line="240" w:lineRule="auto"/>
        <w:ind w:right="-40" w:hanging="9"/>
        <w:rPr>
          <w:rFonts w:ascii="Times New Roman" w:hAnsi="Times New Roman" w:eastAsia="Times New Roman" w:cs="Times New Roman"/>
          <w:b/>
          <w:spacing w:val="2"/>
          <w:sz w:val="24"/>
          <w:szCs w:val="24"/>
        </w:rPr>
      </w:pPr>
      <w:r w:rsidRPr="00D7577B">
        <w:rPr>
          <w:rFonts w:ascii="Times New Roman" w:hAnsi="Times New Roman" w:eastAsia="Times New Roman" w:cs="Times New Roman"/>
          <w:b/>
          <w:color w:val="030303"/>
          <w:spacing w:val="2"/>
          <w:sz w:val="24"/>
          <w:szCs w:val="24"/>
        </w:rPr>
        <w:t xml:space="preserve">General </w:t>
      </w:r>
      <w:r w:rsidRPr="00D7577B">
        <w:rPr>
          <w:rFonts w:ascii="Times New Roman" w:hAnsi="Times New Roman" w:eastAsia="Times New Roman" w:cs="Times New Roman"/>
          <w:b/>
          <w:color w:val="030303"/>
          <w:spacing w:val="2"/>
          <w:w w:val="110"/>
          <w:sz w:val="24"/>
          <w:szCs w:val="24"/>
        </w:rPr>
        <w:t>Instructions</w:t>
      </w:r>
    </w:p>
    <w:p w:rsidR="00F64F67" w:rsidP="00A03B38" w:rsidRDefault="00F64F67" w14:paraId="2E061FBC" w14:textId="77777777">
      <w:pPr>
        <w:spacing w:after="0" w:line="240" w:lineRule="auto"/>
        <w:ind w:right="-40" w:firstLine="9"/>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 xml:space="preserve">A completed </w:t>
      </w:r>
      <w:r w:rsidRPr="00D7577B">
        <w:rPr>
          <w:rFonts w:ascii="Times New Roman" w:hAnsi="Times New Roman" w:eastAsia="Times New Roman" w:cs="Times New Roman"/>
          <w:color w:val="030303"/>
          <w:spacing w:val="2"/>
          <w:w w:val="99"/>
          <w:sz w:val="24"/>
          <w:szCs w:val="24"/>
        </w:rPr>
        <w:t xml:space="preserve">Supporting </w:t>
      </w:r>
      <w:r w:rsidRPr="00D7577B">
        <w:rPr>
          <w:rFonts w:ascii="Times New Roman" w:hAnsi="Times New Roman" w:eastAsia="Times New Roman" w:cs="Times New Roman"/>
          <w:color w:val="030303"/>
          <w:spacing w:val="2"/>
          <w:sz w:val="24"/>
          <w:szCs w:val="24"/>
        </w:rPr>
        <w:t xml:space="preserve">Statement A must </w:t>
      </w:r>
      <w:r w:rsidRPr="00D7577B">
        <w:rPr>
          <w:rFonts w:ascii="Times New Roman" w:hAnsi="Times New Roman" w:eastAsia="Times New Roman" w:cs="Times New Roman"/>
          <w:color w:val="030303"/>
          <w:spacing w:val="2"/>
          <w:w w:val="98"/>
          <w:sz w:val="24"/>
          <w:szCs w:val="24"/>
        </w:rPr>
        <w:t xml:space="preserve">accompany </w:t>
      </w:r>
      <w:r w:rsidRPr="00D7577B">
        <w:rPr>
          <w:rFonts w:ascii="Times New Roman" w:hAnsi="Times New Roman" w:eastAsia="Times New Roman" w:cs="Times New Roman"/>
          <w:color w:val="030303"/>
          <w:spacing w:val="2"/>
          <w:sz w:val="24"/>
          <w:szCs w:val="24"/>
        </w:rPr>
        <w:t xml:space="preserve">each request for approval of a collection of information.  The Supporting Statement must be prepared in the format described below, and must contain the </w:t>
      </w:r>
      <w:r w:rsidRPr="00D7577B">
        <w:rPr>
          <w:rFonts w:ascii="Times New Roman" w:hAnsi="Times New Roman" w:eastAsia="Times New Roman" w:cs="Times New Roman"/>
          <w:color w:val="030303"/>
          <w:spacing w:val="2"/>
          <w:w w:val="98"/>
          <w:sz w:val="24"/>
          <w:szCs w:val="24"/>
        </w:rPr>
        <w:t xml:space="preserve">information </w:t>
      </w:r>
      <w:r w:rsidRPr="00D7577B">
        <w:rPr>
          <w:rFonts w:ascii="Times New Roman" w:hAnsi="Times New Roman" w:eastAsia="Times New Roman" w:cs="Times New Roman"/>
          <w:color w:val="030303"/>
          <w:spacing w:val="2"/>
          <w:sz w:val="24"/>
          <w:szCs w:val="24"/>
        </w:rPr>
        <w:t xml:space="preserve">specified below. </w:t>
      </w:r>
      <w:r w:rsidRPr="00D7577B" w:rsidR="00712EFC">
        <w:rPr>
          <w:rFonts w:ascii="Times New Roman" w:hAnsi="Times New Roman" w:eastAsia="Times New Roman" w:cs="Times New Roman"/>
          <w:color w:val="030303"/>
          <w:spacing w:val="2"/>
          <w:sz w:val="24"/>
          <w:szCs w:val="24"/>
        </w:rPr>
        <w:t xml:space="preserve">If </w:t>
      </w:r>
      <w:r w:rsidRPr="00D7577B">
        <w:rPr>
          <w:rFonts w:ascii="Times New Roman" w:hAnsi="Times New Roman" w:eastAsia="Times New Roman" w:cs="Times New Roman"/>
          <w:color w:val="030303"/>
          <w:spacing w:val="2"/>
          <w:sz w:val="24"/>
          <w:szCs w:val="24"/>
        </w:rPr>
        <w:t xml:space="preserve">an item is not </w:t>
      </w:r>
      <w:r w:rsidRPr="00D7577B">
        <w:rPr>
          <w:rFonts w:ascii="Times New Roman" w:hAnsi="Times New Roman" w:eastAsia="Times New Roman" w:cs="Times New Roman"/>
          <w:color w:val="030303"/>
          <w:spacing w:val="2"/>
          <w:w w:val="99"/>
          <w:sz w:val="24"/>
          <w:szCs w:val="24"/>
        </w:rPr>
        <w:t xml:space="preserve">applicable, </w:t>
      </w:r>
      <w:r w:rsidRPr="00D7577B">
        <w:rPr>
          <w:rFonts w:ascii="Times New Roman" w:hAnsi="Times New Roman" w:eastAsia="Times New Roman" w:cs="Times New Roman"/>
          <w:color w:val="030303"/>
          <w:spacing w:val="2"/>
          <w:sz w:val="24"/>
          <w:szCs w:val="24"/>
        </w:rPr>
        <w:t xml:space="preserve">provide a brief explanation. When the question, </w:t>
      </w:r>
      <w:r w:rsidRPr="00D7577B">
        <w:rPr>
          <w:rFonts w:ascii="Times New Roman" w:hAnsi="Times New Roman" w:eastAsia="Times New Roman" w:cs="Times New Roman"/>
          <w:color w:val="1A1A1A"/>
          <w:spacing w:val="2"/>
          <w:sz w:val="24"/>
          <w:szCs w:val="24"/>
        </w:rPr>
        <w:t xml:space="preserve">"Does </w:t>
      </w:r>
      <w:r w:rsidRPr="00D7577B">
        <w:rPr>
          <w:rFonts w:ascii="Times New Roman" w:hAnsi="Times New Roman" w:eastAsia="Times New Roman" w:cs="Times New Roman"/>
          <w:color w:val="030303"/>
          <w:spacing w:val="2"/>
          <w:sz w:val="24"/>
          <w:szCs w:val="24"/>
        </w:rPr>
        <w:t xml:space="preserve">this information collection request </w:t>
      </w:r>
      <w:r w:rsidRPr="00D7577B">
        <w:rPr>
          <w:rFonts w:ascii="Times New Roman" w:hAnsi="Times New Roman" w:eastAsia="Times New Roman" w:cs="Times New Roman"/>
          <w:color w:val="030303"/>
          <w:spacing w:val="2"/>
          <w:w w:val="97"/>
          <w:sz w:val="24"/>
          <w:szCs w:val="24"/>
        </w:rPr>
        <w:t xml:space="preserve">(ICR) </w:t>
      </w:r>
      <w:r w:rsidRPr="00D7577B">
        <w:rPr>
          <w:rFonts w:ascii="Times New Roman" w:hAnsi="Times New Roman" w:eastAsia="Times New Roman" w:cs="Times New Roman"/>
          <w:color w:val="030303"/>
          <w:spacing w:val="2"/>
          <w:sz w:val="24"/>
          <w:szCs w:val="24"/>
        </w:rPr>
        <w:t>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D87690" w:rsidP="00A03B38" w:rsidRDefault="00D87690" w14:paraId="3BFC3056" w14:textId="77777777">
      <w:pPr>
        <w:spacing w:after="0" w:line="240" w:lineRule="auto"/>
        <w:ind w:right="-40" w:firstLine="9"/>
        <w:rPr>
          <w:rFonts w:ascii="Times New Roman" w:hAnsi="Times New Roman" w:eastAsia="Times New Roman" w:cs="Times New Roman"/>
          <w:color w:val="030303"/>
          <w:spacing w:val="2"/>
          <w:sz w:val="24"/>
          <w:szCs w:val="24"/>
        </w:rPr>
      </w:pPr>
    </w:p>
    <w:p w:rsidR="00D87690" w:rsidP="00A03B38" w:rsidRDefault="00D87690" w14:paraId="54D72031" w14:textId="77777777">
      <w:pPr>
        <w:spacing w:after="0" w:line="240" w:lineRule="auto"/>
        <w:ind w:right="-40" w:firstLine="9"/>
        <w:rPr>
          <w:rFonts w:ascii="Times New Roman" w:hAnsi="Times New Roman" w:eastAsia="Times New Roman" w:cs="Times New Roman"/>
          <w:color w:val="030303"/>
          <w:spacing w:val="2"/>
          <w:sz w:val="24"/>
          <w:szCs w:val="24"/>
        </w:rPr>
      </w:pPr>
      <w:r>
        <w:rPr>
          <w:rFonts w:ascii="Times New Roman" w:hAnsi="Times New Roman" w:eastAsia="Times New Roman" w:cs="Times New Roman"/>
          <w:b/>
          <w:color w:val="030303"/>
          <w:spacing w:val="2"/>
          <w:sz w:val="24"/>
          <w:szCs w:val="24"/>
        </w:rPr>
        <w:t>Introduction</w:t>
      </w:r>
    </w:p>
    <w:p w:rsidR="00D87690" w:rsidP="00A03B38" w:rsidRDefault="00D87690" w14:paraId="5BFAE68B" w14:textId="77777777">
      <w:pPr>
        <w:spacing w:after="0" w:line="240" w:lineRule="auto"/>
        <w:ind w:right="-40" w:firstLine="9"/>
        <w:rPr>
          <w:rFonts w:ascii="Times New Roman" w:hAnsi="Times New Roman" w:eastAsia="Times New Roman" w:cs="Times New Roman"/>
          <w:color w:val="030303"/>
          <w:spacing w:val="2"/>
          <w:sz w:val="24"/>
          <w:szCs w:val="24"/>
        </w:rPr>
      </w:pPr>
    </w:p>
    <w:p w:rsidR="00AC08E8" w:rsidP="00AC08E8" w:rsidRDefault="00D87690" w14:paraId="436B4E2B" w14:textId="77777777">
      <w:pPr>
        <w:spacing w:after="0" w:line="240" w:lineRule="auto"/>
        <w:ind w:right="-40"/>
        <w:rPr>
          <w:rFonts w:ascii="Times New Roman" w:hAnsi="Times New Roman" w:eastAsia="Times New Roman" w:cs="Times New Roman"/>
          <w:color w:val="030303"/>
          <w:spacing w:val="2"/>
          <w:sz w:val="24"/>
          <w:szCs w:val="24"/>
        </w:rPr>
      </w:pPr>
      <w:r>
        <w:rPr>
          <w:rFonts w:ascii="Times New Roman" w:hAnsi="Times New Roman" w:eastAsia="Times New Roman" w:cs="Times New Roman"/>
          <w:color w:val="030303"/>
          <w:spacing w:val="2"/>
          <w:sz w:val="24"/>
          <w:szCs w:val="24"/>
        </w:rPr>
        <w:t xml:space="preserve">On April 5, 2016, BOEM published a proposed rule that would amend BOEM regulations related to air quality measurement, evaluation, and control for oil, gas, and sulfur operations on the OCS.  This final rule amends BOEM air quality management regulations applicable to activities authorized by BOEM on the OCS.  </w:t>
      </w:r>
    </w:p>
    <w:p w:rsidR="00AC08E8" w:rsidP="00AC08E8" w:rsidRDefault="00AC08E8" w14:paraId="06A2A223" w14:textId="77777777">
      <w:pPr>
        <w:spacing w:after="0" w:line="240" w:lineRule="auto"/>
        <w:ind w:right="-40"/>
        <w:rPr>
          <w:rFonts w:ascii="Times New Roman" w:hAnsi="Times New Roman" w:eastAsia="Times New Roman" w:cs="Times New Roman"/>
          <w:color w:val="030303"/>
          <w:spacing w:val="2"/>
          <w:sz w:val="24"/>
          <w:szCs w:val="24"/>
        </w:rPr>
      </w:pPr>
    </w:p>
    <w:p w:rsidR="00746403" w:rsidP="00AC08E8" w:rsidRDefault="00AC08E8" w14:paraId="2832DC60" w14:textId="77777777">
      <w:pPr>
        <w:spacing w:after="0" w:line="240" w:lineRule="auto"/>
        <w:ind w:right="-40"/>
        <w:rPr>
          <w:rFonts w:ascii="Times New Roman" w:hAnsi="Times New Roman" w:cs="Times New Roman"/>
          <w:bCs/>
          <w:spacing w:val="2"/>
          <w:sz w:val="24"/>
          <w:szCs w:val="24"/>
        </w:rPr>
      </w:pPr>
      <w:r w:rsidRPr="00AC08E8">
        <w:rPr>
          <w:rFonts w:ascii="Times New Roman" w:hAnsi="Times New Roman" w:cs="Times New Roman"/>
          <w:bCs/>
          <w:spacing w:val="2"/>
          <w:sz w:val="24"/>
          <w:szCs w:val="24"/>
        </w:rPr>
        <w:t xml:space="preserve">Because the proposed rule was intended to replace the existing set of regulations in its entirety, and not, like this final rule, simply to update certain provisions, the structure of the proposed rule was quite different from that of the final rule.  The final rule makes only a limited number of updates to the existing regulations and does not fundamentally restructure the existing regulations.  </w:t>
      </w:r>
      <w:r w:rsidR="004E19E9">
        <w:rPr>
          <w:rFonts w:ascii="Times New Roman" w:hAnsi="Times New Roman" w:cs="Times New Roman"/>
          <w:bCs/>
          <w:spacing w:val="2"/>
          <w:sz w:val="24"/>
          <w:szCs w:val="24"/>
        </w:rPr>
        <w:t>The overall annual burden hours and non-hour cost burdens for OMB control number 1010-0151 are not impacted by this final rule.</w:t>
      </w:r>
    </w:p>
    <w:p w:rsidR="00746403" w:rsidP="00AC08E8" w:rsidRDefault="00746403" w14:paraId="423D298A" w14:textId="77777777">
      <w:pPr>
        <w:spacing w:after="0" w:line="240" w:lineRule="auto"/>
        <w:ind w:right="-40"/>
        <w:rPr>
          <w:rFonts w:ascii="Times New Roman" w:hAnsi="Times New Roman" w:cs="Times New Roman"/>
          <w:bCs/>
          <w:spacing w:val="2"/>
          <w:sz w:val="24"/>
          <w:szCs w:val="24"/>
        </w:rPr>
      </w:pPr>
    </w:p>
    <w:p w:rsidR="00746403" w:rsidP="00746403" w:rsidRDefault="00746403" w14:paraId="3F6F64BB" w14:textId="77777777">
      <w:pPr>
        <w:spacing w:after="0" w:line="240" w:lineRule="auto"/>
        <w:ind w:right="-40"/>
        <w:rPr>
          <w:rFonts w:ascii="Times New Roman" w:hAnsi="Times New Roman" w:eastAsia="Times New Roman" w:cs="Times New Roman"/>
          <w:spacing w:val="2"/>
          <w:sz w:val="24"/>
          <w:szCs w:val="24"/>
        </w:rPr>
      </w:pPr>
      <w:r w:rsidRPr="00D7577B">
        <w:rPr>
          <w:rFonts w:ascii="Times New Roman" w:hAnsi="Times New Roman" w:eastAsia="Times New Roman" w:cs="Times New Roman"/>
          <w:spacing w:val="2"/>
          <w:sz w:val="24"/>
          <w:szCs w:val="24"/>
        </w:rPr>
        <w:t xml:space="preserve">The information collections activities intended in the proposed rule were assigned control number 1010-0192, including those burdens related to forms BOEM-0138 and BOEM-0139. </w:t>
      </w:r>
      <w:r w:rsidR="00853ED7">
        <w:rPr>
          <w:rFonts w:ascii="Times New Roman" w:hAnsi="Times New Roman" w:eastAsia="Times New Roman" w:cs="Times New Roman"/>
          <w:spacing w:val="2"/>
          <w:sz w:val="24"/>
          <w:szCs w:val="24"/>
        </w:rPr>
        <w:t xml:space="preserve"> The final rule only updates two</w:t>
      </w:r>
      <w:r w:rsidRPr="00D7577B">
        <w:rPr>
          <w:rFonts w:ascii="Times New Roman" w:hAnsi="Times New Roman" w:eastAsia="Times New Roman" w:cs="Times New Roman"/>
          <w:spacing w:val="2"/>
          <w:sz w:val="24"/>
          <w:szCs w:val="24"/>
        </w:rPr>
        <w:t xml:space="preserve"> forms approved for use under OMB control number 1010-0151.</w:t>
      </w:r>
      <w:r>
        <w:rPr>
          <w:rFonts w:ascii="Times New Roman" w:hAnsi="Times New Roman" w:eastAsia="Times New Roman" w:cs="Times New Roman"/>
          <w:spacing w:val="2"/>
          <w:sz w:val="24"/>
          <w:szCs w:val="24"/>
        </w:rPr>
        <w:t xml:space="preserve">  </w:t>
      </w:r>
      <w:r w:rsidRPr="00D7577B">
        <w:rPr>
          <w:rFonts w:ascii="Times New Roman" w:hAnsi="Times New Roman" w:eastAsia="Times New Roman" w:cs="Times New Roman"/>
          <w:spacing w:val="2"/>
          <w:sz w:val="24"/>
          <w:szCs w:val="24"/>
        </w:rPr>
        <w:t>With OMB approval of the</w:t>
      </w:r>
      <w:r w:rsidR="00853ED7">
        <w:rPr>
          <w:rFonts w:ascii="Times New Roman" w:hAnsi="Times New Roman" w:eastAsia="Times New Roman" w:cs="Times New Roman"/>
          <w:spacing w:val="2"/>
          <w:sz w:val="24"/>
          <w:szCs w:val="24"/>
        </w:rPr>
        <w:t xml:space="preserve"> new</w:t>
      </w:r>
      <w:r w:rsidRPr="00D7577B">
        <w:rPr>
          <w:rFonts w:ascii="Times New Roman" w:hAnsi="Times New Roman" w:eastAsia="Times New Roman" w:cs="Times New Roman"/>
          <w:spacing w:val="2"/>
          <w:sz w:val="24"/>
          <w:szCs w:val="24"/>
        </w:rPr>
        <w:t xml:space="preserve"> form revisions, BOEM plans </w:t>
      </w:r>
      <w:r>
        <w:rPr>
          <w:rFonts w:ascii="Times New Roman" w:hAnsi="Times New Roman" w:eastAsia="Times New Roman" w:cs="Times New Roman"/>
          <w:spacing w:val="2"/>
          <w:sz w:val="24"/>
          <w:szCs w:val="24"/>
        </w:rPr>
        <w:t xml:space="preserve">to </w:t>
      </w:r>
      <w:r w:rsidRPr="00D7577B">
        <w:rPr>
          <w:rFonts w:ascii="Times New Roman" w:hAnsi="Times New Roman" w:eastAsia="Times New Roman" w:cs="Times New Roman"/>
          <w:spacing w:val="2"/>
          <w:sz w:val="24"/>
          <w:szCs w:val="24"/>
        </w:rPr>
        <w:t>replace forms</w:t>
      </w:r>
      <w:r>
        <w:rPr>
          <w:rFonts w:ascii="Times New Roman" w:hAnsi="Times New Roman" w:eastAsia="Times New Roman" w:cs="Times New Roman"/>
          <w:spacing w:val="2"/>
          <w:sz w:val="24"/>
          <w:szCs w:val="24"/>
        </w:rPr>
        <w:t xml:space="preserve"> BOEM-0138 and BOEM-0139</w:t>
      </w:r>
      <w:r w:rsidRPr="00D7577B">
        <w:rPr>
          <w:rFonts w:ascii="Times New Roman" w:hAnsi="Times New Roman" w:eastAsia="Times New Roman" w:cs="Times New Roman"/>
          <w:spacing w:val="2"/>
          <w:sz w:val="24"/>
          <w:szCs w:val="24"/>
        </w:rPr>
        <w:t xml:space="preserve"> under OMB control number 1010-0151.</w:t>
      </w:r>
    </w:p>
    <w:p w:rsidR="00853ED7" w:rsidP="00746403" w:rsidRDefault="00853ED7" w14:paraId="2F782C5B" w14:textId="77777777">
      <w:pPr>
        <w:spacing w:after="0" w:line="240" w:lineRule="auto"/>
        <w:ind w:right="-40"/>
        <w:rPr>
          <w:rFonts w:ascii="Times New Roman" w:hAnsi="Times New Roman" w:eastAsia="Times New Roman" w:cs="Times New Roman"/>
          <w:spacing w:val="2"/>
          <w:sz w:val="24"/>
          <w:szCs w:val="24"/>
        </w:rPr>
      </w:pPr>
    </w:p>
    <w:p w:rsidRPr="00D7577B" w:rsidR="00853ED7" w:rsidP="00746403" w:rsidRDefault="00853ED7" w14:paraId="304A7168" w14:textId="77777777">
      <w:pPr>
        <w:spacing w:after="0" w:line="240" w:lineRule="auto"/>
        <w:ind w:right="-40"/>
        <w:rPr>
          <w:rFonts w:ascii="Times New Roman" w:hAnsi="Times New Roman" w:eastAsia="Times New Roman" w:cs="Times New Roman"/>
          <w:color w:val="030303"/>
          <w:spacing w:val="2"/>
          <w:sz w:val="24"/>
          <w:szCs w:val="24"/>
        </w:rPr>
      </w:pPr>
      <w:r w:rsidRPr="00853ED7">
        <w:rPr>
          <w:rFonts w:ascii="Times New Roman" w:hAnsi="Times New Roman" w:eastAsia="Times New Roman" w:cs="Times New Roman"/>
          <w:color w:val="030303"/>
          <w:spacing w:val="2"/>
          <w:sz w:val="24"/>
          <w:szCs w:val="24"/>
        </w:rPr>
        <w:t>BOEM is submitting an information collection revision of OMB control number 1010-0151 with the final rulemaking to address the modification to forms BOEM-0138 and BOEM-0139.  The overall annual burden hours and non-hour cost burdens are not impacted by this final rulemaking.</w:t>
      </w:r>
    </w:p>
    <w:p w:rsidRPr="00AC08E8" w:rsidR="00746403" w:rsidP="00AC08E8" w:rsidRDefault="00746403" w14:paraId="32ED6E29" w14:textId="77777777">
      <w:pPr>
        <w:spacing w:after="0" w:line="240" w:lineRule="auto"/>
        <w:ind w:right="-40"/>
        <w:rPr>
          <w:rFonts w:ascii="Times New Roman" w:hAnsi="Times New Roman" w:cs="Times New Roman"/>
          <w:bCs/>
          <w:spacing w:val="2"/>
          <w:sz w:val="24"/>
          <w:szCs w:val="24"/>
        </w:rPr>
      </w:pPr>
    </w:p>
    <w:p w:rsidRPr="00D7577B" w:rsidR="00F64F67" w:rsidP="00A03B38" w:rsidRDefault="00F64F67" w14:paraId="59A7EA64" w14:textId="77777777">
      <w:pPr>
        <w:spacing w:after="0" w:line="240" w:lineRule="auto"/>
        <w:ind w:right="-40"/>
        <w:rPr>
          <w:rFonts w:ascii="Times New Roman" w:hAnsi="Times New Roman" w:eastAsia="Times New Roman" w:cs="Times New Roman"/>
          <w:b/>
          <w:spacing w:val="2"/>
          <w:sz w:val="24"/>
          <w:szCs w:val="24"/>
        </w:rPr>
      </w:pPr>
      <w:r w:rsidRPr="00D7577B">
        <w:rPr>
          <w:rFonts w:ascii="Times New Roman" w:hAnsi="Times New Roman" w:eastAsia="Times New Roman" w:cs="Times New Roman"/>
          <w:b/>
          <w:color w:val="030303"/>
          <w:spacing w:val="2"/>
          <w:w w:val="104"/>
          <w:sz w:val="24"/>
          <w:szCs w:val="24"/>
        </w:rPr>
        <w:t>Justification</w:t>
      </w:r>
    </w:p>
    <w:p w:rsidRPr="00D7577B" w:rsidR="00F64F67" w:rsidP="00A03B38" w:rsidRDefault="00F64F67" w14:paraId="19D7F3D1" w14:textId="77777777">
      <w:pPr>
        <w:spacing w:after="0" w:line="240" w:lineRule="auto"/>
        <w:ind w:right="-40"/>
        <w:rPr>
          <w:rFonts w:ascii="Times New Roman" w:hAnsi="Times New Roman" w:cs="Times New Roman"/>
          <w:b/>
          <w:spacing w:val="2"/>
          <w:sz w:val="24"/>
          <w:szCs w:val="24"/>
        </w:rPr>
      </w:pPr>
    </w:p>
    <w:p w:rsidRPr="00D7577B" w:rsidR="00F64F67" w:rsidP="00A03B38" w:rsidRDefault="00F64F67" w14:paraId="0CB16B93" w14:textId="77777777">
      <w:pPr>
        <w:spacing w:after="0" w:line="240" w:lineRule="auto"/>
        <w:ind w:right="-40" w:firstLine="14"/>
        <w:rPr>
          <w:rFonts w:ascii="Times New Roman" w:hAnsi="Times New Roman" w:eastAsia="Times New Roman" w:cs="Times New Roman"/>
          <w:b/>
          <w:spacing w:val="2"/>
          <w:sz w:val="24"/>
          <w:szCs w:val="24"/>
        </w:rPr>
      </w:pPr>
      <w:r w:rsidRPr="00D7577B">
        <w:rPr>
          <w:rFonts w:ascii="Times New Roman" w:hAnsi="Times New Roman" w:eastAsia="Times New Roman" w:cs="Times New Roman"/>
          <w:b/>
          <w:i/>
          <w:color w:val="030303"/>
          <w:spacing w:val="2"/>
          <w:sz w:val="24"/>
          <w:szCs w:val="24"/>
        </w:rPr>
        <w:t xml:space="preserve">1. Explain the circumstances that </w:t>
      </w:r>
      <w:r w:rsidRPr="00D7577B" w:rsidR="00A938FF">
        <w:rPr>
          <w:rFonts w:ascii="Times New Roman" w:hAnsi="Times New Roman" w:eastAsia="Times New Roman" w:cs="Times New Roman"/>
          <w:b/>
          <w:i/>
          <w:color w:val="030303"/>
          <w:spacing w:val="2"/>
          <w:w w:val="94"/>
          <w:sz w:val="24"/>
          <w:szCs w:val="24"/>
        </w:rPr>
        <w:t>make</w:t>
      </w:r>
      <w:r w:rsidRPr="00D7577B">
        <w:rPr>
          <w:rFonts w:ascii="Times New Roman" w:hAnsi="Times New Roman" w:eastAsia="Times New Roman" w:cs="Times New Roman"/>
          <w:b/>
          <w:i/>
          <w:color w:val="030303"/>
          <w:spacing w:val="2"/>
          <w:w w:val="94"/>
          <w:sz w:val="24"/>
          <w:szCs w:val="24"/>
        </w:rPr>
        <w:t xml:space="preserve"> </w:t>
      </w:r>
      <w:r w:rsidRPr="00D7577B">
        <w:rPr>
          <w:rFonts w:ascii="Times New Roman" w:hAnsi="Times New Roman" w:eastAsia="Times New Roman" w:cs="Times New Roman"/>
          <w:b/>
          <w:i/>
          <w:color w:val="030303"/>
          <w:spacing w:val="2"/>
          <w:sz w:val="24"/>
          <w:szCs w:val="24"/>
        </w:rPr>
        <w:t xml:space="preserve">the collection of information necessary. Identify any legal </w:t>
      </w:r>
      <w:r w:rsidRPr="00D7577B">
        <w:rPr>
          <w:rFonts w:ascii="Times New Roman" w:hAnsi="Times New Roman" w:eastAsia="Times New Roman" w:cs="Times New Roman"/>
          <w:b/>
          <w:i/>
          <w:color w:val="030303"/>
          <w:spacing w:val="2"/>
          <w:w w:val="104"/>
          <w:sz w:val="24"/>
          <w:szCs w:val="24"/>
        </w:rPr>
        <w:t xml:space="preserve">or </w:t>
      </w:r>
      <w:r w:rsidRPr="00D7577B">
        <w:rPr>
          <w:rFonts w:ascii="Times New Roman" w:hAnsi="Times New Roman" w:eastAsia="Times New Roman" w:cs="Times New Roman"/>
          <w:b/>
          <w:i/>
          <w:color w:val="030303"/>
          <w:spacing w:val="2"/>
          <w:sz w:val="24"/>
          <w:szCs w:val="24"/>
        </w:rPr>
        <w:t xml:space="preserve">administrative requirements that </w:t>
      </w:r>
      <w:r w:rsidRPr="00D7577B" w:rsidR="00A938FF">
        <w:rPr>
          <w:rFonts w:ascii="Times New Roman" w:hAnsi="Times New Roman" w:eastAsia="Times New Roman" w:cs="Times New Roman"/>
          <w:b/>
          <w:i/>
          <w:color w:val="030303"/>
          <w:spacing w:val="2"/>
          <w:sz w:val="24"/>
          <w:szCs w:val="24"/>
        </w:rPr>
        <w:t>necessitate</w:t>
      </w:r>
      <w:r w:rsidRPr="00D7577B">
        <w:rPr>
          <w:rFonts w:ascii="Times New Roman" w:hAnsi="Times New Roman" w:eastAsia="Times New Roman" w:cs="Times New Roman"/>
          <w:b/>
          <w:i/>
          <w:color w:val="030303"/>
          <w:spacing w:val="2"/>
          <w:sz w:val="24"/>
          <w:szCs w:val="24"/>
        </w:rPr>
        <w:t xml:space="preserve"> the </w:t>
      </w:r>
      <w:r w:rsidRPr="00D7577B">
        <w:rPr>
          <w:rFonts w:ascii="Times New Roman" w:hAnsi="Times New Roman" w:eastAsia="Times New Roman" w:cs="Times New Roman"/>
          <w:b/>
          <w:i/>
          <w:color w:val="030303"/>
          <w:spacing w:val="2"/>
          <w:w w:val="99"/>
          <w:sz w:val="24"/>
          <w:szCs w:val="24"/>
        </w:rPr>
        <w:t>colle</w:t>
      </w:r>
      <w:r w:rsidRPr="00D7577B">
        <w:rPr>
          <w:rFonts w:ascii="Times New Roman" w:hAnsi="Times New Roman" w:eastAsia="Times New Roman" w:cs="Times New Roman"/>
          <w:b/>
          <w:i/>
          <w:color w:val="383638"/>
          <w:spacing w:val="2"/>
          <w:w w:val="104"/>
          <w:sz w:val="24"/>
          <w:szCs w:val="24"/>
        </w:rPr>
        <w:t>c</w:t>
      </w:r>
      <w:r w:rsidRPr="00D7577B">
        <w:rPr>
          <w:rFonts w:ascii="Times New Roman" w:hAnsi="Times New Roman" w:eastAsia="Times New Roman" w:cs="Times New Roman"/>
          <w:b/>
          <w:i/>
          <w:color w:val="030303"/>
          <w:spacing w:val="2"/>
          <w:w w:val="107"/>
          <w:sz w:val="24"/>
          <w:szCs w:val="24"/>
        </w:rPr>
        <w:t>tion.</w:t>
      </w:r>
    </w:p>
    <w:p w:rsidRPr="00D7577B" w:rsidR="00F64F67" w:rsidP="00A03B38" w:rsidRDefault="00F64F67" w14:paraId="0D78A74B" w14:textId="77777777">
      <w:pPr>
        <w:spacing w:after="0" w:line="240" w:lineRule="auto"/>
        <w:ind w:right="-40"/>
        <w:rPr>
          <w:rFonts w:ascii="Times New Roman" w:hAnsi="Times New Roman" w:cs="Times New Roman"/>
          <w:spacing w:val="2"/>
          <w:sz w:val="24"/>
          <w:szCs w:val="24"/>
        </w:rPr>
      </w:pPr>
    </w:p>
    <w:p w:rsidRPr="00D7577B" w:rsidR="00F64F67" w:rsidP="00A03B38" w:rsidRDefault="00F64F67" w14:paraId="68B6A742" w14:textId="77777777">
      <w:pPr>
        <w:spacing w:after="0" w:line="240" w:lineRule="auto"/>
        <w:ind w:right="-40" w:hanging="5"/>
        <w:rPr>
          <w:rFonts w:ascii="Times New Roman" w:hAnsi="Times New Roman" w:eastAsia="Times New Roman" w:cs="Times New Roman"/>
          <w:spacing w:val="2"/>
          <w:sz w:val="24"/>
          <w:szCs w:val="24"/>
        </w:rPr>
      </w:pPr>
      <w:r w:rsidRPr="00D7577B">
        <w:rPr>
          <w:rFonts w:ascii="Times New Roman" w:hAnsi="Times New Roman" w:eastAsia="Times New Roman" w:cs="Times New Roman"/>
          <w:color w:val="030303"/>
          <w:spacing w:val="2"/>
          <w:sz w:val="24"/>
          <w:szCs w:val="24"/>
        </w:rPr>
        <w:t>The Outer Continental Shelf</w:t>
      </w:r>
      <w:r w:rsidRPr="00D7577B" w:rsidR="00A03B38">
        <w:rPr>
          <w:rFonts w:ascii="Times New Roman" w:hAnsi="Times New Roman" w:eastAsia="Times New Roman" w:cs="Times New Roman"/>
          <w:color w:val="030303"/>
          <w:spacing w:val="2"/>
          <w:sz w:val="24"/>
          <w:szCs w:val="24"/>
        </w:rPr>
        <w:t xml:space="preserve"> </w:t>
      </w:r>
      <w:r w:rsidRPr="00D7577B">
        <w:rPr>
          <w:rFonts w:ascii="Times New Roman" w:hAnsi="Times New Roman" w:eastAsia="Times New Roman" w:cs="Times New Roman"/>
          <w:color w:val="030303"/>
          <w:spacing w:val="2"/>
          <w:sz w:val="24"/>
          <w:szCs w:val="24"/>
        </w:rPr>
        <w:t xml:space="preserve">(OCS) Lands Act, as amended (43 </w:t>
      </w:r>
      <w:r w:rsidRPr="00D7577B">
        <w:rPr>
          <w:rFonts w:ascii="Times New Roman" w:hAnsi="Times New Roman" w:eastAsia="Times New Roman" w:cs="Times New Roman"/>
          <w:color w:val="030303"/>
          <w:spacing w:val="2"/>
          <w:w w:val="99"/>
          <w:sz w:val="24"/>
          <w:szCs w:val="24"/>
        </w:rPr>
        <w:t xml:space="preserve">U.S.C. </w:t>
      </w:r>
      <w:r w:rsidRPr="00D7577B" w:rsidR="00A03B38">
        <w:rPr>
          <w:rFonts w:ascii="Times New Roman" w:hAnsi="Times New Roman" w:eastAsia="Times New Roman" w:cs="Times New Roman"/>
          <w:color w:val="030303"/>
          <w:spacing w:val="2"/>
          <w:w w:val="99"/>
          <w:sz w:val="24"/>
          <w:szCs w:val="24"/>
        </w:rPr>
        <w:t xml:space="preserve">§ </w:t>
      </w:r>
      <w:r w:rsidRPr="00D7577B">
        <w:rPr>
          <w:rFonts w:ascii="Times New Roman" w:hAnsi="Times New Roman" w:eastAsia="Times New Roman" w:cs="Times New Roman"/>
          <w:color w:val="030303"/>
          <w:spacing w:val="2"/>
          <w:sz w:val="24"/>
          <w:szCs w:val="24"/>
        </w:rPr>
        <w:t xml:space="preserve">1331 </w:t>
      </w:r>
      <w:r w:rsidRPr="00D7577B">
        <w:rPr>
          <w:rFonts w:ascii="Times New Roman" w:hAnsi="Times New Roman" w:eastAsia="Times New Roman" w:cs="Times New Roman"/>
          <w:i/>
          <w:color w:val="030303"/>
          <w:spacing w:val="2"/>
          <w:sz w:val="24"/>
          <w:szCs w:val="24"/>
        </w:rPr>
        <w:t xml:space="preserve">et </w:t>
      </w:r>
      <w:r w:rsidRPr="00D7577B">
        <w:rPr>
          <w:rFonts w:ascii="Times New Roman" w:hAnsi="Times New Roman" w:eastAsia="Times New Roman" w:cs="Times New Roman"/>
          <w:i/>
          <w:color w:val="030303"/>
          <w:spacing w:val="2"/>
          <w:w w:val="104"/>
          <w:sz w:val="24"/>
          <w:szCs w:val="24"/>
        </w:rPr>
        <w:t>seq</w:t>
      </w:r>
      <w:r w:rsidRPr="00D7577B">
        <w:rPr>
          <w:rFonts w:ascii="Times New Roman" w:hAnsi="Times New Roman" w:eastAsia="Times New Roman" w:cs="Times New Roman"/>
          <w:i/>
          <w:color w:val="030303"/>
          <w:spacing w:val="2"/>
          <w:w w:val="105"/>
          <w:sz w:val="24"/>
          <w:szCs w:val="24"/>
        </w:rPr>
        <w:t>.</w:t>
      </w:r>
      <w:r w:rsidRPr="00D7577B">
        <w:rPr>
          <w:rFonts w:ascii="Times New Roman" w:hAnsi="Times New Roman" w:eastAsia="Times New Roman" w:cs="Times New Roman"/>
          <w:i/>
          <w:color w:val="030303"/>
          <w:spacing w:val="2"/>
          <w:sz w:val="24"/>
          <w:szCs w:val="24"/>
        </w:rPr>
        <w:t xml:space="preserve"> </w:t>
      </w:r>
      <w:r w:rsidRPr="00D7577B">
        <w:rPr>
          <w:rFonts w:ascii="Times New Roman" w:hAnsi="Times New Roman" w:eastAsia="Times New Roman" w:cs="Times New Roman"/>
          <w:color w:val="030303"/>
          <w:spacing w:val="2"/>
          <w:sz w:val="24"/>
          <w:szCs w:val="24"/>
        </w:rPr>
        <w:t>and 43 U.S.C</w:t>
      </w:r>
      <w:r w:rsidRPr="00D7577B">
        <w:rPr>
          <w:rFonts w:ascii="Times New Roman" w:hAnsi="Times New Roman" w:eastAsia="Times New Roman" w:cs="Times New Roman"/>
          <w:color w:val="030303"/>
          <w:spacing w:val="2"/>
          <w:w w:val="101"/>
          <w:sz w:val="24"/>
          <w:szCs w:val="24"/>
        </w:rPr>
        <w:t>.</w:t>
      </w:r>
      <w:r w:rsidRPr="00D7577B">
        <w:rPr>
          <w:rFonts w:ascii="Times New Roman" w:hAnsi="Times New Roman" w:eastAsia="Times New Roman" w:cs="Times New Roman"/>
          <w:color w:val="030303"/>
          <w:spacing w:val="2"/>
          <w:sz w:val="24"/>
          <w:szCs w:val="24"/>
        </w:rPr>
        <w:t xml:space="preserve"> </w:t>
      </w:r>
      <w:r w:rsidRPr="00D7577B" w:rsidR="00A03B38">
        <w:rPr>
          <w:rFonts w:ascii="Times New Roman" w:hAnsi="Times New Roman" w:eastAsia="Times New Roman" w:cs="Times New Roman"/>
          <w:color w:val="030303"/>
          <w:spacing w:val="2"/>
          <w:w w:val="99"/>
          <w:sz w:val="24"/>
          <w:szCs w:val="24"/>
        </w:rPr>
        <w:t xml:space="preserve">§ </w:t>
      </w:r>
      <w:r w:rsidRPr="00D7577B">
        <w:rPr>
          <w:rFonts w:ascii="Times New Roman" w:hAnsi="Times New Roman" w:eastAsia="Times New Roman" w:cs="Times New Roman"/>
          <w:color w:val="030303"/>
          <w:spacing w:val="2"/>
          <w:w w:val="98"/>
          <w:sz w:val="24"/>
          <w:szCs w:val="24"/>
        </w:rPr>
        <w:t xml:space="preserve">1801 </w:t>
      </w:r>
      <w:r w:rsidRPr="00D7577B">
        <w:rPr>
          <w:rFonts w:ascii="Times New Roman" w:hAnsi="Times New Roman" w:eastAsia="Times New Roman" w:cs="Times New Roman"/>
          <w:i/>
          <w:color w:val="030303"/>
          <w:spacing w:val="2"/>
          <w:w w:val="102"/>
          <w:sz w:val="24"/>
          <w:szCs w:val="24"/>
        </w:rPr>
        <w:t>et</w:t>
      </w:r>
      <w:r w:rsidRPr="00D7577B">
        <w:rPr>
          <w:rFonts w:ascii="Times New Roman" w:hAnsi="Times New Roman" w:eastAsia="Times New Roman" w:cs="Times New Roman"/>
          <w:i/>
          <w:color w:val="030303"/>
          <w:spacing w:val="2"/>
          <w:sz w:val="24"/>
          <w:szCs w:val="24"/>
        </w:rPr>
        <w:t xml:space="preserve"> seq.), </w:t>
      </w:r>
      <w:r w:rsidRPr="00D7577B">
        <w:rPr>
          <w:rFonts w:ascii="Times New Roman" w:hAnsi="Times New Roman" w:eastAsia="Times New Roman" w:cs="Times New Roman"/>
          <w:color w:val="030303"/>
          <w:spacing w:val="2"/>
          <w:sz w:val="24"/>
          <w:szCs w:val="24"/>
        </w:rPr>
        <w:t xml:space="preserve">authorizes the </w:t>
      </w:r>
      <w:r w:rsidRPr="00D7577B">
        <w:rPr>
          <w:rFonts w:ascii="Times New Roman" w:hAnsi="Times New Roman" w:eastAsia="Times New Roman" w:cs="Times New Roman"/>
          <w:color w:val="030303"/>
          <w:spacing w:val="2"/>
          <w:w w:val="97"/>
          <w:sz w:val="24"/>
          <w:szCs w:val="24"/>
        </w:rPr>
        <w:t xml:space="preserve">Secretary </w:t>
      </w:r>
      <w:r w:rsidRPr="00D7577B">
        <w:rPr>
          <w:rFonts w:ascii="Times New Roman" w:hAnsi="Times New Roman" w:eastAsia="Times New Roman" w:cs="Times New Roman"/>
          <w:color w:val="030303"/>
          <w:spacing w:val="2"/>
          <w:sz w:val="24"/>
          <w:szCs w:val="24"/>
        </w:rPr>
        <w:t xml:space="preserve">of the Interior to prescribe rules and regulations to administer leasing of mineral resources on the OCS. Such rules and regulations apply to all operations conducted under </w:t>
      </w:r>
      <w:r w:rsidRPr="00D7577B">
        <w:rPr>
          <w:rFonts w:ascii="Times New Roman" w:hAnsi="Times New Roman" w:eastAsia="Times New Roman" w:cs="Times New Roman"/>
          <w:color w:val="030303"/>
          <w:spacing w:val="2"/>
          <w:w w:val="102"/>
          <w:sz w:val="24"/>
          <w:szCs w:val="24"/>
        </w:rPr>
        <w:t xml:space="preserve">a </w:t>
      </w:r>
      <w:r w:rsidRPr="00D7577B">
        <w:rPr>
          <w:rFonts w:ascii="Times New Roman" w:hAnsi="Times New Roman" w:eastAsia="Times New Roman" w:cs="Times New Roman"/>
          <w:color w:val="030303"/>
          <w:spacing w:val="2"/>
          <w:sz w:val="24"/>
          <w:szCs w:val="24"/>
        </w:rPr>
        <w:t xml:space="preserve">lease, </w:t>
      </w:r>
      <w:r w:rsidRPr="00D7577B" w:rsidR="001917F7">
        <w:rPr>
          <w:rFonts w:ascii="Times New Roman" w:hAnsi="Times New Roman" w:eastAsia="Times New Roman" w:cs="Times New Roman"/>
          <w:color w:val="030303"/>
          <w:spacing w:val="2"/>
          <w:sz w:val="24"/>
          <w:szCs w:val="24"/>
        </w:rPr>
        <w:t xml:space="preserve">pipeline </w:t>
      </w:r>
      <w:r w:rsidRPr="00D7577B">
        <w:rPr>
          <w:rFonts w:ascii="Times New Roman" w:hAnsi="Times New Roman" w:eastAsia="Times New Roman" w:cs="Times New Roman"/>
          <w:color w:val="030303"/>
          <w:spacing w:val="2"/>
          <w:sz w:val="24"/>
          <w:szCs w:val="24"/>
        </w:rPr>
        <w:t xml:space="preserve">right-of-way, </w:t>
      </w:r>
      <w:r w:rsidRPr="00D7577B" w:rsidR="001917F7">
        <w:rPr>
          <w:rFonts w:ascii="Times New Roman" w:hAnsi="Times New Roman" w:eastAsia="Times New Roman" w:cs="Times New Roman"/>
          <w:color w:val="030303"/>
          <w:spacing w:val="2"/>
          <w:sz w:val="24"/>
          <w:szCs w:val="24"/>
        </w:rPr>
        <w:t xml:space="preserve">lease-term pipeline, </w:t>
      </w:r>
      <w:r w:rsidRPr="00D7577B">
        <w:rPr>
          <w:rFonts w:ascii="Times New Roman" w:hAnsi="Times New Roman" w:eastAsia="Times New Roman" w:cs="Times New Roman"/>
          <w:color w:val="030303"/>
          <w:spacing w:val="2"/>
          <w:sz w:val="24"/>
          <w:szCs w:val="24"/>
        </w:rPr>
        <w:t xml:space="preserve">or a </w:t>
      </w:r>
      <w:r w:rsidRPr="00D7577B">
        <w:rPr>
          <w:rFonts w:ascii="Times New Roman" w:hAnsi="Times New Roman" w:eastAsia="Times New Roman" w:cs="Times New Roman"/>
          <w:color w:val="030303"/>
          <w:spacing w:val="2"/>
          <w:w w:val="99"/>
          <w:sz w:val="24"/>
          <w:szCs w:val="24"/>
        </w:rPr>
        <w:t xml:space="preserve">right-of-use </w:t>
      </w:r>
      <w:r w:rsidRPr="00D7577B">
        <w:rPr>
          <w:rFonts w:ascii="Times New Roman" w:hAnsi="Times New Roman" w:eastAsia="Times New Roman" w:cs="Times New Roman"/>
          <w:color w:val="030303"/>
          <w:spacing w:val="2"/>
          <w:sz w:val="24"/>
          <w:szCs w:val="24"/>
        </w:rPr>
        <w:t>and easement.</w:t>
      </w:r>
    </w:p>
    <w:p w:rsidRPr="00D7577B" w:rsidR="00F64F67" w:rsidP="00A03B38" w:rsidRDefault="00F64F67" w14:paraId="423B85F6" w14:textId="77777777">
      <w:pPr>
        <w:spacing w:after="0" w:line="240" w:lineRule="auto"/>
        <w:ind w:right="-40"/>
        <w:rPr>
          <w:rFonts w:ascii="Times New Roman" w:hAnsi="Times New Roman" w:cs="Times New Roman"/>
          <w:spacing w:val="2"/>
          <w:sz w:val="24"/>
          <w:szCs w:val="24"/>
        </w:rPr>
      </w:pPr>
    </w:p>
    <w:p w:rsidRPr="00D7577B" w:rsidR="00F64F67" w:rsidP="00A03B38" w:rsidRDefault="00F64F67" w14:paraId="008F194B" w14:textId="77777777">
      <w:pPr>
        <w:spacing w:after="0" w:line="240" w:lineRule="auto"/>
        <w:ind w:right="-40" w:firstLine="9"/>
        <w:rPr>
          <w:rFonts w:ascii="Times New Roman" w:hAnsi="Times New Roman" w:eastAsia="Times New Roman" w:cs="Times New Roman"/>
          <w:spacing w:val="2"/>
          <w:sz w:val="24"/>
          <w:szCs w:val="24"/>
        </w:rPr>
      </w:pPr>
      <w:r w:rsidRPr="00D7577B">
        <w:rPr>
          <w:rFonts w:ascii="Times New Roman" w:hAnsi="Times New Roman" w:eastAsia="Times New Roman" w:cs="Times New Roman"/>
          <w:color w:val="030303"/>
          <w:spacing w:val="2"/>
          <w:sz w:val="24"/>
          <w:szCs w:val="24"/>
        </w:rPr>
        <w:t xml:space="preserve">Sections </w:t>
      </w:r>
      <w:r w:rsidRPr="00D7577B" w:rsidR="00A03B38">
        <w:rPr>
          <w:rFonts w:ascii="Times New Roman" w:hAnsi="Times New Roman" w:eastAsia="Times New Roman" w:cs="Times New Roman"/>
          <w:color w:val="030303"/>
          <w:spacing w:val="2"/>
          <w:sz w:val="24"/>
          <w:szCs w:val="24"/>
        </w:rPr>
        <w:t>11</w:t>
      </w:r>
      <w:r w:rsidRPr="00D7577B">
        <w:rPr>
          <w:rFonts w:ascii="Times New Roman" w:hAnsi="Times New Roman" w:eastAsia="Times New Roman" w:cs="Times New Roman"/>
          <w:color w:val="030303"/>
          <w:spacing w:val="2"/>
          <w:w w:val="127"/>
          <w:sz w:val="24"/>
          <w:szCs w:val="24"/>
        </w:rPr>
        <w:t xml:space="preserve"> </w:t>
      </w:r>
      <w:r w:rsidRPr="00D7577B">
        <w:rPr>
          <w:rFonts w:ascii="Times New Roman" w:hAnsi="Times New Roman" w:eastAsia="Times New Roman" w:cs="Times New Roman"/>
          <w:color w:val="030303"/>
          <w:spacing w:val="2"/>
          <w:sz w:val="24"/>
          <w:szCs w:val="24"/>
        </w:rPr>
        <w:t xml:space="preserve">and 25 of the amended OCS Lands Act require the holders of OCS oil and gas or </w:t>
      </w:r>
      <w:proofErr w:type="spellStart"/>
      <w:r w:rsidRPr="00D7577B">
        <w:rPr>
          <w:rFonts w:ascii="Times New Roman" w:hAnsi="Times New Roman" w:eastAsia="Times New Roman" w:cs="Times New Roman"/>
          <w:color w:val="030303"/>
          <w:spacing w:val="2"/>
          <w:sz w:val="24"/>
          <w:szCs w:val="24"/>
        </w:rPr>
        <w:t>sulphur</w:t>
      </w:r>
      <w:proofErr w:type="spellEnd"/>
      <w:r w:rsidRPr="00D7577B">
        <w:rPr>
          <w:rFonts w:ascii="Times New Roman" w:hAnsi="Times New Roman" w:eastAsia="Times New Roman" w:cs="Times New Roman"/>
          <w:color w:val="030303"/>
          <w:spacing w:val="2"/>
          <w:sz w:val="24"/>
          <w:szCs w:val="24"/>
        </w:rPr>
        <w:t xml:space="preserve"> leases to submit </w:t>
      </w:r>
      <w:r w:rsidRPr="00D7577B" w:rsidR="00A03B38">
        <w:rPr>
          <w:rFonts w:ascii="Times New Roman" w:hAnsi="Times New Roman" w:eastAsia="Times New Roman" w:cs="Times New Roman"/>
          <w:color w:val="030303"/>
          <w:spacing w:val="2"/>
          <w:sz w:val="24"/>
          <w:szCs w:val="24"/>
        </w:rPr>
        <w:t>E</w:t>
      </w:r>
      <w:r w:rsidRPr="00D7577B">
        <w:rPr>
          <w:rFonts w:ascii="Times New Roman" w:hAnsi="Times New Roman" w:eastAsia="Times New Roman" w:cs="Times New Roman"/>
          <w:color w:val="030303"/>
          <w:spacing w:val="2"/>
          <w:sz w:val="24"/>
          <w:szCs w:val="24"/>
        </w:rPr>
        <w:t xml:space="preserve">xploration plans (EPs) and </w:t>
      </w:r>
      <w:r w:rsidRPr="00D7577B" w:rsidR="00A03B38">
        <w:rPr>
          <w:rFonts w:ascii="Times New Roman" w:hAnsi="Times New Roman" w:eastAsia="Times New Roman" w:cs="Times New Roman"/>
          <w:color w:val="030303"/>
          <w:spacing w:val="2"/>
          <w:sz w:val="24"/>
          <w:szCs w:val="24"/>
        </w:rPr>
        <w:t>D</w:t>
      </w:r>
      <w:r w:rsidRPr="00D7577B">
        <w:rPr>
          <w:rFonts w:ascii="Times New Roman" w:hAnsi="Times New Roman" w:eastAsia="Times New Roman" w:cs="Times New Roman"/>
          <w:color w:val="030303"/>
          <w:spacing w:val="2"/>
          <w:sz w:val="24"/>
          <w:szCs w:val="24"/>
        </w:rPr>
        <w:t xml:space="preserve">evelopment and </w:t>
      </w:r>
      <w:r w:rsidRPr="00D7577B" w:rsidR="00D4635B">
        <w:rPr>
          <w:rFonts w:ascii="Times New Roman" w:hAnsi="Times New Roman" w:eastAsia="Times New Roman" w:cs="Times New Roman"/>
          <w:color w:val="030303"/>
          <w:spacing w:val="2"/>
          <w:sz w:val="24"/>
          <w:szCs w:val="24"/>
        </w:rPr>
        <w:t>P</w:t>
      </w:r>
      <w:r w:rsidRPr="00D7577B">
        <w:rPr>
          <w:rFonts w:ascii="Times New Roman" w:hAnsi="Times New Roman" w:eastAsia="Times New Roman" w:cs="Times New Roman"/>
          <w:color w:val="030303"/>
          <w:spacing w:val="2"/>
          <w:sz w:val="24"/>
          <w:szCs w:val="24"/>
        </w:rPr>
        <w:t xml:space="preserve">roduction </w:t>
      </w:r>
      <w:r w:rsidRPr="00D7577B" w:rsidR="00D4635B">
        <w:rPr>
          <w:rFonts w:ascii="Times New Roman" w:hAnsi="Times New Roman" w:eastAsia="Times New Roman" w:cs="Times New Roman"/>
          <w:color w:val="030303"/>
          <w:spacing w:val="2"/>
          <w:sz w:val="24"/>
          <w:szCs w:val="24"/>
        </w:rPr>
        <w:t>P</w:t>
      </w:r>
      <w:r w:rsidRPr="00D7577B">
        <w:rPr>
          <w:rFonts w:ascii="Times New Roman" w:hAnsi="Times New Roman" w:eastAsia="Times New Roman" w:cs="Times New Roman"/>
          <w:color w:val="030303"/>
          <w:spacing w:val="2"/>
          <w:sz w:val="24"/>
          <w:szCs w:val="24"/>
        </w:rPr>
        <w:t>lans (DPPs) to the Secretary for approval prior to commending these activities. Section 1332(6) states that "operations in the [O]</w:t>
      </w:r>
      <w:proofErr w:type="spellStart"/>
      <w:r w:rsidRPr="00D7577B">
        <w:rPr>
          <w:rFonts w:ascii="Times New Roman" w:hAnsi="Times New Roman" w:eastAsia="Times New Roman" w:cs="Times New Roman"/>
          <w:color w:val="030303"/>
          <w:spacing w:val="2"/>
          <w:sz w:val="24"/>
          <w:szCs w:val="24"/>
        </w:rPr>
        <w:t>uter</w:t>
      </w:r>
      <w:proofErr w:type="spellEnd"/>
      <w:r w:rsidRPr="00D7577B">
        <w:rPr>
          <w:rFonts w:ascii="Times New Roman" w:hAnsi="Times New Roman" w:eastAsia="Times New Roman" w:cs="Times New Roman"/>
          <w:color w:val="030303"/>
          <w:spacing w:val="2"/>
          <w:sz w:val="24"/>
          <w:szCs w:val="24"/>
        </w:rPr>
        <w:t xml:space="preserve"> Continental Shelf should be conducted in a safe manner by well-trained personnel using technology, precautions, and techniques sufficient to prevent or </w:t>
      </w:r>
      <w:r w:rsidRPr="00D7577B">
        <w:rPr>
          <w:rFonts w:ascii="Times New Roman" w:hAnsi="Times New Roman" w:eastAsia="Times New Roman" w:cs="Times New Roman"/>
          <w:color w:val="030303"/>
          <w:spacing w:val="2"/>
          <w:w w:val="98"/>
          <w:sz w:val="24"/>
          <w:szCs w:val="24"/>
        </w:rPr>
        <w:t xml:space="preserve">minimize </w:t>
      </w:r>
      <w:r w:rsidRPr="00D7577B">
        <w:rPr>
          <w:rFonts w:ascii="Times New Roman" w:hAnsi="Times New Roman" w:eastAsia="Times New Roman" w:cs="Times New Roman"/>
          <w:color w:val="1A1A1A"/>
          <w:spacing w:val="2"/>
          <w:w w:val="145"/>
          <w:sz w:val="24"/>
          <w:szCs w:val="24"/>
        </w:rPr>
        <w:t>.</w:t>
      </w:r>
      <w:r w:rsidRPr="00D7577B">
        <w:rPr>
          <w:rFonts w:ascii="Times New Roman" w:hAnsi="Times New Roman" w:eastAsia="Times New Roman" w:cs="Times New Roman"/>
          <w:color w:val="1A1A1A"/>
          <w:spacing w:val="2"/>
          <w:sz w:val="24"/>
          <w:szCs w:val="24"/>
        </w:rPr>
        <w:t xml:space="preserve"> </w:t>
      </w:r>
      <w:r w:rsidRPr="00D7577B">
        <w:rPr>
          <w:rFonts w:ascii="Times New Roman" w:hAnsi="Times New Roman" w:eastAsia="Times New Roman" w:cs="Times New Roman"/>
          <w:color w:val="030303"/>
          <w:spacing w:val="2"/>
          <w:w w:val="145"/>
          <w:sz w:val="24"/>
          <w:szCs w:val="24"/>
        </w:rPr>
        <w:t>.</w:t>
      </w:r>
      <w:r w:rsidRPr="00D7577B">
        <w:rPr>
          <w:rFonts w:ascii="Times New Roman" w:hAnsi="Times New Roman" w:eastAsia="Times New Roman" w:cs="Times New Roman"/>
          <w:color w:val="030303"/>
          <w:spacing w:val="2"/>
          <w:sz w:val="24"/>
          <w:szCs w:val="24"/>
        </w:rPr>
        <w:t xml:space="preserve"> </w:t>
      </w:r>
      <w:r w:rsidRPr="00D7577B">
        <w:rPr>
          <w:rFonts w:ascii="Times New Roman" w:hAnsi="Times New Roman" w:eastAsia="Times New Roman" w:cs="Times New Roman"/>
          <w:color w:val="030303"/>
          <w:spacing w:val="2"/>
          <w:w w:val="145"/>
          <w:sz w:val="24"/>
          <w:szCs w:val="24"/>
        </w:rPr>
        <w:t xml:space="preserve">. </w:t>
      </w:r>
      <w:r w:rsidRPr="00D7577B">
        <w:rPr>
          <w:rFonts w:ascii="Times New Roman" w:hAnsi="Times New Roman" w:eastAsia="Times New Roman" w:cs="Times New Roman"/>
          <w:color w:val="030303"/>
          <w:spacing w:val="2"/>
          <w:sz w:val="24"/>
          <w:szCs w:val="24"/>
        </w:rPr>
        <w:t xml:space="preserve">occurrences which may cause damage to the environment or to property, or endanger life or health." Section 1334(a)(8) requires </w:t>
      </w:r>
      <w:r w:rsidRPr="00D7577B">
        <w:rPr>
          <w:rFonts w:ascii="Times New Roman" w:hAnsi="Times New Roman" w:eastAsia="Times New Roman" w:cs="Times New Roman"/>
          <w:color w:val="030303"/>
          <w:spacing w:val="2"/>
          <w:w w:val="97"/>
          <w:sz w:val="24"/>
          <w:szCs w:val="24"/>
        </w:rPr>
        <w:t xml:space="preserve">that </w:t>
      </w:r>
      <w:r w:rsidRPr="00D7577B">
        <w:rPr>
          <w:rFonts w:ascii="Times New Roman" w:hAnsi="Times New Roman" w:eastAsia="Times New Roman" w:cs="Times New Roman"/>
          <w:color w:val="030303"/>
          <w:spacing w:val="2"/>
          <w:sz w:val="24"/>
          <w:szCs w:val="24"/>
        </w:rPr>
        <w:t>regulation</w:t>
      </w:r>
      <w:r w:rsidRPr="00D7577B">
        <w:rPr>
          <w:rFonts w:ascii="Times New Roman" w:hAnsi="Times New Roman" w:eastAsia="Times New Roman" w:cs="Times New Roman"/>
          <w:color w:val="030303"/>
          <w:spacing w:val="2"/>
          <w:w w:val="101"/>
          <w:sz w:val="24"/>
          <w:szCs w:val="24"/>
        </w:rPr>
        <w:t>s</w:t>
      </w:r>
      <w:r w:rsidRPr="00D7577B">
        <w:rPr>
          <w:rFonts w:ascii="Times New Roman" w:hAnsi="Times New Roman" w:eastAsia="Times New Roman" w:cs="Times New Roman"/>
          <w:color w:val="030303"/>
          <w:spacing w:val="2"/>
          <w:sz w:val="24"/>
          <w:szCs w:val="24"/>
        </w:rPr>
        <w:t xml:space="preserve"> </w:t>
      </w:r>
      <w:r w:rsidRPr="00D7577B">
        <w:rPr>
          <w:rFonts w:ascii="Times New Roman" w:hAnsi="Times New Roman" w:eastAsia="Times New Roman" w:cs="Times New Roman"/>
          <w:color w:val="030303"/>
          <w:spacing w:val="2"/>
          <w:w w:val="97"/>
          <w:sz w:val="24"/>
          <w:szCs w:val="24"/>
        </w:rPr>
        <w:t xml:space="preserve">prescribed </w:t>
      </w:r>
      <w:r w:rsidRPr="00D7577B">
        <w:rPr>
          <w:rFonts w:ascii="Times New Roman" w:hAnsi="Times New Roman" w:eastAsia="Times New Roman" w:cs="Times New Roman"/>
          <w:color w:val="030303"/>
          <w:spacing w:val="2"/>
          <w:sz w:val="24"/>
          <w:szCs w:val="24"/>
        </w:rPr>
        <w:t xml:space="preserve">by the </w:t>
      </w:r>
      <w:r w:rsidRPr="00D7577B">
        <w:rPr>
          <w:rFonts w:ascii="Times New Roman" w:hAnsi="Times New Roman" w:eastAsia="Times New Roman" w:cs="Times New Roman"/>
          <w:color w:val="030303"/>
          <w:spacing w:val="2"/>
          <w:w w:val="96"/>
          <w:sz w:val="24"/>
          <w:szCs w:val="24"/>
        </w:rPr>
        <w:t xml:space="preserve">Secretary </w:t>
      </w:r>
      <w:r w:rsidRPr="00D7577B">
        <w:rPr>
          <w:rFonts w:ascii="Times New Roman" w:hAnsi="Times New Roman" w:eastAsia="Times New Roman" w:cs="Times New Roman"/>
          <w:color w:val="030303"/>
          <w:spacing w:val="2"/>
          <w:sz w:val="24"/>
          <w:szCs w:val="24"/>
        </w:rPr>
        <w:t>include provision</w:t>
      </w:r>
      <w:r w:rsidRPr="00D7577B">
        <w:rPr>
          <w:rFonts w:ascii="Times New Roman" w:hAnsi="Times New Roman" w:eastAsia="Times New Roman" w:cs="Times New Roman"/>
          <w:color w:val="030303"/>
          <w:spacing w:val="2"/>
          <w:w w:val="101"/>
          <w:sz w:val="24"/>
          <w:szCs w:val="24"/>
        </w:rPr>
        <w:t>s</w:t>
      </w:r>
      <w:r w:rsidRPr="00D7577B">
        <w:rPr>
          <w:rFonts w:ascii="Times New Roman" w:hAnsi="Times New Roman" w:eastAsia="Times New Roman" w:cs="Times New Roman"/>
          <w:color w:val="030303"/>
          <w:spacing w:val="2"/>
          <w:sz w:val="24"/>
          <w:szCs w:val="24"/>
        </w:rPr>
        <w:t xml:space="preserve"> "for compliance with the national ambient air quality standards [NAAQS] pursuant to the Clean Air Act (42 U.S.C</w:t>
      </w:r>
      <w:r w:rsidRPr="00D7577B">
        <w:rPr>
          <w:rFonts w:ascii="Times New Roman" w:hAnsi="Times New Roman" w:eastAsia="Times New Roman" w:cs="Times New Roman"/>
          <w:color w:val="030303"/>
          <w:spacing w:val="2"/>
          <w:w w:val="101"/>
          <w:sz w:val="24"/>
          <w:szCs w:val="24"/>
        </w:rPr>
        <w:t>.</w:t>
      </w:r>
      <w:r w:rsidRPr="00D7577B">
        <w:rPr>
          <w:rFonts w:ascii="Times New Roman" w:hAnsi="Times New Roman" w:eastAsia="Times New Roman" w:cs="Times New Roman"/>
          <w:color w:val="030303"/>
          <w:spacing w:val="2"/>
          <w:sz w:val="24"/>
          <w:szCs w:val="24"/>
        </w:rPr>
        <w:t xml:space="preserve"> 7401 </w:t>
      </w:r>
      <w:r w:rsidRPr="00D7577B">
        <w:rPr>
          <w:rFonts w:ascii="Times New Roman" w:hAnsi="Times New Roman" w:eastAsia="Times New Roman" w:cs="Times New Roman"/>
          <w:i/>
          <w:color w:val="030303"/>
          <w:spacing w:val="2"/>
          <w:sz w:val="24"/>
          <w:szCs w:val="24"/>
        </w:rPr>
        <w:t xml:space="preserve">et seq.), </w:t>
      </w:r>
      <w:r w:rsidRPr="00D7577B">
        <w:rPr>
          <w:rFonts w:ascii="Times New Roman" w:hAnsi="Times New Roman" w:eastAsia="Times New Roman" w:cs="Times New Roman"/>
          <w:color w:val="030303"/>
          <w:spacing w:val="2"/>
          <w:sz w:val="24"/>
          <w:szCs w:val="24"/>
        </w:rPr>
        <w:t xml:space="preserve">to the extent that activities authorized under this subchapter [Act] significantly affect the air quality of any </w:t>
      </w:r>
      <w:r w:rsidRPr="00D7577B">
        <w:rPr>
          <w:rFonts w:ascii="Times New Roman" w:hAnsi="Times New Roman" w:eastAsia="Times New Roman" w:cs="Times New Roman"/>
          <w:color w:val="030303"/>
          <w:spacing w:val="2"/>
          <w:w w:val="103"/>
          <w:sz w:val="24"/>
          <w:szCs w:val="24"/>
        </w:rPr>
        <w:t>State."</w:t>
      </w:r>
    </w:p>
    <w:p w:rsidRPr="00D7577B" w:rsidR="00F64F67" w:rsidP="00A03B38" w:rsidRDefault="00F64F67" w14:paraId="0CCA0D71" w14:textId="77777777">
      <w:pPr>
        <w:spacing w:after="0" w:line="240" w:lineRule="auto"/>
        <w:ind w:right="-40"/>
        <w:rPr>
          <w:rFonts w:ascii="Times New Roman" w:hAnsi="Times New Roman" w:cs="Times New Roman"/>
          <w:spacing w:val="2"/>
          <w:sz w:val="24"/>
          <w:szCs w:val="24"/>
        </w:rPr>
      </w:pPr>
    </w:p>
    <w:p w:rsidRPr="00D7577B" w:rsidR="00F64F67" w:rsidP="00A03B38" w:rsidRDefault="00F64F67" w14:paraId="3E726E8F" w14:textId="77777777">
      <w:pPr>
        <w:spacing w:after="0" w:line="240" w:lineRule="auto"/>
        <w:ind w:right="-40" w:hanging="5"/>
        <w:rPr>
          <w:rFonts w:ascii="Times New Roman" w:hAnsi="Times New Roman" w:eastAsia="Times New Roman" w:cs="Times New Roman"/>
          <w:spacing w:val="2"/>
          <w:sz w:val="24"/>
          <w:szCs w:val="24"/>
        </w:rPr>
      </w:pPr>
      <w:r w:rsidRPr="00D7577B">
        <w:rPr>
          <w:rFonts w:ascii="Times New Roman" w:hAnsi="Times New Roman" w:eastAsia="Times New Roman" w:cs="Times New Roman"/>
          <w:color w:val="030303"/>
          <w:spacing w:val="2"/>
          <w:sz w:val="24"/>
          <w:szCs w:val="24"/>
        </w:rPr>
        <w:t xml:space="preserve">This authority </w:t>
      </w:r>
      <w:r w:rsidRPr="00521B19">
        <w:rPr>
          <w:rFonts w:ascii="Times New Roman" w:hAnsi="Times New Roman" w:eastAsia="Times New Roman" w:cs="Times New Roman"/>
          <w:spacing w:val="2"/>
          <w:sz w:val="24"/>
          <w:szCs w:val="24"/>
        </w:rPr>
        <w:t xml:space="preserve">and </w:t>
      </w:r>
      <w:r w:rsidRPr="00521B19" w:rsidR="00A03B38">
        <w:rPr>
          <w:rFonts w:ascii="Times New Roman" w:hAnsi="Times New Roman" w:eastAsia="Times New Roman" w:cs="Times New Roman"/>
          <w:spacing w:val="2"/>
          <w:w w:val="98"/>
          <w:sz w:val="24"/>
          <w:szCs w:val="24"/>
        </w:rPr>
        <w:t>responsibility ha</w:t>
      </w:r>
      <w:r w:rsidRPr="00521B19" w:rsidR="00346B3D">
        <w:rPr>
          <w:rFonts w:ascii="Times New Roman" w:hAnsi="Times New Roman" w:eastAsia="Times New Roman" w:cs="Times New Roman"/>
          <w:spacing w:val="2"/>
          <w:w w:val="98"/>
          <w:sz w:val="24"/>
          <w:szCs w:val="24"/>
        </w:rPr>
        <w:t>ve</w:t>
      </w:r>
      <w:r w:rsidRPr="00521B19" w:rsidR="00A03B38">
        <w:rPr>
          <w:rFonts w:ascii="Times New Roman" w:hAnsi="Times New Roman" w:eastAsia="Times New Roman" w:cs="Times New Roman"/>
          <w:spacing w:val="2"/>
          <w:w w:val="98"/>
          <w:sz w:val="24"/>
          <w:szCs w:val="24"/>
        </w:rPr>
        <w:t xml:space="preserve"> been</w:t>
      </w:r>
      <w:r w:rsidRPr="00521B19" w:rsidR="00D87690">
        <w:rPr>
          <w:rFonts w:ascii="Times New Roman" w:hAnsi="Times New Roman" w:eastAsia="Times New Roman" w:cs="Times New Roman"/>
          <w:spacing w:val="2"/>
          <w:sz w:val="24"/>
          <w:szCs w:val="24"/>
        </w:rPr>
        <w:t xml:space="preserve"> </w:t>
      </w:r>
      <w:r w:rsidR="00D87690">
        <w:rPr>
          <w:rFonts w:ascii="Times New Roman" w:hAnsi="Times New Roman" w:eastAsia="Times New Roman" w:cs="Times New Roman"/>
          <w:color w:val="030303"/>
          <w:spacing w:val="2"/>
          <w:sz w:val="24"/>
          <w:szCs w:val="24"/>
        </w:rPr>
        <w:t xml:space="preserve">delegated to the </w:t>
      </w:r>
      <w:r w:rsidRPr="00D7577B">
        <w:rPr>
          <w:rFonts w:ascii="Times New Roman" w:hAnsi="Times New Roman" w:eastAsia="Times New Roman" w:cs="Times New Roman"/>
          <w:color w:val="030303"/>
          <w:spacing w:val="2"/>
          <w:sz w:val="24"/>
          <w:szCs w:val="24"/>
        </w:rPr>
        <w:t xml:space="preserve">BOEM, which administers these provisions in accordance with its regulations at 30 CFR Part 550, Subparts A, B, and C.  </w:t>
      </w:r>
      <w:r w:rsidRPr="00D7577B" w:rsidR="00A03B38">
        <w:rPr>
          <w:rFonts w:ascii="Times New Roman" w:hAnsi="Times New Roman" w:eastAsia="Times New Roman" w:cs="Times New Roman"/>
          <w:color w:val="030303"/>
          <w:spacing w:val="2"/>
          <w:sz w:val="24"/>
          <w:szCs w:val="24"/>
        </w:rPr>
        <w:t>BOEM</w:t>
      </w:r>
      <w:r w:rsidRPr="00D7577B">
        <w:rPr>
          <w:rFonts w:ascii="Times New Roman" w:hAnsi="Times New Roman" w:eastAsia="Times New Roman" w:cs="Times New Roman"/>
          <w:color w:val="030303"/>
          <w:spacing w:val="2"/>
          <w:sz w:val="24"/>
          <w:szCs w:val="24"/>
        </w:rPr>
        <w:t xml:space="preserve"> regulations require the submission of information on projected air emissions with </w:t>
      </w:r>
      <w:r w:rsidRPr="00D7577B" w:rsidR="00A03B38">
        <w:rPr>
          <w:rFonts w:ascii="Times New Roman" w:hAnsi="Times New Roman" w:eastAsia="Times New Roman" w:cs="Times New Roman"/>
          <w:color w:val="030303"/>
          <w:spacing w:val="2"/>
          <w:sz w:val="24"/>
          <w:szCs w:val="24"/>
        </w:rPr>
        <w:t>each</w:t>
      </w:r>
      <w:r w:rsidRPr="00D7577B">
        <w:rPr>
          <w:rFonts w:ascii="Times New Roman" w:hAnsi="Times New Roman" w:eastAsia="Times New Roman" w:cs="Times New Roman"/>
          <w:color w:val="030303"/>
          <w:spacing w:val="2"/>
          <w:sz w:val="24"/>
          <w:szCs w:val="24"/>
        </w:rPr>
        <w:t xml:space="preserve"> proposed plan for exploration </w:t>
      </w:r>
      <w:r w:rsidRPr="00D7577B">
        <w:rPr>
          <w:rFonts w:ascii="Times New Roman" w:hAnsi="Times New Roman" w:eastAsia="Times New Roman" w:cs="Times New Roman"/>
          <w:color w:val="030303"/>
          <w:spacing w:val="2"/>
          <w:w w:val="101"/>
          <w:sz w:val="24"/>
          <w:szCs w:val="24"/>
        </w:rPr>
        <w:t xml:space="preserve">or </w:t>
      </w:r>
      <w:r w:rsidRPr="00D7577B">
        <w:rPr>
          <w:rFonts w:ascii="Times New Roman" w:hAnsi="Times New Roman" w:eastAsia="Times New Roman" w:cs="Times New Roman"/>
          <w:color w:val="030303"/>
          <w:spacing w:val="2"/>
          <w:sz w:val="24"/>
          <w:szCs w:val="24"/>
        </w:rPr>
        <w:t>development</w:t>
      </w:r>
      <w:r w:rsidRPr="00D7577B" w:rsidR="00A03B38">
        <w:rPr>
          <w:rFonts w:ascii="Times New Roman" w:hAnsi="Times New Roman" w:eastAsia="Times New Roman" w:cs="Times New Roman"/>
          <w:color w:val="030303"/>
          <w:spacing w:val="2"/>
          <w:sz w:val="24"/>
          <w:szCs w:val="24"/>
        </w:rPr>
        <w:t xml:space="preserve"> of oil, gas or sulfur on the OCS.  As part of the submission, BOEM requires that the submitter </w:t>
      </w:r>
      <w:r w:rsidRPr="00D7577B" w:rsidR="0073565F">
        <w:rPr>
          <w:rFonts w:ascii="Times New Roman" w:hAnsi="Times New Roman" w:eastAsia="Times New Roman" w:cs="Times New Roman"/>
          <w:color w:val="030303"/>
          <w:spacing w:val="2"/>
          <w:sz w:val="24"/>
          <w:szCs w:val="24"/>
        </w:rPr>
        <w:t>evaluate</w:t>
      </w:r>
      <w:r w:rsidRPr="00D7577B" w:rsidR="00A03B38">
        <w:rPr>
          <w:rFonts w:ascii="Times New Roman" w:hAnsi="Times New Roman" w:eastAsia="Times New Roman" w:cs="Times New Roman"/>
          <w:color w:val="030303"/>
          <w:spacing w:val="2"/>
          <w:sz w:val="24"/>
          <w:szCs w:val="24"/>
        </w:rPr>
        <w:t xml:space="preserve"> whether the activities conducted under the proposed plan will be above or below a BOEM-defined </w:t>
      </w:r>
      <w:r w:rsidRPr="00D7577B">
        <w:rPr>
          <w:rFonts w:ascii="Times New Roman" w:hAnsi="Times New Roman" w:eastAsia="Times New Roman" w:cs="Times New Roman"/>
          <w:color w:val="030303"/>
          <w:spacing w:val="2"/>
          <w:sz w:val="24"/>
          <w:szCs w:val="24"/>
        </w:rPr>
        <w:t>exemption threshold</w:t>
      </w:r>
      <w:r w:rsidRPr="00D7577B" w:rsidR="00A03B38">
        <w:rPr>
          <w:rFonts w:ascii="Times New Roman" w:hAnsi="Times New Roman" w:eastAsia="Times New Roman" w:cs="Times New Roman"/>
          <w:color w:val="030303"/>
          <w:spacing w:val="2"/>
          <w:sz w:val="24"/>
          <w:szCs w:val="24"/>
        </w:rPr>
        <w:t xml:space="preserve"> used</w:t>
      </w:r>
      <w:r w:rsidRPr="00D7577B">
        <w:rPr>
          <w:rFonts w:ascii="Times New Roman" w:hAnsi="Times New Roman" w:eastAsia="Times New Roman" w:cs="Times New Roman"/>
          <w:color w:val="030303"/>
          <w:spacing w:val="2"/>
          <w:sz w:val="24"/>
          <w:szCs w:val="24"/>
        </w:rPr>
        <w:t xml:space="preserve"> to determine whether air quality impacts would be </w:t>
      </w:r>
      <w:r w:rsidRPr="00D7577B">
        <w:rPr>
          <w:rFonts w:ascii="Times New Roman" w:hAnsi="Times New Roman" w:eastAsia="Times New Roman" w:cs="Times New Roman"/>
          <w:i/>
          <w:color w:val="030303"/>
          <w:spacing w:val="2"/>
          <w:sz w:val="24"/>
          <w:szCs w:val="24"/>
        </w:rPr>
        <w:t xml:space="preserve">de </w:t>
      </w:r>
      <w:proofErr w:type="spellStart"/>
      <w:r w:rsidRPr="00D7577B">
        <w:rPr>
          <w:rFonts w:ascii="Times New Roman" w:hAnsi="Times New Roman" w:eastAsia="Times New Roman" w:cs="Times New Roman"/>
          <w:i/>
          <w:color w:val="030303"/>
          <w:spacing w:val="2"/>
          <w:sz w:val="24"/>
          <w:szCs w:val="24"/>
        </w:rPr>
        <w:t>minimus</w:t>
      </w:r>
      <w:proofErr w:type="spellEnd"/>
      <w:r w:rsidRPr="00D7577B">
        <w:rPr>
          <w:rFonts w:ascii="Times New Roman" w:hAnsi="Times New Roman" w:eastAsia="Times New Roman" w:cs="Times New Roman"/>
          <w:i/>
          <w:color w:val="030303"/>
          <w:spacing w:val="2"/>
          <w:sz w:val="24"/>
          <w:szCs w:val="24"/>
        </w:rPr>
        <w:t xml:space="preserve"> </w:t>
      </w:r>
      <w:r w:rsidRPr="00D7577B">
        <w:rPr>
          <w:rFonts w:ascii="Times New Roman" w:hAnsi="Times New Roman" w:eastAsia="Times New Roman" w:cs="Times New Roman"/>
          <w:color w:val="030303"/>
          <w:spacing w:val="2"/>
          <w:sz w:val="24"/>
          <w:szCs w:val="24"/>
        </w:rPr>
        <w:t xml:space="preserve">or </w:t>
      </w:r>
      <w:r w:rsidRPr="00D7577B">
        <w:rPr>
          <w:rFonts w:ascii="Times New Roman" w:hAnsi="Times New Roman" w:eastAsia="Times New Roman" w:cs="Times New Roman"/>
          <w:color w:val="030303"/>
          <w:spacing w:val="2"/>
          <w:w w:val="97"/>
          <w:sz w:val="24"/>
          <w:szCs w:val="24"/>
        </w:rPr>
        <w:t xml:space="preserve">whether </w:t>
      </w:r>
      <w:r w:rsidRPr="00D7577B">
        <w:rPr>
          <w:rFonts w:ascii="Times New Roman" w:hAnsi="Times New Roman" w:eastAsia="Times New Roman" w:cs="Times New Roman"/>
          <w:color w:val="030303"/>
          <w:spacing w:val="2"/>
          <w:sz w:val="24"/>
          <w:szCs w:val="24"/>
        </w:rPr>
        <w:t xml:space="preserve">additional review or emission reduction measures are </w:t>
      </w:r>
      <w:r w:rsidRPr="00D7577B" w:rsidR="00A03B38">
        <w:rPr>
          <w:rFonts w:ascii="Times New Roman" w:hAnsi="Times New Roman" w:eastAsia="Times New Roman" w:cs="Times New Roman"/>
          <w:color w:val="030303"/>
          <w:spacing w:val="2"/>
          <w:sz w:val="24"/>
          <w:szCs w:val="24"/>
        </w:rPr>
        <w:t>required.  In the event that the proposed emissions exceed the exemption threshold, BOEM requires</w:t>
      </w:r>
      <w:r w:rsidRPr="00D7577B">
        <w:rPr>
          <w:rFonts w:ascii="Times New Roman" w:hAnsi="Times New Roman" w:eastAsia="Times New Roman" w:cs="Times New Roman"/>
          <w:color w:val="030303"/>
          <w:spacing w:val="2"/>
          <w:sz w:val="24"/>
          <w:szCs w:val="24"/>
        </w:rPr>
        <w:t xml:space="preserve"> modeling</w:t>
      </w:r>
      <w:r w:rsidRPr="00D7577B" w:rsidR="00A03B38">
        <w:rPr>
          <w:rFonts w:ascii="Times New Roman" w:hAnsi="Times New Roman" w:eastAsia="Times New Roman" w:cs="Times New Roman"/>
          <w:color w:val="030303"/>
          <w:spacing w:val="2"/>
          <w:sz w:val="24"/>
          <w:szCs w:val="24"/>
        </w:rPr>
        <w:t xml:space="preserve"> </w:t>
      </w:r>
      <w:r w:rsidRPr="00D7577B">
        <w:rPr>
          <w:rFonts w:ascii="Times New Roman" w:hAnsi="Times New Roman" w:eastAsia="Times New Roman" w:cs="Times New Roman"/>
          <w:color w:val="030303"/>
          <w:spacing w:val="2"/>
          <w:sz w:val="24"/>
          <w:szCs w:val="24"/>
        </w:rPr>
        <w:t xml:space="preserve">of </w:t>
      </w:r>
      <w:r w:rsidRPr="00D7577B" w:rsidR="00A03B38">
        <w:rPr>
          <w:rFonts w:ascii="Times New Roman" w:hAnsi="Times New Roman" w:eastAsia="Times New Roman" w:cs="Times New Roman"/>
          <w:color w:val="030303"/>
          <w:spacing w:val="2"/>
          <w:sz w:val="24"/>
          <w:szCs w:val="24"/>
        </w:rPr>
        <w:t xml:space="preserve">the </w:t>
      </w:r>
      <w:r w:rsidRPr="00D7577B">
        <w:rPr>
          <w:rFonts w:ascii="Times New Roman" w:hAnsi="Times New Roman" w:eastAsia="Times New Roman" w:cs="Times New Roman"/>
          <w:color w:val="030303"/>
          <w:spacing w:val="2"/>
          <w:sz w:val="24"/>
          <w:szCs w:val="24"/>
        </w:rPr>
        <w:t xml:space="preserve">non-exempt emissions and their potential impacts </w:t>
      </w:r>
      <w:r w:rsidRPr="00D7577B" w:rsidR="00A03B38">
        <w:rPr>
          <w:rFonts w:ascii="Times New Roman" w:hAnsi="Times New Roman" w:eastAsia="Times New Roman" w:cs="Times New Roman"/>
          <w:color w:val="030303"/>
          <w:spacing w:val="2"/>
          <w:sz w:val="24"/>
          <w:szCs w:val="24"/>
        </w:rPr>
        <w:t>to air quality onshore.  Depending on the level of emissions described in the proposed plan, BOEM would require</w:t>
      </w:r>
      <w:r w:rsidRPr="00D7577B">
        <w:rPr>
          <w:rFonts w:ascii="Times New Roman" w:hAnsi="Times New Roman" w:eastAsia="Times New Roman" w:cs="Times New Roman"/>
          <w:color w:val="030303"/>
          <w:spacing w:val="2"/>
          <w:sz w:val="24"/>
          <w:szCs w:val="24"/>
        </w:rPr>
        <w:t xml:space="preserve"> the control of emissions from any facility that </w:t>
      </w:r>
      <w:r w:rsidRPr="00D7577B">
        <w:rPr>
          <w:rFonts w:ascii="Times New Roman" w:hAnsi="Times New Roman" w:eastAsia="Times New Roman" w:cs="Times New Roman"/>
          <w:color w:val="030303"/>
          <w:spacing w:val="2"/>
          <w:w w:val="96"/>
          <w:sz w:val="24"/>
          <w:szCs w:val="24"/>
        </w:rPr>
        <w:t xml:space="preserve">would </w:t>
      </w:r>
      <w:r w:rsidRPr="00D7577B" w:rsidR="00A03B38">
        <w:rPr>
          <w:rFonts w:ascii="Times New Roman" w:hAnsi="Times New Roman" w:eastAsia="Times New Roman" w:cs="Times New Roman"/>
          <w:color w:val="030303"/>
          <w:spacing w:val="2"/>
          <w:w w:val="96"/>
          <w:sz w:val="24"/>
          <w:szCs w:val="24"/>
        </w:rPr>
        <w:t xml:space="preserve">otherwise </w:t>
      </w:r>
      <w:r w:rsidRPr="00D7577B">
        <w:rPr>
          <w:rFonts w:ascii="Times New Roman" w:hAnsi="Times New Roman" w:eastAsia="Times New Roman" w:cs="Times New Roman"/>
          <w:color w:val="030303"/>
          <w:spacing w:val="2"/>
          <w:sz w:val="24"/>
          <w:szCs w:val="24"/>
        </w:rPr>
        <w:t xml:space="preserve">cause an exceedance of national ambient air quality standards </w:t>
      </w:r>
      <w:r w:rsidRPr="00D7577B">
        <w:rPr>
          <w:rFonts w:ascii="Times New Roman" w:hAnsi="Times New Roman" w:eastAsia="Times New Roman" w:cs="Times New Roman"/>
          <w:color w:val="030303"/>
          <w:spacing w:val="2"/>
          <w:w w:val="102"/>
          <w:sz w:val="24"/>
          <w:szCs w:val="24"/>
        </w:rPr>
        <w:t>onshore.</w:t>
      </w:r>
    </w:p>
    <w:p w:rsidRPr="00D7577B" w:rsidR="00F64F67" w:rsidP="00A03B38" w:rsidRDefault="00F64F67" w14:paraId="4708465E" w14:textId="77777777">
      <w:pPr>
        <w:spacing w:after="0" w:line="240" w:lineRule="auto"/>
        <w:ind w:right="-40"/>
        <w:rPr>
          <w:rFonts w:ascii="Times New Roman" w:hAnsi="Times New Roman" w:cs="Times New Roman"/>
          <w:spacing w:val="2"/>
          <w:sz w:val="24"/>
          <w:szCs w:val="24"/>
        </w:rPr>
      </w:pPr>
    </w:p>
    <w:p w:rsidRPr="00D7577B" w:rsidR="000C067F" w:rsidP="000C067F" w:rsidRDefault="00D4635B" w14:paraId="23806136" w14:textId="77777777">
      <w:pPr>
        <w:spacing w:after="0" w:line="240" w:lineRule="auto"/>
        <w:ind w:right="-40"/>
        <w:rPr>
          <w:rFonts w:ascii="Times New Roman" w:hAnsi="Times New Roman" w:cs="Times New Roman"/>
          <w:spacing w:val="2"/>
          <w:sz w:val="24"/>
          <w:szCs w:val="24"/>
        </w:rPr>
      </w:pPr>
      <w:r w:rsidRPr="00D7577B">
        <w:rPr>
          <w:rFonts w:ascii="Times New Roman" w:hAnsi="Times New Roman" w:cs="Times New Roman"/>
          <w:spacing w:val="2"/>
          <w:sz w:val="24"/>
          <w:szCs w:val="24"/>
        </w:rPr>
        <w:t>This information collection request is in conjunction with a final rule that would revise</w:t>
      </w:r>
      <w:r w:rsidR="00D87690">
        <w:rPr>
          <w:rFonts w:ascii="Times New Roman" w:hAnsi="Times New Roman" w:cs="Times New Roman"/>
          <w:spacing w:val="2"/>
          <w:sz w:val="24"/>
          <w:szCs w:val="24"/>
        </w:rPr>
        <w:t xml:space="preserve"> the 2016 pr</w:t>
      </w:r>
      <w:r w:rsidRPr="00D7577B">
        <w:rPr>
          <w:rFonts w:ascii="Times New Roman" w:hAnsi="Times New Roman" w:cs="Times New Roman"/>
          <w:spacing w:val="2"/>
          <w:sz w:val="24"/>
          <w:szCs w:val="24"/>
        </w:rPr>
        <w:t>oposed rule</w:t>
      </w:r>
      <w:r w:rsidR="00D87690">
        <w:rPr>
          <w:rFonts w:ascii="Times New Roman" w:hAnsi="Times New Roman" w:cs="Times New Roman"/>
          <w:spacing w:val="2"/>
          <w:sz w:val="24"/>
          <w:szCs w:val="24"/>
        </w:rPr>
        <w:t>—</w:t>
      </w:r>
      <w:r w:rsidRPr="00D7577B">
        <w:rPr>
          <w:rFonts w:ascii="Times New Roman" w:hAnsi="Times New Roman" w:cs="Times New Roman"/>
          <w:spacing w:val="2"/>
          <w:sz w:val="24"/>
          <w:szCs w:val="24"/>
        </w:rPr>
        <w:t xml:space="preserve">30 CFR Part 550, Air Quality Control, Reporting, and Compliance; Proposed Rule </w:t>
      </w:r>
      <w:r w:rsidR="00A33D43">
        <w:rPr>
          <w:rFonts w:ascii="Times New Roman" w:hAnsi="Times New Roman" w:cs="Times New Roman"/>
          <w:spacing w:val="2"/>
          <w:sz w:val="24"/>
          <w:szCs w:val="24"/>
        </w:rPr>
        <w:t>(</w:t>
      </w:r>
      <w:r w:rsidRPr="00D7577B">
        <w:rPr>
          <w:rFonts w:ascii="Times New Roman" w:hAnsi="Times New Roman" w:cs="Times New Roman"/>
          <w:spacing w:val="2"/>
          <w:sz w:val="24"/>
          <w:szCs w:val="24"/>
        </w:rPr>
        <w:t>81 FR 19718</w:t>
      </w:r>
      <w:r w:rsidR="00A33D43">
        <w:rPr>
          <w:rFonts w:ascii="Times New Roman" w:hAnsi="Times New Roman" w:cs="Times New Roman"/>
          <w:spacing w:val="2"/>
          <w:sz w:val="24"/>
          <w:szCs w:val="24"/>
        </w:rPr>
        <w:t xml:space="preserve">; </w:t>
      </w:r>
      <w:r w:rsidRPr="00D7577B">
        <w:rPr>
          <w:rFonts w:ascii="Times New Roman" w:hAnsi="Times New Roman" w:cs="Times New Roman"/>
          <w:spacing w:val="2"/>
          <w:sz w:val="24"/>
          <w:szCs w:val="24"/>
        </w:rPr>
        <w:t>April 5, 2016).</w:t>
      </w:r>
      <w:r w:rsidRPr="00D7577B" w:rsidR="000C067F">
        <w:rPr>
          <w:rFonts w:ascii="Times New Roman" w:hAnsi="Times New Roman" w:cs="Times New Roman"/>
          <w:spacing w:val="2"/>
          <w:sz w:val="24"/>
          <w:szCs w:val="24"/>
        </w:rPr>
        <w:t xml:space="preserve">  </w:t>
      </w:r>
      <w:r w:rsidRPr="00D7577B" w:rsidR="0090548F">
        <w:rPr>
          <w:rFonts w:ascii="Times New Roman" w:hAnsi="Times New Roman" w:cs="Times New Roman"/>
          <w:spacing w:val="2"/>
          <w:sz w:val="24"/>
          <w:szCs w:val="24"/>
        </w:rPr>
        <w:t xml:space="preserve">It is important to point out that </w:t>
      </w:r>
      <w:r w:rsidRPr="00D7577B" w:rsidR="000C067F">
        <w:rPr>
          <w:rFonts w:ascii="Times New Roman" w:hAnsi="Times New Roman" w:cs="Times New Roman"/>
          <w:spacing w:val="2"/>
          <w:sz w:val="24"/>
          <w:szCs w:val="24"/>
        </w:rPr>
        <w:t>BOEM is replacing most of the proposed requirements contained in the 2016 proposed rule with requirements similar to those in force now.</w:t>
      </w:r>
    </w:p>
    <w:p w:rsidRPr="00D7577B" w:rsidR="000C067F" w:rsidP="000C067F" w:rsidRDefault="000C067F" w14:paraId="0F1E1F06" w14:textId="77777777">
      <w:pPr>
        <w:spacing w:after="0" w:line="240" w:lineRule="auto"/>
        <w:ind w:right="-40"/>
        <w:rPr>
          <w:rFonts w:ascii="Times New Roman" w:hAnsi="Times New Roman" w:cs="Times New Roman"/>
          <w:spacing w:val="2"/>
          <w:sz w:val="24"/>
          <w:szCs w:val="24"/>
        </w:rPr>
      </w:pPr>
    </w:p>
    <w:p w:rsidRPr="00D7577B" w:rsidR="000C067F" w:rsidP="000C067F" w:rsidRDefault="000C067F" w14:paraId="1198EAD2" w14:textId="77777777">
      <w:pPr>
        <w:spacing w:after="0" w:line="240" w:lineRule="auto"/>
        <w:ind w:right="-40"/>
        <w:rPr>
          <w:rFonts w:ascii="Times New Roman" w:hAnsi="Times New Roman" w:cs="Times New Roman"/>
          <w:spacing w:val="2"/>
          <w:sz w:val="24"/>
          <w:szCs w:val="24"/>
        </w:rPr>
      </w:pPr>
      <w:r w:rsidRPr="00D7577B">
        <w:rPr>
          <w:rFonts w:ascii="Times New Roman" w:hAnsi="Times New Roman" w:cs="Times New Roman"/>
          <w:spacing w:val="2"/>
          <w:sz w:val="24"/>
          <w:szCs w:val="24"/>
        </w:rPr>
        <w:t xml:space="preserve">On April 28, 2017, the President issued Executive Order 13795 entitled “Implementing an America-First Offshore Energy Strategy”.  In section 2 of this Executive Order, the President directed that: “The Secretary of the Interior shall take all steps </w:t>
      </w:r>
      <w:r w:rsidRPr="00D7577B" w:rsidR="0090548F">
        <w:rPr>
          <w:rFonts w:ascii="Times New Roman" w:hAnsi="Times New Roman" w:cs="Times New Roman"/>
          <w:spacing w:val="2"/>
          <w:sz w:val="24"/>
          <w:szCs w:val="24"/>
        </w:rPr>
        <w:t>n</w:t>
      </w:r>
      <w:r w:rsidRPr="00D7577B">
        <w:rPr>
          <w:rFonts w:ascii="Times New Roman" w:hAnsi="Times New Roman" w:cs="Times New Roman"/>
          <w:spacing w:val="2"/>
          <w:sz w:val="24"/>
          <w:szCs w:val="24"/>
        </w:rPr>
        <w:t xml:space="preserve">ecessary to review BOEM's Proposed Rule entitled “Air Quality Control, Reporting, and Compliance,” 81 Fed. Reg. 19718 (April 5, 2016), along with any related rules and guidance, and, if appropriate, shall, as soon as practicable and consistent with law, consider whether the proposed rule, and any related rules </w:t>
      </w:r>
      <w:r w:rsidRPr="00D7577B">
        <w:rPr>
          <w:rFonts w:ascii="Times New Roman" w:hAnsi="Times New Roman" w:cs="Times New Roman"/>
          <w:spacing w:val="2"/>
          <w:sz w:val="24"/>
          <w:szCs w:val="24"/>
        </w:rPr>
        <w:lastRenderedPageBreak/>
        <w:t>and guidance, should be revised or withdrawn.”</w:t>
      </w:r>
    </w:p>
    <w:p w:rsidRPr="00D7577B" w:rsidR="000C067F" w:rsidP="000C067F" w:rsidRDefault="000C067F" w14:paraId="32753243" w14:textId="77777777">
      <w:pPr>
        <w:spacing w:after="0" w:line="240" w:lineRule="auto"/>
        <w:ind w:right="-40"/>
        <w:rPr>
          <w:rFonts w:ascii="Times New Roman" w:hAnsi="Times New Roman" w:cs="Times New Roman"/>
          <w:spacing w:val="2"/>
          <w:sz w:val="24"/>
          <w:szCs w:val="24"/>
        </w:rPr>
      </w:pPr>
    </w:p>
    <w:p w:rsidRPr="00AC08E8" w:rsidR="000C067F" w:rsidP="000C067F" w:rsidRDefault="000C067F" w14:paraId="5516021D" w14:textId="77777777">
      <w:pPr>
        <w:spacing w:after="0" w:line="240" w:lineRule="auto"/>
        <w:ind w:right="-40"/>
        <w:rPr>
          <w:rFonts w:ascii="Times New Roman" w:hAnsi="Times New Roman" w:cs="Times New Roman"/>
          <w:spacing w:val="2"/>
          <w:sz w:val="24"/>
          <w:szCs w:val="24"/>
        </w:rPr>
      </w:pPr>
      <w:r w:rsidRPr="00AC08E8">
        <w:rPr>
          <w:rFonts w:ascii="Times New Roman" w:hAnsi="Times New Roman" w:cs="Times New Roman"/>
          <w:spacing w:val="2"/>
          <w:sz w:val="24"/>
          <w:szCs w:val="24"/>
        </w:rPr>
        <w:t>On May 1, 2017, in response to this Executive Order, the Secretary issued Secretarial Order 3350, requiring the Director of BOEM to “provide to the ASLM, the Deputy Secretary, and Counselor to the Secretary for Energy Policy, a report explaining the effects, if any, of not issuing a new rule addressing offshore air quality, and providing options for revising or withdrawing the proposed rule consistent with the policy set forth in section 2 of the Executive Order.”</w:t>
      </w:r>
    </w:p>
    <w:p w:rsidRPr="00AC08E8" w:rsidR="000C067F" w:rsidP="000C067F" w:rsidRDefault="000C067F" w14:paraId="485C0134" w14:textId="77777777">
      <w:pPr>
        <w:spacing w:after="0" w:line="240" w:lineRule="auto"/>
        <w:ind w:right="-40"/>
        <w:rPr>
          <w:rFonts w:ascii="Times New Roman" w:hAnsi="Times New Roman" w:cs="Times New Roman"/>
          <w:spacing w:val="2"/>
          <w:sz w:val="24"/>
          <w:szCs w:val="24"/>
        </w:rPr>
      </w:pPr>
    </w:p>
    <w:p w:rsidRPr="00AC08E8" w:rsidR="000C067F" w:rsidP="000C067F" w:rsidRDefault="000C067F" w14:paraId="0CA70C99" w14:textId="77777777">
      <w:pPr>
        <w:spacing w:after="0" w:line="240" w:lineRule="auto"/>
        <w:ind w:right="-40"/>
        <w:rPr>
          <w:rFonts w:ascii="Times New Roman" w:hAnsi="Times New Roman" w:cs="Times New Roman"/>
          <w:spacing w:val="2"/>
          <w:sz w:val="24"/>
          <w:szCs w:val="24"/>
        </w:rPr>
      </w:pPr>
      <w:r w:rsidRPr="00AC08E8">
        <w:rPr>
          <w:rFonts w:ascii="Times New Roman" w:hAnsi="Times New Roman" w:cs="Times New Roman"/>
          <w:spacing w:val="2"/>
          <w:sz w:val="24"/>
          <w:szCs w:val="24"/>
        </w:rPr>
        <w:t xml:space="preserve">In July 2017, BOEM issued a report to the U.S. Department of </w:t>
      </w:r>
      <w:r w:rsidRPr="00AC08E8" w:rsidR="00577106">
        <w:rPr>
          <w:rFonts w:ascii="Times New Roman" w:hAnsi="Times New Roman" w:cs="Times New Roman"/>
          <w:spacing w:val="2"/>
          <w:sz w:val="24"/>
          <w:szCs w:val="24"/>
        </w:rPr>
        <w:t xml:space="preserve">the </w:t>
      </w:r>
      <w:r w:rsidRPr="00AC08E8">
        <w:rPr>
          <w:rFonts w:ascii="Times New Roman" w:hAnsi="Times New Roman" w:cs="Times New Roman"/>
          <w:spacing w:val="2"/>
          <w:sz w:val="24"/>
          <w:szCs w:val="24"/>
        </w:rPr>
        <w:t xml:space="preserve">Interior (DOI) that summarized various options and that made recommendations in accordance with Secretarial Order 3350.  Since that time, BOEM </w:t>
      </w:r>
      <w:r w:rsidR="00AC08E8">
        <w:rPr>
          <w:rFonts w:ascii="Times New Roman" w:hAnsi="Times New Roman" w:cs="Times New Roman"/>
          <w:spacing w:val="2"/>
          <w:sz w:val="24"/>
          <w:szCs w:val="24"/>
        </w:rPr>
        <w:t xml:space="preserve">has </w:t>
      </w:r>
      <w:r w:rsidRPr="00AC08E8">
        <w:rPr>
          <w:rFonts w:ascii="Times New Roman" w:hAnsi="Times New Roman" w:cs="Times New Roman"/>
          <w:spacing w:val="2"/>
          <w:sz w:val="24"/>
          <w:szCs w:val="24"/>
        </w:rPr>
        <w:t xml:space="preserve">carefully reviewed the available alternatives in the context of the Executive and Secretarial </w:t>
      </w:r>
      <w:r w:rsidR="00AC08E8">
        <w:rPr>
          <w:rFonts w:ascii="Times New Roman" w:hAnsi="Times New Roman" w:cs="Times New Roman"/>
          <w:spacing w:val="2"/>
          <w:sz w:val="24"/>
          <w:szCs w:val="24"/>
        </w:rPr>
        <w:t>o</w:t>
      </w:r>
      <w:r w:rsidRPr="00AC08E8">
        <w:rPr>
          <w:rFonts w:ascii="Times New Roman" w:hAnsi="Times New Roman" w:cs="Times New Roman"/>
          <w:spacing w:val="2"/>
          <w:sz w:val="24"/>
          <w:szCs w:val="24"/>
        </w:rPr>
        <w:t>rders.  This final rule is consistent with the policies of those orders.</w:t>
      </w:r>
    </w:p>
    <w:p w:rsidRPr="00D7577B" w:rsidR="000C067F" w:rsidP="000C067F" w:rsidRDefault="000C067F" w14:paraId="7F9B01DA" w14:textId="77777777">
      <w:pPr>
        <w:spacing w:after="0" w:line="240" w:lineRule="auto"/>
        <w:ind w:right="-40"/>
        <w:rPr>
          <w:rFonts w:ascii="Times New Roman" w:hAnsi="Times New Roman" w:cs="Times New Roman"/>
          <w:spacing w:val="2"/>
          <w:sz w:val="24"/>
          <w:szCs w:val="24"/>
          <w:highlight w:val="yellow"/>
        </w:rPr>
      </w:pPr>
    </w:p>
    <w:p w:rsidRPr="00AC08E8" w:rsidR="00AC08E8" w:rsidP="005E5BA3" w:rsidRDefault="005E5BA3" w14:paraId="78A2F1D7" w14:textId="77777777">
      <w:pPr>
        <w:spacing w:after="0" w:line="240" w:lineRule="auto"/>
        <w:ind w:right="-40"/>
        <w:rPr>
          <w:rFonts w:ascii="Times New Roman" w:hAnsi="Times New Roman" w:cs="Times New Roman"/>
          <w:spacing w:val="2"/>
          <w:sz w:val="24"/>
          <w:szCs w:val="24"/>
        </w:rPr>
      </w:pPr>
      <w:r w:rsidRPr="00AC08E8">
        <w:rPr>
          <w:rFonts w:ascii="Times New Roman" w:hAnsi="Times New Roman" w:cs="Times New Roman"/>
          <w:bCs/>
          <w:spacing w:val="2"/>
          <w:sz w:val="24"/>
          <w:szCs w:val="24"/>
        </w:rPr>
        <w:t>Instead of adopting the more sweeping changes that were proposed, this final</w:t>
      </w:r>
      <w:r w:rsidRPr="00AC08E8">
        <w:rPr>
          <w:rFonts w:ascii="Times New Roman" w:hAnsi="Times New Roman" w:cs="Times New Roman"/>
          <w:spacing w:val="2"/>
          <w:sz w:val="24"/>
          <w:szCs w:val="24"/>
        </w:rPr>
        <w:t xml:space="preserve"> rule retains most of the text of the existing regulations while making only a small n</w:t>
      </w:r>
      <w:r w:rsidRPr="00AC08E8" w:rsidR="00577106">
        <w:rPr>
          <w:rFonts w:ascii="Times New Roman" w:hAnsi="Times New Roman" w:cs="Times New Roman"/>
          <w:spacing w:val="2"/>
          <w:sz w:val="24"/>
          <w:szCs w:val="24"/>
        </w:rPr>
        <w:t>umber of the proposed changes</w:t>
      </w:r>
      <w:r w:rsidR="007E5C0C">
        <w:rPr>
          <w:rFonts w:ascii="Times New Roman" w:hAnsi="Times New Roman" w:cs="Times New Roman"/>
          <w:spacing w:val="2"/>
          <w:sz w:val="24"/>
          <w:szCs w:val="24"/>
        </w:rPr>
        <w:t>.</w:t>
      </w:r>
    </w:p>
    <w:p w:rsidR="00AC08E8" w:rsidP="005E5BA3" w:rsidRDefault="00AC08E8" w14:paraId="1E24C9CE" w14:textId="77777777">
      <w:pPr>
        <w:spacing w:after="0" w:line="240" w:lineRule="auto"/>
        <w:ind w:right="-40"/>
        <w:rPr>
          <w:rFonts w:ascii="Times New Roman" w:hAnsi="Times New Roman" w:cs="Times New Roman"/>
          <w:spacing w:val="2"/>
          <w:sz w:val="24"/>
          <w:szCs w:val="24"/>
          <w:highlight w:val="yellow"/>
        </w:rPr>
      </w:pPr>
    </w:p>
    <w:p w:rsidRPr="000B484C" w:rsidR="0066710D" w:rsidP="009B1E07" w:rsidRDefault="009B1E07" w14:paraId="045EB1B1" w14:textId="77777777">
      <w:pPr>
        <w:spacing w:after="0" w:line="240" w:lineRule="auto"/>
        <w:ind w:right="-40"/>
        <w:rPr>
          <w:rFonts w:ascii="Times New Roman" w:hAnsi="Times New Roman" w:cs="Times New Roman"/>
          <w:spacing w:val="2"/>
          <w:sz w:val="24"/>
          <w:szCs w:val="24"/>
        </w:rPr>
      </w:pPr>
      <w:r w:rsidRPr="000B484C">
        <w:rPr>
          <w:rFonts w:ascii="Times New Roman" w:hAnsi="Times New Roman" w:cs="Times New Roman"/>
          <w:spacing w:val="2"/>
          <w:sz w:val="24"/>
          <w:szCs w:val="24"/>
        </w:rPr>
        <w:t xml:space="preserve">Where the proposed rule would greatly impact the approved OMB information collection burdens, the final rule </w:t>
      </w:r>
      <w:r w:rsidRPr="000B484C" w:rsidR="00DE0CE0">
        <w:rPr>
          <w:rFonts w:ascii="Times New Roman" w:hAnsi="Times New Roman" w:cs="Times New Roman"/>
          <w:spacing w:val="2"/>
          <w:sz w:val="24"/>
          <w:szCs w:val="24"/>
        </w:rPr>
        <w:t>does</w:t>
      </w:r>
      <w:r w:rsidRPr="000B484C">
        <w:rPr>
          <w:rFonts w:ascii="Times New Roman" w:hAnsi="Times New Roman" w:cs="Times New Roman"/>
          <w:spacing w:val="2"/>
          <w:sz w:val="24"/>
          <w:szCs w:val="24"/>
        </w:rPr>
        <w:t xml:space="preserve"> not impact the annual burden hours </w:t>
      </w:r>
      <w:r w:rsidRPr="000B484C" w:rsidR="00770B5F">
        <w:rPr>
          <w:rFonts w:ascii="Times New Roman" w:hAnsi="Times New Roman" w:cs="Times New Roman"/>
          <w:spacing w:val="2"/>
          <w:sz w:val="24"/>
          <w:szCs w:val="24"/>
        </w:rPr>
        <w:t xml:space="preserve">or non-hour costs </w:t>
      </w:r>
      <w:r w:rsidRPr="000B484C">
        <w:rPr>
          <w:rFonts w:ascii="Times New Roman" w:hAnsi="Times New Roman" w:cs="Times New Roman"/>
          <w:spacing w:val="2"/>
          <w:sz w:val="24"/>
          <w:szCs w:val="24"/>
        </w:rPr>
        <w:t>currently approved by OMB.</w:t>
      </w:r>
      <w:r w:rsidRPr="000B484C" w:rsidR="00DE0CE0">
        <w:rPr>
          <w:rFonts w:ascii="Times New Roman" w:hAnsi="Times New Roman" w:cs="Times New Roman"/>
          <w:spacing w:val="2"/>
          <w:sz w:val="24"/>
          <w:szCs w:val="24"/>
        </w:rPr>
        <w:t xml:space="preserve">  Therefore, there are</w:t>
      </w:r>
      <w:r w:rsidRPr="000B484C" w:rsidR="00770B5F">
        <w:rPr>
          <w:rFonts w:ascii="Times New Roman" w:hAnsi="Times New Roman" w:cs="Times New Roman"/>
          <w:spacing w:val="2"/>
          <w:sz w:val="24"/>
          <w:szCs w:val="24"/>
        </w:rPr>
        <w:t xml:space="preserve"> no changes to the annual burden hours and non-hour costs currently approved in OMB Control Numbers 1010-0114, 1010-0151, or 1010-0057.</w:t>
      </w:r>
      <w:r w:rsidRPr="000B484C">
        <w:rPr>
          <w:rFonts w:ascii="Times New Roman" w:hAnsi="Times New Roman" w:cs="Times New Roman"/>
          <w:spacing w:val="2"/>
          <w:sz w:val="24"/>
          <w:szCs w:val="24"/>
        </w:rPr>
        <w:t xml:space="preserve"> </w:t>
      </w:r>
    </w:p>
    <w:p w:rsidRPr="00D7577B" w:rsidR="0066710D" w:rsidP="009B1E07" w:rsidRDefault="0066710D" w14:paraId="3FD37C36" w14:textId="77777777">
      <w:pPr>
        <w:spacing w:after="0" w:line="240" w:lineRule="auto"/>
        <w:ind w:right="-40"/>
        <w:rPr>
          <w:rFonts w:ascii="Times New Roman" w:hAnsi="Times New Roman" w:cs="Times New Roman"/>
          <w:spacing w:val="2"/>
          <w:sz w:val="24"/>
          <w:szCs w:val="24"/>
          <w:highlight w:val="yellow"/>
        </w:rPr>
      </w:pPr>
    </w:p>
    <w:p w:rsidRPr="000B484C" w:rsidR="009B1E07" w:rsidP="009B1E07" w:rsidRDefault="00770B5F" w14:paraId="2F510433" w14:textId="77777777">
      <w:pPr>
        <w:spacing w:after="0" w:line="240" w:lineRule="auto"/>
        <w:ind w:right="-40"/>
        <w:rPr>
          <w:rFonts w:ascii="Times New Roman" w:hAnsi="Times New Roman" w:cs="Times New Roman"/>
          <w:spacing w:val="2"/>
          <w:sz w:val="24"/>
          <w:szCs w:val="24"/>
        </w:rPr>
      </w:pPr>
      <w:r w:rsidRPr="000B484C">
        <w:rPr>
          <w:rFonts w:ascii="Times New Roman" w:hAnsi="Times New Roman" w:cs="Times New Roman"/>
          <w:spacing w:val="2"/>
          <w:sz w:val="24"/>
          <w:szCs w:val="24"/>
        </w:rPr>
        <w:t>I</w:t>
      </w:r>
      <w:r w:rsidRPr="000B484C" w:rsidR="009B1E07">
        <w:rPr>
          <w:rFonts w:ascii="Times New Roman" w:hAnsi="Times New Roman" w:cs="Times New Roman"/>
          <w:spacing w:val="2"/>
          <w:sz w:val="24"/>
          <w:szCs w:val="24"/>
        </w:rPr>
        <w:t xml:space="preserve">n conjunction with the final rule, BOEM </w:t>
      </w:r>
      <w:r w:rsidR="000B484C">
        <w:rPr>
          <w:rFonts w:ascii="Times New Roman" w:hAnsi="Times New Roman" w:cs="Times New Roman"/>
          <w:spacing w:val="2"/>
          <w:sz w:val="24"/>
          <w:szCs w:val="24"/>
        </w:rPr>
        <w:t>is updating</w:t>
      </w:r>
      <w:r w:rsidRPr="000B484C" w:rsidR="00DE0CE0">
        <w:rPr>
          <w:rFonts w:ascii="Times New Roman" w:hAnsi="Times New Roman" w:cs="Times New Roman"/>
          <w:spacing w:val="2"/>
          <w:sz w:val="24"/>
          <w:szCs w:val="24"/>
        </w:rPr>
        <w:t xml:space="preserve"> </w:t>
      </w:r>
      <w:r w:rsidRPr="000B484C" w:rsidR="009B1E07">
        <w:rPr>
          <w:rFonts w:ascii="Times New Roman" w:hAnsi="Times New Roman" w:cs="Times New Roman"/>
          <w:spacing w:val="2"/>
          <w:sz w:val="24"/>
          <w:szCs w:val="24"/>
        </w:rPr>
        <w:t>forms BOEM-0138 and BOEM-0139</w:t>
      </w:r>
      <w:r w:rsidR="00D14682">
        <w:rPr>
          <w:rFonts w:ascii="Times New Roman" w:hAnsi="Times New Roman" w:cs="Times New Roman"/>
          <w:spacing w:val="2"/>
          <w:sz w:val="24"/>
          <w:szCs w:val="24"/>
        </w:rPr>
        <w:t xml:space="preserve">.  </w:t>
      </w:r>
      <w:r w:rsidRPr="00D14682" w:rsidR="00D14682">
        <w:rPr>
          <w:rFonts w:ascii="Times New Roman" w:hAnsi="Times New Roman" w:cs="Times New Roman"/>
          <w:spacing w:val="2"/>
          <w:sz w:val="24"/>
          <w:szCs w:val="24"/>
        </w:rPr>
        <w:t>These are forms (not part of the regulations themselves) that operators use to report the information on air emissions required in the regulations, primarily the emissions associated with their proposed plans.  These spreadsheets require the operator to identify the relevant types of equipment that will be used in connection with its OCS operations.  The air quality spreadsheets provide emissions factors that correspond to each of the equipment types and that BOEM uses to determine the amount of emissions generated for every relevant criteria air pollutant, TSP, or Volatile Organic Compound (VOC) under the plan.  The spreadsheets enable the operator to quantify the total emissions by type of air pollutant for all equipment included in the EP, DPP, or DOCD, and then determine whether such emissions would or would not exceed the relevant EETs.</w:t>
      </w:r>
      <w:r w:rsidRPr="000B484C" w:rsidR="009B1E07">
        <w:rPr>
          <w:rFonts w:ascii="Times New Roman" w:hAnsi="Times New Roman" w:cs="Times New Roman"/>
          <w:spacing w:val="2"/>
          <w:sz w:val="24"/>
          <w:szCs w:val="24"/>
        </w:rPr>
        <w:t xml:space="preserve">  </w:t>
      </w:r>
      <w:r w:rsidR="00D14682">
        <w:rPr>
          <w:rFonts w:ascii="Times New Roman" w:hAnsi="Times New Roman" w:cs="Times New Roman"/>
          <w:spacing w:val="2"/>
          <w:sz w:val="24"/>
          <w:szCs w:val="24"/>
        </w:rPr>
        <w:t>Once the final rulemaking becomes effective, t</w:t>
      </w:r>
      <w:r w:rsidRPr="000B484C" w:rsidR="009B1E07">
        <w:rPr>
          <w:rFonts w:ascii="Times New Roman" w:hAnsi="Times New Roman" w:cs="Times New Roman"/>
          <w:spacing w:val="2"/>
          <w:sz w:val="24"/>
          <w:szCs w:val="24"/>
        </w:rPr>
        <w:t>hese forms</w:t>
      </w:r>
      <w:r w:rsidR="00D14682">
        <w:rPr>
          <w:rFonts w:ascii="Times New Roman" w:hAnsi="Times New Roman" w:cs="Times New Roman"/>
          <w:spacing w:val="2"/>
          <w:sz w:val="24"/>
          <w:szCs w:val="24"/>
        </w:rPr>
        <w:t xml:space="preserve"> will replace those that </w:t>
      </w:r>
      <w:r w:rsidRPr="000B484C" w:rsidR="009B1E07">
        <w:rPr>
          <w:rFonts w:ascii="Times New Roman" w:hAnsi="Times New Roman" w:cs="Times New Roman"/>
          <w:spacing w:val="2"/>
          <w:sz w:val="24"/>
          <w:szCs w:val="24"/>
        </w:rPr>
        <w:t xml:space="preserve">are </w:t>
      </w:r>
      <w:r w:rsidRPr="000B484C">
        <w:rPr>
          <w:rFonts w:ascii="Times New Roman" w:hAnsi="Times New Roman" w:cs="Times New Roman"/>
          <w:spacing w:val="2"/>
          <w:sz w:val="24"/>
          <w:szCs w:val="24"/>
        </w:rPr>
        <w:t xml:space="preserve">currently </w:t>
      </w:r>
      <w:r w:rsidRPr="000B484C" w:rsidR="009B1E07">
        <w:rPr>
          <w:rFonts w:ascii="Times New Roman" w:hAnsi="Times New Roman" w:cs="Times New Roman"/>
          <w:spacing w:val="2"/>
          <w:sz w:val="24"/>
          <w:szCs w:val="24"/>
        </w:rPr>
        <w:t>approved by OMB under OMB Control Number 1010-0151</w:t>
      </w:r>
      <w:r w:rsidRPr="000B484C" w:rsidR="00577106">
        <w:rPr>
          <w:rFonts w:ascii="Times New Roman" w:hAnsi="Times New Roman" w:cs="Times New Roman"/>
          <w:spacing w:val="2"/>
          <w:sz w:val="24"/>
          <w:szCs w:val="24"/>
        </w:rPr>
        <w:t>.</w:t>
      </w:r>
      <w:r w:rsidRPr="000B484C" w:rsidR="009B1E07">
        <w:rPr>
          <w:rFonts w:ascii="Times New Roman" w:hAnsi="Times New Roman" w:cs="Times New Roman"/>
          <w:spacing w:val="2"/>
          <w:sz w:val="24"/>
          <w:szCs w:val="24"/>
        </w:rPr>
        <w:t xml:space="preserve">    </w:t>
      </w:r>
    </w:p>
    <w:p w:rsidRPr="000B484C" w:rsidR="009B1E07" w:rsidP="009B1E07" w:rsidRDefault="009B1E07" w14:paraId="521AF789" w14:textId="77777777">
      <w:pPr>
        <w:spacing w:after="0" w:line="240" w:lineRule="auto"/>
        <w:ind w:right="-40"/>
        <w:rPr>
          <w:rFonts w:ascii="Times New Roman" w:hAnsi="Times New Roman" w:cs="Times New Roman"/>
          <w:spacing w:val="2"/>
          <w:sz w:val="24"/>
          <w:szCs w:val="24"/>
        </w:rPr>
      </w:pPr>
    </w:p>
    <w:p w:rsidRPr="00D7577B" w:rsidR="009B1E07" w:rsidP="009B1E07" w:rsidRDefault="009B1E07" w14:paraId="6F9728E5" w14:textId="77777777">
      <w:pPr>
        <w:spacing w:after="0" w:line="240" w:lineRule="auto"/>
        <w:ind w:right="-40"/>
        <w:rPr>
          <w:rFonts w:ascii="Times New Roman" w:hAnsi="Times New Roman" w:cs="Times New Roman"/>
          <w:spacing w:val="2"/>
          <w:sz w:val="24"/>
          <w:szCs w:val="24"/>
        </w:rPr>
      </w:pPr>
      <w:r w:rsidRPr="000B484C">
        <w:rPr>
          <w:rFonts w:ascii="Times New Roman" w:hAnsi="Times New Roman" w:cs="Times New Roman"/>
          <w:spacing w:val="2"/>
          <w:sz w:val="24"/>
          <w:szCs w:val="24"/>
        </w:rPr>
        <w:t>It is</w:t>
      </w:r>
      <w:r w:rsidRPr="000B484C" w:rsidR="001B058C">
        <w:rPr>
          <w:rFonts w:ascii="Times New Roman" w:hAnsi="Times New Roman" w:cs="Times New Roman"/>
          <w:spacing w:val="2"/>
          <w:sz w:val="24"/>
          <w:szCs w:val="24"/>
        </w:rPr>
        <w:t xml:space="preserve"> also</w:t>
      </w:r>
      <w:r w:rsidRPr="000B484C">
        <w:rPr>
          <w:rFonts w:ascii="Times New Roman" w:hAnsi="Times New Roman" w:cs="Times New Roman"/>
          <w:spacing w:val="2"/>
          <w:sz w:val="24"/>
          <w:szCs w:val="24"/>
        </w:rPr>
        <w:t xml:space="preserve"> important to point out tha</w:t>
      </w:r>
      <w:r w:rsidRPr="000B484C" w:rsidR="00DE0CE0">
        <w:rPr>
          <w:rFonts w:ascii="Times New Roman" w:hAnsi="Times New Roman" w:cs="Times New Roman"/>
          <w:spacing w:val="2"/>
          <w:sz w:val="24"/>
          <w:szCs w:val="24"/>
        </w:rPr>
        <w:t>t with the final rule, BOEM is</w:t>
      </w:r>
      <w:r w:rsidRPr="000B484C">
        <w:rPr>
          <w:rFonts w:ascii="Times New Roman" w:hAnsi="Times New Roman" w:cs="Times New Roman"/>
          <w:spacing w:val="2"/>
          <w:sz w:val="24"/>
          <w:szCs w:val="24"/>
        </w:rPr>
        <w:t xml:space="preserve"> adopt</w:t>
      </w:r>
      <w:r w:rsidRPr="000B484C" w:rsidR="00DE0CE0">
        <w:rPr>
          <w:rFonts w:ascii="Times New Roman" w:hAnsi="Times New Roman" w:cs="Times New Roman"/>
          <w:spacing w:val="2"/>
          <w:sz w:val="24"/>
          <w:szCs w:val="24"/>
        </w:rPr>
        <w:t>ing</w:t>
      </w:r>
      <w:r w:rsidRPr="000B484C">
        <w:rPr>
          <w:rFonts w:ascii="Times New Roman" w:hAnsi="Times New Roman" w:cs="Times New Roman"/>
          <w:spacing w:val="2"/>
          <w:sz w:val="24"/>
          <w:szCs w:val="24"/>
        </w:rPr>
        <w:t xml:space="preserve"> </w:t>
      </w:r>
      <w:r w:rsidRPr="000B484C" w:rsidR="001B058C">
        <w:rPr>
          <w:rFonts w:ascii="Times New Roman" w:hAnsi="Times New Roman" w:cs="Times New Roman"/>
          <w:spacing w:val="2"/>
          <w:sz w:val="24"/>
          <w:szCs w:val="24"/>
        </w:rPr>
        <w:t xml:space="preserve">only </w:t>
      </w:r>
      <w:r w:rsidRPr="000B484C">
        <w:rPr>
          <w:rFonts w:ascii="Times New Roman" w:hAnsi="Times New Roman" w:cs="Times New Roman"/>
          <w:spacing w:val="2"/>
          <w:sz w:val="24"/>
          <w:szCs w:val="24"/>
        </w:rPr>
        <w:t xml:space="preserve">some of the changes </w:t>
      </w:r>
      <w:r w:rsidRPr="000B484C" w:rsidR="001B058C">
        <w:rPr>
          <w:rFonts w:ascii="Times New Roman" w:hAnsi="Times New Roman" w:cs="Times New Roman"/>
          <w:spacing w:val="2"/>
          <w:sz w:val="24"/>
          <w:szCs w:val="24"/>
        </w:rPr>
        <w:t xml:space="preserve">on the forms </w:t>
      </w:r>
      <w:r w:rsidRPr="000B484C">
        <w:rPr>
          <w:rFonts w:ascii="Times New Roman" w:hAnsi="Times New Roman" w:cs="Times New Roman"/>
          <w:spacing w:val="2"/>
          <w:sz w:val="24"/>
          <w:szCs w:val="24"/>
        </w:rPr>
        <w:t>submitted with the proposed rule (explained in item 2 below).</w:t>
      </w:r>
      <w:r w:rsidRPr="00D7577B">
        <w:rPr>
          <w:rFonts w:ascii="Times New Roman" w:hAnsi="Times New Roman" w:cs="Times New Roman"/>
          <w:spacing w:val="2"/>
          <w:sz w:val="24"/>
          <w:szCs w:val="24"/>
        </w:rPr>
        <w:t xml:space="preserve">  </w:t>
      </w:r>
    </w:p>
    <w:p w:rsidRPr="00D7577B" w:rsidR="00F45980" w:rsidP="00A03B38" w:rsidRDefault="00F45980" w14:paraId="1508C923"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F64F67" w:rsidP="00A03B38" w:rsidRDefault="00F64F67" w14:paraId="0D190595" w14:textId="77777777">
      <w:pPr>
        <w:spacing w:after="0" w:line="240" w:lineRule="auto"/>
        <w:ind w:right="-40" w:hanging="5"/>
        <w:rPr>
          <w:rFonts w:ascii="Times New Roman" w:hAnsi="Times New Roman" w:eastAsia="Times New Roman" w:cs="Times New Roman"/>
          <w:b/>
          <w:i/>
          <w:color w:val="030303"/>
          <w:spacing w:val="2"/>
          <w:sz w:val="24"/>
          <w:szCs w:val="24"/>
        </w:rPr>
      </w:pPr>
      <w:r w:rsidRPr="00D7577B">
        <w:rPr>
          <w:rFonts w:ascii="Times New Roman" w:hAnsi="Times New Roman" w:eastAsia="Times New Roman" w:cs="Times New Roman"/>
          <w:b/>
          <w:i/>
          <w:color w:val="030303"/>
          <w:spacing w:val="2"/>
          <w:sz w:val="24"/>
          <w:szCs w:val="24"/>
        </w:rPr>
        <w:t>2. Indicate how, by whom, and for what purpose the information is to be used. Except for a new collection, indicate the actual use the agency has made of the information received from the cu</w:t>
      </w:r>
      <w:r w:rsidRPr="00D7577B" w:rsidR="00A938FF">
        <w:rPr>
          <w:rFonts w:ascii="Times New Roman" w:hAnsi="Times New Roman" w:eastAsia="Times New Roman" w:cs="Times New Roman"/>
          <w:b/>
          <w:i/>
          <w:color w:val="030303"/>
          <w:spacing w:val="2"/>
          <w:sz w:val="24"/>
          <w:szCs w:val="24"/>
        </w:rPr>
        <w:t>rr</w:t>
      </w:r>
      <w:r w:rsidRPr="00D7577B">
        <w:rPr>
          <w:rFonts w:ascii="Times New Roman" w:hAnsi="Times New Roman" w:eastAsia="Times New Roman" w:cs="Times New Roman"/>
          <w:b/>
          <w:i/>
          <w:color w:val="030303"/>
          <w:spacing w:val="2"/>
          <w:sz w:val="24"/>
          <w:szCs w:val="24"/>
        </w:rPr>
        <w:t xml:space="preserve">ent collection. Be specific. If this collection is a form or a </w:t>
      </w:r>
      <w:r w:rsidRPr="00D7577B" w:rsidR="00A938FF">
        <w:rPr>
          <w:rFonts w:ascii="Times New Roman" w:hAnsi="Times New Roman" w:eastAsia="Times New Roman" w:cs="Times New Roman"/>
          <w:b/>
          <w:i/>
          <w:color w:val="030303"/>
          <w:spacing w:val="2"/>
          <w:sz w:val="24"/>
          <w:szCs w:val="24"/>
        </w:rPr>
        <w:t>questionnaire</w:t>
      </w:r>
      <w:r w:rsidRPr="00D7577B">
        <w:rPr>
          <w:rFonts w:ascii="Times New Roman" w:hAnsi="Times New Roman" w:eastAsia="Times New Roman" w:cs="Times New Roman"/>
          <w:b/>
          <w:i/>
          <w:color w:val="030303"/>
          <w:spacing w:val="2"/>
          <w:sz w:val="24"/>
          <w:szCs w:val="24"/>
        </w:rPr>
        <w:t>, every questio</w:t>
      </w:r>
      <w:r w:rsidRPr="00D7577B" w:rsidR="00A938FF">
        <w:rPr>
          <w:rFonts w:ascii="Times New Roman" w:hAnsi="Times New Roman" w:eastAsia="Times New Roman" w:cs="Times New Roman"/>
          <w:b/>
          <w:i/>
          <w:color w:val="030303"/>
          <w:spacing w:val="2"/>
          <w:sz w:val="24"/>
          <w:szCs w:val="24"/>
        </w:rPr>
        <w:t>n n</w:t>
      </w:r>
      <w:r w:rsidRPr="00D7577B">
        <w:rPr>
          <w:rFonts w:ascii="Times New Roman" w:hAnsi="Times New Roman" w:eastAsia="Times New Roman" w:cs="Times New Roman"/>
          <w:b/>
          <w:i/>
          <w:color w:val="030303"/>
          <w:spacing w:val="2"/>
          <w:sz w:val="24"/>
          <w:szCs w:val="24"/>
        </w:rPr>
        <w:t>eeds to be justified.</w:t>
      </w:r>
    </w:p>
    <w:p w:rsidRPr="00DF19A9" w:rsidR="00CC3B80" w:rsidP="00A03B38" w:rsidRDefault="00CC3B80" w14:paraId="13F7CBA5" w14:textId="77777777">
      <w:pPr>
        <w:spacing w:after="0" w:line="240" w:lineRule="auto"/>
        <w:ind w:right="-40" w:hanging="5"/>
        <w:rPr>
          <w:rFonts w:ascii="Times New Roman" w:hAnsi="Times New Roman" w:eastAsia="Times New Roman" w:cs="Times New Roman"/>
          <w:color w:val="030303"/>
          <w:spacing w:val="2"/>
          <w:sz w:val="24"/>
          <w:szCs w:val="24"/>
        </w:rPr>
      </w:pPr>
    </w:p>
    <w:p w:rsidRPr="00DF19A9" w:rsidR="00387114" w:rsidP="00387114" w:rsidRDefault="00387114" w14:paraId="244C3A5B" w14:textId="77777777">
      <w:pPr>
        <w:tabs>
          <w:tab w:val="left" w:pos="-1080"/>
          <w:tab w:val="left" w:pos="-720"/>
          <w:tab w:val="left" w:pos="360"/>
          <w:tab w:val="left" w:pos="720"/>
        </w:tabs>
        <w:rPr>
          <w:rFonts w:ascii="Times New Roman" w:hAnsi="Times New Roman" w:cs="Times New Roman"/>
          <w:sz w:val="24"/>
          <w:szCs w:val="24"/>
        </w:rPr>
      </w:pPr>
      <w:r w:rsidRPr="00DF19A9">
        <w:rPr>
          <w:rFonts w:ascii="Times New Roman" w:hAnsi="Times New Roman"/>
          <w:sz w:val="24"/>
          <w:szCs w:val="24"/>
        </w:rPr>
        <w:t xml:space="preserve">BOEM engineers, geologists, geophysicists, and environmental scientists and other Federal </w:t>
      </w:r>
      <w:r w:rsidRPr="00DF19A9">
        <w:rPr>
          <w:rFonts w:ascii="Times New Roman" w:hAnsi="Times New Roman"/>
          <w:sz w:val="24"/>
          <w:szCs w:val="24"/>
        </w:rPr>
        <w:lastRenderedPageBreak/>
        <w:t>agencies (e.g., FWS, NOAA Fisheries) analyze and evaluate the information and data collected under Subpart B to ensure that planned operations are safe; will not adversely affect the marine, coastal, or human environment; and will conserve the resources of the OCS. We use the information to: (a) make an informed decision on whether to approve the proposed EPs, DPPs, DOCDs as submitted, or whether modifications are necessary without the analysis and evaluation of the required information.  The affected States also review the information collected to determine consistency with approved Coastal Zone Management (CZM) plans and (b) report annually to NOAA Fisheries the effectiveness of mitigation, any adverse effects of the proposed action, and any incidental take, in accordance with 50 CFR 402.14(</w:t>
      </w:r>
      <w:proofErr w:type="spellStart"/>
      <w:r w:rsidRPr="00DF19A9">
        <w:rPr>
          <w:rFonts w:ascii="Times New Roman" w:hAnsi="Times New Roman"/>
          <w:sz w:val="24"/>
          <w:szCs w:val="24"/>
        </w:rPr>
        <w:t>i</w:t>
      </w:r>
      <w:proofErr w:type="spellEnd"/>
      <w:r w:rsidRPr="00DF19A9">
        <w:rPr>
          <w:rFonts w:ascii="Times New Roman" w:hAnsi="Times New Roman"/>
          <w:sz w:val="24"/>
          <w:szCs w:val="24"/>
        </w:rPr>
        <w:t xml:space="preserve">)(3).  </w:t>
      </w:r>
    </w:p>
    <w:p w:rsidRPr="00DF19A9" w:rsidR="00F64F67" w:rsidP="00A03B38" w:rsidRDefault="00F64F67" w14:paraId="1B677E7E" w14:textId="77777777">
      <w:pPr>
        <w:spacing w:after="0" w:line="240" w:lineRule="auto"/>
        <w:ind w:right="-40" w:hanging="5"/>
        <w:rPr>
          <w:rFonts w:ascii="Times New Roman" w:hAnsi="Times New Roman" w:eastAsia="Times New Roman" w:cs="Times New Roman"/>
          <w:color w:val="030303"/>
          <w:spacing w:val="2"/>
          <w:sz w:val="24"/>
          <w:szCs w:val="24"/>
        </w:rPr>
      </w:pPr>
      <w:r w:rsidRPr="00DF19A9">
        <w:rPr>
          <w:rFonts w:ascii="Times New Roman" w:hAnsi="Times New Roman" w:eastAsia="Times New Roman" w:cs="Times New Roman"/>
          <w:color w:val="030303"/>
          <w:spacing w:val="2"/>
          <w:sz w:val="24"/>
          <w:szCs w:val="24"/>
        </w:rPr>
        <w:t xml:space="preserve">In general, BOEM uses the </w:t>
      </w:r>
      <w:r w:rsidRPr="00DF19A9" w:rsidR="00A938FF">
        <w:rPr>
          <w:rFonts w:ascii="Times New Roman" w:hAnsi="Times New Roman" w:eastAsia="Times New Roman" w:cs="Times New Roman"/>
          <w:color w:val="030303"/>
          <w:spacing w:val="2"/>
          <w:sz w:val="24"/>
          <w:szCs w:val="24"/>
        </w:rPr>
        <w:t>information collected</w:t>
      </w:r>
      <w:r w:rsidRPr="00DF19A9">
        <w:rPr>
          <w:rFonts w:ascii="Times New Roman" w:hAnsi="Times New Roman" w:eastAsia="Times New Roman" w:cs="Times New Roman"/>
          <w:color w:val="030303"/>
          <w:spacing w:val="2"/>
          <w:sz w:val="24"/>
          <w:szCs w:val="24"/>
        </w:rPr>
        <w:t xml:space="preserve"> to ensure that:</w:t>
      </w:r>
    </w:p>
    <w:p w:rsidRPr="00DF19A9" w:rsidR="00F64F67" w:rsidP="00A03B38" w:rsidRDefault="00F64F67" w14:paraId="6C6C5B8C" w14:textId="77777777">
      <w:pPr>
        <w:spacing w:after="0" w:line="240" w:lineRule="auto"/>
        <w:ind w:right="-40" w:hanging="5"/>
        <w:rPr>
          <w:rFonts w:ascii="Times New Roman" w:hAnsi="Times New Roman" w:eastAsia="Times New Roman" w:cs="Times New Roman"/>
          <w:color w:val="030303"/>
          <w:spacing w:val="2"/>
          <w:sz w:val="24"/>
          <w:szCs w:val="24"/>
        </w:rPr>
      </w:pPr>
    </w:p>
    <w:p w:rsidRPr="00DF19A9" w:rsidR="00F64F67" w:rsidP="00933C92" w:rsidRDefault="00933C92" w14:paraId="1400F768" w14:textId="77777777">
      <w:pPr>
        <w:pStyle w:val="ListParagraph"/>
        <w:numPr>
          <w:ilvl w:val="0"/>
          <w:numId w:val="1"/>
        </w:numPr>
        <w:spacing w:after="0" w:line="240" w:lineRule="auto"/>
        <w:ind w:right="-40"/>
        <w:rPr>
          <w:rFonts w:ascii="Times New Roman" w:hAnsi="Times New Roman" w:eastAsia="Times New Roman" w:cs="Times New Roman"/>
          <w:color w:val="030303"/>
          <w:spacing w:val="2"/>
          <w:sz w:val="24"/>
          <w:szCs w:val="24"/>
        </w:rPr>
      </w:pPr>
      <w:r w:rsidRPr="00DF19A9">
        <w:rPr>
          <w:rFonts w:ascii="Times New Roman" w:hAnsi="Times New Roman" w:eastAsia="Times New Roman" w:cs="Times New Roman"/>
          <w:color w:val="030303"/>
          <w:spacing w:val="2"/>
          <w:sz w:val="24"/>
          <w:szCs w:val="24"/>
        </w:rPr>
        <w:t>T</w:t>
      </w:r>
      <w:r w:rsidRPr="00DF19A9" w:rsidR="00F64F67">
        <w:rPr>
          <w:rFonts w:ascii="Times New Roman" w:hAnsi="Times New Roman" w:eastAsia="Times New Roman" w:cs="Times New Roman"/>
          <w:color w:val="030303"/>
          <w:spacing w:val="2"/>
          <w:sz w:val="24"/>
          <w:szCs w:val="24"/>
        </w:rPr>
        <w:t>here is no threat of serious, irreparable, or immediate damage to the marine environment caused by OCS oil and gas exploration, development, and production activities;</w:t>
      </w:r>
    </w:p>
    <w:p w:rsidRPr="00DF19A9" w:rsidR="00F64F67" w:rsidP="00933C92" w:rsidRDefault="00933C92" w14:paraId="042019D7" w14:textId="77777777">
      <w:pPr>
        <w:pStyle w:val="ListParagraph"/>
        <w:numPr>
          <w:ilvl w:val="0"/>
          <w:numId w:val="1"/>
        </w:numPr>
        <w:spacing w:after="0" w:line="240" w:lineRule="auto"/>
        <w:ind w:right="-40"/>
        <w:rPr>
          <w:rFonts w:ascii="Times New Roman" w:hAnsi="Times New Roman" w:eastAsia="Times New Roman" w:cs="Times New Roman"/>
          <w:color w:val="030303"/>
          <w:spacing w:val="2"/>
          <w:sz w:val="24"/>
          <w:szCs w:val="24"/>
        </w:rPr>
      </w:pPr>
      <w:r w:rsidRPr="00DF19A9">
        <w:rPr>
          <w:rFonts w:ascii="Times New Roman" w:hAnsi="Times New Roman" w:eastAsia="Times New Roman" w:cs="Times New Roman"/>
          <w:color w:val="030303"/>
          <w:spacing w:val="2"/>
          <w:sz w:val="24"/>
          <w:szCs w:val="24"/>
        </w:rPr>
        <w:t>O</w:t>
      </w:r>
      <w:r w:rsidRPr="00DF19A9" w:rsidR="00F64F67">
        <w:rPr>
          <w:rFonts w:ascii="Times New Roman" w:hAnsi="Times New Roman" w:eastAsia="Times New Roman" w:cs="Times New Roman"/>
          <w:color w:val="030303"/>
          <w:spacing w:val="2"/>
          <w:sz w:val="24"/>
          <w:szCs w:val="24"/>
        </w:rPr>
        <w:t xml:space="preserve">perations are </w:t>
      </w:r>
      <w:r w:rsidRPr="00DF19A9" w:rsidR="00A938FF">
        <w:rPr>
          <w:rFonts w:ascii="Times New Roman" w:hAnsi="Times New Roman" w:eastAsia="Times New Roman" w:cs="Times New Roman"/>
          <w:color w:val="030303"/>
          <w:spacing w:val="2"/>
          <w:sz w:val="24"/>
          <w:szCs w:val="24"/>
        </w:rPr>
        <w:t>conducted according</w:t>
      </w:r>
      <w:r w:rsidRPr="00DF19A9" w:rsidR="00F64F67">
        <w:rPr>
          <w:rFonts w:ascii="Times New Roman" w:hAnsi="Times New Roman" w:eastAsia="Times New Roman" w:cs="Times New Roman"/>
          <w:color w:val="030303"/>
          <w:spacing w:val="2"/>
          <w:sz w:val="24"/>
          <w:szCs w:val="24"/>
        </w:rPr>
        <w:t xml:space="preserve"> to all applicable regulations</w:t>
      </w:r>
      <w:r w:rsidRPr="00DF19A9" w:rsidR="00A938FF">
        <w:rPr>
          <w:rFonts w:ascii="Times New Roman" w:hAnsi="Times New Roman" w:eastAsia="Times New Roman" w:cs="Times New Roman"/>
          <w:color w:val="030303"/>
          <w:spacing w:val="2"/>
          <w:sz w:val="24"/>
          <w:szCs w:val="24"/>
        </w:rPr>
        <w:t>, permit</w:t>
      </w:r>
      <w:r w:rsidRPr="00DF19A9" w:rsidR="00F64F67">
        <w:rPr>
          <w:rFonts w:ascii="Times New Roman" w:hAnsi="Times New Roman" w:eastAsia="Times New Roman" w:cs="Times New Roman"/>
          <w:color w:val="030303"/>
          <w:spacing w:val="2"/>
          <w:sz w:val="24"/>
          <w:szCs w:val="24"/>
        </w:rPr>
        <w:t xml:space="preserve"> conditions and requirements, and in a safe and </w:t>
      </w:r>
      <w:r w:rsidRPr="00DF19A9" w:rsidR="00A938FF">
        <w:rPr>
          <w:rFonts w:ascii="Times New Roman" w:hAnsi="Times New Roman" w:eastAsia="Times New Roman" w:cs="Times New Roman"/>
          <w:color w:val="030303"/>
          <w:spacing w:val="2"/>
          <w:sz w:val="24"/>
          <w:szCs w:val="24"/>
        </w:rPr>
        <w:t>workmanlike manner</w:t>
      </w:r>
      <w:r w:rsidRPr="00DF19A9" w:rsidR="00140F5D">
        <w:rPr>
          <w:rFonts w:ascii="Times New Roman" w:hAnsi="Times New Roman" w:eastAsia="Times New Roman" w:cs="Times New Roman"/>
          <w:color w:val="030303"/>
          <w:spacing w:val="2"/>
          <w:sz w:val="24"/>
          <w:szCs w:val="24"/>
        </w:rPr>
        <w:t>;</w:t>
      </w:r>
    </w:p>
    <w:p w:rsidRPr="00DF19A9" w:rsidR="00F64F67" w:rsidP="00933C92" w:rsidRDefault="00F64F67" w14:paraId="5E8C0467" w14:textId="77777777">
      <w:pPr>
        <w:pStyle w:val="ListParagraph"/>
        <w:numPr>
          <w:ilvl w:val="0"/>
          <w:numId w:val="1"/>
        </w:numPr>
        <w:spacing w:after="0" w:line="240" w:lineRule="auto"/>
        <w:ind w:right="-40"/>
        <w:rPr>
          <w:rFonts w:ascii="Times New Roman" w:hAnsi="Times New Roman" w:eastAsia="Times New Roman" w:cs="Times New Roman"/>
          <w:color w:val="030303"/>
          <w:spacing w:val="2"/>
          <w:sz w:val="24"/>
          <w:szCs w:val="24"/>
        </w:rPr>
      </w:pPr>
      <w:r w:rsidRPr="00DF19A9">
        <w:rPr>
          <w:rFonts w:ascii="Times New Roman" w:hAnsi="Times New Roman" w:eastAsia="Times New Roman" w:cs="Times New Roman"/>
          <w:color w:val="030303"/>
          <w:spacing w:val="2"/>
          <w:sz w:val="24"/>
          <w:szCs w:val="24"/>
        </w:rPr>
        <w:t xml:space="preserve">OCS oil and gas </w:t>
      </w:r>
      <w:r w:rsidRPr="00DF19A9" w:rsidR="00A938FF">
        <w:rPr>
          <w:rFonts w:ascii="Times New Roman" w:hAnsi="Times New Roman" w:eastAsia="Times New Roman" w:cs="Times New Roman"/>
          <w:color w:val="030303"/>
          <w:spacing w:val="2"/>
          <w:sz w:val="24"/>
          <w:szCs w:val="24"/>
        </w:rPr>
        <w:t>operations are</w:t>
      </w:r>
      <w:r w:rsidRPr="00DF19A9">
        <w:rPr>
          <w:rFonts w:ascii="Times New Roman" w:hAnsi="Times New Roman" w:eastAsia="Times New Roman" w:cs="Times New Roman"/>
          <w:color w:val="030303"/>
          <w:spacing w:val="2"/>
          <w:sz w:val="24"/>
          <w:szCs w:val="24"/>
        </w:rPr>
        <w:t xml:space="preserve"> conducted in a manner that minimizes air pollution from the OCS</w:t>
      </w:r>
      <w:r w:rsidRPr="00DF19A9" w:rsidR="00A938FF">
        <w:rPr>
          <w:rFonts w:ascii="Times New Roman" w:hAnsi="Times New Roman" w:eastAsia="Times New Roman" w:cs="Times New Roman"/>
          <w:color w:val="030303"/>
          <w:spacing w:val="2"/>
          <w:sz w:val="24"/>
          <w:szCs w:val="24"/>
        </w:rPr>
        <w:t xml:space="preserve"> </w:t>
      </w:r>
      <w:r w:rsidRPr="00DF19A9">
        <w:rPr>
          <w:rFonts w:ascii="Times New Roman" w:hAnsi="Times New Roman" w:eastAsia="Times New Roman" w:cs="Times New Roman"/>
          <w:color w:val="030303"/>
          <w:spacing w:val="2"/>
          <w:sz w:val="24"/>
          <w:szCs w:val="24"/>
        </w:rPr>
        <w:t>in adjacent onshore areas and do not exceed required emission levels</w:t>
      </w:r>
      <w:r w:rsidRPr="00DF19A9" w:rsidR="00F11820">
        <w:rPr>
          <w:rFonts w:ascii="Times New Roman" w:hAnsi="Times New Roman" w:eastAsia="Times New Roman" w:cs="Times New Roman"/>
          <w:color w:val="030303"/>
          <w:spacing w:val="2"/>
          <w:sz w:val="24"/>
          <w:szCs w:val="24"/>
        </w:rPr>
        <w:t xml:space="preserve"> for key pollutants</w:t>
      </w:r>
      <w:r w:rsidRPr="00DF19A9" w:rsidR="00140F5D">
        <w:rPr>
          <w:rFonts w:ascii="Times New Roman" w:hAnsi="Times New Roman" w:eastAsia="Times New Roman" w:cs="Times New Roman"/>
          <w:color w:val="030303"/>
          <w:spacing w:val="2"/>
          <w:sz w:val="24"/>
          <w:szCs w:val="24"/>
        </w:rPr>
        <w:t xml:space="preserve">; and </w:t>
      </w:r>
    </w:p>
    <w:p w:rsidRPr="00DF19A9" w:rsidR="00140F5D" w:rsidP="00140F5D" w:rsidRDefault="00140F5D" w14:paraId="3C91BF35" w14:textId="77777777">
      <w:pPr>
        <w:pStyle w:val="ListParagraph"/>
        <w:numPr>
          <w:ilvl w:val="0"/>
          <w:numId w:val="1"/>
        </w:numPr>
        <w:spacing w:after="0" w:line="240" w:lineRule="auto"/>
        <w:ind w:right="-40"/>
        <w:rPr>
          <w:rFonts w:ascii="Times New Roman" w:hAnsi="Times New Roman" w:eastAsia="Times New Roman" w:cs="Times New Roman"/>
          <w:color w:val="030303"/>
          <w:spacing w:val="2"/>
          <w:sz w:val="24"/>
          <w:szCs w:val="24"/>
        </w:rPr>
      </w:pPr>
      <w:r w:rsidRPr="00DF19A9">
        <w:rPr>
          <w:rFonts w:ascii="Times New Roman" w:hAnsi="Times New Roman" w:eastAsia="Times New Roman" w:cs="Times New Roman"/>
          <w:color w:val="030303"/>
          <w:spacing w:val="2"/>
          <w:sz w:val="24"/>
          <w:szCs w:val="24"/>
        </w:rPr>
        <w:t xml:space="preserve">Air emissions and related information comply with the NAAQS and regional haze regulations. </w:t>
      </w:r>
    </w:p>
    <w:p w:rsidRPr="00DF19A9" w:rsidR="00140F5D" w:rsidP="00140F5D" w:rsidRDefault="00140F5D" w14:paraId="3E611B49" w14:textId="77777777">
      <w:pPr>
        <w:pStyle w:val="ListParagraph"/>
        <w:spacing w:after="0" w:line="240" w:lineRule="auto"/>
        <w:ind w:left="783" w:right="-40"/>
        <w:rPr>
          <w:rFonts w:ascii="Times New Roman" w:hAnsi="Times New Roman" w:eastAsia="Times New Roman" w:cs="Times New Roman"/>
          <w:color w:val="030303"/>
          <w:spacing w:val="2"/>
          <w:sz w:val="24"/>
          <w:szCs w:val="24"/>
        </w:rPr>
      </w:pPr>
    </w:p>
    <w:p w:rsidRPr="00DF19A9" w:rsidR="0066710D" w:rsidDel="002B4D1E" w:rsidP="0066710D" w:rsidRDefault="0066710D" w14:paraId="2E60A0DA" w14:textId="77777777">
      <w:pPr>
        <w:spacing w:after="0" w:line="240" w:lineRule="auto"/>
        <w:ind w:right="-40"/>
        <w:rPr>
          <w:rFonts w:ascii="Times New Roman" w:hAnsi="Times New Roman" w:eastAsia="Times New Roman" w:cs="Times New Roman"/>
          <w:color w:val="030303"/>
          <w:spacing w:val="2"/>
          <w:sz w:val="24"/>
          <w:szCs w:val="24"/>
        </w:rPr>
      </w:pPr>
      <w:r w:rsidRPr="00DF19A9" w:rsidDel="002B4D1E">
        <w:rPr>
          <w:rFonts w:ascii="Times New Roman" w:hAnsi="Times New Roman" w:eastAsia="Times New Roman" w:cs="Times New Roman"/>
          <w:spacing w:val="2"/>
          <w:sz w:val="24"/>
          <w:szCs w:val="24"/>
        </w:rPr>
        <w:t>The final rule</w:t>
      </w:r>
      <w:r w:rsidRPr="00DF19A9" w:rsidDel="002B4D1E" w:rsidR="00387114">
        <w:rPr>
          <w:rFonts w:ascii="Times New Roman" w:hAnsi="Times New Roman" w:eastAsia="Times New Roman" w:cs="Times New Roman"/>
          <w:spacing w:val="2"/>
          <w:sz w:val="24"/>
          <w:szCs w:val="24"/>
        </w:rPr>
        <w:t>making</w:t>
      </w:r>
      <w:r w:rsidRPr="00DF19A9" w:rsidDel="002B4D1E">
        <w:rPr>
          <w:rFonts w:ascii="Times New Roman" w:hAnsi="Times New Roman" w:eastAsia="Times New Roman" w:cs="Times New Roman"/>
          <w:spacing w:val="2"/>
          <w:sz w:val="24"/>
          <w:szCs w:val="24"/>
        </w:rPr>
        <w:t xml:space="preserve"> </w:t>
      </w:r>
      <w:r w:rsidRPr="00DF19A9" w:rsidDel="002B4D1E" w:rsidR="00096725">
        <w:rPr>
          <w:rFonts w:ascii="Times New Roman" w:hAnsi="Times New Roman" w:eastAsia="Times New Roman" w:cs="Times New Roman"/>
          <w:spacing w:val="2"/>
          <w:sz w:val="24"/>
          <w:szCs w:val="24"/>
        </w:rPr>
        <w:t>updates forms BOEM-0138 and BOEM-0139</w:t>
      </w:r>
      <w:r w:rsidRPr="00DF19A9" w:rsidDel="002B4D1E">
        <w:rPr>
          <w:rFonts w:ascii="Times New Roman" w:hAnsi="Times New Roman" w:eastAsia="Times New Roman" w:cs="Times New Roman"/>
          <w:spacing w:val="2"/>
          <w:sz w:val="24"/>
          <w:szCs w:val="24"/>
        </w:rPr>
        <w:t xml:space="preserve"> approved for use under OMB control number 1010-0151</w:t>
      </w:r>
      <w:r w:rsidDel="002B4D1E" w:rsidR="00DF19A9">
        <w:rPr>
          <w:rFonts w:ascii="Times New Roman" w:hAnsi="Times New Roman" w:eastAsia="Times New Roman" w:cs="Times New Roman"/>
          <w:spacing w:val="2"/>
          <w:sz w:val="24"/>
          <w:szCs w:val="24"/>
        </w:rPr>
        <w:t xml:space="preserve"> (expiration June 30, 2021)</w:t>
      </w:r>
      <w:r w:rsidRPr="00DF19A9" w:rsidDel="002B4D1E">
        <w:rPr>
          <w:rFonts w:ascii="Times New Roman" w:hAnsi="Times New Roman" w:eastAsia="Times New Roman" w:cs="Times New Roman"/>
          <w:spacing w:val="2"/>
          <w:sz w:val="24"/>
          <w:szCs w:val="24"/>
        </w:rPr>
        <w:t>.  With OMB approval of the form revisions, BOEM plans replace the forms under OMB control number 1010-0151.</w:t>
      </w:r>
    </w:p>
    <w:p w:rsidRPr="00D7577B" w:rsidR="00E918F0" w:rsidP="00A03B38" w:rsidRDefault="00E918F0" w14:paraId="4C07A329"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0E4EB9" w:rsidP="000E4EB9" w:rsidRDefault="00E117A2" w14:paraId="5C0B3F2C" w14:textId="77777777">
      <w:pPr>
        <w:tabs>
          <w:tab w:val="left" w:pos="-1080"/>
          <w:tab w:val="left" w:pos="-720"/>
          <w:tab w:val="left" w:pos="360"/>
          <w:tab w:val="left" w:pos="720"/>
        </w:tabs>
        <w:rPr>
          <w:rFonts w:ascii="Times New Roman" w:hAnsi="Times New Roman" w:eastAsia="Times New Roman" w:cs="Times New Roman"/>
          <w:snapToGrid w:val="0"/>
          <w:sz w:val="24"/>
          <w:szCs w:val="24"/>
        </w:rPr>
      </w:pPr>
      <w:r w:rsidRPr="00D7577B">
        <w:rPr>
          <w:rFonts w:ascii="Times New Roman" w:hAnsi="Times New Roman" w:eastAsia="Times New Roman" w:cs="Times New Roman"/>
          <w:b/>
          <w:i/>
          <w:color w:val="030303"/>
          <w:spacing w:val="2"/>
          <w:sz w:val="24"/>
          <w:szCs w:val="24"/>
        </w:rPr>
        <w:t>Form Modifications for BOEM-0138</w:t>
      </w:r>
      <w:r w:rsidR="000130C9">
        <w:rPr>
          <w:rFonts w:ascii="Times New Roman" w:hAnsi="Times New Roman" w:eastAsia="Times New Roman" w:cs="Times New Roman"/>
          <w:b/>
          <w:i/>
          <w:color w:val="030303"/>
          <w:spacing w:val="2"/>
          <w:sz w:val="24"/>
          <w:szCs w:val="24"/>
        </w:rPr>
        <w:t xml:space="preserve"> (EP - Air Quality)</w:t>
      </w:r>
      <w:r w:rsidRPr="00D7577B">
        <w:rPr>
          <w:rFonts w:ascii="Times New Roman" w:hAnsi="Times New Roman" w:eastAsia="Times New Roman" w:cs="Times New Roman"/>
          <w:b/>
          <w:i/>
          <w:color w:val="030303"/>
          <w:spacing w:val="2"/>
          <w:sz w:val="24"/>
          <w:szCs w:val="24"/>
        </w:rPr>
        <w:t xml:space="preserve"> and BOEM-0139</w:t>
      </w:r>
      <w:r w:rsidR="000130C9">
        <w:rPr>
          <w:rFonts w:ascii="Times New Roman" w:hAnsi="Times New Roman" w:eastAsia="Times New Roman" w:cs="Times New Roman"/>
          <w:b/>
          <w:i/>
          <w:color w:val="030303"/>
          <w:spacing w:val="2"/>
          <w:sz w:val="24"/>
          <w:szCs w:val="24"/>
        </w:rPr>
        <w:t xml:space="preserve"> (DOCD/DPP – Air Quality)</w:t>
      </w:r>
      <w:r w:rsidRPr="00D7577B">
        <w:rPr>
          <w:rFonts w:ascii="Times New Roman" w:hAnsi="Times New Roman" w:eastAsia="Times New Roman" w:cs="Times New Roman"/>
          <w:b/>
          <w:i/>
          <w:color w:val="030303"/>
          <w:spacing w:val="2"/>
          <w:sz w:val="24"/>
          <w:szCs w:val="24"/>
        </w:rPr>
        <w:t>:</w:t>
      </w:r>
      <w:r w:rsidRPr="00D7577B" w:rsidR="000E4EB9">
        <w:rPr>
          <w:rFonts w:ascii="Times New Roman" w:hAnsi="Times New Roman" w:eastAsia="Times New Roman" w:cs="Times New Roman"/>
          <w:snapToGrid w:val="0"/>
          <w:sz w:val="24"/>
          <w:szCs w:val="24"/>
        </w:rPr>
        <w:t xml:space="preserve"> These forms are </w:t>
      </w:r>
      <w:r w:rsidRPr="00D7577B" w:rsidR="00DE0CE0">
        <w:rPr>
          <w:rFonts w:ascii="Times New Roman" w:hAnsi="Times New Roman" w:eastAsia="Times New Roman" w:cs="Times New Roman"/>
          <w:snapToGrid w:val="0"/>
          <w:sz w:val="24"/>
          <w:szCs w:val="24"/>
        </w:rPr>
        <w:t>designed</w:t>
      </w:r>
      <w:r w:rsidRPr="00D7577B" w:rsidR="000E4EB9">
        <w:rPr>
          <w:rFonts w:ascii="Times New Roman" w:hAnsi="Times New Roman" w:eastAsia="Times New Roman" w:cs="Times New Roman"/>
          <w:snapToGrid w:val="0"/>
          <w:sz w:val="24"/>
          <w:szCs w:val="24"/>
        </w:rPr>
        <w:t xml:space="preserve"> to standardize the way potential air emissions are estimated and approved as part of the OCS plan.  These forms are intended to be thorough but flexible to meet the needs of different lessees and operators.  BOEM uses the data from these forms to determine the effect of air emissions on the environment.  These forms consist of:</w:t>
      </w:r>
    </w:p>
    <w:p w:rsidRPr="00D7577B" w:rsidR="00663DBD" w:rsidP="000E4EB9" w:rsidRDefault="00663DBD" w14:paraId="36836EAD" w14:textId="77777777">
      <w:pPr>
        <w:pStyle w:val="ListParagraph"/>
        <w:numPr>
          <w:ilvl w:val="0"/>
          <w:numId w:val="7"/>
        </w:numPr>
        <w:tabs>
          <w:tab w:val="left" w:pos="-1080"/>
          <w:tab w:val="left" w:pos="-720"/>
          <w:tab w:val="left" w:pos="360"/>
          <w:tab w:val="left" w:pos="720"/>
        </w:tabs>
        <w:spacing w:after="0" w:line="240" w:lineRule="auto"/>
        <w:rPr>
          <w:rFonts w:ascii="Times New Roman" w:hAnsi="Times New Roman" w:eastAsia="Times New Roman" w:cs="Times New Roman"/>
          <w:snapToGrid w:val="0"/>
          <w:sz w:val="24"/>
          <w:szCs w:val="24"/>
        </w:rPr>
      </w:pPr>
      <w:r w:rsidRPr="00D7577B">
        <w:rPr>
          <w:rFonts w:ascii="Times New Roman" w:hAnsi="Times New Roman" w:eastAsia="Times New Roman" w:cs="Times New Roman"/>
          <w:snapToGrid w:val="0"/>
          <w:sz w:val="24"/>
          <w:szCs w:val="24"/>
        </w:rPr>
        <w:t>title, factors, emissions page</w:t>
      </w:r>
      <w:r w:rsidR="000130C9">
        <w:rPr>
          <w:rFonts w:ascii="Times New Roman" w:hAnsi="Times New Roman" w:eastAsia="Times New Roman" w:cs="Times New Roman"/>
          <w:snapToGrid w:val="0"/>
          <w:sz w:val="24"/>
          <w:szCs w:val="24"/>
        </w:rPr>
        <w:t>s</w:t>
      </w:r>
      <w:r w:rsidRPr="00D7577B">
        <w:rPr>
          <w:rFonts w:ascii="Times New Roman" w:hAnsi="Times New Roman" w:eastAsia="Times New Roman" w:cs="Times New Roman"/>
          <w:snapToGrid w:val="0"/>
          <w:sz w:val="24"/>
          <w:szCs w:val="24"/>
        </w:rPr>
        <w:t>,</w:t>
      </w:r>
    </w:p>
    <w:p w:rsidRPr="00D7577B" w:rsidR="000E4EB9" w:rsidP="000E4EB9" w:rsidRDefault="00663DBD" w14:paraId="6B39A7B4" w14:textId="77777777">
      <w:pPr>
        <w:pStyle w:val="ListParagraph"/>
        <w:numPr>
          <w:ilvl w:val="0"/>
          <w:numId w:val="7"/>
        </w:numPr>
        <w:tabs>
          <w:tab w:val="left" w:pos="-1080"/>
          <w:tab w:val="left" w:pos="-720"/>
          <w:tab w:val="left" w:pos="360"/>
          <w:tab w:val="left" w:pos="720"/>
        </w:tabs>
        <w:spacing w:after="0" w:line="240" w:lineRule="auto"/>
        <w:rPr>
          <w:rFonts w:ascii="Times New Roman" w:hAnsi="Times New Roman" w:eastAsia="Times New Roman" w:cs="Times New Roman"/>
          <w:snapToGrid w:val="0"/>
          <w:sz w:val="24"/>
          <w:szCs w:val="24"/>
        </w:rPr>
      </w:pPr>
      <w:r w:rsidRPr="00D7577B">
        <w:rPr>
          <w:rFonts w:ascii="Times New Roman" w:hAnsi="Times New Roman" w:eastAsia="Times New Roman" w:cs="Times New Roman"/>
          <w:snapToGrid w:val="0"/>
          <w:sz w:val="24"/>
          <w:szCs w:val="24"/>
        </w:rPr>
        <w:t>s</w:t>
      </w:r>
      <w:r w:rsidRPr="00D7577B" w:rsidR="000E4EB9">
        <w:rPr>
          <w:rFonts w:ascii="Times New Roman" w:hAnsi="Times New Roman" w:eastAsia="Times New Roman" w:cs="Times New Roman"/>
          <w:snapToGrid w:val="0"/>
          <w:sz w:val="24"/>
          <w:szCs w:val="24"/>
        </w:rPr>
        <w:t>ummary page that describes and calculates the estimat</w:t>
      </w:r>
      <w:r w:rsidRPr="00D7577B">
        <w:rPr>
          <w:rFonts w:ascii="Times New Roman" w:hAnsi="Times New Roman" w:eastAsia="Times New Roman" w:cs="Times New Roman"/>
          <w:snapToGrid w:val="0"/>
          <w:sz w:val="24"/>
          <w:szCs w:val="24"/>
        </w:rPr>
        <w:t>ed emissions from an activity,</w:t>
      </w:r>
    </w:p>
    <w:p w:rsidRPr="00D7577B" w:rsidR="00663DBD" w:rsidP="00663DBD" w:rsidRDefault="00663DBD" w14:paraId="1DE3A1D3" w14:textId="77777777">
      <w:pPr>
        <w:pStyle w:val="ListParagraph"/>
        <w:numPr>
          <w:ilvl w:val="0"/>
          <w:numId w:val="1"/>
        </w:numPr>
        <w:spacing w:after="0" w:line="240" w:lineRule="auto"/>
        <w:ind w:right="-40"/>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a list of appropriate emissions factors to be used in calculating the proposed air emissions for various types of equipment,</w:t>
      </w:r>
    </w:p>
    <w:p w:rsidRPr="00D7577B" w:rsidR="00663DBD" w:rsidP="00663DBD" w:rsidRDefault="00663DBD" w14:paraId="40C3D1D3" w14:textId="77777777">
      <w:pPr>
        <w:pStyle w:val="ListParagraph"/>
        <w:numPr>
          <w:ilvl w:val="0"/>
          <w:numId w:val="1"/>
        </w:numPr>
        <w:spacing w:after="0" w:line="240" w:lineRule="auto"/>
        <w:ind w:right="-40"/>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a list of key operational activities, such as drilling or facility installation,</w:t>
      </w:r>
    </w:p>
    <w:p w:rsidRPr="00D7577B" w:rsidR="00663DBD" w:rsidP="00663DBD" w:rsidRDefault="00663DBD" w14:paraId="33557201" w14:textId="77777777">
      <w:pPr>
        <w:pStyle w:val="ListParagraph"/>
        <w:numPr>
          <w:ilvl w:val="0"/>
          <w:numId w:val="1"/>
        </w:numPr>
        <w:spacing w:after="0" w:line="240" w:lineRule="auto"/>
        <w:ind w:right="-40"/>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location information applicable to all fixed facilities,</w:t>
      </w:r>
    </w:p>
    <w:p w:rsidRPr="00D7577B" w:rsidR="00663DBD" w:rsidP="00663DBD" w:rsidRDefault="00663DBD" w14:paraId="70036ED8" w14:textId="77777777">
      <w:pPr>
        <w:pStyle w:val="ListParagraph"/>
        <w:numPr>
          <w:ilvl w:val="0"/>
          <w:numId w:val="1"/>
        </w:numPr>
        <w:spacing w:after="0" w:line="240" w:lineRule="auto"/>
        <w:ind w:right="-40"/>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information on fuel consumption,</w:t>
      </w:r>
    </w:p>
    <w:p w:rsidRPr="00D7577B" w:rsidR="00663DBD" w:rsidP="00663DBD" w:rsidRDefault="00663DBD" w14:paraId="4EC0568B" w14:textId="77777777">
      <w:pPr>
        <w:pStyle w:val="ListParagraph"/>
        <w:numPr>
          <w:ilvl w:val="0"/>
          <w:numId w:val="1"/>
        </w:numPr>
        <w:spacing w:after="0" w:line="240" w:lineRule="auto"/>
        <w:ind w:right="-40"/>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a distribution of estimated air pollutant outputs, by type of activity and type of equipment, and</w:t>
      </w:r>
    </w:p>
    <w:p w:rsidRPr="00D7577B" w:rsidR="00663DBD" w:rsidP="00663DBD" w:rsidRDefault="00663DBD" w14:paraId="43C4F8EC" w14:textId="2FE1A2D4">
      <w:pPr>
        <w:pStyle w:val="ListParagraph"/>
        <w:numPr>
          <w:ilvl w:val="0"/>
          <w:numId w:val="1"/>
        </w:numPr>
        <w:spacing w:after="0" w:line="240" w:lineRule="auto"/>
        <w:ind w:right="-40"/>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respondents are asked to categorize emissions into factors (</w:t>
      </w:r>
      <w:r w:rsidR="000130C9">
        <w:rPr>
          <w:rFonts w:ascii="Times New Roman" w:hAnsi="Times New Roman" w:eastAsia="Times New Roman" w:cs="Times New Roman"/>
          <w:color w:val="030303"/>
          <w:spacing w:val="2"/>
          <w:sz w:val="24"/>
          <w:szCs w:val="24"/>
        </w:rPr>
        <w:t xml:space="preserve">such as </w:t>
      </w:r>
      <w:r w:rsidRPr="00D7577B">
        <w:rPr>
          <w:rFonts w:ascii="Times New Roman" w:hAnsi="Times New Roman" w:eastAsia="Times New Roman" w:cs="Times New Roman"/>
          <w:color w:val="030303"/>
          <w:spacing w:val="2"/>
          <w:sz w:val="24"/>
          <w:szCs w:val="24"/>
        </w:rPr>
        <w:t xml:space="preserve">natural gas prime movers, diesel-fired prime movers, heaters/boilers/firetubes/NG-fired, gas flares, liquid </w:t>
      </w:r>
      <w:r w:rsidRPr="00D7577B">
        <w:rPr>
          <w:rFonts w:ascii="Times New Roman" w:hAnsi="Times New Roman" w:eastAsia="Times New Roman" w:cs="Times New Roman"/>
          <w:color w:val="030303"/>
          <w:spacing w:val="2"/>
          <w:sz w:val="24"/>
          <w:szCs w:val="24"/>
        </w:rPr>
        <w:lastRenderedPageBreak/>
        <w:t>flares</w:t>
      </w:r>
      <w:r w:rsidR="005B4139">
        <w:rPr>
          <w:rFonts w:ascii="Times New Roman" w:hAnsi="Times New Roman" w:eastAsia="Times New Roman" w:cs="Times New Roman"/>
          <w:color w:val="030303"/>
          <w:spacing w:val="2"/>
          <w:sz w:val="24"/>
          <w:szCs w:val="24"/>
        </w:rPr>
        <w:t xml:space="preserve"> with added smoke level categories</w:t>
      </w:r>
      <w:r w:rsidRPr="00D7577B">
        <w:rPr>
          <w:rFonts w:ascii="Times New Roman" w:hAnsi="Times New Roman" w:eastAsia="Times New Roman" w:cs="Times New Roman"/>
          <w:color w:val="030303"/>
          <w:spacing w:val="2"/>
          <w:sz w:val="24"/>
          <w:szCs w:val="24"/>
        </w:rPr>
        <w:t>, tanks, fugitives, glycol dehydrator vent, and gas venting).</w:t>
      </w:r>
    </w:p>
    <w:p w:rsidRPr="00D7577B" w:rsidR="00663DBD" w:rsidP="00A03B38" w:rsidRDefault="00663DBD" w14:paraId="768E5B2F" w14:textId="77777777">
      <w:pPr>
        <w:spacing w:after="0" w:line="240" w:lineRule="auto"/>
        <w:ind w:right="-40" w:hanging="5"/>
        <w:rPr>
          <w:rFonts w:ascii="Times New Roman" w:hAnsi="Times New Roman" w:eastAsia="Times New Roman" w:cs="Times New Roman"/>
          <w:b/>
          <w:color w:val="030303"/>
          <w:spacing w:val="2"/>
          <w:sz w:val="24"/>
          <w:szCs w:val="24"/>
        </w:rPr>
      </w:pPr>
    </w:p>
    <w:p w:rsidRPr="000130C9" w:rsidR="000130C9" w:rsidP="000130C9" w:rsidRDefault="000130C9" w14:paraId="4E4D1807" w14:textId="77777777">
      <w:pPr>
        <w:spacing w:after="0" w:line="240" w:lineRule="auto"/>
        <w:ind w:right="-40"/>
        <w:rPr>
          <w:rFonts w:ascii="Times New Roman" w:hAnsi="Times New Roman" w:eastAsia="Times New Roman" w:cs="Times New Roman"/>
          <w:color w:val="030303"/>
          <w:spacing w:val="2"/>
          <w:sz w:val="24"/>
          <w:szCs w:val="24"/>
        </w:rPr>
      </w:pPr>
      <w:r>
        <w:rPr>
          <w:rFonts w:ascii="Times New Roman" w:hAnsi="Times New Roman" w:eastAsia="Times New Roman" w:cs="Times New Roman"/>
          <w:color w:val="030303"/>
          <w:spacing w:val="2"/>
          <w:sz w:val="24"/>
          <w:szCs w:val="24"/>
        </w:rPr>
        <w:t xml:space="preserve">The final rulemaking </w:t>
      </w:r>
      <w:r w:rsidRPr="000130C9">
        <w:rPr>
          <w:rFonts w:ascii="Times New Roman" w:hAnsi="Times New Roman" w:eastAsia="Times New Roman" w:cs="Times New Roman"/>
          <w:color w:val="030303"/>
          <w:spacing w:val="2"/>
          <w:sz w:val="24"/>
          <w:szCs w:val="24"/>
        </w:rPr>
        <w:t>is updating the spreadsheets with emissions factors for new types of equipment that are not currently listed (particularly those relevant to operations on the Alaska OCS).  BOEM is also modifying the spreadsheet data requirements consistent with the regulations as amended</w:t>
      </w:r>
      <w:r>
        <w:rPr>
          <w:rFonts w:ascii="Times New Roman" w:hAnsi="Times New Roman" w:eastAsia="Times New Roman" w:cs="Times New Roman"/>
          <w:color w:val="030303"/>
          <w:spacing w:val="2"/>
          <w:sz w:val="24"/>
          <w:szCs w:val="24"/>
        </w:rPr>
        <w:t xml:space="preserve">.  </w:t>
      </w:r>
      <w:r w:rsidRPr="000130C9">
        <w:rPr>
          <w:rFonts w:ascii="Times New Roman" w:hAnsi="Times New Roman" w:eastAsia="Times New Roman" w:cs="Times New Roman"/>
          <w:color w:val="030303"/>
          <w:spacing w:val="2"/>
          <w:sz w:val="24"/>
          <w:szCs w:val="24"/>
        </w:rPr>
        <w:t>As part of this rulemaking, the air quality spreadsheets are being updated with newer, more up-to-date emissions factors to more accurately assess the emissions being emitted by equipment used by OCS lessees and operators and to evaluate the emissions for lead, PM</w:t>
      </w:r>
      <w:r w:rsidRPr="000130C9">
        <w:rPr>
          <w:rFonts w:ascii="Times New Roman" w:hAnsi="Times New Roman" w:eastAsia="Times New Roman" w:cs="Times New Roman"/>
          <w:color w:val="030303"/>
          <w:spacing w:val="2"/>
          <w:sz w:val="24"/>
          <w:szCs w:val="24"/>
          <w:vertAlign w:val="subscript"/>
        </w:rPr>
        <w:t>2.5</w:t>
      </w:r>
      <w:r w:rsidRPr="000130C9">
        <w:rPr>
          <w:rFonts w:ascii="Times New Roman" w:hAnsi="Times New Roman" w:eastAsia="Times New Roman" w:cs="Times New Roman"/>
          <w:color w:val="030303"/>
          <w:spacing w:val="2"/>
          <w:sz w:val="24"/>
          <w:szCs w:val="24"/>
        </w:rPr>
        <w:t>, PM</w:t>
      </w:r>
      <w:r w:rsidRPr="000130C9">
        <w:rPr>
          <w:rFonts w:ascii="Times New Roman" w:hAnsi="Times New Roman" w:eastAsia="Times New Roman" w:cs="Times New Roman"/>
          <w:color w:val="030303"/>
          <w:spacing w:val="2"/>
          <w:sz w:val="24"/>
          <w:szCs w:val="24"/>
          <w:vertAlign w:val="subscript"/>
        </w:rPr>
        <w:t>10</w:t>
      </w:r>
      <w:r w:rsidRPr="000130C9">
        <w:rPr>
          <w:rFonts w:ascii="Times New Roman" w:hAnsi="Times New Roman" w:eastAsia="Times New Roman" w:cs="Times New Roman"/>
          <w:color w:val="030303"/>
          <w:spacing w:val="2"/>
          <w:sz w:val="24"/>
          <w:szCs w:val="24"/>
        </w:rPr>
        <w:t>, TSP, and ammonia.</w:t>
      </w:r>
    </w:p>
    <w:p w:rsidRPr="000130C9" w:rsidR="001513C2" w:rsidP="000130C9" w:rsidRDefault="001513C2" w14:paraId="7E9FAB6B" w14:textId="77777777">
      <w:pPr>
        <w:spacing w:after="0" w:line="240" w:lineRule="auto"/>
        <w:ind w:right="-40"/>
        <w:rPr>
          <w:rFonts w:ascii="Times New Roman" w:hAnsi="Times New Roman" w:eastAsia="Times New Roman" w:cs="Times New Roman"/>
          <w:color w:val="030303"/>
          <w:spacing w:val="2"/>
          <w:sz w:val="24"/>
          <w:szCs w:val="24"/>
          <w:highlight w:val="yellow"/>
        </w:rPr>
      </w:pPr>
    </w:p>
    <w:p w:rsidRPr="00D7577B" w:rsidR="00CB6055" w:rsidP="002A7D91" w:rsidRDefault="001513C2" w14:paraId="4E8010C5" w14:textId="77777777">
      <w:pPr>
        <w:spacing w:after="0" w:line="240" w:lineRule="auto"/>
        <w:ind w:right="-40"/>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BOEM</w:t>
      </w:r>
      <w:r w:rsidRPr="00D7577B" w:rsidR="00CB6055">
        <w:rPr>
          <w:rFonts w:ascii="Times New Roman" w:hAnsi="Times New Roman" w:eastAsia="Times New Roman" w:cs="Times New Roman"/>
          <w:color w:val="030303"/>
          <w:spacing w:val="2"/>
          <w:sz w:val="24"/>
          <w:szCs w:val="24"/>
        </w:rPr>
        <w:t xml:space="preserve"> </w:t>
      </w:r>
      <w:r w:rsidRPr="00D7577B" w:rsidR="006A15D4">
        <w:rPr>
          <w:rFonts w:ascii="Times New Roman" w:hAnsi="Times New Roman" w:eastAsia="Times New Roman" w:cs="Times New Roman"/>
          <w:color w:val="030303"/>
          <w:spacing w:val="2"/>
          <w:sz w:val="24"/>
          <w:szCs w:val="24"/>
        </w:rPr>
        <w:t xml:space="preserve">worked </w:t>
      </w:r>
      <w:r w:rsidRPr="00D7577B">
        <w:rPr>
          <w:rFonts w:ascii="Times New Roman" w:hAnsi="Times New Roman" w:eastAsia="Times New Roman" w:cs="Times New Roman"/>
          <w:color w:val="030303"/>
          <w:spacing w:val="2"/>
          <w:sz w:val="24"/>
          <w:szCs w:val="24"/>
        </w:rPr>
        <w:t xml:space="preserve">with a contractor to revise the forms to provide automated calculations after data entry. </w:t>
      </w:r>
      <w:r w:rsidRPr="00D7577B" w:rsidR="001563D7">
        <w:rPr>
          <w:rFonts w:ascii="Times New Roman" w:hAnsi="Times New Roman" w:eastAsia="Times New Roman" w:cs="Times New Roman"/>
          <w:spacing w:val="2"/>
          <w:sz w:val="24"/>
          <w:szCs w:val="24"/>
        </w:rPr>
        <w:t>T</w:t>
      </w:r>
      <w:r w:rsidRPr="00D7577B" w:rsidR="00045DB4">
        <w:rPr>
          <w:rFonts w:ascii="Times New Roman" w:hAnsi="Times New Roman" w:eastAsia="Times New Roman" w:cs="Times New Roman"/>
          <w:spacing w:val="2"/>
          <w:sz w:val="24"/>
          <w:szCs w:val="24"/>
        </w:rPr>
        <w:t xml:space="preserve">he </w:t>
      </w:r>
      <w:r w:rsidRPr="00D7577B" w:rsidR="00DE0CE0">
        <w:rPr>
          <w:rFonts w:ascii="Times New Roman" w:hAnsi="Times New Roman" w:eastAsia="Times New Roman" w:cs="Times New Roman"/>
          <w:spacing w:val="2"/>
          <w:sz w:val="24"/>
          <w:szCs w:val="24"/>
        </w:rPr>
        <w:t>modifications to the forms do not</w:t>
      </w:r>
      <w:r w:rsidRPr="00D7577B" w:rsidR="002A7D91">
        <w:rPr>
          <w:rFonts w:ascii="Times New Roman" w:hAnsi="Times New Roman" w:eastAsia="Times New Roman" w:cs="Times New Roman"/>
          <w:spacing w:val="2"/>
          <w:sz w:val="24"/>
          <w:szCs w:val="24"/>
        </w:rPr>
        <w:t xml:space="preserve"> increase </w:t>
      </w:r>
      <w:r w:rsidRPr="00D7577B" w:rsidR="00045DB4">
        <w:rPr>
          <w:rFonts w:ascii="Times New Roman" w:hAnsi="Times New Roman" w:eastAsia="Times New Roman" w:cs="Times New Roman"/>
          <w:spacing w:val="2"/>
          <w:sz w:val="24"/>
          <w:szCs w:val="24"/>
        </w:rPr>
        <w:t>the currently approved hour burdens for plan submission</w:t>
      </w:r>
      <w:r w:rsidRPr="00D7577B" w:rsidR="0064782B">
        <w:rPr>
          <w:rFonts w:ascii="Times New Roman" w:hAnsi="Times New Roman" w:eastAsia="Times New Roman" w:cs="Times New Roman"/>
          <w:spacing w:val="2"/>
          <w:sz w:val="24"/>
          <w:szCs w:val="24"/>
        </w:rPr>
        <w:t>s</w:t>
      </w:r>
      <w:r w:rsidRPr="00D7577B" w:rsidR="00127215">
        <w:rPr>
          <w:rFonts w:ascii="Times New Roman" w:hAnsi="Times New Roman" w:eastAsia="Times New Roman" w:cs="Times New Roman"/>
          <w:spacing w:val="2"/>
          <w:sz w:val="24"/>
          <w:szCs w:val="24"/>
        </w:rPr>
        <w:t xml:space="preserve">. </w:t>
      </w:r>
    </w:p>
    <w:p w:rsidRPr="00D7577B" w:rsidR="00CB6055" w:rsidP="002A7D91" w:rsidRDefault="00CB6055" w14:paraId="22103ACC" w14:textId="77777777">
      <w:pPr>
        <w:spacing w:after="0" w:line="240" w:lineRule="auto"/>
        <w:ind w:right="-40"/>
        <w:rPr>
          <w:rFonts w:ascii="Times New Roman" w:hAnsi="Times New Roman" w:eastAsia="Times New Roman" w:cs="Times New Roman"/>
          <w:spacing w:val="2"/>
          <w:sz w:val="24"/>
          <w:szCs w:val="24"/>
        </w:rPr>
      </w:pPr>
    </w:p>
    <w:p w:rsidRPr="00D7577B" w:rsidR="00B25BFA" w:rsidP="00B25BFA" w:rsidRDefault="00B25BFA" w14:paraId="63AC66CB" w14:textId="77777777">
      <w:pPr>
        <w:spacing w:after="0" w:line="240" w:lineRule="auto"/>
        <w:ind w:right="-40"/>
        <w:rPr>
          <w:rFonts w:ascii="Times New Roman" w:hAnsi="Times New Roman" w:eastAsia="Times New Roman" w:cs="Times New Roman"/>
          <w:spacing w:val="2"/>
          <w:sz w:val="24"/>
          <w:szCs w:val="24"/>
        </w:rPr>
      </w:pPr>
      <w:r w:rsidRPr="00D7577B">
        <w:rPr>
          <w:rFonts w:ascii="Times New Roman" w:hAnsi="Times New Roman" w:eastAsia="Times New Roman" w:cs="Times New Roman"/>
          <w:spacing w:val="2"/>
          <w:sz w:val="24"/>
          <w:szCs w:val="24"/>
        </w:rPr>
        <w:t>The following forms submitted to BOEM under Subpart B are not being modified with the final rulemaking</w:t>
      </w:r>
      <w:r w:rsidR="00F47D05">
        <w:rPr>
          <w:rFonts w:ascii="Times New Roman" w:hAnsi="Times New Roman" w:eastAsia="Times New Roman" w:cs="Times New Roman"/>
          <w:spacing w:val="2"/>
          <w:sz w:val="24"/>
          <w:szCs w:val="24"/>
        </w:rPr>
        <w:t>, and will remain as previously approved by OMB:</w:t>
      </w:r>
    </w:p>
    <w:p w:rsidRPr="00D7577B" w:rsidR="00B25BFA" w:rsidP="00B25BFA" w:rsidRDefault="00B25BFA" w14:paraId="67F06CE9" w14:textId="77777777">
      <w:pPr>
        <w:spacing w:after="0" w:line="240" w:lineRule="auto"/>
        <w:ind w:right="-40"/>
        <w:rPr>
          <w:rFonts w:ascii="Times New Roman" w:hAnsi="Times New Roman" w:eastAsia="Times New Roman" w:cs="Times New Roman"/>
          <w:spacing w:val="2"/>
          <w:sz w:val="24"/>
          <w:szCs w:val="24"/>
        </w:rPr>
      </w:pPr>
    </w:p>
    <w:p w:rsidRPr="00D7577B" w:rsidR="00B25BFA" w:rsidP="00B25BFA" w:rsidRDefault="00B25BFA" w14:paraId="0D8F0775" w14:textId="77777777">
      <w:pPr>
        <w:spacing w:after="0" w:line="240" w:lineRule="auto"/>
        <w:ind w:right="-40"/>
        <w:rPr>
          <w:rFonts w:ascii="Times New Roman" w:hAnsi="Times New Roman" w:eastAsia="Times New Roman" w:cs="Times New Roman"/>
          <w:spacing w:val="2"/>
          <w:sz w:val="24"/>
          <w:szCs w:val="24"/>
        </w:rPr>
      </w:pPr>
      <w:r w:rsidRPr="00D7577B">
        <w:rPr>
          <w:rFonts w:ascii="Times New Roman" w:hAnsi="Times New Roman" w:eastAsia="Times New Roman" w:cs="Times New Roman"/>
          <w:b/>
          <w:i/>
          <w:spacing w:val="2"/>
          <w:sz w:val="24"/>
          <w:szCs w:val="24"/>
        </w:rPr>
        <w:t>BOEM-0137—Plan Information Form</w:t>
      </w:r>
      <w:r w:rsidRPr="00D7577B">
        <w:rPr>
          <w:rFonts w:ascii="Times New Roman" w:hAnsi="Times New Roman" w:eastAsia="Times New Roman" w:cs="Times New Roman"/>
          <w:spacing w:val="2"/>
          <w:sz w:val="24"/>
          <w:szCs w:val="24"/>
        </w:rPr>
        <w:t xml:space="preserve"> is submitted to summarize plan information. BOEM uses the information to assist in data entry and review of submitted OCS plans.  </w:t>
      </w:r>
    </w:p>
    <w:p w:rsidRPr="00D7577B" w:rsidR="00B25BFA" w:rsidP="00B25BFA" w:rsidRDefault="00B25BFA" w14:paraId="431DBAB1" w14:textId="77777777">
      <w:pPr>
        <w:spacing w:after="0" w:line="240" w:lineRule="auto"/>
        <w:ind w:right="-40"/>
        <w:rPr>
          <w:rFonts w:ascii="Times New Roman" w:hAnsi="Times New Roman" w:eastAsia="Times New Roman" w:cs="Times New Roman"/>
          <w:spacing w:val="2"/>
          <w:sz w:val="24"/>
          <w:szCs w:val="24"/>
        </w:rPr>
      </w:pPr>
    </w:p>
    <w:p w:rsidRPr="00D7577B" w:rsidR="00B25BFA" w:rsidP="00B25BFA" w:rsidRDefault="00B25BFA" w14:paraId="668FF210" w14:textId="77777777">
      <w:pPr>
        <w:spacing w:after="0" w:line="240" w:lineRule="auto"/>
        <w:ind w:right="-40"/>
        <w:rPr>
          <w:rFonts w:ascii="Times New Roman" w:hAnsi="Times New Roman" w:eastAsia="Times New Roman" w:cs="Times New Roman"/>
          <w:spacing w:val="2"/>
          <w:sz w:val="24"/>
          <w:szCs w:val="24"/>
        </w:rPr>
      </w:pPr>
      <w:r w:rsidRPr="00D7577B">
        <w:rPr>
          <w:rFonts w:ascii="Times New Roman" w:hAnsi="Times New Roman" w:eastAsia="Times New Roman" w:cs="Times New Roman"/>
          <w:spacing w:val="2"/>
          <w:sz w:val="24"/>
          <w:szCs w:val="24"/>
        </w:rPr>
        <w:t>The form asks for, in either fill in the blanks or check marks:</w:t>
      </w:r>
    </w:p>
    <w:p w:rsidRPr="00D7577B" w:rsidR="00B25BFA" w:rsidP="00B25BFA" w:rsidRDefault="00B25BFA" w14:paraId="3B4640E1" w14:textId="77777777">
      <w:pPr>
        <w:spacing w:after="0" w:line="240" w:lineRule="auto"/>
        <w:ind w:right="-40"/>
        <w:rPr>
          <w:rFonts w:ascii="Times New Roman" w:hAnsi="Times New Roman" w:eastAsia="Times New Roman" w:cs="Times New Roman"/>
          <w:spacing w:val="2"/>
          <w:sz w:val="24"/>
          <w:szCs w:val="24"/>
        </w:rPr>
      </w:pPr>
      <w:r w:rsidRPr="00D7577B">
        <w:rPr>
          <w:rFonts w:ascii="Times New Roman" w:hAnsi="Times New Roman" w:eastAsia="Times New Roman" w:cs="Times New Roman"/>
          <w:spacing w:val="2"/>
          <w:sz w:val="24"/>
          <w:szCs w:val="24"/>
        </w:rPr>
        <w:tab/>
        <w:t>-general information relating to the company;</w:t>
      </w:r>
    </w:p>
    <w:p w:rsidRPr="00D7577B" w:rsidR="00B25BFA" w:rsidP="00B25BFA" w:rsidRDefault="00B25BFA" w14:paraId="1133D541" w14:textId="77777777">
      <w:pPr>
        <w:spacing w:after="0" w:line="240" w:lineRule="auto"/>
        <w:ind w:right="-40"/>
        <w:rPr>
          <w:rFonts w:ascii="Times New Roman" w:hAnsi="Times New Roman" w:eastAsia="Times New Roman" w:cs="Times New Roman"/>
          <w:spacing w:val="2"/>
          <w:sz w:val="24"/>
          <w:szCs w:val="24"/>
        </w:rPr>
      </w:pPr>
      <w:r w:rsidRPr="00D7577B">
        <w:rPr>
          <w:rFonts w:ascii="Times New Roman" w:hAnsi="Times New Roman" w:eastAsia="Times New Roman" w:cs="Times New Roman"/>
          <w:spacing w:val="2"/>
          <w:sz w:val="24"/>
          <w:szCs w:val="24"/>
        </w:rPr>
        <w:tab/>
        <w:t>-description of proposed activities;</w:t>
      </w:r>
    </w:p>
    <w:p w:rsidRPr="00D7577B" w:rsidR="00B25BFA" w:rsidP="00B25BFA" w:rsidRDefault="00B25BFA" w14:paraId="0C88C61B" w14:textId="77777777">
      <w:pPr>
        <w:spacing w:after="0" w:line="240" w:lineRule="auto"/>
        <w:ind w:right="-40"/>
        <w:rPr>
          <w:rFonts w:ascii="Times New Roman" w:hAnsi="Times New Roman" w:eastAsia="Times New Roman" w:cs="Times New Roman"/>
          <w:spacing w:val="2"/>
          <w:sz w:val="24"/>
          <w:szCs w:val="24"/>
        </w:rPr>
      </w:pPr>
      <w:r w:rsidRPr="00D7577B">
        <w:rPr>
          <w:rFonts w:ascii="Times New Roman" w:hAnsi="Times New Roman" w:eastAsia="Times New Roman" w:cs="Times New Roman"/>
          <w:spacing w:val="2"/>
          <w:sz w:val="24"/>
          <w:szCs w:val="24"/>
        </w:rPr>
        <w:tab/>
        <w:t>-tentative schedule of proposed activities;</w:t>
      </w:r>
    </w:p>
    <w:p w:rsidRPr="00D7577B" w:rsidR="00B25BFA" w:rsidP="00B25BFA" w:rsidRDefault="00B25BFA" w14:paraId="7624A2B7" w14:textId="77777777">
      <w:pPr>
        <w:spacing w:after="0" w:line="240" w:lineRule="auto"/>
        <w:ind w:right="-40"/>
        <w:rPr>
          <w:rFonts w:ascii="Times New Roman" w:hAnsi="Times New Roman" w:eastAsia="Times New Roman" w:cs="Times New Roman"/>
          <w:spacing w:val="2"/>
          <w:sz w:val="24"/>
          <w:szCs w:val="24"/>
        </w:rPr>
      </w:pPr>
      <w:r w:rsidRPr="00D7577B">
        <w:rPr>
          <w:rFonts w:ascii="Times New Roman" w:hAnsi="Times New Roman" w:eastAsia="Times New Roman" w:cs="Times New Roman"/>
          <w:spacing w:val="2"/>
          <w:sz w:val="24"/>
          <w:szCs w:val="24"/>
        </w:rPr>
        <w:tab/>
        <w:t>-description(s) of drilling rig, production platform, lease term pipelines;</w:t>
      </w:r>
    </w:p>
    <w:p w:rsidRPr="00D7577B" w:rsidR="00B25BFA" w:rsidP="00B25BFA" w:rsidRDefault="00B25BFA" w14:paraId="76834D6C" w14:textId="77777777">
      <w:pPr>
        <w:spacing w:after="0" w:line="240" w:lineRule="auto"/>
        <w:ind w:right="-40"/>
        <w:rPr>
          <w:rFonts w:ascii="Times New Roman" w:hAnsi="Times New Roman" w:eastAsia="Times New Roman" w:cs="Times New Roman"/>
          <w:spacing w:val="2"/>
          <w:sz w:val="24"/>
          <w:szCs w:val="24"/>
        </w:rPr>
      </w:pPr>
      <w:r w:rsidRPr="00D7577B">
        <w:rPr>
          <w:rFonts w:ascii="Times New Roman" w:hAnsi="Times New Roman" w:eastAsia="Times New Roman" w:cs="Times New Roman"/>
          <w:spacing w:val="2"/>
          <w:sz w:val="24"/>
          <w:szCs w:val="24"/>
        </w:rPr>
        <w:tab/>
        <w:t>-proposed well structure location; and</w:t>
      </w:r>
    </w:p>
    <w:p w:rsidRPr="00D7577B" w:rsidR="00B25BFA" w:rsidP="00B25BFA" w:rsidRDefault="00B25BFA" w14:paraId="263E2DAF" w14:textId="77777777">
      <w:pPr>
        <w:spacing w:after="0" w:line="240" w:lineRule="auto"/>
        <w:ind w:right="-40"/>
        <w:rPr>
          <w:rFonts w:ascii="Times New Roman" w:hAnsi="Times New Roman" w:eastAsia="Times New Roman" w:cs="Times New Roman"/>
          <w:spacing w:val="2"/>
          <w:sz w:val="24"/>
          <w:szCs w:val="24"/>
        </w:rPr>
      </w:pPr>
      <w:r w:rsidRPr="00D7577B">
        <w:rPr>
          <w:rFonts w:ascii="Times New Roman" w:hAnsi="Times New Roman" w:eastAsia="Times New Roman" w:cs="Times New Roman"/>
          <w:spacing w:val="2"/>
          <w:sz w:val="24"/>
          <w:szCs w:val="24"/>
        </w:rPr>
        <w:tab/>
        <w:t>-anchor locations for drilling rig or construction barge.</w:t>
      </w:r>
    </w:p>
    <w:p w:rsidRPr="00D7577B" w:rsidR="00B25BFA" w:rsidP="00B25BFA" w:rsidRDefault="00B25BFA" w14:paraId="3A6B5962" w14:textId="77777777">
      <w:pPr>
        <w:spacing w:after="0" w:line="240" w:lineRule="auto"/>
        <w:ind w:right="-40"/>
        <w:rPr>
          <w:rFonts w:ascii="Times New Roman" w:hAnsi="Times New Roman" w:eastAsia="Times New Roman" w:cs="Times New Roman"/>
          <w:spacing w:val="2"/>
          <w:sz w:val="24"/>
          <w:szCs w:val="24"/>
        </w:rPr>
      </w:pPr>
    </w:p>
    <w:p w:rsidRPr="00D7577B" w:rsidR="00B25BFA" w:rsidP="00B25BFA" w:rsidRDefault="00B25BFA" w14:paraId="4350D107" w14:textId="77777777">
      <w:pPr>
        <w:spacing w:after="0" w:line="240" w:lineRule="auto"/>
        <w:ind w:right="-40"/>
        <w:rPr>
          <w:rFonts w:ascii="Times New Roman" w:hAnsi="Times New Roman" w:eastAsia="Times New Roman" w:cs="Times New Roman"/>
          <w:spacing w:val="2"/>
          <w:sz w:val="24"/>
          <w:szCs w:val="24"/>
        </w:rPr>
      </w:pPr>
      <w:r w:rsidRPr="00D7577B">
        <w:rPr>
          <w:rFonts w:ascii="Times New Roman" w:hAnsi="Times New Roman" w:eastAsia="Times New Roman" w:cs="Times New Roman"/>
          <w:b/>
          <w:i/>
          <w:spacing w:val="2"/>
          <w:sz w:val="24"/>
          <w:szCs w:val="24"/>
        </w:rPr>
        <w:t>BOEM-0141—ROV Survey Report</w:t>
      </w:r>
      <w:r w:rsidRPr="00D7577B">
        <w:rPr>
          <w:rFonts w:ascii="Times New Roman" w:hAnsi="Times New Roman" w:eastAsia="Times New Roman" w:cs="Times New Roman"/>
          <w:spacing w:val="2"/>
          <w:sz w:val="24"/>
          <w:szCs w:val="24"/>
        </w:rPr>
        <w:t xml:space="preserve"> is submitted to report the observations and information recorded from two sets of remotely operated vehicle (ROV) monitoring surveys to identify high-density benthic communities that may occur on the seafloor in deep water. The form asks respondents for general operator/facility information and a transect drawing of the survey pattern made by the ROV; a video tape (VHS) and transcript of what was visualized at the bottom throughout deployment (the form includes a guide to animal groups and a guide to physical features), and any additional imagery that helps depict bottom conditions.  We use the information when such areas are found to help design mitigation measures to avoid these areas and to help assess the effectiveness of avoidance criteria.  </w:t>
      </w:r>
    </w:p>
    <w:p w:rsidRPr="00D7577B" w:rsidR="00B25BFA" w:rsidP="00B25BFA" w:rsidRDefault="00B25BFA" w14:paraId="0E6FDDE0" w14:textId="77777777">
      <w:pPr>
        <w:spacing w:after="0" w:line="240" w:lineRule="auto"/>
        <w:ind w:right="-40"/>
        <w:rPr>
          <w:rFonts w:ascii="Times New Roman" w:hAnsi="Times New Roman" w:eastAsia="Times New Roman" w:cs="Times New Roman"/>
          <w:spacing w:val="2"/>
          <w:sz w:val="24"/>
          <w:szCs w:val="24"/>
        </w:rPr>
      </w:pPr>
      <w:r w:rsidRPr="00D7577B">
        <w:rPr>
          <w:rFonts w:ascii="Times New Roman" w:hAnsi="Times New Roman" w:eastAsia="Times New Roman" w:cs="Times New Roman"/>
          <w:spacing w:val="2"/>
          <w:sz w:val="24"/>
          <w:szCs w:val="24"/>
        </w:rPr>
        <w:tab/>
      </w:r>
    </w:p>
    <w:p w:rsidRPr="00D7577B" w:rsidR="00B25BFA" w:rsidP="00B25BFA" w:rsidRDefault="00B25BFA" w14:paraId="749F962A" w14:textId="77777777">
      <w:pPr>
        <w:spacing w:after="0" w:line="240" w:lineRule="auto"/>
        <w:ind w:right="-40"/>
        <w:rPr>
          <w:rFonts w:ascii="Times New Roman" w:hAnsi="Times New Roman" w:eastAsia="Times New Roman" w:cs="Times New Roman"/>
          <w:spacing w:val="2"/>
          <w:sz w:val="24"/>
          <w:szCs w:val="24"/>
        </w:rPr>
      </w:pPr>
      <w:r w:rsidRPr="00D7577B">
        <w:rPr>
          <w:rFonts w:ascii="Times New Roman" w:hAnsi="Times New Roman" w:eastAsia="Times New Roman" w:cs="Times New Roman"/>
          <w:b/>
          <w:i/>
          <w:spacing w:val="2"/>
          <w:sz w:val="24"/>
          <w:szCs w:val="24"/>
        </w:rPr>
        <w:t>BOEM-0142—Environmental Impact Analysis Worksheet</w:t>
      </w:r>
      <w:r w:rsidRPr="00D7577B">
        <w:rPr>
          <w:rFonts w:ascii="Times New Roman" w:hAnsi="Times New Roman" w:eastAsia="Times New Roman" w:cs="Times New Roman"/>
          <w:spacing w:val="2"/>
          <w:sz w:val="24"/>
          <w:szCs w:val="24"/>
        </w:rPr>
        <w:t xml:space="preserve"> is a fill-in-the-blank form that is submitted to identify the environmental impact-producing factors (IPFs) for the listed environmental resources.  We use the information to help assess impacts and determine compliance with the National Environmental Policy Act. Respondents are asked to fill in the blank by placing an “x” in the space under each IPF category associated with the proposed activity that may impact a particular environmental resource.  </w:t>
      </w:r>
    </w:p>
    <w:p w:rsidRPr="00D7577B" w:rsidR="00B25BFA" w:rsidP="002A7D91" w:rsidRDefault="00B25BFA" w14:paraId="2950C784" w14:textId="77777777">
      <w:pPr>
        <w:spacing w:after="0" w:line="240" w:lineRule="auto"/>
        <w:ind w:right="-40"/>
        <w:rPr>
          <w:rFonts w:ascii="Times New Roman" w:hAnsi="Times New Roman" w:eastAsia="Times New Roman" w:cs="Times New Roman"/>
          <w:spacing w:val="2"/>
          <w:sz w:val="24"/>
          <w:szCs w:val="24"/>
        </w:rPr>
      </w:pPr>
    </w:p>
    <w:p w:rsidRPr="00D7577B" w:rsidR="00B25BFA" w:rsidP="002A7D91" w:rsidRDefault="00B25BFA" w14:paraId="1B02C8FB" w14:textId="77777777">
      <w:pPr>
        <w:spacing w:after="0" w:line="240" w:lineRule="auto"/>
        <w:ind w:right="-40"/>
        <w:rPr>
          <w:rFonts w:ascii="Times New Roman" w:hAnsi="Times New Roman" w:eastAsia="Times New Roman" w:cs="Times New Roman"/>
          <w:spacing w:val="2"/>
          <w:sz w:val="24"/>
          <w:szCs w:val="24"/>
        </w:rPr>
      </w:pPr>
    </w:p>
    <w:p w:rsidRPr="00D7577B" w:rsidR="00F64F67" w:rsidP="00E6690C" w:rsidRDefault="00F64F67" w14:paraId="54E4F73C" w14:textId="77777777">
      <w:pPr>
        <w:spacing w:after="0" w:line="240" w:lineRule="auto"/>
        <w:ind w:right="-40"/>
        <w:rPr>
          <w:rFonts w:ascii="Times New Roman" w:hAnsi="Times New Roman" w:eastAsia="Times New Roman" w:cs="Times New Roman"/>
          <w:b/>
          <w:i/>
          <w:color w:val="030303"/>
          <w:spacing w:val="2"/>
          <w:sz w:val="24"/>
          <w:szCs w:val="24"/>
        </w:rPr>
      </w:pPr>
      <w:r w:rsidRPr="00D7577B">
        <w:rPr>
          <w:rFonts w:ascii="Times New Roman" w:hAnsi="Times New Roman" w:eastAsia="Times New Roman" w:cs="Times New Roman"/>
          <w:b/>
          <w:i/>
          <w:color w:val="030303"/>
          <w:spacing w:val="2"/>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w:t>
      </w:r>
      <w:r w:rsidRPr="00D7577B" w:rsidR="00E6690C">
        <w:rPr>
          <w:rFonts w:ascii="Times New Roman" w:hAnsi="Times New Roman" w:eastAsia="Times New Roman" w:cs="Times New Roman"/>
          <w:b/>
          <w:i/>
          <w:color w:val="030303"/>
          <w:spacing w:val="2"/>
          <w:sz w:val="24"/>
          <w:szCs w:val="24"/>
        </w:rPr>
        <w:t xml:space="preserve"> </w:t>
      </w:r>
      <w:r w:rsidRPr="00D7577B">
        <w:rPr>
          <w:rFonts w:ascii="Times New Roman" w:hAnsi="Times New Roman" w:eastAsia="Times New Roman" w:cs="Times New Roman"/>
          <w:b/>
          <w:i/>
          <w:color w:val="030303"/>
          <w:spacing w:val="2"/>
          <w:sz w:val="24"/>
          <w:szCs w:val="24"/>
        </w:rPr>
        <w:t>to reduce burden and specifically how this collection meets GPEA requirements</w:t>
      </w:r>
      <w:r w:rsidRPr="00D7577B" w:rsidR="00E6690C">
        <w:rPr>
          <w:rFonts w:ascii="Times New Roman" w:hAnsi="Times New Roman" w:eastAsia="Times New Roman" w:cs="Times New Roman"/>
          <w:b/>
          <w:i/>
          <w:color w:val="030303"/>
          <w:spacing w:val="2"/>
          <w:sz w:val="24"/>
          <w:szCs w:val="24"/>
        </w:rPr>
        <w:t>.</w:t>
      </w:r>
    </w:p>
    <w:p w:rsidRPr="00D7577B" w:rsidR="00F64F67" w:rsidP="00A03B38" w:rsidRDefault="00F64F67" w14:paraId="6EED9F85"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0E4EB9" w:rsidP="000E4EB9" w:rsidRDefault="000E4EB9" w14:paraId="2D0DB2A5" w14:textId="77777777">
      <w:pPr>
        <w:tabs>
          <w:tab w:val="left" w:pos="-1080"/>
          <w:tab w:val="left" w:pos="-720"/>
          <w:tab w:val="left" w:pos="360"/>
          <w:tab w:val="left" w:pos="720"/>
        </w:tabs>
        <w:spacing w:after="0" w:line="240" w:lineRule="auto"/>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snapToGrid w:val="0"/>
          <w:sz w:val="24"/>
          <w:szCs w:val="24"/>
        </w:rPr>
        <w:t xml:space="preserve">Currently, 95 percent of all information is submitted electronically. </w:t>
      </w:r>
      <w:r w:rsidRPr="00D7577B" w:rsidR="00500CE6">
        <w:rPr>
          <w:rFonts w:ascii="Times New Roman" w:hAnsi="Times New Roman" w:eastAsia="Times New Roman" w:cs="Times New Roman"/>
          <w:snapToGrid w:val="0"/>
          <w:sz w:val="24"/>
          <w:szCs w:val="24"/>
        </w:rPr>
        <w:t xml:space="preserve"> </w:t>
      </w:r>
      <w:r w:rsidRPr="00D7577B">
        <w:rPr>
          <w:rFonts w:ascii="Times New Roman" w:hAnsi="Times New Roman" w:eastAsia="Times New Roman" w:cs="Times New Roman"/>
          <w:snapToGrid w:val="0"/>
          <w:sz w:val="24"/>
          <w:szCs w:val="24"/>
        </w:rPr>
        <w:t xml:space="preserve">However, because of the various types of information submitted with the plans (maps, surveys, spreadsheets, etc.), some of the submission may not readily lend itself to electronic commerce. </w:t>
      </w:r>
      <w:r w:rsidRPr="00D7577B" w:rsidR="00500CE6">
        <w:rPr>
          <w:rFonts w:ascii="Times New Roman" w:hAnsi="Times New Roman" w:eastAsia="Times New Roman" w:cs="Times New Roman"/>
          <w:snapToGrid w:val="0"/>
          <w:sz w:val="24"/>
          <w:szCs w:val="24"/>
        </w:rPr>
        <w:t xml:space="preserve"> </w:t>
      </w:r>
      <w:r w:rsidRPr="00D7577B">
        <w:rPr>
          <w:rFonts w:ascii="Times New Roman" w:hAnsi="Times New Roman" w:eastAsia="Times New Roman" w:cs="Times New Roman"/>
          <w:snapToGrid w:val="0"/>
          <w:sz w:val="24"/>
          <w:szCs w:val="24"/>
        </w:rPr>
        <w:t xml:space="preserve">In some instances, paper copies of the non-proprietary information submitted in the plans and accompanying information may continue to be necessary for review by States, local governments, and the public. </w:t>
      </w:r>
    </w:p>
    <w:p w:rsidRPr="00D7577B" w:rsidR="000E4EB9" w:rsidP="00A03B38" w:rsidRDefault="000E4EB9" w14:paraId="018B2B34"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F64F67" w:rsidP="00A03B38" w:rsidRDefault="00F64F67" w14:paraId="53051366" w14:textId="77777777">
      <w:pPr>
        <w:spacing w:after="0" w:line="240" w:lineRule="auto"/>
        <w:ind w:right="-40" w:hanging="5"/>
        <w:rPr>
          <w:rFonts w:ascii="Times New Roman" w:hAnsi="Times New Roman" w:eastAsia="Times New Roman" w:cs="Times New Roman"/>
          <w:i/>
          <w:color w:val="030303"/>
          <w:spacing w:val="2"/>
          <w:sz w:val="24"/>
          <w:szCs w:val="24"/>
        </w:rPr>
      </w:pPr>
      <w:r w:rsidRPr="00D7577B">
        <w:rPr>
          <w:rFonts w:ascii="Times New Roman" w:hAnsi="Times New Roman" w:eastAsia="Times New Roman" w:cs="Times New Roman"/>
          <w:b/>
          <w:i/>
          <w:color w:val="030303"/>
          <w:spacing w:val="2"/>
          <w:sz w:val="24"/>
          <w:szCs w:val="24"/>
        </w:rPr>
        <w:t>4.  Describe efforts to identify duplication. Show specifically why any similar information already avai</w:t>
      </w:r>
      <w:r w:rsidRPr="00D7577B" w:rsidR="00A938FF">
        <w:rPr>
          <w:rFonts w:ascii="Times New Roman" w:hAnsi="Times New Roman" w:eastAsia="Times New Roman" w:cs="Times New Roman"/>
          <w:b/>
          <w:i/>
          <w:color w:val="030303"/>
          <w:spacing w:val="2"/>
          <w:sz w:val="24"/>
          <w:szCs w:val="24"/>
        </w:rPr>
        <w:t>la</w:t>
      </w:r>
      <w:r w:rsidRPr="00D7577B">
        <w:rPr>
          <w:rFonts w:ascii="Times New Roman" w:hAnsi="Times New Roman" w:eastAsia="Times New Roman" w:cs="Times New Roman"/>
          <w:b/>
          <w:i/>
          <w:color w:val="030303"/>
          <w:spacing w:val="2"/>
          <w:sz w:val="24"/>
          <w:szCs w:val="24"/>
        </w:rPr>
        <w:t>ble cannot be used or modified for use for the purposes described in Item 2 above</w:t>
      </w:r>
      <w:r w:rsidRPr="00D7577B">
        <w:rPr>
          <w:rFonts w:ascii="Times New Roman" w:hAnsi="Times New Roman" w:eastAsia="Times New Roman" w:cs="Times New Roman"/>
          <w:i/>
          <w:color w:val="030303"/>
          <w:spacing w:val="2"/>
          <w:sz w:val="24"/>
          <w:szCs w:val="24"/>
        </w:rPr>
        <w:t>.</w:t>
      </w:r>
    </w:p>
    <w:p w:rsidRPr="00D7577B" w:rsidR="00F64F67" w:rsidP="00A03B38" w:rsidRDefault="00F64F67" w14:paraId="04C62207"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2E25B8" w:rsidP="00A03B38" w:rsidRDefault="00F64F67" w14:paraId="401409AF" w14:textId="77777777">
      <w:pPr>
        <w:spacing w:after="0" w:line="240" w:lineRule="auto"/>
        <w:ind w:right="-40" w:hanging="5"/>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In the area of air quality, authority to regulate OCS air emissions</w:t>
      </w:r>
      <w:r w:rsidRPr="00D7577B" w:rsidR="00A938FF">
        <w:rPr>
          <w:rFonts w:ascii="Times New Roman" w:hAnsi="Times New Roman" w:eastAsia="Times New Roman" w:cs="Times New Roman"/>
          <w:color w:val="030303"/>
          <w:spacing w:val="2"/>
          <w:sz w:val="24"/>
          <w:szCs w:val="24"/>
        </w:rPr>
        <w:t xml:space="preserve"> is split between the </w:t>
      </w:r>
      <w:r w:rsidRPr="00D7577B" w:rsidR="008548F5">
        <w:rPr>
          <w:rFonts w:ascii="Times New Roman" w:hAnsi="Times New Roman" w:eastAsia="Times New Roman" w:cs="Times New Roman"/>
          <w:color w:val="030303"/>
          <w:spacing w:val="2"/>
          <w:sz w:val="24"/>
          <w:szCs w:val="24"/>
        </w:rPr>
        <w:t>Department of the Interior (</w:t>
      </w:r>
      <w:r w:rsidRPr="00D7577B" w:rsidR="00A938FF">
        <w:rPr>
          <w:rFonts w:ascii="Times New Roman" w:hAnsi="Times New Roman" w:eastAsia="Times New Roman" w:cs="Times New Roman"/>
          <w:color w:val="030303"/>
          <w:spacing w:val="2"/>
          <w:sz w:val="24"/>
          <w:szCs w:val="24"/>
        </w:rPr>
        <w:t>DOI</w:t>
      </w:r>
      <w:r w:rsidRPr="00D7577B" w:rsidR="008548F5">
        <w:rPr>
          <w:rFonts w:ascii="Times New Roman" w:hAnsi="Times New Roman" w:eastAsia="Times New Roman" w:cs="Times New Roman"/>
          <w:color w:val="030303"/>
          <w:spacing w:val="2"/>
          <w:sz w:val="24"/>
          <w:szCs w:val="24"/>
        </w:rPr>
        <w:t>)</w:t>
      </w:r>
      <w:r w:rsidRPr="00D7577B">
        <w:rPr>
          <w:rFonts w:ascii="Times New Roman" w:hAnsi="Times New Roman" w:eastAsia="Times New Roman" w:cs="Times New Roman"/>
          <w:color w:val="030303"/>
          <w:spacing w:val="2"/>
          <w:sz w:val="24"/>
          <w:szCs w:val="24"/>
        </w:rPr>
        <w:t xml:space="preserve"> and the </w:t>
      </w:r>
      <w:r w:rsidRPr="00D7577B" w:rsidR="007B5F01">
        <w:rPr>
          <w:rFonts w:ascii="Times New Roman" w:hAnsi="Times New Roman" w:eastAsia="Times New Roman" w:cs="Times New Roman"/>
          <w:color w:val="030303"/>
          <w:spacing w:val="2"/>
          <w:sz w:val="24"/>
          <w:szCs w:val="24"/>
        </w:rPr>
        <w:t>Environmental Protection Agency (</w:t>
      </w:r>
      <w:r w:rsidRPr="00D7577B">
        <w:rPr>
          <w:rFonts w:ascii="Times New Roman" w:hAnsi="Times New Roman" w:eastAsia="Times New Roman" w:cs="Times New Roman"/>
          <w:color w:val="030303"/>
          <w:spacing w:val="2"/>
          <w:sz w:val="24"/>
          <w:szCs w:val="24"/>
        </w:rPr>
        <w:t>EPA</w:t>
      </w:r>
      <w:r w:rsidRPr="00D7577B" w:rsidR="007B5F01">
        <w:rPr>
          <w:rFonts w:ascii="Times New Roman" w:hAnsi="Times New Roman" w:eastAsia="Times New Roman" w:cs="Times New Roman"/>
          <w:color w:val="030303"/>
          <w:spacing w:val="2"/>
          <w:sz w:val="24"/>
          <w:szCs w:val="24"/>
        </w:rPr>
        <w:t>)</w:t>
      </w:r>
      <w:r w:rsidRPr="00D7577B">
        <w:rPr>
          <w:rFonts w:ascii="Times New Roman" w:hAnsi="Times New Roman" w:eastAsia="Times New Roman" w:cs="Times New Roman"/>
          <w:color w:val="030303"/>
          <w:spacing w:val="2"/>
          <w:sz w:val="24"/>
          <w:szCs w:val="24"/>
        </w:rPr>
        <w:t xml:space="preserve">. This </w:t>
      </w:r>
      <w:r w:rsidRPr="00D7577B" w:rsidR="00E6690C">
        <w:rPr>
          <w:rFonts w:ascii="Times New Roman" w:hAnsi="Times New Roman" w:eastAsia="Times New Roman" w:cs="Times New Roman"/>
          <w:color w:val="030303"/>
          <w:spacing w:val="2"/>
          <w:sz w:val="24"/>
          <w:szCs w:val="24"/>
        </w:rPr>
        <w:t>split in the jurisdiction related to the monitoring of air quality</w:t>
      </w:r>
      <w:r w:rsidRPr="00D7577B">
        <w:rPr>
          <w:rFonts w:ascii="Times New Roman" w:hAnsi="Times New Roman" w:eastAsia="Times New Roman" w:cs="Times New Roman"/>
          <w:color w:val="030303"/>
          <w:spacing w:val="2"/>
          <w:sz w:val="24"/>
          <w:szCs w:val="24"/>
        </w:rPr>
        <w:t xml:space="preserve"> is a result of the 1990 amendments to the Clean Air Act (Pub. L. 10I -549). Specifically, section </w:t>
      </w:r>
      <w:r w:rsidRPr="00D7577B" w:rsidR="002E25B8">
        <w:rPr>
          <w:rFonts w:ascii="Times New Roman" w:hAnsi="Times New Roman" w:eastAsia="Times New Roman" w:cs="Times New Roman"/>
          <w:color w:val="030303"/>
          <w:spacing w:val="2"/>
          <w:sz w:val="24"/>
          <w:szCs w:val="24"/>
        </w:rPr>
        <w:t>328</w:t>
      </w:r>
      <w:r w:rsidRPr="00D7577B">
        <w:rPr>
          <w:rFonts w:ascii="Times New Roman" w:hAnsi="Times New Roman" w:eastAsia="Times New Roman" w:cs="Times New Roman"/>
          <w:color w:val="030303"/>
          <w:spacing w:val="2"/>
          <w:sz w:val="24"/>
          <w:szCs w:val="24"/>
        </w:rPr>
        <w:t xml:space="preserve"> gives EPA the authority to regulate OCS air emissions for OCS areas </w:t>
      </w:r>
      <w:r w:rsidRPr="00D7577B" w:rsidR="007B5F01">
        <w:rPr>
          <w:rFonts w:ascii="Times New Roman" w:hAnsi="Times New Roman" w:eastAsia="Times New Roman" w:cs="Times New Roman"/>
          <w:color w:val="030303"/>
          <w:spacing w:val="2"/>
          <w:sz w:val="24"/>
          <w:szCs w:val="24"/>
        </w:rPr>
        <w:t xml:space="preserve">except in </w:t>
      </w:r>
      <w:r w:rsidRPr="00D7577B">
        <w:rPr>
          <w:rFonts w:ascii="Times New Roman" w:hAnsi="Times New Roman" w:eastAsia="Times New Roman" w:cs="Times New Roman"/>
          <w:color w:val="030303"/>
          <w:spacing w:val="2"/>
          <w:sz w:val="24"/>
          <w:szCs w:val="24"/>
        </w:rPr>
        <w:t xml:space="preserve">the </w:t>
      </w:r>
      <w:r w:rsidRPr="00D7577B" w:rsidR="00A85918">
        <w:rPr>
          <w:rFonts w:ascii="Times New Roman" w:hAnsi="Times New Roman" w:eastAsia="Times New Roman" w:cs="Times New Roman"/>
          <w:color w:val="030303"/>
          <w:spacing w:val="2"/>
          <w:sz w:val="24"/>
          <w:szCs w:val="24"/>
        </w:rPr>
        <w:t xml:space="preserve">Central and Western </w:t>
      </w:r>
      <w:r w:rsidRPr="00D7577B">
        <w:rPr>
          <w:rFonts w:ascii="Times New Roman" w:hAnsi="Times New Roman" w:eastAsia="Times New Roman" w:cs="Times New Roman"/>
          <w:color w:val="030303"/>
          <w:spacing w:val="2"/>
          <w:sz w:val="24"/>
          <w:szCs w:val="24"/>
        </w:rPr>
        <w:t xml:space="preserve">Gulf of Mexico </w:t>
      </w:r>
      <w:r w:rsidRPr="00D7577B" w:rsidR="00A85918">
        <w:rPr>
          <w:rFonts w:ascii="Times New Roman" w:hAnsi="Times New Roman" w:eastAsia="Times New Roman" w:cs="Times New Roman"/>
          <w:color w:val="030303"/>
          <w:spacing w:val="2"/>
          <w:sz w:val="24"/>
          <w:szCs w:val="24"/>
        </w:rPr>
        <w:t>and</w:t>
      </w:r>
      <w:r w:rsidRPr="00D7577B" w:rsidR="002E25B8">
        <w:rPr>
          <w:rFonts w:ascii="Times New Roman" w:hAnsi="Times New Roman" w:eastAsia="Times New Roman" w:cs="Times New Roman"/>
          <w:color w:val="030303"/>
          <w:spacing w:val="2"/>
          <w:sz w:val="24"/>
          <w:szCs w:val="24"/>
        </w:rPr>
        <w:t xml:space="preserve"> in the Arctic OCS</w:t>
      </w:r>
      <w:r w:rsidRPr="00D7577B">
        <w:rPr>
          <w:rFonts w:ascii="Times New Roman" w:hAnsi="Times New Roman" w:eastAsia="Times New Roman" w:cs="Times New Roman"/>
          <w:color w:val="030303"/>
          <w:spacing w:val="2"/>
          <w:sz w:val="24"/>
          <w:szCs w:val="24"/>
        </w:rPr>
        <w:t xml:space="preserve">. </w:t>
      </w:r>
      <w:r w:rsidRPr="00D7577B" w:rsidR="002E25B8">
        <w:rPr>
          <w:rFonts w:ascii="Times New Roman" w:hAnsi="Times New Roman" w:eastAsia="Times New Roman" w:cs="Times New Roman"/>
          <w:color w:val="030303"/>
          <w:spacing w:val="2"/>
          <w:sz w:val="24"/>
          <w:szCs w:val="24"/>
        </w:rPr>
        <w:t xml:space="preserve">  </w:t>
      </w:r>
    </w:p>
    <w:p w:rsidRPr="00D7577B" w:rsidR="002E25B8" w:rsidP="002E25B8" w:rsidRDefault="002E25B8" w14:paraId="5BC45FAE" w14:textId="77777777">
      <w:pPr>
        <w:spacing w:after="0" w:line="240" w:lineRule="auto"/>
        <w:ind w:left="-5" w:right="-40"/>
        <w:rPr>
          <w:rFonts w:ascii="Times New Roman" w:hAnsi="Times New Roman" w:eastAsia="Times New Roman" w:cs="Times New Roman"/>
          <w:color w:val="030303"/>
          <w:spacing w:val="2"/>
          <w:sz w:val="24"/>
          <w:szCs w:val="24"/>
        </w:rPr>
      </w:pPr>
    </w:p>
    <w:p w:rsidRPr="00D7577B" w:rsidR="00F64F67" w:rsidP="002E25B8" w:rsidRDefault="002E25B8" w14:paraId="17977FA3" w14:textId="77777777">
      <w:pPr>
        <w:spacing w:after="0" w:line="240" w:lineRule="auto"/>
        <w:ind w:left="-5" w:right="-40"/>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 xml:space="preserve">There is no duplication of effort with respect to reporting or analysis of air emissions because the EPA regulates emissions on some of the OCS and DOI regulates the air emissions for other parts of the OCS.  In addition, DOI provides the data it collects to the EPA for their use in populating the national emissions inventory.  </w:t>
      </w:r>
      <w:r w:rsidRPr="00D7577B" w:rsidR="00F64F67">
        <w:rPr>
          <w:rFonts w:ascii="Times New Roman" w:hAnsi="Times New Roman" w:eastAsia="Times New Roman" w:cs="Times New Roman"/>
          <w:color w:val="030303"/>
          <w:spacing w:val="2"/>
          <w:sz w:val="24"/>
          <w:szCs w:val="24"/>
        </w:rPr>
        <w:t>These regulations are effective in avoiding duplication in Federal regulations and reporting.  Similar information is not available</w:t>
      </w:r>
      <w:r w:rsidRPr="00D7577B" w:rsidR="00A938FF">
        <w:rPr>
          <w:rFonts w:ascii="Times New Roman" w:hAnsi="Times New Roman" w:eastAsia="Times New Roman" w:cs="Times New Roman"/>
          <w:color w:val="030303"/>
          <w:spacing w:val="2"/>
          <w:sz w:val="24"/>
          <w:szCs w:val="24"/>
        </w:rPr>
        <w:t xml:space="preserve"> </w:t>
      </w:r>
      <w:r w:rsidRPr="00D7577B" w:rsidR="00F64F67">
        <w:rPr>
          <w:rFonts w:ascii="Times New Roman" w:hAnsi="Times New Roman" w:eastAsia="Times New Roman" w:cs="Times New Roman"/>
          <w:color w:val="030303"/>
          <w:spacing w:val="2"/>
          <w:sz w:val="24"/>
          <w:szCs w:val="24"/>
        </w:rPr>
        <w:t>because the information is unique for each emission source and data and information cannot be obtained elsewhere.</w:t>
      </w:r>
    </w:p>
    <w:p w:rsidRPr="00D7577B" w:rsidR="00F64F67" w:rsidP="00A03B38" w:rsidRDefault="00F64F67" w14:paraId="2A08597F"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F64F67" w:rsidP="00A03B38" w:rsidRDefault="00F64F67" w14:paraId="1D5E2957" w14:textId="77777777">
      <w:pPr>
        <w:spacing w:after="0" w:line="240" w:lineRule="auto"/>
        <w:ind w:right="-40" w:hanging="5"/>
        <w:rPr>
          <w:rFonts w:ascii="Times New Roman" w:hAnsi="Times New Roman" w:eastAsia="Times New Roman" w:cs="Times New Roman"/>
          <w:b/>
          <w:i/>
          <w:color w:val="030303"/>
          <w:spacing w:val="2"/>
          <w:sz w:val="24"/>
          <w:szCs w:val="24"/>
        </w:rPr>
      </w:pPr>
      <w:r w:rsidRPr="00D7577B">
        <w:rPr>
          <w:rFonts w:ascii="Times New Roman" w:hAnsi="Times New Roman" w:eastAsia="Times New Roman" w:cs="Times New Roman"/>
          <w:b/>
          <w:i/>
          <w:color w:val="030303"/>
          <w:spacing w:val="2"/>
          <w:sz w:val="24"/>
          <w:szCs w:val="24"/>
        </w:rPr>
        <w:t>5.  If the collection of information impacts small businesses or other small entities, describe any methods used to minimize burden.</w:t>
      </w:r>
    </w:p>
    <w:p w:rsidRPr="00D7577B" w:rsidR="00F64F67" w:rsidP="00A03B38" w:rsidRDefault="00F64F67" w14:paraId="4064BE08"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F64F67" w:rsidP="00A03B38" w:rsidRDefault="002E25B8" w14:paraId="73DB010F" w14:textId="77777777">
      <w:pPr>
        <w:spacing w:after="0" w:line="240" w:lineRule="auto"/>
        <w:ind w:right="-40" w:hanging="5"/>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 xml:space="preserve">Many of the OCS lessees and operators have less than 500 employees and are considered small businesses, as defined by the Small Business Administration. </w:t>
      </w:r>
      <w:r w:rsidRPr="00D7577B" w:rsidR="00F64F67">
        <w:rPr>
          <w:rFonts w:ascii="Times New Roman" w:hAnsi="Times New Roman" w:eastAsia="Times New Roman" w:cs="Times New Roman"/>
          <w:color w:val="030303"/>
          <w:spacing w:val="2"/>
          <w:sz w:val="24"/>
          <w:szCs w:val="24"/>
        </w:rPr>
        <w:t xml:space="preserve">This collection of information could have a significant economic effect on a substantial number of small entities. </w:t>
      </w:r>
      <w:r w:rsidRPr="00D7577B">
        <w:rPr>
          <w:rFonts w:ascii="Times New Roman" w:hAnsi="Times New Roman" w:eastAsia="Times New Roman" w:cs="Times New Roman"/>
          <w:color w:val="030303"/>
          <w:spacing w:val="2"/>
          <w:sz w:val="24"/>
          <w:szCs w:val="24"/>
        </w:rPr>
        <w:t xml:space="preserve">However, </w:t>
      </w:r>
      <w:r w:rsidRPr="00D7577B" w:rsidR="00C22959">
        <w:rPr>
          <w:rFonts w:ascii="Times New Roman" w:hAnsi="Times New Roman" w:eastAsia="Times New Roman" w:cs="Times New Roman"/>
          <w:color w:val="030303"/>
          <w:spacing w:val="2"/>
          <w:sz w:val="24"/>
          <w:szCs w:val="24"/>
        </w:rPr>
        <w:t>t</w:t>
      </w:r>
      <w:r w:rsidRPr="00D7577B">
        <w:rPr>
          <w:rFonts w:ascii="Times New Roman" w:hAnsi="Times New Roman" w:eastAsia="Times New Roman" w:cs="Times New Roman"/>
          <w:color w:val="030303"/>
          <w:spacing w:val="2"/>
          <w:sz w:val="24"/>
          <w:szCs w:val="24"/>
        </w:rPr>
        <w:t>he activities to which this information collection applies are subject to statutorily mandated controls designed to protect the environment and ensure that the air q</w:t>
      </w:r>
      <w:r w:rsidRPr="00D7577B" w:rsidR="00C849EC">
        <w:rPr>
          <w:rFonts w:ascii="Times New Roman" w:hAnsi="Times New Roman" w:eastAsia="Times New Roman" w:cs="Times New Roman"/>
          <w:color w:val="030303"/>
          <w:spacing w:val="2"/>
          <w:sz w:val="24"/>
          <w:szCs w:val="24"/>
        </w:rPr>
        <w:t>uality of potentially affected S</w:t>
      </w:r>
      <w:r w:rsidRPr="00D7577B">
        <w:rPr>
          <w:rFonts w:ascii="Times New Roman" w:hAnsi="Times New Roman" w:eastAsia="Times New Roman" w:cs="Times New Roman"/>
          <w:color w:val="030303"/>
          <w:spacing w:val="2"/>
          <w:sz w:val="24"/>
          <w:szCs w:val="24"/>
        </w:rPr>
        <w:t>tates is not adversely affected by OCS activities.</w:t>
      </w:r>
      <w:r w:rsidRPr="00D7577B" w:rsidR="0023788A">
        <w:rPr>
          <w:rFonts w:ascii="Times New Roman" w:hAnsi="Times New Roman" w:eastAsia="Times New Roman" w:cs="Times New Roman"/>
          <w:color w:val="030303"/>
          <w:spacing w:val="2"/>
          <w:sz w:val="24"/>
          <w:szCs w:val="24"/>
        </w:rPr>
        <w:t xml:space="preserve"> </w:t>
      </w:r>
      <w:r w:rsidRPr="00D7577B">
        <w:rPr>
          <w:rFonts w:ascii="Times New Roman" w:hAnsi="Times New Roman" w:eastAsia="Times New Roman" w:cs="Times New Roman"/>
          <w:color w:val="030303"/>
          <w:spacing w:val="2"/>
          <w:sz w:val="24"/>
          <w:szCs w:val="24"/>
        </w:rPr>
        <w:t>T</w:t>
      </w:r>
      <w:r w:rsidRPr="00D7577B" w:rsidR="00F64F67">
        <w:rPr>
          <w:rFonts w:ascii="Times New Roman" w:hAnsi="Times New Roman" w:eastAsia="Times New Roman" w:cs="Times New Roman"/>
          <w:color w:val="030303"/>
          <w:spacing w:val="2"/>
          <w:sz w:val="24"/>
          <w:szCs w:val="24"/>
        </w:rPr>
        <w:t xml:space="preserve">he hour burden on any small entity subject to these regulations cannot be reduced </w:t>
      </w:r>
      <w:r w:rsidRPr="00D7577B">
        <w:rPr>
          <w:rFonts w:ascii="Times New Roman" w:hAnsi="Times New Roman" w:eastAsia="Times New Roman" w:cs="Times New Roman"/>
          <w:color w:val="030303"/>
          <w:spacing w:val="2"/>
          <w:sz w:val="24"/>
          <w:szCs w:val="24"/>
        </w:rPr>
        <w:t>beyond current levels without impairing the ability of the agency to comply with its statutory mandates.</w:t>
      </w:r>
    </w:p>
    <w:p w:rsidRPr="00D7577B" w:rsidR="00F64F67" w:rsidP="00A03B38" w:rsidRDefault="00F64F67" w14:paraId="33C49995"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F64F67" w:rsidP="00A03B38" w:rsidRDefault="00F64F67" w14:paraId="1844A9CB" w14:textId="77777777">
      <w:pPr>
        <w:spacing w:after="0" w:line="240" w:lineRule="auto"/>
        <w:ind w:right="-40" w:hanging="5"/>
        <w:rPr>
          <w:rFonts w:ascii="Times New Roman" w:hAnsi="Times New Roman" w:eastAsia="Times New Roman" w:cs="Times New Roman"/>
          <w:b/>
          <w:i/>
          <w:color w:val="030303"/>
          <w:spacing w:val="2"/>
          <w:sz w:val="24"/>
          <w:szCs w:val="24"/>
        </w:rPr>
      </w:pPr>
      <w:r w:rsidRPr="00D7577B">
        <w:rPr>
          <w:rFonts w:ascii="Times New Roman" w:hAnsi="Times New Roman" w:eastAsia="Times New Roman" w:cs="Times New Roman"/>
          <w:b/>
          <w:i/>
          <w:color w:val="030303"/>
          <w:spacing w:val="2"/>
          <w:sz w:val="24"/>
          <w:szCs w:val="24"/>
        </w:rPr>
        <w:t xml:space="preserve">6.  Describe the consequence to Federal program or policy activities if the collection is not </w:t>
      </w:r>
      <w:r w:rsidRPr="00D7577B">
        <w:rPr>
          <w:rFonts w:ascii="Times New Roman" w:hAnsi="Times New Roman" w:eastAsia="Times New Roman" w:cs="Times New Roman"/>
          <w:b/>
          <w:i/>
          <w:color w:val="030303"/>
          <w:spacing w:val="2"/>
          <w:sz w:val="24"/>
          <w:szCs w:val="24"/>
        </w:rPr>
        <w:lastRenderedPageBreak/>
        <w:t>conducted or is conducted less frequently, as well as any technical or legal obs</w:t>
      </w:r>
      <w:r w:rsidRPr="00D7577B" w:rsidR="00A938FF">
        <w:rPr>
          <w:rFonts w:ascii="Times New Roman" w:hAnsi="Times New Roman" w:eastAsia="Times New Roman" w:cs="Times New Roman"/>
          <w:b/>
          <w:i/>
          <w:color w:val="030303"/>
          <w:spacing w:val="2"/>
          <w:sz w:val="24"/>
          <w:szCs w:val="24"/>
        </w:rPr>
        <w:t>tacles</w:t>
      </w:r>
      <w:r w:rsidRPr="00D7577B">
        <w:rPr>
          <w:rFonts w:ascii="Times New Roman" w:hAnsi="Times New Roman" w:eastAsia="Times New Roman" w:cs="Times New Roman"/>
          <w:b/>
          <w:i/>
          <w:color w:val="030303"/>
          <w:spacing w:val="2"/>
          <w:sz w:val="24"/>
          <w:szCs w:val="24"/>
        </w:rPr>
        <w:t xml:space="preserve"> to reducing burden.</w:t>
      </w:r>
    </w:p>
    <w:p w:rsidRPr="00D7577B" w:rsidR="00F64F67" w:rsidP="00A03B38" w:rsidRDefault="00F64F67" w14:paraId="1D32A139"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2E25B8" w:rsidP="002E25B8" w:rsidRDefault="00F64F67" w14:paraId="3A5FBE55" w14:textId="77777777">
      <w:pPr>
        <w:spacing w:after="0" w:line="240" w:lineRule="auto"/>
        <w:ind w:right="-40" w:hanging="5"/>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 xml:space="preserve">If BOEM did not collect the information, </w:t>
      </w:r>
      <w:r w:rsidRPr="00D7577B" w:rsidR="002E25B8">
        <w:rPr>
          <w:rFonts w:ascii="Times New Roman" w:hAnsi="Times New Roman" w:eastAsia="Times New Roman" w:cs="Times New Roman"/>
          <w:color w:val="030303"/>
          <w:spacing w:val="2"/>
          <w:sz w:val="24"/>
          <w:szCs w:val="24"/>
        </w:rPr>
        <w:t>it</w:t>
      </w:r>
      <w:r w:rsidRPr="00D7577B">
        <w:rPr>
          <w:rFonts w:ascii="Times New Roman" w:hAnsi="Times New Roman" w:eastAsia="Times New Roman" w:cs="Times New Roman"/>
          <w:color w:val="030303"/>
          <w:spacing w:val="2"/>
          <w:sz w:val="24"/>
          <w:szCs w:val="24"/>
        </w:rPr>
        <w:t xml:space="preserve"> could not </w:t>
      </w:r>
      <w:r w:rsidRPr="00D7577B" w:rsidR="002E25B8">
        <w:rPr>
          <w:rFonts w:ascii="Times New Roman" w:hAnsi="Times New Roman" w:eastAsia="Times New Roman" w:cs="Times New Roman"/>
          <w:color w:val="030303"/>
          <w:spacing w:val="2"/>
          <w:sz w:val="24"/>
          <w:szCs w:val="24"/>
        </w:rPr>
        <w:t>fulfill</w:t>
      </w:r>
      <w:r w:rsidRPr="00D7577B">
        <w:rPr>
          <w:rFonts w:ascii="Times New Roman" w:hAnsi="Times New Roman" w:eastAsia="Times New Roman" w:cs="Times New Roman"/>
          <w:color w:val="030303"/>
          <w:spacing w:val="2"/>
          <w:sz w:val="24"/>
          <w:szCs w:val="24"/>
        </w:rPr>
        <w:t xml:space="preserve"> </w:t>
      </w:r>
      <w:r w:rsidRPr="00D7577B" w:rsidR="002E25B8">
        <w:rPr>
          <w:rFonts w:ascii="Times New Roman" w:hAnsi="Times New Roman" w:eastAsia="Times New Roman" w:cs="Times New Roman"/>
          <w:color w:val="030303"/>
          <w:spacing w:val="2"/>
          <w:sz w:val="24"/>
          <w:szCs w:val="24"/>
        </w:rPr>
        <w:t>DOI’s</w:t>
      </w:r>
      <w:r w:rsidRPr="00D7577B">
        <w:rPr>
          <w:rFonts w:ascii="Times New Roman" w:hAnsi="Times New Roman" w:eastAsia="Times New Roman" w:cs="Times New Roman"/>
          <w:color w:val="030303"/>
          <w:spacing w:val="2"/>
          <w:sz w:val="24"/>
          <w:szCs w:val="24"/>
        </w:rPr>
        <w:t xml:space="preserve"> mandate </w:t>
      </w:r>
      <w:r w:rsidRPr="00D7577B" w:rsidR="002E25B8">
        <w:rPr>
          <w:rFonts w:ascii="Times New Roman" w:hAnsi="Times New Roman" w:eastAsia="Times New Roman" w:cs="Times New Roman"/>
          <w:color w:val="030303"/>
          <w:spacing w:val="2"/>
          <w:sz w:val="24"/>
          <w:szCs w:val="24"/>
        </w:rPr>
        <w:t>from</w:t>
      </w:r>
      <w:r w:rsidRPr="00D7577B">
        <w:rPr>
          <w:rFonts w:ascii="Times New Roman" w:hAnsi="Times New Roman" w:eastAsia="Times New Roman" w:cs="Times New Roman"/>
          <w:color w:val="030303"/>
          <w:spacing w:val="2"/>
          <w:sz w:val="24"/>
          <w:szCs w:val="24"/>
        </w:rPr>
        <w:t xml:space="preserve"> the OCS Lands Act to ensure safe and environmentally sound operations in the OCS. </w:t>
      </w:r>
      <w:r w:rsidRPr="00D7577B" w:rsidR="002E25B8">
        <w:rPr>
          <w:rFonts w:ascii="Times New Roman" w:hAnsi="Times New Roman" w:eastAsia="Times New Roman" w:cs="Times New Roman"/>
          <w:color w:val="030303"/>
          <w:spacing w:val="2"/>
          <w:sz w:val="24"/>
          <w:szCs w:val="24"/>
        </w:rPr>
        <w:t>BOEM would not have the ability to</w:t>
      </w:r>
      <w:r w:rsidRPr="00D7577B">
        <w:rPr>
          <w:rFonts w:ascii="Times New Roman" w:hAnsi="Times New Roman" w:eastAsia="Times New Roman" w:cs="Times New Roman"/>
          <w:color w:val="030303"/>
          <w:spacing w:val="2"/>
          <w:sz w:val="24"/>
          <w:szCs w:val="24"/>
        </w:rPr>
        <w:t xml:space="preserve"> determine if </w:t>
      </w:r>
      <w:r w:rsidRPr="00D7577B" w:rsidR="002E25B8">
        <w:rPr>
          <w:rFonts w:ascii="Times New Roman" w:hAnsi="Times New Roman" w:eastAsia="Times New Roman" w:cs="Times New Roman"/>
          <w:color w:val="030303"/>
          <w:spacing w:val="2"/>
          <w:sz w:val="24"/>
          <w:szCs w:val="24"/>
        </w:rPr>
        <w:t xml:space="preserve">OCS </w:t>
      </w:r>
      <w:r w:rsidRPr="00D7577B">
        <w:rPr>
          <w:rFonts w:ascii="Times New Roman" w:hAnsi="Times New Roman" w:eastAsia="Times New Roman" w:cs="Times New Roman"/>
          <w:color w:val="030303"/>
          <w:spacing w:val="2"/>
          <w:sz w:val="24"/>
          <w:szCs w:val="24"/>
        </w:rPr>
        <w:t xml:space="preserve">operations comply with standards to minimize air pollution and </w:t>
      </w:r>
      <w:r w:rsidRPr="00D7577B" w:rsidR="002E25B8">
        <w:rPr>
          <w:rFonts w:ascii="Times New Roman" w:hAnsi="Times New Roman" w:eastAsia="Times New Roman" w:cs="Times New Roman"/>
          <w:color w:val="030303"/>
          <w:spacing w:val="2"/>
          <w:sz w:val="24"/>
          <w:szCs w:val="24"/>
        </w:rPr>
        <w:t xml:space="preserve">avoid causing a significant adverse effect to </w:t>
      </w:r>
      <w:r w:rsidRPr="00D7577B">
        <w:rPr>
          <w:rFonts w:ascii="Times New Roman" w:hAnsi="Times New Roman" w:eastAsia="Times New Roman" w:cs="Times New Roman"/>
          <w:color w:val="030303"/>
          <w:spacing w:val="2"/>
          <w:sz w:val="24"/>
          <w:szCs w:val="24"/>
        </w:rPr>
        <w:t xml:space="preserve">adjacent onshore areas. </w:t>
      </w:r>
      <w:r w:rsidRPr="00D7577B" w:rsidR="002E25B8">
        <w:rPr>
          <w:rFonts w:ascii="Times New Roman" w:hAnsi="Times New Roman" w:eastAsia="Times New Roman" w:cs="Times New Roman"/>
          <w:color w:val="030303"/>
          <w:spacing w:val="2"/>
          <w:sz w:val="24"/>
          <w:szCs w:val="24"/>
        </w:rPr>
        <w:t xml:space="preserve"> BOEM’s failure to collect this information would also adversely affect the </w:t>
      </w:r>
      <w:r w:rsidRPr="00D7577B" w:rsidR="004B3E57">
        <w:rPr>
          <w:rFonts w:ascii="Times New Roman" w:hAnsi="Times New Roman" w:eastAsia="Times New Roman" w:cs="Times New Roman"/>
          <w:color w:val="030303"/>
          <w:spacing w:val="2"/>
          <w:sz w:val="24"/>
          <w:szCs w:val="24"/>
        </w:rPr>
        <w:t>S</w:t>
      </w:r>
      <w:r w:rsidRPr="00D7577B" w:rsidR="002E25B8">
        <w:rPr>
          <w:rFonts w:ascii="Times New Roman" w:hAnsi="Times New Roman" w:eastAsia="Times New Roman" w:cs="Times New Roman"/>
          <w:color w:val="030303"/>
          <w:spacing w:val="2"/>
          <w:sz w:val="24"/>
          <w:szCs w:val="24"/>
        </w:rPr>
        <w:t xml:space="preserve">tates, as the emissions of air pollutants generated on the OCS could adversely affect their ability to comply with the federally mandated State Implementation Plans with respect to maintaining onshore ambient air quality levels in compliance with EPA standards. </w:t>
      </w:r>
    </w:p>
    <w:p w:rsidRPr="00D7577B" w:rsidR="002E25B8" w:rsidP="002E25B8" w:rsidRDefault="002E25B8" w14:paraId="06158651"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F64F67" w:rsidP="002E25B8" w:rsidRDefault="00F64F67" w14:paraId="02CE9730" w14:textId="77777777">
      <w:pPr>
        <w:spacing w:after="0" w:line="240" w:lineRule="auto"/>
        <w:ind w:right="-40" w:hanging="5"/>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 xml:space="preserve">The information collected is unique to each facility. With the exception of the information discussed in </w:t>
      </w:r>
      <w:r w:rsidRPr="00D7577B" w:rsidR="004B3E57">
        <w:rPr>
          <w:rFonts w:ascii="Times New Roman" w:hAnsi="Times New Roman" w:eastAsia="Times New Roman" w:cs="Times New Roman"/>
          <w:color w:val="030303"/>
          <w:spacing w:val="2"/>
          <w:sz w:val="24"/>
          <w:szCs w:val="24"/>
        </w:rPr>
        <w:t>section</w:t>
      </w:r>
      <w:r w:rsidRPr="00D7577B">
        <w:rPr>
          <w:rFonts w:ascii="Times New Roman" w:hAnsi="Times New Roman" w:eastAsia="Times New Roman" w:cs="Times New Roman"/>
          <w:color w:val="030303"/>
          <w:spacing w:val="2"/>
          <w:sz w:val="24"/>
          <w:szCs w:val="24"/>
        </w:rPr>
        <w:t xml:space="preserve"> A.7, the frequency is generally on</w:t>
      </w:r>
      <w:r w:rsidRPr="00D7577B" w:rsidR="00EB2089">
        <w:rPr>
          <w:rFonts w:ascii="Times New Roman" w:hAnsi="Times New Roman" w:eastAsia="Times New Roman" w:cs="Times New Roman"/>
          <w:color w:val="030303"/>
          <w:spacing w:val="2"/>
          <w:sz w:val="24"/>
          <w:szCs w:val="24"/>
        </w:rPr>
        <w:t xml:space="preserve"> the</w:t>
      </w:r>
      <w:r w:rsidRPr="00D7577B">
        <w:rPr>
          <w:rFonts w:ascii="Times New Roman" w:hAnsi="Times New Roman" w:eastAsia="Times New Roman" w:cs="Times New Roman"/>
          <w:color w:val="030303"/>
          <w:spacing w:val="2"/>
          <w:sz w:val="24"/>
          <w:szCs w:val="24"/>
        </w:rPr>
        <w:t xml:space="preserve"> occasion</w:t>
      </w:r>
      <w:r w:rsidRPr="00D7577B" w:rsidR="00EB2089">
        <w:rPr>
          <w:rFonts w:ascii="Times New Roman" w:hAnsi="Times New Roman" w:eastAsia="Times New Roman" w:cs="Times New Roman"/>
          <w:color w:val="030303"/>
          <w:spacing w:val="2"/>
          <w:sz w:val="24"/>
          <w:szCs w:val="24"/>
        </w:rPr>
        <w:t xml:space="preserve"> of a proposed plan; thus</w:t>
      </w:r>
      <w:r w:rsidRPr="00D7577B">
        <w:rPr>
          <w:rFonts w:ascii="Times New Roman" w:hAnsi="Times New Roman" w:eastAsia="Times New Roman" w:cs="Times New Roman"/>
          <w:color w:val="030303"/>
          <w:spacing w:val="2"/>
          <w:sz w:val="24"/>
          <w:szCs w:val="24"/>
        </w:rPr>
        <w:t xml:space="preserve">, a lesser frequency is not </w:t>
      </w:r>
      <w:r w:rsidRPr="00D7577B" w:rsidR="00EB2089">
        <w:rPr>
          <w:rFonts w:ascii="Times New Roman" w:hAnsi="Times New Roman" w:eastAsia="Times New Roman" w:cs="Times New Roman"/>
          <w:color w:val="030303"/>
          <w:spacing w:val="2"/>
          <w:sz w:val="24"/>
          <w:szCs w:val="24"/>
        </w:rPr>
        <w:t>possible</w:t>
      </w:r>
      <w:r w:rsidRPr="00D7577B">
        <w:rPr>
          <w:rFonts w:ascii="Times New Roman" w:hAnsi="Times New Roman" w:eastAsia="Times New Roman" w:cs="Times New Roman"/>
          <w:color w:val="030303"/>
          <w:spacing w:val="2"/>
          <w:sz w:val="24"/>
          <w:szCs w:val="24"/>
        </w:rPr>
        <w:t xml:space="preserve">. </w:t>
      </w:r>
    </w:p>
    <w:p w:rsidRPr="00D7577B" w:rsidR="00EB2089" w:rsidP="002E25B8" w:rsidRDefault="00EB2089" w14:paraId="4A8AC409"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F64F67" w:rsidP="00A03B38" w:rsidRDefault="00246E4C" w14:paraId="488F5E92" w14:textId="77777777">
      <w:pPr>
        <w:spacing w:after="0" w:line="240" w:lineRule="auto"/>
        <w:ind w:right="-40" w:hanging="5"/>
        <w:rPr>
          <w:rFonts w:ascii="Times New Roman" w:hAnsi="Times New Roman" w:eastAsia="Times New Roman" w:cs="Times New Roman"/>
          <w:b/>
          <w:i/>
          <w:color w:val="030303"/>
          <w:spacing w:val="2"/>
          <w:sz w:val="24"/>
          <w:szCs w:val="24"/>
        </w:rPr>
      </w:pPr>
      <w:r w:rsidRPr="00D7577B">
        <w:rPr>
          <w:rFonts w:ascii="Times New Roman" w:hAnsi="Times New Roman" w:eastAsia="Times New Roman" w:cs="Times New Roman"/>
          <w:b/>
          <w:i/>
          <w:color w:val="030303"/>
          <w:spacing w:val="2"/>
          <w:sz w:val="24"/>
          <w:szCs w:val="24"/>
        </w:rPr>
        <w:t xml:space="preserve">7.  </w:t>
      </w:r>
      <w:r w:rsidRPr="00D7577B" w:rsidR="00F64F67">
        <w:rPr>
          <w:rFonts w:ascii="Times New Roman" w:hAnsi="Times New Roman" w:eastAsia="Times New Roman" w:cs="Times New Roman"/>
          <w:b/>
          <w:i/>
          <w:color w:val="030303"/>
          <w:spacing w:val="2"/>
          <w:sz w:val="24"/>
          <w:szCs w:val="24"/>
        </w:rPr>
        <w:t xml:space="preserve">Explain </w:t>
      </w:r>
      <w:r w:rsidRPr="00D7577B" w:rsidR="00A938FF">
        <w:rPr>
          <w:rFonts w:ascii="Times New Roman" w:hAnsi="Times New Roman" w:eastAsia="Times New Roman" w:cs="Times New Roman"/>
          <w:b/>
          <w:i/>
          <w:color w:val="030303"/>
          <w:spacing w:val="2"/>
          <w:sz w:val="24"/>
          <w:szCs w:val="24"/>
        </w:rPr>
        <w:t>any</w:t>
      </w:r>
      <w:r w:rsidRPr="00D7577B" w:rsidR="00F64F67">
        <w:rPr>
          <w:rFonts w:ascii="Times New Roman" w:hAnsi="Times New Roman" w:eastAsia="Times New Roman" w:cs="Times New Roman"/>
          <w:b/>
          <w:i/>
          <w:color w:val="030303"/>
          <w:spacing w:val="2"/>
          <w:sz w:val="24"/>
          <w:szCs w:val="24"/>
        </w:rPr>
        <w:t xml:space="preserve"> spec</w:t>
      </w:r>
      <w:r w:rsidRPr="00D7577B" w:rsidR="00A938FF">
        <w:rPr>
          <w:rFonts w:ascii="Times New Roman" w:hAnsi="Times New Roman" w:eastAsia="Times New Roman" w:cs="Times New Roman"/>
          <w:b/>
          <w:i/>
          <w:color w:val="030303"/>
          <w:spacing w:val="2"/>
          <w:sz w:val="24"/>
          <w:szCs w:val="24"/>
        </w:rPr>
        <w:t>ial</w:t>
      </w:r>
      <w:r w:rsidRPr="00D7577B" w:rsidR="00F64F67">
        <w:rPr>
          <w:rFonts w:ascii="Times New Roman" w:hAnsi="Times New Roman" w:eastAsia="Times New Roman" w:cs="Times New Roman"/>
          <w:b/>
          <w:i/>
          <w:color w:val="030303"/>
          <w:spacing w:val="2"/>
          <w:sz w:val="24"/>
          <w:szCs w:val="24"/>
        </w:rPr>
        <w:t xml:space="preserve"> circumstances that would cause an information collection to be conducted in</w:t>
      </w:r>
      <w:r w:rsidRPr="00D7577B" w:rsidR="00EB2089">
        <w:rPr>
          <w:rFonts w:ascii="Times New Roman" w:hAnsi="Times New Roman" w:eastAsia="Times New Roman" w:cs="Times New Roman"/>
          <w:b/>
          <w:i/>
          <w:color w:val="030303"/>
          <w:spacing w:val="2"/>
          <w:sz w:val="24"/>
          <w:szCs w:val="24"/>
        </w:rPr>
        <w:t xml:space="preserve"> a mann</w:t>
      </w:r>
      <w:r w:rsidRPr="00D7577B" w:rsidR="00F64F67">
        <w:rPr>
          <w:rFonts w:ascii="Times New Roman" w:hAnsi="Times New Roman" w:eastAsia="Times New Roman" w:cs="Times New Roman"/>
          <w:b/>
          <w:i/>
          <w:color w:val="030303"/>
          <w:spacing w:val="2"/>
          <w:sz w:val="24"/>
          <w:szCs w:val="24"/>
        </w:rPr>
        <w:t>er:</w:t>
      </w:r>
    </w:p>
    <w:p w:rsidRPr="00D7577B" w:rsidR="00F64F67" w:rsidP="00A03B38" w:rsidRDefault="00FA08B4" w14:paraId="3F2BD497" w14:textId="77777777">
      <w:pPr>
        <w:spacing w:after="0" w:line="240" w:lineRule="auto"/>
        <w:ind w:right="-40" w:hanging="5"/>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b/>
          <w:i/>
          <w:color w:val="030303"/>
          <w:spacing w:val="2"/>
          <w:sz w:val="24"/>
          <w:szCs w:val="24"/>
        </w:rPr>
        <w:tab/>
      </w:r>
    </w:p>
    <w:p w:rsidRPr="00D7577B" w:rsidR="00EB2089" w:rsidP="00EB2089" w:rsidRDefault="00F64F67" w14:paraId="0F877E9F" w14:textId="77777777">
      <w:pPr>
        <w:pStyle w:val="ListParagraph"/>
        <w:numPr>
          <w:ilvl w:val="0"/>
          <w:numId w:val="2"/>
        </w:numPr>
        <w:spacing w:after="0" w:line="240" w:lineRule="auto"/>
        <w:ind w:right="-40"/>
        <w:rPr>
          <w:rFonts w:ascii="Times New Roman" w:hAnsi="Times New Roman" w:eastAsia="Times New Roman" w:cs="Times New Roman"/>
          <w:b/>
          <w:i/>
          <w:color w:val="030303"/>
          <w:spacing w:val="2"/>
          <w:sz w:val="24"/>
          <w:szCs w:val="24"/>
        </w:rPr>
      </w:pPr>
      <w:r w:rsidRPr="00D7577B">
        <w:rPr>
          <w:rFonts w:ascii="Times New Roman" w:hAnsi="Times New Roman" w:eastAsia="Times New Roman" w:cs="Times New Roman"/>
          <w:b/>
          <w:i/>
          <w:color w:val="030303"/>
          <w:spacing w:val="2"/>
          <w:sz w:val="24"/>
          <w:szCs w:val="24"/>
        </w:rPr>
        <w:t xml:space="preserve">requiring respondents to report information to the agency more often than quarterly; </w:t>
      </w:r>
    </w:p>
    <w:p w:rsidRPr="00D7577B" w:rsidR="00B25BFA" w:rsidP="00B25BFA" w:rsidRDefault="00B25BFA" w14:paraId="5C116477" w14:textId="77777777">
      <w:pPr>
        <w:tabs>
          <w:tab w:val="left" w:pos="720"/>
        </w:tabs>
        <w:spacing w:after="0" w:line="240" w:lineRule="auto"/>
        <w:rPr>
          <w:rFonts w:ascii="Times New Roman" w:hAnsi="Times New Roman" w:eastAsia="Times New Roman" w:cs="Times New Roman"/>
          <w:sz w:val="24"/>
          <w:szCs w:val="24"/>
        </w:rPr>
      </w:pPr>
      <w:r w:rsidRPr="00D7577B">
        <w:rPr>
          <w:rFonts w:ascii="Times New Roman" w:hAnsi="Times New Roman" w:eastAsia="Times New Roman" w:cs="Times New Roman"/>
          <w:sz w:val="24"/>
          <w:szCs w:val="24"/>
        </w:rPr>
        <w:t xml:space="preserve">Vessel crews must report sightings of any injured or dead protected species (marine mammals and sea turtles) immediately to the NOAA Fisheries Stranding Hotline at (877) 433-8299.  In addition, if the injury or death was caused by an OCS-related activity, operators must provide notification within 24 hours of the strike by email to </w:t>
      </w:r>
      <w:bookmarkStart w:name="OLE_LINK1" w:id="1"/>
      <w:bookmarkStart w:name="OLE_LINK2" w:id="2"/>
      <w:r w:rsidRPr="00D7577B">
        <w:rPr>
          <w:rFonts w:ascii="Times New Roman" w:hAnsi="Times New Roman" w:eastAsia="Times New Roman" w:cs="Times New Roman"/>
          <w:b/>
          <w:bCs/>
          <w:sz w:val="24"/>
          <w:szCs w:val="24"/>
        </w:rPr>
        <w:fldChar w:fldCharType="begin"/>
      </w:r>
      <w:r w:rsidRPr="00D7577B">
        <w:rPr>
          <w:rFonts w:ascii="Times New Roman" w:hAnsi="Times New Roman" w:eastAsia="Times New Roman" w:cs="Times New Roman"/>
          <w:b/>
          <w:bCs/>
          <w:sz w:val="24"/>
          <w:szCs w:val="24"/>
        </w:rPr>
        <w:instrText xml:space="preserve"> HYPERLINK "mailto:protectedspecies@bsee.gov" </w:instrText>
      </w:r>
      <w:r w:rsidRPr="00D7577B">
        <w:rPr>
          <w:rFonts w:ascii="Times New Roman" w:hAnsi="Times New Roman" w:eastAsia="Times New Roman" w:cs="Times New Roman"/>
          <w:b/>
          <w:bCs/>
          <w:sz w:val="24"/>
          <w:szCs w:val="24"/>
        </w:rPr>
        <w:fldChar w:fldCharType="separate"/>
      </w:r>
      <w:r w:rsidRPr="00D7577B">
        <w:rPr>
          <w:rFonts w:ascii="Times New Roman" w:hAnsi="Times New Roman" w:eastAsia="Times New Roman" w:cs="Times New Roman"/>
          <w:bCs/>
          <w:sz w:val="24"/>
          <w:szCs w:val="24"/>
          <w:u w:val="single"/>
        </w:rPr>
        <w:t>protectedspecies@bsee.gov</w:t>
      </w:r>
      <w:bookmarkEnd w:id="1"/>
      <w:bookmarkEnd w:id="2"/>
      <w:r w:rsidRPr="00D7577B">
        <w:rPr>
          <w:rFonts w:ascii="Times New Roman" w:hAnsi="Times New Roman" w:eastAsia="Times New Roman" w:cs="Times New Roman"/>
          <w:b/>
          <w:bCs/>
          <w:sz w:val="24"/>
          <w:szCs w:val="24"/>
        </w:rPr>
        <w:fldChar w:fldCharType="end"/>
      </w:r>
      <w:r w:rsidRPr="00D7577B">
        <w:rPr>
          <w:rFonts w:ascii="Times New Roman" w:hAnsi="Times New Roman" w:eastAsia="Times New Roman" w:cs="Times New Roman"/>
          <w:sz w:val="24"/>
          <w:szCs w:val="24"/>
        </w:rPr>
        <w:t>.  This immediate response is necessary to comply with the NOAA Fisheries’</w:t>
      </w:r>
      <w:r w:rsidRPr="00D7577B">
        <w:rPr>
          <w:rFonts w:ascii="Times New Roman" w:hAnsi="Times New Roman" w:eastAsia="Times New Roman" w:cs="Times New Roman"/>
          <w:color w:val="FF0000"/>
          <w:sz w:val="24"/>
          <w:szCs w:val="24"/>
        </w:rPr>
        <w:t xml:space="preserve"> </w:t>
      </w:r>
      <w:r w:rsidRPr="00D7577B">
        <w:rPr>
          <w:rFonts w:ascii="Times New Roman" w:hAnsi="Times New Roman" w:eastAsia="Times New Roman" w:cs="Times New Roman"/>
          <w:sz w:val="24"/>
          <w:szCs w:val="24"/>
        </w:rPr>
        <w:t>mandate to report “takes” promptly.</w:t>
      </w:r>
    </w:p>
    <w:p w:rsidRPr="00D7577B" w:rsidR="00B25BFA" w:rsidP="00B25BFA" w:rsidRDefault="00B25BFA" w14:paraId="224806BE" w14:textId="77777777">
      <w:pPr>
        <w:tabs>
          <w:tab w:val="left" w:pos="720"/>
        </w:tabs>
        <w:spacing w:after="0" w:line="240" w:lineRule="auto"/>
        <w:rPr>
          <w:rFonts w:ascii="Times New Roman" w:hAnsi="Times New Roman" w:eastAsia="Times New Roman" w:cs="Times New Roman"/>
          <w:color w:val="000000"/>
          <w:sz w:val="24"/>
          <w:szCs w:val="24"/>
        </w:rPr>
      </w:pPr>
      <w:r w:rsidRPr="00D7577B">
        <w:rPr>
          <w:rFonts w:ascii="Times New Roman" w:hAnsi="Times New Roman" w:eastAsia="Times New Roman" w:cs="Times New Roman"/>
          <w:color w:val="000000"/>
          <w:sz w:val="24"/>
          <w:szCs w:val="24"/>
        </w:rPr>
        <w:t xml:space="preserve">  </w:t>
      </w:r>
    </w:p>
    <w:p w:rsidRPr="00D7577B" w:rsidR="00B25BFA" w:rsidP="00B25BFA" w:rsidRDefault="00B25BFA" w14:paraId="403774E0" w14:textId="77777777">
      <w:pPr>
        <w:tabs>
          <w:tab w:val="left" w:pos="-1080"/>
          <w:tab w:val="left" w:pos="-720"/>
          <w:tab w:val="left" w:pos="360"/>
          <w:tab w:val="left" w:pos="720"/>
        </w:tabs>
        <w:spacing w:after="0" w:line="240" w:lineRule="auto"/>
        <w:rPr>
          <w:rFonts w:ascii="Times New Roman" w:hAnsi="Times New Roman" w:eastAsia="Times New Roman" w:cs="Times New Roman"/>
          <w:b/>
          <w:i/>
          <w:snapToGrid w:val="0"/>
          <w:sz w:val="24"/>
          <w:szCs w:val="24"/>
        </w:rPr>
      </w:pPr>
      <w:r w:rsidRPr="00D7577B">
        <w:rPr>
          <w:rFonts w:ascii="Times New Roman" w:hAnsi="Times New Roman" w:eastAsia="Times New Roman" w:cs="Times New Roman"/>
          <w:b/>
          <w:snapToGrid w:val="0"/>
          <w:sz w:val="24"/>
          <w:szCs w:val="24"/>
        </w:rPr>
        <w:tab/>
      </w:r>
      <w:r w:rsidRPr="00D7577B">
        <w:rPr>
          <w:rFonts w:ascii="Times New Roman" w:hAnsi="Times New Roman" w:eastAsia="Times New Roman" w:cs="Times New Roman"/>
          <w:b/>
          <w:i/>
          <w:snapToGrid w:val="0"/>
          <w:sz w:val="24"/>
          <w:szCs w:val="24"/>
        </w:rPr>
        <w:t>(b) requiring respondents to prepare a written response to a collection of information in fewer than 30 days after receipt of it;</w:t>
      </w:r>
    </w:p>
    <w:p w:rsidRPr="00D7577B" w:rsidR="00B25BFA" w:rsidP="00B25BFA" w:rsidRDefault="00B25BFA" w14:paraId="2A8B84A7" w14:textId="77777777">
      <w:pPr>
        <w:tabs>
          <w:tab w:val="left" w:pos="720"/>
        </w:tabs>
        <w:spacing w:after="0" w:line="240" w:lineRule="auto"/>
        <w:rPr>
          <w:rFonts w:ascii="Times New Roman" w:hAnsi="Times New Roman" w:eastAsia="Times New Roman" w:cs="Times New Roman"/>
          <w:sz w:val="24"/>
          <w:szCs w:val="24"/>
        </w:rPr>
      </w:pPr>
      <w:r w:rsidRPr="00D7577B">
        <w:rPr>
          <w:rFonts w:ascii="Times New Roman" w:hAnsi="Times New Roman" w:eastAsia="Times New Roman" w:cs="Times New Roman"/>
          <w:sz w:val="24"/>
          <w:szCs w:val="24"/>
        </w:rPr>
        <w:t>BOEM requires that any marine mammal observation and monitoring reports be submitted on the 1</w:t>
      </w:r>
      <w:r w:rsidRPr="00D7577B">
        <w:rPr>
          <w:rFonts w:ascii="Times New Roman" w:hAnsi="Times New Roman" w:eastAsia="Times New Roman" w:cs="Times New Roman"/>
          <w:sz w:val="24"/>
          <w:szCs w:val="24"/>
          <w:vertAlign w:val="superscript"/>
        </w:rPr>
        <w:t>st</w:t>
      </w:r>
      <w:r w:rsidRPr="00D7577B">
        <w:rPr>
          <w:rFonts w:ascii="Times New Roman" w:hAnsi="Times New Roman" w:eastAsia="Times New Roman" w:cs="Times New Roman"/>
          <w:sz w:val="24"/>
          <w:szCs w:val="24"/>
        </w:rPr>
        <w:t xml:space="preserve"> and 15</w:t>
      </w:r>
      <w:r w:rsidRPr="00D7577B">
        <w:rPr>
          <w:rFonts w:ascii="Times New Roman" w:hAnsi="Times New Roman" w:eastAsia="Times New Roman" w:cs="Times New Roman"/>
          <w:sz w:val="24"/>
          <w:szCs w:val="24"/>
          <w:vertAlign w:val="superscript"/>
        </w:rPr>
        <w:t>th</w:t>
      </w:r>
      <w:r w:rsidRPr="00D7577B">
        <w:rPr>
          <w:rFonts w:ascii="Times New Roman" w:hAnsi="Times New Roman" w:eastAsia="Times New Roman" w:cs="Times New Roman"/>
          <w:sz w:val="24"/>
          <w:szCs w:val="24"/>
        </w:rPr>
        <w:t xml:space="preserve"> of each month via email.  This schedule is beneficial for two reasons:  (1) data and sightings gathered over a 2-week period should be a manageable quantity that can be recorded and sent quickly and easily, by mail or electronically and (2) the rotation of a crew on typical seismic operations could make less frequent reporting problematic.  A bimonthly reporting schedule will normally</w:t>
      </w:r>
      <w:r w:rsidRPr="00D7577B">
        <w:rPr>
          <w:rFonts w:ascii="Times New Roman" w:hAnsi="Times New Roman" w:eastAsia="Times New Roman" w:cs="Times New Roman"/>
          <w:color w:val="FF0000"/>
          <w:sz w:val="24"/>
          <w:szCs w:val="24"/>
        </w:rPr>
        <w:t xml:space="preserve"> </w:t>
      </w:r>
      <w:r w:rsidRPr="00D7577B">
        <w:rPr>
          <w:rFonts w:ascii="Times New Roman" w:hAnsi="Times New Roman" w:eastAsia="Times New Roman" w:cs="Times New Roman"/>
          <w:sz w:val="24"/>
          <w:szCs w:val="24"/>
        </w:rPr>
        <w:t>involve only one crew.  However, there is a requirement to</w:t>
      </w:r>
      <w:r w:rsidRPr="00D7577B">
        <w:rPr>
          <w:rFonts w:ascii="Times New Roman" w:hAnsi="Times New Roman" w:eastAsia="Times New Roman" w:cs="Times New Roman"/>
          <w:color w:val="FF0000"/>
          <w:sz w:val="24"/>
          <w:szCs w:val="24"/>
        </w:rPr>
        <w:t xml:space="preserve"> </w:t>
      </w:r>
      <w:r w:rsidRPr="00D7577B">
        <w:rPr>
          <w:rFonts w:ascii="Times New Roman" w:hAnsi="Times New Roman" w:eastAsia="Times New Roman" w:cs="Times New Roman"/>
          <w:sz w:val="24"/>
          <w:szCs w:val="24"/>
        </w:rPr>
        <w:t xml:space="preserve">report within 24 hours the sighting of a sperm whale in the exclusion zone (that results in a </w:t>
      </w:r>
      <w:proofErr w:type="spellStart"/>
      <w:r w:rsidRPr="00D7577B">
        <w:rPr>
          <w:rFonts w:ascii="Times New Roman" w:hAnsi="Times New Roman" w:eastAsia="Times New Roman" w:cs="Times New Roman"/>
          <w:sz w:val="24"/>
          <w:szCs w:val="24"/>
        </w:rPr>
        <w:t>shut down</w:t>
      </w:r>
      <w:proofErr w:type="spellEnd"/>
      <w:r w:rsidRPr="00D7577B">
        <w:rPr>
          <w:rFonts w:ascii="Times New Roman" w:hAnsi="Times New Roman" w:eastAsia="Times New Roman" w:cs="Times New Roman"/>
          <w:color w:val="FF0000"/>
          <w:sz w:val="24"/>
          <w:szCs w:val="24"/>
        </w:rPr>
        <w:t xml:space="preserve"> </w:t>
      </w:r>
      <w:r w:rsidRPr="00D7577B">
        <w:rPr>
          <w:rFonts w:ascii="Times New Roman" w:hAnsi="Times New Roman" w:eastAsia="Times New Roman" w:cs="Times New Roman"/>
          <w:sz w:val="24"/>
          <w:szCs w:val="24"/>
        </w:rPr>
        <w:t>of air guns). This immediate response is necessary for BOEM to comply with the NOAA Fisheries’</w:t>
      </w:r>
      <w:r w:rsidRPr="00D7577B">
        <w:rPr>
          <w:rFonts w:ascii="Times New Roman" w:hAnsi="Times New Roman" w:eastAsia="Times New Roman" w:cs="Times New Roman"/>
          <w:color w:val="FF0000"/>
          <w:sz w:val="24"/>
          <w:szCs w:val="24"/>
        </w:rPr>
        <w:t xml:space="preserve"> </w:t>
      </w:r>
      <w:r w:rsidRPr="00D7577B">
        <w:rPr>
          <w:rFonts w:ascii="Times New Roman" w:hAnsi="Times New Roman" w:eastAsia="Times New Roman" w:cs="Times New Roman"/>
          <w:sz w:val="24"/>
          <w:szCs w:val="24"/>
        </w:rPr>
        <w:t>mandate to report “takes” promptly.</w:t>
      </w:r>
    </w:p>
    <w:p w:rsidRPr="00D7577B" w:rsidR="00B25BFA" w:rsidP="00B25BFA" w:rsidRDefault="00B25BFA" w14:paraId="456CB4E3" w14:textId="77777777">
      <w:pPr>
        <w:tabs>
          <w:tab w:val="left" w:pos="-1080"/>
          <w:tab w:val="left" w:pos="-720"/>
          <w:tab w:val="left" w:pos="360"/>
          <w:tab w:val="left" w:pos="720"/>
        </w:tabs>
        <w:spacing w:after="0" w:line="240" w:lineRule="auto"/>
        <w:rPr>
          <w:rFonts w:ascii="Times New Roman" w:hAnsi="Times New Roman" w:eastAsia="Times New Roman" w:cs="Times New Roman"/>
          <w:snapToGrid w:val="0"/>
          <w:sz w:val="24"/>
          <w:szCs w:val="24"/>
        </w:rPr>
      </w:pPr>
    </w:p>
    <w:p w:rsidRPr="00D7577B" w:rsidR="00B25BFA" w:rsidP="00B25BFA" w:rsidRDefault="00B25BFA" w14:paraId="76644779" w14:textId="77777777">
      <w:pPr>
        <w:tabs>
          <w:tab w:val="left" w:pos="-1080"/>
          <w:tab w:val="left" w:pos="-720"/>
          <w:tab w:val="left" w:pos="360"/>
          <w:tab w:val="left" w:pos="720"/>
        </w:tabs>
        <w:spacing w:after="0" w:line="240" w:lineRule="auto"/>
        <w:rPr>
          <w:rFonts w:ascii="Times New Roman" w:hAnsi="Times New Roman" w:eastAsia="Times New Roman" w:cs="Times New Roman"/>
          <w:b/>
          <w:i/>
          <w:snapToGrid w:val="0"/>
          <w:sz w:val="24"/>
          <w:szCs w:val="24"/>
        </w:rPr>
      </w:pPr>
      <w:r w:rsidRPr="00D7577B">
        <w:rPr>
          <w:rFonts w:ascii="Times New Roman" w:hAnsi="Times New Roman" w:eastAsia="Times New Roman" w:cs="Times New Roman"/>
          <w:b/>
          <w:snapToGrid w:val="0"/>
          <w:sz w:val="24"/>
          <w:szCs w:val="24"/>
        </w:rPr>
        <w:tab/>
      </w:r>
      <w:r w:rsidRPr="00D7577B">
        <w:rPr>
          <w:rFonts w:ascii="Times New Roman" w:hAnsi="Times New Roman" w:eastAsia="Times New Roman" w:cs="Times New Roman"/>
          <w:b/>
          <w:i/>
          <w:snapToGrid w:val="0"/>
          <w:sz w:val="24"/>
          <w:szCs w:val="24"/>
        </w:rPr>
        <w:t>(c) requiring respondents to submit more than an original and two copies of any document;</w:t>
      </w:r>
    </w:p>
    <w:p w:rsidRPr="00D7577B" w:rsidR="00B25BFA" w:rsidP="00B25BFA" w:rsidRDefault="00B25BFA" w14:paraId="0016D317" w14:textId="77777777">
      <w:pPr>
        <w:tabs>
          <w:tab w:val="left" w:pos="360"/>
          <w:tab w:val="left" w:pos="720"/>
        </w:tabs>
        <w:spacing w:after="0" w:line="240" w:lineRule="auto"/>
        <w:rPr>
          <w:rFonts w:ascii="Times New Roman" w:hAnsi="Times New Roman" w:eastAsia="Times New Roman" w:cs="Times New Roman"/>
          <w:snapToGrid w:val="0"/>
          <w:sz w:val="24"/>
          <w:szCs w:val="24"/>
        </w:rPr>
      </w:pPr>
      <w:r w:rsidRPr="00D7577B">
        <w:rPr>
          <w:rFonts w:ascii="Times New Roman" w:hAnsi="Times New Roman" w:eastAsia="Times New Roman" w:cs="Times New Roman"/>
          <w:snapToGrid w:val="0"/>
          <w:sz w:val="24"/>
          <w:szCs w:val="24"/>
        </w:rPr>
        <w:t xml:space="preserve">The number of copies of plans and accompanying information respondents are required to submit varies depending on the location of the proposed activities. BOEM is under a mandated timeframe to review and make decisions on these plans, which can be quite complex, voluminous, and detailed.  Several program areas within BOEM must review the information simultaneously to meet the mandated timeframe. If BOEM had to reproduce the necessary </w:t>
      </w:r>
      <w:r w:rsidRPr="00D7577B">
        <w:rPr>
          <w:rFonts w:ascii="Times New Roman" w:hAnsi="Times New Roman" w:eastAsia="Times New Roman" w:cs="Times New Roman"/>
          <w:snapToGrid w:val="0"/>
          <w:sz w:val="24"/>
          <w:szCs w:val="24"/>
        </w:rPr>
        <w:lastRenderedPageBreak/>
        <w:t xml:space="preserve">copies for its internal reviews, it would be extremely difficult, if not impossible, to meet the deadlines imposed the by OCS Lands Act, as amended. Therefore, respondents submitting paper copies are required to submit four “proprietary” copies of their plans. In addition, the OCS Lands Act also requires that we make non-proprietary (public information) copies available for simultaneous review by State and local government entities.  Depending on the State(s) involved, BOEM needs from 3 to 17 public information copies to distribute to the States and local governments having an interest in the project, as well as a copy to make available for the general public to review. Companies have indicated on occasion that they have no objection to providing the extra copies to expedite the review processes.  </w:t>
      </w:r>
    </w:p>
    <w:p w:rsidRPr="00D7577B" w:rsidR="00B25BFA" w:rsidP="00B25BFA" w:rsidRDefault="00B25BFA" w14:paraId="06ACBCA7" w14:textId="77777777">
      <w:pPr>
        <w:tabs>
          <w:tab w:val="left" w:pos="-1080"/>
          <w:tab w:val="left" w:pos="-720"/>
          <w:tab w:val="left" w:pos="360"/>
          <w:tab w:val="left" w:pos="720"/>
        </w:tabs>
        <w:spacing w:after="0" w:line="240" w:lineRule="auto"/>
        <w:rPr>
          <w:rFonts w:ascii="Times New Roman" w:hAnsi="Times New Roman" w:eastAsia="Times New Roman" w:cs="Times New Roman"/>
          <w:b/>
          <w:snapToGrid w:val="0"/>
          <w:sz w:val="24"/>
          <w:szCs w:val="24"/>
        </w:rPr>
      </w:pPr>
    </w:p>
    <w:p w:rsidRPr="00D7577B" w:rsidR="00B25BFA" w:rsidP="00B25BFA" w:rsidRDefault="00B25BFA" w14:paraId="2BCDF4FD" w14:textId="77777777">
      <w:pPr>
        <w:tabs>
          <w:tab w:val="left" w:pos="-1080"/>
          <w:tab w:val="left" w:pos="-720"/>
          <w:tab w:val="left" w:pos="360"/>
          <w:tab w:val="left" w:pos="720"/>
        </w:tabs>
        <w:spacing w:after="0" w:line="240" w:lineRule="auto"/>
        <w:rPr>
          <w:rFonts w:ascii="Times New Roman" w:hAnsi="Times New Roman" w:eastAsia="Times New Roman" w:cs="Times New Roman"/>
          <w:b/>
          <w:i/>
          <w:snapToGrid w:val="0"/>
          <w:sz w:val="24"/>
          <w:szCs w:val="24"/>
        </w:rPr>
      </w:pPr>
      <w:r w:rsidRPr="00D7577B">
        <w:rPr>
          <w:rFonts w:ascii="Times New Roman" w:hAnsi="Times New Roman" w:eastAsia="Times New Roman" w:cs="Times New Roman"/>
          <w:b/>
          <w:snapToGrid w:val="0"/>
          <w:sz w:val="24"/>
          <w:szCs w:val="24"/>
        </w:rPr>
        <w:tab/>
      </w:r>
      <w:r w:rsidRPr="00D7577B">
        <w:rPr>
          <w:rFonts w:ascii="Times New Roman" w:hAnsi="Times New Roman" w:eastAsia="Times New Roman" w:cs="Times New Roman"/>
          <w:b/>
          <w:i/>
          <w:snapToGrid w:val="0"/>
          <w:sz w:val="24"/>
          <w:szCs w:val="24"/>
        </w:rPr>
        <w:t>(d) requiring respondents to retain records, other than health, medical, government contract, grant-in-aid, or tax records, for more than 3 years;</w:t>
      </w:r>
    </w:p>
    <w:p w:rsidRPr="00D7577B" w:rsidR="00B25BFA" w:rsidP="00B25BFA" w:rsidRDefault="00B25BFA" w14:paraId="173C5663" w14:textId="77777777">
      <w:pPr>
        <w:tabs>
          <w:tab w:val="left" w:pos="360"/>
          <w:tab w:val="left" w:pos="720"/>
        </w:tabs>
        <w:spacing w:after="0" w:line="240" w:lineRule="auto"/>
        <w:rPr>
          <w:rFonts w:ascii="Times New Roman" w:hAnsi="Times New Roman" w:eastAsia="Times New Roman" w:cs="Times New Roman"/>
          <w:snapToGrid w:val="0"/>
          <w:sz w:val="24"/>
          <w:szCs w:val="24"/>
        </w:rPr>
      </w:pPr>
      <w:r w:rsidRPr="00D7577B">
        <w:rPr>
          <w:rFonts w:ascii="Times New Roman" w:hAnsi="Times New Roman" w:eastAsia="Times New Roman" w:cs="Times New Roman"/>
          <w:snapToGrid w:val="0"/>
          <w:sz w:val="24"/>
          <w:szCs w:val="24"/>
        </w:rPr>
        <w:t>It is also necessary that respondents retain data and information longer than 3 years.  Much of the supporting information is to be retained for the duration of the project. However, this type of information is such that respondents would be very unlikely to dispose of it sooner.  It contains valuable background data and analyses that they would not want to duplicate should it be needed during the life of the exploration or development and production project.  We consider the burden only to make the information available to BOEM if necessary.</w:t>
      </w:r>
    </w:p>
    <w:p w:rsidRPr="00D7577B" w:rsidR="00B25BFA" w:rsidP="00B25BFA" w:rsidRDefault="00B25BFA" w14:paraId="00CAD861" w14:textId="77777777">
      <w:pPr>
        <w:tabs>
          <w:tab w:val="left" w:pos="-1080"/>
          <w:tab w:val="left" w:pos="-720"/>
          <w:tab w:val="left" w:pos="360"/>
          <w:tab w:val="left" w:pos="720"/>
        </w:tabs>
        <w:spacing w:after="0" w:line="240" w:lineRule="auto"/>
        <w:rPr>
          <w:rFonts w:ascii="Times New Roman" w:hAnsi="Times New Roman" w:eastAsia="Times New Roman" w:cs="Times New Roman"/>
          <w:b/>
          <w:snapToGrid w:val="0"/>
          <w:sz w:val="24"/>
          <w:szCs w:val="24"/>
        </w:rPr>
      </w:pPr>
    </w:p>
    <w:p w:rsidRPr="00D7577B" w:rsidR="00B25BFA" w:rsidP="00B25BFA" w:rsidRDefault="00B25BFA" w14:paraId="00DBAE80" w14:textId="77777777">
      <w:pPr>
        <w:tabs>
          <w:tab w:val="left" w:pos="-1080"/>
          <w:tab w:val="left" w:pos="-720"/>
          <w:tab w:val="left" w:pos="360"/>
          <w:tab w:val="left" w:pos="720"/>
        </w:tabs>
        <w:spacing w:after="0" w:line="240" w:lineRule="auto"/>
        <w:rPr>
          <w:rFonts w:ascii="Times New Roman" w:hAnsi="Times New Roman" w:eastAsia="Times New Roman" w:cs="Times New Roman"/>
          <w:b/>
          <w:i/>
          <w:snapToGrid w:val="0"/>
          <w:sz w:val="24"/>
          <w:szCs w:val="24"/>
        </w:rPr>
      </w:pPr>
      <w:r w:rsidRPr="00D7577B">
        <w:rPr>
          <w:rFonts w:ascii="Times New Roman" w:hAnsi="Times New Roman" w:eastAsia="Times New Roman" w:cs="Times New Roman"/>
          <w:b/>
          <w:i/>
          <w:snapToGrid w:val="0"/>
          <w:sz w:val="24"/>
          <w:szCs w:val="24"/>
        </w:rPr>
        <w:tab/>
        <w:t>(e) in connection with a statistical survey, that is not designed to produce valid and reliable results that can be generalized to the universe of study;</w:t>
      </w:r>
    </w:p>
    <w:p w:rsidRPr="00D7577B" w:rsidR="00B25BFA" w:rsidP="00B25BFA" w:rsidRDefault="00B25BFA" w14:paraId="06C20CE4" w14:textId="77777777">
      <w:pPr>
        <w:tabs>
          <w:tab w:val="left" w:pos="-1080"/>
          <w:tab w:val="left" w:pos="-720"/>
          <w:tab w:val="left" w:pos="360"/>
          <w:tab w:val="left" w:pos="720"/>
        </w:tabs>
        <w:spacing w:after="0" w:line="240" w:lineRule="auto"/>
        <w:rPr>
          <w:rFonts w:ascii="Times New Roman" w:hAnsi="Times New Roman" w:eastAsia="Times New Roman" w:cs="Times New Roman"/>
          <w:snapToGrid w:val="0"/>
          <w:sz w:val="24"/>
          <w:szCs w:val="24"/>
        </w:rPr>
      </w:pPr>
      <w:r w:rsidRPr="00D7577B">
        <w:rPr>
          <w:rFonts w:ascii="Times New Roman" w:hAnsi="Times New Roman" w:eastAsia="Times New Roman" w:cs="Times New Roman"/>
          <w:snapToGrid w:val="0"/>
          <w:sz w:val="24"/>
          <w:szCs w:val="24"/>
        </w:rPr>
        <w:t>Not applicable in this collection.</w:t>
      </w:r>
    </w:p>
    <w:p w:rsidRPr="00D7577B" w:rsidR="00B25BFA" w:rsidP="00B25BFA" w:rsidRDefault="00B25BFA" w14:paraId="5D754221" w14:textId="77777777">
      <w:pPr>
        <w:tabs>
          <w:tab w:val="left" w:pos="-1080"/>
          <w:tab w:val="left" w:pos="-720"/>
          <w:tab w:val="left" w:pos="360"/>
          <w:tab w:val="left" w:pos="720"/>
        </w:tabs>
        <w:spacing w:after="0" w:line="240" w:lineRule="auto"/>
        <w:rPr>
          <w:rFonts w:ascii="Times New Roman" w:hAnsi="Times New Roman" w:eastAsia="Times New Roman" w:cs="Times New Roman"/>
          <w:b/>
          <w:snapToGrid w:val="0"/>
          <w:sz w:val="24"/>
          <w:szCs w:val="24"/>
        </w:rPr>
      </w:pPr>
    </w:p>
    <w:p w:rsidRPr="00D7577B" w:rsidR="00B25BFA" w:rsidP="00B25BFA" w:rsidRDefault="00B25BFA" w14:paraId="7676DF7F" w14:textId="77777777">
      <w:pPr>
        <w:tabs>
          <w:tab w:val="left" w:pos="-1080"/>
          <w:tab w:val="left" w:pos="-720"/>
          <w:tab w:val="left" w:pos="360"/>
          <w:tab w:val="left" w:pos="720"/>
        </w:tabs>
        <w:spacing w:after="0" w:line="240" w:lineRule="auto"/>
        <w:rPr>
          <w:rFonts w:ascii="Times New Roman" w:hAnsi="Times New Roman" w:eastAsia="Times New Roman" w:cs="Times New Roman"/>
          <w:b/>
          <w:i/>
          <w:snapToGrid w:val="0"/>
          <w:sz w:val="24"/>
          <w:szCs w:val="24"/>
        </w:rPr>
      </w:pPr>
      <w:r w:rsidRPr="00D7577B">
        <w:rPr>
          <w:rFonts w:ascii="Times New Roman" w:hAnsi="Times New Roman" w:eastAsia="Times New Roman" w:cs="Times New Roman"/>
          <w:b/>
          <w:i/>
          <w:snapToGrid w:val="0"/>
          <w:sz w:val="24"/>
          <w:szCs w:val="24"/>
        </w:rPr>
        <w:tab/>
        <w:t>(f) requiring the use of statistical data classification that has been reviewed and approved by OMB;</w:t>
      </w:r>
    </w:p>
    <w:p w:rsidRPr="00D7577B" w:rsidR="00B25BFA" w:rsidP="00B25BFA" w:rsidRDefault="00B25BFA" w14:paraId="4969075E" w14:textId="77777777">
      <w:pPr>
        <w:tabs>
          <w:tab w:val="left" w:pos="-1080"/>
          <w:tab w:val="left" w:pos="-720"/>
          <w:tab w:val="left" w:pos="360"/>
          <w:tab w:val="left" w:pos="720"/>
        </w:tabs>
        <w:spacing w:after="0" w:line="240" w:lineRule="auto"/>
        <w:rPr>
          <w:rFonts w:ascii="Times New Roman" w:hAnsi="Times New Roman" w:eastAsia="Times New Roman" w:cs="Times New Roman"/>
          <w:snapToGrid w:val="0"/>
          <w:sz w:val="24"/>
          <w:szCs w:val="24"/>
        </w:rPr>
      </w:pPr>
      <w:r w:rsidRPr="00D7577B">
        <w:rPr>
          <w:rFonts w:ascii="Times New Roman" w:hAnsi="Times New Roman" w:eastAsia="Times New Roman" w:cs="Times New Roman"/>
          <w:snapToGrid w:val="0"/>
          <w:sz w:val="24"/>
          <w:szCs w:val="24"/>
        </w:rPr>
        <w:t>Not applicable in this collection.</w:t>
      </w:r>
    </w:p>
    <w:p w:rsidRPr="00D7577B" w:rsidR="00B25BFA" w:rsidP="00B25BFA" w:rsidRDefault="00B25BFA" w14:paraId="5D4C8148" w14:textId="77777777">
      <w:pPr>
        <w:tabs>
          <w:tab w:val="left" w:pos="-1080"/>
          <w:tab w:val="left" w:pos="-720"/>
          <w:tab w:val="left" w:pos="360"/>
          <w:tab w:val="left" w:pos="720"/>
        </w:tabs>
        <w:spacing w:after="0" w:line="240" w:lineRule="auto"/>
        <w:rPr>
          <w:rFonts w:ascii="Times New Roman" w:hAnsi="Times New Roman" w:eastAsia="Times New Roman" w:cs="Times New Roman"/>
          <w:b/>
          <w:snapToGrid w:val="0"/>
          <w:sz w:val="24"/>
          <w:szCs w:val="24"/>
        </w:rPr>
      </w:pPr>
    </w:p>
    <w:p w:rsidRPr="00D7577B" w:rsidR="00B25BFA" w:rsidP="00B25BFA" w:rsidRDefault="00B25BFA" w14:paraId="5B0882B8" w14:textId="77777777">
      <w:pPr>
        <w:tabs>
          <w:tab w:val="left" w:pos="-1080"/>
          <w:tab w:val="left" w:pos="-720"/>
          <w:tab w:val="left" w:pos="360"/>
          <w:tab w:val="left" w:pos="720"/>
        </w:tabs>
        <w:spacing w:after="0" w:line="240" w:lineRule="auto"/>
        <w:rPr>
          <w:rFonts w:ascii="Times New Roman" w:hAnsi="Times New Roman" w:eastAsia="Times New Roman" w:cs="Times New Roman"/>
          <w:b/>
          <w:snapToGrid w:val="0"/>
          <w:sz w:val="24"/>
          <w:szCs w:val="24"/>
        </w:rPr>
      </w:pPr>
      <w:r w:rsidRPr="00D7577B">
        <w:rPr>
          <w:rFonts w:ascii="Times New Roman" w:hAnsi="Times New Roman" w:eastAsia="Times New Roman" w:cs="Times New Roman"/>
          <w:b/>
          <w:snapToGrid w:val="0"/>
          <w:sz w:val="24"/>
          <w:szCs w:val="24"/>
        </w:rPr>
        <w:tab/>
      </w:r>
    </w:p>
    <w:p w:rsidRPr="00D7577B" w:rsidR="00B25BFA" w:rsidP="00B25BFA" w:rsidRDefault="00B25BFA" w14:paraId="708BA555" w14:textId="77777777">
      <w:pPr>
        <w:tabs>
          <w:tab w:val="left" w:pos="-1080"/>
          <w:tab w:val="left" w:pos="-720"/>
          <w:tab w:val="left" w:pos="360"/>
          <w:tab w:val="left" w:pos="720"/>
        </w:tabs>
        <w:spacing w:after="0" w:line="240" w:lineRule="auto"/>
        <w:rPr>
          <w:rFonts w:ascii="Times New Roman" w:hAnsi="Times New Roman" w:eastAsia="Times New Roman" w:cs="Times New Roman"/>
          <w:b/>
          <w:i/>
          <w:snapToGrid w:val="0"/>
          <w:sz w:val="24"/>
          <w:szCs w:val="24"/>
        </w:rPr>
      </w:pPr>
      <w:r w:rsidRPr="00D7577B">
        <w:rPr>
          <w:rFonts w:ascii="Times New Roman" w:hAnsi="Times New Roman" w:eastAsia="Times New Roman" w:cs="Times New Roman"/>
          <w:b/>
          <w:snapToGrid w:val="0"/>
          <w:sz w:val="24"/>
          <w:szCs w:val="24"/>
        </w:rPr>
        <w:tab/>
      </w:r>
      <w:r w:rsidRPr="00D7577B">
        <w:rPr>
          <w:rFonts w:ascii="Times New Roman" w:hAnsi="Times New Roman" w:eastAsia="Times New Roman" w:cs="Times New Roman"/>
          <w:b/>
          <w:i/>
          <w:snapToGrid w:val="0"/>
          <w:sz w:val="24"/>
          <w:szCs w:val="24"/>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7577B" w:rsidR="00B25BFA" w:rsidP="00B25BFA" w:rsidRDefault="00B25BFA" w14:paraId="38529B93" w14:textId="77777777">
      <w:pPr>
        <w:tabs>
          <w:tab w:val="left" w:pos="-1080"/>
          <w:tab w:val="left" w:pos="-720"/>
          <w:tab w:val="left" w:pos="360"/>
          <w:tab w:val="left" w:pos="720"/>
        </w:tabs>
        <w:spacing w:after="0" w:line="240" w:lineRule="auto"/>
        <w:rPr>
          <w:rFonts w:ascii="Times New Roman" w:hAnsi="Times New Roman" w:eastAsia="Times New Roman" w:cs="Times New Roman"/>
          <w:snapToGrid w:val="0"/>
          <w:sz w:val="24"/>
          <w:szCs w:val="24"/>
        </w:rPr>
      </w:pPr>
      <w:r w:rsidRPr="00D7577B">
        <w:rPr>
          <w:rFonts w:ascii="Times New Roman" w:hAnsi="Times New Roman" w:eastAsia="Times New Roman" w:cs="Times New Roman"/>
          <w:snapToGrid w:val="0"/>
          <w:sz w:val="24"/>
          <w:szCs w:val="24"/>
        </w:rPr>
        <w:t>This collection does not include a pledge of confidentiality not supported by statute or regulation.</w:t>
      </w:r>
    </w:p>
    <w:p w:rsidRPr="00D7577B" w:rsidR="00B25BFA" w:rsidP="00B25BFA" w:rsidRDefault="00B25BFA" w14:paraId="54272D3E" w14:textId="77777777">
      <w:pPr>
        <w:tabs>
          <w:tab w:val="left" w:pos="-1080"/>
          <w:tab w:val="left" w:pos="-720"/>
          <w:tab w:val="left" w:pos="360"/>
          <w:tab w:val="left" w:pos="720"/>
        </w:tabs>
        <w:spacing w:after="0" w:line="240" w:lineRule="auto"/>
        <w:rPr>
          <w:rFonts w:ascii="Times New Roman" w:hAnsi="Times New Roman" w:eastAsia="Times New Roman" w:cs="Times New Roman"/>
          <w:b/>
          <w:snapToGrid w:val="0"/>
          <w:sz w:val="24"/>
          <w:szCs w:val="24"/>
        </w:rPr>
      </w:pPr>
    </w:p>
    <w:p w:rsidRPr="00D7577B" w:rsidR="00B25BFA" w:rsidP="00B25BFA" w:rsidRDefault="00B25BFA" w14:paraId="7DFF915D" w14:textId="77777777">
      <w:pPr>
        <w:tabs>
          <w:tab w:val="left" w:pos="-1080"/>
          <w:tab w:val="left" w:pos="-720"/>
          <w:tab w:val="left" w:pos="360"/>
          <w:tab w:val="left" w:pos="720"/>
        </w:tabs>
        <w:spacing w:after="0" w:line="240" w:lineRule="auto"/>
        <w:rPr>
          <w:rFonts w:ascii="Times New Roman" w:hAnsi="Times New Roman" w:eastAsia="Times New Roman" w:cs="Times New Roman"/>
          <w:b/>
          <w:i/>
          <w:snapToGrid w:val="0"/>
          <w:sz w:val="24"/>
          <w:szCs w:val="24"/>
        </w:rPr>
      </w:pPr>
      <w:r w:rsidRPr="00D7577B">
        <w:rPr>
          <w:rFonts w:ascii="Times New Roman" w:hAnsi="Times New Roman" w:eastAsia="Times New Roman" w:cs="Times New Roman"/>
          <w:b/>
          <w:snapToGrid w:val="0"/>
          <w:sz w:val="24"/>
          <w:szCs w:val="24"/>
        </w:rPr>
        <w:tab/>
      </w:r>
      <w:r w:rsidRPr="00D7577B">
        <w:rPr>
          <w:rFonts w:ascii="Times New Roman" w:hAnsi="Times New Roman" w:eastAsia="Times New Roman" w:cs="Times New Roman"/>
          <w:b/>
          <w:i/>
          <w:snapToGrid w:val="0"/>
          <w:sz w:val="24"/>
          <w:szCs w:val="24"/>
        </w:rPr>
        <w:t>(h) requiring respondents to submit proprietary trade secrets, or other confidential information, unless the agency can demonstrate that it has instituted procedures to protect the information’s confidentiality to the extent permitted by law.</w:t>
      </w:r>
    </w:p>
    <w:p w:rsidRPr="00D7577B" w:rsidR="00B25BFA" w:rsidP="00B25BFA" w:rsidRDefault="00B25BFA" w14:paraId="5078A7ED" w14:textId="77777777">
      <w:pPr>
        <w:tabs>
          <w:tab w:val="left" w:pos="-1080"/>
          <w:tab w:val="left" w:pos="-720"/>
          <w:tab w:val="left" w:pos="360"/>
          <w:tab w:val="left" w:pos="720"/>
        </w:tabs>
        <w:spacing w:after="0" w:line="240" w:lineRule="auto"/>
        <w:rPr>
          <w:rFonts w:ascii="Times New Roman" w:hAnsi="Times New Roman" w:eastAsia="Times New Roman" w:cs="Times New Roman"/>
          <w:snapToGrid w:val="0"/>
          <w:sz w:val="24"/>
          <w:szCs w:val="24"/>
        </w:rPr>
      </w:pPr>
      <w:r w:rsidRPr="00D7577B">
        <w:rPr>
          <w:rFonts w:ascii="Times New Roman" w:hAnsi="Times New Roman" w:eastAsia="Times New Roman" w:cs="Times New Roman"/>
          <w:snapToGrid w:val="0"/>
          <w:sz w:val="24"/>
          <w:szCs w:val="24"/>
        </w:rPr>
        <w:t>BOEM will protect information considered proprietary under the Freedom of Information Act (5 U.S.C. 552), under regulations at 30 CFR 550.197, “Data and information to be made available to the public or for limited inspection,” and 30 CFR part 552, “Outer Continental Shelf (OCS) Oil and Gas Information Program.”</w:t>
      </w:r>
    </w:p>
    <w:p w:rsidRPr="00D7577B" w:rsidR="00B25BFA" w:rsidP="00B25BFA" w:rsidRDefault="00B25BFA" w14:paraId="3FCF14C7" w14:textId="77777777">
      <w:pPr>
        <w:tabs>
          <w:tab w:val="left" w:pos="-1080"/>
          <w:tab w:val="left" w:pos="-720"/>
          <w:tab w:val="left" w:pos="360"/>
          <w:tab w:val="left" w:pos="720"/>
        </w:tabs>
        <w:spacing w:after="0" w:line="240" w:lineRule="auto"/>
        <w:rPr>
          <w:rFonts w:ascii="Times New Roman" w:hAnsi="Times New Roman" w:eastAsia="Times New Roman" w:cs="Times New Roman"/>
          <w:snapToGrid w:val="0"/>
          <w:sz w:val="24"/>
          <w:szCs w:val="24"/>
        </w:rPr>
      </w:pPr>
    </w:p>
    <w:p w:rsidRPr="00D7577B" w:rsidR="00F64F67" w:rsidP="00A03B38" w:rsidRDefault="00F64F67" w14:paraId="065CDC6E" w14:textId="77777777">
      <w:pPr>
        <w:spacing w:after="0" w:line="240" w:lineRule="auto"/>
        <w:ind w:right="-40" w:hanging="5"/>
        <w:rPr>
          <w:rFonts w:ascii="Times New Roman" w:hAnsi="Times New Roman" w:eastAsia="Times New Roman" w:cs="Times New Roman"/>
          <w:b/>
          <w:i/>
          <w:color w:val="030303"/>
          <w:spacing w:val="2"/>
          <w:sz w:val="24"/>
          <w:szCs w:val="24"/>
        </w:rPr>
      </w:pPr>
      <w:r w:rsidRPr="00D7577B">
        <w:rPr>
          <w:rFonts w:ascii="Times New Roman" w:hAnsi="Times New Roman" w:eastAsia="Times New Roman" w:cs="Times New Roman"/>
          <w:b/>
          <w:i/>
          <w:color w:val="030303"/>
          <w:spacing w:val="2"/>
          <w:sz w:val="24"/>
          <w:szCs w:val="24"/>
        </w:rPr>
        <w:t xml:space="preserve">8.  If applicable, provide a copy and identify the </w:t>
      </w:r>
      <w:r w:rsidRPr="00D7577B" w:rsidR="00EB2089">
        <w:rPr>
          <w:rFonts w:ascii="Times New Roman" w:hAnsi="Times New Roman" w:eastAsia="Times New Roman" w:cs="Times New Roman"/>
          <w:b/>
          <w:i/>
          <w:color w:val="030303"/>
          <w:spacing w:val="2"/>
          <w:sz w:val="24"/>
          <w:szCs w:val="24"/>
        </w:rPr>
        <w:t>n</w:t>
      </w:r>
      <w:r w:rsidRPr="00D7577B">
        <w:rPr>
          <w:rFonts w:ascii="Times New Roman" w:hAnsi="Times New Roman" w:eastAsia="Times New Roman" w:cs="Times New Roman"/>
          <w:b/>
          <w:i/>
          <w:color w:val="030303"/>
          <w:spacing w:val="2"/>
          <w:sz w:val="24"/>
          <w:szCs w:val="24"/>
        </w:rPr>
        <w:t xml:space="preserve">ote and page number of </w:t>
      </w:r>
      <w:proofErr w:type="gramStart"/>
      <w:r w:rsidRPr="00D7577B">
        <w:rPr>
          <w:rFonts w:ascii="Times New Roman" w:hAnsi="Times New Roman" w:eastAsia="Times New Roman" w:cs="Times New Roman"/>
          <w:b/>
          <w:i/>
          <w:color w:val="030303"/>
          <w:spacing w:val="2"/>
          <w:sz w:val="24"/>
          <w:szCs w:val="24"/>
        </w:rPr>
        <w:t>publication</w:t>
      </w:r>
      <w:proofErr w:type="gramEnd"/>
      <w:r w:rsidRPr="00D7577B">
        <w:rPr>
          <w:rFonts w:ascii="Times New Roman" w:hAnsi="Times New Roman" w:eastAsia="Times New Roman" w:cs="Times New Roman"/>
          <w:b/>
          <w:i/>
          <w:color w:val="030303"/>
          <w:spacing w:val="2"/>
          <w:sz w:val="24"/>
          <w:szCs w:val="24"/>
        </w:rPr>
        <w:t xml:space="preserve"> in the Federal Register of the agency's notice, required by 5 CFR 1320.8(d), solicit</w:t>
      </w:r>
      <w:r w:rsidRPr="00D7577B" w:rsidR="00A938FF">
        <w:rPr>
          <w:rFonts w:ascii="Times New Roman" w:hAnsi="Times New Roman" w:eastAsia="Times New Roman" w:cs="Times New Roman"/>
          <w:b/>
          <w:i/>
          <w:color w:val="030303"/>
          <w:spacing w:val="2"/>
          <w:sz w:val="24"/>
          <w:szCs w:val="24"/>
        </w:rPr>
        <w:t>ing comments on the information</w:t>
      </w:r>
      <w:r w:rsidRPr="00D7577B">
        <w:rPr>
          <w:rFonts w:ascii="Times New Roman" w:hAnsi="Times New Roman" w:eastAsia="Times New Roman" w:cs="Times New Roman"/>
          <w:b/>
          <w:i/>
          <w:color w:val="030303"/>
          <w:spacing w:val="2"/>
          <w:sz w:val="24"/>
          <w:szCs w:val="24"/>
        </w:rPr>
        <w:t xml:space="preserve"> co</w:t>
      </w:r>
      <w:r w:rsidRPr="00D7577B" w:rsidR="00A938FF">
        <w:rPr>
          <w:rFonts w:ascii="Times New Roman" w:hAnsi="Times New Roman" w:eastAsia="Times New Roman" w:cs="Times New Roman"/>
          <w:b/>
          <w:i/>
          <w:color w:val="030303"/>
          <w:spacing w:val="2"/>
          <w:sz w:val="24"/>
          <w:szCs w:val="24"/>
        </w:rPr>
        <w:t>ll</w:t>
      </w:r>
      <w:r w:rsidRPr="00D7577B">
        <w:rPr>
          <w:rFonts w:ascii="Times New Roman" w:hAnsi="Times New Roman" w:eastAsia="Times New Roman" w:cs="Times New Roman"/>
          <w:b/>
          <w:i/>
          <w:color w:val="030303"/>
          <w:spacing w:val="2"/>
          <w:sz w:val="24"/>
          <w:szCs w:val="24"/>
        </w:rPr>
        <w:t xml:space="preserve">ection prior to submission to OMB.  Summarize public comments </w:t>
      </w:r>
      <w:r w:rsidRPr="00D7577B">
        <w:rPr>
          <w:rFonts w:ascii="Times New Roman" w:hAnsi="Times New Roman" w:eastAsia="Times New Roman" w:cs="Times New Roman"/>
          <w:b/>
          <w:i/>
          <w:color w:val="030303"/>
          <w:spacing w:val="2"/>
          <w:sz w:val="24"/>
          <w:szCs w:val="24"/>
        </w:rPr>
        <w:lastRenderedPageBreak/>
        <w:t>received in response to that notice and in response to the PRA statement associated with the collection over the past 3 years and describe actions taken by the agency in response to these comments.  Specifically address comments received on cost and hour burden.</w:t>
      </w:r>
    </w:p>
    <w:p w:rsidRPr="00D7577B" w:rsidR="00F64F67" w:rsidP="00A03B38" w:rsidRDefault="00F64F67" w14:paraId="33811C0A" w14:textId="77777777">
      <w:pPr>
        <w:spacing w:after="0" w:line="240" w:lineRule="auto"/>
        <w:ind w:right="-40" w:hanging="5"/>
        <w:rPr>
          <w:rFonts w:ascii="Times New Roman" w:hAnsi="Times New Roman" w:eastAsia="Times New Roman" w:cs="Times New Roman"/>
          <w:b/>
          <w:i/>
          <w:color w:val="030303"/>
          <w:spacing w:val="2"/>
          <w:sz w:val="24"/>
          <w:szCs w:val="24"/>
        </w:rPr>
      </w:pPr>
    </w:p>
    <w:p w:rsidRPr="00D7577B" w:rsidR="00F64F67" w:rsidP="00A03B38" w:rsidRDefault="00F64F67" w14:paraId="7B1D6852" w14:textId="77777777">
      <w:pPr>
        <w:spacing w:after="0" w:line="240" w:lineRule="auto"/>
        <w:ind w:right="-40" w:hanging="5"/>
        <w:rPr>
          <w:rFonts w:ascii="Times New Roman" w:hAnsi="Times New Roman" w:eastAsia="Times New Roman" w:cs="Times New Roman"/>
          <w:b/>
          <w:i/>
          <w:color w:val="030303"/>
          <w:spacing w:val="2"/>
          <w:sz w:val="24"/>
          <w:szCs w:val="24"/>
        </w:rPr>
      </w:pPr>
      <w:r w:rsidRPr="00D7577B">
        <w:rPr>
          <w:rFonts w:ascii="Times New Roman" w:hAnsi="Times New Roman" w:eastAsia="Times New Roman" w:cs="Times New Roman"/>
          <w:b/>
          <w:i/>
          <w:color w:val="030303"/>
          <w:spacing w:val="2"/>
          <w:sz w:val="24"/>
          <w:szCs w:val="24"/>
        </w:rPr>
        <w:t>Describe efforts to consult with persons outside the agency to obtain their views on the availability of data, frequency of collection,</w:t>
      </w:r>
      <w:r w:rsidRPr="00D7577B" w:rsidR="00A938FF">
        <w:rPr>
          <w:rFonts w:ascii="Times New Roman" w:hAnsi="Times New Roman" w:eastAsia="Times New Roman" w:cs="Times New Roman"/>
          <w:b/>
          <w:i/>
          <w:color w:val="030303"/>
          <w:spacing w:val="2"/>
          <w:sz w:val="24"/>
          <w:szCs w:val="24"/>
        </w:rPr>
        <w:t xml:space="preserve"> </w:t>
      </w:r>
      <w:r w:rsidRPr="00D7577B">
        <w:rPr>
          <w:rFonts w:ascii="Times New Roman" w:hAnsi="Times New Roman" w:eastAsia="Times New Roman" w:cs="Times New Roman"/>
          <w:b/>
          <w:i/>
          <w:color w:val="030303"/>
          <w:spacing w:val="2"/>
          <w:sz w:val="24"/>
          <w:szCs w:val="24"/>
        </w:rPr>
        <w:t xml:space="preserve">the clarity of instructions and recordkeeping, disclosure, or reporting format (if any),and  on the </w:t>
      </w:r>
      <w:r w:rsidRPr="00D7577B" w:rsidR="00A938FF">
        <w:rPr>
          <w:rFonts w:ascii="Times New Roman" w:hAnsi="Times New Roman" w:eastAsia="Times New Roman" w:cs="Times New Roman"/>
          <w:b/>
          <w:i/>
          <w:color w:val="030303"/>
          <w:spacing w:val="2"/>
          <w:sz w:val="24"/>
          <w:szCs w:val="24"/>
        </w:rPr>
        <w:t>d</w:t>
      </w:r>
      <w:r w:rsidRPr="00D7577B">
        <w:rPr>
          <w:rFonts w:ascii="Times New Roman" w:hAnsi="Times New Roman" w:eastAsia="Times New Roman" w:cs="Times New Roman"/>
          <w:b/>
          <w:i/>
          <w:color w:val="030303"/>
          <w:spacing w:val="2"/>
          <w:sz w:val="24"/>
          <w:szCs w:val="24"/>
        </w:rPr>
        <w:t>ata elements to be recorded, disclosed, or reported.</w:t>
      </w:r>
    </w:p>
    <w:p w:rsidRPr="00D7577B" w:rsidR="00F64F67" w:rsidP="00A03B38" w:rsidRDefault="00F64F67" w14:paraId="323816F0" w14:textId="77777777">
      <w:pPr>
        <w:spacing w:after="0" w:line="240" w:lineRule="auto"/>
        <w:ind w:right="-40" w:hanging="5"/>
        <w:rPr>
          <w:rFonts w:ascii="Times New Roman" w:hAnsi="Times New Roman" w:eastAsia="Times New Roman" w:cs="Times New Roman"/>
          <w:b/>
          <w:i/>
          <w:color w:val="030303"/>
          <w:spacing w:val="2"/>
          <w:sz w:val="24"/>
          <w:szCs w:val="24"/>
        </w:rPr>
      </w:pPr>
    </w:p>
    <w:p w:rsidRPr="00D7577B" w:rsidR="00F64F67" w:rsidP="00A03B38" w:rsidRDefault="00F64F67" w14:paraId="2CD4C67C" w14:textId="77777777">
      <w:pPr>
        <w:spacing w:after="0" w:line="240" w:lineRule="auto"/>
        <w:ind w:right="-40" w:hanging="5"/>
        <w:rPr>
          <w:rFonts w:ascii="Times New Roman" w:hAnsi="Times New Roman" w:eastAsia="Times New Roman" w:cs="Times New Roman"/>
          <w:b/>
          <w:i/>
          <w:color w:val="030303"/>
          <w:spacing w:val="2"/>
          <w:sz w:val="24"/>
          <w:szCs w:val="24"/>
        </w:rPr>
      </w:pPr>
      <w:r w:rsidRPr="00D7577B">
        <w:rPr>
          <w:rFonts w:ascii="Times New Roman" w:hAnsi="Times New Roman" w:eastAsia="Times New Roman" w:cs="Times New Roman"/>
          <w:b/>
          <w:i/>
          <w:color w:val="030303"/>
          <w:spacing w:val="2"/>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D7577B" w:rsidR="00F64F67" w:rsidP="00A03B38" w:rsidRDefault="00F64F67" w14:paraId="79CF5FF4" w14:textId="77777777">
      <w:pPr>
        <w:spacing w:after="0" w:line="240" w:lineRule="auto"/>
        <w:ind w:right="-40" w:hanging="5"/>
        <w:rPr>
          <w:rFonts w:ascii="Times New Roman" w:hAnsi="Times New Roman" w:eastAsia="Times New Roman" w:cs="Times New Roman"/>
          <w:color w:val="030303"/>
          <w:spacing w:val="2"/>
          <w:sz w:val="24"/>
          <w:szCs w:val="24"/>
        </w:rPr>
      </w:pPr>
    </w:p>
    <w:p w:rsidR="00757A81" w:rsidP="00F75357" w:rsidRDefault="00F64F67" w14:paraId="23A11CD6" w14:textId="77777777">
      <w:pPr>
        <w:spacing w:after="0" w:line="240" w:lineRule="auto"/>
        <w:ind w:right="-40" w:hanging="5"/>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As required in 5 CFR 1320.11, BOEM provid</w:t>
      </w:r>
      <w:r w:rsidRPr="00D7577B" w:rsidR="00F75357">
        <w:rPr>
          <w:rFonts w:ascii="Times New Roman" w:hAnsi="Times New Roman" w:eastAsia="Times New Roman" w:cs="Times New Roman"/>
          <w:color w:val="030303"/>
          <w:spacing w:val="2"/>
          <w:sz w:val="24"/>
          <w:szCs w:val="24"/>
        </w:rPr>
        <w:t>ed</w:t>
      </w:r>
      <w:r w:rsidRPr="00D7577B">
        <w:rPr>
          <w:rFonts w:ascii="Times New Roman" w:hAnsi="Times New Roman" w:eastAsia="Times New Roman" w:cs="Times New Roman"/>
          <w:color w:val="030303"/>
          <w:spacing w:val="2"/>
          <w:sz w:val="24"/>
          <w:szCs w:val="24"/>
        </w:rPr>
        <w:t xml:space="preserve"> for the 60-day review and comment process in the preamble of the proposed rule</w:t>
      </w:r>
      <w:r w:rsidRPr="00D7577B" w:rsidR="002F7275">
        <w:rPr>
          <w:rFonts w:ascii="Times New Roman" w:hAnsi="Times New Roman" w:eastAsia="Times New Roman" w:cs="Times New Roman"/>
          <w:color w:val="030303"/>
          <w:spacing w:val="2"/>
          <w:sz w:val="24"/>
          <w:szCs w:val="24"/>
        </w:rPr>
        <w:t xml:space="preserve"> </w:t>
      </w:r>
      <w:r w:rsidRPr="00D7577B" w:rsidR="00B30EF5">
        <w:rPr>
          <w:rFonts w:ascii="Times New Roman" w:hAnsi="Times New Roman" w:eastAsia="Times New Roman" w:cs="Times New Roman"/>
          <w:color w:val="030303"/>
          <w:spacing w:val="2"/>
          <w:sz w:val="24"/>
          <w:szCs w:val="24"/>
        </w:rPr>
        <w:t xml:space="preserve">published in the Federal Register on April 5, 2016 (81 FR </w:t>
      </w:r>
      <w:r w:rsidR="00E3180D">
        <w:rPr>
          <w:rFonts w:ascii="Times New Roman" w:hAnsi="Times New Roman" w:eastAsia="Times New Roman" w:cs="Times New Roman"/>
          <w:color w:val="030303"/>
          <w:spacing w:val="2"/>
          <w:sz w:val="24"/>
          <w:szCs w:val="24"/>
        </w:rPr>
        <w:t>19718</w:t>
      </w:r>
      <w:r w:rsidRPr="00D7577B" w:rsidR="00B30EF5">
        <w:rPr>
          <w:rFonts w:ascii="Times New Roman" w:hAnsi="Times New Roman" w:eastAsia="Times New Roman" w:cs="Times New Roman"/>
          <w:color w:val="030303"/>
          <w:spacing w:val="2"/>
          <w:sz w:val="24"/>
          <w:szCs w:val="24"/>
        </w:rPr>
        <w:t>)</w:t>
      </w:r>
      <w:r w:rsidRPr="00D7577B">
        <w:rPr>
          <w:rFonts w:ascii="Times New Roman" w:hAnsi="Times New Roman" w:eastAsia="Times New Roman" w:cs="Times New Roman"/>
          <w:color w:val="030303"/>
          <w:spacing w:val="2"/>
          <w:sz w:val="24"/>
          <w:szCs w:val="24"/>
        </w:rPr>
        <w:t xml:space="preserve">. </w:t>
      </w:r>
      <w:r w:rsidRPr="00D7577B" w:rsidR="00500CE6">
        <w:rPr>
          <w:rFonts w:ascii="Times New Roman" w:hAnsi="Times New Roman" w:eastAsia="Times New Roman" w:cs="Times New Roman"/>
          <w:color w:val="030303"/>
          <w:spacing w:val="2"/>
          <w:sz w:val="24"/>
          <w:szCs w:val="24"/>
        </w:rPr>
        <w:t xml:space="preserve"> </w:t>
      </w:r>
    </w:p>
    <w:p w:rsidR="00757A81" w:rsidP="00F75357" w:rsidRDefault="00757A81" w14:paraId="76DC07B2" w14:textId="77777777">
      <w:pPr>
        <w:spacing w:after="0" w:line="240" w:lineRule="auto"/>
        <w:ind w:right="-40" w:hanging="5"/>
        <w:rPr>
          <w:rFonts w:ascii="Times New Roman" w:hAnsi="Times New Roman" w:eastAsia="Times New Roman" w:cs="Times New Roman"/>
          <w:color w:val="030303"/>
          <w:spacing w:val="2"/>
          <w:sz w:val="24"/>
          <w:szCs w:val="24"/>
        </w:rPr>
      </w:pPr>
    </w:p>
    <w:p w:rsidRPr="003D3C32" w:rsidR="00757A81" w:rsidP="00F75357" w:rsidRDefault="00757A81" w14:paraId="72201C37" w14:textId="77777777">
      <w:pPr>
        <w:spacing w:after="0" w:line="240" w:lineRule="auto"/>
        <w:ind w:right="-40" w:hanging="5"/>
        <w:rPr>
          <w:rFonts w:ascii="Times New Roman" w:hAnsi="Times New Roman" w:eastAsia="Times New Roman" w:cs="Times New Roman"/>
          <w:b/>
          <w:bCs/>
          <w:color w:val="030303"/>
          <w:spacing w:val="2"/>
          <w:sz w:val="24"/>
          <w:szCs w:val="24"/>
        </w:rPr>
      </w:pPr>
      <w:r w:rsidRPr="003D3C32">
        <w:rPr>
          <w:rFonts w:ascii="Times New Roman" w:hAnsi="Times New Roman" w:eastAsia="Times New Roman" w:cs="Times New Roman"/>
          <w:b/>
          <w:bCs/>
          <w:color w:val="030303"/>
          <w:spacing w:val="2"/>
          <w:sz w:val="24"/>
          <w:szCs w:val="24"/>
        </w:rPr>
        <w:t>Proposed Rule Comments:</w:t>
      </w:r>
    </w:p>
    <w:p w:rsidR="00757A81" w:rsidP="00F75357" w:rsidRDefault="00757A81" w14:paraId="54E76131"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251D6A" w:rsidP="00F75357" w:rsidRDefault="00251D6A" w14:paraId="4B886E57" w14:textId="77777777">
      <w:pPr>
        <w:spacing w:after="0" w:line="240" w:lineRule="auto"/>
        <w:ind w:right="-40" w:hanging="5"/>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BOEM received 8</w:t>
      </w:r>
      <w:r w:rsidRPr="00D7577B" w:rsidR="00F75357">
        <w:rPr>
          <w:rFonts w:ascii="Times New Roman" w:hAnsi="Times New Roman" w:eastAsia="Times New Roman" w:cs="Times New Roman"/>
          <w:color w:val="030303"/>
          <w:spacing w:val="2"/>
          <w:sz w:val="24"/>
          <w:szCs w:val="24"/>
        </w:rPr>
        <w:t xml:space="preserve">1 sets of comments on the proposed rulemaking.  </w:t>
      </w:r>
      <w:r w:rsidRPr="00D7577B" w:rsidR="00B30EF5">
        <w:rPr>
          <w:rFonts w:ascii="Times New Roman" w:hAnsi="Times New Roman" w:eastAsia="Times New Roman" w:cs="Times New Roman"/>
          <w:color w:val="030303"/>
          <w:spacing w:val="2"/>
          <w:sz w:val="24"/>
          <w:szCs w:val="24"/>
        </w:rPr>
        <w:t>Ten</w:t>
      </w:r>
      <w:r w:rsidRPr="00D7577B" w:rsidR="00F75357">
        <w:rPr>
          <w:rFonts w:ascii="Times New Roman" w:hAnsi="Times New Roman" w:eastAsia="Times New Roman" w:cs="Times New Roman"/>
          <w:color w:val="030303"/>
          <w:spacing w:val="2"/>
          <w:sz w:val="24"/>
          <w:szCs w:val="24"/>
        </w:rPr>
        <w:t xml:space="preserve"> commenters submitted comments specifically in response to the information</w:t>
      </w:r>
      <w:r w:rsidRPr="00D7577B">
        <w:rPr>
          <w:rFonts w:ascii="Times New Roman" w:hAnsi="Times New Roman" w:eastAsia="Times New Roman" w:cs="Times New Roman"/>
          <w:color w:val="030303"/>
          <w:spacing w:val="2"/>
          <w:sz w:val="24"/>
          <w:szCs w:val="24"/>
        </w:rPr>
        <w:t xml:space="preserve"> collections</w:t>
      </w:r>
      <w:r w:rsidRPr="00D7577B" w:rsidR="00F75357">
        <w:rPr>
          <w:rFonts w:ascii="Times New Roman" w:hAnsi="Times New Roman" w:eastAsia="Times New Roman" w:cs="Times New Roman"/>
          <w:color w:val="030303"/>
          <w:spacing w:val="2"/>
          <w:sz w:val="24"/>
          <w:szCs w:val="24"/>
        </w:rPr>
        <w:t>.</w:t>
      </w:r>
      <w:r w:rsidRPr="00D7577B" w:rsidR="003F5238">
        <w:rPr>
          <w:rFonts w:ascii="Times New Roman" w:hAnsi="Times New Roman" w:eastAsia="Times New Roman" w:cs="Times New Roman"/>
          <w:color w:val="030303"/>
          <w:spacing w:val="2"/>
          <w:sz w:val="24"/>
          <w:szCs w:val="24"/>
        </w:rPr>
        <w:t xml:space="preserve">  Commenters mainly raised a number of issues specific to individual collections of information and cost</w:t>
      </w:r>
      <w:r w:rsidRPr="00D7577B" w:rsidR="000567BD">
        <w:rPr>
          <w:rFonts w:ascii="Times New Roman" w:hAnsi="Times New Roman" w:eastAsia="Times New Roman" w:cs="Times New Roman"/>
          <w:color w:val="030303"/>
          <w:spacing w:val="2"/>
          <w:sz w:val="24"/>
          <w:szCs w:val="24"/>
        </w:rPr>
        <w:t xml:space="preserve"> outlined in the proposed rulemaking.  </w:t>
      </w:r>
    </w:p>
    <w:p w:rsidRPr="00D7577B" w:rsidR="00251D6A" w:rsidP="00F75357" w:rsidRDefault="00251D6A" w14:paraId="4BFDDBC4"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251D6A" w:rsidP="00F75357" w:rsidRDefault="00251D6A" w14:paraId="64E4D813" w14:textId="77777777">
      <w:pPr>
        <w:spacing w:after="0" w:line="240" w:lineRule="auto"/>
        <w:ind w:right="-40" w:hanging="5"/>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In general, industry and industry trade groups took the position that emissions generated from OCS sources do not represent a significant source of air pollution to the States and that BOEM’s current regulatory approach is adequate.  Environmental NGOs generally took the opposite view, arguing that BOEM’s regulations are badly outdated and inadequate to en</w:t>
      </w:r>
      <w:r w:rsidRPr="00D7577B" w:rsidR="00A91427">
        <w:rPr>
          <w:rFonts w:ascii="Times New Roman" w:hAnsi="Times New Roman" w:eastAsia="Times New Roman" w:cs="Times New Roman"/>
          <w:color w:val="030303"/>
          <w:spacing w:val="2"/>
          <w:sz w:val="24"/>
          <w:szCs w:val="24"/>
        </w:rPr>
        <w:t xml:space="preserve">sure that OCS facilities do not adversely impact the air quality of the States.  </w:t>
      </w:r>
    </w:p>
    <w:p w:rsidRPr="00D7577B" w:rsidR="00251D6A" w:rsidP="00F75357" w:rsidRDefault="00251D6A" w14:paraId="3A4243FE" w14:textId="77777777">
      <w:pPr>
        <w:spacing w:after="0" w:line="240" w:lineRule="auto"/>
        <w:ind w:right="-40" w:hanging="5"/>
        <w:rPr>
          <w:rFonts w:ascii="Times New Roman" w:hAnsi="Times New Roman" w:eastAsia="Times New Roman" w:cs="Times New Roman"/>
          <w:color w:val="030303"/>
          <w:spacing w:val="2"/>
          <w:sz w:val="24"/>
          <w:szCs w:val="24"/>
        </w:rPr>
      </w:pPr>
    </w:p>
    <w:p w:rsidR="003D3C32" w:rsidP="003D3C32" w:rsidRDefault="0028256A" w14:paraId="5AF024D7" w14:textId="77777777">
      <w:pPr>
        <w:spacing w:after="0"/>
        <w:rPr>
          <w:rFonts w:ascii="Times New Roman" w:hAnsi="Times New Roman" w:eastAsia="Times New Roman" w:cs="Times New Roman"/>
          <w:sz w:val="24"/>
          <w:szCs w:val="24"/>
        </w:rPr>
      </w:pPr>
      <w:r w:rsidRPr="002B4D1E">
        <w:rPr>
          <w:rFonts w:ascii="Times New Roman" w:hAnsi="Times New Roman" w:eastAsia="Times New Roman" w:cs="Times New Roman"/>
          <w:sz w:val="24"/>
          <w:szCs w:val="24"/>
        </w:rPr>
        <w:t>Th</w:t>
      </w:r>
      <w:r w:rsidR="003D3C32">
        <w:rPr>
          <w:rFonts w:ascii="Times New Roman" w:hAnsi="Times New Roman" w:eastAsia="Times New Roman" w:cs="Times New Roman"/>
          <w:sz w:val="24"/>
          <w:szCs w:val="24"/>
        </w:rPr>
        <w:t>e</w:t>
      </w:r>
      <w:r w:rsidRPr="002B4D1E">
        <w:rPr>
          <w:rFonts w:ascii="Times New Roman" w:hAnsi="Times New Roman" w:eastAsia="Times New Roman" w:cs="Times New Roman"/>
          <w:sz w:val="24"/>
          <w:szCs w:val="24"/>
        </w:rPr>
        <w:t xml:space="preserve"> final rule retains most of the text of the existing regulations while making only a small number of the changes originally proposed.  The proposed rule changes were far greater than those implemented in this final rule.  The changes related to collection of information include:</w:t>
      </w:r>
    </w:p>
    <w:p w:rsidR="003D3C32" w:rsidP="003D3C32" w:rsidRDefault="003D3C32" w14:paraId="3A476ECA" w14:textId="77777777">
      <w:pPr>
        <w:spacing w:after="0"/>
        <w:rPr>
          <w:rFonts w:ascii="Times New Roman" w:hAnsi="Times New Roman" w:eastAsia="Times New Roman" w:cs="Times New Roman"/>
          <w:sz w:val="24"/>
          <w:szCs w:val="24"/>
        </w:rPr>
      </w:pPr>
    </w:p>
    <w:p w:rsidR="003D3C32" w:rsidP="003D3C32" w:rsidRDefault="0028256A" w14:paraId="07EC319B" w14:textId="0B37C3EE">
      <w:pPr>
        <w:pStyle w:val="ListParagraph"/>
        <w:numPr>
          <w:ilvl w:val="0"/>
          <w:numId w:val="29"/>
        </w:numPr>
        <w:spacing w:after="0"/>
        <w:rPr>
          <w:rFonts w:ascii="Times New Roman" w:hAnsi="Times New Roman" w:eastAsia="Times New Roman" w:cs="Times New Roman"/>
          <w:sz w:val="24"/>
          <w:szCs w:val="24"/>
        </w:rPr>
      </w:pPr>
      <w:r w:rsidRPr="003D3C32">
        <w:rPr>
          <w:rFonts w:ascii="Times New Roman" w:hAnsi="Times New Roman" w:eastAsia="Times New Roman" w:cs="Times New Roman"/>
          <w:sz w:val="24"/>
          <w:szCs w:val="24"/>
        </w:rPr>
        <w:t xml:space="preserve">Updating the table of SLs in the existing regulations, dating from 1980, with current SLs at 40 CFR 51.165(b)(2).  Annual burden hours will not be significantly impacted.  </w:t>
      </w:r>
    </w:p>
    <w:p w:rsidR="003D3C32" w:rsidP="003D3C32" w:rsidRDefault="003D3C32" w14:paraId="756432E9" w14:textId="77777777">
      <w:pPr>
        <w:pStyle w:val="ListParagraph"/>
        <w:tabs>
          <w:tab w:val="left" w:pos="0"/>
        </w:tabs>
        <w:spacing w:after="0"/>
        <w:ind w:left="360"/>
        <w:rPr>
          <w:rFonts w:ascii="Times New Roman" w:hAnsi="Times New Roman" w:eastAsia="Times New Roman" w:cs="Times New Roman"/>
          <w:sz w:val="24"/>
          <w:szCs w:val="24"/>
        </w:rPr>
      </w:pPr>
    </w:p>
    <w:p w:rsidR="003D3C32" w:rsidP="003D3C32" w:rsidRDefault="0028256A" w14:paraId="32BF632E" w14:textId="77777777">
      <w:pPr>
        <w:pStyle w:val="ListParagraph"/>
        <w:numPr>
          <w:ilvl w:val="0"/>
          <w:numId w:val="29"/>
        </w:numPr>
        <w:spacing w:after="0"/>
        <w:rPr>
          <w:rFonts w:ascii="Times New Roman" w:hAnsi="Times New Roman" w:eastAsia="Times New Roman" w:cs="Times New Roman"/>
          <w:sz w:val="24"/>
          <w:szCs w:val="24"/>
        </w:rPr>
      </w:pPr>
      <w:r w:rsidRPr="003D3C32">
        <w:rPr>
          <w:rFonts w:ascii="Times New Roman" w:hAnsi="Times New Roman" w:eastAsia="Times New Roman" w:cs="Times New Roman"/>
          <w:sz w:val="24"/>
          <w:szCs w:val="24"/>
        </w:rPr>
        <w:t xml:space="preserve">Updating the data collection requirements from the existing regulations, dating from 1980, with a statement requiring operators to provide TSP data in Subpart B in §§ 550.218 and 550.249.  This requirement was implied by the necessity to apply TSP estimates to the EET formulas in Subpart C §§ 550.303 and 550.304; however, the requirement to actually collect the data analyzed in Subpart C was not previously mentioned as a requirement in Subpart B.  Annual burden hours will not be significantly impacted.  </w:t>
      </w:r>
    </w:p>
    <w:p w:rsidRPr="003D3C32" w:rsidR="003D3C32" w:rsidP="003D3C32" w:rsidRDefault="003D3C32" w14:paraId="734CA151" w14:textId="77777777">
      <w:pPr>
        <w:pStyle w:val="ListParagraph"/>
        <w:rPr>
          <w:rFonts w:ascii="Times New Roman" w:hAnsi="Times New Roman" w:eastAsia="Times New Roman" w:cs="Times New Roman"/>
          <w:sz w:val="24"/>
          <w:szCs w:val="24"/>
        </w:rPr>
      </w:pPr>
    </w:p>
    <w:p w:rsidR="003D3C32" w:rsidP="003D3C32" w:rsidRDefault="0028256A" w14:paraId="4942C0F8" w14:textId="77777777">
      <w:pPr>
        <w:pStyle w:val="ListParagraph"/>
        <w:numPr>
          <w:ilvl w:val="0"/>
          <w:numId w:val="29"/>
        </w:numPr>
        <w:spacing w:after="0"/>
        <w:rPr>
          <w:rFonts w:ascii="Times New Roman" w:hAnsi="Times New Roman" w:eastAsia="Times New Roman" w:cs="Times New Roman"/>
          <w:sz w:val="24"/>
          <w:szCs w:val="24"/>
        </w:rPr>
      </w:pPr>
      <w:r w:rsidRPr="003D3C32">
        <w:rPr>
          <w:rFonts w:ascii="Times New Roman" w:hAnsi="Times New Roman" w:eastAsia="Times New Roman" w:cs="Times New Roman"/>
          <w:sz w:val="24"/>
          <w:szCs w:val="24"/>
        </w:rPr>
        <w:t>Although BOEM has not replaced the EET formula for TSP with an identical formula for PM</w:t>
      </w:r>
      <w:r w:rsidRPr="003D3C32">
        <w:rPr>
          <w:rFonts w:ascii="Times New Roman" w:hAnsi="Times New Roman" w:eastAsia="Times New Roman" w:cs="Times New Roman"/>
          <w:sz w:val="24"/>
          <w:szCs w:val="24"/>
          <w:vertAlign w:val="subscript"/>
        </w:rPr>
        <w:t>10</w:t>
      </w:r>
      <w:r w:rsidRPr="003D3C32">
        <w:rPr>
          <w:rFonts w:ascii="Times New Roman" w:hAnsi="Times New Roman" w:eastAsia="Times New Roman" w:cs="Times New Roman"/>
          <w:sz w:val="24"/>
          <w:szCs w:val="24"/>
        </w:rPr>
        <w:t>, as suggested in the proposed rule, BOEM has replaced TSP with two categories of criteria air pollutants, PM</w:t>
      </w:r>
      <w:r w:rsidRPr="003D3C32">
        <w:rPr>
          <w:rFonts w:ascii="Times New Roman" w:hAnsi="Times New Roman" w:eastAsia="Times New Roman" w:cs="Times New Roman"/>
          <w:sz w:val="24"/>
          <w:szCs w:val="24"/>
          <w:vertAlign w:val="subscript"/>
        </w:rPr>
        <w:t xml:space="preserve">10 </w:t>
      </w:r>
      <w:r w:rsidRPr="003D3C32">
        <w:rPr>
          <w:rFonts w:ascii="Times New Roman" w:hAnsi="Times New Roman" w:eastAsia="Times New Roman" w:cs="Times New Roman"/>
          <w:sz w:val="24"/>
          <w:szCs w:val="24"/>
        </w:rPr>
        <w:t>and PM</w:t>
      </w:r>
      <w:r w:rsidRPr="003D3C32">
        <w:rPr>
          <w:rFonts w:ascii="Times New Roman" w:hAnsi="Times New Roman" w:eastAsia="Times New Roman" w:cs="Times New Roman"/>
          <w:sz w:val="24"/>
          <w:szCs w:val="24"/>
          <w:vertAlign w:val="subscript"/>
        </w:rPr>
        <w:t xml:space="preserve">2.5 </w:t>
      </w:r>
      <w:r w:rsidRPr="003D3C32">
        <w:rPr>
          <w:rFonts w:ascii="Times New Roman" w:hAnsi="Times New Roman" w:eastAsia="Times New Roman" w:cs="Times New Roman"/>
          <w:sz w:val="24"/>
          <w:szCs w:val="24"/>
        </w:rPr>
        <w:t xml:space="preserve">in the table of SLs as part of this final rule.  This change will provide more clarity to OCS lessees and operators, but will not impact annual burden hours.  </w:t>
      </w:r>
    </w:p>
    <w:p w:rsidRPr="003D3C32" w:rsidR="003D3C32" w:rsidP="003D3C32" w:rsidRDefault="003D3C32" w14:paraId="20F1BFBD" w14:textId="77777777">
      <w:pPr>
        <w:pStyle w:val="ListParagraph"/>
        <w:rPr>
          <w:rFonts w:ascii="Times New Roman" w:hAnsi="Times New Roman" w:eastAsia="Times New Roman" w:cs="Times New Roman"/>
          <w:sz w:val="24"/>
          <w:szCs w:val="24"/>
        </w:rPr>
      </w:pPr>
    </w:p>
    <w:p w:rsidR="003D3C32" w:rsidP="003D3C32" w:rsidRDefault="0028256A" w14:paraId="437B89F8" w14:textId="77777777">
      <w:pPr>
        <w:pStyle w:val="ListParagraph"/>
        <w:numPr>
          <w:ilvl w:val="0"/>
          <w:numId w:val="29"/>
        </w:numPr>
        <w:spacing w:after="0"/>
        <w:rPr>
          <w:rFonts w:ascii="Times New Roman" w:hAnsi="Times New Roman" w:eastAsia="Times New Roman" w:cs="Times New Roman"/>
          <w:sz w:val="24"/>
          <w:szCs w:val="24"/>
        </w:rPr>
      </w:pPr>
      <w:r w:rsidRPr="003D3C32">
        <w:rPr>
          <w:rFonts w:ascii="Times New Roman" w:hAnsi="Times New Roman" w:eastAsia="Times New Roman" w:cs="Times New Roman"/>
          <w:sz w:val="24"/>
          <w:szCs w:val="24"/>
        </w:rPr>
        <w:t xml:space="preserve">BOEM updated the paragraph that refers to the EETs to clarify that the formulas apply to both DPPs and DOCDs.  This update will not change current practice because the air quality regulations have always applied to DPPs and DOCDs, and the spreadsheets are already set up for both DPPs and DOCDs.  BOEM’s spreadsheets automatically calculate the formulas.  This clarification will not increase annual burden hours.    </w:t>
      </w:r>
    </w:p>
    <w:p w:rsidRPr="003D3C32" w:rsidR="003D3C32" w:rsidP="003D3C32" w:rsidRDefault="003D3C32" w14:paraId="7568B573" w14:textId="77777777">
      <w:pPr>
        <w:pStyle w:val="ListParagraph"/>
        <w:rPr>
          <w:rFonts w:ascii="Times New Roman" w:hAnsi="Times New Roman" w:eastAsia="Times New Roman" w:cs="Times New Roman"/>
          <w:sz w:val="24"/>
          <w:szCs w:val="24"/>
        </w:rPr>
      </w:pPr>
    </w:p>
    <w:p w:rsidRPr="003D3C32" w:rsidR="0028256A" w:rsidP="003D3C32" w:rsidRDefault="0028256A" w14:paraId="6A953577" w14:textId="023EEFA0">
      <w:pPr>
        <w:pStyle w:val="ListParagraph"/>
        <w:numPr>
          <w:ilvl w:val="0"/>
          <w:numId w:val="29"/>
        </w:numPr>
        <w:spacing w:after="0"/>
        <w:rPr>
          <w:rFonts w:ascii="Times New Roman" w:hAnsi="Times New Roman" w:eastAsia="Times New Roman" w:cs="Times New Roman"/>
          <w:sz w:val="24"/>
          <w:szCs w:val="24"/>
        </w:rPr>
      </w:pPr>
      <w:r w:rsidRPr="003D3C32">
        <w:rPr>
          <w:rFonts w:ascii="Times New Roman" w:hAnsi="Times New Roman" w:eastAsia="Times New Roman" w:cs="Times New Roman"/>
          <w:sz w:val="24"/>
          <w:szCs w:val="24"/>
        </w:rPr>
        <w:t>BOEM is updating the spreadsheets so that emissions from transiting support vessels will no longer be considered as part of the EET evaluation.  The rule is not, however, changing the requirement that emissions from vessels temporarily attached either to the seabed or to another facility must be accounted for as part of the EET evaluation process.  This means that some sources may fall under the definition of “facility” depending on their function (i.e. a vessel transiting to and from a facility would need to report the associated emissions, but those emissions would not be added in with the facility emissions for the purpose of the EET analysis; however, emissions generated from the same vessel during workover operations would be added in with the facility emissions).  In some cases, therefore, emissions from the same source may need to be separately reported to account for the different functions (e.g., transiting versus well operations) that they intend to perform.</w:t>
      </w:r>
    </w:p>
    <w:p w:rsidRPr="00D7577B" w:rsidR="000567BD" w:rsidP="003D3C32" w:rsidRDefault="000567BD" w14:paraId="7931195A"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0567BD" w:rsidP="00F75357" w:rsidRDefault="00E3180D" w14:paraId="6BA68CF3" w14:textId="77777777">
      <w:pPr>
        <w:spacing w:after="0" w:line="240" w:lineRule="auto"/>
        <w:ind w:right="-40" w:hanging="5"/>
        <w:rPr>
          <w:rFonts w:ascii="Times New Roman" w:hAnsi="Times New Roman" w:eastAsia="Times New Roman" w:cs="Times New Roman"/>
          <w:color w:val="030303"/>
          <w:spacing w:val="2"/>
          <w:sz w:val="24"/>
          <w:szCs w:val="24"/>
        </w:rPr>
      </w:pPr>
      <w:r>
        <w:rPr>
          <w:rFonts w:ascii="Times New Roman" w:hAnsi="Times New Roman" w:eastAsia="Times New Roman" w:cs="Times New Roman"/>
          <w:color w:val="030303"/>
          <w:spacing w:val="2"/>
          <w:sz w:val="24"/>
          <w:szCs w:val="24"/>
        </w:rPr>
        <w:t xml:space="preserve">As mentioned above, </w:t>
      </w:r>
      <w:r w:rsidRPr="00D7577B" w:rsidR="000567BD">
        <w:rPr>
          <w:rFonts w:ascii="Times New Roman" w:hAnsi="Times New Roman" w:eastAsia="Times New Roman" w:cs="Times New Roman"/>
          <w:color w:val="030303"/>
          <w:spacing w:val="2"/>
          <w:sz w:val="24"/>
          <w:szCs w:val="24"/>
        </w:rPr>
        <w:t>BOEM is seeking OMB approval for revising forms BOEM-0138 and BOEM-0139.</w:t>
      </w:r>
    </w:p>
    <w:p w:rsidRPr="00D7577B" w:rsidR="00F64F67" w:rsidP="00A03B38" w:rsidRDefault="00F64F67" w14:paraId="6F7A3ED6"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3F5238" w:rsidP="003F5238" w:rsidRDefault="00CE2FC7" w14:paraId="3FC97B9F" w14:textId="77777777">
      <w:pPr>
        <w:spacing w:after="0" w:line="240" w:lineRule="auto"/>
        <w:ind w:right="-40" w:hanging="5"/>
        <w:rPr>
          <w:rFonts w:ascii="Times New Roman" w:hAnsi="Times New Roman" w:eastAsia="Times New Roman" w:cs="Times New Roman"/>
          <w:color w:val="030303"/>
          <w:spacing w:val="2"/>
          <w:sz w:val="24"/>
          <w:szCs w:val="24"/>
        </w:rPr>
      </w:pPr>
      <w:r>
        <w:rPr>
          <w:rFonts w:ascii="Times New Roman" w:hAnsi="Times New Roman" w:eastAsia="Times New Roman" w:cs="Times New Roman"/>
          <w:color w:val="030303"/>
          <w:spacing w:val="2"/>
          <w:sz w:val="24"/>
          <w:szCs w:val="24"/>
        </w:rPr>
        <w:t>Since the final rulemaking is modifying the air quality spreadsheets (BOEM-0138 and BOEM-0139), there were f</w:t>
      </w:r>
      <w:r w:rsidRPr="00D7577B" w:rsidR="003F5238">
        <w:rPr>
          <w:rFonts w:ascii="Times New Roman" w:hAnsi="Times New Roman" w:eastAsia="Times New Roman" w:cs="Times New Roman"/>
          <w:color w:val="030303"/>
          <w:spacing w:val="2"/>
          <w:sz w:val="24"/>
          <w:szCs w:val="24"/>
        </w:rPr>
        <w:t>our com</w:t>
      </w:r>
      <w:r w:rsidRPr="00D7577B" w:rsidR="008272CF">
        <w:rPr>
          <w:rFonts w:ascii="Times New Roman" w:hAnsi="Times New Roman" w:eastAsia="Times New Roman" w:cs="Times New Roman"/>
          <w:color w:val="030303"/>
          <w:spacing w:val="2"/>
          <w:sz w:val="24"/>
          <w:szCs w:val="24"/>
        </w:rPr>
        <w:t xml:space="preserve">menters </w:t>
      </w:r>
      <w:r>
        <w:rPr>
          <w:rFonts w:ascii="Times New Roman" w:hAnsi="Times New Roman" w:eastAsia="Times New Roman" w:cs="Times New Roman"/>
          <w:color w:val="030303"/>
          <w:spacing w:val="2"/>
          <w:sz w:val="24"/>
          <w:szCs w:val="24"/>
        </w:rPr>
        <w:t xml:space="preserve">who </w:t>
      </w:r>
      <w:r w:rsidRPr="00D7577B" w:rsidR="008272CF">
        <w:rPr>
          <w:rFonts w:ascii="Times New Roman" w:hAnsi="Times New Roman" w:eastAsia="Times New Roman" w:cs="Times New Roman"/>
          <w:color w:val="030303"/>
          <w:spacing w:val="2"/>
          <w:sz w:val="24"/>
          <w:szCs w:val="24"/>
        </w:rPr>
        <w:t xml:space="preserve">had comments on the changes proposed </w:t>
      </w:r>
      <w:r>
        <w:rPr>
          <w:rFonts w:ascii="Times New Roman" w:hAnsi="Times New Roman" w:eastAsia="Times New Roman" w:cs="Times New Roman"/>
          <w:color w:val="030303"/>
          <w:spacing w:val="2"/>
          <w:sz w:val="24"/>
          <w:szCs w:val="24"/>
        </w:rPr>
        <w:t>in the proposed rulemaking</w:t>
      </w:r>
      <w:r w:rsidRPr="00D7577B" w:rsidR="003F5238">
        <w:rPr>
          <w:rFonts w:ascii="Times New Roman" w:hAnsi="Times New Roman" w:eastAsia="Times New Roman" w:cs="Times New Roman"/>
          <w:color w:val="030303"/>
          <w:spacing w:val="2"/>
          <w:sz w:val="24"/>
          <w:szCs w:val="24"/>
        </w:rPr>
        <w:t xml:space="preserve">.  The commenters discussed the need for improved functionality of the </w:t>
      </w:r>
      <w:r w:rsidRPr="00D7577B" w:rsidR="00500CE6">
        <w:rPr>
          <w:rFonts w:ascii="Times New Roman" w:hAnsi="Times New Roman" w:eastAsia="Times New Roman" w:cs="Times New Roman"/>
          <w:color w:val="030303"/>
          <w:spacing w:val="2"/>
          <w:sz w:val="24"/>
          <w:szCs w:val="24"/>
        </w:rPr>
        <w:t xml:space="preserve">spreadsheets related to the </w:t>
      </w:r>
      <w:r w:rsidRPr="00D7577B" w:rsidR="003F5238">
        <w:rPr>
          <w:rFonts w:ascii="Times New Roman" w:hAnsi="Times New Roman" w:eastAsia="Times New Roman" w:cs="Times New Roman"/>
          <w:color w:val="030303"/>
          <w:spacing w:val="2"/>
          <w:sz w:val="24"/>
          <w:szCs w:val="24"/>
        </w:rPr>
        <w:t xml:space="preserve">proposed </w:t>
      </w:r>
      <w:r w:rsidRPr="00D7577B" w:rsidR="00500CE6">
        <w:rPr>
          <w:rFonts w:ascii="Times New Roman" w:hAnsi="Times New Roman" w:eastAsia="Times New Roman" w:cs="Times New Roman"/>
          <w:color w:val="030303"/>
          <w:spacing w:val="2"/>
          <w:sz w:val="24"/>
          <w:szCs w:val="24"/>
        </w:rPr>
        <w:t xml:space="preserve">rule </w:t>
      </w:r>
      <w:r w:rsidRPr="00D7577B" w:rsidR="003F5238">
        <w:rPr>
          <w:rFonts w:ascii="Times New Roman" w:hAnsi="Times New Roman" w:eastAsia="Times New Roman" w:cs="Times New Roman"/>
          <w:color w:val="030303"/>
          <w:spacing w:val="2"/>
          <w:sz w:val="24"/>
          <w:szCs w:val="24"/>
        </w:rPr>
        <w:t xml:space="preserve">provisions. </w:t>
      </w:r>
      <w:r w:rsidRPr="00D7577B" w:rsidR="00FA0125">
        <w:rPr>
          <w:rFonts w:ascii="Times New Roman" w:hAnsi="Times New Roman" w:eastAsia="Times New Roman" w:cs="Times New Roman"/>
          <w:color w:val="030303"/>
          <w:spacing w:val="2"/>
          <w:sz w:val="24"/>
          <w:szCs w:val="24"/>
        </w:rPr>
        <w:t xml:space="preserve"> </w:t>
      </w:r>
      <w:r w:rsidRPr="00D7577B" w:rsidR="003F5238">
        <w:rPr>
          <w:rFonts w:ascii="Times New Roman" w:hAnsi="Times New Roman" w:eastAsia="Times New Roman" w:cs="Times New Roman"/>
          <w:color w:val="030303"/>
          <w:spacing w:val="2"/>
          <w:sz w:val="24"/>
          <w:szCs w:val="24"/>
        </w:rPr>
        <w:t xml:space="preserve">BOEM </w:t>
      </w:r>
      <w:r w:rsidRPr="00D7577B" w:rsidR="00511C8A">
        <w:rPr>
          <w:rFonts w:ascii="Times New Roman" w:hAnsi="Times New Roman" w:eastAsia="Times New Roman" w:cs="Times New Roman"/>
          <w:color w:val="030303"/>
          <w:spacing w:val="2"/>
          <w:sz w:val="24"/>
          <w:szCs w:val="24"/>
        </w:rPr>
        <w:t xml:space="preserve">is </w:t>
      </w:r>
      <w:r w:rsidRPr="00D7577B" w:rsidR="003F5238">
        <w:rPr>
          <w:rFonts w:ascii="Times New Roman" w:hAnsi="Times New Roman" w:eastAsia="Times New Roman" w:cs="Times New Roman"/>
          <w:color w:val="030303"/>
          <w:spacing w:val="2"/>
          <w:sz w:val="24"/>
          <w:szCs w:val="24"/>
        </w:rPr>
        <w:t>not implement</w:t>
      </w:r>
      <w:r w:rsidRPr="00D7577B" w:rsidR="00FA0125">
        <w:rPr>
          <w:rFonts w:ascii="Times New Roman" w:hAnsi="Times New Roman" w:eastAsia="Times New Roman" w:cs="Times New Roman"/>
          <w:color w:val="030303"/>
          <w:spacing w:val="2"/>
          <w:sz w:val="24"/>
          <w:szCs w:val="24"/>
        </w:rPr>
        <w:t xml:space="preserve">ing the impacting provisions.  Therefore, the </w:t>
      </w:r>
      <w:r w:rsidRPr="00D7577B" w:rsidR="003F5238">
        <w:rPr>
          <w:rFonts w:ascii="Times New Roman" w:hAnsi="Times New Roman" w:eastAsia="Times New Roman" w:cs="Times New Roman"/>
          <w:color w:val="030303"/>
          <w:spacing w:val="2"/>
          <w:sz w:val="24"/>
          <w:szCs w:val="24"/>
        </w:rPr>
        <w:t xml:space="preserve">comments </w:t>
      </w:r>
      <w:r w:rsidRPr="00D7577B" w:rsidR="00FA0125">
        <w:rPr>
          <w:rFonts w:ascii="Times New Roman" w:hAnsi="Times New Roman" w:eastAsia="Times New Roman" w:cs="Times New Roman"/>
          <w:color w:val="030303"/>
          <w:spacing w:val="2"/>
          <w:sz w:val="24"/>
          <w:szCs w:val="24"/>
        </w:rPr>
        <w:t xml:space="preserve">made </w:t>
      </w:r>
      <w:r w:rsidRPr="00D7577B" w:rsidR="003F5238">
        <w:rPr>
          <w:rFonts w:ascii="Times New Roman" w:hAnsi="Times New Roman" w:eastAsia="Times New Roman" w:cs="Times New Roman"/>
          <w:color w:val="030303"/>
          <w:spacing w:val="2"/>
          <w:sz w:val="24"/>
          <w:szCs w:val="24"/>
        </w:rPr>
        <w:t xml:space="preserve">do not apply to the form modifications </w:t>
      </w:r>
      <w:r w:rsidRPr="00D7577B" w:rsidR="00FA0125">
        <w:rPr>
          <w:rFonts w:ascii="Times New Roman" w:hAnsi="Times New Roman" w:eastAsia="Times New Roman" w:cs="Times New Roman"/>
          <w:color w:val="030303"/>
          <w:spacing w:val="2"/>
          <w:sz w:val="24"/>
          <w:szCs w:val="24"/>
        </w:rPr>
        <w:t>deploy</w:t>
      </w:r>
      <w:r>
        <w:rPr>
          <w:rFonts w:ascii="Times New Roman" w:hAnsi="Times New Roman" w:eastAsia="Times New Roman" w:cs="Times New Roman"/>
          <w:color w:val="030303"/>
          <w:spacing w:val="2"/>
          <w:sz w:val="24"/>
          <w:szCs w:val="24"/>
        </w:rPr>
        <w:t>ed with the final rulemaking, but the comments are shared below for reference.</w:t>
      </w:r>
    </w:p>
    <w:p w:rsidRPr="00D7577B" w:rsidR="00797C4F" w:rsidP="003F5238" w:rsidRDefault="00797C4F" w14:paraId="2F98618C" w14:textId="77777777">
      <w:pPr>
        <w:spacing w:after="0" w:line="240" w:lineRule="auto"/>
        <w:ind w:right="-40" w:hanging="5"/>
        <w:rPr>
          <w:rFonts w:ascii="Times New Roman" w:hAnsi="Times New Roman" w:eastAsia="Times New Roman" w:cs="Times New Roman"/>
          <w:color w:val="030303"/>
          <w:spacing w:val="2"/>
          <w:sz w:val="24"/>
          <w:szCs w:val="24"/>
        </w:rPr>
      </w:pPr>
    </w:p>
    <w:p w:rsidRPr="00CE2FC7" w:rsidR="00797C4F" w:rsidP="00797C4F" w:rsidRDefault="00797C4F" w14:paraId="03E30916" w14:textId="77777777">
      <w:pPr>
        <w:spacing w:after="0" w:line="240" w:lineRule="auto"/>
        <w:ind w:right="-40" w:hanging="5"/>
        <w:rPr>
          <w:rFonts w:ascii="Times New Roman" w:hAnsi="Times New Roman" w:eastAsia="Times New Roman" w:cs="Times New Roman"/>
          <w:b/>
          <w:color w:val="030303"/>
          <w:spacing w:val="2"/>
          <w:sz w:val="24"/>
          <w:szCs w:val="24"/>
        </w:rPr>
      </w:pPr>
      <w:r w:rsidRPr="00CE2FC7">
        <w:rPr>
          <w:rFonts w:ascii="Times New Roman" w:hAnsi="Times New Roman" w:eastAsia="Times New Roman" w:cs="Times New Roman"/>
          <w:b/>
          <w:color w:val="030303"/>
          <w:spacing w:val="2"/>
          <w:sz w:val="24"/>
          <w:szCs w:val="24"/>
        </w:rPr>
        <w:t>Joint Trades</w:t>
      </w:r>
      <w:r w:rsidR="00CE2FC7">
        <w:rPr>
          <w:rFonts w:ascii="Times New Roman" w:hAnsi="Times New Roman" w:eastAsia="Times New Roman" w:cs="Times New Roman"/>
          <w:b/>
          <w:color w:val="030303"/>
          <w:spacing w:val="2"/>
          <w:sz w:val="24"/>
          <w:szCs w:val="24"/>
        </w:rPr>
        <w:t xml:space="preserve"> commented</w:t>
      </w:r>
      <w:r w:rsidRPr="00CE2FC7">
        <w:rPr>
          <w:rFonts w:ascii="Times New Roman" w:hAnsi="Times New Roman" w:eastAsia="Times New Roman" w:cs="Times New Roman"/>
          <w:b/>
          <w:color w:val="030303"/>
          <w:spacing w:val="2"/>
          <w:sz w:val="24"/>
          <w:szCs w:val="24"/>
        </w:rPr>
        <w:t>:</w:t>
      </w:r>
    </w:p>
    <w:p w:rsidRPr="00D7577B" w:rsidR="00797C4F" w:rsidP="00797C4F" w:rsidRDefault="00797C4F" w14:paraId="37E04093"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797C4F" w:rsidP="00797C4F" w:rsidRDefault="00797C4F" w14:paraId="311A07FE" w14:textId="77777777">
      <w:pPr>
        <w:pStyle w:val="Default"/>
        <w:rPr>
          <w:rFonts w:ascii="Times New Roman" w:hAnsi="Times New Roman" w:cs="Times New Roman"/>
        </w:rPr>
      </w:pPr>
      <w:r w:rsidRPr="00D7577B">
        <w:rPr>
          <w:rFonts w:ascii="Times New Roman" w:hAnsi="Times New Roman" w:cs="Times New Roman"/>
          <w:b/>
          <w:bCs/>
        </w:rPr>
        <w:t xml:space="preserve">The air quality emissions reporting spreadsheets are incomplete. </w:t>
      </w:r>
    </w:p>
    <w:p w:rsidRPr="00D7577B" w:rsidR="00797C4F" w:rsidP="00797C4F" w:rsidRDefault="00797C4F" w14:paraId="4EB164C7" w14:textId="77777777">
      <w:pPr>
        <w:pStyle w:val="Default"/>
        <w:rPr>
          <w:rFonts w:ascii="Times New Roman" w:hAnsi="Times New Roman" w:cs="Times New Roman"/>
        </w:rPr>
      </w:pPr>
      <w:r w:rsidRPr="00D7577B">
        <w:rPr>
          <w:rFonts w:ascii="Times New Roman" w:hAnsi="Times New Roman" w:cs="Times New Roman"/>
        </w:rPr>
        <w:t xml:space="preserve">Section 550.205 of the proposed rule identifies what air emissions information must be submitted with offshore plans, including the acceptable methods for determining the appropriate emissions factors to be used and how to report facility emissions, attributed emissions and projected emissions for offshore plans. </w:t>
      </w:r>
      <w:r w:rsidR="00CE2FC7">
        <w:rPr>
          <w:rFonts w:ascii="Times New Roman" w:hAnsi="Times New Roman" w:cs="Times New Roman"/>
        </w:rPr>
        <w:t xml:space="preserve"> </w:t>
      </w:r>
      <w:r w:rsidRPr="00D7577B">
        <w:rPr>
          <w:rFonts w:ascii="Times New Roman" w:hAnsi="Times New Roman" w:cs="Times New Roman"/>
        </w:rPr>
        <w:t xml:space="preserve">In conjunction with the proposed rule, BOEM released </w:t>
      </w:r>
      <w:r w:rsidRPr="00D7577B">
        <w:rPr>
          <w:rFonts w:ascii="Times New Roman" w:hAnsi="Times New Roman" w:cs="Times New Roman"/>
        </w:rPr>
        <w:lastRenderedPageBreak/>
        <w:t xml:space="preserve">draft revised air emissions calculations workbooks that will be used to estimate air emissions for EPs (EP_AQ.xls) and DOCDs (DOCD_AQ.xls) in order to meet the requirements of § 550.205. </w:t>
      </w:r>
    </w:p>
    <w:p w:rsidRPr="00D7577B" w:rsidR="00CC3545" w:rsidP="00797C4F" w:rsidRDefault="00CC3545" w14:paraId="06740767" w14:textId="77777777">
      <w:pPr>
        <w:pStyle w:val="Default"/>
        <w:rPr>
          <w:rFonts w:ascii="Times New Roman" w:hAnsi="Times New Roman" w:cs="Times New Roman"/>
        </w:rPr>
      </w:pPr>
    </w:p>
    <w:p w:rsidR="00797C4F" w:rsidP="00797C4F" w:rsidRDefault="00797C4F" w14:paraId="2C4CBD7B" w14:textId="77777777">
      <w:pPr>
        <w:pStyle w:val="Default"/>
        <w:rPr>
          <w:rFonts w:ascii="Times New Roman" w:hAnsi="Times New Roman" w:cs="Times New Roman"/>
        </w:rPr>
      </w:pPr>
      <w:r w:rsidRPr="00D7577B">
        <w:rPr>
          <w:rFonts w:ascii="Times New Roman" w:hAnsi="Times New Roman" w:cs="Times New Roman"/>
        </w:rPr>
        <w:t xml:space="preserve">The following list outlines discrepancies noted between the proposed rule and the AQR workbooks, and includes recommendations to correct and streamline the IC burden costs for offshore operators. </w:t>
      </w:r>
      <w:r w:rsidR="00CE2FC7">
        <w:rPr>
          <w:rFonts w:ascii="Times New Roman" w:hAnsi="Times New Roman" w:cs="Times New Roman"/>
        </w:rPr>
        <w:t xml:space="preserve"> </w:t>
      </w:r>
      <w:r w:rsidRPr="00D7577B">
        <w:rPr>
          <w:rFonts w:ascii="Times New Roman" w:hAnsi="Times New Roman" w:cs="Times New Roman"/>
        </w:rPr>
        <w:t>In offering suggested improvements, we are not conceding that we agree with the proposed rule requirements nor that the information addressed is necessary for BOEM to perform its functions or useful in determining whether OCS activities significantly affect the air quality of a state.</w:t>
      </w:r>
      <w:r w:rsidR="00CE2FC7">
        <w:rPr>
          <w:rFonts w:ascii="Times New Roman" w:hAnsi="Times New Roman" w:cs="Times New Roman"/>
        </w:rPr>
        <w:t xml:space="preserve"> </w:t>
      </w:r>
      <w:r w:rsidRPr="00D7577B">
        <w:rPr>
          <w:rFonts w:ascii="Times New Roman" w:hAnsi="Times New Roman" w:cs="Times New Roman"/>
        </w:rPr>
        <w:t xml:space="preserve"> Furthermore, as discussed in Section 2.7, a minimum of 180 days was needed to conduct a thorough review of the proposed rule and supporting information. </w:t>
      </w:r>
      <w:r w:rsidR="00CE2FC7">
        <w:rPr>
          <w:rFonts w:ascii="Times New Roman" w:hAnsi="Times New Roman" w:cs="Times New Roman"/>
        </w:rPr>
        <w:t xml:space="preserve"> </w:t>
      </w:r>
      <w:r w:rsidRPr="00D7577B">
        <w:rPr>
          <w:rFonts w:ascii="Times New Roman" w:hAnsi="Times New Roman" w:cs="Times New Roman"/>
        </w:rPr>
        <w:t xml:space="preserve">The list below reflects as complete a review of the spreadsheets as time allowed. </w:t>
      </w:r>
    </w:p>
    <w:p w:rsidRPr="00D7577B" w:rsidR="00CE2FC7" w:rsidP="00797C4F" w:rsidRDefault="00CE2FC7" w14:paraId="170DE0F7" w14:textId="77777777">
      <w:pPr>
        <w:pStyle w:val="Default"/>
        <w:rPr>
          <w:rFonts w:ascii="Times New Roman" w:hAnsi="Times New Roman" w:cs="Times New Roman"/>
        </w:rPr>
      </w:pPr>
    </w:p>
    <w:p w:rsidRPr="00D7577B" w:rsidR="00797C4F" w:rsidP="00CC3545" w:rsidRDefault="00797C4F" w14:paraId="0A7C2FF0" w14:textId="77777777">
      <w:pPr>
        <w:pStyle w:val="Default"/>
        <w:numPr>
          <w:ilvl w:val="0"/>
          <w:numId w:val="10"/>
        </w:numPr>
        <w:spacing w:after="149"/>
        <w:rPr>
          <w:rFonts w:ascii="Times New Roman" w:hAnsi="Times New Roman" w:cs="Times New Roman"/>
        </w:rPr>
      </w:pPr>
      <w:r w:rsidRPr="00D7577B">
        <w:rPr>
          <w:rFonts w:ascii="Times New Roman" w:hAnsi="Times New Roman" w:cs="Times New Roman"/>
        </w:rPr>
        <w:t xml:space="preserve">The workbooks as released for review and comment use EPA AP-42 references as the primary source of emission factors and only reference industry studies or BOEM’s 2005/2011 </w:t>
      </w:r>
      <w:proofErr w:type="spellStart"/>
      <w:r w:rsidRPr="00D7577B">
        <w:rPr>
          <w:rFonts w:ascii="Times New Roman" w:hAnsi="Times New Roman" w:cs="Times New Roman"/>
        </w:rPr>
        <w:t>Gulfwide</w:t>
      </w:r>
      <w:proofErr w:type="spellEnd"/>
      <w:r w:rsidRPr="00D7577B">
        <w:rPr>
          <w:rFonts w:ascii="Times New Roman" w:hAnsi="Times New Roman" w:cs="Times New Roman"/>
        </w:rPr>
        <w:t xml:space="preserve"> emissions inventory if no AP-42 factor is available. In contrast, the proposed rule lists emission factor references in a prioritized order, stating that a method may only be used if all other higher priority methods are not available. According to § 550.205(b), AP-42 factors should only be used when factors that are based on source test results or that are vendor-guaranteed or provided by the manufacturer are not available. </w:t>
      </w:r>
    </w:p>
    <w:p w:rsidRPr="00D7577B" w:rsidR="00797C4F" w:rsidP="00CC3545" w:rsidRDefault="00797C4F" w14:paraId="5947B33F" w14:textId="77777777">
      <w:pPr>
        <w:pStyle w:val="Default"/>
        <w:numPr>
          <w:ilvl w:val="0"/>
          <w:numId w:val="10"/>
        </w:numPr>
        <w:spacing w:after="149"/>
        <w:rPr>
          <w:rFonts w:ascii="Times New Roman" w:hAnsi="Times New Roman" w:cs="Times New Roman"/>
        </w:rPr>
      </w:pPr>
      <w:r w:rsidRPr="00D7577B">
        <w:rPr>
          <w:rFonts w:ascii="Times New Roman" w:hAnsi="Times New Roman" w:cs="Times New Roman"/>
        </w:rPr>
        <w:t xml:space="preserve">The draft workbooks do not report estimated emissions for each of the emissions categories required under the proposed rule. For example, the SUMMARY page only presents a single maximum 12-month rolling total emissions value for each pollutant, which would represent the “projected emissions” for that pollutant. However, per § 550.205(c)(2), the maximum 12-month rolling sum of emissions needs to be calculated from each facility and from each individual emissions source on or physically connected to each facility. The proposed rule also requires that the lessee report maximum rolling-12 month “attributed emissions” (during the same 12-month period as the facility maximum), which are not calculated by the workbooks. </w:t>
      </w:r>
    </w:p>
    <w:p w:rsidRPr="00D7577B" w:rsidR="00797C4F" w:rsidP="00CC3545" w:rsidRDefault="00797C4F" w14:paraId="2EB46668" w14:textId="77777777">
      <w:pPr>
        <w:pStyle w:val="Default"/>
        <w:numPr>
          <w:ilvl w:val="0"/>
          <w:numId w:val="10"/>
        </w:numPr>
        <w:rPr>
          <w:rFonts w:ascii="Times New Roman" w:hAnsi="Times New Roman" w:cs="Times New Roman"/>
        </w:rPr>
      </w:pPr>
      <w:r w:rsidRPr="00D7577B">
        <w:rPr>
          <w:rFonts w:ascii="Times New Roman" w:hAnsi="Times New Roman" w:cs="Times New Roman"/>
        </w:rPr>
        <w:t xml:space="preserve">Similar to the 12-month sum of emissions discussed above, § 550.205(c)(3), (d), and (e) require the estimation of the maximum projected peak hourly emissions. </w:t>
      </w:r>
      <w:r w:rsidR="00CE2FC7">
        <w:rPr>
          <w:rFonts w:ascii="Times New Roman" w:hAnsi="Times New Roman" w:cs="Times New Roman"/>
        </w:rPr>
        <w:t xml:space="preserve"> </w:t>
      </w:r>
      <w:r w:rsidRPr="00D7577B">
        <w:rPr>
          <w:rFonts w:ascii="Times New Roman" w:hAnsi="Times New Roman" w:cs="Times New Roman"/>
        </w:rPr>
        <w:t xml:space="preserve">The draft workbooks calculate hourly emissions for individual sources based on estimated annual emissions. </w:t>
      </w:r>
      <w:r w:rsidR="00CE2FC7">
        <w:rPr>
          <w:rFonts w:ascii="Times New Roman" w:hAnsi="Times New Roman" w:cs="Times New Roman"/>
        </w:rPr>
        <w:t xml:space="preserve"> </w:t>
      </w:r>
      <w:r w:rsidRPr="00D7577B">
        <w:rPr>
          <w:rFonts w:ascii="Times New Roman" w:hAnsi="Times New Roman" w:cs="Times New Roman"/>
        </w:rPr>
        <w:t xml:space="preserve">Therefore, those hourly emissions essentially represent average hourly emissions and not maximum projected peak hourly emissions as required by the rule. Furthermore, the draft workbooks overestimate the total hourly emissions for each operating year (each EMISSIONS sheet), because they assume all sources will be operating at the same time rather than accounting for the temporal distribution of source operations. </w:t>
      </w:r>
      <w:r w:rsidR="00CE2FC7">
        <w:rPr>
          <w:rFonts w:ascii="Times New Roman" w:hAnsi="Times New Roman" w:cs="Times New Roman"/>
        </w:rPr>
        <w:t xml:space="preserve"> </w:t>
      </w:r>
      <w:r w:rsidRPr="00D7577B">
        <w:rPr>
          <w:rFonts w:ascii="Times New Roman" w:hAnsi="Times New Roman" w:cs="Times New Roman"/>
        </w:rPr>
        <w:t xml:space="preserve">For example, if a support vessel operates from 1/1/16-5/31/16 with 40.8 </w:t>
      </w:r>
      <w:proofErr w:type="spellStart"/>
      <w:r w:rsidRPr="00D7577B">
        <w:rPr>
          <w:rFonts w:ascii="Times New Roman" w:hAnsi="Times New Roman" w:cs="Times New Roman"/>
        </w:rPr>
        <w:t>lb</w:t>
      </w:r>
      <w:proofErr w:type="spellEnd"/>
      <w:r w:rsidRPr="00D7577B">
        <w:rPr>
          <w:rFonts w:ascii="Times New Roman" w:hAnsi="Times New Roman" w:cs="Times New Roman"/>
        </w:rPr>
        <w:t>/</w:t>
      </w:r>
      <w:proofErr w:type="spellStart"/>
      <w:r w:rsidRPr="00D7577B">
        <w:rPr>
          <w:rFonts w:ascii="Times New Roman" w:hAnsi="Times New Roman" w:cs="Times New Roman"/>
        </w:rPr>
        <w:t>hr</w:t>
      </w:r>
      <w:proofErr w:type="spellEnd"/>
      <w:r w:rsidRPr="00D7577B">
        <w:rPr>
          <w:rFonts w:ascii="Times New Roman" w:hAnsi="Times New Roman" w:cs="Times New Roman"/>
        </w:rPr>
        <w:t xml:space="preserve"> of PM10 emissions and another source operates from 6/1/16-12/31/16 with 40.8 </w:t>
      </w:r>
      <w:proofErr w:type="spellStart"/>
      <w:r w:rsidRPr="00D7577B">
        <w:rPr>
          <w:rFonts w:ascii="Times New Roman" w:hAnsi="Times New Roman" w:cs="Times New Roman"/>
        </w:rPr>
        <w:t>lb</w:t>
      </w:r>
      <w:proofErr w:type="spellEnd"/>
      <w:r w:rsidRPr="00D7577B">
        <w:rPr>
          <w:rFonts w:ascii="Times New Roman" w:hAnsi="Times New Roman" w:cs="Times New Roman"/>
        </w:rPr>
        <w:t>/</w:t>
      </w:r>
      <w:proofErr w:type="spellStart"/>
      <w:r w:rsidRPr="00D7577B">
        <w:rPr>
          <w:rFonts w:ascii="Times New Roman" w:hAnsi="Times New Roman" w:cs="Times New Roman"/>
        </w:rPr>
        <w:t>hr</w:t>
      </w:r>
      <w:proofErr w:type="spellEnd"/>
      <w:r w:rsidRPr="00D7577B">
        <w:rPr>
          <w:rFonts w:ascii="Times New Roman" w:hAnsi="Times New Roman" w:cs="Times New Roman"/>
        </w:rPr>
        <w:t xml:space="preserve"> of PM10 emissions, the workbooks sum these values together yielding a maximum value of 81.6 </w:t>
      </w:r>
      <w:proofErr w:type="spellStart"/>
      <w:r w:rsidRPr="00D7577B">
        <w:rPr>
          <w:rFonts w:ascii="Times New Roman" w:hAnsi="Times New Roman" w:cs="Times New Roman"/>
        </w:rPr>
        <w:t>lb</w:t>
      </w:r>
      <w:proofErr w:type="spellEnd"/>
      <w:r w:rsidRPr="00D7577B">
        <w:rPr>
          <w:rFonts w:ascii="Times New Roman" w:hAnsi="Times New Roman" w:cs="Times New Roman"/>
        </w:rPr>
        <w:t>/</w:t>
      </w:r>
      <w:proofErr w:type="spellStart"/>
      <w:r w:rsidRPr="00D7577B">
        <w:rPr>
          <w:rFonts w:ascii="Times New Roman" w:hAnsi="Times New Roman" w:cs="Times New Roman"/>
        </w:rPr>
        <w:t>hr</w:t>
      </w:r>
      <w:proofErr w:type="spellEnd"/>
      <w:r w:rsidRPr="00D7577B">
        <w:rPr>
          <w:rFonts w:ascii="Times New Roman" w:hAnsi="Times New Roman" w:cs="Times New Roman"/>
        </w:rPr>
        <w:t xml:space="preserve"> of PM10 emissions instead of estimating 40.8 </w:t>
      </w:r>
      <w:proofErr w:type="spellStart"/>
      <w:r w:rsidRPr="00D7577B">
        <w:rPr>
          <w:rFonts w:ascii="Times New Roman" w:hAnsi="Times New Roman" w:cs="Times New Roman"/>
        </w:rPr>
        <w:t>lb</w:t>
      </w:r>
      <w:proofErr w:type="spellEnd"/>
      <w:r w:rsidRPr="00D7577B">
        <w:rPr>
          <w:rFonts w:ascii="Times New Roman" w:hAnsi="Times New Roman" w:cs="Times New Roman"/>
        </w:rPr>
        <w:t>/</w:t>
      </w:r>
      <w:proofErr w:type="spellStart"/>
      <w:r w:rsidRPr="00D7577B">
        <w:rPr>
          <w:rFonts w:ascii="Times New Roman" w:hAnsi="Times New Roman" w:cs="Times New Roman"/>
        </w:rPr>
        <w:t>hr</w:t>
      </w:r>
      <w:proofErr w:type="spellEnd"/>
      <w:r w:rsidRPr="00D7577B">
        <w:rPr>
          <w:rFonts w:ascii="Times New Roman" w:hAnsi="Times New Roman" w:cs="Times New Roman"/>
        </w:rPr>
        <w:t xml:space="preserve"> of PM10. Similarly, a facility may have multiple power generating turbines with one turbine off-line acting as a spare. </w:t>
      </w:r>
      <w:r w:rsidR="00CE2FC7">
        <w:rPr>
          <w:rFonts w:ascii="Times New Roman" w:hAnsi="Times New Roman" w:cs="Times New Roman"/>
        </w:rPr>
        <w:t xml:space="preserve"> </w:t>
      </w:r>
      <w:r w:rsidRPr="00D7577B">
        <w:rPr>
          <w:rFonts w:ascii="Times New Roman" w:hAnsi="Times New Roman" w:cs="Times New Roman"/>
        </w:rPr>
        <w:t xml:space="preserve">The AQR spreadsheet would currently estimate emissions as if all turbines were </w:t>
      </w:r>
    </w:p>
    <w:p w:rsidRPr="00D7577B" w:rsidR="00797C4F" w:rsidP="00CE2FC7" w:rsidRDefault="00797C4F" w14:paraId="59C97A8C" w14:textId="77777777">
      <w:pPr>
        <w:pStyle w:val="Default"/>
        <w:spacing w:after="151"/>
        <w:ind w:left="720"/>
        <w:rPr>
          <w:rFonts w:ascii="Times New Roman" w:hAnsi="Times New Roman" w:cs="Times New Roman"/>
        </w:rPr>
      </w:pPr>
      <w:r w:rsidRPr="00D7577B">
        <w:rPr>
          <w:rFonts w:ascii="Times New Roman" w:hAnsi="Times New Roman" w:cs="Times New Roman"/>
        </w:rPr>
        <w:t xml:space="preserve">operating. </w:t>
      </w:r>
      <w:r w:rsidR="00CE2FC7">
        <w:rPr>
          <w:rFonts w:ascii="Times New Roman" w:hAnsi="Times New Roman" w:cs="Times New Roman"/>
        </w:rPr>
        <w:t xml:space="preserve"> </w:t>
      </w:r>
      <w:r w:rsidRPr="00D7577B">
        <w:rPr>
          <w:rFonts w:ascii="Times New Roman" w:hAnsi="Times New Roman" w:cs="Times New Roman"/>
        </w:rPr>
        <w:t xml:space="preserve">BOEM should update the workbooks to calculate all of the emissions categories or revise the regulation to clarify that only the emissions categories calculated </w:t>
      </w:r>
      <w:r w:rsidRPr="00D7577B">
        <w:rPr>
          <w:rFonts w:ascii="Times New Roman" w:hAnsi="Times New Roman" w:cs="Times New Roman"/>
        </w:rPr>
        <w:lastRenderedPageBreak/>
        <w:t xml:space="preserve">by the workbooks are necessary. BOEM should also ensure that the AQR workbooks do not overestimate maximum hourly emissions. </w:t>
      </w:r>
    </w:p>
    <w:p w:rsidRPr="00D7577B" w:rsidR="00797C4F" w:rsidP="00CC3545" w:rsidRDefault="00797C4F" w14:paraId="216F33BD" w14:textId="77777777">
      <w:pPr>
        <w:pStyle w:val="Default"/>
        <w:numPr>
          <w:ilvl w:val="0"/>
          <w:numId w:val="10"/>
        </w:numPr>
        <w:spacing w:after="151"/>
        <w:rPr>
          <w:rFonts w:ascii="Times New Roman" w:hAnsi="Times New Roman" w:cs="Times New Roman"/>
        </w:rPr>
      </w:pPr>
      <w:r w:rsidRPr="00D7577B">
        <w:rPr>
          <w:rFonts w:ascii="Times New Roman" w:hAnsi="Times New Roman" w:cs="Times New Roman"/>
        </w:rPr>
        <w:t>The ability to allocate “attributed emissions” to multiple facilities is not currently functional in the AQR spreadsheet as described under § 550.205(d)(5).</w:t>
      </w:r>
      <w:r w:rsidR="00CE2FC7">
        <w:rPr>
          <w:rFonts w:ascii="Times New Roman" w:hAnsi="Times New Roman" w:cs="Times New Roman"/>
        </w:rPr>
        <w:t xml:space="preserve"> </w:t>
      </w:r>
      <w:r w:rsidRPr="00D7577B">
        <w:rPr>
          <w:rFonts w:ascii="Times New Roman" w:hAnsi="Times New Roman" w:cs="Times New Roman"/>
        </w:rPr>
        <w:t xml:space="preserve"> It is evident that the inclusion of this functionality was started but not completed. </w:t>
      </w:r>
    </w:p>
    <w:p w:rsidRPr="00D7577B" w:rsidR="00797C4F" w:rsidP="00CC3545" w:rsidRDefault="00797C4F" w14:paraId="42209C32" w14:textId="77777777">
      <w:pPr>
        <w:pStyle w:val="Default"/>
        <w:numPr>
          <w:ilvl w:val="0"/>
          <w:numId w:val="10"/>
        </w:numPr>
        <w:spacing w:after="151"/>
        <w:rPr>
          <w:rFonts w:ascii="Times New Roman" w:hAnsi="Times New Roman" w:cs="Times New Roman"/>
        </w:rPr>
      </w:pPr>
      <w:r w:rsidRPr="00D7577B">
        <w:rPr>
          <w:rFonts w:ascii="Times New Roman" w:hAnsi="Times New Roman" w:cs="Times New Roman"/>
        </w:rPr>
        <w:t xml:space="preserve">The draft workbooks currently do not account for all activities regulated under the proposed new regulations. Specifically, the workbooks do not account for decommissioning activities. </w:t>
      </w:r>
    </w:p>
    <w:p w:rsidRPr="00D7577B" w:rsidR="00797C4F" w:rsidP="00CC3545" w:rsidRDefault="00797C4F" w14:paraId="78150F64" w14:textId="77777777">
      <w:pPr>
        <w:pStyle w:val="Default"/>
        <w:numPr>
          <w:ilvl w:val="0"/>
          <w:numId w:val="10"/>
        </w:numPr>
        <w:spacing w:after="151"/>
        <w:rPr>
          <w:rFonts w:ascii="Times New Roman" w:hAnsi="Times New Roman" w:cs="Times New Roman"/>
        </w:rPr>
      </w:pPr>
      <w:r w:rsidRPr="00D7577B">
        <w:rPr>
          <w:rFonts w:ascii="Times New Roman" w:hAnsi="Times New Roman" w:cs="Times New Roman"/>
        </w:rPr>
        <w:t xml:space="preserve">The draft workbooks currently do not account for including aircraft and onshore facility when predicted concentrations attributable to offshore sources are within 95 percent of a SIL. </w:t>
      </w:r>
    </w:p>
    <w:p w:rsidRPr="00D7577B" w:rsidR="00797C4F" w:rsidP="00CC3545" w:rsidRDefault="00797C4F" w14:paraId="5AFC5860" w14:textId="77777777">
      <w:pPr>
        <w:pStyle w:val="Default"/>
        <w:numPr>
          <w:ilvl w:val="0"/>
          <w:numId w:val="10"/>
        </w:numPr>
        <w:spacing w:after="151"/>
        <w:rPr>
          <w:rFonts w:ascii="Times New Roman" w:hAnsi="Times New Roman" w:cs="Times New Roman"/>
        </w:rPr>
      </w:pPr>
      <w:r w:rsidRPr="00D7577B">
        <w:rPr>
          <w:rFonts w:ascii="Times New Roman" w:hAnsi="Times New Roman" w:cs="Times New Roman"/>
        </w:rPr>
        <w:t xml:space="preserve">It is unclear how the workbooks could be modified to account for consolidation of multiple facilities, especially in regard to calculating maximum rolling 12-month values of complex total emissions. </w:t>
      </w:r>
    </w:p>
    <w:p w:rsidRPr="00D7577B" w:rsidR="00797C4F" w:rsidP="00CC3545" w:rsidRDefault="00797C4F" w14:paraId="1DD74E31" w14:textId="77777777">
      <w:pPr>
        <w:pStyle w:val="Default"/>
        <w:numPr>
          <w:ilvl w:val="0"/>
          <w:numId w:val="10"/>
        </w:numPr>
        <w:spacing w:after="151"/>
        <w:rPr>
          <w:rFonts w:ascii="Times New Roman" w:hAnsi="Times New Roman" w:cs="Times New Roman"/>
        </w:rPr>
      </w:pPr>
      <w:r w:rsidRPr="00D7577B">
        <w:rPr>
          <w:rFonts w:ascii="Times New Roman" w:hAnsi="Times New Roman" w:cs="Times New Roman"/>
        </w:rPr>
        <w:t xml:space="preserve">Based on a review of the workbook instructions, BOEM must revise the instructions to more clearly follow the regulatory requirements and include additional instructions for proper use of the workbook. This would minimize the burden on the offshore operators as well as BOEM staff when reviewing completed workbooks. </w:t>
      </w:r>
      <w:r w:rsidR="00204816">
        <w:rPr>
          <w:rFonts w:ascii="Times New Roman" w:hAnsi="Times New Roman" w:cs="Times New Roman"/>
        </w:rPr>
        <w:t xml:space="preserve"> </w:t>
      </w:r>
      <w:r w:rsidRPr="00D7577B">
        <w:rPr>
          <w:rFonts w:ascii="Times New Roman" w:hAnsi="Times New Roman" w:cs="Times New Roman"/>
        </w:rPr>
        <w:t xml:space="preserve">The revisions should be completed prior to publication of the final rule and include an opportunity for additional comment. </w:t>
      </w:r>
    </w:p>
    <w:p w:rsidRPr="00D7577B" w:rsidR="00797C4F" w:rsidP="00CC3545" w:rsidRDefault="00797C4F" w14:paraId="67DF762E" w14:textId="77777777">
      <w:pPr>
        <w:pStyle w:val="Default"/>
        <w:numPr>
          <w:ilvl w:val="0"/>
          <w:numId w:val="10"/>
        </w:numPr>
        <w:spacing w:after="151"/>
        <w:rPr>
          <w:rFonts w:ascii="Times New Roman" w:hAnsi="Times New Roman" w:cs="Times New Roman"/>
        </w:rPr>
      </w:pPr>
      <w:r w:rsidRPr="00D7577B">
        <w:rPr>
          <w:rFonts w:ascii="Times New Roman" w:hAnsi="Times New Roman" w:cs="Times New Roman"/>
        </w:rPr>
        <w:t xml:space="preserve">Section 550.205(a) of the proposed regulation requires a substantial amount of information for emission sources that could be captured in the AQR spreadsheets. </w:t>
      </w:r>
      <w:r w:rsidR="00204816">
        <w:rPr>
          <w:rFonts w:ascii="Times New Roman" w:hAnsi="Times New Roman" w:cs="Times New Roman"/>
        </w:rPr>
        <w:t xml:space="preserve"> </w:t>
      </w:r>
      <w:r w:rsidRPr="00D7577B">
        <w:rPr>
          <w:rFonts w:ascii="Times New Roman" w:hAnsi="Times New Roman" w:cs="Times New Roman"/>
        </w:rPr>
        <w:t xml:space="preserve">It would reduce the IC burden on offshore operators if the AQR spreadsheets were revised to include all relevant data requested by § 550.205(a)(1-5) rather than having to provide some of the data in the spreadsheet and the remaining data in separate tables as part of a plan submittal. </w:t>
      </w:r>
    </w:p>
    <w:p w:rsidRPr="00D7577B" w:rsidR="00797C4F" w:rsidP="00CC3545" w:rsidRDefault="00797C4F" w14:paraId="02C5AE63" w14:textId="77777777">
      <w:pPr>
        <w:pStyle w:val="Default"/>
        <w:numPr>
          <w:ilvl w:val="0"/>
          <w:numId w:val="10"/>
        </w:numPr>
        <w:spacing w:after="151"/>
        <w:rPr>
          <w:rFonts w:ascii="Times New Roman" w:hAnsi="Times New Roman" w:cs="Times New Roman"/>
        </w:rPr>
      </w:pPr>
      <w:r w:rsidRPr="00D7577B">
        <w:rPr>
          <w:rFonts w:ascii="Times New Roman" w:hAnsi="Times New Roman" w:cs="Times New Roman"/>
        </w:rPr>
        <w:t xml:space="preserve">The draft AQR spreadsheets as released for comment have no mechanisms to include ERMs (operational controls, equipment replacement, BACT, or emission credits) that will be employed or acquired as part of a proposed OCS operation. Updating the AQR spreadsheets to standardize and account for ERMs would reduce the IC burden on offshore operators as well as minimize BOEM review time. </w:t>
      </w:r>
    </w:p>
    <w:p w:rsidRPr="00D7577B" w:rsidR="00797C4F" w:rsidP="00797C4F" w:rsidRDefault="00797C4F" w14:paraId="74BFC01D" w14:textId="77777777">
      <w:pPr>
        <w:pStyle w:val="Default"/>
        <w:rPr>
          <w:rFonts w:ascii="Times New Roman" w:hAnsi="Times New Roman" w:cs="Times New Roman"/>
        </w:rPr>
      </w:pPr>
      <w:r w:rsidRPr="00D7577B">
        <w:rPr>
          <w:rFonts w:ascii="Times New Roman" w:hAnsi="Times New Roman" w:cs="Times New Roman"/>
        </w:rPr>
        <w:t xml:space="preserve">The proposed rule includes a new requirement for ROW, RUE and lease-term pipeline applications to include air emissions data with the application. However, BOEM has not provided a draft air emissions calculations workbook or similar tool for submitting this information. </w:t>
      </w:r>
    </w:p>
    <w:p w:rsidRPr="00D7577B" w:rsidR="00CC3545" w:rsidP="00797C4F" w:rsidRDefault="00CC3545" w14:paraId="7B3A028F" w14:textId="77777777">
      <w:pPr>
        <w:pStyle w:val="Default"/>
        <w:rPr>
          <w:rFonts w:ascii="Times New Roman" w:hAnsi="Times New Roman" w:cs="Times New Roman"/>
        </w:rPr>
      </w:pPr>
    </w:p>
    <w:p w:rsidRPr="00D7577B" w:rsidR="00797C4F" w:rsidP="00797C4F" w:rsidRDefault="00797C4F" w14:paraId="7B81199D" w14:textId="77777777">
      <w:pPr>
        <w:pStyle w:val="Default"/>
        <w:rPr>
          <w:rFonts w:ascii="Times New Roman" w:hAnsi="Times New Roman" w:cs="Times New Roman"/>
        </w:rPr>
      </w:pPr>
      <w:r w:rsidRPr="00D7577B">
        <w:rPr>
          <w:rFonts w:ascii="Times New Roman" w:hAnsi="Times New Roman" w:cs="Times New Roman"/>
        </w:rPr>
        <w:t>Notwithstanding the comments above, we request that BOEM update the draft AQR workbooks in order to align with the proposed redline/strikeout rule requirements provided in Appendix A. BOEM must update the workbooks and allow for additional comment prior to publication of the final rule.</w:t>
      </w:r>
    </w:p>
    <w:p w:rsidRPr="00D7577B" w:rsidR="00797C4F" w:rsidP="00797C4F" w:rsidRDefault="00797C4F" w14:paraId="22C08B02" w14:textId="77777777">
      <w:pPr>
        <w:pStyle w:val="Default"/>
        <w:rPr>
          <w:rFonts w:ascii="Times New Roman" w:hAnsi="Times New Roman" w:cs="Times New Roman"/>
        </w:rPr>
      </w:pPr>
    </w:p>
    <w:p w:rsidRPr="00204816" w:rsidR="008272CF" w:rsidP="003F5238" w:rsidRDefault="008272CF" w14:paraId="4FA17FA7" w14:textId="77777777">
      <w:pPr>
        <w:spacing w:after="0" w:line="240" w:lineRule="auto"/>
        <w:ind w:right="-40" w:hanging="5"/>
        <w:rPr>
          <w:rFonts w:ascii="Times New Roman" w:hAnsi="Times New Roman" w:eastAsia="Times New Roman" w:cs="Times New Roman"/>
          <w:b/>
          <w:color w:val="030303"/>
          <w:spacing w:val="2"/>
          <w:sz w:val="24"/>
          <w:szCs w:val="24"/>
        </w:rPr>
      </w:pPr>
      <w:r w:rsidRPr="00204816">
        <w:rPr>
          <w:rFonts w:ascii="Times New Roman" w:hAnsi="Times New Roman" w:eastAsia="Times New Roman" w:cs="Times New Roman"/>
          <w:b/>
          <w:color w:val="030303"/>
          <w:spacing w:val="2"/>
          <w:sz w:val="24"/>
          <w:szCs w:val="24"/>
        </w:rPr>
        <w:lastRenderedPageBreak/>
        <w:t>The Offshore Operators Committee</w:t>
      </w:r>
      <w:r w:rsidRPr="00204816" w:rsidR="00204816">
        <w:rPr>
          <w:rFonts w:ascii="Times New Roman" w:hAnsi="Times New Roman" w:eastAsia="Times New Roman" w:cs="Times New Roman"/>
          <w:b/>
          <w:color w:val="030303"/>
          <w:spacing w:val="2"/>
          <w:sz w:val="24"/>
          <w:szCs w:val="24"/>
        </w:rPr>
        <w:t xml:space="preserve"> commented</w:t>
      </w:r>
      <w:r w:rsidRPr="00204816">
        <w:rPr>
          <w:rFonts w:ascii="Times New Roman" w:hAnsi="Times New Roman" w:eastAsia="Times New Roman" w:cs="Times New Roman"/>
          <w:b/>
          <w:color w:val="030303"/>
          <w:spacing w:val="2"/>
          <w:sz w:val="24"/>
          <w:szCs w:val="24"/>
        </w:rPr>
        <w:t xml:space="preserve">:  </w:t>
      </w:r>
    </w:p>
    <w:p w:rsidRPr="00D7577B" w:rsidR="008272CF" w:rsidP="003F5238" w:rsidRDefault="008272CF" w14:paraId="01AAFECA"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8272CF" w:rsidP="00204816" w:rsidRDefault="008272CF" w14:paraId="17FD4C0C" w14:textId="77777777">
      <w:pPr>
        <w:spacing w:after="0" w:line="240" w:lineRule="auto"/>
        <w:ind w:right="-40" w:hanging="5"/>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§550.205(a) of the proposed regulation requires a substantial amount of information for emission sources that could be captured in the AQR spreadsheets.</w:t>
      </w:r>
      <w:r w:rsidR="00204816">
        <w:rPr>
          <w:rFonts w:ascii="Times New Roman" w:hAnsi="Times New Roman" w:eastAsia="Times New Roman" w:cs="Times New Roman"/>
          <w:color w:val="030303"/>
          <w:spacing w:val="2"/>
          <w:sz w:val="24"/>
          <w:szCs w:val="24"/>
        </w:rPr>
        <w:t xml:space="preserve"> </w:t>
      </w:r>
      <w:r w:rsidRPr="00D7577B">
        <w:rPr>
          <w:rFonts w:ascii="Times New Roman" w:hAnsi="Times New Roman" w:eastAsia="Times New Roman" w:cs="Times New Roman"/>
          <w:color w:val="030303"/>
          <w:spacing w:val="2"/>
          <w:sz w:val="24"/>
          <w:szCs w:val="24"/>
        </w:rPr>
        <w:t xml:space="preserve"> It would reduce the IC burden on offshore operators if the AQR spreadsheets were revised to</w:t>
      </w:r>
      <w:r w:rsidR="00204816">
        <w:rPr>
          <w:rFonts w:ascii="Times New Roman" w:hAnsi="Times New Roman" w:eastAsia="Times New Roman" w:cs="Times New Roman"/>
          <w:color w:val="030303"/>
          <w:spacing w:val="2"/>
          <w:sz w:val="24"/>
          <w:szCs w:val="24"/>
        </w:rPr>
        <w:t xml:space="preserve"> </w:t>
      </w:r>
      <w:r w:rsidRPr="00D7577B">
        <w:rPr>
          <w:rFonts w:ascii="Times New Roman" w:hAnsi="Times New Roman" w:eastAsia="Times New Roman" w:cs="Times New Roman"/>
          <w:color w:val="030303"/>
          <w:spacing w:val="2"/>
          <w:sz w:val="24"/>
          <w:szCs w:val="24"/>
        </w:rPr>
        <w:t xml:space="preserve">include all relevant data requested by §550.205(a)(1-5) rather than having to provide some of the data in the </w:t>
      </w:r>
      <w:r w:rsidR="00204816">
        <w:rPr>
          <w:rFonts w:ascii="Times New Roman" w:hAnsi="Times New Roman" w:eastAsia="Times New Roman" w:cs="Times New Roman"/>
          <w:color w:val="030303"/>
          <w:spacing w:val="2"/>
          <w:sz w:val="24"/>
          <w:szCs w:val="24"/>
        </w:rPr>
        <w:t>s</w:t>
      </w:r>
      <w:r w:rsidRPr="00D7577B">
        <w:rPr>
          <w:rFonts w:ascii="Times New Roman" w:hAnsi="Times New Roman" w:eastAsia="Times New Roman" w:cs="Times New Roman"/>
          <w:color w:val="030303"/>
          <w:spacing w:val="2"/>
          <w:sz w:val="24"/>
          <w:szCs w:val="24"/>
        </w:rPr>
        <w:t>preadsheet and the remaining data in separate tables as part of a plan submittal.</w:t>
      </w:r>
    </w:p>
    <w:p w:rsidRPr="00D7577B" w:rsidR="008272CF" w:rsidP="008272CF" w:rsidRDefault="008272CF" w14:paraId="6B5B38D5"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8272CF" w:rsidP="008272CF" w:rsidRDefault="008272CF" w14:paraId="25A0375F" w14:textId="77777777">
      <w:pPr>
        <w:spacing w:after="0" w:line="240" w:lineRule="auto"/>
        <w:ind w:right="-40" w:hanging="5"/>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The draft AQR spreadsheets as released for comment have no mechanisms to include ERMs (operational controls, equipment replacement, best available control technology (BACT), or emission credits) that will be employed or acquired as part of a proposed OCS operation. Updating the AQR spreadsheets to standardize and account for ERMs would reduce the IC burden on offshore operators as well as minimize BOEM review time.</w:t>
      </w:r>
    </w:p>
    <w:p w:rsidRPr="00D7577B" w:rsidR="008272CF" w:rsidP="008272CF" w:rsidRDefault="008272CF" w14:paraId="0E78F1E2"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8272CF" w:rsidP="008272CF" w:rsidRDefault="008272CF" w14:paraId="50E431AF" w14:textId="77777777">
      <w:pPr>
        <w:spacing w:after="0" w:line="240" w:lineRule="auto"/>
        <w:ind w:right="-40" w:hanging="5"/>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The current draft versions of the AQR spreadsheets do not include a Q/D analysis for determination on whether or not Class I modeling analyses are required as part of a plan submittal. Incorporation of the Q/D analysis into the spreadsheets would reduce the IC burden on offshore operators as well as minimize BOEM review time.</w:t>
      </w:r>
    </w:p>
    <w:p w:rsidRPr="00D7577B" w:rsidR="008272CF" w:rsidP="003F5238" w:rsidRDefault="008272CF" w14:paraId="5D52E475"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8272CF" w:rsidP="003F5238" w:rsidRDefault="00F13831" w14:paraId="50134D32" w14:textId="77777777">
      <w:pPr>
        <w:spacing w:after="0" w:line="240" w:lineRule="auto"/>
        <w:ind w:right="-40" w:hanging="5"/>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Additionally, §550.205(b) of the proposed rule requires the regulated community to utilize a scripted and prioritized emissions estimation basis in estimating emissions for sources covered in each plan.</w:t>
      </w:r>
      <w:r w:rsidR="00204816">
        <w:rPr>
          <w:rFonts w:ascii="Times New Roman" w:hAnsi="Times New Roman" w:eastAsia="Times New Roman" w:cs="Times New Roman"/>
          <w:color w:val="030303"/>
          <w:spacing w:val="2"/>
          <w:sz w:val="24"/>
          <w:szCs w:val="24"/>
        </w:rPr>
        <w:t xml:space="preserve"> </w:t>
      </w:r>
      <w:r w:rsidRPr="00D7577B">
        <w:rPr>
          <w:rFonts w:ascii="Times New Roman" w:hAnsi="Times New Roman" w:eastAsia="Times New Roman" w:cs="Times New Roman"/>
          <w:color w:val="030303"/>
          <w:spacing w:val="2"/>
          <w:sz w:val="24"/>
          <w:szCs w:val="24"/>
        </w:rPr>
        <w:t xml:space="preserve"> In an effort to streamline the OCS emissions inventory estimating methodology and to ensure a more accurate OCS emission inventory, BOEM should utilize the emissions estimation basis provided in the AQR spreadsheets to estimate actual emissions for OCS emission sources.</w:t>
      </w:r>
    </w:p>
    <w:p w:rsidRPr="00D7577B" w:rsidR="00F13831" w:rsidP="003F5238" w:rsidRDefault="00F13831" w14:paraId="099558A0" w14:textId="77777777">
      <w:pPr>
        <w:spacing w:after="0" w:line="240" w:lineRule="auto"/>
        <w:ind w:right="-40" w:hanging="5"/>
        <w:rPr>
          <w:rFonts w:ascii="Times New Roman" w:hAnsi="Times New Roman" w:eastAsia="Times New Roman" w:cs="Times New Roman"/>
          <w:color w:val="030303"/>
          <w:spacing w:val="2"/>
          <w:sz w:val="24"/>
          <w:szCs w:val="24"/>
        </w:rPr>
      </w:pPr>
    </w:p>
    <w:p w:rsidRPr="00204816" w:rsidR="00F13831" w:rsidP="003F5238" w:rsidRDefault="00F13831" w14:paraId="4175992A" w14:textId="77777777">
      <w:pPr>
        <w:spacing w:after="0" w:line="240" w:lineRule="auto"/>
        <w:ind w:right="-40" w:hanging="5"/>
        <w:rPr>
          <w:rFonts w:ascii="Times New Roman" w:hAnsi="Times New Roman" w:eastAsia="Times New Roman" w:cs="Times New Roman"/>
          <w:b/>
          <w:color w:val="030303"/>
          <w:spacing w:val="2"/>
          <w:sz w:val="24"/>
          <w:szCs w:val="24"/>
        </w:rPr>
      </w:pPr>
      <w:r w:rsidRPr="00204816">
        <w:rPr>
          <w:rFonts w:ascii="Times New Roman" w:hAnsi="Times New Roman" w:eastAsia="Times New Roman" w:cs="Times New Roman"/>
          <w:b/>
          <w:color w:val="030303"/>
          <w:spacing w:val="2"/>
          <w:sz w:val="24"/>
          <w:szCs w:val="24"/>
        </w:rPr>
        <w:t>Shell Exploration and Production Company</w:t>
      </w:r>
      <w:r w:rsidR="00204816">
        <w:rPr>
          <w:rFonts w:ascii="Times New Roman" w:hAnsi="Times New Roman" w:eastAsia="Times New Roman" w:cs="Times New Roman"/>
          <w:b/>
          <w:color w:val="030303"/>
          <w:spacing w:val="2"/>
          <w:sz w:val="24"/>
          <w:szCs w:val="24"/>
        </w:rPr>
        <w:t xml:space="preserve"> commented</w:t>
      </w:r>
      <w:r w:rsidRPr="00204816">
        <w:rPr>
          <w:rFonts w:ascii="Times New Roman" w:hAnsi="Times New Roman" w:eastAsia="Times New Roman" w:cs="Times New Roman"/>
          <w:b/>
          <w:color w:val="030303"/>
          <w:spacing w:val="2"/>
          <w:sz w:val="24"/>
          <w:szCs w:val="24"/>
        </w:rPr>
        <w:t>:</w:t>
      </w:r>
    </w:p>
    <w:p w:rsidRPr="00D7577B" w:rsidR="00F13831" w:rsidP="003F5238" w:rsidRDefault="00F13831" w14:paraId="5781AC16"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F13831" w:rsidP="00F13831" w:rsidRDefault="00F13831" w14:paraId="24B39AF1" w14:textId="77777777">
      <w:pPr>
        <w:widowControl/>
        <w:autoSpaceDE w:val="0"/>
        <w:autoSpaceDN w:val="0"/>
        <w:adjustRightInd w:val="0"/>
        <w:spacing w:after="0" w:line="240" w:lineRule="auto"/>
        <w:rPr>
          <w:rFonts w:ascii="Times New Roman" w:hAnsi="Times New Roman" w:cs="Times New Roman"/>
          <w:sz w:val="24"/>
          <w:szCs w:val="24"/>
        </w:rPr>
      </w:pPr>
      <w:r w:rsidRPr="00D7577B">
        <w:rPr>
          <w:rFonts w:ascii="Times New Roman" w:hAnsi="Times New Roman" w:cs="Times New Roman"/>
          <w:sz w:val="24"/>
          <w:szCs w:val="24"/>
        </w:rPr>
        <w:t xml:space="preserve">Additionally, proposed § 550.205(l) requires the electronic submission of required data and information "using forms, as specified by BOEM".  While the discussion of modifications to forms BOEM-0l38 and BOEM-0l39 provided in Supporting Statement A does acknowledge BOEM's work (via contractor) to update the forms, it should be noted that the forms included in the docket for review do not allow for application of all the emission estimation options included in the proposed rule, do not provide a means to consolidate emissions applying the proposed methodologies, and do not support estimation of emissions after applying mitigations as described in the proposal. BOEM's estimates for increased burden associated with the submission of these forms cannot be adequately assessed until the final form revisions </w:t>
      </w:r>
      <w:r w:rsidRPr="00D7577B" w:rsidR="008C0735">
        <w:rPr>
          <w:rFonts w:ascii="Times New Roman" w:hAnsi="Times New Roman" w:cs="Times New Roman"/>
          <w:sz w:val="24"/>
          <w:szCs w:val="24"/>
        </w:rPr>
        <w:t>(</w:t>
      </w:r>
      <w:r w:rsidRPr="00D7577B">
        <w:rPr>
          <w:rFonts w:ascii="Times New Roman" w:hAnsi="Times New Roman" w:cs="Times New Roman"/>
          <w:sz w:val="24"/>
          <w:szCs w:val="24"/>
        </w:rPr>
        <w:t>i</w:t>
      </w:r>
      <w:r w:rsidRPr="00D7577B" w:rsidR="008C0735">
        <w:rPr>
          <w:rFonts w:ascii="Times New Roman" w:hAnsi="Times New Roman" w:cs="Times New Roman"/>
          <w:sz w:val="24"/>
          <w:szCs w:val="24"/>
        </w:rPr>
        <w:t>ncluding all of the activities/</w:t>
      </w:r>
      <w:r w:rsidRPr="00D7577B">
        <w:rPr>
          <w:rFonts w:ascii="Times New Roman" w:hAnsi="Times New Roman" w:cs="Times New Roman"/>
          <w:sz w:val="24"/>
          <w:szCs w:val="24"/>
        </w:rPr>
        <w:t>data/information required by the proposed regulation) have been issued for review and testing.</w:t>
      </w:r>
    </w:p>
    <w:p w:rsidRPr="00D7577B" w:rsidR="008C0735" w:rsidP="00F13831" w:rsidRDefault="008C0735" w14:paraId="194BC5F4" w14:textId="77777777">
      <w:pPr>
        <w:widowControl/>
        <w:autoSpaceDE w:val="0"/>
        <w:autoSpaceDN w:val="0"/>
        <w:adjustRightInd w:val="0"/>
        <w:spacing w:after="0" w:line="240" w:lineRule="auto"/>
        <w:rPr>
          <w:rFonts w:ascii="Times New Roman" w:hAnsi="Times New Roman" w:cs="Times New Roman"/>
          <w:sz w:val="24"/>
          <w:szCs w:val="24"/>
        </w:rPr>
      </w:pPr>
    </w:p>
    <w:p w:rsidRPr="00204816" w:rsidR="008C0735" w:rsidP="00F13831" w:rsidRDefault="008C0735" w14:paraId="0AF5D02D" w14:textId="77777777">
      <w:pPr>
        <w:widowControl/>
        <w:autoSpaceDE w:val="0"/>
        <w:autoSpaceDN w:val="0"/>
        <w:adjustRightInd w:val="0"/>
        <w:spacing w:after="0" w:line="240" w:lineRule="auto"/>
        <w:rPr>
          <w:rFonts w:ascii="Times New Roman" w:hAnsi="Times New Roman" w:cs="Times New Roman"/>
          <w:b/>
          <w:sz w:val="24"/>
          <w:szCs w:val="24"/>
        </w:rPr>
      </w:pPr>
      <w:r w:rsidRPr="00204816">
        <w:rPr>
          <w:rFonts w:ascii="Times New Roman" w:hAnsi="Times New Roman" w:cs="Times New Roman"/>
          <w:b/>
          <w:sz w:val="24"/>
          <w:szCs w:val="24"/>
        </w:rPr>
        <w:t>Chevron</w:t>
      </w:r>
      <w:r w:rsidRPr="00204816" w:rsidR="00797C4F">
        <w:rPr>
          <w:rFonts w:ascii="Times New Roman" w:hAnsi="Times New Roman" w:cs="Times New Roman"/>
          <w:b/>
          <w:sz w:val="24"/>
          <w:szCs w:val="24"/>
        </w:rPr>
        <w:t xml:space="preserve"> North American Exploration and Production Company</w:t>
      </w:r>
      <w:r w:rsidRPr="00204816" w:rsidR="00204816">
        <w:rPr>
          <w:rFonts w:ascii="Times New Roman" w:hAnsi="Times New Roman" w:cs="Times New Roman"/>
          <w:b/>
          <w:sz w:val="24"/>
          <w:szCs w:val="24"/>
        </w:rPr>
        <w:t xml:space="preserve"> commented</w:t>
      </w:r>
      <w:r w:rsidRPr="00204816">
        <w:rPr>
          <w:rFonts w:ascii="Times New Roman" w:hAnsi="Times New Roman" w:cs="Times New Roman"/>
          <w:b/>
          <w:sz w:val="24"/>
          <w:szCs w:val="24"/>
        </w:rPr>
        <w:t>:</w:t>
      </w:r>
    </w:p>
    <w:p w:rsidRPr="00D7577B" w:rsidR="008C0735" w:rsidP="00F13831" w:rsidRDefault="008C0735" w14:paraId="133FFA1C" w14:textId="77777777">
      <w:pPr>
        <w:widowControl/>
        <w:autoSpaceDE w:val="0"/>
        <w:autoSpaceDN w:val="0"/>
        <w:adjustRightInd w:val="0"/>
        <w:spacing w:after="0" w:line="240" w:lineRule="auto"/>
        <w:rPr>
          <w:rFonts w:ascii="Times New Roman" w:hAnsi="Times New Roman" w:cs="Times New Roman"/>
          <w:sz w:val="24"/>
          <w:szCs w:val="24"/>
        </w:rPr>
      </w:pPr>
    </w:p>
    <w:p w:rsidR="008C0735" w:rsidP="00F13831" w:rsidRDefault="008C0735" w14:paraId="186ABAA6" w14:textId="77777777">
      <w:pPr>
        <w:widowControl/>
        <w:autoSpaceDE w:val="0"/>
        <w:autoSpaceDN w:val="0"/>
        <w:adjustRightInd w:val="0"/>
        <w:spacing w:after="0" w:line="240" w:lineRule="auto"/>
        <w:rPr>
          <w:rFonts w:ascii="Times New Roman" w:hAnsi="Times New Roman" w:cs="Times New Roman"/>
          <w:sz w:val="24"/>
          <w:szCs w:val="24"/>
        </w:rPr>
      </w:pPr>
      <w:r w:rsidRPr="00D7577B">
        <w:rPr>
          <w:rFonts w:ascii="Times New Roman" w:hAnsi="Times New Roman" w:cs="Times New Roman"/>
          <w:sz w:val="24"/>
          <w:szCs w:val="24"/>
        </w:rPr>
        <w:t xml:space="preserve">Finally, as discussed in the Joint Industry Trades’ comments the proposed draft “AQR” spreadsheets contain material deficiencies to estimate emissions as defined in BOEM’s proposed definition.  As such, Chevron requests additional time to review the proposed revisions to the AQR sheets to enable well-reasoned and complete comments.  At a minimum, BOEM should </w:t>
      </w:r>
      <w:r w:rsidRPr="00D7577B">
        <w:rPr>
          <w:rFonts w:ascii="Times New Roman" w:hAnsi="Times New Roman" w:cs="Times New Roman"/>
          <w:sz w:val="24"/>
          <w:szCs w:val="24"/>
        </w:rPr>
        <w:lastRenderedPageBreak/>
        <w:t>updated the draft AQR sheets to align with the</w:t>
      </w:r>
      <w:r w:rsidRPr="00D7577B" w:rsidR="00733BCD">
        <w:rPr>
          <w:rFonts w:ascii="Times New Roman" w:hAnsi="Times New Roman" w:cs="Times New Roman"/>
          <w:sz w:val="24"/>
          <w:szCs w:val="24"/>
        </w:rPr>
        <w:t xml:space="preserve"> </w:t>
      </w:r>
      <w:r w:rsidRPr="00D7577B">
        <w:rPr>
          <w:rFonts w:ascii="Times New Roman" w:hAnsi="Times New Roman" w:cs="Times New Roman"/>
          <w:sz w:val="24"/>
          <w:szCs w:val="24"/>
        </w:rPr>
        <w:t>redline/strikeout proposed rule changes as part of the re-proposed rule.</w:t>
      </w:r>
    </w:p>
    <w:p w:rsidRPr="00D7577B" w:rsidR="00204816" w:rsidP="00F13831" w:rsidRDefault="00204816" w14:paraId="518727CE" w14:textId="77777777">
      <w:pPr>
        <w:widowControl/>
        <w:autoSpaceDE w:val="0"/>
        <w:autoSpaceDN w:val="0"/>
        <w:adjustRightInd w:val="0"/>
        <w:spacing w:after="0" w:line="240" w:lineRule="auto"/>
        <w:rPr>
          <w:rFonts w:ascii="Times New Roman" w:hAnsi="Times New Roman" w:cs="Times New Roman"/>
          <w:sz w:val="24"/>
          <w:szCs w:val="24"/>
        </w:rPr>
      </w:pPr>
    </w:p>
    <w:p w:rsidRPr="00D7577B" w:rsidR="008C0735" w:rsidP="00F13831" w:rsidRDefault="008C0735" w14:paraId="490ED7D6" w14:textId="77777777">
      <w:pPr>
        <w:widowControl/>
        <w:autoSpaceDE w:val="0"/>
        <w:autoSpaceDN w:val="0"/>
        <w:adjustRightInd w:val="0"/>
        <w:spacing w:after="0" w:line="240" w:lineRule="auto"/>
        <w:rPr>
          <w:rFonts w:ascii="Times New Roman" w:hAnsi="Times New Roman" w:cs="Times New Roman"/>
          <w:sz w:val="24"/>
          <w:szCs w:val="24"/>
        </w:rPr>
      </w:pPr>
      <w:r w:rsidRPr="00D7577B">
        <w:rPr>
          <w:rFonts w:ascii="Times New Roman" w:hAnsi="Times New Roman" w:cs="Times New Roman"/>
          <w:sz w:val="24"/>
          <w:szCs w:val="24"/>
        </w:rPr>
        <w:t xml:space="preserve">In addition, the AQR spreadsheets that accompany the proposed rule are not constructed such that this information can be collected. </w:t>
      </w:r>
    </w:p>
    <w:p w:rsidRPr="00D7577B" w:rsidR="008C0735" w:rsidP="00F13831" w:rsidRDefault="008C0735" w14:paraId="597B09F4" w14:textId="77777777">
      <w:pPr>
        <w:widowControl/>
        <w:autoSpaceDE w:val="0"/>
        <w:autoSpaceDN w:val="0"/>
        <w:adjustRightInd w:val="0"/>
        <w:spacing w:after="0" w:line="240" w:lineRule="auto"/>
        <w:rPr>
          <w:rFonts w:ascii="Times New Roman" w:hAnsi="Times New Roman" w:cs="Times New Roman"/>
          <w:sz w:val="24"/>
          <w:szCs w:val="24"/>
        </w:rPr>
      </w:pPr>
    </w:p>
    <w:p w:rsidRPr="00D7577B" w:rsidR="008C0735" w:rsidP="00F13831" w:rsidRDefault="008C0735" w14:paraId="6039ADFB" w14:textId="77777777">
      <w:pPr>
        <w:widowControl/>
        <w:autoSpaceDE w:val="0"/>
        <w:autoSpaceDN w:val="0"/>
        <w:adjustRightInd w:val="0"/>
        <w:spacing w:after="0" w:line="240" w:lineRule="auto"/>
        <w:rPr>
          <w:rFonts w:ascii="Times New Roman" w:hAnsi="Times New Roman" w:cs="Times New Roman"/>
          <w:sz w:val="24"/>
          <w:szCs w:val="24"/>
        </w:rPr>
      </w:pPr>
      <w:r w:rsidRPr="00D7577B">
        <w:rPr>
          <w:rFonts w:ascii="Times New Roman" w:hAnsi="Times New Roman" w:cs="Times New Roman"/>
          <w:sz w:val="24"/>
          <w:szCs w:val="24"/>
        </w:rPr>
        <w:t>Referring to proposed 550.205(a)(1):</w:t>
      </w:r>
    </w:p>
    <w:p w:rsidRPr="00D7577B" w:rsidR="008C0735" w:rsidP="00F13831" w:rsidRDefault="008C0735" w14:paraId="1FD455F2" w14:textId="77777777">
      <w:pPr>
        <w:widowControl/>
        <w:autoSpaceDE w:val="0"/>
        <w:autoSpaceDN w:val="0"/>
        <w:adjustRightInd w:val="0"/>
        <w:spacing w:after="0" w:line="240" w:lineRule="auto"/>
        <w:rPr>
          <w:rFonts w:ascii="Times New Roman" w:hAnsi="Times New Roman" w:cs="Times New Roman"/>
          <w:sz w:val="24"/>
          <w:szCs w:val="24"/>
        </w:rPr>
      </w:pPr>
    </w:p>
    <w:p w:rsidRPr="00D7577B" w:rsidR="008C0735" w:rsidP="008C0735" w:rsidRDefault="008C0735" w14:paraId="2FF1DDA3" w14:textId="77777777">
      <w:pPr>
        <w:widowControl/>
        <w:autoSpaceDE w:val="0"/>
        <w:autoSpaceDN w:val="0"/>
        <w:adjustRightInd w:val="0"/>
        <w:spacing w:after="0" w:line="240" w:lineRule="auto"/>
        <w:rPr>
          <w:rFonts w:ascii="Times New Roman" w:hAnsi="Times New Roman" w:cs="Times New Roman"/>
          <w:sz w:val="24"/>
          <w:szCs w:val="24"/>
        </w:rPr>
      </w:pPr>
      <w:r w:rsidRPr="00D7577B">
        <w:rPr>
          <w:rFonts w:ascii="Times New Roman" w:hAnsi="Times New Roman" w:cs="Times New Roman"/>
          <w:sz w:val="24"/>
          <w:szCs w:val="24"/>
        </w:rPr>
        <w:t>For each emissions source, you must identify, to the extent practicable:</w:t>
      </w:r>
    </w:p>
    <w:p w:rsidRPr="00D7577B" w:rsidR="008C0735" w:rsidP="008C0735" w:rsidRDefault="008C0735" w14:paraId="6CD07CF2" w14:textId="77777777">
      <w:pPr>
        <w:widowControl/>
        <w:autoSpaceDE w:val="0"/>
        <w:autoSpaceDN w:val="0"/>
        <w:adjustRightInd w:val="0"/>
        <w:spacing w:after="0" w:line="240" w:lineRule="auto"/>
        <w:rPr>
          <w:rFonts w:ascii="Times New Roman" w:hAnsi="Times New Roman" w:cs="Times New Roman"/>
          <w:sz w:val="24"/>
          <w:szCs w:val="24"/>
        </w:rPr>
      </w:pPr>
      <w:r w:rsidRPr="00D7577B">
        <w:rPr>
          <w:rFonts w:ascii="Times New Roman" w:hAnsi="Times New Roman" w:cs="Times New Roman"/>
          <w:sz w:val="24"/>
          <w:szCs w:val="24"/>
        </w:rPr>
        <w:t>(</w:t>
      </w:r>
      <w:proofErr w:type="spellStart"/>
      <w:r w:rsidRPr="00D7577B">
        <w:rPr>
          <w:rFonts w:ascii="Times New Roman" w:hAnsi="Times New Roman" w:cs="Times New Roman"/>
          <w:sz w:val="24"/>
          <w:szCs w:val="24"/>
        </w:rPr>
        <w:t>i</w:t>
      </w:r>
      <w:proofErr w:type="spellEnd"/>
      <w:r w:rsidRPr="00D7577B">
        <w:rPr>
          <w:rFonts w:ascii="Times New Roman" w:hAnsi="Times New Roman" w:cs="Times New Roman"/>
          <w:sz w:val="24"/>
          <w:szCs w:val="24"/>
        </w:rPr>
        <w:t>) Equipment type and number, manufacturer, make and model, location, purpose (i.e., the intended function of the equipment and how it would be used in connection with the proposed</w:t>
      </w:r>
    </w:p>
    <w:p w:rsidRPr="00D7577B" w:rsidR="008C0735" w:rsidP="008C0735" w:rsidRDefault="008C0735" w14:paraId="15563BBD" w14:textId="77777777">
      <w:pPr>
        <w:widowControl/>
        <w:autoSpaceDE w:val="0"/>
        <w:autoSpaceDN w:val="0"/>
        <w:adjustRightInd w:val="0"/>
        <w:spacing w:after="0" w:line="240" w:lineRule="auto"/>
        <w:rPr>
          <w:rFonts w:ascii="Times New Roman" w:hAnsi="Times New Roman" w:cs="Times New Roman"/>
          <w:sz w:val="24"/>
          <w:szCs w:val="24"/>
        </w:rPr>
      </w:pPr>
      <w:r w:rsidRPr="00D7577B">
        <w:rPr>
          <w:rFonts w:ascii="Times New Roman" w:hAnsi="Times New Roman" w:cs="Times New Roman"/>
          <w:sz w:val="24"/>
          <w:szCs w:val="24"/>
        </w:rPr>
        <w:t>activities covered by the plan), and physical characteristics;</w:t>
      </w:r>
    </w:p>
    <w:p w:rsidRPr="00D7577B" w:rsidR="008C0735" w:rsidP="008C0735" w:rsidRDefault="008C0735" w14:paraId="283E83D3" w14:textId="77777777">
      <w:pPr>
        <w:widowControl/>
        <w:autoSpaceDE w:val="0"/>
        <w:autoSpaceDN w:val="0"/>
        <w:adjustRightInd w:val="0"/>
        <w:spacing w:after="0" w:line="240" w:lineRule="auto"/>
        <w:rPr>
          <w:rFonts w:ascii="Times New Roman" w:hAnsi="Times New Roman" w:cs="Times New Roman"/>
          <w:sz w:val="24"/>
          <w:szCs w:val="24"/>
        </w:rPr>
      </w:pPr>
      <w:r w:rsidRPr="00D7577B">
        <w:rPr>
          <w:rFonts w:ascii="Times New Roman" w:hAnsi="Times New Roman" w:cs="Times New Roman"/>
          <w:sz w:val="24"/>
          <w:szCs w:val="24"/>
        </w:rPr>
        <w:t xml:space="preserve">(ii) The type and </w:t>
      </w:r>
      <w:proofErr w:type="spellStart"/>
      <w:r w:rsidRPr="00D7577B">
        <w:rPr>
          <w:rFonts w:ascii="Times New Roman" w:hAnsi="Times New Roman" w:cs="Times New Roman"/>
          <w:sz w:val="24"/>
          <w:szCs w:val="24"/>
        </w:rPr>
        <w:t>sulphur</w:t>
      </w:r>
      <w:proofErr w:type="spellEnd"/>
      <w:r w:rsidRPr="00D7577B">
        <w:rPr>
          <w:rFonts w:ascii="Times New Roman" w:hAnsi="Times New Roman" w:cs="Times New Roman"/>
          <w:sz w:val="24"/>
          <w:szCs w:val="24"/>
        </w:rPr>
        <w:t xml:space="preserve"> content of fuel stored and/or used to power the emissions source; and</w:t>
      </w:r>
    </w:p>
    <w:p w:rsidRPr="00D7577B" w:rsidR="008C0735" w:rsidP="008C0735" w:rsidRDefault="008C0735" w14:paraId="0153F80B" w14:textId="77777777">
      <w:pPr>
        <w:widowControl/>
        <w:autoSpaceDE w:val="0"/>
        <w:autoSpaceDN w:val="0"/>
        <w:adjustRightInd w:val="0"/>
        <w:spacing w:after="0" w:line="240" w:lineRule="auto"/>
        <w:rPr>
          <w:rFonts w:ascii="Times New Roman" w:hAnsi="Times New Roman" w:cs="Times New Roman"/>
          <w:sz w:val="24"/>
          <w:szCs w:val="24"/>
        </w:rPr>
      </w:pPr>
      <w:r w:rsidRPr="00D7577B">
        <w:rPr>
          <w:rFonts w:ascii="Times New Roman" w:hAnsi="Times New Roman" w:cs="Times New Roman"/>
          <w:sz w:val="24"/>
          <w:szCs w:val="24"/>
        </w:rPr>
        <w:t>(iii) The frequency and duration of the proposed use.</w:t>
      </w:r>
    </w:p>
    <w:p w:rsidRPr="00D7577B" w:rsidR="008272CF" w:rsidP="003F5238" w:rsidRDefault="008272CF" w14:paraId="0D5F6EED"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733BCD" w:rsidP="00733BCD" w:rsidRDefault="00733BCD" w14:paraId="212F4508" w14:textId="77777777">
      <w:pPr>
        <w:spacing w:after="0" w:line="240" w:lineRule="auto"/>
        <w:ind w:right="-40" w:hanging="5"/>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As discussed in the comments to § 550.205(b)(2)(</w:t>
      </w:r>
      <w:proofErr w:type="spellStart"/>
      <w:r w:rsidRPr="00D7577B">
        <w:rPr>
          <w:rFonts w:ascii="Times New Roman" w:hAnsi="Times New Roman" w:eastAsia="Times New Roman" w:cs="Times New Roman"/>
          <w:color w:val="030303"/>
          <w:spacing w:val="2"/>
          <w:sz w:val="24"/>
          <w:szCs w:val="24"/>
        </w:rPr>
        <w:t>i</w:t>
      </w:r>
      <w:proofErr w:type="spellEnd"/>
      <w:r w:rsidRPr="00D7577B">
        <w:rPr>
          <w:rFonts w:ascii="Times New Roman" w:hAnsi="Times New Roman" w:eastAsia="Times New Roman" w:cs="Times New Roman"/>
          <w:color w:val="030303"/>
          <w:spacing w:val="2"/>
          <w:sz w:val="24"/>
          <w:szCs w:val="24"/>
        </w:rPr>
        <w:t xml:space="preserve">), we request the removal of the overly </w:t>
      </w:r>
    </w:p>
    <w:p w:rsidRPr="00D7577B" w:rsidR="00733BCD" w:rsidP="00733BCD" w:rsidRDefault="00733BCD" w14:paraId="2D77F519" w14:textId="77777777">
      <w:pPr>
        <w:spacing w:after="0" w:line="240" w:lineRule="auto"/>
        <w:ind w:right="-40"/>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prescriptive emission factor selection process.</w:t>
      </w:r>
      <w:r w:rsidR="00204816">
        <w:rPr>
          <w:rFonts w:ascii="Times New Roman" w:hAnsi="Times New Roman" w:eastAsia="Times New Roman" w:cs="Times New Roman"/>
          <w:color w:val="030303"/>
          <w:spacing w:val="2"/>
          <w:sz w:val="24"/>
          <w:szCs w:val="24"/>
        </w:rPr>
        <w:t xml:space="preserve"> </w:t>
      </w:r>
      <w:r w:rsidRPr="00D7577B">
        <w:rPr>
          <w:rFonts w:ascii="Times New Roman" w:hAnsi="Times New Roman" w:eastAsia="Times New Roman" w:cs="Times New Roman"/>
          <w:color w:val="030303"/>
          <w:spacing w:val="2"/>
          <w:sz w:val="24"/>
          <w:szCs w:val="24"/>
        </w:rPr>
        <w:t xml:space="preserve"> As such, it is requested that this subsection be </w:t>
      </w:r>
    </w:p>
    <w:p w:rsidRPr="00D7577B" w:rsidR="00733BCD" w:rsidP="00733BCD" w:rsidRDefault="00733BCD" w14:paraId="6E029037" w14:textId="77777777">
      <w:pPr>
        <w:spacing w:after="0" w:line="240" w:lineRule="auto"/>
        <w:ind w:right="-40" w:hanging="5"/>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 xml:space="preserve">eliminated. </w:t>
      </w:r>
      <w:r w:rsidR="00204816">
        <w:rPr>
          <w:rFonts w:ascii="Times New Roman" w:hAnsi="Times New Roman" w:eastAsia="Times New Roman" w:cs="Times New Roman"/>
          <w:color w:val="030303"/>
          <w:spacing w:val="2"/>
          <w:sz w:val="24"/>
          <w:szCs w:val="24"/>
        </w:rPr>
        <w:t xml:space="preserve"> </w:t>
      </w:r>
      <w:r w:rsidRPr="00D7577B">
        <w:rPr>
          <w:rFonts w:ascii="Times New Roman" w:hAnsi="Times New Roman" w:eastAsia="Times New Roman" w:cs="Times New Roman"/>
          <w:color w:val="030303"/>
          <w:spacing w:val="2"/>
          <w:sz w:val="24"/>
          <w:szCs w:val="24"/>
        </w:rPr>
        <w:t>If BOEM elects not to remove this section, we offer the following comments:</w:t>
      </w:r>
    </w:p>
    <w:p w:rsidRPr="00D7577B" w:rsidR="00733BCD" w:rsidP="00733BCD" w:rsidRDefault="00733BCD" w14:paraId="73638527"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733BCD" w:rsidP="00733BCD" w:rsidRDefault="00733BCD" w14:paraId="4BF81271" w14:textId="77777777">
      <w:pPr>
        <w:spacing w:after="0" w:line="240" w:lineRule="auto"/>
        <w:ind w:right="-40" w:hanging="5"/>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 xml:space="preserve">- The USEPA TANKS program is a useful tool for regularly (i.e., cylindrical) shaped storage </w:t>
      </w:r>
    </w:p>
    <w:p w:rsidRPr="00D7577B" w:rsidR="00733BCD" w:rsidP="00733BCD" w:rsidRDefault="00733BCD" w14:paraId="06E85AD6" w14:textId="77777777">
      <w:pPr>
        <w:spacing w:after="0" w:line="240" w:lineRule="auto"/>
        <w:ind w:right="-40" w:hanging="5"/>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 xml:space="preserve">containers. Storage containers on OCS facilities may come in various sizes that will not easily be represented in the TANKS program. </w:t>
      </w:r>
      <w:r w:rsidR="00204816">
        <w:rPr>
          <w:rFonts w:ascii="Times New Roman" w:hAnsi="Times New Roman" w:eastAsia="Times New Roman" w:cs="Times New Roman"/>
          <w:color w:val="030303"/>
          <w:spacing w:val="2"/>
          <w:sz w:val="24"/>
          <w:szCs w:val="24"/>
        </w:rPr>
        <w:t xml:space="preserve"> </w:t>
      </w:r>
      <w:r w:rsidRPr="00D7577B">
        <w:rPr>
          <w:rFonts w:ascii="Times New Roman" w:hAnsi="Times New Roman" w:eastAsia="Times New Roman" w:cs="Times New Roman"/>
          <w:color w:val="030303"/>
          <w:spacing w:val="2"/>
          <w:sz w:val="24"/>
          <w:szCs w:val="24"/>
        </w:rPr>
        <w:t xml:space="preserve">Given the minimal nature of most OCS storage containers, we request the use of default emission factor similar to that employed in the current AQR emission spreadsheet. </w:t>
      </w:r>
      <w:r w:rsidR="00204816">
        <w:rPr>
          <w:rFonts w:ascii="Times New Roman" w:hAnsi="Times New Roman" w:eastAsia="Times New Roman" w:cs="Times New Roman"/>
          <w:color w:val="030303"/>
          <w:spacing w:val="2"/>
          <w:sz w:val="24"/>
          <w:szCs w:val="24"/>
        </w:rPr>
        <w:t xml:space="preserve"> </w:t>
      </w:r>
      <w:r w:rsidRPr="00D7577B">
        <w:rPr>
          <w:rFonts w:ascii="Times New Roman" w:hAnsi="Times New Roman" w:eastAsia="Times New Roman" w:cs="Times New Roman"/>
          <w:color w:val="030303"/>
          <w:spacing w:val="2"/>
          <w:sz w:val="24"/>
          <w:szCs w:val="24"/>
        </w:rPr>
        <w:t>Note that many storage containers may fit within the proposed</w:t>
      </w:r>
    </w:p>
    <w:p w:rsidR="008272CF" w:rsidP="00733BCD" w:rsidRDefault="00733BCD" w14:paraId="1AF178CB" w14:textId="77777777">
      <w:pPr>
        <w:spacing w:after="0" w:line="240" w:lineRule="auto"/>
        <w:ind w:right="-40" w:hanging="5"/>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comments to 550.205(a)) and therefore, emissions estimation may not be warranted.</w:t>
      </w:r>
    </w:p>
    <w:p w:rsidR="00757A81" w:rsidP="00733BCD" w:rsidRDefault="00757A81" w14:paraId="3CB3CE4D" w14:textId="77777777">
      <w:pPr>
        <w:spacing w:after="0" w:line="240" w:lineRule="auto"/>
        <w:ind w:right="-40" w:hanging="5"/>
        <w:rPr>
          <w:rFonts w:ascii="Times New Roman" w:hAnsi="Times New Roman" w:eastAsia="Times New Roman" w:cs="Times New Roman"/>
          <w:color w:val="030303"/>
          <w:spacing w:val="2"/>
          <w:sz w:val="24"/>
          <w:szCs w:val="24"/>
        </w:rPr>
      </w:pPr>
    </w:p>
    <w:p w:rsidRPr="00F62849" w:rsidR="00757A81" w:rsidP="00733BCD" w:rsidRDefault="00757A81" w14:paraId="58FE2F8C" w14:textId="77777777">
      <w:pPr>
        <w:spacing w:after="0" w:line="240" w:lineRule="auto"/>
        <w:ind w:right="-40" w:hanging="5"/>
        <w:rPr>
          <w:rFonts w:ascii="Times New Roman" w:hAnsi="Times New Roman" w:eastAsia="Times New Roman" w:cs="Times New Roman"/>
          <w:b/>
          <w:bCs/>
          <w:spacing w:val="2"/>
          <w:sz w:val="24"/>
          <w:szCs w:val="24"/>
        </w:rPr>
      </w:pPr>
      <w:r w:rsidRPr="00F62849">
        <w:rPr>
          <w:rFonts w:ascii="Times New Roman" w:hAnsi="Times New Roman" w:eastAsia="Times New Roman" w:cs="Times New Roman"/>
          <w:b/>
          <w:bCs/>
          <w:spacing w:val="2"/>
          <w:sz w:val="24"/>
          <w:szCs w:val="24"/>
        </w:rPr>
        <w:t>Final Rule Comments:</w:t>
      </w:r>
    </w:p>
    <w:p w:rsidR="00426CFC" w:rsidP="00426CFC" w:rsidRDefault="00426CFC" w14:paraId="651A8C8C" w14:textId="1F3625CC">
      <w:pPr>
        <w:spacing w:after="0" w:line="240" w:lineRule="auto"/>
        <w:ind w:right="-40" w:hanging="5"/>
        <w:rPr>
          <w:rFonts w:ascii="Times New Roman" w:hAnsi="Times New Roman" w:eastAsia="Times New Roman" w:cs="Times New Roman"/>
          <w:spacing w:val="2"/>
          <w:sz w:val="24"/>
          <w:szCs w:val="24"/>
        </w:rPr>
      </w:pPr>
    </w:p>
    <w:p w:rsidRPr="00F62849" w:rsidR="005B4139" w:rsidP="005B4139" w:rsidRDefault="005B4139" w14:paraId="13E7E4AD" w14:textId="77777777">
      <w:pPr>
        <w:spacing w:after="0" w:line="240" w:lineRule="auto"/>
        <w:ind w:right="-40" w:hanging="5"/>
        <w:rPr>
          <w:rFonts w:ascii="Times New Roman" w:hAnsi="Times New Roman" w:eastAsia="Times New Roman" w:cs="Times New Roman"/>
          <w:spacing w:val="2"/>
          <w:sz w:val="24"/>
          <w:szCs w:val="24"/>
        </w:rPr>
      </w:pPr>
      <w:r w:rsidRPr="00F62849">
        <w:rPr>
          <w:rFonts w:ascii="Times New Roman" w:hAnsi="Times New Roman" w:eastAsia="Times New Roman" w:cs="Times New Roman"/>
          <w:spacing w:val="2"/>
          <w:sz w:val="24"/>
          <w:szCs w:val="24"/>
        </w:rPr>
        <w:t xml:space="preserve">With the publication of the Final Rule on June 5, 2020, BOEM received additional comments from </w:t>
      </w:r>
      <w:proofErr w:type="spellStart"/>
      <w:r w:rsidRPr="00F62849">
        <w:rPr>
          <w:rFonts w:ascii="Times New Roman" w:hAnsi="Times New Roman" w:eastAsia="Times New Roman" w:cs="Times New Roman"/>
          <w:spacing w:val="2"/>
          <w:sz w:val="24"/>
          <w:szCs w:val="24"/>
        </w:rPr>
        <w:t>BTGap</w:t>
      </w:r>
      <w:proofErr w:type="spellEnd"/>
      <w:r w:rsidRPr="00F62849">
        <w:rPr>
          <w:rFonts w:ascii="Times New Roman" w:hAnsi="Times New Roman" w:eastAsia="Times New Roman" w:cs="Times New Roman"/>
          <w:spacing w:val="2"/>
          <w:sz w:val="24"/>
          <w:szCs w:val="24"/>
        </w:rPr>
        <w:t>, L.L.C.</w:t>
      </w:r>
      <w:r>
        <w:rPr>
          <w:rFonts w:ascii="Times New Roman" w:hAnsi="Times New Roman" w:eastAsia="Times New Roman" w:cs="Times New Roman"/>
          <w:spacing w:val="2"/>
          <w:sz w:val="24"/>
          <w:szCs w:val="24"/>
        </w:rPr>
        <w:t xml:space="preserve"> (23 comments)</w:t>
      </w:r>
      <w:r w:rsidRPr="00F62849">
        <w:rPr>
          <w:rFonts w:ascii="Times New Roman" w:hAnsi="Times New Roman" w:eastAsia="Times New Roman" w:cs="Times New Roman"/>
          <w:spacing w:val="2"/>
          <w:sz w:val="24"/>
          <w:szCs w:val="24"/>
        </w:rPr>
        <w:t xml:space="preserve"> and OOC</w:t>
      </w:r>
      <w:r>
        <w:rPr>
          <w:rFonts w:ascii="Times New Roman" w:hAnsi="Times New Roman" w:eastAsia="Times New Roman" w:cs="Times New Roman"/>
          <w:spacing w:val="2"/>
          <w:sz w:val="24"/>
          <w:szCs w:val="24"/>
        </w:rPr>
        <w:t xml:space="preserve"> (7 comments) on the spreadsheet forms</w:t>
      </w:r>
      <w:r w:rsidRPr="00F62849">
        <w:rPr>
          <w:rFonts w:ascii="Times New Roman" w:hAnsi="Times New Roman" w:eastAsia="Times New Roman" w:cs="Times New Roman"/>
          <w:spacing w:val="2"/>
          <w:sz w:val="24"/>
          <w:szCs w:val="24"/>
        </w:rPr>
        <w:t>.  The following discussion shares each comment and BOEM’s responses.</w:t>
      </w:r>
    </w:p>
    <w:p w:rsidRPr="00F62849" w:rsidR="005B4139" w:rsidP="005B4139" w:rsidRDefault="005B4139" w14:paraId="423C6AA8" w14:textId="77777777">
      <w:pPr>
        <w:spacing w:after="0" w:line="240" w:lineRule="auto"/>
        <w:ind w:right="-40" w:hanging="5"/>
        <w:rPr>
          <w:rFonts w:ascii="Times New Roman" w:hAnsi="Times New Roman" w:eastAsia="Times New Roman" w:cs="Times New Roman"/>
          <w:spacing w:val="2"/>
          <w:sz w:val="24"/>
          <w:szCs w:val="24"/>
        </w:rPr>
      </w:pPr>
    </w:p>
    <w:p w:rsidRPr="00F62849" w:rsidR="005B4139" w:rsidP="005B4139" w:rsidRDefault="005B4139" w14:paraId="22D49682" w14:textId="77777777">
      <w:pPr>
        <w:spacing w:after="0" w:line="240" w:lineRule="auto"/>
        <w:ind w:right="-40" w:hanging="5"/>
        <w:rPr>
          <w:rFonts w:ascii="Times New Roman" w:hAnsi="Times New Roman" w:eastAsia="Times New Roman" w:cs="Times New Roman"/>
          <w:spacing w:val="2"/>
          <w:sz w:val="24"/>
          <w:szCs w:val="24"/>
        </w:rPr>
      </w:pPr>
      <w:proofErr w:type="spellStart"/>
      <w:r w:rsidRPr="00F62849">
        <w:rPr>
          <w:rFonts w:ascii="Times New Roman" w:hAnsi="Times New Roman" w:eastAsia="Times New Roman" w:cs="Times New Roman"/>
          <w:b/>
          <w:bCs/>
          <w:spacing w:val="2"/>
          <w:sz w:val="24"/>
          <w:szCs w:val="24"/>
        </w:rPr>
        <w:t>BTGap</w:t>
      </w:r>
      <w:proofErr w:type="spellEnd"/>
      <w:r w:rsidRPr="00F62849">
        <w:rPr>
          <w:rFonts w:ascii="Times New Roman" w:hAnsi="Times New Roman" w:eastAsia="Times New Roman" w:cs="Times New Roman"/>
          <w:b/>
          <w:bCs/>
          <w:spacing w:val="2"/>
          <w:sz w:val="24"/>
          <w:szCs w:val="24"/>
        </w:rPr>
        <w:t>, L.L.C commented:</w:t>
      </w:r>
    </w:p>
    <w:p w:rsidRPr="00F62849" w:rsidR="005B4139" w:rsidP="005B4139" w:rsidRDefault="005B4139" w14:paraId="509ECD25" w14:textId="77777777">
      <w:pPr>
        <w:spacing w:after="0" w:line="240" w:lineRule="auto"/>
        <w:ind w:right="-40" w:hanging="5"/>
        <w:rPr>
          <w:rFonts w:ascii="Times New Roman" w:hAnsi="Times New Roman" w:eastAsia="Times New Roman" w:cs="Times New Roman"/>
          <w:spacing w:val="2"/>
          <w:sz w:val="24"/>
          <w:szCs w:val="24"/>
        </w:rPr>
      </w:pPr>
    </w:p>
    <w:p w:rsidRPr="00F62849" w:rsidR="005B4139" w:rsidP="005B4139" w:rsidRDefault="005B4139" w14:paraId="7730EF10" w14:textId="77777777">
      <w:pPr>
        <w:textAlignment w:val="baseline"/>
        <w:rPr>
          <w:rFonts w:ascii="Times New Roman" w:hAnsi="Times New Roman" w:eastAsia="Calibri" w:cs="Times New Roman"/>
          <w:bCs/>
          <w:i/>
          <w:iCs/>
          <w:spacing w:val="-4"/>
          <w:sz w:val="24"/>
          <w:szCs w:val="24"/>
        </w:rPr>
      </w:pPr>
      <w:r w:rsidRPr="00F62849">
        <w:rPr>
          <w:rFonts w:ascii="Times New Roman" w:hAnsi="Times New Roman" w:eastAsia="Calibri" w:cs="Times New Roman"/>
          <w:bCs/>
          <w:i/>
          <w:iCs/>
          <w:spacing w:val="-4"/>
          <w:sz w:val="24"/>
          <w:szCs w:val="24"/>
        </w:rPr>
        <w:t>Comments for Form BOEM-0138 Spreadsheets for EPs</w:t>
      </w:r>
    </w:p>
    <w:p w:rsidRPr="00F62849" w:rsidR="005B4139" w:rsidP="005B4139" w:rsidRDefault="005B4139" w14:paraId="2B5024DC" w14:textId="77777777">
      <w:pPr>
        <w:tabs>
          <w:tab w:val="left" w:pos="720"/>
        </w:tabs>
        <w:textAlignment w:val="baseline"/>
        <w:rPr>
          <w:rFonts w:ascii="Times New Roman" w:hAnsi="Times New Roman" w:eastAsia="Calibri" w:cs="Times New Roman"/>
          <w:sz w:val="24"/>
          <w:szCs w:val="24"/>
        </w:rPr>
      </w:pPr>
      <w:r w:rsidRPr="00F62849">
        <w:rPr>
          <w:rFonts w:ascii="Times New Roman" w:hAnsi="Times New Roman" w:eastAsia="Calibri" w:cs="Times New Roman"/>
          <w:sz w:val="24"/>
          <w:szCs w:val="24"/>
        </w:rPr>
        <w:t xml:space="preserve">1.  FACTORS tab column:  </w:t>
      </w:r>
      <w:r w:rsidRPr="00F62849">
        <w:rPr>
          <w:rFonts w:ascii="Times New Roman" w:hAnsi="Times New Roman" w:eastAsia="Calibri" w:cs="Times New Roman"/>
          <w:spacing w:val="-5"/>
          <w:sz w:val="24"/>
          <w:szCs w:val="24"/>
        </w:rPr>
        <w:t xml:space="preserve">Reference Links to EPA website may become obsolete if/when links are broken on the USEPA site. </w:t>
      </w:r>
    </w:p>
    <w:p w:rsidRPr="00F62849" w:rsidR="005B4139" w:rsidP="005B4139" w:rsidRDefault="005B4139" w14:paraId="3CA2E310" w14:textId="77777777">
      <w:pPr>
        <w:tabs>
          <w:tab w:val="left" w:pos="1440"/>
        </w:tabs>
        <w:textAlignment w:val="baseline"/>
        <w:rPr>
          <w:rFonts w:ascii="Times New Roman" w:hAnsi="Times New Roman" w:eastAsia="Calibri" w:cs="Times New Roman"/>
          <w:spacing w:val="-5"/>
          <w:sz w:val="24"/>
          <w:szCs w:val="24"/>
        </w:rPr>
      </w:pPr>
      <w:r w:rsidRPr="00F62849">
        <w:rPr>
          <w:rFonts w:ascii="Times New Roman" w:hAnsi="Times New Roman" w:eastAsia="Calibri" w:cs="Times New Roman"/>
          <w:spacing w:val="-5"/>
          <w:sz w:val="24"/>
          <w:szCs w:val="24"/>
        </w:rPr>
        <w:t xml:space="preserve">BOEM Response: </w:t>
      </w:r>
      <w:r>
        <w:rPr>
          <w:rFonts w:ascii="Times New Roman" w:hAnsi="Times New Roman" w:eastAsia="Calibri" w:cs="Times New Roman"/>
          <w:spacing w:val="-5"/>
          <w:sz w:val="24"/>
          <w:szCs w:val="24"/>
        </w:rPr>
        <w:t>BOEM finds it useful for regulated entities to have access to both the citations and the links, and thus is retaining the links.  If needed, BOEM can inform the public about different webpage locations as they change, with or without making changes to the links in the future.</w:t>
      </w:r>
    </w:p>
    <w:p w:rsidRPr="00F62849" w:rsidR="005B4139" w:rsidP="005B4139" w:rsidRDefault="005B4139" w14:paraId="4FEDC02B" w14:textId="77777777">
      <w:pPr>
        <w:tabs>
          <w:tab w:val="left" w:pos="720"/>
        </w:tabs>
        <w:textAlignment w:val="baseline"/>
        <w:rPr>
          <w:rFonts w:ascii="Times New Roman" w:hAnsi="Times New Roman" w:eastAsia="Calibri" w:cs="Times New Roman"/>
          <w:spacing w:val="-3"/>
          <w:sz w:val="24"/>
          <w:szCs w:val="24"/>
        </w:rPr>
      </w:pPr>
      <w:r w:rsidRPr="00F62849">
        <w:rPr>
          <w:rFonts w:ascii="Times New Roman" w:hAnsi="Times New Roman" w:eastAsia="Calibri" w:cs="Times New Roman"/>
          <w:spacing w:val="-3"/>
          <w:sz w:val="24"/>
          <w:szCs w:val="24"/>
        </w:rPr>
        <w:t>2.  FACTORS Tab, Diesel Recip. &lt;600, SOX factor, Cell D11:</w:t>
      </w:r>
    </w:p>
    <w:p w:rsidRPr="00F62849" w:rsidR="005B4139" w:rsidP="005B4139" w:rsidRDefault="005B4139" w14:paraId="6EF205EA" w14:textId="77777777">
      <w:pPr>
        <w:pStyle w:val="ListParagraph"/>
        <w:widowControl/>
        <w:numPr>
          <w:ilvl w:val="0"/>
          <w:numId w:val="22"/>
        </w:numPr>
        <w:tabs>
          <w:tab w:val="left" w:pos="1440"/>
        </w:tabs>
        <w:spacing w:after="0" w:line="240" w:lineRule="auto"/>
        <w:ind w:left="360" w:right="72"/>
        <w:jc w:val="both"/>
        <w:textAlignment w:val="baseline"/>
        <w:rPr>
          <w:rFonts w:ascii="Times New Roman" w:hAnsi="Times New Roman" w:eastAsia="Calibri" w:cs="Times New Roman"/>
          <w:sz w:val="24"/>
          <w:szCs w:val="24"/>
        </w:rPr>
      </w:pPr>
      <w:r w:rsidRPr="00F62849">
        <w:rPr>
          <w:rFonts w:ascii="Times New Roman" w:hAnsi="Times New Roman" w:eastAsia="Calibri" w:cs="Times New Roman"/>
          <w:sz w:val="24"/>
          <w:szCs w:val="24"/>
        </w:rPr>
        <w:lastRenderedPageBreak/>
        <w:t>The amount of SO2 from diesel fuel burning is a function of the concentration of sulfur in the fuel and the amount of diesel fuel burned.</w:t>
      </w:r>
    </w:p>
    <w:p w:rsidRPr="00F62849" w:rsidR="005B4139" w:rsidP="005B4139" w:rsidRDefault="005B4139" w14:paraId="55D9C91C" w14:textId="77777777">
      <w:pPr>
        <w:pStyle w:val="ListParagraph"/>
        <w:widowControl/>
        <w:numPr>
          <w:ilvl w:val="0"/>
          <w:numId w:val="22"/>
        </w:numPr>
        <w:tabs>
          <w:tab w:val="left" w:pos="1440"/>
        </w:tabs>
        <w:spacing w:after="0" w:line="240" w:lineRule="auto"/>
        <w:ind w:left="360" w:right="360"/>
        <w:textAlignment w:val="baseline"/>
        <w:rPr>
          <w:rFonts w:ascii="Times New Roman" w:hAnsi="Times New Roman" w:eastAsia="Calibri" w:cs="Times New Roman"/>
          <w:spacing w:val="-5"/>
          <w:sz w:val="24"/>
          <w:szCs w:val="24"/>
        </w:rPr>
      </w:pPr>
      <w:r w:rsidRPr="00F62849">
        <w:rPr>
          <w:rFonts w:ascii="Times New Roman" w:hAnsi="Times New Roman" w:eastAsia="Calibri" w:cs="Times New Roman"/>
          <w:spacing w:val="-5"/>
          <w:sz w:val="24"/>
          <w:szCs w:val="24"/>
        </w:rPr>
        <w:t xml:space="preserve">The </w:t>
      </w:r>
      <w:proofErr w:type="spellStart"/>
      <w:r w:rsidRPr="00F62849">
        <w:rPr>
          <w:rFonts w:ascii="Times New Roman" w:hAnsi="Times New Roman" w:eastAsia="Calibri" w:cs="Times New Roman"/>
          <w:spacing w:val="-5"/>
          <w:sz w:val="24"/>
          <w:szCs w:val="24"/>
        </w:rPr>
        <w:t>SOx</w:t>
      </w:r>
      <w:proofErr w:type="spellEnd"/>
      <w:r w:rsidRPr="00F62849">
        <w:rPr>
          <w:rFonts w:ascii="Times New Roman" w:hAnsi="Times New Roman" w:eastAsia="Calibri" w:cs="Times New Roman"/>
          <w:spacing w:val="-5"/>
          <w:sz w:val="24"/>
          <w:szCs w:val="24"/>
        </w:rPr>
        <w:t xml:space="preserve"> emission factors referenced in AP-42, Table 3.3-1 are from a document from October 1996. The </w:t>
      </w:r>
      <w:proofErr w:type="spellStart"/>
      <w:r w:rsidRPr="00F62849">
        <w:rPr>
          <w:rFonts w:ascii="Times New Roman" w:hAnsi="Times New Roman" w:eastAsia="Calibri" w:cs="Times New Roman"/>
          <w:spacing w:val="-5"/>
          <w:sz w:val="24"/>
          <w:szCs w:val="24"/>
        </w:rPr>
        <w:t>SOx</w:t>
      </w:r>
      <w:proofErr w:type="spellEnd"/>
      <w:r w:rsidRPr="00F62849">
        <w:rPr>
          <w:rFonts w:ascii="Times New Roman" w:hAnsi="Times New Roman" w:eastAsia="Calibri" w:cs="Times New Roman"/>
          <w:spacing w:val="-5"/>
          <w:sz w:val="24"/>
          <w:szCs w:val="24"/>
        </w:rPr>
        <w:t xml:space="preserve"> factors in the Oct 1996 document were before ULSD fuel was mandated.</w:t>
      </w:r>
    </w:p>
    <w:p w:rsidRPr="00F62849" w:rsidR="005B4139" w:rsidP="005B4139" w:rsidRDefault="005B4139" w14:paraId="1F050E9E" w14:textId="77777777">
      <w:pPr>
        <w:widowControl/>
        <w:tabs>
          <w:tab w:val="left" w:pos="1440"/>
        </w:tabs>
        <w:spacing w:after="0" w:line="240" w:lineRule="auto"/>
        <w:ind w:right="360"/>
        <w:textAlignment w:val="baseline"/>
        <w:rPr>
          <w:rFonts w:ascii="Times New Roman" w:hAnsi="Times New Roman" w:eastAsia="Calibri" w:cs="Times New Roman"/>
          <w:sz w:val="24"/>
          <w:szCs w:val="24"/>
        </w:rPr>
      </w:pPr>
    </w:p>
    <w:p w:rsidRPr="00F62849" w:rsidR="005B4139" w:rsidP="005B4139" w:rsidRDefault="005B4139" w14:paraId="200E75E7" w14:textId="77777777">
      <w:pPr>
        <w:pStyle w:val="ListParagraph"/>
        <w:widowControl/>
        <w:numPr>
          <w:ilvl w:val="0"/>
          <w:numId w:val="22"/>
        </w:numPr>
        <w:tabs>
          <w:tab w:val="left" w:pos="1440"/>
        </w:tabs>
        <w:spacing w:after="0" w:line="240" w:lineRule="auto"/>
        <w:ind w:left="360" w:right="360"/>
        <w:textAlignment w:val="baseline"/>
        <w:rPr>
          <w:rFonts w:ascii="Times New Roman" w:hAnsi="Times New Roman" w:eastAsia="Calibri" w:cs="Times New Roman"/>
          <w:sz w:val="24"/>
          <w:szCs w:val="24"/>
        </w:rPr>
      </w:pPr>
      <w:r w:rsidRPr="00F62849">
        <w:rPr>
          <w:rFonts w:ascii="Times New Roman" w:hAnsi="Times New Roman" w:eastAsia="Calibri" w:cs="Times New Roman"/>
          <w:sz w:val="24"/>
          <w:szCs w:val="24"/>
        </w:rPr>
        <w:t>The document cited in AP-42 Table 3.3-1, cites “</w:t>
      </w:r>
      <w:r w:rsidRPr="00F62849">
        <w:rPr>
          <w:rFonts w:ascii="Times New Roman" w:hAnsi="Times New Roman" w:eastAsia="Calibri" w:cs="Times New Roman"/>
          <w:i/>
          <w:sz w:val="24"/>
          <w:szCs w:val="24"/>
        </w:rPr>
        <w:t>Standards Support And Environmental Impact Statement, Volume 1: Stationary Internal Combustion Engines, EPA-450/2-78-125a, U. S. Environmental Protection Agency, Research Triangle Park, NC, July 1979.</w:t>
      </w:r>
      <w:r w:rsidRPr="00F62849">
        <w:rPr>
          <w:rFonts w:ascii="Times New Roman" w:hAnsi="Times New Roman" w:eastAsia="Calibri" w:cs="Times New Roman"/>
          <w:sz w:val="24"/>
          <w:szCs w:val="24"/>
        </w:rPr>
        <w:t>”  In Section 4.1.6 Sulfur Dioxide (SO2), the document indicates the sulfur content of fuel used ranges from 0.5 to 1%.</w:t>
      </w:r>
    </w:p>
    <w:p w:rsidRPr="00F62849" w:rsidR="005B4139" w:rsidP="005B4139" w:rsidRDefault="005B4139" w14:paraId="65CDE2BA" w14:textId="77777777">
      <w:pPr>
        <w:widowControl/>
        <w:tabs>
          <w:tab w:val="left" w:pos="1440"/>
        </w:tabs>
        <w:spacing w:after="0" w:line="240" w:lineRule="auto"/>
        <w:ind w:left="-360" w:right="360"/>
        <w:textAlignment w:val="baseline"/>
        <w:rPr>
          <w:rFonts w:ascii="Times New Roman" w:hAnsi="Times New Roman" w:eastAsia="Calibri" w:cs="Times New Roman"/>
          <w:sz w:val="24"/>
          <w:szCs w:val="24"/>
        </w:rPr>
      </w:pPr>
    </w:p>
    <w:p w:rsidRPr="00F62849" w:rsidR="005B4139" w:rsidP="005B4139" w:rsidRDefault="005B4139" w14:paraId="267FE22C" w14:textId="77777777">
      <w:pPr>
        <w:pStyle w:val="ListParagraph"/>
        <w:widowControl/>
        <w:numPr>
          <w:ilvl w:val="0"/>
          <w:numId w:val="22"/>
        </w:numPr>
        <w:tabs>
          <w:tab w:val="left" w:pos="1440"/>
        </w:tabs>
        <w:spacing w:after="0" w:line="240" w:lineRule="auto"/>
        <w:ind w:left="360" w:right="1296"/>
        <w:textAlignment w:val="baseline"/>
        <w:rPr>
          <w:rFonts w:ascii="Times New Roman" w:hAnsi="Times New Roman" w:eastAsia="Calibri" w:cs="Times New Roman"/>
          <w:sz w:val="24"/>
          <w:szCs w:val="24"/>
        </w:rPr>
      </w:pPr>
      <w:r w:rsidRPr="00F62849">
        <w:rPr>
          <w:rFonts w:ascii="Times New Roman" w:hAnsi="Times New Roman" w:eastAsia="Calibri" w:cs="Times New Roman"/>
          <w:sz w:val="24"/>
          <w:szCs w:val="24"/>
        </w:rPr>
        <w:t>Diesel engines in Gulf of Mexico use ultralow sulfur diesel (ULSD) that has maximum concentration of 0.0015% sulfur.</w:t>
      </w:r>
    </w:p>
    <w:p w:rsidRPr="00F62849" w:rsidR="005B4139" w:rsidP="005B4139" w:rsidRDefault="005B4139" w14:paraId="13147B58" w14:textId="77777777">
      <w:pPr>
        <w:widowControl/>
        <w:tabs>
          <w:tab w:val="left" w:pos="1440"/>
        </w:tabs>
        <w:spacing w:after="0" w:line="240" w:lineRule="auto"/>
        <w:ind w:left="-360" w:right="1296"/>
        <w:textAlignment w:val="baseline"/>
        <w:rPr>
          <w:rFonts w:ascii="Times New Roman" w:hAnsi="Times New Roman" w:eastAsia="Calibri" w:cs="Times New Roman"/>
          <w:sz w:val="24"/>
          <w:szCs w:val="24"/>
        </w:rPr>
      </w:pPr>
    </w:p>
    <w:p w:rsidRPr="00F62849" w:rsidR="005B4139" w:rsidP="005B4139" w:rsidRDefault="005B4139" w14:paraId="13CC8BC7" w14:textId="77777777">
      <w:pPr>
        <w:pStyle w:val="ListParagraph"/>
        <w:widowControl/>
        <w:numPr>
          <w:ilvl w:val="0"/>
          <w:numId w:val="22"/>
        </w:numPr>
        <w:tabs>
          <w:tab w:val="left" w:pos="1440"/>
        </w:tabs>
        <w:spacing w:after="0" w:line="240" w:lineRule="auto"/>
        <w:ind w:left="360" w:right="72"/>
        <w:textAlignment w:val="baseline"/>
        <w:rPr>
          <w:rFonts w:ascii="Times New Roman" w:hAnsi="Times New Roman" w:eastAsia="Calibri" w:cs="Times New Roman"/>
          <w:spacing w:val="-4"/>
          <w:sz w:val="24"/>
          <w:szCs w:val="24"/>
        </w:rPr>
      </w:pPr>
      <w:r w:rsidRPr="00F62849">
        <w:rPr>
          <w:rFonts w:ascii="Times New Roman" w:hAnsi="Times New Roman" w:eastAsia="Calibri" w:cs="Times New Roman"/>
          <w:spacing w:val="-4"/>
          <w:sz w:val="24"/>
          <w:szCs w:val="24"/>
        </w:rPr>
        <w:t>The SO2 factor for “Diesel Recip. &gt;600 hp” (Cell D12) seems to be a suitable emission factor since it is based a mass balance calculation to derive the emission factor. The SO2 factor for Diesel Recip. &gt;600 hp is adjusted based on ULSD fuel used – as specified in AP-42, Table 3.4-</w:t>
      </w:r>
    </w:p>
    <w:p w:rsidRPr="00F62849" w:rsidR="005B4139" w:rsidP="005B4139" w:rsidRDefault="005B4139" w14:paraId="291B1C99" w14:textId="77777777">
      <w:pPr>
        <w:widowControl/>
        <w:tabs>
          <w:tab w:val="left" w:pos="1440"/>
        </w:tabs>
        <w:spacing w:after="0" w:line="240" w:lineRule="auto"/>
        <w:ind w:right="72"/>
        <w:textAlignment w:val="baseline"/>
        <w:rPr>
          <w:rFonts w:ascii="Times New Roman" w:hAnsi="Times New Roman" w:eastAsia="Calibri" w:cs="Times New Roman"/>
          <w:spacing w:val="-4"/>
          <w:sz w:val="24"/>
          <w:szCs w:val="24"/>
        </w:rPr>
      </w:pPr>
    </w:p>
    <w:p w:rsidRPr="00F62849" w:rsidR="005B4139" w:rsidP="005B4139" w:rsidRDefault="005B4139" w14:paraId="1024E21E" w14:textId="77777777">
      <w:pPr>
        <w:tabs>
          <w:tab w:val="left" w:pos="360"/>
          <w:tab w:val="left" w:pos="1440"/>
        </w:tabs>
        <w:ind w:right="72"/>
        <w:textAlignment w:val="baseline"/>
        <w:rPr>
          <w:rFonts w:ascii="Times New Roman" w:hAnsi="Times New Roman" w:eastAsia="Calibri" w:cs="Times New Roman"/>
          <w:spacing w:val="-4"/>
          <w:sz w:val="24"/>
          <w:szCs w:val="24"/>
        </w:rPr>
      </w:pPr>
      <w:r w:rsidRPr="00F62849">
        <w:rPr>
          <w:rFonts w:ascii="Times New Roman" w:hAnsi="Times New Roman" w:eastAsia="Calibri" w:cs="Times New Roman"/>
          <w:spacing w:val="-4"/>
          <w:sz w:val="24"/>
          <w:szCs w:val="24"/>
        </w:rPr>
        <w:t xml:space="preserve">BOEM Response: BOEM has adjusted the </w:t>
      </w:r>
      <w:proofErr w:type="spellStart"/>
      <w:r w:rsidRPr="00F62849">
        <w:rPr>
          <w:rFonts w:ascii="Times New Roman" w:hAnsi="Times New Roman" w:eastAsia="Calibri" w:cs="Times New Roman"/>
          <w:spacing w:val="-4"/>
          <w:sz w:val="24"/>
          <w:szCs w:val="24"/>
        </w:rPr>
        <w:t>SOx</w:t>
      </w:r>
      <w:proofErr w:type="spellEnd"/>
      <w:r w:rsidRPr="00F62849">
        <w:rPr>
          <w:rFonts w:ascii="Times New Roman" w:hAnsi="Times New Roman" w:eastAsia="Calibri" w:cs="Times New Roman"/>
          <w:spacing w:val="-4"/>
          <w:sz w:val="24"/>
          <w:szCs w:val="24"/>
        </w:rPr>
        <w:t xml:space="preserve"> emission factor for Diesel Recip. &lt;600 hp to reflect the current sulfur content of 15 ppm.</w:t>
      </w:r>
    </w:p>
    <w:p w:rsidRPr="00F62849" w:rsidR="005B4139" w:rsidP="005B4139" w:rsidRDefault="005B4139" w14:paraId="720345C7" w14:textId="77777777">
      <w:pPr>
        <w:tabs>
          <w:tab w:val="left" w:pos="720"/>
        </w:tabs>
        <w:textAlignment w:val="baseline"/>
        <w:rPr>
          <w:rFonts w:ascii="Times New Roman" w:hAnsi="Times New Roman" w:eastAsia="Calibri" w:cs="Times New Roman"/>
          <w:spacing w:val="-5"/>
          <w:sz w:val="24"/>
          <w:szCs w:val="24"/>
        </w:rPr>
      </w:pPr>
      <w:r w:rsidRPr="00F62849">
        <w:rPr>
          <w:rFonts w:ascii="Times New Roman" w:hAnsi="Times New Roman" w:eastAsia="Calibri" w:cs="Times New Roman"/>
          <w:spacing w:val="-3"/>
          <w:sz w:val="24"/>
          <w:szCs w:val="24"/>
        </w:rPr>
        <w:t xml:space="preserve">3.  FACTORS Tab, Diesel Recip. &lt;600, SOX factor, Cell D17:  </w:t>
      </w:r>
      <w:r w:rsidRPr="00F62849">
        <w:rPr>
          <w:rFonts w:ascii="Times New Roman" w:hAnsi="Times New Roman" w:eastAsia="Calibri" w:cs="Times New Roman"/>
          <w:spacing w:val="-5"/>
          <w:sz w:val="24"/>
          <w:szCs w:val="24"/>
        </w:rPr>
        <w:t>The amount of SO2 from diesel fuel burning is a function of the concentration of sulfur in the fuel and the amount of fuel burned. Diesel engines in Gulf of Mexico use ultralow sulfur diesel (ULSD) that has maximum concentration of 0.0015% sulfur. Should adjust to same factor as Diesel Recip. &gt;600 hp since would have a similar mass balance calculation to derive the emission factor.</w:t>
      </w:r>
    </w:p>
    <w:p w:rsidRPr="00F62849" w:rsidR="005B4139" w:rsidP="005B4139" w:rsidRDefault="005B4139" w14:paraId="0298DBEE" w14:textId="77777777">
      <w:pPr>
        <w:tabs>
          <w:tab w:val="left" w:pos="1080"/>
        </w:tabs>
        <w:ind w:right="72"/>
        <w:jc w:val="both"/>
        <w:textAlignment w:val="baseline"/>
        <w:rPr>
          <w:rFonts w:ascii="Times New Roman" w:hAnsi="Times New Roman" w:eastAsia="Calibri" w:cs="Times New Roman"/>
          <w:spacing w:val="-5"/>
          <w:sz w:val="24"/>
          <w:szCs w:val="24"/>
        </w:rPr>
      </w:pPr>
      <w:r w:rsidRPr="00F62849">
        <w:rPr>
          <w:rFonts w:ascii="Times New Roman" w:hAnsi="Times New Roman" w:eastAsia="Calibri" w:cs="Times New Roman"/>
          <w:spacing w:val="-5"/>
          <w:sz w:val="24"/>
          <w:szCs w:val="24"/>
        </w:rPr>
        <w:t xml:space="preserve">BOEM Response: BOEM has adjusted the </w:t>
      </w:r>
      <w:proofErr w:type="spellStart"/>
      <w:r w:rsidRPr="00F62849">
        <w:rPr>
          <w:rFonts w:ascii="Times New Roman" w:hAnsi="Times New Roman" w:eastAsia="Calibri" w:cs="Times New Roman"/>
          <w:spacing w:val="-5"/>
          <w:sz w:val="24"/>
          <w:szCs w:val="24"/>
        </w:rPr>
        <w:t>SOx</w:t>
      </w:r>
      <w:proofErr w:type="spellEnd"/>
      <w:r w:rsidRPr="00F62849">
        <w:rPr>
          <w:rFonts w:ascii="Times New Roman" w:hAnsi="Times New Roman" w:eastAsia="Calibri" w:cs="Times New Roman"/>
          <w:spacing w:val="-5"/>
          <w:sz w:val="24"/>
          <w:szCs w:val="24"/>
        </w:rPr>
        <w:t xml:space="preserve"> emission factor for Diesel Recip. &lt;600 hp to reflect the current sulfur content of 15 ppm.</w:t>
      </w:r>
    </w:p>
    <w:p w:rsidRPr="00F62849" w:rsidR="005B4139" w:rsidP="005B4139" w:rsidRDefault="005B4139" w14:paraId="3D39FE05" w14:textId="77777777">
      <w:pPr>
        <w:tabs>
          <w:tab w:val="left" w:pos="720"/>
        </w:tabs>
        <w:textAlignment w:val="baseline"/>
        <w:rPr>
          <w:rFonts w:ascii="Times New Roman" w:hAnsi="Times New Roman" w:eastAsia="Calibri" w:cs="Times New Roman"/>
          <w:sz w:val="24"/>
          <w:szCs w:val="24"/>
        </w:rPr>
      </w:pPr>
      <w:r w:rsidRPr="00F62849">
        <w:rPr>
          <w:rFonts w:ascii="Times New Roman" w:hAnsi="Times New Roman" w:eastAsia="Calibri" w:cs="Times New Roman"/>
          <w:spacing w:val="-3"/>
          <w:sz w:val="24"/>
          <w:szCs w:val="24"/>
        </w:rPr>
        <w:t xml:space="preserve">4.  FACTORS Tab, Vessels – Propulsion, SOX factor, Cell D17:  </w:t>
      </w:r>
      <w:r w:rsidRPr="00F62849">
        <w:rPr>
          <w:rFonts w:ascii="Times New Roman" w:hAnsi="Times New Roman" w:eastAsia="Calibri" w:cs="Times New Roman"/>
          <w:sz w:val="24"/>
          <w:szCs w:val="24"/>
        </w:rPr>
        <w:t>Based on ULSD used as fuel and the amount of SO2 from diesel fuel burning is a function of the concentration of sulfur in the fuel and the amount of fuel burned, should have same SO2 emission factor as other diesel engines using ULSD.</w:t>
      </w:r>
    </w:p>
    <w:p w:rsidRPr="00F62849" w:rsidR="005B4139" w:rsidP="005B4139" w:rsidRDefault="005B4139" w14:paraId="74D2E75F" w14:textId="77777777">
      <w:pPr>
        <w:tabs>
          <w:tab w:val="left" w:pos="1440"/>
        </w:tabs>
        <w:textAlignment w:val="baseline"/>
        <w:rPr>
          <w:rFonts w:ascii="Times New Roman" w:hAnsi="Times New Roman" w:eastAsia="Calibri" w:cs="Times New Roman"/>
          <w:sz w:val="24"/>
          <w:szCs w:val="24"/>
        </w:rPr>
      </w:pPr>
      <w:bookmarkStart w:name="_Hlk44574816" w:id="3"/>
      <w:r w:rsidRPr="00F62849">
        <w:rPr>
          <w:rFonts w:ascii="Times New Roman" w:hAnsi="Times New Roman" w:eastAsia="Calibri" w:cs="Times New Roman"/>
          <w:sz w:val="24"/>
          <w:szCs w:val="24"/>
        </w:rPr>
        <w:t xml:space="preserve">BOEM Response: These emission factors have been revised based on the USEPA’s 2017 </w:t>
      </w:r>
      <w:bookmarkStart w:name="_Hlk44587268" w:id="4"/>
      <w:r w:rsidRPr="00F62849">
        <w:rPr>
          <w:rFonts w:ascii="Times New Roman" w:hAnsi="Times New Roman" w:eastAsia="Calibri" w:cs="Times New Roman"/>
          <w:sz w:val="24"/>
          <w:szCs w:val="24"/>
        </w:rPr>
        <w:t>National Emission Inventory</w:t>
      </w:r>
      <w:r>
        <w:rPr>
          <w:rFonts w:ascii="Times New Roman" w:hAnsi="Times New Roman" w:eastAsia="Calibri" w:cs="Times New Roman"/>
          <w:sz w:val="24"/>
          <w:szCs w:val="24"/>
        </w:rPr>
        <w:t xml:space="preserve"> (NEI)</w:t>
      </w:r>
      <w:r>
        <w:rPr>
          <w:rStyle w:val="FootnoteReference"/>
          <w:rFonts w:ascii="Times New Roman" w:hAnsi="Times New Roman" w:eastAsia="Calibri" w:cs="Times New Roman"/>
          <w:sz w:val="24"/>
          <w:szCs w:val="24"/>
        </w:rPr>
        <w:footnoteReference w:id="1"/>
      </w:r>
      <w:r w:rsidRPr="00F62849">
        <w:rPr>
          <w:rFonts w:ascii="Times New Roman" w:hAnsi="Times New Roman" w:eastAsia="Calibri" w:cs="Times New Roman"/>
          <w:sz w:val="24"/>
          <w:szCs w:val="24"/>
        </w:rPr>
        <w:t xml:space="preserve"> and represent</w:t>
      </w:r>
      <w:bookmarkEnd w:id="4"/>
      <w:r w:rsidRPr="00F62849">
        <w:rPr>
          <w:rFonts w:ascii="Times New Roman" w:hAnsi="Times New Roman" w:eastAsia="Calibri" w:cs="Times New Roman"/>
          <w:sz w:val="24"/>
          <w:szCs w:val="24"/>
        </w:rPr>
        <w:t xml:space="preserve"> engine category C1/C2 factors that account for the 15</w:t>
      </w:r>
      <w:r>
        <w:rPr>
          <w:rFonts w:ascii="Times New Roman" w:hAnsi="Times New Roman" w:eastAsia="Calibri" w:cs="Times New Roman"/>
          <w:sz w:val="24"/>
          <w:szCs w:val="24"/>
        </w:rPr>
        <w:t xml:space="preserve"> </w:t>
      </w:r>
      <w:r w:rsidRPr="00F62849">
        <w:rPr>
          <w:rFonts w:ascii="Times New Roman" w:hAnsi="Times New Roman" w:eastAsia="Calibri" w:cs="Times New Roman"/>
          <w:sz w:val="24"/>
          <w:szCs w:val="24"/>
        </w:rPr>
        <w:t xml:space="preserve">ppm requirement. </w:t>
      </w:r>
    </w:p>
    <w:bookmarkEnd w:id="3"/>
    <w:p w:rsidRPr="00F62849" w:rsidR="005B4139" w:rsidP="005B4139" w:rsidRDefault="005B4139" w14:paraId="5A032B62" w14:textId="77777777">
      <w:pPr>
        <w:textAlignment w:val="baseline"/>
        <w:rPr>
          <w:rFonts w:ascii="Times New Roman" w:hAnsi="Times New Roman" w:eastAsia="Calibri" w:cs="Times New Roman"/>
          <w:spacing w:val="-3"/>
          <w:sz w:val="24"/>
          <w:szCs w:val="24"/>
        </w:rPr>
      </w:pPr>
      <w:r w:rsidRPr="00F62849">
        <w:rPr>
          <w:rFonts w:ascii="Times New Roman" w:hAnsi="Times New Roman" w:eastAsia="Calibri" w:cs="Times New Roman"/>
          <w:spacing w:val="-1"/>
          <w:sz w:val="24"/>
          <w:szCs w:val="24"/>
        </w:rPr>
        <w:t xml:space="preserve">5.  FACTORS Tab, Vessels, Drilling Prime Engine, Auxiliary: </w:t>
      </w:r>
      <w:r w:rsidRPr="00F62849">
        <w:rPr>
          <w:rFonts w:ascii="Times New Roman" w:hAnsi="Times New Roman" w:eastAsia="Calibri" w:cs="Times New Roman"/>
          <w:spacing w:val="-3"/>
          <w:sz w:val="24"/>
          <w:szCs w:val="24"/>
        </w:rPr>
        <w:t xml:space="preserve">Correct spelling of word </w:t>
      </w:r>
      <w:r w:rsidRPr="00F62849">
        <w:rPr>
          <w:rFonts w:ascii="Times New Roman" w:hAnsi="Times New Roman" w:eastAsia="Calibri" w:cs="Times New Roman"/>
          <w:spacing w:val="-3"/>
          <w:sz w:val="24"/>
          <w:szCs w:val="24"/>
        </w:rPr>
        <w:lastRenderedPageBreak/>
        <w:t>“</w:t>
      </w:r>
      <w:proofErr w:type="spellStart"/>
      <w:r w:rsidRPr="00F62849">
        <w:rPr>
          <w:rFonts w:ascii="Times New Roman" w:hAnsi="Times New Roman" w:eastAsia="Calibri" w:cs="Times New Roman"/>
          <w:spacing w:val="-3"/>
          <w:sz w:val="24"/>
          <w:szCs w:val="24"/>
        </w:rPr>
        <w:t>Auxilliary</w:t>
      </w:r>
      <w:proofErr w:type="spellEnd"/>
      <w:r w:rsidRPr="00F62849">
        <w:rPr>
          <w:rFonts w:ascii="Times New Roman" w:hAnsi="Times New Roman" w:eastAsia="Calibri" w:cs="Times New Roman"/>
          <w:spacing w:val="-3"/>
          <w:sz w:val="24"/>
          <w:szCs w:val="24"/>
        </w:rPr>
        <w:t>” to</w:t>
      </w:r>
      <w:r w:rsidRPr="00F62849">
        <w:rPr>
          <w:rFonts w:ascii="Times New Roman" w:hAnsi="Times New Roman" w:eastAsia="Calibri" w:cs="Times New Roman"/>
          <w:b/>
          <w:spacing w:val="-3"/>
          <w:sz w:val="24"/>
          <w:szCs w:val="24"/>
        </w:rPr>
        <w:t xml:space="preserve"> Auxiliary</w:t>
      </w:r>
      <w:r w:rsidRPr="00F62849">
        <w:rPr>
          <w:rFonts w:ascii="Times New Roman" w:hAnsi="Times New Roman" w:eastAsia="Calibri" w:cs="Times New Roman"/>
          <w:spacing w:val="-3"/>
          <w:sz w:val="24"/>
          <w:szCs w:val="24"/>
        </w:rPr>
        <w:t>.</w:t>
      </w:r>
    </w:p>
    <w:p w:rsidRPr="00F62849" w:rsidR="005B4139" w:rsidP="005B4139" w:rsidRDefault="005B4139" w14:paraId="46A442D1" w14:textId="77777777">
      <w:pPr>
        <w:tabs>
          <w:tab w:val="left" w:pos="1440"/>
        </w:tabs>
        <w:textAlignment w:val="baseline"/>
        <w:rPr>
          <w:rFonts w:ascii="Times New Roman" w:hAnsi="Times New Roman" w:eastAsia="Calibri" w:cs="Times New Roman"/>
          <w:spacing w:val="-3"/>
          <w:sz w:val="24"/>
          <w:szCs w:val="24"/>
        </w:rPr>
      </w:pPr>
      <w:r w:rsidRPr="00F62849">
        <w:rPr>
          <w:rFonts w:ascii="Times New Roman" w:hAnsi="Times New Roman" w:eastAsia="Calibri" w:cs="Times New Roman"/>
          <w:spacing w:val="-3"/>
          <w:sz w:val="24"/>
          <w:szCs w:val="24"/>
        </w:rPr>
        <w:t xml:space="preserve">BOEM Response: Typographical error corrected. </w:t>
      </w:r>
    </w:p>
    <w:p w:rsidRPr="00F62849" w:rsidR="005B4139" w:rsidP="005B4139" w:rsidRDefault="005B4139" w14:paraId="26A41B34" w14:textId="77777777">
      <w:pPr>
        <w:tabs>
          <w:tab w:val="left" w:pos="720"/>
        </w:tabs>
        <w:textAlignment w:val="baseline"/>
        <w:rPr>
          <w:rFonts w:ascii="Times New Roman" w:hAnsi="Times New Roman" w:eastAsia="Calibri" w:cs="Times New Roman"/>
          <w:sz w:val="24"/>
          <w:szCs w:val="24"/>
        </w:rPr>
      </w:pPr>
      <w:r w:rsidRPr="00F62849">
        <w:rPr>
          <w:rFonts w:ascii="Times New Roman" w:hAnsi="Times New Roman" w:eastAsia="Calibri" w:cs="Times New Roman"/>
          <w:spacing w:val="-3"/>
          <w:sz w:val="24"/>
          <w:szCs w:val="24"/>
        </w:rPr>
        <w:t xml:space="preserve">6.  FACTORS Tab, Vessels, Drilling Prime Engine, Auxiliary, SOX factor, Cell D18:  </w:t>
      </w:r>
      <w:r w:rsidRPr="00F62849">
        <w:rPr>
          <w:rFonts w:ascii="Times New Roman" w:hAnsi="Times New Roman" w:eastAsia="Calibri" w:cs="Times New Roman"/>
          <w:sz w:val="24"/>
          <w:szCs w:val="24"/>
        </w:rPr>
        <w:t>Based on ULSD used as fuel and the amount of SO2 from diesel fuel burning is a function of the concentration of sulfur in the fuel and the amount of fuel burned, should have same SO2 emission factor as other diesel engines using ULSD.</w:t>
      </w:r>
    </w:p>
    <w:p w:rsidRPr="00F62849" w:rsidR="005B4139" w:rsidP="005B4139" w:rsidRDefault="005B4139" w14:paraId="00B4541D" w14:textId="77777777">
      <w:pPr>
        <w:tabs>
          <w:tab w:val="left" w:pos="1440"/>
        </w:tabs>
        <w:textAlignment w:val="baseline"/>
        <w:rPr>
          <w:rFonts w:ascii="Times New Roman" w:hAnsi="Times New Roman" w:eastAsia="Calibri" w:cs="Times New Roman"/>
          <w:sz w:val="24"/>
          <w:szCs w:val="24"/>
        </w:rPr>
      </w:pPr>
      <w:bookmarkStart w:name="_Hlk44575321" w:id="5"/>
      <w:r w:rsidRPr="00F62849">
        <w:rPr>
          <w:rFonts w:ascii="Times New Roman" w:hAnsi="Times New Roman" w:eastAsia="Calibri" w:cs="Times New Roman"/>
          <w:sz w:val="24"/>
          <w:szCs w:val="24"/>
        </w:rPr>
        <w:t>BOEM Response: These emission factors have been revised based on the USEPA’s 2017 National Emission Inventory</w:t>
      </w:r>
      <w:r>
        <w:rPr>
          <w:rFonts w:ascii="Times New Roman" w:hAnsi="Times New Roman" w:eastAsia="Calibri" w:cs="Times New Roman"/>
          <w:sz w:val="24"/>
          <w:szCs w:val="24"/>
        </w:rPr>
        <w:t xml:space="preserve"> (NEI)</w:t>
      </w:r>
      <w:r w:rsidRPr="00725D1C">
        <w:rPr>
          <w:rFonts w:ascii="Times New Roman" w:hAnsi="Times New Roman" w:eastAsia="Calibri" w:cs="Times New Roman"/>
          <w:sz w:val="24"/>
          <w:szCs w:val="24"/>
          <w:vertAlign w:val="superscript"/>
        </w:rPr>
        <w:t>1</w:t>
      </w:r>
      <w:r w:rsidRPr="00F62849">
        <w:rPr>
          <w:rFonts w:ascii="Times New Roman" w:hAnsi="Times New Roman" w:eastAsia="Calibri" w:cs="Times New Roman"/>
          <w:sz w:val="24"/>
          <w:szCs w:val="24"/>
        </w:rPr>
        <w:t xml:space="preserve"> and represent engine category C1/C2 factors</w:t>
      </w:r>
      <w:r w:rsidRPr="00F62849">
        <w:rPr>
          <w:rFonts w:ascii="Times New Roman" w:hAnsi="Times New Roman" w:cs="Times New Roman"/>
          <w:sz w:val="24"/>
          <w:szCs w:val="24"/>
        </w:rPr>
        <w:t xml:space="preserve"> </w:t>
      </w:r>
      <w:r w:rsidRPr="00F62849">
        <w:rPr>
          <w:rFonts w:ascii="Times New Roman" w:hAnsi="Times New Roman" w:eastAsia="Calibri" w:cs="Times New Roman"/>
          <w:sz w:val="24"/>
          <w:szCs w:val="24"/>
        </w:rPr>
        <w:t xml:space="preserve">that account for the 15 ppm requirement. </w:t>
      </w:r>
    </w:p>
    <w:bookmarkEnd w:id="5"/>
    <w:p w:rsidRPr="00F62849" w:rsidR="005B4139" w:rsidP="005B4139" w:rsidRDefault="005B4139" w14:paraId="210B952F" w14:textId="77777777">
      <w:pPr>
        <w:textAlignment w:val="baseline"/>
        <w:rPr>
          <w:rFonts w:ascii="Times New Roman" w:hAnsi="Times New Roman" w:eastAsia="Calibri" w:cs="Times New Roman"/>
          <w:sz w:val="24"/>
          <w:szCs w:val="24"/>
        </w:rPr>
      </w:pPr>
      <w:r w:rsidRPr="00F62849">
        <w:rPr>
          <w:rFonts w:ascii="Times New Roman" w:hAnsi="Times New Roman" w:eastAsia="Calibri" w:cs="Times New Roman"/>
          <w:sz w:val="24"/>
          <w:szCs w:val="24"/>
        </w:rPr>
        <w:t xml:space="preserve">7.  FACTORS Tab, Vessels – Well Stimulation, </w:t>
      </w:r>
      <w:proofErr w:type="spellStart"/>
      <w:r w:rsidRPr="00F62849">
        <w:rPr>
          <w:rFonts w:ascii="Times New Roman" w:hAnsi="Times New Roman" w:eastAsia="Calibri" w:cs="Times New Roman"/>
          <w:sz w:val="24"/>
          <w:szCs w:val="24"/>
        </w:rPr>
        <w:t>SOx</w:t>
      </w:r>
      <w:proofErr w:type="spellEnd"/>
      <w:r w:rsidRPr="00F62849">
        <w:rPr>
          <w:rFonts w:ascii="Times New Roman" w:hAnsi="Times New Roman" w:eastAsia="Calibri" w:cs="Times New Roman"/>
          <w:sz w:val="24"/>
          <w:szCs w:val="24"/>
        </w:rPr>
        <w:t xml:space="preserve"> factor, Cell D20:  Based on ULSD used as fuel and the amount of SO2 from diesel fuel burning is a function of the concentration of sulfur in the fuel and the amount of fuel burned, should have same SO2 emission factor as other diesel engines using ULSD.</w:t>
      </w:r>
    </w:p>
    <w:p w:rsidRPr="00F62849" w:rsidR="005B4139" w:rsidP="005B4139" w:rsidRDefault="005B4139" w14:paraId="5466EBD7" w14:textId="77777777">
      <w:pPr>
        <w:tabs>
          <w:tab w:val="left" w:pos="1440"/>
        </w:tabs>
        <w:textAlignment w:val="baseline"/>
        <w:rPr>
          <w:rFonts w:ascii="Times New Roman" w:hAnsi="Times New Roman" w:eastAsia="Calibri" w:cs="Times New Roman"/>
          <w:sz w:val="24"/>
          <w:szCs w:val="24"/>
        </w:rPr>
      </w:pPr>
      <w:r w:rsidRPr="00F62849">
        <w:rPr>
          <w:rFonts w:ascii="Times New Roman" w:hAnsi="Times New Roman" w:eastAsia="Calibri" w:cs="Times New Roman"/>
          <w:sz w:val="24"/>
          <w:szCs w:val="24"/>
        </w:rPr>
        <w:t>BOEM Response: These emission factors have been revised based on the USEPA’s 2017 National Emission Inventory</w:t>
      </w:r>
      <w:r>
        <w:rPr>
          <w:rFonts w:ascii="Times New Roman" w:hAnsi="Times New Roman" w:eastAsia="Calibri" w:cs="Times New Roman"/>
          <w:sz w:val="24"/>
          <w:szCs w:val="24"/>
        </w:rPr>
        <w:t xml:space="preserve"> (NEI)</w:t>
      </w:r>
      <w:r w:rsidRPr="00725D1C">
        <w:rPr>
          <w:rFonts w:ascii="Times New Roman" w:hAnsi="Times New Roman" w:eastAsia="Calibri" w:cs="Times New Roman"/>
          <w:sz w:val="24"/>
          <w:szCs w:val="24"/>
          <w:vertAlign w:val="superscript"/>
        </w:rPr>
        <w:t>1</w:t>
      </w:r>
      <w:r w:rsidRPr="00F62849">
        <w:rPr>
          <w:rFonts w:ascii="Times New Roman" w:hAnsi="Times New Roman" w:eastAsia="Calibri" w:cs="Times New Roman"/>
          <w:sz w:val="24"/>
          <w:szCs w:val="24"/>
        </w:rPr>
        <w:t xml:space="preserve"> and represent engine category C1/C2 factors that account for the 15 ppm requirement. </w:t>
      </w:r>
    </w:p>
    <w:p w:rsidRPr="00F62849" w:rsidR="005B4139" w:rsidP="005B4139" w:rsidRDefault="005B4139" w14:paraId="0B726C31" w14:textId="77777777">
      <w:pPr>
        <w:textAlignment w:val="baseline"/>
        <w:rPr>
          <w:rFonts w:ascii="Times New Roman" w:hAnsi="Times New Roman" w:eastAsia="Calibri" w:cs="Times New Roman"/>
          <w:sz w:val="24"/>
          <w:szCs w:val="24"/>
        </w:rPr>
      </w:pPr>
      <w:r w:rsidRPr="00F62849">
        <w:rPr>
          <w:rFonts w:ascii="Times New Roman" w:hAnsi="Times New Roman" w:eastAsia="Calibri" w:cs="Times New Roman"/>
          <w:sz w:val="24"/>
          <w:szCs w:val="24"/>
        </w:rPr>
        <w:t>8.  FACTORS Tab, VESSELS – Diesel Boiler:</w:t>
      </w:r>
    </w:p>
    <w:p w:rsidRPr="00F62849" w:rsidR="005B4139" w:rsidP="005B4139" w:rsidRDefault="005B4139" w14:paraId="3FAD3DC3" w14:textId="77777777">
      <w:pPr>
        <w:widowControl/>
        <w:numPr>
          <w:ilvl w:val="0"/>
          <w:numId w:val="23"/>
        </w:numPr>
        <w:tabs>
          <w:tab w:val="left" w:pos="1296"/>
        </w:tabs>
        <w:spacing w:after="0" w:line="240" w:lineRule="auto"/>
        <w:ind w:right="432" w:hanging="360"/>
        <w:textAlignment w:val="baseline"/>
        <w:rPr>
          <w:rFonts w:ascii="Times New Roman" w:hAnsi="Times New Roman" w:eastAsia="Calibri" w:cs="Times New Roman"/>
          <w:spacing w:val="-4"/>
          <w:sz w:val="24"/>
          <w:szCs w:val="24"/>
        </w:rPr>
      </w:pPr>
      <w:r w:rsidRPr="00F62849">
        <w:rPr>
          <w:rFonts w:ascii="Times New Roman" w:hAnsi="Times New Roman" w:eastAsia="Calibri" w:cs="Times New Roman"/>
          <w:spacing w:val="-4"/>
          <w:sz w:val="24"/>
          <w:szCs w:val="24"/>
        </w:rPr>
        <w:t>Cell B19. Most often, the MMBTU/HR rating of Boilers is readily available to operators. Suggest that MMBTU/HR units be used to determine capacity and fuel used. Then the user of the spreadsheet does not have to covert to MMBTU/HR to horsepower. The appropriate equations can be made to the EMISSIONS Tabs.</w:t>
      </w:r>
    </w:p>
    <w:p w:rsidRPr="00F62849" w:rsidR="005B4139" w:rsidP="005B4139" w:rsidRDefault="005B4139" w14:paraId="742730E3" w14:textId="77777777">
      <w:pPr>
        <w:widowControl/>
        <w:numPr>
          <w:ilvl w:val="0"/>
          <w:numId w:val="23"/>
        </w:numPr>
        <w:tabs>
          <w:tab w:val="left" w:pos="1296"/>
        </w:tabs>
        <w:spacing w:after="0" w:line="240" w:lineRule="auto"/>
        <w:ind w:right="504" w:hanging="360"/>
        <w:textAlignment w:val="baseline"/>
        <w:rPr>
          <w:rFonts w:ascii="Times New Roman" w:hAnsi="Times New Roman" w:eastAsia="Calibri" w:cs="Times New Roman"/>
          <w:sz w:val="24"/>
          <w:szCs w:val="24"/>
        </w:rPr>
      </w:pPr>
      <w:r w:rsidRPr="00F62849">
        <w:rPr>
          <w:rFonts w:ascii="Times New Roman" w:hAnsi="Times New Roman" w:eastAsia="Calibri" w:cs="Times New Roman"/>
          <w:sz w:val="24"/>
          <w:szCs w:val="24"/>
        </w:rPr>
        <w:t>Factors in AP-42, Section 1.3, Fuel Oil Combustion, Table 1.3-1, 1.3-2, 1.3-3 could be used with MMBTU/HR rating. NOTE: AP-42 Tables 1.4-1 and 1.4-2 factors are used for natural fueled heater/boiler/burner calculations for the draft Form BOEM-1038 and BOEM-1039.</w:t>
      </w:r>
    </w:p>
    <w:p w:rsidRPr="00F62849" w:rsidR="005B4139" w:rsidP="005B4139" w:rsidRDefault="005B4139" w14:paraId="1E8B6682" w14:textId="77777777">
      <w:pPr>
        <w:widowControl/>
        <w:numPr>
          <w:ilvl w:val="0"/>
          <w:numId w:val="23"/>
        </w:numPr>
        <w:tabs>
          <w:tab w:val="left" w:pos="1296"/>
        </w:tabs>
        <w:spacing w:after="0" w:line="240" w:lineRule="auto"/>
        <w:ind w:right="216" w:hanging="360"/>
        <w:textAlignment w:val="baseline"/>
        <w:rPr>
          <w:rFonts w:ascii="Times New Roman" w:hAnsi="Times New Roman" w:eastAsia="Calibri" w:cs="Times New Roman"/>
          <w:sz w:val="24"/>
          <w:szCs w:val="24"/>
        </w:rPr>
      </w:pPr>
      <w:r w:rsidRPr="00F62849">
        <w:rPr>
          <w:rFonts w:ascii="Times New Roman" w:hAnsi="Times New Roman" w:eastAsia="Calibri" w:cs="Times New Roman"/>
          <w:sz w:val="24"/>
          <w:szCs w:val="24"/>
        </w:rPr>
        <w:t xml:space="preserve">For the FACTORS Tab, a “Fuel Usage Conversion Factor” can be calculated for diesel boilers based the Density (7.05 </w:t>
      </w:r>
      <w:proofErr w:type="spellStart"/>
      <w:r w:rsidRPr="00F62849">
        <w:rPr>
          <w:rFonts w:ascii="Times New Roman" w:hAnsi="Times New Roman" w:eastAsia="Calibri" w:cs="Times New Roman"/>
          <w:sz w:val="24"/>
          <w:szCs w:val="24"/>
        </w:rPr>
        <w:t>lbs</w:t>
      </w:r>
      <w:proofErr w:type="spellEnd"/>
      <w:r w:rsidRPr="00F62849">
        <w:rPr>
          <w:rFonts w:ascii="Times New Roman" w:hAnsi="Times New Roman" w:eastAsia="Calibri" w:cs="Times New Roman"/>
          <w:sz w:val="24"/>
          <w:szCs w:val="24"/>
        </w:rPr>
        <w:t>/gal) and Heat Value of Diesel Fuel (19,300 BTU/</w:t>
      </w:r>
      <w:proofErr w:type="spellStart"/>
      <w:r w:rsidRPr="00F62849">
        <w:rPr>
          <w:rFonts w:ascii="Times New Roman" w:hAnsi="Times New Roman" w:eastAsia="Calibri" w:cs="Times New Roman"/>
          <w:sz w:val="24"/>
          <w:szCs w:val="24"/>
        </w:rPr>
        <w:t>lb</w:t>
      </w:r>
      <w:proofErr w:type="spellEnd"/>
      <w:r w:rsidRPr="00F62849">
        <w:rPr>
          <w:rFonts w:ascii="Times New Roman" w:hAnsi="Times New Roman" w:eastAsia="Calibri" w:cs="Times New Roman"/>
          <w:sz w:val="24"/>
          <w:szCs w:val="24"/>
        </w:rPr>
        <w:t>) – similar to calculation in FACTORS Tab, Cell G2. The fuel usage factor can be input to calculate emissions based on emission factors in AP-42, Tables 1.3-1, 1.3-2 and 1.3-3.</w:t>
      </w:r>
    </w:p>
    <w:p w:rsidRPr="00F62849" w:rsidR="005B4139" w:rsidP="005B4139" w:rsidRDefault="005B4139" w14:paraId="64E84E62" w14:textId="77777777">
      <w:pPr>
        <w:widowControl/>
        <w:numPr>
          <w:ilvl w:val="0"/>
          <w:numId w:val="23"/>
        </w:numPr>
        <w:tabs>
          <w:tab w:val="left" w:pos="1296"/>
        </w:tabs>
        <w:spacing w:after="0" w:line="240" w:lineRule="auto"/>
        <w:ind w:right="792" w:hanging="360"/>
        <w:textAlignment w:val="baseline"/>
        <w:rPr>
          <w:rFonts w:ascii="Times New Roman" w:hAnsi="Times New Roman" w:eastAsia="Calibri" w:cs="Times New Roman"/>
          <w:sz w:val="24"/>
          <w:szCs w:val="24"/>
        </w:rPr>
      </w:pPr>
      <w:proofErr w:type="spellStart"/>
      <w:r w:rsidRPr="00F62849">
        <w:rPr>
          <w:rFonts w:ascii="Times New Roman" w:hAnsi="Times New Roman" w:eastAsia="Calibri" w:cs="Times New Roman"/>
          <w:sz w:val="24"/>
          <w:szCs w:val="24"/>
        </w:rPr>
        <w:t>SOx</w:t>
      </w:r>
      <w:proofErr w:type="spellEnd"/>
      <w:r w:rsidRPr="00F62849">
        <w:rPr>
          <w:rFonts w:ascii="Times New Roman" w:hAnsi="Times New Roman" w:eastAsia="Calibri" w:cs="Times New Roman"/>
          <w:sz w:val="24"/>
          <w:szCs w:val="24"/>
        </w:rPr>
        <w:t xml:space="preserve"> emission factor in Table 1.3-1 could be used for No.2 oil fired units. No. 2 diesel (ULSD) typically used as fuel in the Gulf of Mexico. For example:</w:t>
      </w:r>
    </w:p>
    <w:p w:rsidRPr="00F62849" w:rsidR="005B4139" w:rsidP="005B4139" w:rsidRDefault="005B4139" w14:paraId="3F13F88B" w14:textId="77777777">
      <w:pPr>
        <w:widowControl/>
        <w:numPr>
          <w:ilvl w:val="0"/>
          <w:numId w:val="15"/>
        </w:numPr>
        <w:tabs>
          <w:tab w:val="clear" w:pos="360"/>
          <w:tab w:val="left" w:pos="2016"/>
        </w:tabs>
        <w:spacing w:after="0" w:line="240" w:lineRule="auto"/>
        <w:ind w:hanging="360"/>
        <w:textAlignment w:val="baseline"/>
        <w:rPr>
          <w:rFonts w:ascii="Times New Roman" w:hAnsi="Times New Roman" w:eastAsia="Calibri" w:cs="Times New Roman"/>
          <w:spacing w:val="-4"/>
          <w:sz w:val="24"/>
          <w:szCs w:val="24"/>
        </w:rPr>
      </w:pPr>
      <w:proofErr w:type="spellStart"/>
      <w:r w:rsidRPr="00F62849">
        <w:rPr>
          <w:rFonts w:ascii="Times New Roman" w:hAnsi="Times New Roman" w:eastAsia="Calibri" w:cs="Times New Roman"/>
          <w:spacing w:val="-4"/>
          <w:sz w:val="24"/>
          <w:szCs w:val="24"/>
        </w:rPr>
        <w:t>SOx</w:t>
      </w:r>
      <w:proofErr w:type="spellEnd"/>
      <w:r w:rsidRPr="00F62849">
        <w:rPr>
          <w:rFonts w:ascii="Times New Roman" w:hAnsi="Times New Roman" w:eastAsia="Calibri" w:cs="Times New Roman"/>
          <w:spacing w:val="-4"/>
          <w:sz w:val="24"/>
          <w:szCs w:val="24"/>
        </w:rPr>
        <w:t xml:space="preserve"> = SO2+ SO3 = 144*S </w:t>
      </w:r>
      <w:proofErr w:type="spellStart"/>
      <w:r w:rsidRPr="00F62849">
        <w:rPr>
          <w:rFonts w:ascii="Times New Roman" w:hAnsi="Times New Roman" w:eastAsia="Calibri" w:cs="Times New Roman"/>
          <w:spacing w:val="-4"/>
          <w:sz w:val="24"/>
          <w:szCs w:val="24"/>
        </w:rPr>
        <w:t>lbs</w:t>
      </w:r>
      <w:proofErr w:type="spellEnd"/>
      <w:r w:rsidRPr="00F62849">
        <w:rPr>
          <w:rFonts w:ascii="Times New Roman" w:hAnsi="Times New Roman" w:eastAsia="Calibri" w:cs="Times New Roman"/>
          <w:spacing w:val="-4"/>
          <w:sz w:val="24"/>
          <w:szCs w:val="24"/>
        </w:rPr>
        <w:t>/1000 gallons; where S = weight percent of sulfur in fuel.</w:t>
      </w:r>
    </w:p>
    <w:p w:rsidRPr="00F62849" w:rsidR="005B4139" w:rsidP="005B4139" w:rsidRDefault="005B4139" w14:paraId="7C32B865" w14:textId="77777777">
      <w:pPr>
        <w:widowControl/>
        <w:numPr>
          <w:ilvl w:val="0"/>
          <w:numId w:val="15"/>
        </w:numPr>
        <w:tabs>
          <w:tab w:val="clear" w:pos="360"/>
          <w:tab w:val="left" w:pos="2016"/>
        </w:tabs>
        <w:spacing w:after="0" w:line="240" w:lineRule="auto"/>
        <w:ind w:hanging="360"/>
        <w:textAlignment w:val="baseline"/>
        <w:rPr>
          <w:rFonts w:ascii="Times New Roman" w:hAnsi="Times New Roman" w:eastAsia="Calibri" w:cs="Times New Roman"/>
          <w:spacing w:val="-4"/>
          <w:sz w:val="24"/>
          <w:szCs w:val="24"/>
        </w:rPr>
      </w:pPr>
      <w:r w:rsidRPr="00F62849">
        <w:rPr>
          <w:rFonts w:ascii="Times New Roman" w:hAnsi="Times New Roman" w:eastAsia="Calibri" w:cs="Times New Roman"/>
          <w:spacing w:val="-4"/>
          <w:sz w:val="24"/>
          <w:szCs w:val="24"/>
        </w:rPr>
        <w:t xml:space="preserve">SO2 = 142*S where S = 0.0015; SO2 = 0.213 </w:t>
      </w:r>
      <w:proofErr w:type="spellStart"/>
      <w:r w:rsidRPr="00F62849">
        <w:rPr>
          <w:rFonts w:ascii="Times New Roman" w:hAnsi="Times New Roman" w:eastAsia="Calibri" w:cs="Times New Roman"/>
          <w:spacing w:val="-4"/>
          <w:sz w:val="24"/>
          <w:szCs w:val="24"/>
        </w:rPr>
        <w:t>lbs</w:t>
      </w:r>
      <w:proofErr w:type="spellEnd"/>
      <w:r w:rsidRPr="00F62849">
        <w:rPr>
          <w:rFonts w:ascii="Times New Roman" w:hAnsi="Times New Roman" w:eastAsia="Calibri" w:cs="Times New Roman"/>
          <w:spacing w:val="-4"/>
          <w:sz w:val="24"/>
          <w:szCs w:val="24"/>
        </w:rPr>
        <w:t>/1000 gallons</w:t>
      </w:r>
    </w:p>
    <w:p w:rsidRPr="00F62849" w:rsidR="005B4139" w:rsidP="005B4139" w:rsidRDefault="005B4139" w14:paraId="40D8FAF8" w14:textId="77777777">
      <w:pPr>
        <w:widowControl/>
        <w:numPr>
          <w:ilvl w:val="0"/>
          <w:numId w:val="15"/>
        </w:numPr>
        <w:tabs>
          <w:tab w:val="clear" w:pos="360"/>
          <w:tab w:val="left" w:pos="2016"/>
        </w:tabs>
        <w:spacing w:after="0" w:line="240" w:lineRule="auto"/>
        <w:ind w:hanging="360"/>
        <w:textAlignment w:val="baseline"/>
        <w:rPr>
          <w:rFonts w:ascii="Times New Roman" w:hAnsi="Times New Roman" w:eastAsia="Calibri" w:cs="Times New Roman"/>
          <w:sz w:val="24"/>
          <w:szCs w:val="24"/>
        </w:rPr>
      </w:pPr>
      <w:r w:rsidRPr="00F62849">
        <w:rPr>
          <w:rFonts w:ascii="Times New Roman" w:hAnsi="Times New Roman" w:eastAsia="Calibri" w:cs="Times New Roman"/>
          <w:sz w:val="24"/>
          <w:szCs w:val="24"/>
        </w:rPr>
        <w:t xml:space="preserve">SO3 = 2*S where S = 0.0015; SO3 = 0.003 </w:t>
      </w:r>
      <w:proofErr w:type="spellStart"/>
      <w:r w:rsidRPr="00F62849">
        <w:rPr>
          <w:rFonts w:ascii="Times New Roman" w:hAnsi="Times New Roman" w:eastAsia="Calibri" w:cs="Times New Roman"/>
          <w:sz w:val="24"/>
          <w:szCs w:val="24"/>
        </w:rPr>
        <w:t>lbs</w:t>
      </w:r>
      <w:proofErr w:type="spellEnd"/>
      <w:r w:rsidRPr="00F62849">
        <w:rPr>
          <w:rFonts w:ascii="Times New Roman" w:hAnsi="Times New Roman" w:eastAsia="Calibri" w:cs="Times New Roman"/>
          <w:sz w:val="24"/>
          <w:szCs w:val="24"/>
        </w:rPr>
        <w:t xml:space="preserve">/1000 gallons </w:t>
      </w:r>
      <w:r w:rsidRPr="00F62849">
        <w:rPr>
          <w:rFonts w:ascii="Times New Roman" w:hAnsi="Times New Roman" w:eastAsia="Calibri" w:cs="Times New Roman"/>
          <w:sz w:val="24"/>
          <w:szCs w:val="24"/>
        </w:rPr>
        <w:br/>
        <w:t xml:space="preserve">1. Total </w:t>
      </w:r>
      <w:proofErr w:type="spellStart"/>
      <w:r w:rsidRPr="00F62849">
        <w:rPr>
          <w:rFonts w:ascii="Times New Roman" w:hAnsi="Times New Roman" w:eastAsia="Calibri" w:cs="Times New Roman"/>
          <w:sz w:val="24"/>
          <w:szCs w:val="24"/>
        </w:rPr>
        <w:t>SOx</w:t>
      </w:r>
      <w:proofErr w:type="spellEnd"/>
      <w:r w:rsidRPr="00F62849">
        <w:rPr>
          <w:rFonts w:ascii="Times New Roman" w:hAnsi="Times New Roman" w:eastAsia="Calibri" w:cs="Times New Roman"/>
          <w:sz w:val="24"/>
          <w:szCs w:val="24"/>
        </w:rPr>
        <w:t xml:space="preserve"> = 0.216 </w:t>
      </w:r>
      <w:proofErr w:type="spellStart"/>
      <w:r w:rsidRPr="00F62849">
        <w:rPr>
          <w:rFonts w:ascii="Times New Roman" w:hAnsi="Times New Roman" w:eastAsia="Calibri" w:cs="Times New Roman"/>
          <w:sz w:val="24"/>
          <w:szCs w:val="24"/>
        </w:rPr>
        <w:t>lbs</w:t>
      </w:r>
      <w:proofErr w:type="spellEnd"/>
      <w:r w:rsidRPr="00F62849">
        <w:rPr>
          <w:rFonts w:ascii="Times New Roman" w:hAnsi="Times New Roman" w:eastAsia="Calibri" w:cs="Times New Roman"/>
          <w:sz w:val="24"/>
          <w:szCs w:val="24"/>
        </w:rPr>
        <w:t>/1000 gallons</w:t>
      </w:r>
    </w:p>
    <w:p w:rsidRPr="00F62849" w:rsidR="005B4139" w:rsidP="005B4139" w:rsidRDefault="005B4139" w14:paraId="5F20D4BB" w14:textId="77777777">
      <w:pPr>
        <w:tabs>
          <w:tab w:val="left" w:pos="360"/>
          <w:tab w:val="left" w:pos="2016"/>
        </w:tabs>
        <w:spacing w:after="0" w:line="240" w:lineRule="auto"/>
        <w:textAlignment w:val="baseline"/>
        <w:rPr>
          <w:rFonts w:ascii="Times New Roman" w:hAnsi="Times New Roman" w:eastAsia="Calibri" w:cs="Times New Roman"/>
          <w:b/>
          <w:bCs/>
          <w:sz w:val="24"/>
          <w:szCs w:val="24"/>
        </w:rPr>
      </w:pPr>
      <w:bookmarkStart w:name="_Hlk44575917" w:id="6"/>
    </w:p>
    <w:p w:rsidRPr="00F62849" w:rsidR="005B4139" w:rsidP="005B4139" w:rsidRDefault="005B4139" w14:paraId="098E0592" w14:textId="77777777">
      <w:pPr>
        <w:tabs>
          <w:tab w:val="left" w:pos="360"/>
          <w:tab w:val="left" w:pos="2016"/>
        </w:tabs>
        <w:textAlignment w:val="baseline"/>
        <w:rPr>
          <w:rFonts w:ascii="Times New Roman" w:hAnsi="Times New Roman" w:eastAsia="Calibri" w:cs="Times New Roman"/>
          <w:sz w:val="24"/>
          <w:szCs w:val="24"/>
        </w:rPr>
      </w:pPr>
      <w:r w:rsidRPr="00F62849">
        <w:rPr>
          <w:rFonts w:ascii="Times New Roman" w:hAnsi="Times New Roman" w:eastAsia="Calibri" w:cs="Times New Roman"/>
          <w:sz w:val="24"/>
          <w:szCs w:val="24"/>
        </w:rPr>
        <w:t xml:space="preserve">BOEM Response: </w:t>
      </w:r>
      <w:bookmarkStart w:name="_Hlk45871652" w:id="7"/>
      <w:bookmarkStart w:name="_Hlk44577088" w:id="8"/>
      <w:r>
        <w:rPr>
          <w:rFonts w:ascii="Times New Roman" w:hAnsi="Times New Roman" w:eastAsia="Calibri" w:cs="Times New Roman"/>
          <w:sz w:val="24"/>
          <w:szCs w:val="24"/>
        </w:rPr>
        <w:t xml:space="preserve">BOEM appreciates the suggestions of alternative methods for performing the calculations embedded in the spreadsheet, but BOEM notes that the suggested methods do not </w:t>
      </w:r>
      <w:r>
        <w:rPr>
          <w:rFonts w:ascii="Times New Roman" w:hAnsi="Times New Roman" w:eastAsia="Calibri" w:cs="Times New Roman"/>
          <w:sz w:val="24"/>
          <w:szCs w:val="24"/>
        </w:rPr>
        <w:lastRenderedPageBreak/>
        <w:t xml:space="preserve">substantially affect the outcome of the calculations. BOEM believes that the suggested changes would have little to no effect on the burden to operators.  At this time, </w:t>
      </w:r>
      <w:r w:rsidRPr="00F62849">
        <w:rPr>
          <w:rFonts w:ascii="Times New Roman" w:hAnsi="Times New Roman" w:eastAsia="Calibri" w:cs="Times New Roman"/>
          <w:sz w:val="24"/>
          <w:szCs w:val="24"/>
        </w:rPr>
        <w:t xml:space="preserve">BOEM </w:t>
      </w:r>
      <w:r>
        <w:rPr>
          <w:rFonts w:ascii="Times New Roman" w:hAnsi="Times New Roman" w:eastAsia="Calibri" w:cs="Times New Roman"/>
          <w:sz w:val="24"/>
          <w:szCs w:val="24"/>
        </w:rPr>
        <w:t>is retaining the current calculation methodologies. However, operators can calculate and enter their own emissions estimates directly into the spreadsheet if they prefer using another method.</w:t>
      </w:r>
      <w:bookmarkEnd w:id="7"/>
      <w:r>
        <w:rPr>
          <w:rFonts w:ascii="Times New Roman" w:hAnsi="Times New Roman" w:eastAsia="Calibri" w:cs="Times New Roman"/>
          <w:sz w:val="24"/>
          <w:szCs w:val="24"/>
        </w:rPr>
        <w:t xml:space="preserve">  </w:t>
      </w:r>
      <w:bookmarkEnd w:id="8"/>
    </w:p>
    <w:bookmarkEnd w:id="6"/>
    <w:p w:rsidRPr="00F62849" w:rsidR="005B4139" w:rsidP="005B4139" w:rsidRDefault="005B4139" w14:paraId="28785A47" w14:textId="77777777">
      <w:pPr>
        <w:textAlignment w:val="baseline"/>
        <w:rPr>
          <w:rFonts w:ascii="Times New Roman" w:hAnsi="Times New Roman" w:eastAsia="Calibri" w:cs="Times New Roman"/>
          <w:spacing w:val="-4"/>
          <w:sz w:val="24"/>
          <w:szCs w:val="24"/>
        </w:rPr>
      </w:pPr>
      <w:r w:rsidRPr="00F62849">
        <w:rPr>
          <w:rFonts w:ascii="Times New Roman" w:hAnsi="Times New Roman" w:eastAsia="Calibri" w:cs="Times New Roman"/>
          <w:spacing w:val="-2"/>
          <w:sz w:val="24"/>
          <w:szCs w:val="24"/>
        </w:rPr>
        <w:t xml:space="preserve">9.  EMISSIONS1 Tab – Cell </w:t>
      </w:r>
      <w:r w:rsidRPr="00F62849">
        <w:rPr>
          <w:rFonts w:ascii="Times New Roman" w:hAnsi="Times New Roman" w:eastAsia="Times New Roman" w:cs="Times New Roman"/>
          <w:spacing w:val="-2"/>
          <w:sz w:val="24"/>
          <w:szCs w:val="24"/>
        </w:rPr>
        <w:t>I</w:t>
      </w:r>
      <w:r w:rsidRPr="00F62849">
        <w:rPr>
          <w:rFonts w:ascii="Times New Roman" w:hAnsi="Times New Roman" w:eastAsia="Calibri" w:cs="Times New Roman"/>
          <w:spacing w:val="-2"/>
          <w:sz w:val="24"/>
          <w:szCs w:val="24"/>
        </w:rPr>
        <w:t xml:space="preserve">12 for “Vessels – Drilling Prime Engine, </w:t>
      </w:r>
      <w:proofErr w:type="spellStart"/>
      <w:r w:rsidRPr="00F62849">
        <w:rPr>
          <w:rFonts w:ascii="Times New Roman" w:hAnsi="Times New Roman" w:eastAsia="Calibri" w:cs="Times New Roman"/>
          <w:spacing w:val="-2"/>
          <w:sz w:val="24"/>
          <w:szCs w:val="24"/>
        </w:rPr>
        <w:t>Auxilliary</w:t>
      </w:r>
      <w:proofErr w:type="spellEnd"/>
      <w:r w:rsidRPr="00F62849">
        <w:rPr>
          <w:rFonts w:ascii="Times New Roman" w:hAnsi="Times New Roman" w:eastAsia="Calibri" w:cs="Times New Roman"/>
          <w:spacing w:val="-2"/>
          <w:sz w:val="24"/>
          <w:szCs w:val="24"/>
        </w:rPr>
        <w:t>”</w:t>
      </w:r>
      <w:r w:rsidRPr="00F62849">
        <w:rPr>
          <w:rFonts w:ascii="Times New Roman" w:hAnsi="Times New Roman" w:eastAsia="Times New Roman" w:cs="Times New Roman"/>
          <w:spacing w:val="-2"/>
          <w:sz w:val="24"/>
          <w:szCs w:val="24"/>
        </w:rPr>
        <w:t xml:space="preserve">. </w:t>
      </w:r>
      <w:r w:rsidRPr="00F62849">
        <w:rPr>
          <w:rFonts w:ascii="Times New Roman" w:hAnsi="Times New Roman" w:eastAsia="Calibri" w:cs="Times New Roman"/>
          <w:spacing w:val="-2"/>
          <w:sz w:val="24"/>
          <w:szCs w:val="24"/>
        </w:rPr>
        <w:t xml:space="preserve">This cell uses a factor from cell </w:t>
      </w:r>
      <w:r w:rsidRPr="00F62849">
        <w:rPr>
          <w:rFonts w:ascii="Times New Roman" w:hAnsi="Times New Roman" w:eastAsia="Calibri" w:cs="Times New Roman"/>
          <w:spacing w:val="-4"/>
          <w:sz w:val="24"/>
          <w:szCs w:val="24"/>
        </w:rPr>
        <w:t>$C$17 of the FACTORS tab. It should reference cell $C$18 on the FACTOR tab.</w:t>
      </w:r>
    </w:p>
    <w:p w:rsidRPr="00F62849" w:rsidR="005B4139" w:rsidP="005B4139" w:rsidRDefault="005B4139" w14:paraId="2C2C1E06" w14:textId="77777777">
      <w:pPr>
        <w:textAlignment w:val="baseline"/>
        <w:rPr>
          <w:rFonts w:ascii="Times New Roman" w:hAnsi="Times New Roman" w:eastAsia="Calibri" w:cs="Times New Roman"/>
          <w:spacing w:val="-4"/>
          <w:sz w:val="24"/>
          <w:szCs w:val="24"/>
        </w:rPr>
      </w:pPr>
      <w:bookmarkStart w:name="_Hlk44575976" w:id="9"/>
      <w:r w:rsidRPr="00F62849">
        <w:rPr>
          <w:rFonts w:ascii="Times New Roman" w:hAnsi="Times New Roman" w:eastAsia="Calibri" w:cs="Times New Roman"/>
          <w:spacing w:val="-4"/>
          <w:sz w:val="24"/>
          <w:szCs w:val="24"/>
        </w:rPr>
        <w:t xml:space="preserve">BOEM Response:  This error has been corrected. </w:t>
      </w:r>
    </w:p>
    <w:bookmarkEnd w:id="9"/>
    <w:p w:rsidRPr="00F62849" w:rsidR="005B4139" w:rsidP="005B4139" w:rsidRDefault="005B4139" w14:paraId="3388A9EB" w14:textId="77777777">
      <w:pPr>
        <w:textAlignment w:val="baseline"/>
        <w:rPr>
          <w:rFonts w:ascii="Times New Roman" w:hAnsi="Times New Roman" w:eastAsia="Calibri" w:cs="Times New Roman"/>
          <w:spacing w:val="-4"/>
          <w:sz w:val="24"/>
          <w:szCs w:val="24"/>
        </w:rPr>
      </w:pPr>
      <w:r w:rsidRPr="00F62849">
        <w:rPr>
          <w:rFonts w:ascii="Times New Roman" w:hAnsi="Times New Roman" w:eastAsia="Calibri" w:cs="Times New Roman"/>
          <w:spacing w:val="-4"/>
          <w:sz w:val="24"/>
          <w:szCs w:val="24"/>
        </w:rPr>
        <w:t xml:space="preserve">10.  EMISSIONS Tab. Can BOEM explain the reason the “0.85” adjustment factor is used to calculate </w:t>
      </w:r>
      <w:proofErr w:type="spellStart"/>
      <w:r w:rsidRPr="00F62849">
        <w:rPr>
          <w:rFonts w:ascii="Times New Roman" w:hAnsi="Times New Roman" w:eastAsia="Calibri" w:cs="Times New Roman"/>
          <w:spacing w:val="-4"/>
          <w:sz w:val="24"/>
          <w:szCs w:val="24"/>
        </w:rPr>
        <w:t>lbs</w:t>
      </w:r>
      <w:proofErr w:type="spellEnd"/>
      <w:r w:rsidRPr="00F62849">
        <w:rPr>
          <w:rFonts w:ascii="Times New Roman" w:hAnsi="Times New Roman" w:eastAsia="Calibri" w:cs="Times New Roman"/>
          <w:spacing w:val="-4"/>
          <w:sz w:val="24"/>
          <w:szCs w:val="24"/>
        </w:rPr>
        <w:t>/</w:t>
      </w:r>
      <w:proofErr w:type="spellStart"/>
      <w:r w:rsidRPr="00F62849">
        <w:rPr>
          <w:rFonts w:ascii="Times New Roman" w:hAnsi="Times New Roman" w:eastAsia="Calibri" w:cs="Times New Roman"/>
          <w:spacing w:val="-4"/>
          <w:sz w:val="24"/>
          <w:szCs w:val="24"/>
        </w:rPr>
        <w:t>hr</w:t>
      </w:r>
      <w:proofErr w:type="spellEnd"/>
      <w:r w:rsidRPr="00F62849">
        <w:rPr>
          <w:rFonts w:ascii="Times New Roman" w:hAnsi="Times New Roman" w:eastAsia="Calibri" w:cs="Times New Roman"/>
          <w:spacing w:val="-4"/>
          <w:sz w:val="24"/>
          <w:szCs w:val="24"/>
        </w:rPr>
        <w:t xml:space="preserve"> for “VESSELS- Drilling - Propulsion Engine – Diesel” emissions? Reference: Cells I7, J7, K7, L7, M7. N7, O7.</w:t>
      </w:r>
    </w:p>
    <w:p w:rsidRPr="00F62849" w:rsidR="005B4139" w:rsidP="005B4139" w:rsidRDefault="005B4139" w14:paraId="1CEB58C4" w14:textId="77777777">
      <w:pPr>
        <w:widowControl/>
        <w:numPr>
          <w:ilvl w:val="0"/>
          <w:numId w:val="16"/>
        </w:numPr>
        <w:tabs>
          <w:tab w:val="clear" w:pos="360"/>
          <w:tab w:val="left" w:pos="1296"/>
        </w:tabs>
        <w:spacing w:after="0" w:line="240" w:lineRule="auto"/>
        <w:ind w:right="216" w:hanging="360"/>
        <w:textAlignment w:val="baseline"/>
        <w:rPr>
          <w:rFonts w:ascii="Times New Roman" w:hAnsi="Times New Roman" w:eastAsia="Calibri" w:cs="Times New Roman"/>
          <w:spacing w:val="-5"/>
          <w:sz w:val="24"/>
          <w:szCs w:val="24"/>
        </w:rPr>
      </w:pPr>
      <w:r w:rsidRPr="00F62849">
        <w:rPr>
          <w:rFonts w:ascii="Times New Roman" w:hAnsi="Times New Roman" w:eastAsia="Calibri" w:cs="Times New Roman"/>
          <w:spacing w:val="-5"/>
          <w:sz w:val="24"/>
          <w:szCs w:val="24"/>
        </w:rPr>
        <w:t>There is no explanation of this in the Air Emissions Calculations Instructions for EPs and DOCDs documents. A note in the instructions document should explain reason for the adjustment factor.</w:t>
      </w:r>
    </w:p>
    <w:p w:rsidRPr="00F62849" w:rsidR="005B4139" w:rsidP="005B4139" w:rsidRDefault="005B4139" w14:paraId="0BB91A1E" w14:textId="77777777">
      <w:pPr>
        <w:widowControl/>
        <w:numPr>
          <w:ilvl w:val="0"/>
          <w:numId w:val="16"/>
        </w:numPr>
        <w:tabs>
          <w:tab w:val="clear" w:pos="360"/>
          <w:tab w:val="left" w:pos="1296"/>
        </w:tabs>
        <w:spacing w:after="0" w:line="240" w:lineRule="auto"/>
        <w:ind w:right="504" w:hanging="360"/>
        <w:textAlignment w:val="baseline"/>
        <w:rPr>
          <w:rFonts w:ascii="Times New Roman" w:hAnsi="Times New Roman" w:eastAsia="Calibri" w:cs="Times New Roman"/>
          <w:sz w:val="24"/>
          <w:szCs w:val="24"/>
        </w:rPr>
      </w:pPr>
      <w:r w:rsidRPr="00F62849">
        <w:rPr>
          <w:rFonts w:ascii="Times New Roman" w:hAnsi="Times New Roman" w:eastAsia="Calibri" w:cs="Times New Roman"/>
          <w:sz w:val="24"/>
          <w:szCs w:val="24"/>
        </w:rPr>
        <w:t>Using unexplained emission factors adjustments may cause more errors since users often copy and paste cells to calculate emission for multiple similar emission source types.</w:t>
      </w:r>
    </w:p>
    <w:p w:rsidRPr="00F62849" w:rsidR="005B4139" w:rsidP="005B4139" w:rsidRDefault="005B4139" w14:paraId="572BAC3E" w14:textId="77777777">
      <w:pPr>
        <w:widowControl/>
        <w:numPr>
          <w:ilvl w:val="0"/>
          <w:numId w:val="16"/>
        </w:numPr>
        <w:tabs>
          <w:tab w:val="left" w:pos="1296"/>
        </w:tabs>
        <w:spacing w:after="0" w:line="240" w:lineRule="auto"/>
        <w:ind w:hanging="360"/>
        <w:textAlignment w:val="baseline"/>
        <w:rPr>
          <w:rFonts w:ascii="Times New Roman" w:hAnsi="Times New Roman" w:eastAsia="Calibri" w:cs="Times New Roman"/>
          <w:spacing w:val="-4"/>
          <w:sz w:val="24"/>
          <w:szCs w:val="24"/>
        </w:rPr>
      </w:pPr>
      <w:r w:rsidRPr="00F62849">
        <w:rPr>
          <w:rFonts w:ascii="Times New Roman" w:hAnsi="Times New Roman" w:eastAsia="Calibri" w:cs="Times New Roman"/>
          <w:spacing w:val="-4"/>
          <w:sz w:val="24"/>
          <w:szCs w:val="24"/>
        </w:rPr>
        <w:t xml:space="preserve">The 0.85 factor is also used for </w:t>
      </w:r>
      <w:proofErr w:type="spellStart"/>
      <w:r w:rsidRPr="00F62849">
        <w:rPr>
          <w:rFonts w:ascii="Times New Roman" w:hAnsi="Times New Roman" w:eastAsia="Calibri" w:cs="Times New Roman"/>
          <w:spacing w:val="-4"/>
          <w:sz w:val="24"/>
          <w:szCs w:val="24"/>
        </w:rPr>
        <w:t>lbs</w:t>
      </w:r>
      <w:proofErr w:type="spellEnd"/>
      <w:r w:rsidRPr="00F62849">
        <w:rPr>
          <w:rFonts w:ascii="Times New Roman" w:hAnsi="Times New Roman" w:eastAsia="Calibri" w:cs="Times New Roman"/>
          <w:spacing w:val="-4"/>
          <w:sz w:val="24"/>
          <w:szCs w:val="24"/>
        </w:rPr>
        <w:t>/</w:t>
      </w:r>
      <w:proofErr w:type="spellStart"/>
      <w:r w:rsidRPr="00F62849">
        <w:rPr>
          <w:rFonts w:ascii="Times New Roman" w:hAnsi="Times New Roman" w:eastAsia="Calibri" w:cs="Times New Roman"/>
          <w:spacing w:val="-4"/>
          <w:sz w:val="24"/>
          <w:szCs w:val="24"/>
        </w:rPr>
        <w:t>hr</w:t>
      </w:r>
      <w:proofErr w:type="spellEnd"/>
      <w:r w:rsidRPr="00F62849">
        <w:rPr>
          <w:rFonts w:ascii="Times New Roman" w:hAnsi="Times New Roman" w:eastAsia="Calibri" w:cs="Times New Roman"/>
          <w:spacing w:val="-4"/>
          <w:sz w:val="24"/>
          <w:szCs w:val="24"/>
        </w:rPr>
        <w:t xml:space="preserve"> calculations for other “VESSELS”</w:t>
      </w:r>
    </w:p>
    <w:p w:rsidRPr="00F62849" w:rsidR="005B4139" w:rsidP="005B4139" w:rsidRDefault="005B4139" w14:paraId="417B9AF8" w14:textId="77777777">
      <w:pPr>
        <w:widowControl/>
        <w:tabs>
          <w:tab w:val="left" w:pos="1296"/>
        </w:tabs>
        <w:spacing w:after="0" w:line="240" w:lineRule="auto"/>
        <w:ind w:left="1296"/>
        <w:textAlignment w:val="baseline"/>
        <w:rPr>
          <w:rFonts w:ascii="Times New Roman" w:hAnsi="Times New Roman" w:eastAsia="Calibri" w:cs="Times New Roman"/>
          <w:spacing w:val="-4"/>
          <w:sz w:val="24"/>
          <w:szCs w:val="24"/>
        </w:rPr>
      </w:pPr>
    </w:p>
    <w:p w:rsidRPr="00F62849" w:rsidR="005B4139" w:rsidP="005B4139" w:rsidRDefault="005B4139" w14:paraId="3DF4EAC5" w14:textId="77777777">
      <w:pPr>
        <w:tabs>
          <w:tab w:val="left" w:pos="1296"/>
        </w:tabs>
        <w:ind w:left="360"/>
        <w:textAlignment w:val="baseline"/>
        <w:rPr>
          <w:rFonts w:ascii="Times New Roman" w:hAnsi="Times New Roman" w:eastAsia="Calibri" w:cs="Times New Roman"/>
          <w:spacing w:val="-4"/>
          <w:sz w:val="24"/>
          <w:szCs w:val="24"/>
        </w:rPr>
      </w:pPr>
      <w:bookmarkStart w:name="_Hlk44577146" w:id="10"/>
      <w:r w:rsidRPr="00F62849">
        <w:rPr>
          <w:rFonts w:ascii="Times New Roman" w:hAnsi="Times New Roman" w:eastAsia="Calibri" w:cs="Times New Roman"/>
          <w:spacing w:val="-4"/>
          <w:sz w:val="24"/>
          <w:szCs w:val="24"/>
        </w:rPr>
        <w:t xml:space="preserve">BOEM Response:  </w:t>
      </w:r>
      <w:bookmarkStart w:name="_Hlk45871817" w:id="11"/>
      <w:bookmarkStart w:name="_Hlk44587817" w:id="12"/>
      <w:r>
        <w:rPr>
          <w:rFonts w:ascii="Times New Roman" w:hAnsi="Times New Roman" w:eastAsia="Calibri" w:cs="Times New Roman"/>
          <w:spacing w:val="-4"/>
          <w:sz w:val="24"/>
          <w:szCs w:val="24"/>
        </w:rPr>
        <w:t xml:space="preserve">Based on the comment, BOEM has removed the 0.85 adjustment factor for the source categories mentioned in this comment.  As reflected in the draft form, </w:t>
      </w:r>
      <w:r w:rsidRPr="00F62849">
        <w:rPr>
          <w:rFonts w:ascii="Times New Roman" w:hAnsi="Times New Roman" w:eastAsia="Calibri" w:cs="Times New Roman"/>
          <w:spacing w:val="-4"/>
          <w:sz w:val="24"/>
          <w:szCs w:val="24"/>
        </w:rPr>
        <w:t>BOEM ha</w:t>
      </w:r>
      <w:r>
        <w:rPr>
          <w:rFonts w:ascii="Times New Roman" w:hAnsi="Times New Roman" w:eastAsia="Calibri" w:cs="Times New Roman"/>
          <w:spacing w:val="-4"/>
          <w:sz w:val="24"/>
          <w:szCs w:val="24"/>
        </w:rPr>
        <w:t>d</w:t>
      </w:r>
      <w:r w:rsidRPr="00F62849">
        <w:rPr>
          <w:rFonts w:ascii="Times New Roman" w:hAnsi="Times New Roman" w:eastAsia="Calibri" w:cs="Times New Roman"/>
          <w:spacing w:val="-4"/>
          <w:sz w:val="24"/>
          <w:szCs w:val="24"/>
        </w:rPr>
        <w:t xml:space="preserve"> </w:t>
      </w:r>
      <w:r>
        <w:rPr>
          <w:rFonts w:ascii="Times New Roman" w:hAnsi="Times New Roman" w:eastAsia="Calibri" w:cs="Times New Roman"/>
          <w:spacing w:val="-4"/>
          <w:sz w:val="24"/>
          <w:szCs w:val="24"/>
        </w:rPr>
        <w:t>believed</w:t>
      </w:r>
      <w:r w:rsidRPr="00F62849">
        <w:rPr>
          <w:rFonts w:ascii="Times New Roman" w:hAnsi="Times New Roman" w:eastAsia="Calibri" w:cs="Times New Roman"/>
          <w:spacing w:val="-4"/>
          <w:sz w:val="24"/>
          <w:szCs w:val="24"/>
        </w:rPr>
        <w:t xml:space="preserve"> that the 0.85 adjustment factors </w:t>
      </w:r>
      <w:r>
        <w:rPr>
          <w:rFonts w:ascii="Times New Roman" w:hAnsi="Times New Roman" w:eastAsia="Calibri" w:cs="Times New Roman"/>
          <w:spacing w:val="-4"/>
          <w:sz w:val="24"/>
          <w:szCs w:val="24"/>
        </w:rPr>
        <w:t>should be</w:t>
      </w:r>
      <w:r w:rsidRPr="00F62849">
        <w:rPr>
          <w:rFonts w:ascii="Times New Roman" w:hAnsi="Times New Roman" w:eastAsia="Calibri" w:cs="Times New Roman"/>
          <w:spacing w:val="-4"/>
          <w:sz w:val="24"/>
          <w:szCs w:val="24"/>
        </w:rPr>
        <w:t xml:space="preserve"> applied to reflect engine operating load.  </w:t>
      </w:r>
      <w:r>
        <w:rPr>
          <w:rFonts w:ascii="Times New Roman" w:hAnsi="Times New Roman" w:eastAsia="Calibri" w:cs="Times New Roman"/>
          <w:spacing w:val="-4"/>
          <w:sz w:val="24"/>
          <w:szCs w:val="24"/>
        </w:rPr>
        <w:t>However, in the final spreadsheet, BOEM is removing this embedded adjustment factor to reflect the fact that typically engine loads should be assumed to be 100%.  Operators can choose to use a</w:t>
      </w:r>
      <w:r w:rsidRPr="00F62849">
        <w:rPr>
          <w:rFonts w:ascii="Times New Roman" w:hAnsi="Times New Roman" w:eastAsia="Calibri" w:cs="Times New Roman"/>
          <w:spacing w:val="-4"/>
          <w:sz w:val="24"/>
          <w:szCs w:val="24"/>
        </w:rPr>
        <w:t xml:space="preserve"> different operating load </w:t>
      </w:r>
      <w:r>
        <w:rPr>
          <w:rFonts w:ascii="Times New Roman" w:hAnsi="Times New Roman" w:eastAsia="Calibri" w:cs="Times New Roman"/>
          <w:spacing w:val="-4"/>
          <w:sz w:val="24"/>
          <w:szCs w:val="24"/>
        </w:rPr>
        <w:t>as long as</w:t>
      </w:r>
      <w:r w:rsidRPr="00F62849">
        <w:rPr>
          <w:rFonts w:ascii="Times New Roman" w:hAnsi="Times New Roman" w:eastAsia="Calibri" w:cs="Times New Roman"/>
          <w:spacing w:val="-4"/>
          <w:sz w:val="24"/>
          <w:szCs w:val="24"/>
        </w:rPr>
        <w:t xml:space="preserve"> documentation is provided for the maximum fuel usage rate (column E) and the actual fuel usage (Column F), as noted in the </w:t>
      </w:r>
      <w:r>
        <w:rPr>
          <w:rFonts w:ascii="Times New Roman" w:hAnsi="Times New Roman" w:eastAsia="Calibri" w:cs="Times New Roman"/>
          <w:spacing w:val="-4"/>
          <w:sz w:val="24"/>
          <w:szCs w:val="24"/>
        </w:rPr>
        <w:t xml:space="preserve">instructions for the </w:t>
      </w:r>
      <w:r w:rsidRPr="00F62849">
        <w:rPr>
          <w:rFonts w:ascii="Times New Roman" w:hAnsi="Times New Roman" w:eastAsia="Calibri" w:cs="Times New Roman"/>
          <w:spacing w:val="-4"/>
          <w:sz w:val="24"/>
          <w:szCs w:val="24"/>
        </w:rPr>
        <w:t xml:space="preserve">EP </w:t>
      </w:r>
      <w:r>
        <w:rPr>
          <w:rFonts w:ascii="Times New Roman" w:hAnsi="Times New Roman" w:eastAsia="Calibri" w:cs="Times New Roman"/>
          <w:spacing w:val="-4"/>
          <w:sz w:val="24"/>
          <w:szCs w:val="24"/>
        </w:rPr>
        <w:t>form</w:t>
      </w:r>
      <w:r w:rsidRPr="00F62849">
        <w:rPr>
          <w:rFonts w:ascii="Times New Roman" w:hAnsi="Times New Roman" w:eastAsia="Calibri" w:cs="Times New Roman"/>
          <w:spacing w:val="-4"/>
          <w:sz w:val="24"/>
          <w:szCs w:val="24"/>
        </w:rPr>
        <w:t>.</w:t>
      </w:r>
      <w:bookmarkEnd w:id="11"/>
      <w:r w:rsidRPr="00F62849">
        <w:rPr>
          <w:rFonts w:ascii="Times New Roman" w:hAnsi="Times New Roman" w:eastAsia="Calibri" w:cs="Times New Roman"/>
          <w:spacing w:val="-4"/>
          <w:sz w:val="24"/>
          <w:szCs w:val="24"/>
        </w:rPr>
        <w:t xml:space="preserve">  </w:t>
      </w:r>
    </w:p>
    <w:bookmarkEnd w:id="10"/>
    <w:bookmarkEnd w:id="12"/>
    <w:p w:rsidRPr="00F62849" w:rsidR="005B4139" w:rsidP="005B4139" w:rsidRDefault="005B4139" w14:paraId="77DF56C3" w14:textId="77777777">
      <w:pPr>
        <w:ind w:left="360" w:right="216"/>
        <w:textAlignment w:val="baseline"/>
        <w:rPr>
          <w:rFonts w:ascii="Times New Roman" w:hAnsi="Times New Roman" w:eastAsia="Calibri" w:cs="Times New Roman"/>
          <w:spacing w:val="-4"/>
          <w:sz w:val="24"/>
          <w:szCs w:val="24"/>
        </w:rPr>
      </w:pPr>
      <w:r w:rsidRPr="00F62849">
        <w:rPr>
          <w:rFonts w:ascii="Times New Roman" w:hAnsi="Times New Roman" w:eastAsia="Calibri" w:cs="Times New Roman"/>
          <w:spacing w:val="-4"/>
          <w:sz w:val="24"/>
          <w:szCs w:val="24"/>
        </w:rPr>
        <w:t xml:space="preserve">11. </w:t>
      </w:r>
      <w:r w:rsidRPr="00F62849">
        <w:rPr>
          <w:rFonts w:ascii="Times New Roman" w:hAnsi="Times New Roman" w:eastAsia="Calibri" w:cs="Times New Roman"/>
          <w:spacing w:val="-4"/>
          <w:sz w:val="24"/>
          <w:szCs w:val="24"/>
        </w:rPr>
        <w:tab/>
        <w:t xml:space="preserve">EMISSIONS1 Tab - Liquid Flaring (cell B16). Specify the units for the RATING units data input for Cell D16 is barrels per day of liquid flared - based on the maximum </w:t>
      </w:r>
      <w:proofErr w:type="spellStart"/>
      <w:r w:rsidRPr="00F62849">
        <w:rPr>
          <w:rFonts w:ascii="Times New Roman" w:hAnsi="Times New Roman" w:eastAsia="Calibri" w:cs="Times New Roman"/>
          <w:spacing w:val="-4"/>
          <w:sz w:val="24"/>
          <w:szCs w:val="24"/>
        </w:rPr>
        <w:t>lbs</w:t>
      </w:r>
      <w:proofErr w:type="spellEnd"/>
      <w:r w:rsidRPr="00F62849">
        <w:rPr>
          <w:rFonts w:ascii="Times New Roman" w:hAnsi="Times New Roman" w:eastAsia="Calibri" w:cs="Times New Roman"/>
          <w:spacing w:val="-4"/>
          <w:sz w:val="24"/>
          <w:szCs w:val="24"/>
        </w:rPr>
        <w:t>/</w:t>
      </w:r>
      <w:proofErr w:type="spellStart"/>
      <w:r w:rsidRPr="00F62849">
        <w:rPr>
          <w:rFonts w:ascii="Times New Roman" w:hAnsi="Times New Roman" w:eastAsia="Calibri" w:cs="Times New Roman"/>
          <w:spacing w:val="-4"/>
          <w:sz w:val="24"/>
          <w:szCs w:val="24"/>
        </w:rPr>
        <w:t>hr</w:t>
      </w:r>
      <w:proofErr w:type="spellEnd"/>
      <w:r w:rsidRPr="00F62849">
        <w:rPr>
          <w:rFonts w:ascii="Times New Roman" w:hAnsi="Times New Roman" w:eastAsia="Calibri" w:cs="Times New Roman"/>
          <w:spacing w:val="-4"/>
          <w:sz w:val="24"/>
          <w:szCs w:val="24"/>
        </w:rPr>
        <w:t xml:space="preserve"> calculations used in the spreadsheet.</w:t>
      </w:r>
    </w:p>
    <w:p w:rsidRPr="00F62849" w:rsidR="005B4139" w:rsidP="005B4139" w:rsidRDefault="005B4139" w14:paraId="4E1076D1" w14:textId="77777777">
      <w:pPr>
        <w:pStyle w:val="ListParagraph"/>
        <w:numPr>
          <w:ilvl w:val="0"/>
          <w:numId w:val="27"/>
        </w:numPr>
        <w:ind w:right="216"/>
        <w:textAlignment w:val="baseline"/>
        <w:rPr>
          <w:rFonts w:ascii="Times New Roman" w:hAnsi="Times New Roman" w:eastAsia="Calibri" w:cs="Times New Roman"/>
          <w:spacing w:val="-4"/>
          <w:sz w:val="24"/>
          <w:szCs w:val="24"/>
        </w:rPr>
      </w:pPr>
      <w:r w:rsidRPr="00F62849">
        <w:rPr>
          <w:rFonts w:ascii="Times New Roman" w:hAnsi="Times New Roman" w:eastAsia="Calibri" w:cs="Times New Roman"/>
          <w:sz w:val="24"/>
          <w:szCs w:val="24"/>
        </w:rPr>
        <w:t xml:space="preserve">The unit listed for the FACTORS page for Liquid Flaring is </w:t>
      </w:r>
      <w:proofErr w:type="spellStart"/>
      <w:r w:rsidRPr="00F62849">
        <w:rPr>
          <w:rFonts w:ascii="Times New Roman" w:hAnsi="Times New Roman" w:eastAsia="Calibri" w:cs="Times New Roman"/>
          <w:sz w:val="24"/>
          <w:szCs w:val="24"/>
        </w:rPr>
        <w:t>lbs</w:t>
      </w:r>
      <w:proofErr w:type="spellEnd"/>
      <w:r w:rsidRPr="00F62849">
        <w:rPr>
          <w:rFonts w:ascii="Times New Roman" w:hAnsi="Times New Roman" w:eastAsia="Calibri" w:cs="Times New Roman"/>
          <w:sz w:val="24"/>
          <w:szCs w:val="24"/>
        </w:rPr>
        <w:t xml:space="preserve">/barrel. This would correspond to </w:t>
      </w:r>
      <w:proofErr w:type="spellStart"/>
      <w:r w:rsidRPr="00F62849">
        <w:rPr>
          <w:rFonts w:ascii="Times New Roman" w:hAnsi="Times New Roman" w:eastAsia="Calibri" w:cs="Times New Roman"/>
          <w:sz w:val="24"/>
          <w:szCs w:val="24"/>
        </w:rPr>
        <w:t>lbs</w:t>
      </w:r>
      <w:proofErr w:type="spellEnd"/>
      <w:r w:rsidRPr="00F62849">
        <w:rPr>
          <w:rFonts w:ascii="Times New Roman" w:hAnsi="Times New Roman" w:eastAsia="Calibri" w:cs="Times New Roman"/>
          <w:sz w:val="24"/>
          <w:szCs w:val="24"/>
        </w:rPr>
        <w:t xml:space="preserve"> of pollutant per barrel of liquids (crude oil, condensate). It appears that the factors used in the FACTORS page is </w:t>
      </w:r>
      <w:r>
        <w:rPr>
          <w:rFonts w:ascii="Times New Roman" w:hAnsi="Times New Roman" w:eastAsia="Calibri" w:cs="Times New Roman"/>
          <w:sz w:val="24"/>
          <w:szCs w:val="24"/>
        </w:rPr>
        <w:t>[</w:t>
      </w:r>
      <w:r w:rsidRPr="003274F7">
        <w:rPr>
          <w:rFonts w:ascii="Times New Roman" w:hAnsi="Times New Roman" w:eastAsia="Calibri" w:cs="Times New Roman"/>
          <w:i/>
          <w:iCs/>
          <w:sz w:val="24"/>
          <w:szCs w:val="24"/>
        </w:rPr>
        <w:t>sic</w:t>
      </w:r>
      <w:r>
        <w:rPr>
          <w:rFonts w:ascii="Times New Roman" w:hAnsi="Times New Roman" w:eastAsia="Calibri" w:cs="Times New Roman"/>
          <w:sz w:val="24"/>
          <w:szCs w:val="24"/>
        </w:rPr>
        <w:t xml:space="preserve">] </w:t>
      </w:r>
      <w:r w:rsidRPr="00F62849">
        <w:rPr>
          <w:rFonts w:ascii="Times New Roman" w:hAnsi="Times New Roman" w:eastAsia="Calibri" w:cs="Times New Roman"/>
          <w:sz w:val="24"/>
          <w:szCs w:val="24"/>
        </w:rPr>
        <w:t xml:space="preserve">for Distillate oil fired fuel are used adjusting the emission factor to </w:t>
      </w:r>
      <w:proofErr w:type="spellStart"/>
      <w:r w:rsidRPr="00F62849">
        <w:rPr>
          <w:rFonts w:ascii="Times New Roman" w:hAnsi="Times New Roman" w:eastAsia="Calibri" w:cs="Times New Roman"/>
          <w:sz w:val="24"/>
          <w:szCs w:val="24"/>
        </w:rPr>
        <w:t>lbs</w:t>
      </w:r>
      <w:proofErr w:type="spellEnd"/>
      <w:r w:rsidRPr="00F62849">
        <w:rPr>
          <w:rFonts w:ascii="Times New Roman" w:hAnsi="Times New Roman" w:eastAsia="Calibri" w:cs="Times New Roman"/>
          <w:sz w:val="24"/>
          <w:szCs w:val="24"/>
        </w:rPr>
        <w:t>/</w:t>
      </w:r>
      <w:proofErr w:type="spellStart"/>
      <w:r w:rsidRPr="00F62849">
        <w:rPr>
          <w:rFonts w:ascii="Times New Roman" w:hAnsi="Times New Roman" w:eastAsia="Calibri" w:cs="Times New Roman"/>
          <w:sz w:val="24"/>
          <w:szCs w:val="24"/>
        </w:rPr>
        <w:t>bbl</w:t>
      </w:r>
      <w:proofErr w:type="spellEnd"/>
      <w:r w:rsidRPr="00F62849">
        <w:rPr>
          <w:rFonts w:ascii="Times New Roman" w:hAnsi="Times New Roman" w:eastAsia="Calibri" w:cs="Times New Roman"/>
          <w:sz w:val="24"/>
          <w:szCs w:val="24"/>
        </w:rPr>
        <w:t xml:space="preserve"> of oil burned.</w:t>
      </w:r>
    </w:p>
    <w:p w:rsidRPr="00F62849" w:rsidR="005B4139" w:rsidP="005B4139" w:rsidRDefault="005B4139" w14:paraId="68AB130E" w14:textId="77777777">
      <w:pPr>
        <w:ind w:left="360" w:right="216"/>
        <w:textAlignment w:val="baseline"/>
        <w:rPr>
          <w:rFonts w:ascii="Times New Roman" w:hAnsi="Times New Roman" w:eastAsia="Calibri" w:cs="Times New Roman"/>
          <w:spacing w:val="-4"/>
          <w:sz w:val="24"/>
          <w:szCs w:val="24"/>
        </w:rPr>
      </w:pPr>
      <w:r w:rsidRPr="00F62849">
        <w:rPr>
          <w:rFonts w:ascii="Times New Roman" w:hAnsi="Times New Roman" w:eastAsia="Calibri" w:cs="Times New Roman"/>
          <w:sz w:val="24"/>
          <w:szCs w:val="24"/>
        </w:rPr>
        <w:t xml:space="preserve">BOEM Response: </w:t>
      </w:r>
      <w:r>
        <w:rPr>
          <w:rFonts w:ascii="Times New Roman" w:hAnsi="Times New Roman" w:eastAsia="Calibri" w:cs="Times New Roman"/>
          <w:sz w:val="24"/>
          <w:szCs w:val="24"/>
        </w:rPr>
        <w:t>The barrels per day (BPD) unit has been added in the EP Spreadsheet in the D15 field.  The explanation and location of the units for liquid flaring</w:t>
      </w:r>
      <w:r w:rsidRPr="00F62849">
        <w:rPr>
          <w:rFonts w:ascii="Times New Roman" w:hAnsi="Times New Roman" w:eastAsia="Calibri" w:cs="Times New Roman"/>
          <w:sz w:val="24"/>
          <w:szCs w:val="24"/>
        </w:rPr>
        <w:t xml:space="preserve"> will be added to the </w:t>
      </w:r>
      <w:r>
        <w:rPr>
          <w:rFonts w:ascii="Times New Roman" w:hAnsi="Times New Roman" w:eastAsia="Calibri" w:cs="Times New Roman"/>
          <w:sz w:val="24"/>
          <w:szCs w:val="24"/>
        </w:rPr>
        <w:t xml:space="preserve">EP </w:t>
      </w:r>
      <w:r w:rsidRPr="00F62849">
        <w:rPr>
          <w:rFonts w:ascii="Times New Roman" w:hAnsi="Times New Roman" w:eastAsia="Calibri" w:cs="Times New Roman"/>
          <w:sz w:val="24"/>
          <w:szCs w:val="24"/>
        </w:rPr>
        <w:t>instructions for clarity for the operators.</w:t>
      </w:r>
    </w:p>
    <w:p w:rsidRPr="00F62849" w:rsidR="005B4139" w:rsidP="005B4139" w:rsidRDefault="005B4139" w14:paraId="0606E5D8" w14:textId="77777777">
      <w:pPr>
        <w:ind w:left="360"/>
        <w:textAlignment w:val="baseline"/>
        <w:rPr>
          <w:rFonts w:ascii="Times New Roman" w:hAnsi="Times New Roman" w:eastAsia="Calibri" w:cs="Times New Roman"/>
          <w:spacing w:val="-3"/>
          <w:sz w:val="24"/>
          <w:szCs w:val="24"/>
        </w:rPr>
      </w:pPr>
      <w:r w:rsidRPr="00F62849">
        <w:rPr>
          <w:rFonts w:ascii="Times New Roman" w:hAnsi="Times New Roman" w:eastAsia="Calibri" w:cs="Times New Roman"/>
          <w:spacing w:val="-3"/>
          <w:sz w:val="24"/>
          <w:szCs w:val="24"/>
        </w:rPr>
        <w:lastRenderedPageBreak/>
        <w:t xml:space="preserve">12. </w:t>
      </w:r>
      <w:r w:rsidRPr="00F62849">
        <w:rPr>
          <w:rFonts w:ascii="Times New Roman" w:hAnsi="Times New Roman" w:eastAsia="Calibri" w:cs="Times New Roman"/>
          <w:spacing w:val="-3"/>
          <w:sz w:val="24"/>
          <w:szCs w:val="24"/>
        </w:rPr>
        <w:tab/>
        <w:t>SUMMARY Tab: The default Print Range for this tab does not include NH3.</w:t>
      </w:r>
    </w:p>
    <w:p w:rsidRPr="00F62849" w:rsidR="005B4139" w:rsidP="005B4139" w:rsidRDefault="005B4139" w14:paraId="51AC3635" w14:textId="77777777">
      <w:pPr>
        <w:ind w:left="360"/>
        <w:rPr>
          <w:rFonts w:ascii="Times New Roman" w:hAnsi="Times New Roman" w:cs="Times New Roman"/>
          <w:sz w:val="24"/>
          <w:szCs w:val="24"/>
        </w:rPr>
      </w:pPr>
      <w:bookmarkStart w:name="_Hlk44577299" w:id="13"/>
      <w:r w:rsidRPr="00F62849">
        <w:rPr>
          <w:rFonts w:ascii="Times New Roman" w:hAnsi="Times New Roman" w:cs="Times New Roman"/>
          <w:sz w:val="24"/>
          <w:szCs w:val="24"/>
        </w:rPr>
        <w:t>BOEM Response:  BOEM has corrected the default Print Range.</w:t>
      </w:r>
      <w:bookmarkEnd w:id="13"/>
    </w:p>
    <w:p w:rsidRPr="00F62849" w:rsidR="005B4139" w:rsidP="005B4139" w:rsidRDefault="005B4139" w14:paraId="56A86592" w14:textId="77777777">
      <w:pPr>
        <w:ind w:left="144"/>
        <w:textAlignment w:val="baseline"/>
        <w:rPr>
          <w:rFonts w:ascii="Times New Roman" w:hAnsi="Times New Roman" w:eastAsia="Calibri" w:cs="Times New Roman"/>
          <w:bCs/>
          <w:i/>
          <w:iCs/>
          <w:sz w:val="24"/>
          <w:szCs w:val="24"/>
        </w:rPr>
      </w:pPr>
      <w:r w:rsidRPr="00F62849">
        <w:rPr>
          <w:rFonts w:ascii="Times New Roman" w:hAnsi="Times New Roman" w:eastAsia="Calibri" w:cs="Times New Roman"/>
          <w:bCs/>
          <w:i/>
          <w:iCs/>
          <w:sz w:val="24"/>
          <w:szCs w:val="24"/>
        </w:rPr>
        <w:t>Comments for Form BOEM-0139 Spreadsheets for DOCD and DPPs.</w:t>
      </w:r>
    </w:p>
    <w:p w:rsidRPr="00F62849" w:rsidR="005B4139" w:rsidP="005B4139" w:rsidRDefault="005B4139" w14:paraId="154D7579" w14:textId="77777777">
      <w:pPr>
        <w:ind w:left="360"/>
        <w:textAlignment w:val="baseline"/>
        <w:rPr>
          <w:rFonts w:ascii="Times New Roman" w:hAnsi="Times New Roman" w:eastAsia="Calibri" w:cs="Times New Roman"/>
          <w:spacing w:val="-2"/>
          <w:sz w:val="24"/>
          <w:szCs w:val="24"/>
        </w:rPr>
      </w:pPr>
      <w:r w:rsidRPr="00F62849">
        <w:rPr>
          <w:rFonts w:ascii="Times New Roman" w:hAnsi="Times New Roman" w:eastAsia="Calibri" w:cs="Times New Roman"/>
          <w:spacing w:val="-2"/>
          <w:sz w:val="24"/>
          <w:szCs w:val="24"/>
        </w:rPr>
        <w:t xml:space="preserve">1. </w:t>
      </w:r>
      <w:r w:rsidRPr="00F62849">
        <w:rPr>
          <w:rFonts w:ascii="Times New Roman" w:hAnsi="Times New Roman" w:eastAsia="Calibri" w:cs="Times New Roman"/>
          <w:spacing w:val="-2"/>
          <w:sz w:val="24"/>
          <w:szCs w:val="24"/>
        </w:rPr>
        <w:tab/>
        <w:t>Comments for Form BOEM-0139 are the same as those made above for Form BOEM-0138.</w:t>
      </w:r>
    </w:p>
    <w:p w:rsidRPr="00F62849" w:rsidR="005B4139" w:rsidP="005B4139" w:rsidRDefault="005B4139" w14:paraId="57A057DB" w14:textId="77777777">
      <w:pPr>
        <w:ind w:left="360"/>
        <w:textAlignment w:val="baseline"/>
        <w:rPr>
          <w:rFonts w:ascii="Times New Roman" w:hAnsi="Times New Roman" w:eastAsia="Calibri" w:cs="Times New Roman"/>
          <w:sz w:val="24"/>
          <w:szCs w:val="24"/>
        </w:rPr>
      </w:pPr>
      <w:r w:rsidRPr="00F62849">
        <w:rPr>
          <w:rFonts w:ascii="Times New Roman" w:hAnsi="Times New Roman" w:eastAsia="Calibri" w:cs="Times New Roman"/>
          <w:sz w:val="24"/>
          <w:szCs w:val="24"/>
        </w:rPr>
        <w:t xml:space="preserve">2. </w:t>
      </w:r>
      <w:r w:rsidRPr="00F62849">
        <w:rPr>
          <w:rFonts w:ascii="Times New Roman" w:hAnsi="Times New Roman" w:eastAsia="Calibri" w:cs="Times New Roman"/>
          <w:sz w:val="24"/>
          <w:szCs w:val="24"/>
        </w:rPr>
        <w:tab/>
        <w:t>EMISSIONS Tab. Cold Vent.</w:t>
      </w:r>
    </w:p>
    <w:p w:rsidRPr="00F62849" w:rsidR="005B4139" w:rsidP="005B4139" w:rsidRDefault="005B4139" w14:paraId="3D574F8A" w14:textId="77777777">
      <w:pPr>
        <w:widowControl/>
        <w:numPr>
          <w:ilvl w:val="0"/>
          <w:numId w:val="17"/>
        </w:numPr>
        <w:tabs>
          <w:tab w:val="clear" w:pos="360"/>
          <w:tab w:val="left" w:pos="1296"/>
        </w:tabs>
        <w:spacing w:after="0" w:line="240" w:lineRule="auto"/>
        <w:ind w:right="360" w:hanging="360"/>
        <w:textAlignment w:val="baseline"/>
        <w:rPr>
          <w:rFonts w:ascii="Times New Roman" w:hAnsi="Times New Roman" w:eastAsia="Calibri" w:cs="Times New Roman"/>
          <w:sz w:val="24"/>
          <w:szCs w:val="24"/>
        </w:rPr>
      </w:pPr>
      <w:r w:rsidRPr="00F62849">
        <w:rPr>
          <w:rFonts w:ascii="Times New Roman" w:hAnsi="Times New Roman" w:eastAsia="Calibri" w:cs="Times New Roman"/>
          <w:sz w:val="24"/>
          <w:szCs w:val="24"/>
        </w:rPr>
        <w:t>Define what is a Cold Vent that would be included in the calculations. This should be included in the instructions.</w:t>
      </w:r>
    </w:p>
    <w:p w:rsidRPr="00F62849" w:rsidR="005B4139" w:rsidP="005B4139" w:rsidRDefault="005B4139" w14:paraId="599338F3" w14:textId="77777777">
      <w:pPr>
        <w:widowControl/>
        <w:numPr>
          <w:ilvl w:val="0"/>
          <w:numId w:val="17"/>
        </w:numPr>
        <w:tabs>
          <w:tab w:val="clear" w:pos="360"/>
          <w:tab w:val="left" w:pos="1296"/>
        </w:tabs>
        <w:spacing w:after="0" w:line="240" w:lineRule="auto"/>
        <w:ind w:hanging="360"/>
        <w:textAlignment w:val="baseline"/>
        <w:rPr>
          <w:rFonts w:ascii="Times New Roman" w:hAnsi="Times New Roman" w:eastAsia="Calibri" w:cs="Times New Roman"/>
          <w:spacing w:val="-4"/>
          <w:sz w:val="24"/>
          <w:szCs w:val="24"/>
        </w:rPr>
      </w:pPr>
      <w:r w:rsidRPr="00F62849">
        <w:rPr>
          <w:rFonts w:ascii="Times New Roman" w:hAnsi="Times New Roman" w:eastAsia="Calibri" w:cs="Times New Roman"/>
          <w:spacing w:val="-4"/>
          <w:sz w:val="24"/>
          <w:szCs w:val="24"/>
        </w:rPr>
        <w:t>Can BOEM give the basis for an emission factor of tons VOC/</w:t>
      </w:r>
      <w:proofErr w:type="spellStart"/>
      <w:r w:rsidRPr="00F62849">
        <w:rPr>
          <w:rFonts w:ascii="Times New Roman" w:hAnsi="Times New Roman" w:eastAsia="Calibri" w:cs="Times New Roman"/>
          <w:spacing w:val="-4"/>
          <w:sz w:val="24"/>
          <w:szCs w:val="24"/>
        </w:rPr>
        <w:t>yr</w:t>
      </w:r>
      <w:proofErr w:type="spellEnd"/>
      <w:r w:rsidRPr="00F62849">
        <w:rPr>
          <w:rFonts w:ascii="Times New Roman" w:hAnsi="Times New Roman" w:eastAsia="Calibri" w:cs="Times New Roman"/>
          <w:spacing w:val="-4"/>
          <w:sz w:val="24"/>
          <w:szCs w:val="24"/>
        </w:rPr>
        <w:t>-vent other than GOADS data?</w:t>
      </w:r>
    </w:p>
    <w:p w:rsidRPr="00F62849" w:rsidR="005B4139" w:rsidP="005B4139" w:rsidRDefault="005B4139" w14:paraId="7FFC979E" w14:textId="77777777">
      <w:pPr>
        <w:widowControl/>
        <w:numPr>
          <w:ilvl w:val="0"/>
          <w:numId w:val="17"/>
        </w:numPr>
        <w:tabs>
          <w:tab w:val="clear" w:pos="360"/>
          <w:tab w:val="left" w:pos="1296"/>
        </w:tabs>
        <w:spacing w:after="0" w:line="240" w:lineRule="auto"/>
        <w:ind w:right="144" w:hanging="360"/>
        <w:textAlignment w:val="baseline"/>
        <w:rPr>
          <w:rFonts w:ascii="Times New Roman" w:hAnsi="Times New Roman" w:eastAsia="Calibri" w:cs="Times New Roman"/>
          <w:sz w:val="24"/>
          <w:szCs w:val="24"/>
        </w:rPr>
      </w:pPr>
      <w:r w:rsidRPr="00F62849">
        <w:rPr>
          <w:rFonts w:ascii="Times New Roman" w:hAnsi="Times New Roman" w:eastAsia="Calibri" w:cs="Times New Roman"/>
          <w:sz w:val="24"/>
          <w:szCs w:val="24"/>
        </w:rPr>
        <w:t>Operators are limited to 50 MSCF/day of venting flash gas. Operators may have an estimate of the volume of natural gas vented by a “Cold Vent.”</w:t>
      </w:r>
    </w:p>
    <w:p w:rsidRPr="00F62849" w:rsidR="005B4139" w:rsidP="005B4139" w:rsidRDefault="005B4139" w14:paraId="18518455" w14:textId="77777777">
      <w:pPr>
        <w:widowControl/>
        <w:numPr>
          <w:ilvl w:val="0"/>
          <w:numId w:val="17"/>
        </w:numPr>
        <w:tabs>
          <w:tab w:val="clear" w:pos="360"/>
          <w:tab w:val="left" w:pos="1296"/>
        </w:tabs>
        <w:spacing w:after="0" w:line="240" w:lineRule="auto"/>
        <w:ind w:right="360" w:hanging="360"/>
        <w:textAlignment w:val="baseline"/>
        <w:rPr>
          <w:rFonts w:ascii="Times New Roman" w:hAnsi="Times New Roman" w:eastAsia="Calibri" w:cs="Times New Roman"/>
          <w:sz w:val="24"/>
          <w:szCs w:val="24"/>
        </w:rPr>
      </w:pPr>
      <w:r w:rsidRPr="00F62849">
        <w:rPr>
          <w:rFonts w:ascii="Times New Roman" w:hAnsi="Times New Roman" w:eastAsia="Calibri" w:cs="Times New Roman"/>
          <w:sz w:val="24"/>
          <w:szCs w:val="24"/>
        </w:rPr>
        <w:t>Could the calculation be based on the volume of natural gas vented and the chemical makeup – like data used for flares?</w:t>
      </w:r>
    </w:p>
    <w:p w:rsidRPr="00F62849" w:rsidR="005B4139" w:rsidP="005B4139" w:rsidRDefault="005B4139" w14:paraId="0A4E7524" w14:textId="77777777">
      <w:pPr>
        <w:tabs>
          <w:tab w:val="left" w:pos="360"/>
          <w:tab w:val="left" w:pos="1296"/>
        </w:tabs>
        <w:spacing w:after="0" w:line="240" w:lineRule="auto"/>
        <w:ind w:right="360"/>
        <w:textAlignment w:val="baseline"/>
        <w:rPr>
          <w:rFonts w:ascii="Times New Roman" w:hAnsi="Times New Roman" w:eastAsia="Calibri" w:cs="Times New Roman"/>
          <w:b/>
          <w:bCs/>
          <w:sz w:val="24"/>
          <w:szCs w:val="24"/>
        </w:rPr>
      </w:pPr>
    </w:p>
    <w:p w:rsidRPr="007E4C46" w:rsidR="005B4139" w:rsidP="005B4139" w:rsidRDefault="005B4139" w14:paraId="7EF0ABC2" w14:textId="77777777">
      <w:pPr>
        <w:tabs>
          <w:tab w:val="left" w:pos="360"/>
          <w:tab w:val="left" w:pos="1296"/>
        </w:tabs>
        <w:ind w:left="360" w:right="360"/>
        <w:textAlignment w:val="baseline"/>
        <w:rPr>
          <w:rFonts w:ascii="Times New Roman" w:hAnsi="Times New Roman" w:eastAsia="Calibri" w:cs="Times New Roman"/>
          <w:sz w:val="24"/>
          <w:szCs w:val="24"/>
        </w:rPr>
      </w:pPr>
      <w:r w:rsidRPr="00F62849">
        <w:rPr>
          <w:rFonts w:ascii="Times New Roman" w:hAnsi="Times New Roman" w:eastAsia="Calibri" w:cs="Times New Roman"/>
          <w:sz w:val="24"/>
          <w:szCs w:val="24"/>
        </w:rPr>
        <w:t xml:space="preserve">BOEM Response: </w:t>
      </w:r>
      <w:r w:rsidRPr="007E4C46">
        <w:rPr>
          <w:rFonts w:ascii="Times New Roman" w:hAnsi="Times New Roman" w:eastAsia="Calibri" w:cs="Times New Roman"/>
          <w:sz w:val="24"/>
          <w:szCs w:val="24"/>
        </w:rPr>
        <w:t xml:space="preserve">A Cold Vent is the discharge of natural gas to the atmosphere without combustion. Vents receive exhaust streams from miscellaneous sources, as well as manifold exhaust streams from other equipment on the same platform, such as amine units, glycol dehydrators, loading operations, and storage tanks.  Average emission values were estimated from the BOEM 2014 </w:t>
      </w:r>
      <w:proofErr w:type="spellStart"/>
      <w:r w:rsidRPr="007E4C46">
        <w:rPr>
          <w:rFonts w:ascii="Times New Roman" w:hAnsi="Times New Roman" w:eastAsia="Calibri" w:cs="Times New Roman"/>
          <w:sz w:val="24"/>
          <w:szCs w:val="24"/>
        </w:rPr>
        <w:t>Gulfwide</w:t>
      </w:r>
      <w:proofErr w:type="spellEnd"/>
      <w:r w:rsidRPr="007E4C46">
        <w:rPr>
          <w:rFonts w:ascii="Times New Roman" w:hAnsi="Times New Roman" w:eastAsia="Calibri" w:cs="Times New Roman"/>
          <w:sz w:val="24"/>
          <w:szCs w:val="24"/>
        </w:rPr>
        <w:t xml:space="preserve"> Emission Inventory Study as indicated in the Ref. column. The emission factor is the upper bound of the 95% confidence interval of emissions per vent in the BOEM 2014 </w:t>
      </w:r>
      <w:proofErr w:type="spellStart"/>
      <w:r w:rsidRPr="007E4C46">
        <w:rPr>
          <w:rFonts w:ascii="Times New Roman" w:hAnsi="Times New Roman" w:eastAsia="Calibri" w:cs="Times New Roman"/>
          <w:sz w:val="24"/>
          <w:szCs w:val="24"/>
        </w:rPr>
        <w:t>Gulfwide</w:t>
      </w:r>
      <w:proofErr w:type="spellEnd"/>
      <w:r w:rsidRPr="007E4C46">
        <w:rPr>
          <w:rFonts w:ascii="Times New Roman" w:hAnsi="Times New Roman" w:eastAsia="Calibri" w:cs="Times New Roman"/>
          <w:sz w:val="24"/>
          <w:szCs w:val="24"/>
        </w:rPr>
        <w:t xml:space="preserve"> Emission Inventory Study. Total emissions from cold vents are estimated according to the counts provided on the EMISSIONS sheet.  If</w:t>
      </w:r>
      <w:r>
        <w:rPr>
          <w:rFonts w:ascii="Times New Roman" w:hAnsi="Times New Roman" w:eastAsia="Calibri" w:cs="Times New Roman"/>
          <w:sz w:val="24"/>
          <w:szCs w:val="24"/>
        </w:rPr>
        <w:t xml:space="preserve"> the operator</w:t>
      </w:r>
      <w:r w:rsidRPr="007E4C46">
        <w:rPr>
          <w:rFonts w:ascii="Times New Roman" w:hAnsi="Times New Roman" w:eastAsia="Calibri" w:cs="Times New Roman"/>
          <w:sz w:val="24"/>
          <w:szCs w:val="24"/>
        </w:rPr>
        <w:t xml:space="preserve"> know</w:t>
      </w:r>
      <w:r>
        <w:rPr>
          <w:rFonts w:ascii="Times New Roman" w:hAnsi="Times New Roman" w:eastAsia="Calibri" w:cs="Times New Roman"/>
          <w:sz w:val="24"/>
          <w:szCs w:val="24"/>
        </w:rPr>
        <w:t>s</w:t>
      </w:r>
      <w:r w:rsidRPr="007E4C46">
        <w:rPr>
          <w:rFonts w:ascii="Times New Roman" w:hAnsi="Times New Roman" w:eastAsia="Calibri" w:cs="Times New Roman"/>
          <w:sz w:val="24"/>
          <w:szCs w:val="24"/>
        </w:rPr>
        <w:t xml:space="preserve"> the volume of gas vented (e.g., 50 MSCF/day), the concentration of VOC in the gas vented (e.g., 12,700 </w:t>
      </w:r>
      <w:proofErr w:type="spellStart"/>
      <w:r w:rsidRPr="007E4C46">
        <w:rPr>
          <w:rFonts w:ascii="Times New Roman" w:hAnsi="Times New Roman" w:eastAsia="Calibri" w:cs="Times New Roman"/>
          <w:sz w:val="24"/>
          <w:szCs w:val="24"/>
        </w:rPr>
        <w:t>ppmv</w:t>
      </w:r>
      <w:proofErr w:type="spellEnd"/>
      <w:r w:rsidRPr="007E4C46">
        <w:rPr>
          <w:rFonts w:ascii="Times New Roman" w:hAnsi="Times New Roman" w:eastAsia="Calibri" w:cs="Times New Roman"/>
          <w:sz w:val="24"/>
          <w:szCs w:val="24"/>
        </w:rPr>
        <w:t xml:space="preserve">), and the molecular weight of VOC in the gas vented in </w:t>
      </w:r>
      <w:proofErr w:type="spellStart"/>
      <w:r w:rsidRPr="007E4C46">
        <w:rPr>
          <w:rFonts w:ascii="Times New Roman" w:hAnsi="Times New Roman" w:eastAsia="Calibri" w:cs="Times New Roman"/>
          <w:sz w:val="24"/>
          <w:szCs w:val="24"/>
        </w:rPr>
        <w:t>lb</w:t>
      </w:r>
      <w:proofErr w:type="spellEnd"/>
      <w:r w:rsidRPr="007E4C46">
        <w:rPr>
          <w:rFonts w:ascii="Times New Roman" w:hAnsi="Times New Roman" w:eastAsia="Calibri" w:cs="Times New Roman"/>
          <w:sz w:val="24"/>
          <w:szCs w:val="24"/>
        </w:rPr>
        <w:t>/</w:t>
      </w:r>
      <w:proofErr w:type="spellStart"/>
      <w:r w:rsidRPr="007E4C46">
        <w:rPr>
          <w:rFonts w:ascii="Times New Roman" w:hAnsi="Times New Roman" w:eastAsia="Calibri" w:cs="Times New Roman"/>
          <w:sz w:val="24"/>
          <w:szCs w:val="24"/>
        </w:rPr>
        <w:t>lb</w:t>
      </w:r>
      <w:proofErr w:type="spellEnd"/>
      <w:r w:rsidRPr="007E4C46">
        <w:rPr>
          <w:rFonts w:ascii="Times New Roman" w:hAnsi="Times New Roman" w:eastAsia="Calibri" w:cs="Times New Roman"/>
          <w:sz w:val="24"/>
          <w:szCs w:val="24"/>
        </w:rPr>
        <w:t xml:space="preserve">-mol, </w:t>
      </w:r>
      <w:r>
        <w:rPr>
          <w:rFonts w:ascii="Times New Roman" w:hAnsi="Times New Roman" w:eastAsia="Calibri" w:cs="Times New Roman"/>
          <w:sz w:val="24"/>
          <w:szCs w:val="24"/>
        </w:rPr>
        <w:t xml:space="preserve">the operator </w:t>
      </w:r>
      <w:r w:rsidRPr="007E4C46">
        <w:rPr>
          <w:rFonts w:ascii="Times New Roman" w:hAnsi="Times New Roman" w:eastAsia="Calibri" w:cs="Times New Roman"/>
          <w:sz w:val="24"/>
          <w:szCs w:val="24"/>
        </w:rPr>
        <w:t xml:space="preserve">may use the BOEM 2014 </w:t>
      </w:r>
      <w:proofErr w:type="spellStart"/>
      <w:r w:rsidRPr="007E4C46">
        <w:rPr>
          <w:rFonts w:ascii="Times New Roman" w:hAnsi="Times New Roman" w:eastAsia="Calibri" w:cs="Times New Roman"/>
          <w:sz w:val="24"/>
          <w:szCs w:val="24"/>
        </w:rPr>
        <w:t>Gulfwide</w:t>
      </w:r>
      <w:proofErr w:type="spellEnd"/>
      <w:r w:rsidRPr="007E4C46">
        <w:rPr>
          <w:rFonts w:ascii="Times New Roman" w:hAnsi="Times New Roman" w:eastAsia="Calibri" w:cs="Times New Roman"/>
          <w:sz w:val="24"/>
          <w:szCs w:val="24"/>
        </w:rPr>
        <w:t xml:space="preserve"> Emission Inventory Study methodology to estimate VOC emissions and over-write the emission factor provided on the FACTORS tab.  If </w:t>
      </w:r>
      <w:r>
        <w:rPr>
          <w:rFonts w:ascii="Times New Roman" w:hAnsi="Times New Roman" w:eastAsia="Calibri" w:cs="Times New Roman"/>
          <w:sz w:val="24"/>
          <w:szCs w:val="24"/>
        </w:rPr>
        <w:t>the operator</w:t>
      </w:r>
      <w:r w:rsidRPr="007E4C46">
        <w:rPr>
          <w:rFonts w:ascii="Times New Roman" w:hAnsi="Times New Roman" w:eastAsia="Calibri" w:cs="Times New Roman"/>
          <w:sz w:val="24"/>
          <w:szCs w:val="24"/>
        </w:rPr>
        <w:t xml:space="preserve"> choose</w:t>
      </w:r>
      <w:r>
        <w:rPr>
          <w:rFonts w:ascii="Times New Roman" w:hAnsi="Times New Roman" w:eastAsia="Calibri" w:cs="Times New Roman"/>
          <w:sz w:val="24"/>
          <w:szCs w:val="24"/>
        </w:rPr>
        <w:t>s</w:t>
      </w:r>
      <w:r w:rsidRPr="007E4C46">
        <w:rPr>
          <w:rFonts w:ascii="Times New Roman" w:hAnsi="Times New Roman" w:eastAsia="Calibri" w:cs="Times New Roman"/>
          <w:sz w:val="24"/>
          <w:szCs w:val="24"/>
        </w:rPr>
        <w:t xml:space="preserve"> to over-write the emission factor with </w:t>
      </w:r>
      <w:r>
        <w:rPr>
          <w:rFonts w:ascii="Times New Roman" w:hAnsi="Times New Roman" w:eastAsia="Calibri" w:cs="Times New Roman"/>
          <w:sz w:val="24"/>
          <w:szCs w:val="24"/>
        </w:rPr>
        <w:t xml:space="preserve">their </w:t>
      </w:r>
      <w:r w:rsidRPr="007E4C46">
        <w:rPr>
          <w:rFonts w:ascii="Times New Roman" w:hAnsi="Times New Roman" w:eastAsia="Calibri" w:cs="Times New Roman"/>
          <w:sz w:val="24"/>
          <w:szCs w:val="24"/>
        </w:rPr>
        <w:t xml:space="preserve">own calculated emission factor, </w:t>
      </w:r>
      <w:r>
        <w:rPr>
          <w:rFonts w:ascii="Times New Roman" w:hAnsi="Times New Roman" w:eastAsia="Calibri" w:cs="Times New Roman"/>
          <w:sz w:val="24"/>
          <w:szCs w:val="24"/>
        </w:rPr>
        <w:t>then</w:t>
      </w:r>
      <w:r w:rsidRPr="007E4C46">
        <w:rPr>
          <w:rFonts w:ascii="Times New Roman" w:hAnsi="Times New Roman" w:eastAsia="Calibri" w:cs="Times New Roman"/>
          <w:sz w:val="24"/>
          <w:szCs w:val="24"/>
        </w:rPr>
        <w:t xml:space="preserve"> </w:t>
      </w:r>
      <w:r>
        <w:rPr>
          <w:rFonts w:ascii="Times New Roman" w:hAnsi="Times New Roman" w:eastAsia="Calibri" w:cs="Times New Roman"/>
          <w:sz w:val="24"/>
          <w:szCs w:val="24"/>
        </w:rPr>
        <w:t>the</w:t>
      </w:r>
      <w:r w:rsidRPr="007E4C46">
        <w:rPr>
          <w:rFonts w:ascii="Times New Roman" w:hAnsi="Times New Roman" w:eastAsia="Calibri" w:cs="Times New Roman"/>
          <w:sz w:val="24"/>
          <w:szCs w:val="24"/>
        </w:rPr>
        <w:t xml:space="preserve"> emission factor</w:t>
      </w:r>
      <w:r>
        <w:rPr>
          <w:rFonts w:ascii="Times New Roman" w:hAnsi="Times New Roman" w:eastAsia="Calibri" w:cs="Times New Roman"/>
          <w:sz w:val="24"/>
          <w:szCs w:val="24"/>
        </w:rPr>
        <w:t xml:space="preserve"> must</w:t>
      </w:r>
      <w:r w:rsidRPr="007E4C46">
        <w:rPr>
          <w:rFonts w:ascii="Times New Roman" w:hAnsi="Times New Roman" w:eastAsia="Calibri" w:cs="Times New Roman"/>
          <w:sz w:val="24"/>
          <w:szCs w:val="24"/>
        </w:rPr>
        <w:t xml:space="preserve"> use the same units of measure (tons/</w:t>
      </w:r>
      <w:proofErr w:type="spellStart"/>
      <w:r w:rsidRPr="007E4C46">
        <w:rPr>
          <w:rFonts w:ascii="Times New Roman" w:hAnsi="Times New Roman" w:eastAsia="Calibri" w:cs="Times New Roman"/>
          <w:sz w:val="24"/>
          <w:szCs w:val="24"/>
        </w:rPr>
        <w:t>yr</w:t>
      </w:r>
      <w:proofErr w:type="spellEnd"/>
      <w:r w:rsidRPr="007E4C46">
        <w:rPr>
          <w:rFonts w:ascii="Times New Roman" w:hAnsi="Times New Roman" w:eastAsia="Calibri" w:cs="Times New Roman"/>
          <w:sz w:val="24"/>
          <w:szCs w:val="24"/>
        </w:rPr>
        <w:t>/vent) that is currently used to estimate emissions.  Th</w:t>
      </w:r>
      <w:r>
        <w:rPr>
          <w:rFonts w:ascii="Times New Roman" w:hAnsi="Times New Roman" w:eastAsia="Calibri" w:cs="Times New Roman"/>
          <w:sz w:val="24"/>
          <w:szCs w:val="24"/>
        </w:rPr>
        <w:t>is</w:t>
      </w:r>
      <w:r w:rsidRPr="007E4C46">
        <w:rPr>
          <w:rFonts w:ascii="Times New Roman" w:hAnsi="Times New Roman" w:eastAsia="Calibri" w:cs="Times New Roman"/>
          <w:sz w:val="24"/>
          <w:szCs w:val="24"/>
        </w:rPr>
        <w:t xml:space="preserve"> definition of a Cold Vent and these instructions have been added to the DOCD/DPP instructions.</w:t>
      </w:r>
    </w:p>
    <w:p w:rsidRPr="00F62849" w:rsidR="005B4139" w:rsidP="005B4139" w:rsidRDefault="005B4139" w14:paraId="71FA2ED4" w14:textId="77777777">
      <w:pPr>
        <w:ind w:left="360"/>
        <w:textAlignment w:val="baseline"/>
        <w:rPr>
          <w:rFonts w:ascii="Times New Roman" w:hAnsi="Times New Roman" w:eastAsia="Calibri" w:cs="Times New Roman"/>
          <w:sz w:val="24"/>
          <w:szCs w:val="24"/>
        </w:rPr>
      </w:pPr>
      <w:r w:rsidRPr="00F62849">
        <w:rPr>
          <w:rFonts w:ascii="Times New Roman" w:hAnsi="Times New Roman" w:eastAsia="Calibri" w:cs="Times New Roman"/>
          <w:sz w:val="24"/>
          <w:szCs w:val="24"/>
        </w:rPr>
        <w:t>3.</w:t>
      </w:r>
      <w:r w:rsidRPr="00F62849">
        <w:rPr>
          <w:rFonts w:ascii="Times New Roman" w:hAnsi="Times New Roman" w:eastAsia="Calibri" w:cs="Times New Roman"/>
          <w:sz w:val="24"/>
          <w:szCs w:val="24"/>
        </w:rPr>
        <w:tab/>
        <w:t>FACTORS Tab, Production Equipment – Diesel Boiler</w:t>
      </w:r>
    </w:p>
    <w:p w:rsidRPr="00F62849" w:rsidR="005B4139" w:rsidP="005B4139" w:rsidRDefault="005B4139" w14:paraId="25E376E0" w14:textId="77777777">
      <w:pPr>
        <w:widowControl/>
        <w:numPr>
          <w:ilvl w:val="0"/>
          <w:numId w:val="30"/>
        </w:numPr>
        <w:tabs>
          <w:tab w:val="clear" w:pos="360"/>
          <w:tab w:val="left" w:pos="1296"/>
        </w:tabs>
        <w:spacing w:after="0" w:line="240" w:lineRule="auto"/>
        <w:ind w:right="360" w:hanging="360"/>
        <w:textAlignment w:val="baseline"/>
        <w:rPr>
          <w:rFonts w:ascii="Times New Roman" w:hAnsi="Times New Roman" w:eastAsia="Calibri" w:cs="Times New Roman"/>
          <w:sz w:val="24"/>
          <w:szCs w:val="24"/>
        </w:rPr>
      </w:pPr>
      <w:r w:rsidRPr="00F62849">
        <w:rPr>
          <w:rFonts w:ascii="Times New Roman" w:hAnsi="Times New Roman" w:eastAsia="Calibri" w:cs="Times New Roman"/>
          <w:sz w:val="24"/>
          <w:szCs w:val="24"/>
        </w:rPr>
        <w:t>Cells B13. Most often, the MMBTU/HR rating of Boilers is readily available to operators. Suggest that MMBTU/HR units be used to determine capacity and fuel used. Then the user of the spreadsheet does not have to covert to MMBTU/HR to barrels fuel used. The appropriate equations can be made to the EMISSIONS Tabs.</w:t>
      </w:r>
    </w:p>
    <w:p w:rsidRPr="00F62849" w:rsidR="005B4139" w:rsidP="005B4139" w:rsidRDefault="005B4139" w14:paraId="22542C98" w14:textId="77777777">
      <w:pPr>
        <w:widowControl/>
        <w:numPr>
          <w:ilvl w:val="0"/>
          <w:numId w:val="30"/>
        </w:numPr>
        <w:tabs>
          <w:tab w:val="clear" w:pos="360"/>
          <w:tab w:val="left" w:pos="1296"/>
        </w:tabs>
        <w:spacing w:after="0" w:line="240" w:lineRule="auto"/>
        <w:ind w:right="576" w:hanging="360"/>
        <w:textAlignment w:val="baseline"/>
        <w:rPr>
          <w:rFonts w:ascii="Times New Roman" w:hAnsi="Times New Roman" w:eastAsia="Calibri" w:cs="Times New Roman"/>
          <w:spacing w:val="-4"/>
          <w:sz w:val="24"/>
          <w:szCs w:val="24"/>
        </w:rPr>
      </w:pPr>
      <w:r w:rsidRPr="00F62849">
        <w:rPr>
          <w:rFonts w:ascii="Times New Roman" w:hAnsi="Times New Roman" w:eastAsia="Calibri" w:cs="Times New Roman"/>
          <w:spacing w:val="-4"/>
          <w:sz w:val="24"/>
          <w:szCs w:val="24"/>
        </w:rPr>
        <w:lastRenderedPageBreak/>
        <w:t>Factors in AP-42, Section 1.3, Fuel Oil Combustion, Table 1.3-1, 1.3-2, 1.3-3 could be used with MMBTU/HR rating. NOTE: AP-42 Tables 1.4-1 and 1.4-2 factors are used for natural fueled heater/boiler/burner calculations for the draft Form BOEM-1038 and BOEM-1039.</w:t>
      </w:r>
    </w:p>
    <w:p w:rsidRPr="00F62849" w:rsidR="005B4139" w:rsidP="005B4139" w:rsidRDefault="005B4139" w14:paraId="123F860F" w14:textId="77777777">
      <w:pPr>
        <w:widowControl/>
        <w:numPr>
          <w:ilvl w:val="0"/>
          <w:numId w:val="30"/>
        </w:numPr>
        <w:tabs>
          <w:tab w:val="clear" w:pos="360"/>
          <w:tab w:val="left" w:pos="1296"/>
        </w:tabs>
        <w:spacing w:after="0" w:line="240" w:lineRule="auto"/>
        <w:ind w:right="288" w:hanging="360"/>
        <w:textAlignment w:val="baseline"/>
        <w:rPr>
          <w:rFonts w:ascii="Times New Roman" w:hAnsi="Times New Roman" w:eastAsia="Calibri" w:cs="Times New Roman"/>
          <w:spacing w:val="-4"/>
          <w:sz w:val="24"/>
          <w:szCs w:val="24"/>
        </w:rPr>
      </w:pPr>
      <w:r w:rsidRPr="00F62849">
        <w:rPr>
          <w:rFonts w:ascii="Times New Roman" w:hAnsi="Times New Roman" w:eastAsia="Calibri" w:cs="Times New Roman"/>
          <w:spacing w:val="-4"/>
          <w:sz w:val="24"/>
          <w:szCs w:val="24"/>
        </w:rPr>
        <w:t xml:space="preserve">For the FACTORS Tab, a “Fuel Usage Conversion Factor” can be calculated for diesel boilers based the Density (7.05 </w:t>
      </w:r>
      <w:proofErr w:type="spellStart"/>
      <w:r w:rsidRPr="00F62849">
        <w:rPr>
          <w:rFonts w:ascii="Times New Roman" w:hAnsi="Times New Roman" w:eastAsia="Calibri" w:cs="Times New Roman"/>
          <w:spacing w:val="-4"/>
          <w:sz w:val="24"/>
          <w:szCs w:val="24"/>
        </w:rPr>
        <w:t>lbs</w:t>
      </w:r>
      <w:proofErr w:type="spellEnd"/>
      <w:r w:rsidRPr="00F62849">
        <w:rPr>
          <w:rFonts w:ascii="Times New Roman" w:hAnsi="Times New Roman" w:eastAsia="Calibri" w:cs="Times New Roman"/>
          <w:spacing w:val="-4"/>
          <w:sz w:val="24"/>
          <w:szCs w:val="24"/>
        </w:rPr>
        <w:t>/gal) and Heat Value of Diesel Fuel (19,300 BTU/</w:t>
      </w:r>
      <w:proofErr w:type="spellStart"/>
      <w:r w:rsidRPr="00F62849">
        <w:rPr>
          <w:rFonts w:ascii="Times New Roman" w:hAnsi="Times New Roman" w:eastAsia="Calibri" w:cs="Times New Roman"/>
          <w:spacing w:val="-4"/>
          <w:sz w:val="24"/>
          <w:szCs w:val="24"/>
        </w:rPr>
        <w:t>lb</w:t>
      </w:r>
      <w:proofErr w:type="spellEnd"/>
      <w:r w:rsidRPr="00F62849">
        <w:rPr>
          <w:rFonts w:ascii="Times New Roman" w:hAnsi="Times New Roman" w:eastAsia="Calibri" w:cs="Times New Roman"/>
          <w:spacing w:val="-4"/>
          <w:sz w:val="24"/>
          <w:szCs w:val="24"/>
        </w:rPr>
        <w:t>) – similar to calculation in FACTORS Tab, Cell G2. The fuel usage factor can be input to calculate emissions based on emission factors in AP-42, Tables 1.3-1, 1.3-2 and 1.3-3.</w:t>
      </w:r>
    </w:p>
    <w:p w:rsidRPr="00F62849" w:rsidR="005B4139" w:rsidP="005B4139" w:rsidRDefault="005B4139" w14:paraId="2A06A1D3" w14:textId="77777777">
      <w:pPr>
        <w:widowControl/>
        <w:numPr>
          <w:ilvl w:val="0"/>
          <w:numId w:val="30"/>
        </w:numPr>
        <w:tabs>
          <w:tab w:val="clear" w:pos="360"/>
          <w:tab w:val="left" w:pos="1296"/>
        </w:tabs>
        <w:spacing w:after="0" w:line="240" w:lineRule="auto"/>
        <w:ind w:right="792" w:hanging="360"/>
        <w:textAlignment w:val="baseline"/>
        <w:rPr>
          <w:rFonts w:ascii="Times New Roman" w:hAnsi="Times New Roman" w:eastAsia="Calibri" w:cs="Times New Roman"/>
          <w:sz w:val="24"/>
          <w:szCs w:val="24"/>
        </w:rPr>
      </w:pPr>
      <w:proofErr w:type="spellStart"/>
      <w:r w:rsidRPr="00F62849">
        <w:rPr>
          <w:rFonts w:ascii="Times New Roman" w:hAnsi="Times New Roman" w:eastAsia="Calibri" w:cs="Times New Roman"/>
          <w:sz w:val="24"/>
          <w:szCs w:val="24"/>
        </w:rPr>
        <w:t>SOx</w:t>
      </w:r>
      <w:proofErr w:type="spellEnd"/>
      <w:r w:rsidRPr="00F62849">
        <w:rPr>
          <w:rFonts w:ascii="Times New Roman" w:hAnsi="Times New Roman" w:eastAsia="Calibri" w:cs="Times New Roman"/>
          <w:sz w:val="24"/>
          <w:szCs w:val="24"/>
        </w:rPr>
        <w:t xml:space="preserve"> emission factor in Table 1.3-1 could be used for No.2 oil fired units. No. 2 diesel (ULSD) typically used as fuel in the Gulf of Mexico. For example:</w:t>
      </w:r>
    </w:p>
    <w:p w:rsidRPr="00F62849" w:rsidR="005B4139" w:rsidP="005B4139" w:rsidRDefault="005B4139" w14:paraId="5B7AF437" w14:textId="77777777">
      <w:pPr>
        <w:widowControl/>
        <w:numPr>
          <w:ilvl w:val="1"/>
          <w:numId w:val="30"/>
        </w:numPr>
        <w:tabs>
          <w:tab w:val="left" w:pos="1296"/>
        </w:tabs>
        <w:spacing w:after="0" w:line="240" w:lineRule="auto"/>
        <w:ind w:left="1440" w:right="792" w:hanging="360"/>
        <w:textAlignment w:val="baseline"/>
        <w:rPr>
          <w:rFonts w:ascii="Times New Roman" w:hAnsi="Times New Roman" w:eastAsia="Calibri" w:cs="Times New Roman"/>
          <w:sz w:val="24"/>
          <w:szCs w:val="24"/>
        </w:rPr>
      </w:pPr>
      <w:proofErr w:type="spellStart"/>
      <w:r w:rsidRPr="00F62849">
        <w:rPr>
          <w:rFonts w:ascii="Times New Roman" w:hAnsi="Times New Roman" w:eastAsia="Calibri" w:cs="Times New Roman"/>
          <w:spacing w:val="-4"/>
          <w:sz w:val="24"/>
          <w:szCs w:val="24"/>
        </w:rPr>
        <w:t>SOx</w:t>
      </w:r>
      <w:proofErr w:type="spellEnd"/>
      <w:r w:rsidRPr="00F62849">
        <w:rPr>
          <w:rFonts w:ascii="Times New Roman" w:hAnsi="Times New Roman" w:eastAsia="Calibri" w:cs="Times New Roman"/>
          <w:spacing w:val="-4"/>
          <w:sz w:val="24"/>
          <w:szCs w:val="24"/>
        </w:rPr>
        <w:t xml:space="preserve"> = SO2+ SO3 = 144*S </w:t>
      </w:r>
      <w:proofErr w:type="spellStart"/>
      <w:r w:rsidRPr="00F62849">
        <w:rPr>
          <w:rFonts w:ascii="Times New Roman" w:hAnsi="Times New Roman" w:eastAsia="Calibri" w:cs="Times New Roman"/>
          <w:spacing w:val="-4"/>
          <w:sz w:val="24"/>
          <w:szCs w:val="24"/>
        </w:rPr>
        <w:t>lbs</w:t>
      </w:r>
      <w:proofErr w:type="spellEnd"/>
      <w:r w:rsidRPr="00F62849">
        <w:rPr>
          <w:rFonts w:ascii="Times New Roman" w:hAnsi="Times New Roman" w:eastAsia="Calibri" w:cs="Times New Roman"/>
          <w:spacing w:val="-4"/>
          <w:sz w:val="24"/>
          <w:szCs w:val="24"/>
        </w:rPr>
        <w:t>/1000 gallons; where S = weight percent of sulfur in fuel.</w:t>
      </w:r>
    </w:p>
    <w:p w:rsidRPr="00F62849" w:rsidR="005B4139" w:rsidP="005B4139" w:rsidRDefault="005B4139" w14:paraId="16F7D6A6" w14:textId="77777777">
      <w:pPr>
        <w:widowControl/>
        <w:numPr>
          <w:ilvl w:val="1"/>
          <w:numId w:val="30"/>
        </w:numPr>
        <w:tabs>
          <w:tab w:val="left" w:pos="1296"/>
        </w:tabs>
        <w:spacing w:after="0" w:line="240" w:lineRule="auto"/>
        <w:ind w:left="1440" w:right="792" w:hanging="360"/>
        <w:textAlignment w:val="baseline"/>
        <w:rPr>
          <w:rFonts w:ascii="Times New Roman" w:hAnsi="Times New Roman" w:eastAsia="Calibri" w:cs="Times New Roman"/>
          <w:sz w:val="24"/>
          <w:szCs w:val="24"/>
        </w:rPr>
      </w:pPr>
      <w:r w:rsidRPr="00F62849">
        <w:rPr>
          <w:rFonts w:ascii="Times New Roman" w:hAnsi="Times New Roman" w:eastAsia="Calibri" w:cs="Times New Roman"/>
          <w:spacing w:val="-4"/>
          <w:sz w:val="24"/>
          <w:szCs w:val="24"/>
        </w:rPr>
        <w:t xml:space="preserve">SO2 = 142*S where S = 0.0015; SO2 = 0.213 </w:t>
      </w:r>
      <w:proofErr w:type="spellStart"/>
      <w:r w:rsidRPr="00F62849">
        <w:rPr>
          <w:rFonts w:ascii="Times New Roman" w:hAnsi="Times New Roman" w:eastAsia="Calibri" w:cs="Times New Roman"/>
          <w:spacing w:val="-4"/>
          <w:sz w:val="24"/>
          <w:szCs w:val="24"/>
        </w:rPr>
        <w:t>lbs</w:t>
      </w:r>
      <w:proofErr w:type="spellEnd"/>
      <w:r w:rsidRPr="00F62849">
        <w:rPr>
          <w:rFonts w:ascii="Times New Roman" w:hAnsi="Times New Roman" w:eastAsia="Calibri" w:cs="Times New Roman"/>
          <w:spacing w:val="-4"/>
          <w:sz w:val="24"/>
          <w:szCs w:val="24"/>
        </w:rPr>
        <w:t>/1000 gallons</w:t>
      </w:r>
    </w:p>
    <w:p w:rsidRPr="00F62849" w:rsidR="005B4139" w:rsidP="005B4139" w:rsidRDefault="005B4139" w14:paraId="3CF24AAA" w14:textId="77777777">
      <w:pPr>
        <w:widowControl/>
        <w:numPr>
          <w:ilvl w:val="1"/>
          <w:numId w:val="30"/>
        </w:numPr>
        <w:tabs>
          <w:tab w:val="left" w:pos="1296"/>
        </w:tabs>
        <w:spacing w:after="0" w:line="240" w:lineRule="auto"/>
        <w:ind w:left="1440" w:right="792" w:hanging="360"/>
        <w:textAlignment w:val="baseline"/>
        <w:rPr>
          <w:rFonts w:ascii="Times New Roman" w:hAnsi="Times New Roman" w:eastAsia="Calibri" w:cs="Times New Roman"/>
          <w:sz w:val="24"/>
          <w:szCs w:val="24"/>
        </w:rPr>
      </w:pPr>
      <w:r w:rsidRPr="00F62849">
        <w:rPr>
          <w:rFonts w:ascii="Times New Roman" w:hAnsi="Times New Roman" w:eastAsia="Calibri" w:cs="Times New Roman"/>
          <w:sz w:val="24"/>
          <w:szCs w:val="24"/>
        </w:rPr>
        <w:t xml:space="preserve">SO3 = 2*S where S = 0.0015; SO3 = 0.003 </w:t>
      </w:r>
      <w:proofErr w:type="spellStart"/>
      <w:r w:rsidRPr="00F62849">
        <w:rPr>
          <w:rFonts w:ascii="Times New Roman" w:hAnsi="Times New Roman" w:eastAsia="Calibri" w:cs="Times New Roman"/>
          <w:sz w:val="24"/>
          <w:szCs w:val="24"/>
        </w:rPr>
        <w:t>lbs</w:t>
      </w:r>
      <w:proofErr w:type="spellEnd"/>
      <w:r w:rsidRPr="00F62849">
        <w:rPr>
          <w:rFonts w:ascii="Times New Roman" w:hAnsi="Times New Roman" w:eastAsia="Calibri" w:cs="Times New Roman"/>
          <w:sz w:val="24"/>
          <w:szCs w:val="24"/>
        </w:rPr>
        <w:t xml:space="preserve">/1000 gallons </w:t>
      </w:r>
    </w:p>
    <w:p w:rsidRPr="00F62849" w:rsidR="005B4139" w:rsidP="005B4139" w:rsidRDefault="005B4139" w14:paraId="3627239D" w14:textId="77777777">
      <w:pPr>
        <w:widowControl/>
        <w:numPr>
          <w:ilvl w:val="1"/>
          <w:numId w:val="30"/>
        </w:numPr>
        <w:tabs>
          <w:tab w:val="left" w:pos="1296"/>
        </w:tabs>
        <w:spacing w:after="0" w:line="240" w:lineRule="auto"/>
        <w:ind w:left="1440" w:right="792" w:hanging="360"/>
        <w:textAlignment w:val="baseline"/>
        <w:rPr>
          <w:rFonts w:ascii="Times New Roman" w:hAnsi="Times New Roman" w:eastAsia="Calibri" w:cs="Times New Roman"/>
          <w:sz w:val="24"/>
          <w:szCs w:val="24"/>
        </w:rPr>
      </w:pPr>
      <w:r w:rsidRPr="00F62849">
        <w:rPr>
          <w:rFonts w:ascii="Times New Roman" w:hAnsi="Times New Roman" w:eastAsia="Calibri" w:cs="Times New Roman"/>
          <w:sz w:val="24"/>
          <w:szCs w:val="24"/>
        </w:rPr>
        <w:t xml:space="preserve">Total </w:t>
      </w:r>
      <w:proofErr w:type="spellStart"/>
      <w:r w:rsidRPr="00F62849">
        <w:rPr>
          <w:rFonts w:ascii="Times New Roman" w:hAnsi="Times New Roman" w:eastAsia="Calibri" w:cs="Times New Roman"/>
          <w:sz w:val="24"/>
          <w:szCs w:val="24"/>
        </w:rPr>
        <w:t>SOx</w:t>
      </w:r>
      <w:proofErr w:type="spellEnd"/>
      <w:r w:rsidRPr="00F62849">
        <w:rPr>
          <w:rFonts w:ascii="Times New Roman" w:hAnsi="Times New Roman" w:eastAsia="Calibri" w:cs="Times New Roman"/>
          <w:sz w:val="24"/>
          <w:szCs w:val="24"/>
        </w:rPr>
        <w:t xml:space="preserve"> = 0.216 </w:t>
      </w:r>
      <w:proofErr w:type="spellStart"/>
      <w:r w:rsidRPr="00F62849">
        <w:rPr>
          <w:rFonts w:ascii="Times New Roman" w:hAnsi="Times New Roman" w:eastAsia="Calibri" w:cs="Times New Roman"/>
          <w:sz w:val="24"/>
          <w:szCs w:val="24"/>
        </w:rPr>
        <w:t>lbs</w:t>
      </w:r>
      <w:proofErr w:type="spellEnd"/>
      <w:r w:rsidRPr="00F62849">
        <w:rPr>
          <w:rFonts w:ascii="Times New Roman" w:hAnsi="Times New Roman" w:eastAsia="Calibri" w:cs="Times New Roman"/>
          <w:sz w:val="24"/>
          <w:szCs w:val="24"/>
        </w:rPr>
        <w:t>/1000 gallons</w:t>
      </w:r>
    </w:p>
    <w:p w:rsidRPr="00F62849" w:rsidR="005B4139" w:rsidP="005B4139" w:rsidRDefault="005B4139" w14:paraId="168E1F4C" w14:textId="77777777">
      <w:pPr>
        <w:tabs>
          <w:tab w:val="left" w:pos="360"/>
          <w:tab w:val="left" w:pos="2016"/>
        </w:tabs>
        <w:spacing w:after="0" w:line="240" w:lineRule="auto"/>
        <w:textAlignment w:val="baseline"/>
        <w:rPr>
          <w:rFonts w:ascii="Times New Roman" w:hAnsi="Times New Roman" w:eastAsia="Calibri" w:cs="Times New Roman"/>
          <w:sz w:val="24"/>
          <w:szCs w:val="24"/>
        </w:rPr>
      </w:pPr>
    </w:p>
    <w:p w:rsidRPr="00F62849" w:rsidR="005B4139" w:rsidP="005B4139" w:rsidRDefault="005B4139" w14:paraId="6553513E" w14:textId="77777777">
      <w:pPr>
        <w:tabs>
          <w:tab w:val="left" w:pos="360"/>
          <w:tab w:val="left" w:pos="2016"/>
        </w:tabs>
        <w:ind w:left="360"/>
        <w:textAlignment w:val="baseline"/>
        <w:rPr>
          <w:rFonts w:ascii="Times New Roman" w:hAnsi="Times New Roman" w:eastAsia="Calibri" w:cs="Times New Roman"/>
          <w:sz w:val="24"/>
          <w:szCs w:val="24"/>
        </w:rPr>
      </w:pPr>
      <w:r w:rsidRPr="00F62849">
        <w:rPr>
          <w:rFonts w:ascii="Times New Roman" w:hAnsi="Times New Roman" w:eastAsia="Calibri" w:cs="Times New Roman"/>
          <w:sz w:val="24"/>
          <w:szCs w:val="24"/>
        </w:rPr>
        <w:t xml:space="preserve">BOEM Response: </w:t>
      </w:r>
      <w:r>
        <w:rPr>
          <w:rFonts w:ascii="Times New Roman" w:hAnsi="Times New Roman" w:eastAsia="Calibri" w:cs="Times New Roman"/>
          <w:sz w:val="24"/>
          <w:szCs w:val="24"/>
        </w:rPr>
        <w:t xml:space="preserve">BOEM appreciates the suggestions of alternative methods for performing the calculations embedded in the spreadsheet, but BOEM notes that the suggested methods do not substantially affect the outcome of the calculations. BOEM believes that the suggested changes would have little to no effect on the burden to operators.  </w:t>
      </w:r>
      <w:r w:rsidRPr="007E4C46">
        <w:rPr>
          <w:rFonts w:ascii="Times New Roman" w:hAnsi="Times New Roman" w:eastAsia="Calibri" w:cs="Times New Roman"/>
          <w:sz w:val="24"/>
          <w:szCs w:val="24"/>
        </w:rPr>
        <w:t>At this time, BOEM is retaining the current calculation methodologies. However, operators can calculate and enter their own emissions estimates directly into the spreadsheet if they prefer.</w:t>
      </w:r>
      <w:r w:rsidRPr="00F62849" w:rsidDel="007E4C46">
        <w:rPr>
          <w:rFonts w:ascii="Times New Roman" w:hAnsi="Times New Roman" w:eastAsia="Calibri" w:cs="Times New Roman"/>
          <w:sz w:val="24"/>
          <w:szCs w:val="24"/>
        </w:rPr>
        <w:t xml:space="preserve"> </w:t>
      </w:r>
    </w:p>
    <w:p w:rsidRPr="00F62849" w:rsidR="005B4139" w:rsidP="005B4139" w:rsidRDefault="005B4139" w14:paraId="48609EED" w14:textId="77777777">
      <w:pPr>
        <w:tabs>
          <w:tab w:val="left" w:pos="360"/>
          <w:tab w:val="left" w:pos="2016"/>
        </w:tabs>
        <w:ind w:left="360"/>
        <w:textAlignment w:val="baseline"/>
        <w:rPr>
          <w:rFonts w:ascii="Times New Roman" w:hAnsi="Times New Roman" w:eastAsia="Calibri" w:cs="Times New Roman"/>
          <w:spacing w:val="-4"/>
          <w:sz w:val="24"/>
          <w:szCs w:val="24"/>
        </w:rPr>
      </w:pPr>
      <w:r w:rsidRPr="00F62849">
        <w:rPr>
          <w:rFonts w:ascii="Times New Roman" w:hAnsi="Times New Roman" w:eastAsia="Calibri" w:cs="Times New Roman"/>
          <w:spacing w:val="-2"/>
          <w:sz w:val="24"/>
          <w:szCs w:val="24"/>
        </w:rPr>
        <w:t>4.</w:t>
      </w:r>
      <w:r>
        <w:rPr>
          <w:rFonts w:ascii="Times New Roman" w:hAnsi="Times New Roman" w:eastAsia="Calibri" w:cs="Times New Roman"/>
          <w:spacing w:val="-2"/>
          <w:sz w:val="24"/>
          <w:szCs w:val="24"/>
        </w:rPr>
        <w:t xml:space="preserve">  </w:t>
      </w:r>
      <w:r w:rsidRPr="00F62849">
        <w:rPr>
          <w:rFonts w:ascii="Times New Roman" w:hAnsi="Times New Roman" w:eastAsia="Calibri" w:cs="Times New Roman"/>
          <w:spacing w:val="-2"/>
          <w:sz w:val="24"/>
          <w:szCs w:val="24"/>
        </w:rPr>
        <w:t xml:space="preserve">EMISSIONS1 Tab – Cell I12 for “Vessels – Drilling Prime Engine, </w:t>
      </w:r>
      <w:proofErr w:type="spellStart"/>
      <w:r w:rsidRPr="00F62849">
        <w:rPr>
          <w:rFonts w:ascii="Times New Roman" w:hAnsi="Times New Roman" w:eastAsia="Calibri" w:cs="Times New Roman"/>
          <w:spacing w:val="-2"/>
          <w:sz w:val="24"/>
          <w:szCs w:val="24"/>
        </w:rPr>
        <w:t>Auxilliary</w:t>
      </w:r>
      <w:proofErr w:type="spellEnd"/>
      <w:r w:rsidRPr="00F62849">
        <w:rPr>
          <w:rFonts w:ascii="Times New Roman" w:hAnsi="Times New Roman" w:eastAsia="Calibri" w:cs="Times New Roman"/>
          <w:spacing w:val="-2"/>
          <w:sz w:val="24"/>
          <w:szCs w:val="24"/>
        </w:rPr>
        <w:t xml:space="preserve">”. This cell uses a factor from cell </w:t>
      </w:r>
      <w:r w:rsidRPr="00F62849">
        <w:rPr>
          <w:rFonts w:ascii="Times New Roman" w:hAnsi="Times New Roman" w:eastAsia="Calibri" w:cs="Times New Roman"/>
          <w:spacing w:val="-4"/>
          <w:sz w:val="24"/>
          <w:szCs w:val="24"/>
        </w:rPr>
        <w:t>$C$17 of the FACTORS tab. It should reference cell $C$18 on the FACTOR tab.</w:t>
      </w:r>
    </w:p>
    <w:p w:rsidRPr="00F62849" w:rsidR="005B4139" w:rsidP="005B4139" w:rsidRDefault="005B4139" w14:paraId="3DBDB70D" w14:textId="77777777">
      <w:pPr>
        <w:ind w:left="360"/>
        <w:textAlignment w:val="baseline"/>
        <w:rPr>
          <w:rFonts w:ascii="Times New Roman" w:hAnsi="Times New Roman" w:eastAsia="Calibri" w:cs="Times New Roman"/>
          <w:spacing w:val="-4"/>
          <w:sz w:val="24"/>
          <w:szCs w:val="24"/>
        </w:rPr>
      </w:pPr>
      <w:r w:rsidRPr="00F62849">
        <w:rPr>
          <w:rFonts w:ascii="Times New Roman" w:hAnsi="Times New Roman" w:eastAsia="Calibri" w:cs="Times New Roman"/>
          <w:sz w:val="24"/>
          <w:szCs w:val="24"/>
        </w:rPr>
        <w:t xml:space="preserve">BOEM Response: </w:t>
      </w:r>
      <w:r w:rsidRPr="00F62849">
        <w:rPr>
          <w:rFonts w:ascii="Times New Roman" w:hAnsi="Times New Roman" w:eastAsia="Calibri" w:cs="Times New Roman"/>
          <w:spacing w:val="-4"/>
          <w:sz w:val="24"/>
          <w:szCs w:val="24"/>
        </w:rPr>
        <w:t>This error has been corrected.</w:t>
      </w:r>
    </w:p>
    <w:p w:rsidRPr="00F62849" w:rsidR="005B4139" w:rsidP="005B4139" w:rsidRDefault="005B4139" w14:paraId="3224361B" w14:textId="77777777">
      <w:pPr>
        <w:tabs>
          <w:tab w:val="left" w:pos="504"/>
        </w:tabs>
        <w:ind w:left="360"/>
        <w:textAlignment w:val="baseline"/>
        <w:rPr>
          <w:rFonts w:ascii="Times New Roman" w:hAnsi="Times New Roman" w:eastAsia="Calibri" w:cs="Times New Roman"/>
          <w:spacing w:val="-1"/>
          <w:sz w:val="24"/>
          <w:szCs w:val="24"/>
        </w:rPr>
      </w:pPr>
      <w:r w:rsidRPr="00F62849">
        <w:rPr>
          <w:rFonts w:ascii="Times New Roman" w:hAnsi="Times New Roman" w:eastAsia="Calibri" w:cs="Times New Roman"/>
          <w:spacing w:val="-1"/>
          <w:sz w:val="24"/>
          <w:szCs w:val="24"/>
        </w:rPr>
        <w:t>5.</w:t>
      </w:r>
      <w:r w:rsidRPr="00F62849">
        <w:rPr>
          <w:rFonts w:ascii="Times New Roman" w:hAnsi="Times New Roman" w:eastAsia="Calibri" w:cs="Times New Roman"/>
          <w:spacing w:val="-1"/>
          <w:sz w:val="24"/>
          <w:szCs w:val="24"/>
        </w:rPr>
        <w:tab/>
        <w:t>EMISSIONS1 Tab, Vessels, Drilling Prime Engine, Auxiliary. Correct spelling of word “</w:t>
      </w:r>
      <w:proofErr w:type="spellStart"/>
      <w:r w:rsidRPr="00F62849">
        <w:rPr>
          <w:rFonts w:ascii="Times New Roman" w:hAnsi="Times New Roman" w:eastAsia="Calibri" w:cs="Times New Roman"/>
          <w:spacing w:val="-1"/>
          <w:sz w:val="24"/>
          <w:szCs w:val="24"/>
        </w:rPr>
        <w:t>Auxilliary</w:t>
      </w:r>
      <w:proofErr w:type="spellEnd"/>
      <w:r w:rsidRPr="00F62849">
        <w:rPr>
          <w:rFonts w:ascii="Times New Roman" w:hAnsi="Times New Roman" w:eastAsia="Calibri" w:cs="Times New Roman"/>
          <w:spacing w:val="-1"/>
          <w:sz w:val="24"/>
          <w:szCs w:val="24"/>
        </w:rPr>
        <w:t xml:space="preserve">” to </w:t>
      </w:r>
      <w:r w:rsidRPr="00F62849">
        <w:rPr>
          <w:rFonts w:ascii="Times New Roman" w:hAnsi="Times New Roman" w:eastAsia="Calibri" w:cs="Times New Roman"/>
          <w:b/>
          <w:spacing w:val="-1"/>
          <w:sz w:val="24"/>
          <w:szCs w:val="24"/>
        </w:rPr>
        <w:t>Auxiliary</w:t>
      </w:r>
      <w:r w:rsidRPr="00F62849">
        <w:rPr>
          <w:rFonts w:ascii="Times New Roman" w:hAnsi="Times New Roman" w:eastAsia="Calibri" w:cs="Times New Roman"/>
          <w:spacing w:val="-1"/>
          <w:sz w:val="24"/>
          <w:szCs w:val="24"/>
        </w:rPr>
        <w:t>.</w:t>
      </w:r>
    </w:p>
    <w:p w:rsidRPr="00F62849" w:rsidR="005B4139" w:rsidP="005B4139" w:rsidRDefault="005B4139" w14:paraId="323C6F1E" w14:textId="77777777">
      <w:pPr>
        <w:ind w:left="360"/>
        <w:textAlignment w:val="baseline"/>
        <w:rPr>
          <w:rFonts w:ascii="Times New Roman" w:hAnsi="Times New Roman" w:eastAsia="Calibri" w:cs="Times New Roman"/>
          <w:bCs/>
          <w:spacing w:val="-1"/>
          <w:sz w:val="24"/>
          <w:szCs w:val="24"/>
        </w:rPr>
      </w:pPr>
      <w:r w:rsidRPr="00F62849">
        <w:rPr>
          <w:rFonts w:ascii="Times New Roman" w:hAnsi="Times New Roman" w:eastAsia="Calibri" w:cs="Times New Roman"/>
          <w:sz w:val="24"/>
          <w:szCs w:val="24"/>
        </w:rPr>
        <w:t xml:space="preserve">BOEM Response: </w:t>
      </w:r>
      <w:r w:rsidRPr="00F62849">
        <w:rPr>
          <w:rFonts w:ascii="Times New Roman" w:hAnsi="Times New Roman" w:eastAsia="Calibri" w:cs="Times New Roman"/>
          <w:bCs/>
          <w:spacing w:val="-1"/>
          <w:sz w:val="24"/>
          <w:szCs w:val="24"/>
        </w:rPr>
        <w:t xml:space="preserve"> Typographical error corrected.</w:t>
      </w:r>
    </w:p>
    <w:p w:rsidRPr="00F62849" w:rsidR="005B4139" w:rsidP="005B4139" w:rsidRDefault="005B4139" w14:paraId="537FAC69" w14:textId="77777777">
      <w:pPr>
        <w:ind w:left="360"/>
        <w:textAlignment w:val="baseline"/>
        <w:rPr>
          <w:rFonts w:ascii="Times New Roman" w:hAnsi="Times New Roman" w:eastAsia="Calibri" w:cs="Times New Roman"/>
          <w:spacing w:val="-3"/>
          <w:sz w:val="24"/>
          <w:szCs w:val="24"/>
        </w:rPr>
      </w:pPr>
      <w:r w:rsidRPr="00F62849">
        <w:rPr>
          <w:rFonts w:ascii="Times New Roman" w:hAnsi="Times New Roman" w:eastAsia="Calibri" w:cs="Times New Roman"/>
          <w:spacing w:val="-2"/>
          <w:sz w:val="24"/>
          <w:szCs w:val="24"/>
        </w:rPr>
        <w:t>6.</w:t>
      </w:r>
      <w:r w:rsidRPr="00F62849">
        <w:rPr>
          <w:rFonts w:ascii="Times New Roman" w:hAnsi="Times New Roman" w:eastAsia="Calibri" w:cs="Times New Roman"/>
          <w:spacing w:val="-2"/>
          <w:sz w:val="24"/>
          <w:szCs w:val="24"/>
        </w:rPr>
        <w:tab/>
        <w:t xml:space="preserve">EMISSIONS1 Tab – Cell B21. Are “VESSELS - Shuttle Tankers” included in “Vessels – Propulsion” as listed on </w:t>
      </w:r>
      <w:r w:rsidRPr="00F62849">
        <w:rPr>
          <w:rFonts w:ascii="Times New Roman" w:hAnsi="Times New Roman" w:eastAsia="Calibri" w:cs="Times New Roman"/>
          <w:spacing w:val="-3"/>
          <w:sz w:val="24"/>
          <w:szCs w:val="24"/>
        </w:rPr>
        <w:t>the FACTORS tab, Cell B17? Can you include/specify that in the FACTORS Tab description?</w:t>
      </w:r>
    </w:p>
    <w:p w:rsidRPr="00F62849" w:rsidR="005B4139" w:rsidP="005B4139" w:rsidRDefault="005B4139" w14:paraId="6406222B" w14:textId="77777777">
      <w:pPr>
        <w:ind w:left="360"/>
        <w:textAlignment w:val="baseline"/>
        <w:rPr>
          <w:rFonts w:ascii="Times New Roman" w:hAnsi="Times New Roman" w:eastAsia="Calibri" w:cs="Times New Roman"/>
          <w:spacing w:val="-3"/>
          <w:sz w:val="24"/>
          <w:szCs w:val="24"/>
        </w:rPr>
      </w:pPr>
      <w:r w:rsidRPr="00F62849">
        <w:rPr>
          <w:rFonts w:ascii="Times New Roman" w:hAnsi="Times New Roman" w:eastAsia="Calibri" w:cs="Times New Roman"/>
          <w:sz w:val="24"/>
          <w:szCs w:val="24"/>
        </w:rPr>
        <w:t xml:space="preserve">BOEM Response: </w:t>
      </w:r>
      <w:r w:rsidRPr="00F62849">
        <w:rPr>
          <w:rFonts w:ascii="Times New Roman" w:hAnsi="Times New Roman" w:eastAsia="Calibri" w:cs="Times New Roman"/>
          <w:spacing w:val="-3"/>
          <w:sz w:val="24"/>
          <w:szCs w:val="24"/>
        </w:rPr>
        <w:t xml:space="preserve">The shuttle tanker row allows the user to estimate the propulsion emissions from shuttle tanker movements. </w:t>
      </w:r>
      <w:bookmarkStart w:name="_Hlk44577971" w:id="14"/>
      <w:r w:rsidRPr="00F62849">
        <w:rPr>
          <w:rFonts w:ascii="Times New Roman" w:hAnsi="Times New Roman" w:eastAsia="Calibri" w:cs="Times New Roman"/>
          <w:spacing w:val="-3"/>
          <w:sz w:val="24"/>
          <w:szCs w:val="24"/>
        </w:rPr>
        <w:t xml:space="preserve">This is now noted in the DOCD/DPP instructions.  </w:t>
      </w:r>
      <w:bookmarkEnd w:id="14"/>
    </w:p>
    <w:p w:rsidRPr="00F62849" w:rsidR="005B4139" w:rsidP="005B4139" w:rsidRDefault="005B4139" w14:paraId="5A59A648" w14:textId="77777777">
      <w:pPr>
        <w:tabs>
          <w:tab w:val="left" w:pos="504"/>
        </w:tabs>
        <w:ind w:left="360"/>
        <w:textAlignment w:val="baseline"/>
        <w:rPr>
          <w:rFonts w:ascii="Times New Roman" w:hAnsi="Times New Roman" w:eastAsia="Calibri" w:cs="Times New Roman"/>
          <w:spacing w:val="-3"/>
          <w:sz w:val="24"/>
          <w:szCs w:val="24"/>
        </w:rPr>
      </w:pPr>
      <w:r w:rsidRPr="00F62849">
        <w:rPr>
          <w:rFonts w:ascii="Times New Roman" w:hAnsi="Times New Roman" w:eastAsia="Calibri" w:cs="Times New Roman"/>
          <w:spacing w:val="-2"/>
          <w:sz w:val="24"/>
          <w:szCs w:val="24"/>
        </w:rPr>
        <w:t>7.</w:t>
      </w:r>
      <w:r w:rsidRPr="00F62849">
        <w:rPr>
          <w:rFonts w:ascii="Times New Roman" w:hAnsi="Times New Roman" w:eastAsia="Calibri" w:cs="Times New Roman"/>
          <w:spacing w:val="-2"/>
          <w:sz w:val="24"/>
          <w:szCs w:val="24"/>
        </w:rPr>
        <w:tab/>
        <w:t xml:space="preserve">EMISSIONS Tab. Can BOEM explain the reason the “0.85” adjustment factor is used to calculate </w:t>
      </w:r>
      <w:proofErr w:type="spellStart"/>
      <w:r w:rsidRPr="00F62849">
        <w:rPr>
          <w:rFonts w:ascii="Times New Roman" w:hAnsi="Times New Roman" w:eastAsia="Calibri" w:cs="Times New Roman"/>
          <w:spacing w:val="-2"/>
          <w:sz w:val="24"/>
          <w:szCs w:val="24"/>
        </w:rPr>
        <w:t>lbs</w:t>
      </w:r>
      <w:proofErr w:type="spellEnd"/>
      <w:r w:rsidRPr="00F62849">
        <w:rPr>
          <w:rFonts w:ascii="Times New Roman" w:hAnsi="Times New Roman" w:eastAsia="Calibri" w:cs="Times New Roman"/>
          <w:spacing w:val="-2"/>
          <w:sz w:val="24"/>
          <w:szCs w:val="24"/>
        </w:rPr>
        <w:t>/</w:t>
      </w:r>
      <w:proofErr w:type="spellStart"/>
      <w:r w:rsidRPr="00F62849">
        <w:rPr>
          <w:rFonts w:ascii="Times New Roman" w:hAnsi="Times New Roman" w:eastAsia="Calibri" w:cs="Times New Roman"/>
          <w:spacing w:val="-2"/>
          <w:sz w:val="24"/>
          <w:szCs w:val="24"/>
        </w:rPr>
        <w:t>hr</w:t>
      </w:r>
      <w:proofErr w:type="spellEnd"/>
      <w:r w:rsidRPr="00F62849">
        <w:rPr>
          <w:rFonts w:ascii="Times New Roman" w:hAnsi="Times New Roman" w:eastAsia="Calibri" w:cs="Times New Roman"/>
          <w:spacing w:val="-2"/>
          <w:sz w:val="24"/>
          <w:szCs w:val="24"/>
        </w:rPr>
        <w:t xml:space="preserve"> for </w:t>
      </w:r>
      <w:r w:rsidRPr="00F62849">
        <w:rPr>
          <w:rFonts w:ascii="Times New Roman" w:hAnsi="Times New Roman" w:eastAsia="Calibri" w:cs="Times New Roman"/>
          <w:spacing w:val="-3"/>
          <w:sz w:val="24"/>
          <w:szCs w:val="24"/>
        </w:rPr>
        <w:t>“VESSELS- Drilling - Propulsion Engine – Diesel” emissions? Reference: Cells I7, J7, K7, L7, M7. N7, O7.</w:t>
      </w:r>
    </w:p>
    <w:p w:rsidRPr="00F62849" w:rsidR="005B4139" w:rsidP="005B4139" w:rsidRDefault="005B4139" w14:paraId="3C4D101E" w14:textId="77777777">
      <w:pPr>
        <w:pStyle w:val="ListParagraph"/>
        <w:numPr>
          <w:ilvl w:val="0"/>
          <w:numId w:val="32"/>
        </w:numPr>
        <w:tabs>
          <w:tab w:val="left" w:pos="504"/>
        </w:tabs>
        <w:textAlignment w:val="baseline"/>
        <w:rPr>
          <w:rFonts w:ascii="Times New Roman" w:hAnsi="Times New Roman" w:eastAsia="Calibri" w:cs="Times New Roman"/>
          <w:spacing w:val="-3"/>
          <w:sz w:val="24"/>
          <w:szCs w:val="24"/>
        </w:rPr>
      </w:pPr>
      <w:r w:rsidRPr="00F62849">
        <w:rPr>
          <w:rFonts w:ascii="Times New Roman" w:hAnsi="Times New Roman" w:eastAsia="Calibri" w:cs="Times New Roman"/>
          <w:spacing w:val="-6"/>
          <w:sz w:val="24"/>
          <w:szCs w:val="24"/>
        </w:rPr>
        <w:lastRenderedPageBreak/>
        <w:t xml:space="preserve">There is no explanation of this in the “Air Emissions Calculations Instructions For EPs and DOCDs” documents. A note in the instructions document should explain reason for the adjustment factor. </w:t>
      </w:r>
    </w:p>
    <w:p w:rsidRPr="00F62849" w:rsidR="005B4139" w:rsidP="005B4139" w:rsidRDefault="005B4139" w14:paraId="73702151" w14:textId="77777777">
      <w:pPr>
        <w:pStyle w:val="ListParagraph"/>
        <w:numPr>
          <w:ilvl w:val="0"/>
          <w:numId w:val="32"/>
        </w:numPr>
        <w:tabs>
          <w:tab w:val="left" w:pos="504"/>
        </w:tabs>
        <w:textAlignment w:val="baseline"/>
        <w:rPr>
          <w:rFonts w:ascii="Times New Roman" w:hAnsi="Times New Roman" w:eastAsia="Calibri" w:cs="Times New Roman"/>
          <w:spacing w:val="-3"/>
          <w:sz w:val="24"/>
          <w:szCs w:val="24"/>
        </w:rPr>
      </w:pPr>
      <w:r w:rsidRPr="00F62849">
        <w:rPr>
          <w:rFonts w:ascii="Times New Roman" w:hAnsi="Times New Roman" w:eastAsia="Calibri" w:cs="Times New Roman"/>
          <w:sz w:val="24"/>
          <w:szCs w:val="24"/>
        </w:rPr>
        <w:t xml:space="preserve">Using unexplained emission factors adjustments may cause more errors since users often copy and paste cells to calculate emission for multiple similar emission source types. The 0.85 factor is also used for </w:t>
      </w:r>
      <w:proofErr w:type="spellStart"/>
      <w:r w:rsidRPr="00F62849">
        <w:rPr>
          <w:rFonts w:ascii="Times New Roman" w:hAnsi="Times New Roman" w:eastAsia="Calibri" w:cs="Times New Roman"/>
          <w:sz w:val="24"/>
          <w:szCs w:val="24"/>
        </w:rPr>
        <w:t>lbs</w:t>
      </w:r>
      <w:proofErr w:type="spellEnd"/>
      <w:r w:rsidRPr="00F62849">
        <w:rPr>
          <w:rFonts w:ascii="Times New Roman" w:hAnsi="Times New Roman" w:eastAsia="Calibri" w:cs="Times New Roman"/>
          <w:sz w:val="24"/>
          <w:szCs w:val="24"/>
        </w:rPr>
        <w:t>/</w:t>
      </w:r>
      <w:proofErr w:type="spellStart"/>
      <w:r w:rsidRPr="00F62849">
        <w:rPr>
          <w:rFonts w:ascii="Times New Roman" w:hAnsi="Times New Roman" w:eastAsia="Calibri" w:cs="Times New Roman"/>
          <w:sz w:val="24"/>
          <w:szCs w:val="24"/>
        </w:rPr>
        <w:t>hr</w:t>
      </w:r>
      <w:proofErr w:type="spellEnd"/>
      <w:r w:rsidRPr="00F62849">
        <w:rPr>
          <w:rFonts w:ascii="Times New Roman" w:hAnsi="Times New Roman" w:eastAsia="Calibri" w:cs="Times New Roman"/>
          <w:sz w:val="24"/>
          <w:szCs w:val="24"/>
        </w:rPr>
        <w:t xml:space="preserve"> calculations for other “VESSELS.”</w:t>
      </w:r>
    </w:p>
    <w:p w:rsidR="005B4139" w:rsidP="005B4139" w:rsidRDefault="005B4139" w14:paraId="2FBB1923" w14:textId="77777777">
      <w:pPr>
        <w:widowControl/>
        <w:tabs>
          <w:tab w:val="left" w:pos="360"/>
        </w:tabs>
        <w:spacing w:after="0" w:line="240" w:lineRule="auto"/>
        <w:ind w:left="360" w:right="144"/>
        <w:textAlignment w:val="baseline"/>
        <w:rPr>
          <w:rFonts w:ascii="Times New Roman" w:hAnsi="Times New Roman" w:eastAsia="Calibri" w:cs="Times New Roman"/>
          <w:spacing w:val="-4"/>
          <w:sz w:val="24"/>
          <w:szCs w:val="24"/>
        </w:rPr>
      </w:pPr>
      <w:r w:rsidRPr="00F62849">
        <w:rPr>
          <w:rFonts w:ascii="Times New Roman" w:hAnsi="Times New Roman" w:eastAsia="Calibri" w:cs="Times New Roman"/>
          <w:sz w:val="24"/>
          <w:szCs w:val="24"/>
        </w:rPr>
        <w:t xml:space="preserve">BOEM Response: </w:t>
      </w:r>
      <w:r w:rsidRPr="008D39A5">
        <w:rPr>
          <w:rFonts w:ascii="Times New Roman" w:hAnsi="Times New Roman" w:eastAsia="Calibri" w:cs="Times New Roman"/>
          <w:sz w:val="24"/>
          <w:szCs w:val="24"/>
        </w:rPr>
        <w:t xml:space="preserve">Based on the comment, BOEM has removed the 0.85 adjustment factor for the source categories mentioned in this comment.  </w:t>
      </w:r>
      <w:r>
        <w:rPr>
          <w:rFonts w:ascii="Times New Roman" w:hAnsi="Times New Roman" w:eastAsia="Calibri" w:cs="Times New Roman"/>
          <w:spacing w:val="-4"/>
          <w:sz w:val="24"/>
          <w:szCs w:val="24"/>
        </w:rPr>
        <w:t>As reflected in the draft form,</w:t>
      </w:r>
      <w:r w:rsidRPr="008D39A5">
        <w:rPr>
          <w:rFonts w:ascii="Times New Roman" w:hAnsi="Times New Roman" w:eastAsia="Calibri" w:cs="Times New Roman"/>
          <w:sz w:val="24"/>
          <w:szCs w:val="24"/>
        </w:rPr>
        <w:t xml:space="preserve"> BOEM had </w:t>
      </w:r>
      <w:r>
        <w:rPr>
          <w:rFonts w:ascii="Times New Roman" w:hAnsi="Times New Roman" w:eastAsia="Calibri" w:cs="Times New Roman"/>
          <w:sz w:val="24"/>
          <w:szCs w:val="24"/>
        </w:rPr>
        <w:t>believed</w:t>
      </w:r>
      <w:r w:rsidRPr="008D39A5">
        <w:rPr>
          <w:rFonts w:ascii="Times New Roman" w:hAnsi="Times New Roman" w:eastAsia="Calibri" w:cs="Times New Roman"/>
          <w:sz w:val="24"/>
          <w:szCs w:val="24"/>
        </w:rPr>
        <w:t xml:space="preserve"> that the 0.85 adjustment factors should be applied to reflect engine operating load.  </w:t>
      </w:r>
      <w:r>
        <w:rPr>
          <w:rFonts w:ascii="Times New Roman" w:hAnsi="Times New Roman" w:eastAsia="Calibri" w:cs="Times New Roman"/>
          <w:sz w:val="24"/>
          <w:szCs w:val="24"/>
        </w:rPr>
        <w:t>However,</w:t>
      </w:r>
      <w:r w:rsidRPr="008D39A5">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in </w:t>
      </w:r>
      <w:r w:rsidRPr="008D39A5">
        <w:rPr>
          <w:rFonts w:ascii="Times New Roman" w:hAnsi="Times New Roman" w:eastAsia="Calibri" w:cs="Times New Roman"/>
          <w:sz w:val="24"/>
          <w:szCs w:val="24"/>
        </w:rPr>
        <w:t>the</w:t>
      </w:r>
      <w:r>
        <w:rPr>
          <w:rFonts w:ascii="Times New Roman" w:hAnsi="Times New Roman" w:eastAsia="Calibri" w:cs="Times New Roman"/>
          <w:sz w:val="24"/>
          <w:szCs w:val="24"/>
        </w:rPr>
        <w:t xml:space="preserve"> final</w:t>
      </w:r>
      <w:r w:rsidRPr="008D39A5">
        <w:rPr>
          <w:rFonts w:ascii="Times New Roman" w:hAnsi="Times New Roman" w:eastAsia="Calibri" w:cs="Times New Roman"/>
          <w:sz w:val="24"/>
          <w:szCs w:val="24"/>
        </w:rPr>
        <w:t xml:space="preserve"> spreadsheet, BOEM is removing this embedded adjustment factor to reflect the fact that typically engine loads should be assumed to be 100%.  </w:t>
      </w:r>
      <w:r>
        <w:rPr>
          <w:rFonts w:ascii="Times New Roman" w:hAnsi="Times New Roman" w:eastAsia="Calibri" w:cs="Times New Roman"/>
          <w:sz w:val="24"/>
          <w:szCs w:val="24"/>
        </w:rPr>
        <w:t>O</w:t>
      </w:r>
      <w:r w:rsidRPr="008D39A5">
        <w:rPr>
          <w:rFonts w:ascii="Times New Roman" w:hAnsi="Times New Roman" w:eastAsia="Calibri" w:cs="Times New Roman"/>
          <w:sz w:val="24"/>
          <w:szCs w:val="24"/>
        </w:rPr>
        <w:t xml:space="preserve">perators can choose to use a different operating load </w:t>
      </w:r>
      <w:r>
        <w:rPr>
          <w:rFonts w:ascii="Times New Roman" w:hAnsi="Times New Roman" w:eastAsia="Calibri" w:cs="Times New Roman"/>
          <w:sz w:val="24"/>
          <w:szCs w:val="24"/>
        </w:rPr>
        <w:t>as long as</w:t>
      </w:r>
      <w:r w:rsidRPr="008D39A5">
        <w:rPr>
          <w:rFonts w:ascii="Times New Roman" w:hAnsi="Times New Roman" w:eastAsia="Calibri" w:cs="Times New Roman"/>
          <w:sz w:val="24"/>
          <w:szCs w:val="24"/>
        </w:rPr>
        <w:t xml:space="preserve"> documentation is provided for the maximum fuel usage rate (column E) and the actual fuel usage (Column F), as noted in the instructions for the </w:t>
      </w:r>
      <w:r>
        <w:rPr>
          <w:rFonts w:ascii="Times New Roman" w:hAnsi="Times New Roman" w:eastAsia="Calibri" w:cs="Times New Roman"/>
          <w:sz w:val="24"/>
          <w:szCs w:val="24"/>
        </w:rPr>
        <w:t>DOCD/DPP</w:t>
      </w:r>
      <w:r w:rsidRPr="008D39A5">
        <w:rPr>
          <w:rFonts w:ascii="Times New Roman" w:hAnsi="Times New Roman" w:eastAsia="Calibri" w:cs="Times New Roman"/>
          <w:sz w:val="24"/>
          <w:szCs w:val="24"/>
        </w:rPr>
        <w:t xml:space="preserve"> form.</w:t>
      </w:r>
      <w:r w:rsidRPr="00F62849" w:rsidDel="008D39A5">
        <w:rPr>
          <w:rFonts w:ascii="Times New Roman" w:hAnsi="Times New Roman" w:eastAsia="Calibri" w:cs="Times New Roman"/>
          <w:spacing w:val="-4"/>
          <w:sz w:val="24"/>
          <w:szCs w:val="24"/>
        </w:rPr>
        <w:t xml:space="preserve"> </w:t>
      </w:r>
    </w:p>
    <w:p w:rsidRPr="003274F7" w:rsidR="005B4139" w:rsidP="005B4139" w:rsidRDefault="005B4139" w14:paraId="37C01F2B" w14:textId="77777777">
      <w:pPr>
        <w:widowControl/>
        <w:tabs>
          <w:tab w:val="left" w:pos="0"/>
        </w:tabs>
        <w:spacing w:after="0" w:line="240" w:lineRule="auto"/>
        <w:ind w:left="360" w:right="144"/>
        <w:textAlignment w:val="baseline"/>
        <w:rPr>
          <w:rFonts w:ascii="Times New Roman" w:hAnsi="Times New Roman" w:eastAsia="Calibri" w:cs="Times New Roman"/>
          <w:spacing w:val="-4"/>
          <w:sz w:val="24"/>
          <w:szCs w:val="24"/>
        </w:rPr>
      </w:pPr>
    </w:p>
    <w:p w:rsidRPr="00F62849" w:rsidR="005B4139" w:rsidP="005B4139" w:rsidRDefault="005B4139" w14:paraId="60788B16" w14:textId="77777777">
      <w:pPr>
        <w:widowControl/>
        <w:numPr>
          <w:ilvl w:val="0"/>
          <w:numId w:val="21"/>
        </w:numPr>
        <w:tabs>
          <w:tab w:val="clear" w:pos="360"/>
          <w:tab w:val="left" w:pos="0"/>
        </w:tabs>
        <w:spacing w:after="0" w:line="240" w:lineRule="auto"/>
        <w:ind w:left="360" w:right="144"/>
        <w:textAlignment w:val="baseline"/>
        <w:rPr>
          <w:rFonts w:ascii="Times New Roman" w:hAnsi="Times New Roman" w:eastAsia="Calibri" w:cs="Times New Roman"/>
          <w:spacing w:val="-4"/>
          <w:sz w:val="24"/>
          <w:szCs w:val="24"/>
        </w:rPr>
      </w:pPr>
      <w:r w:rsidRPr="00F62849">
        <w:rPr>
          <w:rFonts w:ascii="Times New Roman" w:hAnsi="Times New Roman" w:eastAsia="Calibri" w:cs="Times New Roman"/>
          <w:spacing w:val="-1"/>
          <w:sz w:val="24"/>
          <w:szCs w:val="24"/>
        </w:rPr>
        <w:t xml:space="preserve">EMISSIONS1 Tab - VESSELS - Well Stimulation, a factor of “0.3863” is used for </w:t>
      </w:r>
      <w:proofErr w:type="spellStart"/>
      <w:r w:rsidRPr="00F62849">
        <w:rPr>
          <w:rFonts w:ascii="Times New Roman" w:hAnsi="Times New Roman" w:eastAsia="Calibri" w:cs="Times New Roman"/>
          <w:spacing w:val="-1"/>
          <w:sz w:val="24"/>
          <w:szCs w:val="24"/>
        </w:rPr>
        <w:t>lbs</w:t>
      </w:r>
      <w:proofErr w:type="spellEnd"/>
      <w:r w:rsidRPr="00F62849">
        <w:rPr>
          <w:rFonts w:ascii="Times New Roman" w:hAnsi="Times New Roman" w:eastAsia="Calibri" w:cs="Times New Roman"/>
          <w:spacing w:val="-1"/>
          <w:sz w:val="24"/>
          <w:szCs w:val="24"/>
        </w:rPr>
        <w:t>/</w:t>
      </w:r>
      <w:proofErr w:type="spellStart"/>
      <w:r w:rsidRPr="00F62849">
        <w:rPr>
          <w:rFonts w:ascii="Times New Roman" w:hAnsi="Times New Roman" w:eastAsia="Calibri" w:cs="Times New Roman"/>
          <w:spacing w:val="-1"/>
          <w:sz w:val="24"/>
          <w:szCs w:val="24"/>
        </w:rPr>
        <w:t>hr</w:t>
      </w:r>
      <w:proofErr w:type="spellEnd"/>
      <w:r w:rsidRPr="00F62849">
        <w:rPr>
          <w:rFonts w:ascii="Times New Roman" w:hAnsi="Times New Roman" w:eastAsia="Calibri" w:cs="Times New Roman"/>
          <w:spacing w:val="-1"/>
          <w:sz w:val="24"/>
          <w:szCs w:val="24"/>
        </w:rPr>
        <w:t xml:space="preserve"> calculations. As stated in comment 7 above, an explanation of why this factor is used should be included in the instructions.</w:t>
      </w:r>
    </w:p>
    <w:p w:rsidRPr="00F62849" w:rsidR="005B4139" w:rsidP="005B4139" w:rsidRDefault="005B4139" w14:paraId="0B7CBC5D" w14:textId="77777777">
      <w:pPr>
        <w:widowControl/>
        <w:spacing w:after="0" w:line="240" w:lineRule="auto"/>
        <w:ind w:left="360" w:right="144"/>
        <w:textAlignment w:val="baseline"/>
        <w:rPr>
          <w:rFonts w:ascii="Times New Roman" w:hAnsi="Times New Roman" w:eastAsia="Calibri" w:cs="Times New Roman"/>
          <w:spacing w:val="-1"/>
          <w:sz w:val="24"/>
          <w:szCs w:val="24"/>
        </w:rPr>
      </w:pPr>
    </w:p>
    <w:p w:rsidR="005B4139" w:rsidP="005B4139" w:rsidRDefault="005B4139" w14:paraId="4B52E871" w14:textId="77777777">
      <w:pPr>
        <w:widowControl/>
        <w:spacing w:after="0" w:line="240" w:lineRule="auto"/>
        <w:ind w:left="360" w:right="144"/>
        <w:textAlignment w:val="baseline"/>
        <w:rPr>
          <w:rFonts w:ascii="Times New Roman" w:hAnsi="Times New Roman" w:eastAsia="Calibri" w:cs="Times New Roman"/>
          <w:spacing w:val="-4"/>
          <w:sz w:val="24"/>
          <w:szCs w:val="24"/>
        </w:rPr>
      </w:pPr>
      <w:r w:rsidRPr="00F62849">
        <w:rPr>
          <w:rFonts w:ascii="Times New Roman" w:hAnsi="Times New Roman" w:eastAsia="Calibri" w:cs="Times New Roman"/>
          <w:sz w:val="24"/>
          <w:szCs w:val="24"/>
        </w:rPr>
        <w:t xml:space="preserve">BOEM Response:  </w:t>
      </w:r>
      <w:r w:rsidRPr="00F23D98">
        <w:rPr>
          <w:rFonts w:ascii="Times New Roman" w:hAnsi="Times New Roman" w:eastAsia="Calibri" w:cs="Times New Roman"/>
          <w:sz w:val="24"/>
          <w:szCs w:val="24"/>
        </w:rPr>
        <w:t xml:space="preserve">Based on the comment, BOEM has removed the 0.85 </w:t>
      </w:r>
      <w:r>
        <w:rPr>
          <w:rFonts w:ascii="Times New Roman" w:hAnsi="Times New Roman" w:eastAsia="Calibri" w:cs="Times New Roman"/>
          <w:sz w:val="24"/>
          <w:szCs w:val="24"/>
        </w:rPr>
        <w:t xml:space="preserve">and 0.3863 </w:t>
      </w:r>
      <w:r w:rsidRPr="00F23D98">
        <w:rPr>
          <w:rFonts w:ascii="Times New Roman" w:hAnsi="Times New Roman" w:eastAsia="Calibri" w:cs="Times New Roman"/>
          <w:sz w:val="24"/>
          <w:szCs w:val="24"/>
        </w:rPr>
        <w:t>adjustment factor</w:t>
      </w:r>
      <w:r>
        <w:rPr>
          <w:rFonts w:ascii="Times New Roman" w:hAnsi="Times New Roman" w:eastAsia="Calibri" w:cs="Times New Roman"/>
          <w:sz w:val="24"/>
          <w:szCs w:val="24"/>
        </w:rPr>
        <w:t>s</w:t>
      </w:r>
      <w:r w:rsidRPr="00F23D98">
        <w:rPr>
          <w:rFonts w:ascii="Times New Roman" w:hAnsi="Times New Roman" w:eastAsia="Calibri" w:cs="Times New Roman"/>
          <w:sz w:val="24"/>
          <w:szCs w:val="24"/>
        </w:rPr>
        <w:t xml:space="preserve"> for the source categories mentioned in this comment</w:t>
      </w:r>
      <w:r>
        <w:rPr>
          <w:rFonts w:ascii="Times New Roman" w:hAnsi="Times New Roman" w:eastAsia="Calibri" w:cs="Times New Roman"/>
          <w:sz w:val="24"/>
          <w:szCs w:val="24"/>
        </w:rPr>
        <w:t xml:space="preserve"> and comment 7</w:t>
      </w:r>
      <w:r w:rsidRPr="00F23D98">
        <w:rPr>
          <w:rFonts w:ascii="Times New Roman" w:hAnsi="Times New Roman" w:eastAsia="Calibri" w:cs="Times New Roman"/>
          <w:sz w:val="24"/>
          <w:szCs w:val="24"/>
        </w:rPr>
        <w:t xml:space="preserve">.  </w:t>
      </w:r>
      <w:r>
        <w:rPr>
          <w:rFonts w:ascii="Times New Roman" w:hAnsi="Times New Roman" w:eastAsia="Calibri" w:cs="Times New Roman"/>
          <w:spacing w:val="-4"/>
          <w:sz w:val="24"/>
          <w:szCs w:val="24"/>
        </w:rPr>
        <w:t>As reflected in the draft form</w:t>
      </w:r>
      <w:r w:rsidRPr="00F23D98">
        <w:rPr>
          <w:rFonts w:ascii="Times New Roman" w:hAnsi="Times New Roman" w:eastAsia="Calibri" w:cs="Times New Roman"/>
          <w:sz w:val="24"/>
          <w:szCs w:val="24"/>
        </w:rPr>
        <w:t xml:space="preserve">, BOEM had </w:t>
      </w:r>
      <w:r>
        <w:rPr>
          <w:rFonts w:ascii="Times New Roman" w:hAnsi="Times New Roman" w:eastAsia="Calibri" w:cs="Times New Roman"/>
          <w:sz w:val="24"/>
          <w:szCs w:val="24"/>
        </w:rPr>
        <w:t>believed</w:t>
      </w:r>
      <w:r w:rsidRPr="00F23D98">
        <w:rPr>
          <w:rFonts w:ascii="Times New Roman" w:hAnsi="Times New Roman" w:eastAsia="Calibri" w:cs="Times New Roman"/>
          <w:sz w:val="24"/>
          <w:szCs w:val="24"/>
        </w:rPr>
        <w:t xml:space="preserve"> that the 0.85 adjustment factors should be applied to reflect engine operating load.  </w:t>
      </w:r>
      <w:r>
        <w:rPr>
          <w:rFonts w:ascii="Times New Roman" w:hAnsi="Times New Roman" w:eastAsia="Calibri" w:cs="Times New Roman"/>
          <w:sz w:val="24"/>
          <w:szCs w:val="24"/>
        </w:rPr>
        <w:t>In the final</w:t>
      </w:r>
      <w:r w:rsidRPr="00F23D98">
        <w:rPr>
          <w:rFonts w:ascii="Times New Roman" w:hAnsi="Times New Roman" w:eastAsia="Calibri" w:cs="Times New Roman"/>
          <w:sz w:val="24"/>
          <w:szCs w:val="24"/>
        </w:rPr>
        <w:t xml:space="preserve"> spreadsheet, BOEM is removing this embedded adjustment factor to reflect the fact that typically engine loads should be assumed to be 100%.  However, operators can choose to use a different operating load </w:t>
      </w:r>
      <w:r>
        <w:rPr>
          <w:rFonts w:ascii="Times New Roman" w:hAnsi="Times New Roman" w:eastAsia="Calibri" w:cs="Times New Roman"/>
          <w:sz w:val="24"/>
          <w:szCs w:val="24"/>
        </w:rPr>
        <w:t>as long as</w:t>
      </w:r>
      <w:r w:rsidRPr="00F23D98">
        <w:rPr>
          <w:rFonts w:ascii="Times New Roman" w:hAnsi="Times New Roman" w:eastAsia="Calibri" w:cs="Times New Roman"/>
          <w:sz w:val="24"/>
          <w:szCs w:val="24"/>
        </w:rPr>
        <w:t xml:space="preserve"> documentation is provided for the maximum fuel usage rate (column E) and the actual fuel usage (Column F), as noted in the instructions for the </w:t>
      </w:r>
      <w:r>
        <w:rPr>
          <w:rFonts w:ascii="Times New Roman" w:hAnsi="Times New Roman" w:eastAsia="Calibri" w:cs="Times New Roman"/>
          <w:sz w:val="24"/>
          <w:szCs w:val="24"/>
        </w:rPr>
        <w:t xml:space="preserve">DOCD/DPP </w:t>
      </w:r>
      <w:r w:rsidRPr="00F23D98">
        <w:rPr>
          <w:rFonts w:ascii="Times New Roman" w:hAnsi="Times New Roman" w:eastAsia="Calibri" w:cs="Times New Roman"/>
          <w:sz w:val="24"/>
          <w:szCs w:val="24"/>
        </w:rPr>
        <w:t>form.</w:t>
      </w:r>
      <w:r w:rsidRPr="00F62849">
        <w:rPr>
          <w:rFonts w:ascii="Times New Roman" w:hAnsi="Times New Roman" w:eastAsia="Calibri" w:cs="Times New Roman"/>
          <w:spacing w:val="-4"/>
          <w:sz w:val="24"/>
          <w:szCs w:val="24"/>
        </w:rPr>
        <w:t xml:space="preserve"> </w:t>
      </w:r>
    </w:p>
    <w:p w:rsidRPr="00F62849" w:rsidR="005B4139" w:rsidP="005B4139" w:rsidRDefault="005B4139" w14:paraId="46AC1AC8" w14:textId="77777777">
      <w:pPr>
        <w:widowControl/>
        <w:spacing w:after="0" w:line="240" w:lineRule="auto"/>
        <w:ind w:left="360" w:right="144"/>
        <w:textAlignment w:val="baseline"/>
        <w:rPr>
          <w:rFonts w:ascii="Times New Roman" w:hAnsi="Times New Roman" w:eastAsia="Calibri" w:cs="Times New Roman"/>
          <w:spacing w:val="-4"/>
          <w:sz w:val="24"/>
          <w:szCs w:val="24"/>
        </w:rPr>
      </w:pPr>
    </w:p>
    <w:p w:rsidRPr="00F62849" w:rsidR="005B4139" w:rsidP="005B4139" w:rsidRDefault="005B4139" w14:paraId="538C3B6E" w14:textId="77777777">
      <w:pPr>
        <w:widowControl/>
        <w:numPr>
          <w:ilvl w:val="0"/>
          <w:numId w:val="21"/>
        </w:numPr>
        <w:tabs>
          <w:tab w:val="clear" w:pos="360"/>
          <w:tab w:val="left" w:pos="0"/>
        </w:tabs>
        <w:spacing w:after="0" w:line="240" w:lineRule="auto"/>
        <w:ind w:left="360"/>
        <w:textAlignment w:val="baseline"/>
        <w:rPr>
          <w:rFonts w:ascii="Times New Roman" w:hAnsi="Times New Roman" w:eastAsia="Calibri" w:cs="Times New Roman"/>
          <w:sz w:val="24"/>
          <w:szCs w:val="24"/>
        </w:rPr>
      </w:pPr>
      <w:r w:rsidRPr="00F62849">
        <w:rPr>
          <w:rFonts w:ascii="Times New Roman" w:hAnsi="Times New Roman" w:eastAsia="Calibri" w:cs="Times New Roman"/>
          <w:sz w:val="24"/>
          <w:szCs w:val="24"/>
        </w:rPr>
        <w:t>SUMMARY Tab: The default Print range for this tab does not include NH3.</w:t>
      </w:r>
    </w:p>
    <w:p w:rsidRPr="00F62849" w:rsidR="005B4139" w:rsidP="005B4139" w:rsidRDefault="005B4139" w14:paraId="45D0BD75" w14:textId="77777777">
      <w:pPr>
        <w:widowControl/>
        <w:tabs>
          <w:tab w:val="left" w:pos="360"/>
        </w:tabs>
        <w:spacing w:after="0" w:line="240" w:lineRule="auto"/>
        <w:ind w:left="360"/>
        <w:textAlignment w:val="baseline"/>
        <w:rPr>
          <w:rFonts w:ascii="Times New Roman" w:hAnsi="Times New Roman" w:eastAsia="Calibri" w:cs="Times New Roman"/>
          <w:sz w:val="24"/>
          <w:szCs w:val="24"/>
        </w:rPr>
      </w:pPr>
    </w:p>
    <w:p w:rsidRPr="00F62849" w:rsidR="005B4139" w:rsidP="005B4139" w:rsidRDefault="005B4139" w14:paraId="74010AD1" w14:textId="77777777">
      <w:pPr>
        <w:widowControl/>
        <w:spacing w:after="0" w:line="240" w:lineRule="auto"/>
        <w:ind w:left="360"/>
        <w:textAlignment w:val="baseline"/>
        <w:rPr>
          <w:rFonts w:ascii="Times New Roman" w:hAnsi="Times New Roman" w:cs="Times New Roman"/>
          <w:sz w:val="24"/>
          <w:szCs w:val="24"/>
        </w:rPr>
      </w:pPr>
      <w:r w:rsidRPr="00F62849">
        <w:rPr>
          <w:rFonts w:ascii="Times New Roman" w:hAnsi="Times New Roman" w:eastAsia="Calibri" w:cs="Times New Roman"/>
          <w:sz w:val="24"/>
          <w:szCs w:val="24"/>
        </w:rPr>
        <w:t xml:space="preserve">BOEM Response:  </w:t>
      </w:r>
      <w:r w:rsidRPr="00F62849">
        <w:rPr>
          <w:rFonts w:ascii="Times New Roman" w:hAnsi="Times New Roman" w:cs="Times New Roman"/>
          <w:sz w:val="24"/>
          <w:szCs w:val="24"/>
        </w:rPr>
        <w:t>BOEM has corrected the default Print Range.</w:t>
      </w:r>
    </w:p>
    <w:p w:rsidRPr="00F62849" w:rsidR="005B4139" w:rsidP="005B4139" w:rsidRDefault="005B4139" w14:paraId="6708E18B" w14:textId="77777777">
      <w:pPr>
        <w:widowControl/>
        <w:spacing w:after="0" w:line="240" w:lineRule="auto"/>
        <w:ind w:left="360"/>
        <w:textAlignment w:val="baseline"/>
        <w:rPr>
          <w:rFonts w:ascii="Times New Roman" w:hAnsi="Times New Roman" w:eastAsia="Calibri" w:cs="Times New Roman"/>
          <w:sz w:val="24"/>
          <w:szCs w:val="24"/>
        </w:rPr>
      </w:pPr>
    </w:p>
    <w:p w:rsidRPr="00F62849" w:rsidR="005B4139" w:rsidP="005B4139" w:rsidRDefault="005B4139" w14:paraId="5AC187CE" w14:textId="77777777">
      <w:pPr>
        <w:widowControl/>
        <w:numPr>
          <w:ilvl w:val="0"/>
          <w:numId w:val="21"/>
        </w:numPr>
        <w:tabs>
          <w:tab w:val="clear" w:pos="360"/>
          <w:tab w:val="left" w:pos="0"/>
        </w:tabs>
        <w:spacing w:after="0" w:line="240" w:lineRule="auto"/>
        <w:ind w:left="360" w:right="432"/>
        <w:textAlignment w:val="baseline"/>
        <w:rPr>
          <w:rFonts w:ascii="Times New Roman" w:hAnsi="Times New Roman" w:eastAsia="Calibri" w:cs="Times New Roman"/>
          <w:spacing w:val="-1"/>
          <w:sz w:val="24"/>
          <w:szCs w:val="24"/>
        </w:rPr>
      </w:pPr>
      <w:r w:rsidRPr="00F62849">
        <w:rPr>
          <w:rFonts w:ascii="Times New Roman" w:hAnsi="Times New Roman" w:eastAsia="Calibri" w:cs="Times New Roman"/>
          <w:sz w:val="24"/>
          <w:szCs w:val="24"/>
        </w:rPr>
        <w:t xml:space="preserve">AIR EMISSIONS CALCULATIONS INSTRUCTIONS FOR DOCDs and PRA Statement. The instructions should state how an operator inputs emissions data for a storage tank that has a vapor recovery unit or where the vent gas is routed to a flare. Suggest that there be a way to account for a percent destruction and removal efficiency (DRE) for the emission control device used.  </w:t>
      </w:r>
    </w:p>
    <w:p w:rsidRPr="00F62849" w:rsidR="005B4139" w:rsidP="005B4139" w:rsidRDefault="005B4139" w14:paraId="4D83E2C5" w14:textId="77777777">
      <w:pPr>
        <w:widowControl/>
        <w:tabs>
          <w:tab w:val="left" w:pos="360"/>
        </w:tabs>
        <w:spacing w:after="0" w:line="240" w:lineRule="auto"/>
        <w:ind w:left="360" w:right="432"/>
        <w:textAlignment w:val="baseline"/>
        <w:rPr>
          <w:rFonts w:ascii="Times New Roman" w:hAnsi="Times New Roman" w:eastAsia="Calibri" w:cs="Times New Roman"/>
          <w:spacing w:val="-1"/>
          <w:sz w:val="24"/>
          <w:szCs w:val="24"/>
        </w:rPr>
      </w:pPr>
    </w:p>
    <w:p w:rsidR="005B4139" w:rsidP="005B4139" w:rsidRDefault="005B4139" w14:paraId="579F7FD9" w14:textId="77777777">
      <w:pPr>
        <w:widowControl/>
        <w:spacing w:after="0" w:line="240" w:lineRule="auto"/>
        <w:ind w:left="360" w:right="432"/>
        <w:textAlignment w:val="baseline"/>
        <w:rPr>
          <w:rFonts w:ascii="Times New Roman" w:hAnsi="Times New Roman" w:eastAsia="Calibri" w:cs="Times New Roman"/>
          <w:spacing w:val="-1"/>
          <w:sz w:val="24"/>
          <w:szCs w:val="24"/>
        </w:rPr>
      </w:pPr>
      <w:r w:rsidRPr="00F62849">
        <w:rPr>
          <w:rFonts w:ascii="Times New Roman" w:hAnsi="Times New Roman" w:eastAsia="Calibri" w:cs="Times New Roman"/>
          <w:sz w:val="24"/>
          <w:szCs w:val="24"/>
        </w:rPr>
        <w:t xml:space="preserve">BOEM Response: </w:t>
      </w:r>
      <w:r w:rsidRPr="00F62849">
        <w:rPr>
          <w:rFonts w:ascii="Times New Roman" w:hAnsi="Times New Roman" w:eastAsia="Calibri" w:cs="Times New Roman"/>
          <w:spacing w:val="-1"/>
          <w:sz w:val="24"/>
          <w:szCs w:val="24"/>
        </w:rPr>
        <w:t xml:space="preserve"> An equation has been added in the</w:t>
      </w:r>
      <w:r w:rsidRPr="00F62849">
        <w:rPr>
          <w:rFonts w:ascii="Times New Roman" w:hAnsi="Times New Roman" w:eastAsia="Calibri" w:cs="Times New Roman"/>
          <w:sz w:val="24"/>
          <w:szCs w:val="24"/>
        </w:rPr>
        <w:t xml:space="preserve"> DOCD/DPP</w:t>
      </w:r>
      <w:r w:rsidRPr="00F62849">
        <w:rPr>
          <w:rFonts w:ascii="Times New Roman" w:hAnsi="Times New Roman" w:eastAsia="Calibri" w:cs="Times New Roman"/>
          <w:spacing w:val="-1"/>
          <w:sz w:val="24"/>
          <w:szCs w:val="24"/>
        </w:rPr>
        <w:t xml:space="preserve"> instructions that shows how to make the necessary formula adjustments as needed.</w:t>
      </w:r>
    </w:p>
    <w:p w:rsidRPr="00F62849" w:rsidR="005B4139" w:rsidP="005B4139" w:rsidRDefault="005B4139" w14:paraId="1CF89155" w14:textId="77777777">
      <w:pPr>
        <w:widowControl/>
        <w:spacing w:after="0" w:line="240" w:lineRule="auto"/>
        <w:ind w:left="360" w:right="432"/>
        <w:textAlignment w:val="baseline"/>
        <w:rPr>
          <w:rFonts w:ascii="Times New Roman" w:hAnsi="Times New Roman" w:eastAsia="Calibri" w:cs="Times New Roman"/>
          <w:spacing w:val="-1"/>
          <w:sz w:val="24"/>
          <w:szCs w:val="24"/>
        </w:rPr>
      </w:pPr>
    </w:p>
    <w:p w:rsidRPr="00F62849" w:rsidR="005B4139" w:rsidP="005B4139" w:rsidRDefault="005B4139" w14:paraId="06EC3A22" w14:textId="77777777">
      <w:pPr>
        <w:keepNext/>
        <w:keepLines/>
        <w:widowControl/>
        <w:numPr>
          <w:ilvl w:val="0"/>
          <w:numId w:val="21"/>
        </w:numPr>
        <w:tabs>
          <w:tab w:val="clear" w:pos="360"/>
          <w:tab w:val="left" w:pos="0"/>
        </w:tabs>
        <w:spacing w:after="0" w:line="240" w:lineRule="auto"/>
        <w:ind w:left="360" w:right="432"/>
        <w:textAlignment w:val="baseline"/>
        <w:rPr>
          <w:rFonts w:ascii="Times New Roman" w:hAnsi="Times New Roman" w:eastAsia="Calibri" w:cs="Times New Roman"/>
          <w:spacing w:val="-1"/>
          <w:sz w:val="24"/>
          <w:szCs w:val="24"/>
        </w:rPr>
      </w:pPr>
      <w:r w:rsidRPr="00F62849">
        <w:rPr>
          <w:rFonts w:ascii="Times New Roman" w:hAnsi="Times New Roman" w:eastAsia="Calibri" w:cs="Times New Roman"/>
          <w:spacing w:val="-1"/>
          <w:sz w:val="24"/>
          <w:szCs w:val="24"/>
        </w:rPr>
        <w:lastRenderedPageBreak/>
        <w:t xml:space="preserve">AIR EMISSIONS CALCULATIONS INSTRUCTIONS FOR DOCDs and PRA Statement. The instructions should state how an operator shows emissions data for a glycol dehydration unit that uses a condenser, vapor recovery unit or where the vent gas is routed to a flare. Suggest that there be a way to account for a percent destruction and removal efficiency (DRE) for the emission control device used. </w:t>
      </w:r>
    </w:p>
    <w:p w:rsidRPr="00F62849" w:rsidR="005B4139" w:rsidP="005B4139" w:rsidRDefault="005B4139" w14:paraId="2F7ECC12" w14:textId="77777777">
      <w:pPr>
        <w:keepNext/>
        <w:keepLines/>
        <w:widowControl/>
        <w:tabs>
          <w:tab w:val="left" w:pos="360"/>
        </w:tabs>
        <w:spacing w:after="0" w:line="240" w:lineRule="auto"/>
        <w:ind w:left="360" w:right="432"/>
        <w:textAlignment w:val="baseline"/>
        <w:rPr>
          <w:rFonts w:ascii="Times New Roman" w:hAnsi="Times New Roman" w:eastAsia="Calibri" w:cs="Times New Roman"/>
          <w:spacing w:val="-1"/>
          <w:sz w:val="24"/>
          <w:szCs w:val="24"/>
        </w:rPr>
      </w:pPr>
    </w:p>
    <w:p w:rsidRPr="00F62849" w:rsidR="005B4139" w:rsidP="005B4139" w:rsidRDefault="005B4139" w14:paraId="2E679E57" w14:textId="77777777">
      <w:pPr>
        <w:keepNext/>
        <w:keepLines/>
        <w:widowControl/>
        <w:spacing w:after="0" w:line="240" w:lineRule="auto"/>
        <w:ind w:left="360" w:right="432"/>
        <w:textAlignment w:val="baseline"/>
        <w:rPr>
          <w:rFonts w:ascii="Times New Roman" w:hAnsi="Times New Roman" w:eastAsia="Calibri" w:cs="Times New Roman"/>
          <w:spacing w:val="-1"/>
          <w:sz w:val="24"/>
          <w:szCs w:val="24"/>
        </w:rPr>
      </w:pPr>
      <w:r w:rsidRPr="00F62849">
        <w:rPr>
          <w:rFonts w:ascii="Times New Roman" w:hAnsi="Times New Roman" w:eastAsia="Calibri" w:cs="Times New Roman"/>
          <w:sz w:val="24"/>
          <w:szCs w:val="24"/>
        </w:rPr>
        <w:t xml:space="preserve">BOEM Response: </w:t>
      </w:r>
      <w:r w:rsidRPr="00F62849">
        <w:rPr>
          <w:rFonts w:ascii="Times New Roman" w:hAnsi="Times New Roman" w:eastAsia="Calibri" w:cs="Times New Roman"/>
          <w:spacing w:val="-1"/>
          <w:sz w:val="24"/>
          <w:szCs w:val="24"/>
        </w:rPr>
        <w:t xml:space="preserve"> </w:t>
      </w:r>
      <w:bookmarkStart w:name="_Hlk44577326" w:id="15"/>
      <w:r w:rsidRPr="00F62849">
        <w:rPr>
          <w:rFonts w:ascii="Times New Roman" w:hAnsi="Times New Roman" w:eastAsia="Calibri" w:cs="Times New Roman"/>
          <w:spacing w:val="-1"/>
          <w:sz w:val="24"/>
          <w:szCs w:val="24"/>
        </w:rPr>
        <w:t>An equation has been added in the</w:t>
      </w:r>
      <w:r w:rsidRPr="00F62849">
        <w:rPr>
          <w:rFonts w:ascii="Times New Roman" w:hAnsi="Times New Roman" w:cs="Times New Roman"/>
          <w:sz w:val="24"/>
          <w:szCs w:val="24"/>
        </w:rPr>
        <w:t xml:space="preserve"> </w:t>
      </w:r>
      <w:r w:rsidRPr="00F62849">
        <w:rPr>
          <w:rFonts w:ascii="Times New Roman" w:hAnsi="Times New Roman" w:eastAsia="Calibri" w:cs="Times New Roman"/>
          <w:spacing w:val="-1"/>
          <w:sz w:val="24"/>
          <w:szCs w:val="24"/>
        </w:rPr>
        <w:t>DOCD/DPP instructions that shows how to make the necessary formula adjustments as needed.</w:t>
      </w:r>
      <w:bookmarkEnd w:id="15"/>
    </w:p>
    <w:p w:rsidRPr="00F62849" w:rsidR="005B4139" w:rsidP="005B4139" w:rsidRDefault="005B4139" w14:paraId="5832343D" w14:textId="77777777">
      <w:pPr>
        <w:spacing w:after="0" w:line="240" w:lineRule="auto"/>
        <w:ind w:right="-40" w:hanging="5"/>
        <w:rPr>
          <w:rFonts w:ascii="Times New Roman" w:hAnsi="Times New Roman" w:eastAsia="Times New Roman" w:cs="Times New Roman"/>
          <w:spacing w:val="2"/>
          <w:sz w:val="24"/>
          <w:szCs w:val="24"/>
        </w:rPr>
      </w:pPr>
    </w:p>
    <w:p w:rsidRPr="00F62849" w:rsidR="005B4139" w:rsidP="005B4139" w:rsidRDefault="005B4139" w14:paraId="190AF0B0" w14:textId="77777777">
      <w:pPr>
        <w:spacing w:after="0" w:line="240" w:lineRule="auto"/>
        <w:ind w:right="-40" w:hanging="5"/>
        <w:rPr>
          <w:rFonts w:ascii="Times New Roman" w:hAnsi="Times New Roman" w:eastAsia="Times New Roman" w:cs="Times New Roman"/>
          <w:b/>
          <w:spacing w:val="2"/>
          <w:sz w:val="24"/>
          <w:szCs w:val="24"/>
        </w:rPr>
      </w:pPr>
      <w:r w:rsidRPr="00F62849">
        <w:rPr>
          <w:rFonts w:ascii="Times New Roman" w:hAnsi="Times New Roman" w:eastAsia="Times New Roman" w:cs="Times New Roman"/>
          <w:b/>
          <w:spacing w:val="2"/>
          <w:sz w:val="24"/>
          <w:szCs w:val="24"/>
        </w:rPr>
        <w:t>The Offshore Operators Committee commented</w:t>
      </w:r>
      <w:r>
        <w:rPr>
          <w:rStyle w:val="FootnoteReference"/>
          <w:rFonts w:ascii="Times New Roman" w:hAnsi="Times New Roman" w:eastAsia="Times New Roman" w:cs="Times New Roman"/>
          <w:b/>
          <w:spacing w:val="2"/>
          <w:sz w:val="24"/>
          <w:szCs w:val="24"/>
        </w:rPr>
        <w:footnoteReference w:id="2"/>
      </w:r>
      <w:r w:rsidRPr="00F62849">
        <w:rPr>
          <w:rFonts w:ascii="Times New Roman" w:hAnsi="Times New Roman" w:eastAsia="Times New Roman" w:cs="Times New Roman"/>
          <w:b/>
          <w:spacing w:val="2"/>
          <w:sz w:val="24"/>
          <w:szCs w:val="24"/>
        </w:rPr>
        <w:t xml:space="preserve">:  </w:t>
      </w:r>
    </w:p>
    <w:p w:rsidRPr="00F62849" w:rsidR="005B4139" w:rsidP="005B4139" w:rsidRDefault="005B4139" w14:paraId="53C05253" w14:textId="77777777">
      <w:pPr>
        <w:pStyle w:val="ListParagraph"/>
        <w:widowControl/>
        <w:numPr>
          <w:ilvl w:val="0"/>
          <w:numId w:val="33"/>
        </w:numPr>
        <w:spacing w:before="100" w:beforeAutospacing="1" w:after="100" w:afterAutospacing="1" w:line="240" w:lineRule="auto"/>
        <w:rPr>
          <w:rFonts w:ascii="Times New Roman" w:hAnsi="Times New Roman" w:eastAsia="Times New Roman" w:cs="Times New Roman"/>
          <w:sz w:val="24"/>
          <w:szCs w:val="24"/>
        </w:rPr>
      </w:pPr>
      <w:r w:rsidRPr="00F62849">
        <w:rPr>
          <w:rFonts w:ascii="Times New Roman" w:hAnsi="Times New Roman" w:eastAsia="Times New Roman" w:cs="Times New Roman"/>
          <w:sz w:val="24"/>
          <w:szCs w:val="24"/>
        </w:rPr>
        <w:t>Can the Equipment ID column be left blank for temporary equipment?</w:t>
      </w:r>
    </w:p>
    <w:p w:rsidRPr="00F62849" w:rsidR="005B4139" w:rsidP="005B4139" w:rsidRDefault="005B4139" w14:paraId="14231172" w14:textId="77777777">
      <w:pPr>
        <w:spacing w:before="100" w:beforeAutospacing="1" w:after="100" w:afterAutospacing="1"/>
        <w:ind w:left="720"/>
        <w:rPr>
          <w:rFonts w:ascii="Times New Roman" w:hAnsi="Times New Roman" w:eastAsia="Times New Roman" w:cs="Times New Roman"/>
          <w:sz w:val="24"/>
          <w:szCs w:val="24"/>
        </w:rPr>
      </w:pPr>
      <w:r w:rsidRPr="00F62849">
        <w:rPr>
          <w:rFonts w:ascii="Times New Roman" w:hAnsi="Times New Roman" w:eastAsia="Times New Roman" w:cs="Times New Roman"/>
          <w:sz w:val="24"/>
          <w:szCs w:val="24"/>
        </w:rPr>
        <w:t xml:space="preserve">BOEM Response: BOEM strongly encourages operators to list the Equipment ID </w:t>
      </w:r>
      <w:r>
        <w:rPr>
          <w:rFonts w:ascii="Times New Roman" w:hAnsi="Times New Roman" w:eastAsia="Times New Roman" w:cs="Times New Roman"/>
          <w:sz w:val="24"/>
          <w:szCs w:val="24"/>
        </w:rPr>
        <w:t xml:space="preserve">from </w:t>
      </w:r>
      <w:r w:rsidRPr="00F62849">
        <w:rPr>
          <w:rFonts w:ascii="Times New Roman" w:hAnsi="Times New Roman" w:eastAsia="Times New Roman" w:cs="Times New Roman"/>
          <w:sz w:val="24"/>
          <w:szCs w:val="24"/>
        </w:rPr>
        <w:t>the nameplate on site on the spreadsheets</w:t>
      </w:r>
      <w:r>
        <w:rPr>
          <w:rFonts w:ascii="Times New Roman" w:hAnsi="Times New Roman" w:eastAsia="Times New Roman" w:cs="Times New Roman"/>
          <w:sz w:val="24"/>
          <w:szCs w:val="24"/>
        </w:rPr>
        <w:t>, even for temporary equipment</w:t>
      </w:r>
      <w:r w:rsidRPr="00F62849">
        <w:rPr>
          <w:rFonts w:ascii="Times New Roman" w:hAnsi="Times New Roman" w:eastAsia="Times New Roman" w:cs="Times New Roman"/>
          <w:sz w:val="24"/>
          <w:szCs w:val="24"/>
        </w:rPr>
        <w:t>.</w:t>
      </w:r>
    </w:p>
    <w:p w:rsidRPr="00F62849" w:rsidR="005B4139" w:rsidP="005B4139" w:rsidRDefault="005B4139" w14:paraId="20610D58" w14:textId="77777777">
      <w:pPr>
        <w:pStyle w:val="ListParagraph"/>
        <w:widowControl/>
        <w:numPr>
          <w:ilvl w:val="0"/>
          <w:numId w:val="33"/>
        </w:numPr>
        <w:spacing w:before="100" w:beforeAutospacing="1" w:after="100" w:afterAutospacing="1" w:line="240" w:lineRule="auto"/>
        <w:rPr>
          <w:rFonts w:ascii="Times New Roman" w:hAnsi="Times New Roman" w:eastAsia="Times New Roman" w:cs="Times New Roman"/>
          <w:sz w:val="24"/>
          <w:szCs w:val="24"/>
        </w:rPr>
      </w:pPr>
      <w:r w:rsidRPr="00F62849">
        <w:rPr>
          <w:rFonts w:ascii="Times New Roman" w:hAnsi="Times New Roman" w:eastAsia="Times New Roman" w:cs="Times New Roman"/>
          <w:sz w:val="24"/>
          <w:szCs w:val="24"/>
        </w:rPr>
        <w:t>Why does the AQR differentiate smoking levels for flares if the emission factors are the same for all flares on the Emission Factor page of the AQR?</w:t>
      </w:r>
    </w:p>
    <w:p w:rsidRPr="00F62849" w:rsidR="005B4139" w:rsidP="005B4139" w:rsidRDefault="005B4139" w14:paraId="4649B505" w14:textId="77777777">
      <w:pPr>
        <w:spacing w:before="100" w:beforeAutospacing="1" w:after="100" w:afterAutospacing="1"/>
        <w:ind w:left="720"/>
        <w:rPr>
          <w:rFonts w:ascii="Times New Roman" w:hAnsi="Times New Roman" w:eastAsia="Times New Roman" w:cs="Times New Roman"/>
          <w:sz w:val="24"/>
          <w:szCs w:val="24"/>
        </w:rPr>
      </w:pPr>
      <w:r w:rsidRPr="00F62849">
        <w:rPr>
          <w:rFonts w:ascii="Times New Roman" w:hAnsi="Times New Roman" w:eastAsia="Times New Roman" w:cs="Times New Roman"/>
          <w:sz w:val="24"/>
          <w:szCs w:val="24"/>
        </w:rPr>
        <w:t xml:space="preserve">BOEM Response: BOEM inadvertently removed the PM10 and PM2.5 columns in </w:t>
      </w:r>
      <w:r>
        <w:rPr>
          <w:rFonts w:ascii="Times New Roman" w:hAnsi="Times New Roman" w:eastAsia="Times New Roman" w:cs="Times New Roman"/>
          <w:sz w:val="24"/>
          <w:szCs w:val="24"/>
        </w:rPr>
        <w:t>the draft version that was released for comment on June 5, 2020</w:t>
      </w:r>
      <w:r w:rsidRPr="00F62849">
        <w:rPr>
          <w:rFonts w:ascii="Times New Roman" w:hAnsi="Times New Roman" w:eastAsia="Times New Roman" w:cs="Times New Roman"/>
          <w:sz w:val="24"/>
          <w:szCs w:val="24"/>
        </w:rPr>
        <w:t xml:space="preserve">. These pollutants </w:t>
      </w:r>
      <w:r>
        <w:rPr>
          <w:rFonts w:ascii="Times New Roman" w:hAnsi="Times New Roman" w:eastAsia="Times New Roman" w:cs="Times New Roman"/>
          <w:sz w:val="24"/>
          <w:szCs w:val="24"/>
        </w:rPr>
        <w:t>will be</w:t>
      </w:r>
      <w:r w:rsidRPr="00F62849">
        <w:rPr>
          <w:rFonts w:ascii="Times New Roman" w:hAnsi="Times New Roman" w:eastAsia="Times New Roman" w:cs="Times New Roman"/>
          <w:sz w:val="24"/>
          <w:szCs w:val="24"/>
        </w:rPr>
        <w:t xml:space="preserve"> included</w:t>
      </w:r>
      <w:r>
        <w:rPr>
          <w:rFonts w:ascii="Times New Roman" w:hAnsi="Times New Roman" w:eastAsia="Times New Roman" w:cs="Times New Roman"/>
          <w:sz w:val="24"/>
          <w:szCs w:val="24"/>
        </w:rPr>
        <w:t xml:space="preserve"> in the final version</w:t>
      </w:r>
      <w:r w:rsidRPr="00F62849">
        <w:rPr>
          <w:rFonts w:ascii="Times New Roman" w:hAnsi="Times New Roman" w:eastAsia="Times New Roman" w:cs="Times New Roman"/>
          <w:sz w:val="24"/>
          <w:szCs w:val="24"/>
        </w:rPr>
        <w:t xml:space="preserve">, and the PM emission factors differ based on the flare smoking condition selected.  </w:t>
      </w:r>
    </w:p>
    <w:p w:rsidRPr="00F62849" w:rsidR="005B4139" w:rsidP="005B4139" w:rsidRDefault="005B4139" w14:paraId="14B268AC" w14:textId="77777777">
      <w:pPr>
        <w:pStyle w:val="ListParagraph"/>
        <w:widowControl/>
        <w:numPr>
          <w:ilvl w:val="0"/>
          <w:numId w:val="33"/>
        </w:numPr>
        <w:spacing w:before="100" w:beforeAutospacing="1" w:after="100" w:afterAutospacing="1" w:line="240" w:lineRule="auto"/>
        <w:rPr>
          <w:rFonts w:ascii="Times New Roman" w:hAnsi="Times New Roman" w:eastAsia="Times New Roman" w:cs="Times New Roman"/>
          <w:sz w:val="24"/>
          <w:szCs w:val="24"/>
        </w:rPr>
      </w:pPr>
      <w:r w:rsidRPr="00F62849">
        <w:rPr>
          <w:rFonts w:ascii="Times New Roman" w:hAnsi="Times New Roman" w:eastAsia="Times New Roman" w:cs="Times New Roman"/>
          <w:sz w:val="24"/>
          <w:szCs w:val="24"/>
        </w:rPr>
        <w:t>BOEM included emission factors for “Dual Fuel Turbines” that appear to use the highest emission rate factors from diesel and natural gas turbines.  Most dual fuel turbines fire diesel and natural gas separately and are not co-fired.  Can BOEM elaborate on why the separate factors are included in a single Dual Fuel emission factor now?</w:t>
      </w:r>
    </w:p>
    <w:p w:rsidRPr="00F62849" w:rsidR="005B4139" w:rsidP="005B4139" w:rsidRDefault="005B4139" w14:paraId="1B663886" w14:textId="77777777">
      <w:pPr>
        <w:spacing w:before="100" w:beforeAutospacing="1" w:after="100" w:afterAutospacing="1"/>
        <w:ind w:left="720"/>
        <w:rPr>
          <w:rFonts w:ascii="Times New Roman" w:hAnsi="Times New Roman" w:eastAsia="Times New Roman" w:cs="Times New Roman"/>
          <w:sz w:val="24"/>
          <w:szCs w:val="24"/>
        </w:rPr>
      </w:pPr>
      <w:r w:rsidRPr="00F62849">
        <w:rPr>
          <w:rFonts w:ascii="Times New Roman" w:hAnsi="Times New Roman" w:eastAsia="Times New Roman" w:cs="Times New Roman"/>
          <w:sz w:val="24"/>
          <w:szCs w:val="24"/>
        </w:rPr>
        <w:t xml:space="preserve">BOEM Response: </w:t>
      </w:r>
      <w:r>
        <w:rPr>
          <w:rFonts w:ascii="Times New Roman" w:hAnsi="Times New Roman" w:eastAsia="Times New Roman" w:cs="Times New Roman"/>
          <w:sz w:val="24"/>
          <w:szCs w:val="24"/>
        </w:rPr>
        <w:t xml:space="preserve">In order to allow operator flexibility in entering information on the form, </w:t>
      </w:r>
      <w:r w:rsidRPr="00F62849">
        <w:rPr>
          <w:rFonts w:ascii="Times New Roman" w:hAnsi="Times New Roman" w:eastAsia="Times New Roman" w:cs="Times New Roman"/>
          <w:sz w:val="24"/>
          <w:szCs w:val="24"/>
        </w:rPr>
        <w:t>BOEM has opted to retain the separate rows for natural gas turbines, diesel turbines, and dual fuel turbines, and operators can either enter the natural gas and diesel separately, or they could choose to use the dual fuel row.</w:t>
      </w:r>
    </w:p>
    <w:p w:rsidRPr="00F62849" w:rsidR="005B4139" w:rsidP="005B4139" w:rsidRDefault="005B4139" w14:paraId="3B931C56" w14:textId="77777777">
      <w:pPr>
        <w:pStyle w:val="ListParagraph"/>
        <w:widowControl/>
        <w:numPr>
          <w:ilvl w:val="0"/>
          <w:numId w:val="33"/>
        </w:numPr>
        <w:spacing w:before="100" w:beforeAutospacing="1" w:after="100" w:afterAutospacing="1" w:line="240" w:lineRule="auto"/>
        <w:rPr>
          <w:rFonts w:ascii="Times New Roman" w:hAnsi="Times New Roman" w:eastAsia="Times New Roman" w:cs="Times New Roman"/>
          <w:sz w:val="24"/>
          <w:szCs w:val="24"/>
        </w:rPr>
      </w:pPr>
      <w:r w:rsidRPr="00F62849">
        <w:rPr>
          <w:rFonts w:ascii="Times New Roman" w:hAnsi="Times New Roman" w:eastAsia="Times New Roman" w:cs="Times New Roman"/>
          <w:sz w:val="24"/>
          <w:szCs w:val="24"/>
        </w:rPr>
        <w:t>Has BOEM provided definitions for the different combustion levels (for smoke)?</w:t>
      </w:r>
    </w:p>
    <w:p w:rsidRPr="00F62849" w:rsidR="005B4139" w:rsidP="005B4139" w:rsidRDefault="005B4139" w14:paraId="15B2D6CD" w14:textId="77777777">
      <w:pPr>
        <w:spacing w:before="100" w:beforeAutospacing="1" w:after="100" w:afterAutospacing="1"/>
        <w:ind w:left="720"/>
        <w:rPr>
          <w:rFonts w:ascii="Times New Roman" w:hAnsi="Times New Roman" w:eastAsia="Times New Roman" w:cs="Times New Roman"/>
          <w:sz w:val="24"/>
          <w:szCs w:val="24"/>
        </w:rPr>
      </w:pPr>
      <w:r w:rsidRPr="00F62849">
        <w:rPr>
          <w:rFonts w:ascii="Times New Roman" w:hAnsi="Times New Roman" w:eastAsia="Times New Roman" w:cs="Times New Roman"/>
          <w:sz w:val="24"/>
          <w:szCs w:val="24"/>
        </w:rPr>
        <w:t xml:space="preserve">BOEM Response: Definitions </w:t>
      </w:r>
      <w:r>
        <w:rPr>
          <w:rFonts w:ascii="Times New Roman" w:hAnsi="Times New Roman" w:eastAsia="Times New Roman" w:cs="Times New Roman"/>
          <w:sz w:val="24"/>
          <w:szCs w:val="24"/>
        </w:rPr>
        <w:t xml:space="preserve">for the different combustion levels (for smoke) </w:t>
      </w:r>
      <w:r w:rsidRPr="00F62849">
        <w:rPr>
          <w:rFonts w:ascii="Times New Roman" w:hAnsi="Times New Roman" w:eastAsia="Times New Roman" w:cs="Times New Roman"/>
          <w:sz w:val="24"/>
          <w:szCs w:val="24"/>
        </w:rPr>
        <w:t xml:space="preserve">from the USEPA’s AP-42 Table 13.5-1 have been added to the instructions. </w:t>
      </w:r>
    </w:p>
    <w:p w:rsidRPr="00F62849" w:rsidR="005B4139" w:rsidP="005B4139" w:rsidRDefault="005B4139" w14:paraId="08E73BDC" w14:textId="77777777">
      <w:pPr>
        <w:pStyle w:val="ListParagraph"/>
        <w:widowControl/>
        <w:numPr>
          <w:ilvl w:val="0"/>
          <w:numId w:val="33"/>
        </w:numPr>
        <w:spacing w:before="100" w:beforeAutospacing="1" w:after="100" w:afterAutospacing="1" w:line="240" w:lineRule="auto"/>
        <w:rPr>
          <w:rFonts w:ascii="Times New Roman" w:hAnsi="Times New Roman" w:eastAsia="Times New Roman" w:cs="Times New Roman"/>
          <w:sz w:val="24"/>
          <w:szCs w:val="24"/>
        </w:rPr>
      </w:pPr>
      <w:r w:rsidRPr="00F62849">
        <w:rPr>
          <w:rFonts w:ascii="Times New Roman" w:hAnsi="Times New Roman" w:eastAsia="Times New Roman" w:cs="Times New Roman"/>
          <w:sz w:val="24"/>
          <w:szCs w:val="24"/>
        </w:rPr>
        <w:lastRenderedPageBreak/>
        <w:t>In the previous version of the AQR, we used a set of factors for diesel fuel &gt;600 hp.  The new AQR has EFs for propulsion, drilling well stimulation…How should operators use these new Emission Factors?</w:t>
      </w:r>
    </w:p>
    <w:p w:rsidRPr="00F62849" w:rsidR="005B4139" w:rsidP="005B4139" w:rsidRDefault="005B4139" w14:paraId="29F0220B" w14:textId="77777777">
      <w:pPr>
        <w:spacing w:before="100" w:beforeAutospacing="1" w:after="100" w:afterAutospacing="1"/>
        <w:ind w:left="720"/>
        <w:rPr>
          <w:rFonts w:ascii="Times New Roman" w:hAnsi="Times New Roman" w:eastAsia="Times New Roman" w:cs="Times New Roman"/>
          <w:sz w:val="24"/>
          <w:szCs w:val="24"/>
        </w:rPr>
      </w:pPr>
      <w:r w:rsidRPr="00F62849">
        <w:rPr>
          <w:rFonts w:ascii="Times New Roman" w:hAnsi="Times New Roman" w:eastAsia="Times New Roman" w:cs="Times New Roman"/>
          <w:sz w:val="24"/>
          <w:szCs w:val="24"/>
        </w:rPr>
        <w:t xml:space="preserve">BOEM Response: The vessel emission factors have been updated based on the USEPA 2017 </w:t>
      </w:r>
      <w:r>
        <w:rPr>
          <w:rFonts w:ascii="Times New Roman" w:hAnsi="Times New Roman" w:eastAsia="Times New Roman" w:cs="Times New Roman"/>
          <w:sz w:val="24"/>
          <w:szCs w:val="24"/>
        </w:rPr>
        <w:t xml:space="preserve">National Emission Inventory (NEI) </w:t>
      </w:r>
      <w:r w:rsidRPr="00F62849">
        <w:rPr>
          <w:rFonts w:ascii="Times New Roman" w:hAnsi="Times New Roman" w:eastAsia="Times New Roman" w:cs="Times New Roman"/>
          <w:sz w:val="24"/>
          <w:szCs w:val="24"/>
        </w:rPr>
        <w:t>emission factors</w:t>
      </w:r>
      <w:r w:rsidRPr="00725D1C">
        <w:rPr>
          <w:rFonts w:ascii="Times New Roman" w:hAnsi="Times New Roman" w:eastAsia="Times New Roman" w:cs="Times New Roman"/>
          <w:sz w:val="24"/>
          <w:szCs w:val="24"/>
          <w:vertAlign w:val="superscript"/>
        </w:rPr>
        <w:t>1</w:t>
      </w:r>
      <w:r w:rsidRPr="00F62849">
        <w:rPr>
          <w:rFonts w:ascii="Times New Roman" w:hAnsi="Times New Roman" w:eastAsia="Times New Roman" w:cs="Times New Roman"/>
          <w:sz w:val="24"/>
          <w:szCs w:val="24"/>
        </w:rPr>
        <w:t xml:space="preserve">, which have been converted to grams per horsepower hours. To use these emission factors, the maximum power rating of the vessel engines needs to be provided (column D of the emissions tab) in terms of horsepower and the total hours of operation need to be provided (columns G and H of the emissions tab) to approximate horsepower-hours. While the emission factors associated with each of these operations are the same, the power and hours associated with these operations will vary. </w:t>
      </w:r>
    </w:p>
    <w:p w:rsidRPr="00F62849" w:rsidR="005B4139" w:rsidP="005B4139" w:rsidRDefault="005B4139" w14:paraId="7C56BF88" w14:textId="77777777">
      <w:pPr>
        <w:pStyle w:val="ListParagraph"/>
        <w:widowControl/>
        <w:numPr>
          <w:ilvl w:val="0"/>
          <w:numId w:val="33"/>
        </w:numPr>
        <w:spacing w:before="100" w:beforeAutospacing="1" w:after="100" w:afterAutospacing="1" w:line="240" w:lineRule="auto"/>
        <w:rPr>
          <w:rFonts w:ascii="Times New Roman" w:hAnsi="Times New Roman" w:eastAsia="Times New Roman" w:cs="Times New Roman"/>
          <w:sz w:val="24"/>
          <w:szCs w:val="24"/>
        </w:rPr>
      </w:pPr>
      <w:r w:rsidRPr="00F62849">
        <w:rPr>
          <w:rFonts w:ascii="Times New Roman" w:hAnsi="Times New Roman" w:eastAsia="Times New Roman" w:cs="Times New Roman"/>
          <w:sz w:val="24"/>
          <w:szCs w:val="24"/>
        </w:rPr>
        <w:t>In the past for dual fuel turbines we calculate emissions separately (separate line items) for hours using diesel fuel and for hours using natural gas.  Diesel fuel use typically much fewer hours than natural gas fuel usage.</w:t>
      </w:r>
    </w:p>
    <w:p w:rsidRPr="00F62849" w:rsidR="005B4139" w:rsidP="005B4139" w:rsidRDefault="005B4139" w14:paraId="26FEC5CF" w14:textId="77777777">
      <w:pPr>
        <w:spacing w:before="100" w:beforeAutospacing="1" w:after="100" w:afterAutospacing="1"/>
        <w:ind w:left="720"/>
        <w:rPr>
          <w:rFonts w:ascii="Times New Roman" w:hAnsi="Times New Roman" w:eastAsia="Times New Roman" w:cs="Times New Roman"/>
          <w:sz w:val="24"/>
          <w:szCs w:val="24"/>
        </w:rPr>
      </w:pPr>
      <w:r w:rsidRPr="00F62849">
        <w:rPr>
          <w:rFonts w:ascii="Times New Roman" w:hAnsi="Times New Roman" w:eastAsia="Times New Roman" w:cs="Times New Roman"/>
          <w:sz w:val="24"/>
          <w:szCs w:val="24"/>
        </w:rPr>
        <w:t>BOEM Response: BOEM has opted to retain the separate rows for natural gas turbines, diesel turbines, and dual fuel turbines, and operators can either enter the natural gas and diesel separately, or they could choose to use the dual fuel row.</w:t>
      </w:r>
    </w:p>
    <w:p w:rsidRPr="00F62849" w:rsidR="005B4139" w:rsidP="005B4139" w:rsidRDefault="005B4139" w14:paraId="16F7645A" w14:textId="77777777">
      <w:pPr>
        <w:pStyle w:val="ListParagraph"/>
        <w:widowControl/>
        <w:numPr>
          <w:ilvl w:val="0"/>
          <w:numId w:val="33"/>
        </w:numPr>
        <w:spacing w:before="100" w:beforeAutospacing="1" w:after="100" w:afterAutospacing="1" w:line="240" w:lineRule="auto"/>
        <w:rPr>
          <w:rFonts w:ascii="Times New Roman" w:hAnsi="Times New Roman" w:eastAsia="Times New Roman" w:cs="Times New Roman"/>
          <w:sz w:val="24"/>
          <w:szCs w:val="24"/>
        </w:rPr>
      </w:pPr>
      <w:r w:rsidRPr="00F62849">
        <w:rPr>
          <w:rFonts w:ascii="Times New Roman" w:hAnsi="Times New Roman" w:eastAsia="Times New Roman" w:cs="Times New Roman"/>
          <w:sz w:val="24"/>
          <w:szCs w:val="24"/>
        </w:rPr>
        <w:t>For Vessel Maximum pound per hour column calculations, there is a new calculation to multiply by 0.85 or specifically 0.3863 for Well Stimulation Vessels for all pollutants.  Can BOEM please clarify what those multipliers are and why they were added to the AQRs?</w:t>
      </w:r>
    </w:p>
    <w:p w:rsidRPr="00F62849" w:rsidR="005B4139" w:rsidP="005B4139" w:rsidRDefault="005B4139" w14:paraId="2BD1957B" w14:textId="77777777">
      <w:pPr>
        <w:spacing w:before="100" w:beforeAutospacing="1" w:after="100" w:afterAutospacing="1"/>
        <w:ind w:left="720"/>
        <w:rPr>
          <w:rFonts w:ascii="Times New Roman" w:hAnsi="Times New Roman" w:eastAsia="Times New Roman" w:cs="Times New Roman"/>
          <w:sz w:val="24"/>
          <w:szCs w:val="24"/>
        </w:rPr>
      </w:pPr>
      <w:r w:rsidRPr="00F62849">
        <w:rPr>
          <w:rFonts w:ascii="Times New Roman" w:hAnsi="Times New Roman" w:eastAsia="Times New Roman" w:cs="Times New Roman"/>
          <w:sz w:val="24"/>
          <w:szCs w:val="24"/>
        </w:rPr>
        <w:t xml:space="preserve">BOEM Response: </w:t>
      </w:r>
      <w:r w:rsidRPr="005B197E">
        <w:rPr>
          <w:rFonts w:ascii="Times New Roman" w:hAnsi="Times New Roman" w:eastAsia="Times New Roman" w:cs="Times New Roman"/>
          <w:sz w:val="24"/>
          <w:szCs w:val="24"/>
        </w:rPr>
        <w:t xml:space="preserve">Based on the comment, BOEM has removed the 0.85 </w:t>
      </w:r>
      <w:r>
        <w:rPr>
          <w:rFonts w:ascii="Times New Roman" w:hAnsi="Times New Roman" w:eastAsia="Times New Roman" w:cs="Times New Roman"/>
          <w:sz w:val="24"/>
          <w:szCs w:val="24"/>
        </w:rPr>
        <w:t xml:space="preserve">and the 0.3863 </w:t>
      </w:r>
      <w:r w:rsidRPr="005B197E">
        <w:rPr>
          <w:rFonts w:ascii="Times New Roman" w:hAnsi="Times New Roman" w:eastAsia="Times New Roman" w:cs="Times New Roman"/>
          <w:sz w:val="24"/>
          <w:szCs w:val="24"/>
        </w:rPr>
        <w:t>adjustment factor</w:t>
      </w:r>
      <w:r>
        <w:rPr>
          <w:rFonts w:ascii="Times New Roman" w:hAnsi="Times New Roman" w:eastAsia="Times New Roman" w:cs="Times New Roman"/>
          <w:sz w:val="24"/>
          <w:szCs w:val="24"/>
        </w:rPr>
        <w:t>s</w:t>
      </w:r>
      <w:r w:rsidRPr="005B197E">
        <w:rPr>
          <w:rFonts w:ascii="Times New Roman" w:hAnsi="Times New Roman" w:eastAsia="Times New Roman" w:cs="Times New Roman"/>
          <w:sz w:val="24"/>
          <w:szCs w:val="24"/>
        </w:rPr>
        <w:t xml:space="preserve"> for the source categories mentioned in this comment.  </w:t>
      </w:r>
      <w:r>
        <w:rPr>
          <w:rFonts w:ascii="Times New Roman" w:hAnsi="Times New Roman" w:eastAsia="Times New Roman" w:cs="Times New Roman"/>
          <w:sz w:val="24"/>
          <w:szCs w:val="24"/>
        </w:rPr>
        <w:t>As reflected in the draft spreadsheet</w:t>
      </w:r>
      <w:r w:rsidRPr="005B197E">
        <w:rPr>
          <w:rFonts w:ascii="Times New Roman" w:hAnsi="Times New Roman" w:eastAsia="Times New Roman" w:cs="Times New Roman"/>
          <w:sz w:val="24"/>
          <w:szCs w:val="24"/>
        </w:rPr>
        <w:t xml:space="preserve">, BOEM had </w:t>
      </w:r>
      <w:r>
        <w:rPr>
          <w:rFonts w:ascii="Times New Roman" w:hAnsi="Times New Roman" w:eastAsia="Times New Roman" w:cs="Times New Roman"/>
          <w:sz w:val="24"/>
          <w:szCs w:val="24"/>
        </w:rPr>
        <w:t>believed</w:t>
      </w:r>
      <w:r w:rsidRPr="005B197E">
        <w:rPr>
          <w:rFonts w:ascii="Times New Roman" w:hAnsi="Times New Roman" w:eastAsia="Times New Roman" w:cs="Times New Roman"/>
          <w:sz w:val="24"/>
          <w:szCs w:val="24"/>
        </w:rPr>
        <w:t xml:space="preserve"> that the 0.85 adjustment factors should be applied to reflect engine operating load.  </w:t>
      </w:r>
      <w:r>
        <w:rPr>
          <w:rFonts w:ascii="Times New Roman" w:hAnsi="Times New Roman" w:eastAsia="Times New Roman" w:cs="Times New Roman"/>
          <w:sz w:val="24"/>
          <w:szCs w:val="24"/>
        </w:rPr>
        <w:t>However, w</w:t>
      </w:r>
      <w:r w:rsidRPr="005B197E">
        <w:rPr>
          <w:rFonts w:ascii="Times New Roman" w:hAnsi="Times New Roman" w:eastAsia="Times New Roman" w:cs="Times New Roman"/>
          <w:sz w:val="24"/>
          <w:szCs w:val="24"/>
        </w:rPr>
        <w:t>ith th</w:t>
      </w:r>
      <w:r>
        <w:rPr>
          <w:rFonts w:ascii="Times New Roman" w:hAnsi="Times New Roman" w:eastAsia="Times New Roman" w:cs="Times New Roman"/>
          <w:sz w:val="24"/>
          <w:szCs w:val="24"/>
        </w:rPr>
        <w:t>e final</w:t>
      </w:r>
      <w:r w:rsidRPr="005B197E">
        <w:rPr>
          <w:rFonts w:ascii="Times New Roman" w:hAnsi="Times New Roman" w:eastAsia="Times New Roman" w:cs="Times New Roman"/>
          <w:sz w:val="24"/>
          <w:szCs w:val="24"/>
        </w:rPr>
        <w:t xml:space="preserve"> spreadsheet, BOEM is removing this embedded adjustment factor to reflect the fact that typically engine loads should be assumed to be 100%.  </w:t>
      </w:r>
      <w:r>
        <w:rPr>
          <w:rFonts w:ascii="Times New Roman" w:hAnsi="Times New Roman" w:eastAsia="Times New Roman" w:cs="Times New Roman"/>
          <w:sz w:val="24"/>
          <w:szCs w:val="24"/>
        </w:rPr>
        <w:t>O</w:t>
      </w:r>
      <w:r w:rsidRPr="005B197E">
        <w:rPr>
          <w:rFonts w:ascii="Times New Roman" w:hAnsi="Times New Roman" w:eastAsia="Times New Roman" w:cs="Times New Roman"/>
          <w:sz w:val="24"/>
          <w:szCs w:val="24"/>
        </w:rPr>
        <w:t xml:space="preserve">perators can choose to use a different operating load </w:t>
      </w:r>
      <w:r>
        <w:rPr>
          <w:rFonts w:ascii="Times New Roman" w:hAnsi="Times New Roman" w:eastAsia="Times New Roman" w:cs="Times New Roman"/>
          <w:sz w:val="24"/>
          <w:szCs w:val="24"/>
        </w:rPr>
        <w:t>as long as</w:t>
      </w:r>
      <w:r w:rsidRPr="005B197E">
        <w:rPr>
          <w:rFonts w:ascii="Times New Roman" w:hAnsi="Times New Roman" w:eastAsia="Times New Roman" w:cs="Times New Roman"/>
          <w:sz w:val="24"/>
          <w:szCs w:val="24"/>
        </w:rPr>
        <w:t xml:space="preserve"> documentation is provided for the maximum fuel usage rate (column E) and the actual fuel usage (Column F), as noted in the instructions for the </w:t>
      </w:r>
      <w:r>
        <w:rPr>
          <w:rFonts w:ascii="Times New Roman" w:hAnsi="Times New Roman" w:eastAsia="Times New Roman" w:cs="Times New Roman"/>
          <w:sz w:val="24"/>
          <w:szCs w:val="24"/>
        </w:rPr>
        <w:t>DOCD/DPP</w:t>
      </w:r>
      <w:r w:rsidRPr="005B197E">
        <w:rPr>
          <w:rFonts w:ascii="Times New Roman" w:hAnsi="Times New Roman" w:eastAsia="Times New Roman" w:cs="Times New Roman"/>
          <w:sz w:val="24"/>
          <w:szCs w:val="24"/>
        </w:rPr>
        <w:t xml:space="preserve"> form.</w:t>
      </w:r>
      <w:r w:rsidRPr="00F62849">
        <w:rPr>
          <w:rFonts w:ascii="Times New Roman" w:hAnsi="Times New Roman" w:eastAsia="Times New Roman" w:cs="Times New Roman"/>
          <w:sz w:val="24"/>
          <w:szCs w:val="24"/>
        </w:rPr>
        <w:t xml:space="preserve"> </w:t>
      </w:r>
    </w:p>
    <w:p w:rsidR="005B4139" w:rsidP="00426CFC" w:rsidRDefault="005B4139" w14:paraId="7B54B815" w14:textId="7C26E793">
      <w:pPr>
        <w:spacing w:after="0" w:line="240" w:lineRule="auto"/>
        <w:ind w:right="-40" w:hanging="5"/>
        <w:rPr>
          <w:rFonts w:ascii="Times New Roman" w:hAnsi="Times New Roman" w:eastAsia="Times New Roman" w:cs="Times New Roman"/>
          <w:spacing w:val="2"/>
          <w:sz w:val="24"/>
          <w:szCs w:val="24"/>
        </w:rPr>
      </w:pPr>
    </w:p>
    <w:p w:rsidR="005B4139" w:rsidP="00426CFC" w:rsidRDefault="005B4139" w14:paraId="7B8EEC9B" w14:textId="35180067">
      <w:pPr>
        <w:spacing w:after="0" w:line="240" w:lineRule="auto"/>
        <w:ind w:right="-40" w:hanging="5"/>
        <w:rPr>
          <w:rFonts w:ascii="Times New Roman" w:hAnsi="Times New Roman" w:eastAsia="Times New Roman" w:cs="Times New Roman"/>
          <w:spacing w:val="2"/>
          <w:sz w:val="24"/>
          <w:szCs w:val="24"/>
        </w:rPr>
      </w:pPr>
    </w:p>
    <w:p w:rsidR="005B4139" w:rsidP="00426CFC" w:rsidRDefault="005B4139" w14:paraId="74D44043" w14:textId="77777777">
      <w:pPr>
        <w:spacing w:after="0" w:line="240" w:lineRule="auto"/>
        <w:ind w:right="-40" w:hanging="5"/>
        <w:rPr>
          <w:rFonts w:ascii="Times New Roman" w:hAnsi="Times New Roman" w:eastAsia="Times New Roman" w:cs="Times New Roman"/>
          <w:spacing w:val="2"/>
          <w:sz w:val="24"/>
          <w:szCs w:val="24"/>
        </w:rPr>
      </w:pPr>
    </w:p>
    <w:p w:rsidRPr="00D7577B" w:rsidR="00F64F67" w:rsidP="00A03B38" w:rsidRDefault="00F64F67" w14:paraId="41C88B42" w14:textId="77777777">
      <w:pPr>
        <w:spacing w:after="0" w:line="240" w:lineRule="auto"/>
        <w:ind w:right="-40" w:hanging="5"/>
        <w:rPr>
          <w:rFonts w:ascii="Times New Roman" w:hAnsi="Times New Roman" w:eastAsia="Times New Roman" w:cs="Times New Roman"/>
          <w:b/>
          <w:i/>
          <w:color w:val="030303"/>
          <w:spacing w:val="2"/>
          <w:sz w:val="24"/>
          <w:szCs w:val="24"/>
        </w:rPr>
      </w:pPr>
      <w:r w:rsidRPr="00D7577B">
        <w:rPr>
          <w:rFonts w:ascii="Times New Roman" w:hAnsi="Times New Roman" w:eastAsia="Times New Roman" w:cs="Times New Roman"/>
          <w:b/>
          <w:i/>
          <w:color w:val="030303"/>
          <w:spacing w:val="2"/>
          <w:sz w:val="24"/>
          <w:szCs w:val="24"/>
        </w:rPr>
        <w:t>9.  Explain any decision to provide any payment or gift to respondents, other than remuneration of contractors or grantees.</w:t>
      </w:r>
    </w:p>
    <w:p w:rsidRPr="00D7577B" w:rsidR="00F64F67" w:rsidP="00A03B38" w:rsidRDefault="00F64F67" w14:paraId="45933A91"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F64F67" w:rsidP="00A03B38" w:rsidRDefault="00F64F67" w14:paraId="3C3AB37A" w14:textId="77777777">
      <w:pPr>
        <w:spacing w:after="0" w:line="240" w:lineRule="auto"/>
        <w:ind w:right="-40" w:hanging="5"/>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We will not provide payment or gifts to respondents in this collection.</w:t>
      </w:r>
    </w:p>
    <w:p w:rsidRPr="00D7577B" w:rsidR="00F64F67" w:rsidP="00A03B38" w:rsidRDefault="00F64F67" w14:paraId="33043141"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F64F67" w:rsidP="00A03B38" w:rsidRDefault="00F64F67" w14:paraId="42E24D99" w14:textId="77777777">
      <w:pPr>
        <w:spacing w:after="0" w:line="240" w:lineRule="auto"/>
        <w:ind w:right="-40" w:hanging="5"/>
        <w:rPr>
          <w:rFonts w:ascii="Times New Roman" w:hAnsi="Times New Roman" w:eastAsia="Times New Roman" w:cs="Times New Roman"/>
          <w:b/>
          <w:i/>
          <w:color w:val="030303"/>
          <w:spacing w:val="2"/>
          <w:sz w:val="24"/>
          <w:szCs w:val="24"/>
        </w:rPr>
      </w:pPr>
      <w:r w:rsidRPr="00D7577B">
        <w:rPr>
          <w:rFonts w:ascii="Times New Roman" w:hAnsi="Times New Roman" w:eastAsia="Times New Roman" w:cs="Times New Roman"/>
          <w:b/>
          <w:i/>
          <w:color w:val="030303"/>
          <w:spacing w:val="2"/>
          <w:sz w:val="24"/>
          <w:szCs w:val="24"/>
        </w:rPr>
        <w:lastRenderedPageBreak/>
        <w:t xml:space="preserve">10. Describe any assurance of </w:t>
      </w:r>
      <w:r w:rsidRPr="00D7577B" w:rsidR="00A938FF">
        <w:rPr>
          <w:rFonts w:ascii="Times New Roman" w:hAnsi="Times New Roman" w:eastAsia="Times New Roman" w:cs="Times New Roman"/>
          <w:b/>
          <w:i/>
          <w:color w:val="030303"/>
          <w:spacing w:val="2"/>
          <w:sz w:val="24"/>
          <w:szCs w:val="24"/>
        </w:rPr>
        <w:t>confidentiality provided</w:t>
      </w:r>
      <w:r w:rsidRPr="00D7577B">
        <w:rPr>
          <w:rFonts w:ascii="Times New Roman" w:hAnsi="Times New Roman" w:eastAsia="Times New Roman" w:cs="Times New Roman"/>
          <w:b/>
          <w:i/>
          <w:color w:val="030303"/>
          <w:spacing w:val="2"/>
          <w:sz w:val="24"/>
          <w:szCs w:val="24"/>
        </w:rPr>
        <w:t xml:space="preserve"> to respondents and the basis for the assurance in statute, regulation, or agency policy.</w:t>
      </w:r>
    </w:p>
    <w:p w:rsidRPr="00D7577B" w:rsidR="00F64F67" w:rsidP="00A03B38" w:rsidRDefault="00F64F67" w14:paraId="7EC7CF41"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F64F67" w:rsidP="00A03B38" w:rsidRDefault="00F64F67" w14:paraId="5266E74D" w14:textId="77777777">
      <w:pPr>
        <w:spacing w:after="0" w:line="240" w:lineRule="auto"/>
        <w:ind w:right="-40" w:hanging="5"/>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BOEM will protect proprietary information according to 30 CFR 550.197, "Data and information to be made available to the public or for limited inspection," and the Freedom of Information Act (5 U.S.C.</w:t>
      </w:r>
      <w:r w:rsidRPr="00D7577B" w:rsidR="00A938FF">
        <w:rPr>
          <w:rFonts w:ascii="Times New Roman" w:hAnsi="Times New Roman" w:eastAsia="Times New Roman" w:cs="Times New Roman"/>
          <w:color w:val="030303"/>
          <w:spacing w:val="2"/>
          <w:sz w:val="24"/>
          <w:szCs w:val="24"/>
        </w:rPr>
        <w:t xml:space="preserve"> </w:t>
      </w:r>
      <w:r w:rsidRPr="00D7577B">
        <w:rPr>
          <w:rFonts w:ascii="Times New Roman" w:hAnsi="Times New Roman" w:eastAsia="Times New Roman" w:cs="Times New Roman"/>
          <w:color w:val="030303"/>
          <w:spacing w:val="2"/>
          <w:sz w:val="24"/>
          <w:szCs w:val="24"/>
        </w:rPr>
        <w:t>552) and its implementing regulations (43 CFR 2).</w:t>
      </w:r>
    </w:p>
    <w:p w:rsidRPr="00D7577B" w:rsidR="00F64F67" w:rsidP="00A03B38" w:rsidRDefault="00F64F67" w14:paraId="50C44405"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F64F67" w:rsidP="00A03B38" w:rsidRDefault="00F64F67" w14:paraId="147265DC" w14:textId="77777777">
      <w:pPr>
        <w:spacing w:after="0" w:line="240" w:lineRule="auto"/>
        <w:ind w:right="-40" w:hanging="5"/>
        <w:rPr>
          <w:rFonts w:ascii="Times New Roman" w:hAnsi="Times New Roman" w:eastAsia="Times New Roman" w:cs="Times New Roman"/>
          <w:b/>
          <w:i/>
          <w:color w:val="030303"/>
          <w:spacing w:val="2"/>
          <w:sz w:val="24"/>
          <w:szCs w:val="24"/>
        </w:rPr>
      </w:pPr>
      <w:r w:rsidRPr="00D7577B">
        <w:rPr>
          <w:rFonts w:ascii="Times New Roman" w:hAnsi="Times New Roman" w:eastAsia="Times New Roman" w:cs="Times New Roman"/>
          <w:b/>
          <w:i/>
          <w:color w:val="030303"/>
          <w:spacing w:val="2"/>
          <w:sz w:val="24"/>
          <w:szCs w:val="24"/>
        </w:rPr>
        <w:t>11. Provide additional justification for any questions of a se11sitive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7577B" w:rsidR="00F64F67" w:rsidP="00A03B38" w:rsidRDefault="00F64F67" w14:paraId="03BA6DEF"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F64F67" w:rsidP="00A03B38" w:rsidRDefault="00F64F67" w14:paraId="22182877" w14:textId="77777777">
      <w:pPr>
        <w:spacing w:after="0" w:line="240" w:lineRule="auto"/>
        <w:ind w:right="-40" w:hanging="5"/>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The collection does not include sensitive or private questions.</w:t>
      </w:r>
    </w:p>
    <w:p w:rsidRPr="00D7577B" w:rsidR="00F64F67" w:rsidP="00A03B38" w:rsidRDefault="00F64F67" w14:paraId="13D53161"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F64F67" w:rsidP="00A03B38" w:rsidRDefault="00F64F67" w14:paraId="74D40909" w14:textId="77777777">
      <w:pPr>
        <w:spacing w:after="0" w:line="240" w:lineRule="auto"/>
        <w:ind w:right="-40" w:hanging="5"/>
        <w:rPr>
          <w:rFonts w:ascii="Times New Roman" w:hAnsi="Times New Roman" w:eastAsia="Times New Roman" w:cs="Times New Roman"/>
          <w:b/>
          <w:i/>
          <w:color w:val="030303"/>
          <w:spacing w:val="2"/>
          <w:sz w:val="24"/>
          <w:szCs w:val="24"/>
        </w:rPr>
      </w:pPr>
      <w:r w:rsidRPr="00D7577B">
        <w:rPr>
          <w:rFonts w:ascii="Times New Roman" w:hAnsi="Times New Roman" w:eastAsia="Times New Roman" w:cs="Times New Roman"/>
          <w:b/>
          <w:i/>
          <w:color w:val="030303"/>
          <w:spacing w:val="2"/>
          <w:sz w:val="24"/>
          <w:szCs w:val="24"/>
        </w:rPr>
        <w:t>12. Provide estimates of the hour burden of the collection of information. The statement should:</w:t>
      </w:r>
    </w:p>
    <w:p w:rsidRPr="00D7577B" w:rsidR="00F64F67" w:rsidP="00A03B38" w:rsidRDefault="00F64F67" w14:paraId="056BA452" w14:textId="77777777">
      <w:pPr>
        <w:spacing w:after="0" w:line="240" w:lineRule="auto"/>
        <w:ind w:right="-40" w:hanging="5"/>
        <w:rPr>
          <w:rFonts w:ascii="Times New Roman" w:hAnsi="Times New Roman" w:eastAsia="Times New Roman" w:cs="Times New Roman"/>
          <w:i/>
          <w:color w:val="030303"/>
          <w:spacing w:val="2"/>
          <w:sz w:val="24"/>
          <w:szCs w:val="24"/>
        </w:rPr>
      </w:pPr>
    </w:p>
    <w:p w:rsidRPr="00D7577B" w:rsidR="00F64F67" w:rsidP="00A03B38" w:rsidRDefault="00F64F67" w14:paraId="0D8B8F9F" w14:textId="77777777">
      <w:pPr>
        <w:spacing w:after="0" w:line="240" w:lineRule="auto"/>
        <w:ind w:right="-40" w:hanging="5"/>
        <w:rPr>
          <w:rFonts w:ascii="Times New Roman" w:hAnsi="Times New Roman" w:eastAsia="Times New Roman" w:cs="Times New Roman"/>
          <w:b/>
          <w:i/>
          <w:color w:val="030303"/>
          <w:spacing w:val="2"/>
          <w:sz w:val="24"/>
          <w:szCs w:val="24"/>
        </w:rPr>
      </w:pPr>
      <w:r w:rsidRPr="00D7577B">
        <w:rPr>
          <w:rFonts w:ascii="Times New Roman" w:hAnsi="Times New Roman" w:eastAsia="Times New Roman" w:cs="Times New Roman"/>
          <w:b/>
          <w:i/>
          <w:color w:val="030303"/>
          <w:spacing w:val="2"/>
          <w:sz w:val="24"/>
          <w:szCs w:val="24"/>
        </w:rPr>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w:t>
      </w:r>
      <w:r w:rsidRPr="00D7577B" w:rsidR="00A938FF">
        <w:rPr>
          <w:rFonts w:ascii="Times New Roman" w:hAnsi="Times New Roman" w:eastAsia="Times New Roman" w:cs="Times New Roman"/>
          <w:b/>
          <w:i/>
          <w:color w:val="030303"/>
          <w:spacing w:val="2"/>
          <w:sz w:val="24"/>
          <w:szCs w:val="24"/>
        </w:rPr>
        <w:t xml:space="preserve"> </w:t>
      </w:r>
      <w:r w:rsidRPr="00D7577B">
        <w:rPr>
          <w:rFonts w:ascii="Times New Roman" w:hAnsi="Times New Roman" w:eastAsia="Times New Roman" w:cs="Times New Roman"/>
          <w:b/>
          <w:i/>
          <w:color w:val="030303"/>
          <w:spacing w:val="2"/>
          <w:sz w:val="24"/>
          <w:szCs w:val="24"/>
        </w:rPr>
        <w:t>sample (fewer than 10) of potential respondents is desirable.  If the hour burden on respondents is</w:t>
      </w:r>
      <w:r w:rsidRPr="00D7577B" w:rsidR="00A938FF">
        <w:rPr>
          <w:rFonts w:ascii="Times New Roman" w:hAnsi="Times New Roman" w:eastAsia="Times New Roman" w:cs="Times New Roman"/>
          <w:b/>
          <w:i/>
          <w:color w:val="030303"/>
          <w:spacing w:val="2"/>
          <w:sz w:val="24"/>
          <w:szCs w:val="24"/>
        </w:rPr>
        <w:t xml:space="preserve"> </w:t>
      </w:r>
      <w:r w:rsidRPr="00D7577B">
        <w:rPr>
          <w:rFonts w:ascii="Times New Roman" w:hAnsi="Times New Roman" w:eastAsia="Times New Roman" w:cs="Times New Roman"/>
          <w:b/>
          <w:i/>
          <w:color w:val="030303"/>
          <w:spacing w:val="2"/>
          <w:sz w:val="24"/>
          <w:szCs w:val="24"/>
        </w:rPr>
        <w:t>expected to vary widely because of differences in activity, size, or complexity, show the range of</w:t>
      </w:r>
      <w:r w:rsidRPr="00D7577B" w:rsidR="00A938FF">
        <w:rPr>
          <w:rFonts w:ascii="Times New Roman" w:hAnsi="Times New Roman" w:eastAsia="Times New Roman" w:cs="Times New Roman"/>
          <w:b/>
          <w:i/>
          <w:color w:val="030303"/>
          <w:spacing w:val="2"/>
          <w:sz w:val="24"/>
          <w:szCs w:val="24"/>
        </w:rPr>
        <w:t xml:space="preserve"> </w:t>
      </w:r>
      <w:r w:rsidRPr="00D7577B">
        <w:rPr>
          <w:rFonts w:ascii="Times New Roman" w:hAnsi="Times New Roman" w:eastAsia="Times New Roman" w:cs="Times New Roman"/>
          <w:b/>
          <w:i/>
          <w:color w:val="030303"/>
          <w:spacing w:val="2"/>
          <w:sz w:val="24"/>
          <w:szCs w:val="24"/>
        </w:rPr>
        <w:t>estimated hour burden, and explain the reasons for the variance. Generally, estimates should not include burden hours for customary and usual business practices.</w:t>
      </w:r>
    </w:p>
    <w:p w:rsidRPr="00D7577B" w:rsidR="00F64F67" w:rsidP="00A03B38" w:rsidRDefault="00F64F67" w14:paraId="3E117238" w14:textId="77777777">
      <w:pPr>
        <w:spacing w:after="0" w:line="240" w:lineRule="auto"/>
        <w:ind w:right="-40" w:hanging="5"/>
        <w:rPr>
          <w:rFonts w:ascii="Times New Roman" w:hAnsi="Times New Roman" w:eastAsia="Times New Roman" w:cs="Times New Roman"/>
          <w:b/>
          <w:i/>
          <w:color w:val="030303"/>
          <w:spacing w:val="2"/>
          <w:sz w:val="24"/>
          <w:szCs w:val="24"/>
        </w:rPr>
      </w:pPr>
    </w:p>
    <w:p w:rsidRPr="00D7577B" w:rsidR="00F64F67" w:rsidP="00A03B38" w:rsidRDefault="00F64F67" w14:paraId="3E57B5AC" w14:textId="77777777">
      <w:pPr>
        <w:spacing w:after="0" w:line="240" w:lineRule="auto"/>
        <w:ind w:right="-40" w:hanging="5"/>
        <w:rPr>
          <w:rFonts w:ascii="Times New Roman" w:hAnsi="Times New Roman" w:eastAsia="Times New Roman" w:cs="Times New Roman"/>
          <w:b/>
          <w:i/>
          <w:color w:val="030303"/>
          <w:spacing w:val="2"/>
          <w:sz w:val="24"/>
          <w:szCs w:val="24"/>
        </w:rPr>
      </w:pPr>
      <w:r w:rsidRPr="00D7577B">
        <w:rPr>
          <w:rFonts w:ascii="Times New Roman" w:hAnsi="Times New Roman" w:eastAsia="Times New Roman" w:cs="Times New Roman"/>
          <w:b/>
          <w:i/>
          <w:color w:val="030303"/>
          <w:spacing w:val="2"/>
          <w:sz w:val="24"/>
          <w:szCs w:val="24"/>
        </w:rPr>
        <w:t>(b) If this request for approval covers more than one form, provide separate hour burden estimates for each form and aggregate the hour burdens.</w:t>
      </w:r>
    </w:p>
    <w:p w:rsidRPr="00D7577B" w:rsidR="00F64F67" w:rsidP="00A03B38" w:rsidRDefault="00F64F67" w14:paraId="45E14D78" w14:textId="77777777">
      <w:pPr>
        <w:spacing w:after="0" w:line="240" w:lineRule="auto"/>
        <w:ind w:right="-40" w:hanging="5"/>
        <w:rPr>
          <w:rFonts w:ascii="Times New Roman" w:hAnsi="Times New Roman" w:eastAsia="Times New Roman" w:cs="Times New Roman"/>
          <w:color w:val="030303"/>
          <w:spacing w:val="2"/>
          <w:sz w:val="24"/>
          <w:szCs w:val="24"/>
        </w:rPr>
      </w:pPr>
    </w:p>
    <w:p w:rsidRPr="00D7577B" w:rsidR="003E49A9" w:rsidP="00982FBC" w:rsidRDefault="00F64F67" w14:paraId="6F65C118" w14:textId="77777777">
      <w:pPr>
        <w:spacing w:after="0" w:line="240" w:lineRule="auto"/>
        <w:ind w:right="-43"/>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Potential respondents include Federal oil, gas, and sulphu</w:t>
      </w:r>
      <w:r w:rsidRPr="00D7577B" w:rsidR="0020421C">
        <w:rPr>
          <w:rFonts w:ascii="Times New Roman" w:hAnsi="Times New Roman" w:eastAsia="Times New Roman" w:cs="Times New Roman"/>
          <w:color w:val="030303"/>
          <w:spacing w:val="2"/>
          <w:sz w:val="24"/>
          <w:szCs w:val="24"/>
        </w:rPr>
        <w:t>r lessees and/or operators and S</w:t>
      </w:r>
      <w:r w:rsidRPr="00D7577B">
        <w:rPr>
          <w:rFonts w:ascii="Times New Roman" w:hAnsi="Times New Roman" w:eastAsia="Times New Roman" w:cs="Times New Roman"/>
          <w:color w:val="030303"/>
          <w:spacing w:val="2"/>
          <w:sz w:val="24"/>
          <w:szCs w:val="24"/>
        </w:rPr>
        <w:t>tates. It should be noted that not all of the potential respondents submit info</w:t>
      </w:r>
      <w:r w:rsidRPr="00D7577B" w:rsidR="00A938FF">
        <w:rPr>
          <w:rFonts w:ascii="Times New Roman" w:hAnsi="Times New Roman" w:eastAsia="Times New Roman" w:cs="Times New Roman"/>
          <w:color w:val="030303"/>
          <w:spacing w:val="2"/>
          <w:sz w:val="24"/>
          <w:szCs w:val="24"/>
        </w:rPr>
        <w:t>rm</w:t>
      </w:r>
      <w:r w:rsidRPr="00D7577B">
        <w:rPr>
          <w:rFonts w:ascii="Times New Roman" w:hAnsi="Times New Roman" w:eastAsia="Times New Roman" w:cs="Times New Roman"/>
          <w:color w:val="030303"/>
          <w:spacing w:val="2"/>
          <w:sz w:val="24"/>
          <w:szCs w:val="24"/>
        </w:rPr>
        <w:t>ation in any given year and some may submit multiple times. The burden estimates</w:t>
      </w:r>
      <w:r w:rsidRPr="00D7577B" w:rsidR="00FA0125">
        <w:rPr>
          <w:rFonts w:ascii="Times New Roman" w:hAnsi="Times New Roman" w:eastAsia="Times New Roman" w:cs="Times New Roman"/>
          <w:color w:val="030303"/>
          <w:spacing w:val="2"/>
          <w:sz w:val="24"/>
          <w:szCs w:val="24"/>
        </w:rPr>
        <w:t xml:space="preserve"> in the approved OMB Control Numbers 1010-0114, 1010-0151, and 1010-0057</w:t>
      </w:r>
      <w:r w:rsidRPr="00D7577B">
        <w:rPr>
          <w:rFonts w:ascii="Times New Roman" w:hAnsi="Times New Roman" w:eastAsia="Times New Roman" w:cs="Times New Roman"/>
          <w:color w:val="030303"/>
          <w:spacing w:val="2"/>
          <w:sz w:val="24"/>
          <w:szCs w:val="24"/>
        </w:rPr>
        <w:t xml:space="preserve"> include the time for reviewing the instructions, searching existing data sources, gathering and maintaining the data needed, and completing and reviewing the collection of </w:t>
      </w:r>
      <w:r w:rsidRPr="00D7577B" w:rsidR="00A938FF">
        <w:rPr>
          <w:rFonts w:ascii="Times New Roman" w:hAnsi="Times New Roman" w:eastAsia="Times New Roman" w:cs="Times New Roman"/>
          <w:color w:val="030303"/>
          <w:spacing w:val="2"/>
          <w:sz w:val="24"/>
          <w:szCs w:val="24"/>
        </w:rPr>
        <w:t>information</w:t>
      </w:r>
      <w:r w:rsidRPr="00D7577B">
        <w:rPr>
          <w:rFonts w:ascii="Times New Roman" w:hAnsi="Times New Roman" w:eastAsia="Times New Roman" w:cs="Times New Roman"/>
          <w:color w:val="030303"/>
          <w:spacing w:val="2"/>
          <w:sz w:val="24"/>
          <w:szCs w:val="24"/>
        </w:rPr>
        <w:t>.</w:t>
      </w:r>
      <w:r w:rsidRPr="00D7577B" w:rsidR="00E20543">
        <w:rPr>
          <w:rFonts w:ascii="Times New Roman" w:hAnsi="Times New Roman" w:eastAsia="Times New Roman" w:cs="Times New Roman"/>
          <w:color w:val="030303"/>
          <w:spacing w:val="2"/>
          <w:sz w:val="24"/>
          <w:szCs w:val="24"/>
        </w:rPr>
        <w:t xml:space="preserve"> </w:t>
      </w:r>
      <w:r w:rsidRPr="00D7577B" w:rsidR="00FA0125">
        <w:rPr>
          <w:rFonts w:ascii="Times New Roman" w:hAnsi="Times New Roman" w:eastAsia="Times New Roman" w:cs="Times New Roman"/>
          <w:color w:val="030303"/>
          <w:spacing w:val="2"/>
          <w:sz w:val="24"/>
          <w:szCs w:val="24"/>
        </w:rPr>
        <w:t xml:space="preserve"> </w:t>
      </w:r>
      <w:r w:rsidRPr="00D7577B">
        <w:rPr>
          <w:rFonts w:ascii="Times New Roman" w:hAnsi="Times New Roman" w:eastAsia="Times New Roman" w:cs="Times New Roman"/>
          <w:color w:val="030303"/>
          <w:spacing w:val="2"/>
          <w:sz w:val="24"/>
          <w:szCs w:val="24"/>
        </w:rPr>
        <w:t>Responses are mandatory and are submitted on occa</w:t>
      </w:r>
      <w:r w:rsidRPr="00D7577B" w:rsidR="00A938FF">
        <w:rPr>
          <w:rFonts w:ascii="Times New Roman" w:hAnsi="Times New Roman" w:eastAsia="Times New Roman" w:cs="Times New Roman"/>
          <w:color w:val="030303"/>
          <w:spacing w:val="2"/>
          <w:sz w:val="24"/>
          <w:szCs w:val="24"/>
        </w:rPr>
        <w:t>s</w:t>
      </w:r>
      <w:r w:rsidRPr="00D7577B" w:rsidR="00E20543">
        <w:rPr>
          <w:rFonts w:ascii="Times New Roman" w:hAnsi="Times New Roman" w:eastAsia="Times New Roman" w:cs="Times New Roman"/>
          <w:color w:val="030303"/>
          <w:spacing w:val="2"/>
          <w:sz w:val="24"/>
          <w:szCs w:val="24"/>
        </w:rPr>
        <w:t xml:space="preserve">ion. </w:t>
      </w:r>
    </w:p>
    <w:p w:rsidRPr="00D7577B" w:rsidR="003E49A9" w:rsidP="00982FBC" w:rsidRDefault="003E49A9" w14:paraId="2DADA104" w14:textId="77777777">
      <w:pPr>
        <w:spacing w:after="0" w:line="240" w:lineRule="auto"/>
        <w:ind w:right="-43"/>
        <w:rPr>
          <w:rFonts w:ascii="Times New Roman" w:hAnsi="Times New Roman" w:eastAsia="Times New Roman" w:cs="Times New Roman"/>
          <w:color w:val="030303"/>
          <w:spacing w:val="2"/>
          <w:sz w:val="24"/>
          <w:szCs w:val="24"/>
        </w:rPr>
      </w:pPr>
    </w:p>
    <w:p w:rsidRPr="00D7577B" w:rsidR="00397D81" w:rsidP="000E4EB9" w:rsidRDefault="00F64F67" w14:paraId="7906F47C" w14:textId="77777777">
      <w:pPr>
        <w:spacing w:after="0" w:line="240" w:lineRule="auto"/>
        <w:ind w:right="-43"/>
        <w:rPr>
          <w:rFonts w:ascii="Times New Roman" w:hAnsi="Times New Roman" w:eastAsia="Times New Roman" w:cs="Times New Roman"/>
          <w:color w:val="030303"/>
          <w:spacing w:val="2"/>
          <w:sz w:val="24"/>
          <w:szCs w:val="24"/>
        </w:rPr>
      </w:pPr>
      <w:r w:rsidRPr="00D7577B">
        <w:rPr>
          <w:rFonts w:ascii="Times New Roman" w:hAnsi="Times New Roman" w:eastAsia="Times New Roman" w:cs="Times New Roman"/>
          <w:color w:val="030303"/>
          <w:spacing w:val="2"/>
          <w:sz w:val="24"/>
          <w:szCs w:val="24"/>
        </w:rPr>
        <w:t>We</w:t>
      </w:r>
      <w:r w:rsidRPr="00D7577B" w:rsidR="00A938FF">
        <w:rPr>
          <w:rFonts w:ascii="Times New Roman" w:hAnsi="Times New Roman" w:eastAsia="Times New Roman" w:cs="Times New Roman"/>
          <w:color w:val="030303"/>
          <w:spacing w:val="2"/>
          <w:sz w:val="24"/>
          <w:szCs w:val="24"/>
        </w:rPr>
        <w:t xml:space="preserve"> </w:t>
      </w:r>
      <w:r w:rsidRPr="00D7577B">
        <w:rPr>
          <w:rFonts w:ascii="Times New Roman" w:hAnsi="Times New Roman" w:eastAsia="Times New Roman" w:cs="Times New Roman"/>
          <w:color w:val="030303"/>
          <w:spacing w:val="2"/>
          <w:sz w:val="24"/>
          <w:szCs w:val="24"/>
        </w:rPr>
        <w:t xml:space="preserve">estimate </w:t>
      </w:r>
      <w:r w:rsidRPr="00D7577B" w:rsidR="003D1994">
        <w:rPr>
          <w:rFonts w:ascii="Times New Roman" w:hAnsi="Times New Roman" w:eastAsia="Times New Roman" w:cs="Times New Roman"/>
          <w:color w:val="030303"/>
          <w:spacing w:val="2"/>
          <w:sz w:val="24"/>
          <w:szCs w:val="24"/>
        </w:rPr>
        <w:t>the</w:t>
      </w:r>
      <w:r w:rsidRPr="00D7577B">
        <w:rPr>
          <w:rFonts w:ascii="Times New Roman" w:hAnsi="Times New Roman" w:eastAsia="Times New Roman" w:cs="Times New Roman"/>
          <w:color w:val="030303"/>
          <w:spacing w:val="2"/>
          <w:sz w:val="24"/>
          <w:szCs w:val="24"/>
        </w:rPr>
        <w:t xml:space="preserve"> total reporting and recordkeeping annual burden</w:t>
      </w:r>
      <w:r w:rsidRPr="00D7577B" w:rsidR="003D1994">
        <w:rPr>
          <w:rFonts w:ascii="Times New Roman" w:hAnsi="Times New Roman" w:eastAsia="Times New Roman" w:cs="Times New Roman"/>
          <w:color w:val="030303"/>
          <w:spacing w:val="2"/>
          <w:sz w:val="24"/>
          <w:szCs w:val="24"/>
        </w:rPr>
        <w:t xml:space="preserve"> related to this rulemaking will not change from the existing approved</w:t>
      </w:r>
      <w:r w:rsidRPr="00D7577B" w:rsidR="000E4EB9">
        <w:rPr>
          <w:rFonts w:ascii="Times New Roman" w:hAnsi="Times New Roman" w:eastAsia="Times New Roman" w:cs="Times New Roman"/>
          <w:color w:val="030303"/>
          <w:spacing w:val="2"/>
          <w:sz w:val="24"/>
          <w:szCs w:val="24"/>
        </w:rPr>
        <w:t xml:space="preserve"> </w:t>
      </w:r>
      <w:r w:rsidRPr="00D7577B" w:rsidR="00FA0125">
        <w:rPr>
          <w:rFonts w:ascii="Times New Roman" w:hAnsi="Times New Roman" w:eastAsia="Times New Roman" w:cs="Times New Roman"/>
          <w:color w:val="030303"/>
          <w:spacing w:val="2"/>
          <w:sz w:val="24"/>
          <w:szCs w:val="24"/>
        </w:rPr>
        <w:t xml:space="preserve">annual burden </w:t>
      </w:r>
      <w:r w:rsidRPr="00D7577B" w:rsidR="003D1994">
        <w:rPr>
          <w:rFonts w:ascii="Times New Roman" w:hAnsi="Times New Roman" w:eastAsia="Times New Roman" w:cs="Times New Roman"/>
          <w:color w:val="030303"/>
          <w:spacing w:val="2"/>
          <w:sz w:val="24"/>
          <w:szCs w:val="24"/>
        </w:rPr>
        <w:t>h</w:t>
      </w:r>
      <w:r w:rsidRPr="00D7577B">
        <w:rPr>
          <w:rFonts w:ascii="Times New Roman" w:hAnsi="Times New Roman" w:eastAsia="Times New Roman" w:cs="Times New Roman"/>
          <w:color w:val="030303"/>
          <w:spacing w:val="2"/>
          <w:sz w:val="24"/>
          <w:szCs w:val="24"/>
        </w:rPr>
        <w:t>ours</w:t>
      </w:r>
      <w:r w:rsidRPr="00D7577B" w:rsidR="003D1994">
        <w:rPr>
          <w:rFonts w:ascii="Times New Roman" w:hAnsi="Times New Roman" w:eastAsia="Times New Roman" w:cs="Times New Roman"/>
          <w:color w:val="030303"/>
          <w:spacing w:val="2"/>
          <w:sz w:val="24"/>
          <w:szCs w:val="24"/>
        </w:rPr>
        <w:t xml:space="preserve"> related to OMB control numbers </w:t>
      </w:r>
      <w:r w:rsidRPr="00D7577B" w:rsidR="00003F22">
        <w:rPr>
          <w:rFonts w:ascii="Times New Roman" w:hAnsi="Times New Roman" w:eastAsia="Times New Roman" w:cs="Times New Roman"/>
          <w:color w:val="030303"/>
          <w:spacing w:val="2"/>
          <w:sz w:val="24"/>
          <w:szCs w:val="24"/>
        </w:rPr>
        <w:t xml:space="preserve"> </w:t>
      </w:r>
      <w:r w:rsidRPr="00D7577B" w:rsidR="003D1994">
        <w:rPr>
          <w:rFonts w:ascii="Times New Roman" w:hAnsi="Times New Roman" w:eastAsia="Times New Roman" w:cs="Times New Roman"/>
          <w:color w:val="030303"/>
          <w:spacing w:val="2"/>
          <w:sz w:val="24"/>
          <w:szCs w:val="24"/>
        </w:rPr>
        <w:t xml:space="preserve">30 CFR part 550, Subpart A, are approved under OMB Control Number 1010-0114 (30, 635 annual burden hours, $165,492 non-hour costs; expires January 31, 2020).  Information Collection burdens associated with 30 CFR Part 550, Subpart B, are approved under OMB Control No. 1010-0151, Plans and Information (436,438 annual burden hours; $3,939,435 non-hour costs; expires June 30, 2021).  Information Collection burdens associated </w:t>
      </w:r>
      <w:r w:rsidRPr="00D7577B" w:rsidR="003D1994">
        <w:rPr>
          <w:rFonts w:ascii="Times New Roman" w:hAnsi="Times New Roman" w:eastAsia="Times New Roman" w:cs="Times New Roman"/>
          <w:color w:val="030303"/>
          <w:spacing w:val="2"/>
          <w:sz w:val="24"/>
          <w:szCs w:val="24"/>
        </w:rPr>
        <w:lastRenderedPageBreak/>
        <w:t>with 30 CFR 550, Subpart C, are approved under OMB Control No. 1010-0057 (35,200 annual burden hours; $0 non-hour costs; expires May 31, 2021).</w:t>
      </w:r>
      <w:r w:rsidRPr="00D7577B">
        <w:rPr>
          <w:rFonts w:ascii="Times New Roman" w:hAnsi="Times New Roman" w:eastAsia="Times New Roman" w:cs="Times New Roman"/>
          <w:color w:val="030303"/>
          <w:spacing w:val="2"/>
          <w:sz w:val="24"/>
          <w:szCs w:val="24"/>
        </w:rPr>
        <w:t xml:space="preserve"> </w:t>
      </w:r>
    </w:p>
    <w:p w:rsidR="00B25BFA" w:rsidP="000E4EB9" w:rsidRDefault="00B25BFA" w14:paraId="1ADE37AE" w14:textId="77777777">
      <w:pPr>
        <w:spacing w:after="0" w:line="240" w:lineRule="auto"/>
        <w:ind w:right="-43"/>
        <w:rPr>
          <w:rFonts w:ascii="Times New Roman" w:hAnsi="Times New Roman" w:eastAsia="Times New Roman" w:cs="Times New Roman"/>
          <w:color w:val="030303"/>
          <w:spacing w:val="2"/>
          <w:sz w:val="24"/>
          <w:szCs w:val="24"/>
        </w:rPr>
      </w:pPr>
    </w:p>
    <w:p w:rsidRPr="00B25BFA" w:rsidR="00B25BFA" w:rsidP="00B25BFA" w:rsidRDefault="00B25BFA" w14:paraId="5A0AC0C9" w14:textId="77777777">
      <w:pPr>
        <w:tabs>
          <w:tab w:val="left" w:pos="-1080"/>
          <w:tab w:val="left" w:pos="-720"/>
          <w:tab w:val="left" w:pos="0"/>
          <w:tab w:val="left" w:pos="360"/>
          <w:tab w:val="left" w:pos="810"/>
          <w:tab w:val="left" w:pos="2160"/>
        </w:tabs>
        <w:spacing w:after="0" w:line="240" w:lineRule="auto"/>
        <w:jc w:val="center"/>
        <w:rPr>
          <w:rFonts w:ascii="Times New Roman" w:hAnsi="Times New Roman" w:eastAsia="Times New Roman" w:cs="Times New Roman"/>
          <w:b/>
          <w:snapToGrid w:val="0"/>
          <w:sz w:val="24"/>
          <w:szCs w:val="20"/>
        </w:rPr>
      </w:pPr>
      <w:r w:rsidRPr="00B25BFA">
        <w:rPr>
          <w:rFonts w:ascii="Times New Roman" w:hAnsi="Times New Roman" w:eastAsia="Times New Roman" w:cs="Times New Roman"/>
          <w:b/>
          <w:snapToGrid w:val="0"/>
          <w:sz w:val="24"/>
          <w:szCs w:val="20"/>
        </w:rPr>
        <w:t>BURDEN BREAKDOWN</w:t>
      </w:r>
      <w:r w:rsidR="004C57AB">
        <w:rPr>
          <w:rFonts w:ascii="Times New Roman" w:hAnsi="Times New Roman" w:eastAsia="Times New Roman" w:cs="Times New Roman"/>
          <w:b/>
          <w:snapToGrid w:val="0"/>
          <w:sz w:val="24"/>
          <w:szCs w:val="20"/>
        </w:rPr>
        <w:t xml:space="preserve"> FOR OMB CONTROL NUMBER 1010-0151</w:t>
      </w:r>
    </w:p>
    <w:tbl>
      <w:tblPr>
        <w:tblW w:w="10219" w:type="dxa"/>
        <w:jc w:val="center"/>
        <w:tblBorders>
          <w:top w:val="double" w:color="000000" w:sz="7" w:space="0"/>
          <w:left w:val="double" w:color="000000" w:sz="7" w:space="0"/>
          <w:bottom w:val="double" w:color="000000" w:sz="7" w:space="0"/>
          <w:right w:val="double" w:color="000000" w:sz="7" w:space="0"/>
          <w:insideH w:val="single" w:color="000000" w:sz="7" w:space="0"/>
          <w:insideV w:val="single" w:color="000000" w:sz="7" w:space="0"/>
        </w:tblBorders>
        <w:tblLayout w:type="fixed"/>
        <w:tblCellMar>
          <w:left w:w="139" w:type="dxa"/>
          <w:right w:w="139" w:type="dxa"/>
        </w:tblCellMar>
        <w:tblLook w:val="0000" w:firstRow="0" w:lastRow="0" w:firstColumn="0" w:lastColumn="0" w:noHBand="0" w:noVBand="0"/>
      </w:tblPr>
      <w:tblGrid>
        <w:gridCol w:w="1440"/>
        <w:gridCol w:w="4500"/>
        <w:gridCol w:w="1080"/>
        <w:gridCol w:w="180"/>
        <w:gridCol w:w="1759"/>
        <w:gridCol w:w="1260"/>
      </w:tblGrid>
      <w:tr w:rsidRPr="00B25BFA" w:rsidR="00B25BFA" w:rsidTr="00671A0D" w14:paraId="7BFDA8D1" w14:textId="77777777">
        <w:trPr>
          <w:trHeight w:val="578"/>
          <w:tblHeader/>
          <w:jc w:val="center"/>
        </w:trPr>
        <w:tc>
          <w:tcPr>
            <w:tcW w:w="1440" w:type="dxa"/>
            <w:vMerge w:val="restart"/>
            <w:tcBorders>
              <w:top w:val="single" w:color="auto" w:sz="4" w:space="0"/>
              <w:left w:val="single" w:color="auto" w:sz="4" w:space="0"/>
            </w:tcBorders>
            <w:shd w:val="pct10" w:color="000000" w:fill="FFFFFF"/>
            <w:tcMar>
              <w:left w:w="72" w:type="dxa"/>
            </w:tcMar>
          </w:tcPr>
          <w:p w:rsidRPr="00B25BFA" w:rsidR="00B25BFA" w:rsidP="00B25BFA" w:rsidRDefault="00B25BFA" w14:paraId="6992D029"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b/>
                <w:snapToGrid w:val="0"/>
              </w:rPr>
            </w:pPr>
          </w:p>
          <w:p w:rsidRPr="00B25BFA" w:rsidR="00B25BFA" w:rsidP="00B25BFA" w:rsidRDefault="00B25BFA" w14:paraId="40489960" w14:textId="77777777">
            <w:pPr>
              <w:tabs>
                <w:tab w:val="left" w:pos="-1080"/>
                <w:tab w:val="left" w:pos="-720"/>
                <w:tab w:val="left" w:pos="0"/>
                <w:tab w:val="left" w:pos="450"/>
                <w:tab w:val="left" w:pos="900"/>
                <w:tab w:val="left" w:pos="1350"/>
                <w:tab w:val="left" w:pos="2880"/>
              </w:tabs>
              <w:spacing w:after="0" w:line="240" w:lineRule="auto"/>
              <w:jc w:val="center"/>
              <w:rPr>
                <w:rFonts w:ascii="Times New Roman" w:hAnsi="Times New Roman" w:eastAsia="Times New Roman" w:cs="Times New Roman"/>
                <w:b/>
                <w:snapToGrid w:val="0"/>
              </w:rPr>
            </w:pPr>
            <w:r w:rsidRPr="00B25BFA">
              <w:rPr>
                <w:rFonts w:ascii="Times New Roman" w:hAnsi="Times New Roman" w:eastAsia="Times New Roman" w:cs="Times New Roman"/>
                <w:b/>
                <w:snapToGrid w:val="0"/>
              </w:rPr>
              <w:t>Citation</w:t>
            </w:r>
          </w:p>
          <w:p w:rsidRPr="00B25BFA" w:rsidR="00B25BFA" w:rsidP="00B25BFA" w:rsidRDefault="00B25BFA" w14:paraId="3C30C19B" w14:textId="77777777">
            <w:pPr>
              <w:tabs>
                <w:tab w:val="left" w:pos="-1080"/>
                <w:tab w:val="left" w:pos="-720"/>
                <w:tab w:val="left" w:pos="0"/>
                <w:tab w:val="left" w:pos="450"/>
                <w:tab w:val="left" w:pos="900"/>
                <w:tab w:val="left" w:pos="1350"/>
                <w:tab w:val="left" w:pos="2880"/>
              </w:tabs>
              <w:spacing w:after="0" w:line="240" w:lineRule="auto"/>
              <w:jc w:val="center"/>
              <w:rPr>
                <w:rFonts w:ascii="Times New Roman" w:hAnsi="Times New Roman" w:eastAsia="Times New Roman" w:cs="Times New Roman"/>
                <w:b/>
                <w:snapToGrid w:val="0"/>
              </w:rPr>
            </w:pPr>
            <w:r w:rsidRPr="00B25BFA">
              <w:rPr>
                <w:rFonts w:ascii="Times New Roman" w:hAnsi="Times New Roman" w:eastAsia="Times New Roman" w:cs="Times New Roman"/>
                <w:b/>
                <w:snapToGrid w:val="0"/>
              </w:rPr>
              <w:t>30 CFR 550</w:t>
            </w:r>
          </w:p>
          <w:p w:rsidRPr="00B25BFA" w:rsidR="00B25BFA" w:rsidP="00B25BFA" w:rsidRDefault="00B25BFA" w14:paraId="358026F5" w14:textId="77777777">
            <w:pPr>
              <w:tabs>
                <w:tab w:val="left" w:pos="-1080"/>
                <w:tab w:val="left" w:pos="-720"/>
                <w:tab w:val="left" w:pos="0"/>
                <w:tab w:val="left" w:pos="450"/>
                <w:tab w:val="left" w:pos="900"/>
                <w:tab w:val="left" w:pos="1350"/>
                <w:tab w:val="left" w:pos="2880"/>
              </w:tabs>
              <w:spacing w:after="0" w:line="240" w:lineRule="auto"/>
              <w:jc w:val="center"/>
              <w:rPr>
                <w:rFonts w:ascii="Times New Roman" w:hAnsi="Times New Roman" w:eastAsia="Times New Roman" w:cs="Times New Roman"/>
                <w:b/>
                <w:snapToGrid w:val="0"/>
              </w:rPr>
            </w:pPr>
            <w:r w:rsidRPr="00B25BFA">
              <w:rPr>
                <w:rFonts w:ascii="Times New Roman" w:hAnsi="Times New Roman" w:eastAsia="Times New Roman" w:cs="Times New Roman"/>
                <w:b/>
                <w:snapToGrid w:val="0"/>
              </w:rPr>
              <w:t>Subpart B</w:t>
            </w:r>
          </w:p>
          <w:p w:rsidRPr="00B25BFA" w:rsidR="00B25BFA" w:rsidP="00B25BFA" w:rsidRDefault="00B25BFA" w14:paraId="10636211" w14:textId="77777777">
            <w:pPr>
              <w:tabs>
                <w:tab w:val="left" w:pos="-1080"/>
                <w:tab w:val="left" w:pos="-720"/>
                <w:tab w:val="left" w:pos="0"/>
                <w:tab w:val="left" w:pos="450"/>
                <w:tab w:val="left" w:pos="900"/>
                <w:tab w:val="left" w:pos="1350"/>
                <w:tab w:val="left" w:pos="2880"/>
              </w:tabs>
              <w:spacing w:after="0" w:line="240" w:lineRule="auto"/>
              <w:jc w:val="center"/>
              <w:rPr>
                <w:rFonts w:ascii="Times New Roman" w:hAnsi="Times New Roman" w:eastAsia="Times New Roman" w:cs="Times New Roman"/>
                <w:b/>
                <w:snapToGrid w:val="0"/>
              </w:rPr>
            </w:pPr>
            <w:r w:rsidRPr="00B25BFA">
              <w:rPr>
                <w:rFonts w:ascii="Times New Roman" w:hAnsi="Times New Roman" w:eastAsia="Times New Roman" w:cs="Times New Roman"/>
                <w:b/>
                <w:snapToGrid w:val="0"/>
              </w:rPr>
              <w:t>and NTLs</w:t>
            </w:r>
          </w:p>
        </w:tc>
        <w:tc>
          <w:tcPr>
            <w:tcW w:w="4500" w:type="dxa"/>
            <w:vMerge w:val="restart"/>
            <w:tcBorders>
              <w:top w:val="single" w:color="auto" w:sz="4" w:space="0"/>
            </w:tcBorders>
            <w:shd w:val="pct10" w:color="000000" w:fill="FFFFFF"/>
            <w:vAlign w:val="center"/>
          </w:tcPr>
          <w:p w:rsidRPr="00B25BFA" w:rsidR="00B25BFA" w:rsidP="00B25BFA" w:rsidRDefault="00B25BFA" w14:paraId="4FB5F094" w14:textId="77777777">
            <w:pPr>
              <w:tabs>
                <w:tab w:val="left" w:pos="-1080"/>
                <w:tab w:val="left" w:pos="-720"/>
                <w:tab w:val="left" w:pos="0"/>
                <w:tab w:val="left" w:pos="450"/>
                <w:tab w:val="left" w:pos="900"/>
                <w:tab w:val="left" w:pos="1350"/>
                <w:tab w:val="left" w:pos="2880"/>
              </w:tabs>
              <w:spacing w:after="0" w:line="240" w:lineRule="auto"/>
              <w:jc w:val="center"/>
              <w:rPr>
                <w:rFonts w:ascii="Times New Roman" w:hAnsi="Times New Roman" w:eastAsia="Times New Roman" w:cs="Times New Roman"/>
                <w:b/>
                <w:snapToGrid w:val="0"/>
              </w:rPr>
            </w:pPr>
            <w:r w:rsidRPr="00B25BFA">
              <w:rPr>
                <w:rFonts w:ascii="Times New Roman" w:hAnsi="Times New Roman" w:eastAsia="Times New Roman" w:cs="Times New Roman"/>
                <w:b/>
                <w:snapToGrid w:val="0"/>
              </w:rPr>
              <w:t>Reporting &amp;Recordkeeping</w:t>
            </w:r>
          </w:p>
          <w:p w:rsidRPr="00B25BFA" w:rsidR="00B25BFA" w:rsidP="00B25BFA" w:rsidRDefault="00B25BFA" w14:paraId="11DB45C5" w14:textId="77777777">
            <w:pPr>
              <w:tabs>
                <w:tab w:val="left" w:pos="-1080"/>
                <w:tab w:val="left" w:pos="-720"/>
                <w:tab w:val="left" w:pos="0"/>
                <w:tab w:val="left" w:pos="450"/>
                <w:tab w:val="left" w:pos="900"/>
                <w:tab w:val="left" w:pos="1350"/>
                <w:tab w:val="left" w:pos="2880"/>
              </w:tabs>
              <w:spacing w:after="0" w:line="240" w:lineRule="auto"/>
              <w:jc w:val="center"/>
              <w:rPr>
                <w:rFonts w:ascii="Times New Roman" w:hAnsi="Times New Roman" w:eastAsia="Times New Roman" w:cs="Times New Roman"/>
                <w:b/>
                <w:snapToGrid w:val="0"/>
              </w:rPr>
            </w:pPr>
            <w:r w:rsidRPr="00B25BFA">
              <w:rPr>
                <w:rFonts w:ascii="Times New Roman" w:hAnsi="Times New Roman" w:eastAsia="Times New Roman" w:cs="Times New Roman"/>
                <w:b/>
                <w:snapToGrid w:val="0"/>
              </w:rPr>
              <w:t>Requirement</w:t>
            </w:r>
          </w:p>
        </w:tc>
        <w:tc>
          <w:tcPr>
            <w:tcW w:w="1080" w:type="dxa"/>
            <w:tcBorders>
              <w:top w:val="single" w:color="auto" w:sz="4" w:space="0"/>
              <w:right w:val="single" w:color="auto" w:sz="4" w:space="0"/>
            </w:tcBorders>
            <w:shd w:val="pct10" w:color="000000" w:fill="FFFFFF"/>
            <w:vAlign w:val="center"/>
          </w:tcPr>
          <w:p w:rsidRPr="00B25BFA" w:rsidR="00B25BFA" w:rsidP="00B25BFA" w:rsidRDefault="00B25BFA" w14:paraId="24104E8A" w14:textId="77777777">
            <w:pPr>
              <w:tabs>
                <w:tab w:val="left" w:pos="-1080"/>
                <w:tab w:val="left" w:pos="-720"/>
                <w:tab w:val="left" w:pos="0"/>
                <w:tab w:val="left" w:pos="450"/>
                <w:tab w:val="left" w:pos="900"/>
                <w:tab w:val="left" w:pos="1350"/>
                <w:tab w:val="left" w:pos="2880"/>
              </w:tabs>
              <w:spacing w:after="0" w:line="240" w:lineRule="auto"/>
              <w:jc w:val="center"/>
              <w:rPr>
                <w:rFonts w:ascii="Times New Roman" w:hAnsi="Times New Roman" w:eastAsia="Times New Roman" w:cs="Times New Roman"/>
                <w:b/>
                <w:snapToGrid w:val="0"/>
              </w:rPr>
            </w:pPr>
            <w:r w:rsidRPr="00B25BFA">
              <w:rPr>
                <w:rFonts w:ascii="Times New Roman" w:hAnsi="Times New Roman" w:eastAsia="Times New Roman" w:cs="Times New Roman"/>
                <w:b/>
                <w:snapToGrid w:val="0"/>
              </w:rPr>
              <w:t>Hour Burden</w:t>
            </w:r>
          </w:p>
          <w:p w:rsidRPr="00B25BFA" w:rsidR="00B25BFA" w:rsidP="00B25BFA" w:rsidRDefault="00B25BFA" w14:paraId="20A1D1E9" w14:textId="77777777">
            <w:pPr>
              <w:tabs>
                <w:tab w:val="left" w:pos="-1080"/>
                <w:tab w:val="left" w:pos="-720"/>
                <w:tab w:val="left" w:pos="0"/>
                <w:tab w:val="left" w:pos="450"/>
                <w:tab w:val="left" w:pos="900"/>
                <w:tab w:val="left" w:pos="1350"/>
                <w:tab w:val="left" w:pos="2880"/>
              </w:tabs>
              <w:spacing w:after="0" w:line="240" w:lineRule="auto"/>
              <w:jc w:val="center"/>
              <w:rPr>
                <w:rFonts w:ascii="Times New Roman" w:hAnsi="Times New Roman" w:eastAsia="Times New Roman" w:cs="Times New Roman"/>
                <w:b/>
                <w:snapToGrid w:val="0"/>
              </w:rPr>
            </w:pPr>
          </w:p>
        </w:tc>
        <w:tc>
          <w:tcPr>
            <w:tcW w:w="1939" w:type="dxa"/>
            <w:gridSpan w:val="2"/>
            <w:tcBorders>
              <w:top w:val="single" w:color="auto" w:sz="4" w:space="0"/>
              <w:right w:val="single" w:color="auto" w:sz="4" w:space="0"/>
            </w:tcBorders>
            <w:shd w:val="pct10" w:color="000000" w:fill="FFFFFF"/>
            <w:vAlign w:val="center"/>
          </w:tcPr>
          <w:p w:rsidRPr="00B25BFA" w:rsidR="00B25BFA" w:rsidP="00B25BFA" w:rsidRDefault="00B25BFA" w14:paraId="7AFE9FF2" w14:textId="77777777">
            <w:pPr>
              <w:tabs>
                <w:tab w:val="left" w:pos="-1080"/>
                <w:tab w:val="left" w:pos="-720"/>
                <w:tab w:val="left" w:pos="0"/>
                <w:tab w:val="left" w:pos="450"/>
                <w:tab w:val="left" w:pos="900"/>
                <w:tab w:val="left" w:pos="1350"/>
                <w:tab w:val="left" w:pos="2880"/>
              </w:tabs>
              <w:spacing w:before="60" w:after="0" w:line="240" w:lineRule="exact"/>
              <w:jc w:val="center"/>
              <w:rPr>
                <w:rFonts w:ascii="Times New Roman" w:hAnsi="Times New Roman" w:eastAsia="Times New Roman" w:cs="Times New Roman"/>
                <w:b/>
                <w:snapToGrid w:val="0"/>
              </w:rPr>
            </w:pPr>
            <w:r w:rsidRPr="00B25BFA">
              <w:rPr>
                <w:rFonts w:ascii="Times New Roman" w:hAnsi="Times New Roman" w:eastAsia="Times New Roman" w:cs="Times New Roman"/>
                <w:b/>
                <w:snapToGrid w:val="0"/>
              </w:rPr>
              <w:t>Average No. of Annual Responses</w:t>
            </w:r>
          </w:p>
        </w:tc>
        <w:tc>
          <w:tcPr>
            <w:tcW w:w="1260" w:type="dxa"/>
            <w:tcBorders>
              <w:top w:val="single" w:color="auto" w:sz="4" w:space="0"/>
              <w:right w:val="single" w:color="auto" w:sz="4" w:space="0"/>
            </w:tcBorders>
            <w:shd w:val="pct10" w:color="000000" w:fill="FFFFFF"/>
            <w:vAlign w:val="center"/>
          </w:tcPr>
          <w:p w:rsidRPr="00B25BFA" w:rsidR="00B25BFA" w:rsidP="00B25BFA" w:rsidRDefault="00B25BFA" w14:paraId="154B11FC" w14:textId="77777777">
            <w:pPr>
              <w:tabs>
                <w:tab w:val="left" w:pos="-1080"/>
                <w:tab w:val="left" w:pos="-720"/>
                <w:tab w:val="left" w:pos="0"/>
                <w:tab w:val="left" w:pos="450"/>
                <w:tab w:val="left" w:pos="900"/>
                <w:tab w:val="left" w:pos="1350"/>
                <w:tab w:val="left" w:pos="2880"/>
              </w:tabs>
              <w:spacing w:after="0" w:line="240" w:lineRule="auto"/>
              <w:jc w:val="center"/>
              <w:rPr>
                <w:rFonts w:ascii="Times New Roman" w:hAnsi="Times New Roman" w:eastAsia="Times New Roman" w:cs="Times New Roman"/>
                <w:b/>
                <w:snapToGrid w:val="0"/>
              </w:rPr>
            </w:pPr>
            <w:r w:rsidRPr="00B25BFA">
              <w:rPr>
                <w:rFonts w:ascii="Times New Roman" w:hAnsi="Times New Roman" w:eastAsia="Times New Roman" w:cs="Times New Roman"/>
                <w:b/>
                <w:snapToGrid w:val="0"/>
              </w:rPr>
              <w:t>Burden Hours</w:t>
            </w:r>
          </w:p>
        </w:tc>
      </w:tr>
      <w:tr w:rsidRPr="00B25BFA" w:rsidR="00B25BFA" w:rsidTr="00671A0D" w14:paraId="7FE84CFE" w14:textId="77777777">
        <w:trPr>
          <w:trHeight w:val="298"/>
          <w:tblHeader/>
          <w:jc w:val="center"/>
        </w:trPr>
        <w:tc>
          <w:tcPr>
            <w:tcW w:w="1440" w:type="dxa"/>
            <w:vMerge/>
            <w:tcBorders>
              <w:left w:val="single" w:color="auto" w:sz="4" w:space="0"/>
            </w:tcBorders>
            <w:shd w:val="pct10" w:color="000000" w:fill="FFFFFF"/>
            <w:tcMar>
              <w:left w:w="72" w:type="dxa"/>
            </w:tcMar>
          </w:tcPr>
          <w:p w:rsidRPr="00B25BFA" w:rsidR="00B25BFA" w:rsidP="00B25BFA" w:rsidRDefault="00B25BFA" w14:paraId="4D424393"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b/>
                <w:snapToGrid w:val="0"/>
              </w:rPr>
            </w:pPr>
          </w:p>
        </w:tc>
        <w:tc>
          <w:tcPr>
            <w:tcW w:w="4500" w:type="dxa"/>
            <w:vMerge/>
            <w:shd w:val="pct10" w:color="000000" w:fill="FFFFFF"/>
            <w:vAlign w:val="center"/>
          </w:tcPr>
          <w:p w:rsidRPr="00B25BFA" w:rsidR="00B25BFA" w:rsidP="00B25BFA" w:rsidRDefault="00B25BFA" w14:paraId="02273CBE" w14:textId="77777777">
            <w:pPr>
              <w:tabs>
                <w:tab w:val="left" w:pos="-1080"/>
                <w:tab w:val="left" w:pos="-720"/>
                <w:tab w:val="left" w:pos="0"/>
                <w:tab w:val="left" w:pos="450"/>
                <w:tab w:val="left" w:pos="900"/>
                <w:tab w:val="left" w:pos="1350"/>
                <w:tab w:val="left" w:pos="2880"/>
              </w:tabs>
              <w:spacing w:after="0" w:line="240" w:lineRule="auto"/>
              <w:jc w:val="center"/>
              <w:rPr>
                <w:rFonts w:ascii="Times New Roman" w:hAnsi="Times New Roman" w:eastAsia="Times New Roman" w:cs="Times New Roman"/>
                <w:b/>
                <w:snapToGrid w:val="0"/>
              </w:rPr>
            </w:pPr>
          </w:p>
        </w:tc>
        <w:tc>
          <w:tcPr>
            <w:tcW w:w="4279" w:type="dxa"/>
            <w:gridSpan w:val="4"/>
            <w:tcBorders>
              <w:top w:val="single" w:color="auto" w:sz="4" w:space="0"/>
              <w:right w:val="single" w:color="auto" w:sz="4" w:space="0"/>
            </w:tcBorders>
            <w:shd w:val="pct10" w:color="000000" w:fill="FFFFFF"/>
            <w:vAlign w:val="center"/>
          </w:tcPr>
          <w:p w:rsidRPr="00B25BFA" w:rsidR="00B25BFA" w:rsidP="00B25BFA" w:rsidRDefault="00B25BFA" w14:paraId="3651EC70" w14:textId="77777777">
            <w:pPr>
              <w:tabs>
                <w:tab w:val="left" w:pos="-1080"/>
                <w:tab w:val="left" w:pos="-720"/>
                <w:tab w:val="left" w:pos="0"/>
                <w:tab w:val="left" w:pos="450"/>
                <w:tab w:val="left" w:pos="900"/>
                <w:tab w:val="left" w:pos="1350"/>
                <w:tab w:val="left" w:pos="2880"/>
              </w:tabs>
              <w:spacing w:after="0" w:line="240" w:lineRule="auto"/>
              <w:jc w:val="center"/>
              <w:rPr>
                <w:rFonts w:ascii="Times New Roman" w:hAnsi="Times New Roman" w:eastAsia="Times New Roman" w:cs="Times New Roman"/>
                <w:b/>
                <w:snapToGrid w:val="0"/>
              </w:rPr>
            </w:pPr>
            <w:r w:rsidRPr="00B25BFA">
              <w:rPr>
                <w:rFonts w:ascii="Times New Roman" w:hAnsi="Times New Roman" w:eastAsia="Times New Roman" w:cs="Times New Roman"/>
                <w:b/>
                <w:snapToGrid w:val="0"/>
              </w:rPr>
              <w:t>Non-Hour Costs</w:t>
            </w:r>
          </w:p>
        </w:tc>
      </w:tr>
      <w:tr w:rsidRPr="00B25BFA" w:rsidR="00B25BFA" w:rsidTr="00671A0D" w14:paraId="3C5E0A5D" w14:textId="77777777">
        <w:trPr>
          <w:jc w:val="center"/>
        </w:trPr>
        <w:tc>
          <w:tcPr>
            <w:tcW w:w="1440" w:type="dxa"/>
            <w:tcBorders>
              <w:left w:val="single" w:color="auto" w:sz="4" w:space="0"/>
              <w:bottom w:val="single" w:color="000000" w:sz="8" w:space="0"/>
            </w:tcBorders>
            <w:tcMar>
              <w:left w:w="72" w:type="dxa"/>
            </w:tcMar>
          </w:tcPr>
          <w:p w:rsidRPr="00B25BFA" w:rsidR="00B25BFA" w:rsidP="00B25BFA" w:rsidRDefault="00B25BFA" w14:paraId="0DDEA7FC"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200 thru 206</w:t>
            </w:r>
          </w:p>
        </w:tc>
        <w:tc>
          <w:tcPr>
            <w:tcW w:w="4500" w:type="dxa"/>
            <w:tcBorders>
              <w:bottom w:val="single" w:color="000000" w:sz="8" w:space="0"/>
            </w:tcBorders>
          </w:tcPr>
          <w:p w:rsidRPr="00B25BFA" w:rsidR="00B25BFA" w:rsidP="00B25BFA" w:rsidRDefault="00B25BFA" w14:paraId="31DF1DD4"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 xml:space="preserve">General requirements for plans and information; fees/refunds, etc. </w:t>
            </w:r>
          </w:p>
        </w:tc>
        <w:tc>
          <w:tcPr>
            <w:tcW w:w="3019" w:type="dxa"/>
            <w:gridSpan w:val="3"/>
            <w:tcBorders>
              <w:bottom w:val="single" w:color="000000" w:sz="8" w:space="0"/>
            </w:tcBorders>
          </w:tcPr>
          <w:p w:rsidRPr="00B25BFA" w:rsidR="00B25BFA" w:rsidP="00B25BFA" w:rsidRDefault="00B25BFA" w14:paraId="57881918"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Burden included with specific requirements below.</w:t>
            </w:r>
          </w:p>
        </w:tc>
        <w:tc>
          <w:tcPr>
            <w:tcW w:w="1260" w:type="dxa"/>
            <w:tcBorders>
              <w:bottom w:val="single" w:color="000000" w:sz="8" w:space="0"/>
              <w:right w:val="single" w:color="auto" w:sz="4" w:space="0"/>
            </w:tcBorders>
          </w:tcPr>
          <w:p w:rsidRPr="00B25BFA" w:rsidR="00B25BFA" w:rsidP="00B25BFA" w:rsidRDefault="00B25BFA" w14:paraId="1B3787B6"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0</w:t>
            </w:r>
          </w:p>
        </w:tc>
      </w:tr>
      <w:tr w:rsidRPr="00B25BFA" w:rsidR="00B25BFA" w:rsidTr="00671A0D" w14:paraId="2664C94D" w14:textId="77777777">
        <w:trPr>
          <w:jc w:val="center"/>
        </w:trPr>
        <w:tc>
          <w:tcPr>
            <w:tcW w:w="1440" w:type="dxa"/>
            <w:tcBorders>
              <w:left w:val="single" w:color="auto" w:sz="4" w:space="0"/>
              <w:bottom w:val="single" w:color="000000" w:sz="8" w:space="0"/>
            </w:tcBorders>
            <w:tcMar>
              <w:left w:w="72" w:type="dxa"/>
            </w:tcMar>
          </w:tcPr>
          <w:p w:rsidRPr="00B25BFA" w:rsidR="00B25BFA" w:rsidP="00B25BFA" w:rsidRDefault="00B25BFA" w14:paraId="7EC062EE"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201 thru 206; 211 thru 228: 241 thru 262</w:t>
            </w:r>
          </w:p>
        </w:tc>
        <w:tc>
          <w:tcPr>
            <w:tcW w:w="4500" w:type="dxa"/>
            <w:tcBorders>
              <w:bottom w:val="single" w:color="000000" w:sz="8" w:space="0"/>
            </w:tcBorders>
          </w:tcPr>
          <w:p w:rsidRPr="00B25BFA" w:rsidR="00B25BFA" w:rsidP="00B25BFA" w:rsidRDefault="00B25BFA" w14:paraId="35A039CD"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BOEM posts EPs/DPPs/DOCDs on FDMS, and receives public comments in preparation of EAs.</w:t>
            </w:r>
          </w:p>
        </w:tc>
        <w:tc>
          <w:tcPr>
            <w:tcW w:w="3019" w:type="dxa"/>
            <w:gridSpan w:val="3"/>
            <w:tcBorders>
              <w:bottom w:val="single" w:color="000000" w:sz="8" w:space="0"/>
            </w:tcBorders>
          </w:tcPr>
          <w:p w:rsidRPr="00B25BFA" w:rsidR="00B25BFA" w:rsidP="00B25BFA" w:rsidRDefault="00B25BFA" w14:paraId="5ED63255"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Not considered IC as defined in 5 CFR 1320.3(h)(4).</w:t>
            </w:r>
          </w:p>
        </w:tc>
        <w:tc>
          <w:tcPr>
            <w:tcW w:w="1260" w:type="dxa"/>
            <w:tcBorders>
              <w:bottom w:val="single" w:color="000000" w:sz="8" w:space="0"/>
              <w:right w:val="single" w:color="auto" w:sz="4" w:space="0"/>
            </w:tcBorders>
          </w:tcPr>
          <w:p w:rsidRPr="00B25BFA" w:rsidR="00B25BFA" w:rsidP="00B25BFA" w:rsidRDefault="00B25BFA" w14:paraId="5A55BDF2"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0</w:t>
            </w:r>
          </w:p>
        </w:tc>
      </w:tr>
      <w:tr w:rsidRPr="00B25BFA" w:rsidR="00B25BFA" w:rsidTr="00671A0D" w14:paraId="342DC659" w14:textId="77777777">
        <w:trPr>
          <w:jc w:val="center"/>
        </w:trPr>
        <w:tc>
          <w:tcPr>
            <w:tcW w:w="1440" w:type="dxa"/>
            <w:tcBorders>
              <w:left w:val="single" w:color="auto" w:sz="4" w:space="0"/>
              <w:bottom w:val="single" w:color="000000" w:sz="8" w:space="0"/>
            </w:tcBorders>
            <w:tcMar>
              <w:left w:w="72" w:type="dxa"/>
            </w:tcMar>
          </w:tcPr>
          <w:p w:rsidRPr="00B25BFA" w:rsidR="00B25BFA" w:rsidP="00B25BFA" w:rsidRDefault="00B25BFA" w14:paraId="038B6764"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204</w:t>
            </w:r>
          </w:p>
        </w:tc>
        <w:tc>
          <w:tcPr>
            <w:tcW w:w="4500" w:type="dxa"/>
            <w:tcBorders>
              <w:bottom w:val="single" w:color="000000" w:sz="8" w:space="0"/>
            </w:tcBorders>
          </w:tcPr>
          <w:p w:rsidRPr="00B25BFA" w:rsidR="00B25BFA" w:rsidP="00B25BFA" w:rsidRDefault="00B25BFA" w14:paraId="160A27B2"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For new Arctic OCS Exploration activities:  submit IOP, including all required information</w:t>
            </w:r>
          </w:p>
        </w:tc>
        <w:tc>
          <w:tcPr>
            <w:tcW w:w="1080" w:type="dxa"/>
            <w:tcBorders>
              <w:bottom w:val="single" w:color="000000" w:sz="8" w:space="0"/>
            </w:tcBorders>
          </w:tcPr>
          <w:p w:rsidRPr="00B25BFA" w:rsidR="00B25BFA" w:rsidP="00B25BFA" w:rsidRDefault="00B25BFA" w14:paraId="1EA18C44"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2,880</w:t>
            </w:r>
          </w:p>
        </w:tc>
        <w:tc>
          <w:tcPr>
            <w:tcW w:w="1939" w:type="dxa"/>
            <w:gridSpan w:val="2"/>
            <w:tcBorders>
              <w:bottom w:val="single" w:color="000000" w:sz="8" w:space="0"/>
            </w:tcBorders>
          </w:tcPr>
          <w:p w:rsidRPr="00B25BFA" w:rsidR="00B25BFA" w:rsidP="00B25BFA" w:rsidRDefault="00B25BFA" w14:paraId="368ED3D0"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1</w:t>
            </w:r>
          </w:p>
        </w:tc>
        <w:tc>
          <w:tcPr>
            <w:tcW w:w="1260" w:type="dxa"/>
            <w:tcBorders>
              <w:bottom w:val="single" w:color="000000" w:sz="8" w:space="0"/>
              <w:right w:val="single" w:color="auto" w:sz="4" w:space="0"/>
            </w:tcBorders>
          </w:tcPr>
          <w:p w:rsidRPr="00B25BFA" w:rsidR="00B25BFA" w:rsidP="00B25BFA" w:rsidRDefault="00B25BFA" w14:paraId="20609480"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2,880</w:t>
            </w:r>
          </w:p>
        </w:tc>
      </w:tr>
      <w:tr w:rsidRPr="00B25BFA" w:rsidR="00B25BFA" w:rsidTr="00671A0D" w14:paraId="730BD534" w14:textId="77777777">
        <w:trPr>
          <w:jc w:val="center"/>
        </w:trPr>
        <w:tc>
          <w:tcPr>
            <w:tcW w:w="7020" w:type="dxa"/>
            <w:gridSpan w:val="3"/>
            <w:tcBorders>
              <w:top w:val="single" w:color="000000" w:sz="8" w:space="0"/>
              <w:left w:val="single" w:color="auto" w:sz="4" w:space="0"/>
              <w:bottom w:val="single" w:color="000000" w:sz="8" w:space="0"/>
              <w:right w:val="single" w:color="auto" w:sz="4" w:space="0"/>
            </w:tcBorders>
            <w:shd w:val="clear" w:color="auto" w:fill="F2F2F2"/>
            <w:tcMar>
              <w:left w:w="72" w:type="dxa"/>
            </w:tcMar>
          </w:tcPr>
          <w:p w:rsidRPr="00B25BFA" w:rsidR="00B25BFA" w:rsidP="00B25BFA" w:rsidRDefault="00B25BFA" w14:paraId="5B1F019F"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b/>
                <w:snapToGrid w:val="0"/>
              </w:rPr>
            </w:pPr>
            <w:r w:rsidRPr="00B25BFA">
              <w:rPr>
                <w:rFonts w:ascii="Times New Roman" w:hAnsi="Times New Roman" w:eastAsia="Times New Roman" w:cs="Times New Roman"/>
                <w:b/>
                <w:snapToGrid w:val="0"/>
              </w:rPr>
              <w:t>Subtotal</w:t>
            </w:r>
          </w:p>
        </w:tc>
        <w:tc>
          <w:tcPr>
            <w:tcW w:w="1939" w:type="dxa"/>
            <w:gridSpan w:val="2"/>
            <w:tcBorders>
              <w:top w:val="single" w:color="000000" w:sz="8" w:space="0"/>
              <w:left w:val="single" w:color="auto" w:sz="4" w:space="0"/>
              <w:bottom w:val="single" w:color="000000" w:sz="8" w:space="0"/>
              <w:right w:val="single" w:color="auto" w:sz="4" w:space="0"/>
            </w:tcBorders>
            <w:shd w:val="clear" w:color="auto" w:fill="F2F2F2"/>
          </w:tcPr>
          <w:p w:rsidRPr="00B25BFA" w:rsidR="00B25BFA" w:rsidP="00B25BFA" w:rsidRDefault="00B25BFA" w14:paraId="4F8E20EE"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b/>
                <w:snapToGrid w:val="0"/>
              </w:rPr>
            </w:pPr>
            <w:r w:rsidRPr="00B25BFA">
              <w:rPr>
                <w:rFonts w:ascii="Times New Roman" w:hAnsi="Times New Roman" w:eastAsia="Times New Roman" w:cs="Times New Roman"/>
                <w:b/>
                <w:snapToGrid w:val="0"/>
              </w:rPr>
              <w:t>1</w:t>
            </w:r>
          </w:p>
        </w:tc>
        <w:tc>
          <w:tcPr>
            <w:tcW w:w="1260" w:type="dxa"/>
            <w:tcBorders>
              <w:top w:val="single" w:color="000000" w:sz="8" w:space="0"/>
              <w:left w:val="single" w:color="auto" w:sz="4" w:space="0"/>
              <w:bottom w:val="single" w:color="000000" w:sz="8" w:space="0"/>
              <w:right w:val="single" w:color="auto" w:sz="4" w:space="0"/>
            </w:tcBorders>
            <w:shd w:val="clear" w:color="auto" w:fill="F2F2F2"/>
          </w:tcPr>
          <w:p w:rsidRPr="00B25BFA" w:rsidR="00B25BFA" w:rsidP="00B25BFA" w:rsidRDefault="00B25BFA" w14:paraId="1A922115"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b/>
                <w:snapToGrid w:val="0"/>
              </w:rPr>
            </w:pPr>
            <w:r w:rsidRPr="00B25BFA">
              <w:rPr>
                <w:rFonts w:ascii="Times New Roman" w:hAnsi="Times New Roman" w:eastAsia="Times New Roman" w:cs="Times New Roman"/>
                <w:b/>
                <w:snapToGrid w:val="0"/>
              </w:rPr>
              <w:t>2,880</w:t>
            </w:r>
          </w:p>
        </w:tc>
      </w:tr>
      <w:tr w:rsidRPr="00B25BFA" w:rsidR="00B25BFA" w:rsidTr="00671A0D" w14:paraId="0109A08A" w14:textId="77777777">
        <w:trPr>
          <w:jc w:val="center"/>
        </w:trPr>
        <w:tc>
          <w:tcPr>
            <w:tcW w:w="10219" w:type="dxa"/>
            <w:gridSpan w:val="6"/>
            <w:tcBorders>
              <w:top w:val="single" w:color="000000" w:sz="8" w:space="0"/>
              <w:left w:val="single" w:color="auto" w:sz="4" w:space="0"/>
              <w:bottom w:val="single" w:color="000000" w:sz="8" w:space="0"/>
              <w:right w:val="single" w:color="auto" w:sz="4" w:space="0"/>
            </w:tcBorders>
            <w:shd w:val="clear" w:color="auto" w:fill="E0E0E0"/>
            <w:tcMar>
              <w:left w:w="72" w:type="dxa"/>
            </w:tcMar>
          </w:tcPr>
          <w:p w:rsidRPr="00B25BFA" w:rsidR="00B25BFA" w:rsidP="00B25BFA" w:rsidRDefault="00B25BFA" w14:paraId="27FF1D09" w14:textId="77777777">
            <w:pPr>
              <w:tabs>
                <w:tab w:val="left" w:pos="-1080"/>
                <w:tab w:val="left" w:pos="-720"/>
                <w:tab w:val="left" w:pos="0"/>
                <w:tab w:val="left" w:pos="450"/>
                <w:tab w:val="left" w:pos="900"/>
                <w:tab w:val="left" w:pos="1350"/>
                <w:tab w:val="left" w:pos="2880"/>
              </w:tabs>
              <w:spacing w:after="0" w:line="240" w:lineRule="auto"/>
              <w:jc w:val="center"/>
              <w:rPr>
                <w:rFonts w:ascii="Times New Roman" w:hAnsi="Times New Roman" w:eastAsia="Times New Roman" w:cs="Times New Roman"/>
                <w:b/>
                <w:snapToGrid w:val="0"/>
              </w:rPr>
            </w:pPr>
            <w:r w:rsidRPr="00B25BFA">
              <w:rPr>
                <w:rFonts w:ascii="Times New Roman" w:hAnsi="Times New Roman" w:eastAsia="Times New Roman" w:cs="Times New Roman"/>
                <w:b/>
                <w:snapToGrid w:val="0"/>
              </w:rPr>
              <w:t>Ancillary Activities</w:t>
            </w:r>
          </w:p>
        </w:tc>
      </w:tr>
      <w:tr w:rsidRPr="00B25BFA" w:rsidR="00B25BFA" w:rsidTr="00671A0D" w14:paraId="0A616376" w14:textId="77777777">
        <w:trPr>
          <w:jc w:val="center"/>
        </w:trPr>
        <w:tc>
          <w:tcPr>
            <w:tcW w:w="1440" w:type="dxa"/>
            <w:tcBorders>
              <w:top w:val="single" w:color="000000" w:sz="8" w:space="0"/>
              <w:left w:val="single" w:color="auto" w:sz="4" w:space="0"/>
              <w:bottom w:val="single" w:color="000000" w:sz="8" w:space="0"/>
            </w:tcBorders>
            <w:tcMar>
              <w:left w:w="72" w:type="dxa"/>
            </w:tcMar>
          </w:tcPr>
          <w:p w:rsidRPr="00B25BFA" w:rsidR="00B25BFA" w:rsidP="00B25BFA" w:rsidRDefault="00B25BFA" w14:paraId="69607F6F"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208;</w:t>
            </w:r>
          </w:p>
          <w:p w:rsidRPr="00B25BFA" w:rsidR="00B25BFA" w:rsidP="00B25BFA" w:rsidRDefault="00B25BFA" w14:paraId="3605B319"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trike/>
                <w:snapToGrid w:val="0"/>
                <w:sz w:val="20"/>
                <w:szCs w:val="20"/>
              </w:rPr>
            </w:pPr>
            <w:r w:rsidRPr="00B25BFA">
              <w:rPr>
                <w:rFonts w:ascii="Times New Roman" w:hAnsi="Times New Roman" w:eastAsia="Times New Roman" w:cs="Times New Roman"/>
                <w:snapToGrid w:val="0"/>
                <w:sz w:val="20"/>
                <w:szCs w:val="20"/>
              </w:rPr>
              <w:t>NTL 2009-G34*</w:t>
            </w:r>
          </w:p>
        </w:tc>
        <w:tc>
          <w:tcPr>
            <w:tcW w:w="4500" w:type="dxa"/>
            <w:tcBorders>
              <w:top w:val="single" w:color="000000" w:sz="8" w:space="0"/>
              <w:bottom w:val="single" w:color="auto" w:sz="4" w:space="0"/>
            </w:tcBorders>
          </w:tcPr>
          <w:p w:rsidRPr="00B25BFA" w:rsidR="00B25BFA" w:rsidP="00B25BFA" w:rsidRDefault="00B25BFA" w14:paraId="13B488FF"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Notify BOEM in writing, and if required by the Regional Supervisor notify other users of the OCS before conducting ancillary activities.</w:t>
            </w:r>
          </w:p>
        </w:tc>
        <w:tc>
          <w:tcPr>
            <w:tcW w:w="1080" w:type="dxa"/>
            <w:tcBorders>
              <w:top w:val="single" w:color="000000" w:sz="8" w:space="0"/>
              <w:bottom w:val="single" w:color="000000" w:sz="8" w:space="0"/>
            </w:tcBorders>
          </w:tcPr>
          <w:p w:rsidRPr="00B25BFA" w:rsidR="00B25BFA" w:rsidP="00B25BFA" w:rsidRDefault="00B25BFA" w14:paraId="0FF859FC"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 xml:space="preserve">11 </w:t>
            </w:r>
          </w:p>
        </w:tc>
        <w:tc>
          <w:tcPr>
            <w:tcW w:w="1939" w:type="dxa"/>
            <w:gridSpan w:val="2"/>
            <w:tcBorders>
              <w:top w:val="single" w:color="000000" w:sz="8" w:space="0"/>
              <w:bottom w:val="single" w:color="000000" w:sz="8" w:space="0"/>
            </w:tcBorders>
          </w:tcPr>
          <w:p w:rsidRPr="00B25BFA" w:rsidR="00B25BFA" w:rsidP="00B25BFA" w:rsidRDefault="00B25BFA" w14:paraId="45A0C6A1"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61 notices</w:t>
            </w:r>
          </w:p>
        </w:tc>
        <w:tc>
          <w:tcPr>
            <w:tcW w:w="1260" w:type="dxa"/>
            <w:tcBorders>
              <w:top w:val="single" w:color="000000" w:sz="8" w:space="0"/>
              <w:bottom w:val="single" w:color="000000" w:sz="8" w:space="0"/>
              <w:right w:val="single" w:color="auto" w:sz="4" w:space="0"/>
            </w:tcBorders>
          </w:tcPr>
          <w:p w:rsidRPr="00B25BFA" w:rsidR="00B25BFA" w:rsidP="00B25BFA" w:rsidRDefault="00B25BFA" w14:paraId="43F0DD2A"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671</w:t>
            </w:r>
          </w:p>
        </w:tc>
      </w:tr>
      <w:tr w:rsidRPr="00B25BFA" w:rsidR="00B25BFA" w:rsidTr="00671A0D" w14:paraId="324582C1" w14:textId="77777777">
        <w:trPr>
          <w:jc w:val="center"/>
        </w:trPr>
        <w:tc>
          <w:tcPr>
            <w:tcW w:w="1440" w:type="dxa"/>
            <w:tcBorders>
              <w:top w:val="single" w:color="000000" w:sz="8" w:space="0"/>
              <w:left w:val="single" w:color="auto" w:sz="4" w:space="0"/>
              <w:bottom w:val="single" w:color="000000" w:sz="4" w:space="0"/>
              <w:right w:val="single" w:color="auto" w:sz="4" w:space="0"/>
            </w:tcBorders>
            <w:tcMar>
              <w:left w:w="72" w:type="dxa"/>
            </w:tcMar>
          </w:tcPr>
          <w:p w:rsidRPr="00B25BFA" w:rsidR="00B25BFA" w:rsidP="00B25BFA" w:rsidRDefault="00B25BFA" w14:paraId="5531591E"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b/>
                <w:snapToGrid w:val="0"/>
                <w:sz w:val="20"/>
                <w:szCs w:val="20"/>
              </w:rPr>
            </w:pPr>
            <w:r w:rsidRPr="00B25BFA">
              <w:rPr>
                <w:rFonts w:ascii="Times New Roman" w:hAnsi="Times New Roman" w:eastAsia="Times New Roman" w:cs="Times New Roman"/>
                <w:snapToGrid w:val="0"/>
                <w:sz w:val="20"/>
                <w:szCs w:val="20"/>
              </w:rPr>
              <w:t xml:space="preserve">208; 210(a) </w:t>
            </w:r>
          </w:p>
        </w:tc>
        <w:tc>
          <w:tcPr>
            <w:tcW w:w="4500" w:type="dxa"/>
            <w:tcBorders>
              <w:top w:val="single" w:color="auto" w:sz="4" w:space="0"/>
              <w:left w:val="single" w:color="auto" w:sz="4" w:space="0"/>
              <w:bottom w:val="single" w:color="auto" w:sz="4" w:space="0"/>
              <w:right w:val="single" w:color="auto" w:sz="4" w:space="0"/>
            </w:tcBorders>
          </w:tcPr>
          <w:p w:rsidRPr="00B25BFA" w:rsidR="00B25BFA" w:rsidP="00B25BFA" w:rsidRDefault="00B25BFA" w14:paraId="6134B707"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Submit report summarizing &amp; analyzing data/ information obtained or derived from ancillary activities.</w:t>
            </w:r>
          </w:p>
        </w:tc>
        <w:tc>
          <w:tcPr>
            <w:tcW w:w="1080" w:type="dxa"/>
            <w:tcBorders>
              <w:top w:val="single" w:color="000000" w:sz="8" w:space="0"/>
              <w:left w:val="single" w:color="auto" w:sz="4" w:space="0"/>
              <w:bottom w:val="single" w:color="auto" w:sz="4" w:space="0"/>
              <w:right w:val="single" w:color="000000" w:sz="8" w:space="0"/>
            </w:tcBorders>
          </w:tcPr>
          <w:p w:rsidRPr="00B25BFA" w:rsidR="00B25BFA" w:rsidP="00B25BFA" w:rsidRDefault="00B25BFA" w14:paraId="3E5E6D4C"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w:t>
            </w:r>
          </w:p>
        </w:tc>
        <w:tc>
          <w:tcPr>
            <w:tcW w:w="1939" w:type="dxa"/>
            <w:gridSpan w:val="2"/>
            <w:tcBorders>
              <w:top w:val="single" w:color="000000" w:sz="8" w:space="0"/>
              <w:left w:val="single" w:color="000000" w:sz="8" w:space="0"/>
              <w:bottom w:val="single" w:color="auto" w:sz="4" w:space="0"/>
              <w:right w:val="single" w:color="000000" w:sz="8" w:space="0"/>
            </w:tcBorders>
          </w:tcPr>
          <w:p w:rsidRPr="00B25BFA" w:rsidR="00B25BFA" w:rsidP="00B25BFA" w:rsidRDefault="00B25BFA" w14:paraId="4793C9B6"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61 reports</w:t>
            </w:r>
          </w:p>
        </w:tc>
        <w:tc>
          <w:tcPr>
            <w:tcW w:w="1260" w:type="dxa"/>
            <w:tcBorders>
              <w:top w:val="single" w:color="000000" w:sz="8" w:space="0"/>
              <w:left w:val="single" w:color="000000" w:sz="8" w:space="0"/>
              <w:bottom w:val="single" w:color="auto" w:sz="4" w:space="0"/>
              <w:right w:val="single" w:color="auto" w:sz="4" w:space="0"/>
            </w:tcBorders>
          </w:tcPr>
          <w:p w:rsidRPr="00B25BFA" w:rsidR="00B25BFA" w:rsidP="00B25BFA" w:rsidRDefault="00B25BFA" w14:paraId="0BAE2170"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122</w:t>
            </w:r>
          </w:p>
        </w:tc>
      </w:tr>
      <w:tr w:rsidRPr="00B25BFA" w:rsidR="00B25BFA" w:rsidTr="00671A0D" w14:paraId="40DD8A02" w14:textId="77777777">
        <w:trPr>
          <w:trHeight w:val="235"/>
          <w:jc w:val="center"/>
        </w:trPr>
        <w:tc>
          <w:tcPr>
            <w:tcW w:w="1440" w:type="dxa"/>
            <w:tcBorders>
              <w:top w:val="single" w:color="000000" w:sz="4" w:space="0"/>
              <w:left w:val="single" w:color="auto" w:sz="4" w:space="0"/>
            </w:tcBorders>
            <w:tcMar>
              <w:left w:w="72" w:type="dxa"/>
            </w:tcMar>
          </w:tcPr>
          <w:p w:rsidRPr="00B25BFA" w:rsidR="00B25BFA" w:rsidP="00B25BFA" w:rsidRDefault="00B25BFA" w14:paraId="2FB60161"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208; 210(b)</w:t>
            </w:r>
          </w:p>
        </w:tc>
        <w:tc>
          <w:tcPr>
            <w:tcW w:w="4500" w:type="dxa"/>
            <w:tcBorders>
              <w:top w:val="single" w:color="auto" w:sz="4" w:space="0"/>
            </w:tcBorders>
          </w:tcPr>
          <w:p w:rsidRPr="00B25BFA" w:rsidR="00B25BFA" w:rsidP="00B25BFA" w:rsidRDefault="00B25BFA" w14:paraId="745FA2DA"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 xml:space="preserve">Retain ancillary activities data/information; </w:t>
            </w:r>
          </w:p>
          <w:p w:rsidRPr="00B25BFA" w:rsidR="00B25BFA" w:rsidP="00B25BFA" w:rsidRDefault="00B25BFA" w14:paraId="13F78361"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upon request, submit to BOEM.</w:t>
            </w:r>
          </w:p>
        </w:tc>
        <w:tc>
          <w:tcPr>
            <w:tcW w:w="1080" w:type="dxa"/>
            <w:tcBorders>
              <w:top w:val="single" w:color="auto" w:sz="4" w:space="0"/>
              <w:bottom w:val="single" w:color="000000" w:sz="8" w:space="0"/>
              <w:right w:val="single" w:color="auto" w:sz="4" w:space="0"/>
            </w:tcBorders>
          </w:tcPr>
          <w:p w:rsidRPr="00B25BFA" w:rsidR="00B25BFA" w:rsidP="00B25BFA" w:rsidRDefault="00B25BFA" w14:paraId="1977CF39"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 xml:space="preserve">2 </w:t>
            </w:r>
          </w:p>
        </w:tc>
        <w:tc>
          <w:tcPr>
            <w:tcW w:w="1939" w:type="dxa"/>
            <w:gridSpan w:val="2"/>
            <w:tcBorders>
              <w:top w:val="single" w:color="auto" w:sz="4" w:space="0"/>
              <w:bottom w:val="single" w:color="000000" w:sz="8" w:space="0"/>
              <w:right w:val="single" w:color="auto" w:sz="4" w:space="0"/>
            </w:tcBorders>
          </w:tcPr>
          <w:p w:rsidRPr="00B25BFA" w:rsidR="00B25BFA" w:rsidP="00B25BFA" w:rsidRDefault="00B25BFA" w14:paraId="24556CEA"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61 records</w:t>
            </w:r>
          </w:p>
        </w:tc>
        <w:tc>
          <w:tcPr>
            <w:tcW w:w="1260" w:type="dxa"/>
            <w:tcBorders>
              <w:top w:val="single" w:color="auto" w:sz="4" w:space="0"/>
              <w:bottom w:val="single" w:color="000000" w:sz="8" w:space="0"/>
              <w:right w:val="single" w:color="auto" w:sz="4" w:space="0"/>
            </w:tcBorders>
          </w:tcPr>
          <w:p w:rsidRPr="00B25BFA" w:rsidR="00B25BFA" w:rsidP="00B25BFA" w:rsidRDefault="00B25BFA" w14:paraId="7C40111D"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122</w:t>
            </w:r>
          </w:p>
        </w:tc>
      </w:tr>
      <w:tr w:rsidRPr="00B25BFA" w:rsidR="00B25BFA" w:rsidTr="00671A0D" w14:paraId="7DED7D07" w14:textId="77777777">
        <w:trPr>
          <w:jc w:val="center"/>
        </w:trPr>
        <w:tc>
          <w:tcPr>
            <w:tcW w:w="7020" w:type="dxa"/>
            <w:gridSpan w:val="3"/>
            <w:tcBorders>
              <w:top w:val="single" w:color="000000" w:sz="8" w:space="0"/>
              <w:left w:val="single" w:color="auto" w:sz="4" w:space="0"/>
              <w:bottom w:val="single" w:color="000000" w:sz="8" w:space="0"/>
              <w:right w:val="single" w:color="000000" w:sz="8" w:space="0"/>
            </w:tcBorders>
            <w:shd w:val="clear" w:color="auto" w:fill="F3F3F3"/>
            <w:tcMar>
              <w:left w:w="72" w:type="dxa"/>
            </w:tcMar>
            <w:vAlign w:val="center"/>
          </w:tcPr>
          <w:p w:rsidRPr="00B25BFA" w:rsidR="00B25BFA" w:rsidP="00B25BFA" w:rsidRDefault="00B25BFA" w14:paraId="0E044DF7"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Subtotal</w:t>
            </w:r>
          </w:p>
        </w:tc>
        <w:tc>
          <w:tcPr>
            <w:tcW w:w="1939" w:type="dxa"/>
            <w:gridSpan w:val="2"/>
            <w:tcBorders>
              <w:top w:val="single" w:color="000000" w:sz="8" w:space="0"/>
              <w:left w:val="single" w:color="000000" w:sz="8" w:space="0"/>
              <w:bottom w:val="single" w:color="000000" w:sz="8" w:space="0"/>
              <w:right w:val="single" w:color="000000" w:sz="8" w:space="0"/>
            </w:tcBorders>
            <w:shd w:val="clear" w:color="auto" w:fill="F3F3F3"/>
          </w:tcPr>
          <w:p w:rsidRPr="00B25BFA" w:rsidR="00B25BFA" w:rsidP="00B25BFA" w:rsidRDefault="00B25BFA" w14:paraId="562FAB09"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b/>
                <w:snapToGrid w:val="0"/>
                <w:sz w:val="20"/>
                <w:szCs w:val="20"/>
                <w:highlight w:val="yellow"/>
              </w:rPr>
            </w:pPr>
            <w:r w:rsidRPr="00B25BFA">
              <w:rPr>
                <w:rFonts w:ascii="Times New Roman" w:hAnsi="Times New Roman" w:eastAsia="Times New Roman" w:cs="Times New Roman"/>
                <w:b/>
                <w:snapToGrid w:val="0"/>
                <w:sz w:val="20"/>
                <w:szCs w:val="20"/>
              </w:rPr>
              <w:t>183 responses</w:t>
            </w:r>
          </w:p>
        </w:tc>
        <w:tc>
          <w:tcPr>
            <w:tcW w:w="1260" w:type="dxa"/>
            <w:tcBorders>
              <w:top w:val="single" w:color="000000" w:sz="8" w:space="0"/>
              <w:left w:val="single" w:color="000000" w:sz="8" w:space="0"/>
              <w:bottom w:val="single" w:color="000000" w:sz="8" w:space="0"/>
              <w:right w:val="single" w:color="auto" w:sz="4" w:space="0"/>
            </w:tcBorders>
            <w:shd w:val="clear" w:color="auto" w:fill="F3F3F3"/>
          </w:tcPr>
          <w:p w:rsidRPr="00B25BFA" w:rsidR="00B25BFA" w:rsidP="00B25BFA" w:rsidRDefault="00B25BFA" w14:paraId="7DC15BD9"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915 hours</w:t>
            </w:r>
          </w:p>
        </w:tc>
      </w:tr>
      <w:tr w:rsidRPr="00B25BFA" w:rsidR="00B25BFA" w:rsidTr="00671A0D" w14:paraId="7CEE7094" w14:textId="77777777">
        <w:trPr>
          <w:jc w:val="center"/>
        </w:trPr>
        <w:tc>
          <w:tcPr>
            <w:tcW w:w="10219" w:type="dxa"/>
            <w:gridSpan w:val="6"/>
            <w:tcBorders>
              <w:top w:val="single" w:color="000000" w:sz="8" w:space="0"/>
              <w:left w:val="single" w:color="auto" w:sz="4" w:space="0"/>
              <w:bottom w:val="single" w:color="000000" w:sz="8" w:space="0"/>
              <w:right w:val="single" w:color="auto" w:sz="4" w:space="0"/>
            </w:tcBorders>
            <w:shd w:val="clear" w:color="auto" w:fill="E0E0E0"/>
            <w:tcMar>
              <w:left w:w="72" w:type="dxa"/>
            </w:tcMar>
          </w:tcPr>
          <w:p w:rsidRPr="00B25BFA" w:rsidR="00B25BFA" w:rsidP="00B25BFA" w:rsidRDefault="00B25BFA" w14:paraId="1AE276A6" w14:textId="77777777">
            <w:pPr>
              <w:tabs>
                <w:tab w:val="left" w:pos="-1080"/>
                <w:tab w:val="left" w:pos="-720"/>
                <w:tab w:val="left" w:pos="0"/>
                <w:tab w:val="left" w:pos="450"/>
                <w:tab w:val="left" w:pos="900"/>
                <w:tab w:val="left" w:pos="1350"/>
                <w:tab w:val="left" w:pos="2880"/>
              </w:tabs>
              <w:spacing w:after="0" w:line="240" w:lineRule="auto"/>
              <w:jc w:val="center"/>
              <w:rPr>
                <w:rFonts w:ascii="Times New Roman" w:hAnsi="Times New Roman" w:eastAsia="Times New Roman" w:cs="Times New Roman"/>
                <w:b/>
                <w:snapToGrid w:val="0"/>
              </w:rPr>
            </w:pPr>
            <w:r w:rsidRPr="00B25BFA">
              <w:rPr>
                <w:rFonts w:ascii="Times New Roman" w:hAnsi="Times New Roman" w:eastAsia="Times New Roman" w:cs="Times New Roman"/>
                <w:b/>
                <w:snapToGrid w:val="0"/>
              </w:rPr>
              <w:t>Contents of Exploration Plans (EP)</w:t>
            </w:r>
          </w:p>
        </w:tc>
      </w:tr>
      <w:tr w:rsidRPr="00B25BFA" w:rsidR="00B25BFA" w:rsidTr="00671A0D" w14:paraId="746C680B" w14:textId="77777777">
        <w:trPr>
          <w:jc w:val="center"/>
        </w:trPr>
        <w:tc>
          <w:tcPr>
            <w:tcW w:w="1440" w:type="dxa"/>
            <w:tcBorders>
              <w:top w:val="single" w:color="000000" w:sz="8" w:space="0"/>
              <w:left w:val="single" w:color="auto" w:sz="4" w:space="0"/>
            </w:tcBorders>
            <w:tcMar>
              <w:left w:w="72" w:type="dxa"/>
            </w:tcMar>
          </w:tcPr>
          <w:p w:rsidRPr="00B25BFA" w:rsidR="00B25BFA" w:rsidP="00B25BFA" w:rsidRDefault="00B25BFA" w14:paraId="6261D965" w14:textId="77777777">
            <w:pPr>
              <w:tabs>
                <w:tab w:val="left" w:pos="-1080"/>
                <w:tab w:val="left" w:pos="-720"/>
                <w:tab w:val="left" w:pos="0"/>
                <w:tab w:val="left" w:pos="450"/>
                <w:tab w:val="left" w:pos="900"/>
                <w:tab w:val="left" w:pos="1350"/>
                <w:tab w:val="left" w:pos="2880"/>
              </w:tabs>
              <w:spacing w:after="0" w:line="240" w:lineRule="auto"/>
              <w:ind w:right="-319"/>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 xml:space="preserve">209; 231(b); 232(d); 234; 235; 281; 283; 284; 285; NTL 2015-N01 </w:t>
            </w:r>
          </w:p>
        </w:tc>
        <w:tc>
          <w:tcPr>
            <w:tcW w:w="4500" w:type="dxa"/>
            <w:tcBorders>
              <w:top w:val="single" w:color="000000" w:sz="8" w:space="0"/>
            </w:tcBorders>
          </w:tcPr>
          <w:p w:rsidRPr="00B25BFA" w:rsidR="00B25BFA" w:rsidP="00B25BFA" w:rsidRDefault="00B25BFA" w14:paraId="5EDDECCE"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Submit new, amended, modified, revised, or supplemental EP, or resubmit disapproved EP, including required information; withdraw an EP.</w:t>
            </w:r>
          </w:p>
        </w:tc>
        <w:tc>
          <w:tcPr>
            <w:tcW w:w="1080" w:type="dxa"/>
            <w:tcBorders>
              <w:top w:val="single" w:color="000000" w:sz="8" w:space="0"/>
            </w:tcBorders>
          </w:tcPr>
          <w:p w:rsidRPr="00B25BFA" w:rsidR="00B25BFA" w:rsidP="00B25BFA" w:rsidRDefault="00B25BFA" w14:paraId="02D27102"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150</w:t>
            </w:r>
          </w:p>
        </w:tc>
        <w:tc>
          <w:tcPr>
            <w:tcW w:w="1939" w:type="dxa"/>
            <w:gridSpan w:val="2"/>
            <w:tcBorders>
              <w:top w:val="single" w:color="000000" w:sz="8" w:space="0"/>
            </w:tcBorders>
          </w:tcPr>
          <w:p w:rsidRPr="00B25BFA" w:rsidR="00B25BFA" w:rsidP="00B25BFA" w:rsidRDefault="00B25BFA" w14:paraId="5E4608DB"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345 changed plans</w:t>
            </w:r>
            <w:r w:rsidRPr="00B25BFA">
              <w:rPr>
                <w:rFonts w:ascii="Times New Roman" w:hAnsi="Times New Roman" w:eastAsia="Times New Roman" w:cs="Times New Roman"/>
                <w:snapToGrid w:val="0"/>
                <w:sz w:val="20"/>
                <w:szCs w:val="20"/>
                <w:vertAlign w:val="superscript"/>
              </w:rPr>
              <w:t>3</w:t>
            </w:r>
          </w:p>
        </w:tc>
        <w:tc>
          <w:tcPr>
            <w:tcW w:w="1260" w:type="dxa"/>
            <w:tcBorders>
              <w:top w:val="single" w:color="000000" w:sz="8" w:space="0"/>
              <w:right w:val="single" w:color="auto" w:sz="4" w:space="0"/>
            </w:tcBorders>
          </w:tcPr>
          <w:p w:rsidRPr="00B25BFA" w:rsidR="00B25BFA" w:rsidP="00B25BFA" w:rsidRDefault="00B25BFA" w14:paraId="3FCE9D11"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51,750</w:t>
            </w:r>
          </w:p>
        </w:tc>
      </w:tr>
      <w:tr w:rsidRPr="00B25BFA" w:rsidR="00B25BFA" w:rsidTr="00671A0D" w14:paraId="551478D8" w14:textId="77777777">
        <w:trPr>
          <w:trHeight w:val="196"/>
          <w:jc w:val="center"/>
        </w:trPr>
        <w:tc>
          <w:tcPr>
            <w:tcW w:w="1440" w:type="dxa"/>
            <w:vMerge w:val="restart"/>
            <w:tcBorders>
              <w:top w:val="single" w:color="000000" w:sz="8" w:space="0"/>
              <w:left w:val="single" w:color="auto" w:sz="4" w:space="0"/>
            </w:tcBorders>
            <w:tcMar>
              <w:left w:w="72" w:type="dxa"/>
            </w:tcMar>
          </w:tcPr>
          <w:p w:rsidRPr="00B25BFA" w:rsidR="00B25BFA" w:rsidP="00B25BFA" w:rsidRDefault="00B25BFA" w14:paraId="7DE06A26"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209; 211 thru 228; NTL 2015-N01</w:t>
            </w:r>
          </w:p>
        </w:tc>
        <w:tc>
          <w:tcPr>
            <w:tcW w:w="4500" w:type="dxa"/>
            <w:vMerge w:val="restart"/>
            <w:tcBorders>
              <w:top w:val="single" w:color="000000" w:sz="8" w:space="0"/>
            </w:tcBorders>
          </w:tcPr>
          <w:p w:rsidRPr="00B25BFA" w:rsidR="00B25BFA" w:rsidP="00B25BFA" w:rsidRDefault="00B25BFA" w14:paraId="25553342"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 xml:space="preserve">Submit EP and all required information (including, but not limited to, submissions required by BOEM Forms 0137, 0138, 0142; lease </w:t>
            </w:r>
            <w:r w:rsidRPr="00B25BFA" w:rsidR="007B386E">
              <w:rPr>
                <w:rFonts w:ascii="Times New Roman" w:hAnsi="Times New Roman" w:eastAsia="Times New Roman" w:cs="Times New Roman"/>
                <w:snapToGrid w:val="0"/>
                <w:sz w:val="20"/>
                <w:szCs w:val="20"/>
              </w:rPr>
              <w:t>stipulations; reports</w:t>
            </w:r>
            <w:r w:rsidRPr="00B25BFA">
              <w:rPr>
                <w:rFonts w:ascii="Times New Roman" w:hAnsi="Times New Roman" w:eastAsia="Times New Roman" w:cs="Times New Roman"/>
                <w:snapToGrid w:val="0"/>
                <w:sz w:val="20"/>
                <w:szCs w:val="20"/>
              </w:rPr>
              <w:t xml:space="preserve">, including shallow hazards surveys, H2S, G&amp;G, archaeological surveys &amp; reports (550.194)***), in specified formats. Provide notifications. </w:t>
            </w:r>
          </w:p>
        </w:tc>
        <w:tc>
          <w:tcPr>
            <w:tcW w:w="1080" w:type="dxa"/>
            <w:tcBorders>
              <w:top w:val="single" w:color="000000" w:sz="8" w:space="0"/>
              <w:right w:val="single" w:color="auto" w:sz="4" w:space="0"/>
            </w:tcBorders>
          </w:tcPr>
          <w:p w:rsidRPr="00B25BFA" w:rsidR="00B25BFA" w:rsidP="00B25BFA" w:rsidRDefault="00B25BFA" w14:paraId="509C43C4"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 xml:space="preserve">600 </w:t>
            </w:r>
          </w:p>
        </w:tc>
        <w:tc>
          <w:tcPr>
            <w:tcW w:w="1939" w:type="dxa"/>
            <w:gridSpan w:val="2"/>
            <w:tcBorders>
              <w:top w:val="single" w:color="000000" w:sz="8" w:space="0"/>
              <w:right w:val="single" w:color="auto" w:sz="4" w:space="0"/>
            </w:tcBorders>
          </w:tcPr>
          <w:p w:rsidRPr="00B25BFA" w:rsidR="00B25BFA" w:rsidP="00B25BFA" w:rsidRDefault="00B25BFA" w14:paraId="15E09969"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highlight w:val="yellow"/>
              </w:rPr>
            </w:pPr>
            <w:r w:rsidRPr="00B25BFA">
              <w:rPr>
                <w:rFonts w:ascii="Times New Roman" w:hAnsi="Times New Roman" w:eastAsia="Times New Roman" w:cs="Times New Roman"/>
                <w:snapToGrid w:val="0"/>
                <w:sz w:val="20"/>
                <w:szCs w:val="20"/>
              </w:rPr>
              <w:t>163</w:t>
            </w:r>
            <w:r w:rsidRPr="00B25BFA">
              <w:rPr>
                <w:rFonts w:ascii="Times New Roman" w:hAnsi="Times New Roman" w:eastAsia="Times New Roman" w:cs="Times New Roman"/>
                <w:snapToGrid w:val="0"/>
                <w:sz w:val="20"/>
                <w:szCs w:val="20"/>
                <w:vertAlign w:val="superscript"/>
              </w:rPr>
              <w:t>3</w:t>
            </w:r>
          </w:p>
        </w:tc>
        <w:tc>
          <w:tcPr>
            <w:tcW w:w="1260" w:type="dxa"/>
            <w:tcBorders>
              <w:top w:val="single" w:color="000000" w:sz="8" w:space="0"/>
              <w:right w:val="single" w:color="auto" w:sz="4" w:space="0"/>
            </w:tcBorders>
          </w:tcPr>
          <w:p w:rsidRPr="00B25BFA" w:rsidR="00B25BFA" w:rsidP="00B25BFA" w:rsidRDefault="00B25BFA" w14:paraId="646A1780"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97,800</w:t>
            </w:r>
          </w:p>
        </w:tc>
      </w:tr>
      <w:tr w:rsidRPr="00B25BFA" w:rsidR="00B25BFA" w:rsidTr="00671A0D" w14:paraId="76A2DCA0" w14:textId="77777777">
        <w:trPr>
          <w:trHeight w:val="802"/>
          <w:jc w:val="center"/>
        </w:trPr>
        <w:tc>
          <w:tcPr>
            <w:tcW w:w="1440" w:type="dxa"/>
            <w:vMerge/>
            <w:tcBorders>
              <w:left w:val="single" w:color="auto" w:sz="4" w:space="0"/>
            </w:tcBorders>
            <w:tcMar>
              <w:left w:w="72" w:type="dxa"/>
            </w:tcMar>
          </w:tcPr>
          <w:p w:rsidRPr="00B25BFA" w:rsidR="00B25BFA" w:rsidP="00B25BFA" w:rsidRDefault="00B25BFA" w14:paraId="0D6CCD2A"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p>
        </w:tc>
        <w:tc>
          <w:tcPr>
            <w:tcW w:w="4500" w:type="dxa"/>
            <w:vMerge/>
          </w:tcPr>
          <w:p w:rsidRPr="00B25BFA" w:rsidR="00B25BFA" w:rsidP="00B25BFA" w:rsidRDefault="00B25BFA" w14:paraId="22077DCE"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p>
        </w:tc>
        <w:tc>
          <w:tcPr>
            <w:tcW w:w="4279" w:type="dxa"/>
            <w:gridSpan w:val="4"/>
            <w:tcBorders>
              <w:right w:val="single" w:color="auto" w:sz="4" w:space="0"/>
            </w:tcBorders>
          </w:tcPr>
          <w:p w:rsidRPr="00B25BFA" w:rsidR="00B25BFA" w:rsidP="00B25BFA" w:rsidRDefault="00B25BFA" w14:paraId="14720E7F"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$3,673 x 163 EP surface locations = $598,699</w:t>
            </w:r>
          </w:p>
        </w:tc>
      </w:tr>
      <w:tr w:rsidRPr="00B25BFA" w:rsidR="00B25BFA" w:rsidTr="00671A0D" w14:paraId="2FC20ACE" w14:textId="77777777">
        <w:trPr>
          <w:trHeight w:val="325"/>
          <w:jc w:val="center"/>
        </w:trPr>
        <w:tc>
          <w:tcPr>
            <w:tcW w:w="1440" w:type="dxa"/>
            <w:tcBorders>
              <w:left w:val="single" w:color="auto" w:sz="4" w:space="0"/>
            </w:tcBorders>
            <w:tcMar>
              <w:left w:w="72" w:type="dxa"/>
            </w:tcMar>
          </w:tcPr>
          <w:p w:rsidRPr="00B25BFA" w:rsidR="00B25BFA" w:rsidP="00B25BFA" w:rsidRDefault="00B25BFA" w14:paraId="60F6D2B2"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220</w:t>
            </w:r>
          </w:p>
        </w:tc>
        <w:tc>
          <w:tcPr>
            <w:tcW w:w="4500" w:type="dxa"/>
          </w:tcPr>
          <w:p w:rsidRPr="00B25BFA" w:rsidR="00B25BFA" w:rsidP="00B25BFA" w:rsidRDefault="00B25BFA" w14:paraId="77FDD825"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Alaska-specific requirements.</w:t>
            </w:r>
          </w:p>
        </w:tc>
        <w:tc>
          <w:tcPr>
            <w:tcW w:w="3019" w:type="dxa"/>
            <w:gridSpan w:val="3"/>
            <w:tcBorders>
              <w:right w:val="single" w:color="auto" w:sz="4" w:space="0"/>
            </w:tcBorders>
          </w:tcPr>
          <w:p w:rsidRPr="00B25BFA" w:rsidR="00B25BFA" w:rsidP="00B25BFA" w:rsidRDefault="00B25BFA" w14:paraId="6059E958"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Burden included with EP requirements (30 CFR 550.211-228).</w:t>
            </w:r>
          </w:p>
        </w:tc>
        <w:tc>
          <w:tcPr>
            <w:tcW w:w="1260" w:type="dxa"/>
            <w:tcBorders>
              <w:right w:val="single" w:color="auto" w:sz="4" w:space="0"/>
            </w:tcBorders>
          </w:tcPr>
          <w:p w:rsidRPr="00B25BFA" w:rsidR="00B25BFA" w:rsidP="00B25BFA" w:rsidRDefault="00B25BFA" w14:paraId="7459B001"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0</w:t>
            </w:r>
          </w:p>
        </w:tc>
      </w:tr>
      <w:tr w:rsidRPr="00B25BFA" w:rsidR="00B25BFA" w:rsidTr="00671A0D" w14:paraId="6284B9F8" w14:textId="77777777">
        <w:trPr>
          <w:trHeight w:val="325"/>
          <w:jc w:val="center"/>
        </w:trPr>
        <w:tc>
          <w:tcPr>
            <w:tcW w:w="1440" w:type="dxa"/>
            <w:tcBorders>
              <w:left w:val="single" w:color="auto" w:sz="4" w:space="0"/>
            </w:tcBorders>
            <w:tcMar>
              <w:left w:w="72" w:type="dxa"/>
            </w:tcMar>
          </w:tcPr>
          <w:p w:rsidRPr="00B25BFA" w:rsidR="00B25BFA" w:rsidP="00B25BFA" w:rsidRDefault="00B25BFA" w14:paraId="42253ECD"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220</w:t>
            </w:r>
          </w:p>
        </w:tc>
        <w:tc>
          <w:tcPr>
            <w:tcW w:w="4500" w:type="dxa"/>
          </w:tcPr>
          <w:p w:rsidRPr="00B25BFA" w:rsidR="00B25BFA" w:rsidP="00B25BFA" w:rsidRDefault="00B25BFA" w14:paraId="29E720A1"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For new Arctic OCS exploration activities: submit required Arctic-specific information with EP.</w:t>
            </w:r>
          </w:p>
        </w:tc>
        <w:tc>
          <w:tcPr>
            <w:tcW w:w="1260" w:type="dxa"/>
            <w:gridSpan w:val="2"/>
            <w:tcBorders>
              <w:right w:val="single" w:color="auto" w:sz="4" w:space="0"/>
            </w:tcBorders>
          </w:tcPr>
          <w:p w:rsidRPr="00B25BFA" w:rsidR="00B25BFA" w:rsidP="00B25BFA" w:rsidRDefault="00B25BFA" w14:paraId="22DB9862"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350</w:t>
            </w:r>
          </w:p>
        </w:tc>
        <w:tc>
          <w:tcPr>
            <w:tcW w:w="1759" w:type="dxa"/>
            <w:tcBorders>
              <w:right w:val="single" w:color="auto" w:sz="4" w:space="0"/>
            </w:tcBorders>
          </w:tcPr>
          <w:p w:rsidRPr="00B25BFA" w:rsidR="00B25BFA" w:rsidP="00B25BFA" w:rsidRDefault="00B25BFA" w14:paraId="5D719D8C"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1</w:t>
            </w:r>
          </w:p>
        </w:tc>
        <w:tc>
          <w:tcPr>
            <w:tcW w:w="1260" w:type="dxa"/>
            <w:tcBorders>
              <w:right w:val="single" w:color="auto" w:sz="4" w:space="0"/>
            </w:tcBorders>
          </w:tcPr>
          <w:p w:rsidRPr="00B25BFA" w:rsidR="00B25BFA" w:rsidP="00B25BFA" w:rsidRDefault="00B25BFA" w14:paraId="6AB5FBAB"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350</w:t>
            </w:r>
          </w:p>
        </w:tc>
      </w:tr>
      <w:tr w:rsidRPr="00B25BFA" w:rsidR="00B25BFA" w:rsidTr="00671A0D" w14:paraId="0743CB69" w14:textId="77777777">
        <w:trPr>
          <w:trHeight w:val="325"/>
          <w:jc w:val="center"/>
        </w:trPr>
        <w:tc>
          <w:tcPr>
            <w:tcW w:w="1440" w:type="dxa"/>
            <w:tcBorders>
              <w:left w:val="single" w:color="auto" w:sz="4" w:space="0"/>
            </w:tcBorders>
            <w:tcMar>
              <w:left w:w="72" w:type="dxa"/>
            </w:tcMar>
          </w:tcPr>
          <w:p w:rsidRPr="00B25BFA" w:rsidR="00B25BFA" w:rsidP="00B25BFA" w:rsidRDefault="00B25BFA" w14:paraId="18DF39AF"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220</w:t>
            </w:r>
          </w:p>
        </w:tc>
        <w:tc>
          <w:tcPr>
            <w:tcW w:w="4500" w:type="dxa"/>
          </w:tcPr>
          <w:p w:rsidRPr="00B25BFA" w:rsidR="00B25BFA" w:rsidP="00B25BFA" w:rsidRDefault="00B25BFA" w14:paraId="46B4B934"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For existing Arctic OCS exploration activities: revise and resubmit Arctic-specific information, as required.</w:t>
            </w:r>
          </w:p>
        </w:tc>
        <w:tc>
          <w:tcPr>
            <w:tcW w:w="1260" w:type="dxa"/>
            <w:gridSpan w:val="2"/>
            <w:tcBorders>
              <w:right w:val="single" w:color="auto" w:sz="4" w:space="0"/>
            </w:tcBorders>
          </w:tcPr>
          <w:p w:rsidRPr="00B25BFA" w:rsidR="00B25BFA" w:rsidP="00B25BFA" w:rsidRDefault="00B25BFA" w14:paraId="1E31D66F"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700</w:t>
            </w:r>
          </w:p>
        </w:tc>
        <w:tc>
          <w:tcPr>
            <w:tcW w:w="1759" w:type="dxa"/>
            <w:tcBorders>
              <w:right w:val="single" w:color="auto" w:sz="4" w:space="0"/>
            </w:tcBorders>
          </w:tcPr>
          <w:p w:rsidRPr="00B25BFA" w:rsidR="00B25BFA" w:rsidP="00B25BFA" w:rsidRDefault="00B25BFA" w14:paraId="78FC324B"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1</w:t>
            </w:r>
          </w:p>
        </w:tc>
        <w:tc>
          <w:tcPr>
            <w:tcW w:w="1260" w:type="dxa"/>
            <w:tcBorders>
              <w:right w:val="single" w:color="auto" w:sz="4" w:space="0"/>
            </w:tcBorders>
          </w:tcPr>
          <w:p w:rsidRPr="00B25BFA" w:rsidR="00B25BFA" w:rsidP="00B25BFA" w:rsidRDefault="00B25BFA" w14:paraId="7E225C81"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700</w:t>
            </w:r>
          </w:p>
        </w:tc>
      </w:tr>
      <w:tr w:rsidRPr="00B25BFA" w:rsidR="00B25BFA" w:rsidTr="00671A0D" w14:paraId="29F32DB4" w14:textId="77777777">
        <w:trPr>
          <w:trHeight w:val="113"/>
          <w:jc w:val="center"/>
        </w:trPr>
        <w:tc>
          <w:tcPr>
            <w:tcW w:w="7020" w:type="dxa"/>
            <w:gridSpan w:val="3"/>
            <w:vMerge w:val="restart"/>
            <w:tcBorders>
              <w:top w:val="single" w:color="000000" w:sz="8" w:space="0"/>
              <w:left w:val="single" w:color="auto" w:sz="4" w:space="0"/>
              <w:right w:val="single" w:color="000000" w:sz="8" w:space="0"/>
            </w:tcBorders>
            <w:shd w:val="clear" w:color="auto" w:fill="F3F3F3"/>
            <w:tcMar>
              <w:left w:w="72" w:type="dxa"/>
            </w:tcMar>
            <w:vAlign w:val="center"/>
          </w:tcPr>
          <w:p w:rsidRPr="00B25BFA" w:rsidR="00B25BFA" w:rsidP="00B25BFA" w:rsidRDefault="00B25BFA" w14:paraId="4EDF2913"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 xml:space="preserve">Subtotal </w:t>
            </w:r>
          </w:p>
        </w:tc>
        <w:tc>
          <w:tcPr>
            <w:tcW w:w="1939" w:type="dxa"/>
            <w:gridSpan w:val="2"/>
            <w:tcBorders>
              <w:top w:val="single" w:color="000000" w:sz="8" w:space="0"/>
              <w:left w:val="single" w:color="000000" w:sz="8" w:space="0"/>
              <w:bottom w:val="single" w:color="000000" w:sz="8" w:space="0"/>
              <w:right w:val="single" w:color="000000" w:sz="8" w:space="0"/>
            </w:tcBorders>
            <w:shd w:val="clear" w:color="auto" w:fill="F3F3F3"/>
          </w:tcPr>
          <w:p w:rsidRPr="00B25BFA" w:rsidR="00B25BFA" w:rsidP="00B25BFA" w:rsidRDefault="00B25BFA" w14:paraId="6237A500"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510 responses</w:t>
            </w:r>
          </w:p>
        </w:tc>
        <w:tc>
          <w:tcPr>
            <w:tcW w:w="1260" w:type="dxa"/>
            <w:tcBorders>
              <w:top w:val="single" w:color="000000" w:sz="8" w:space="0"/>
              <w:left w:val="single" w:color="000000" w:sz="8" w:space="0"/>
              <w:bottom w:val="single" w:color="000000" w:sz="8" w:space="0"/>
              <w:right w:val="single" w:color="auto" w:sz="4" w:space="0"/>
            </w:tcBorders>
            <w:shd w:val="clear" w:color="auto" w:fill="F3F3F3"/>
          </w:tcPr>
          <w:p w:rsidRPr="00B25BFA" w:rsidR="00B25BFA" w:rsidP="00B25BFA" w:rsidRDefault="00B25BFA" w14:paraId="0BC1EECF"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150,600 hours</w:t>
            </w:r>
          </w:p>
        </w:tc>
      </w:tr>
      <w:tr w:rsidRPr="00B25BFA" w:rsidR="00B25BFA" w:rsidTr="00671A0D" w14:paraId="0E1B3A59" w14:textId="77777777">
        <w:trPr>
          <w:trHeight w:val="112"/>
          <w:jc w:val="center"/>
        </w:trPr>
        <w:tc>
          <w:tcPr>
            <w:tcW w:w="7020" w:type="dxa"/>
            <w:gridSpan w:val="3"/>
            <w:vMerge/>
            <w:tcBorders>
              <w:left w:val="single" w:color="auto" w:sz="4" w:space="0"/>
              <w:bottom w:val="single" w:color="000000" w:sz="8" w:space="0"/>
              <w:right w:val="single" w:color="000000" w:sz="8" w:space="0"/>
            </w:tcBorders>
            <w:shd w:val="clear" w:color="auto" w:fill="F3F3F3"/>
            <w:tcMar>
              <w:left w:w="72" w:type="dxa"/>
            </w:tcMar>
          </w:tcPr>
          <w:p w:rsidRPr="00B25BFA" w:rsidR="00B25BFA" w:rsidP="00B25BFA" w:rsidRDefault="00B25BFA" w14:paraId="712D1633"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b/>
                <w:snapToGrid w:val="0"/>
                <w:sz w:val="20"/>
                <w:szCs w:val="20"/>
              </w:rPr>
            </w:pPr>
          </w:p>
        </w:tc>
        <w:tc>
          <w:tcPr>
            <w:tcW w:w="3199" w:type="dxa"/>
            <w:gridSpan w:val="3"/>
            <w:tcBorders>
              <w:left w:val="single" w:color="000000" w:sz="8" w:space="0"/>
              <w:bottom w:val="single" w:color="000000" w:sz="8" w:space="0"/>
              <w:right w:val="single" w:color="auto" w:sz="4" w:space="0"/>
            </w:tcBorders>
            <w:shd w:val="clear" w:color="auto" w:fill="F3F3F3"/>
          </w:tcPr>
          <w:p w:rsidRPr="00B25BFA" w:rsidR="00B25BFA" w:rsidP="00B25BFA" w:rsidRDefault="00B25BFA" w14:paraId="69B98B20"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$598,699 Non-Hour Costs</w:t>
            </w:r>
          </w:p>
        </w:tc>
      </w:tr>
      <w:tr w:rsidRPr="00B25BFA" w:rsidR="00B25BFA" w:rsidTr="00671A0D" w14:paraId="4329D162" w14:textId="77777777">
        <w:trPr>
          <w:jc w:val="center"/>
        </w:trPr>
        <w:tc>
          <w:tcPr>
            <w:tcW w:w="10219" w:type="dxa"/>
            <w:gridSpan w:val="6"/>
            <w:tcBorders>
              <w:top w:val="single" w:color="000000" w:sz="8" w:space="0"/>
              <w:left w:val="single" w:color="auto" w:sz="4" w:space="0"/>
              <w:bottom w:val="single" w:color="000000" w:sz="8" w:space="0"/>
              <w:right w:val="single" w:color="auto" w:sz="4" w:space="0"/>
            </w:tcBorders>
            <w:shd w:val="clear" w:color="auto" w:fill="E0E0E0"/>
            <w:tcMar>
              <w:left w:w="72" w:type="dxa"/>
            </w:tcMar>
          </w:tcPr>
          <w:p w:rsidRPr="00B25BFA" w:rsidR="00B25BFA" w:rsidP="00B25BFA" w:rsidRDefault="00B25BFA" w14:paraId="459A1524" w14:textId="77777777">
            <w:pPr>
              <w:tabs>
                <w:tab w:val="left" w:pos="-1080"/>
                <w:tab w:val="left" w:pos="-720"/>
                <w:tab w:val="left" w:pos="0"/>
                <w:tab w:val="left" w:pos="450"/>
                <w:tab w:val="left" w:pos="900"/>
                <w:tab w:val="left" w:pos="1350"/>
                <w:tab w:val="left" w:pos="2880"/>
              </w:tabs>
              <w:spacing w:after="0" w:line="240" w:lineRule="auto"/>
              <w:jc w:val="center"/>
              <w:rPr>
                <w:rFonts w:ascii="Times New Roman" w:hAnsi="Times New Roman" w:eastAsia="Times New Roman" w:cs="Times New Roman"/>
                <w:b/>
                <w:snapToGrid w:val="0"/>
              </w:rPr>
            </w:pPr>
            <w:r w:rsidRPr="00B25BFA">
              <w:rPr>
                <w:rFonts w:ascii="Times New Roman" w:hAnsi="Times New Roman" w:eastAsia="Times New Roman" w:cs="Times New Roman"/>
                <w:b/>
                <w:snapToGrid w:val="0"/>
              </w:rPr>
              <w:t>Review and Decision Process for the EP</w:t>
            </w:r>
          </w:p>
        </w:tc>
      </w:tr>
      <w:tr w:rsidRPr="00B25BFA" w:rsidR="00B25BFA" w:rsidTr="00671A0D" w14:paraId="4ACC21CA" w14:textId="77777777">
        <w:trPr>
          <w:jc w:val="center"/>
        </w:trPr>
        <w:tc>
          <w:tcPr>
            <w:tcW w:w="1440" w:type="dxa"/>
            <w:tcBorders>
              <w:left w:val="single" w:color="auto" w:sz="4" w:space="0"/>
              <w:bottom w:val="single" w:color="000000" w:sz="8" w:space="0"/>
            </w:tcBorders>
            <w:tcMar>
              <w:left w:w="72" w:type="dxa"/>
            </w:tcMar>
          </w:tcPr>
          <w:p w:rsidRPr="00B25BFA" w:rsidR="00B25BFA" w:rsidP="00B25BFA" w:rsidRDefault="00B25BFA" w14:paraId="36526522"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 xml:space="preserve">235(b); 272(b); </w:t>
            </w:r>
            <w:r w:rsidRPr="00B25BFA">
              <w:rPr>
                <w:rFonts w:ascii="Times New Roman" w:hAnsi="Times New Roman" w:eastAsia="Times New Roman" w:cs="Times New Roman"/>
                <w:snapToGrid w:val="0"/>
                <w:sz w:val="20"/>
                <w:szCs w:val="20"/>
              </w:rPr>
              <w:lastRenderedPageBreak/>
              <w:t>281(d)(3)(ii)</w:t>
            </w:r>
          </w:p>
        </w:tc>
        <w:tc>
          <w:tcPr>
            <w:tcW w:w="4500" w:type="dxa"/>
            <w:tcBorders>
              <w:bottom w:val="single" w:color="000000" w:sz="8" w:space="0"/>
            </w:tcBorders>
          </w:tcPr>
          <w:p w:rsidRPr="00B25BFA" w:rsidR="00B25BFA" w:rsidP="00B25BFA" w:rsidRDefault="00B25BFA" w14:paraId="11FE9C9A"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lastRenderedPageBreak/>
              <w:t>Appeal State’s objection.</w:t>
            </w:r>
          </w:p>
        </w:tc>
        <w:tc>
          <w:tcPr>
            <w:tcW w:w="3019" w:type="dxa"/>
            <w:gridSpan w:val="3"/>
            <w:tcBorders>
              <w:bottom w:val="single" w:color="000000" w:sz="8" w:space="0"/>
            </w:tcBorders>
          </w:tcPr>
          <w:p w:rsidRPr="00B25BFA" w:rsidR="00B25BFA" w:rsidP="00B25BFA" w:rsidRDefault="00B25BFA" w14:paraId="6FCA6BDA"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 xml:space="preserve">Burden exempt as defined in 5 </w:t>
            </w:r>
            <w:r w:rsidRPr="00B25BFA">
              <w:rPr>
                <w:rFonts w:ascii="Times New Roman" w:hAnsi="Times New Roman" w:eastAsia="Times New Roman" w:cs="Times New Roman"/>
                <w:snapToGrid w:val="0"/>
                <w:sz w:val="20"/>
                <w:szCs w:val="20"/>
              </w:rPr>
              <w:lastRenderedPageBreak/>
              <w:t>CFR 1320.4(a)(2), (c).</w:t>
            </w:r>
          </w:p>
        </w:tc>
        <w:tc>
          <w:tcPr>
            <w:tcW w:w="1260" w:type="dxa"/>
            <w:tcBorders>
              <w:bottom w:val="single" w:color="000000" w:sz="8" w:space="0"/>
              <w:right w:val="single" w:color="auto" w:sz="4" w:space="0"/>
            </w:tcBorders>
          </w:tcPr>
          <w:p w:rsidRPr="00B25BFA" w:rsidR="00B25BFA" w:rsidP="00B25BFA" w:rsidRDefault="00B25BFA" w14:paraId="439874F8"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lastRenderedPageBreak/>
              <w:t>0</w:t>
            </w:r>
          </w:p>
        </w:tc>
      </w:tr>
      <w:tr w:rsidRPr="00B25BFA" w:rsidR="00B25BFA" w:rsidTr="00671A0D" w14:paraId="6D5E6F7D" w14:textId="77777777">
        <w:trPr>
          <w:trHeight w:val="458"/>
          <w:jc w:val="center"/>
        </w:trPr>
        <w:tc>
          <w:tcPr>
            <w:tcW w:w="10219" w:type="dxa"/>
            <w:gridSpan w:val="6"/>
            <w:tcBorders>
              <w:top w:val="single" w:color="000000" w:sz="8" w:space="0"/>
              <w:left w:val="single" w:color="auto" w:sz="4" w:space="0"/>
              <w:bottom w:val="single" w:color="000000" w:sz="8" w:space="0"/>
              <w:right w:val="single" w:color="auto" w:sz="4" w:space="0"/>
            </w:tcBorders>
            <w:shd w:val="clear" w:color="auto" w:fill="E0E0E0"/>
            <w:tcMar>
              <w:left w:w="72" w:type="dxa"/>
            </w:tcMar>
          </w:tcPr>
          <w:p w:rsidRPr="00B25BFA" w:rsidR="00B25BFA" w:rsidP="00B25BFA" w:rsidRDefault="00B25BFA" w14:paraId="1439181B" w14:textId="77777777">
            <w:pPr>
              <w:tabs>
                <w:tab w:val="left" w:pos="-1080"/>
                <w:tab w:val="left" w:pos="-720"/>
                <w:tab w:val="left" w:pos="0"/>
                <w:tab w:val="left" w:pos="450"/>
                <w:tab w:val="left" w:pos="900"/>
                <w:tab w:val="left" w:pos="1350"/>
                <w:tab w:val="left" w:pos="2880"/>
              </w:tabs>
              <w:spacing w:after="0" w:line="240" w:lineRule="auto"/>
              <w:jc w:val="center"/>
              <w:rPr>
                <w:rFonts w:ascii="Times New Roman" w:hAnsi="Times New Roman" w:eastAsia="Times New Roman" w:cs="Times New Roman"/>
                <w:b/>
                <w:snapToGrid w:val="0"/>
              </w:rPr>
            </w:pPr>
            <w:r w:rsidRPr="00B25BFA">
              <w:rPr>
                <w:rFonts w:ascii="Times New Roman" w:hAnsi="Times New Roman" w:eastAsia="Times New Roman" w:cs="Times New Roman"/>
                <w:b/>
                <w:snapToGrid w:val="0"/>
              </w:rPr>
              <w:t>Contents of Development and Production Plans (DPP) and Development Operations Coordination Documents (DOCD)</w:t>
            </w:r>
          </w:p>
        </w:tc>
      </w:tr>
      <w:tr w:rsidRPr="00B25BFA" w:rsidR="00B25BFA" w:rsidTr="00671A0D" w14:paraId="4CB89D0C" w14:textId="77777777">
        <w:trPr>
          <w:trHeight w:val="1160"/>
          <w:jc w:val="center"/>
        </w:trPr>
        <w:tc>
          <w:tcPr>
            <w:tcW w:w="1440" w:type="dxa"/>
            <w:tcBorders>
              <w:top w:val="single" w:color="000000" w:sz="8" w:space="0"/>
              <w:left w:val="single" w:color="auto" w:sz="4" w:space="0"/>
              <w:bottom w:val="single" w:color="000000" w:sz="8" w:space="0"/>
              <w:right w:val="single" w:color="000000" w:sz="8" w:space="0"/>
            </w:tcBorders>
            <w:tcMar>
              <w:left w:w="72" w:type="dxa"/>
            </w:tcMar>
          </w:tcPr>
          <w:p w:rsidRPr="00B25BFA" w:rsidR="00B25BFA" w:rsidP="00B25BFA" w:rsidRDefault="00B25BFA" w14:paraId="5AE80AA4"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209; 266(b); 267(d); 272(a); 273; 281; 283; 284; 285; NTL 2015-N01</w:t>
            </w:r>
          </w:p>
        </w:tc>
        <w:tc>
          <w:tcPr>
            <w:tcW w:w="4500" w:type="dxa"/>
            <w:tcBorders>
              <w:top w:val="single" w:color="000000" w:sz="8" w:space="0"/>
              <w:left w:val="single" w:color="000000" w:sz="8" w:space="0"/>
              <w:bottom w:val="single" w:color="000000" w:sz="8" w:space="0"/>
              <w:right w:val="single" w:color="000000" w:sz="8" w:space="0"/>
            </w:tcBorders>
          </w:tcPr>
          <w:p w:rsidRPr="00B25BFA" w:rsidR="00B25BFA" w:rsidP="00B25BFA" w:rsidRDefault="00B25BFA" w14:paraId="12ED15B7"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Submit amended, modified, revised, or supple</w:t>
            </w:r>
            <w:r w:rsidRPr="00B25BFA">
              <w:rPr>
                <w:rFonts w:ascii="Times New Roman" w:hAnsi="Times New Roman" w:eastAsia="Times New Roman" w:cs="Times New Roman"/>
                <w:snapToGrid w:val="0"/>
                <w:sz w:val="20"/>
                <w:szCs w:val="20"/>
              </w:rPr>
              <w:softHyphen/>
              <w:t>mental DPP or DOCD, including required information, or resubmit disapproved DPP or DOCD.</w:t>
            </w:r>
          </w:p>
        </w:tc>
        <w:tc>
          <w:tcPr>
            <w:tcW w:w="1080" w:type="dxa"/>
            <w:tcBorders>
              <w:top w:val="single" w:color="000000" w:sz="8" w:space="0"/>
              <w:left w:val="single" w:color="000000" w:sz="8" w:space="0"/>
              <w:right w:val="single" w:color="000000" w:sz="8" w:space="0"/>
            </w:tcBorders>
          </w:tcPr>
          <w:p w:rsidRPr="00B25BFA" w:rsidR="00B25BFA" w:rsidP="00B25BFA" w:rsidRDefault="00B25BFA" w14:paraId="2C66C2AE"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235</w:t>
            </w:r>
          </w:p>
        </w:tc>
        <w:tc>
          <w:tcPr>
            <w:tcW w:w="1939" w:type="dxa"/>
            <w:gridSpan w:val="2"/>
            <w:tcBorders>
              <w:top w:val="single" w:color="000000" w:sz="8" w:space="0"/>
              <w:left w:val="single" w:color="000000" w:sz="8" w:space="0"/>
              <w:right w:val="single" w:color="000000" w:sz="8" w:space="0"/>
            </w:tcBorders>
            <w:shd w:val="clear" w:color="auto" w:fill="auto"/>
          </w:tcPr>
          <w:p w:rsidRPr="00B25BFA" w:rsidR="00B25BFA" w:rsidP="00B25BFA" w:rsidRDefault="00B25BFA" w14:paraId="7D4765B3"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353 changed plans</w:t>
            </w:r>
            <w:r w:rsidRPr="00B25BFA">
              <w:rPr>
                <w:rFonts w:ascii="Times New Roman" w:hAnsi="Times New Roman" w:eastAsia="Times New Roman" w:cs="Times New Roman"/>
                <w:snapToGrid w:val="0"/>
                <w:sz w:val="20"/>
                <w:szCs w:val="20"/>
                <w:vertAlign w:val="superscript"/>
              </w:rPr>
              <w:t>3</w:t>
            </w:r>
          </w:p>
        </w:tc>
        <w:tc>
          <w:tcPr>
            <w:tcW w:w="1260" w:type="dxa"/>
            <w:tcBorders>
              <w:top w:val="single" w:color="000000" w:sz="8" w:space="0"/>
              <w:left w:val="single" w:color="000000" w:sz="8" w:space="0"/>
              <w:right w:val="single" w:color="auto" w:sz="4" w:space="0"/>
            </w:tcBorders>
            <w:shd w:val="clear" w:color="auto" w:fill="auto"/>
          </w:tcPr>
          <w:p w:rsidRPr="00B25BFA" w:rsidR="00B25BFA" w:rsidP="00B25BFA" w:rsidRDefault="00B25BFA" w14:paraId="371571B9"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82,955</w:t>
            </w:r>
          </w:p>
        </w:tc>
      </w:tr>
      <w:tr w:rsidRPr="00B25BFA" w:rsidR="00B25BFA" w:rsidTr="00671A0D" w14:paraId="26E2633E" w14:textId="77777777">
        <w:trPr>
          <w:trHeight w:val="458"/>
          <w:jc w:val="center"/>
        </w:trPr>
        <w:tc>
          <w:tcPr>
            <w:tcW w:w="1440" w:type="dxa"/>
            <w:vMerge w:val="restart"/>
            <w:tcBorders>
              <w:top w:val="single" w:color="000000" w:sz="8" w:space="0"/>
              <w:left w:val="single" w:color="auto" w:sz="4" w:space="0"/>
            </w:tcBorders>
            <w:tcMar>
              <w:left w:w="72" w:type="dxa"/>
            </w:tcMar>
          </w:tcPr>
          <w:p w:rsidRPr="00B25BFA" w:rsidR="00B25BFA" w:rsidP="00B25BFA" w:rsidRDefault="00B25BFA" w14:paraId="616DC334"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 xml:space="preserve">241 thru 262; 209; NTL 2015-N01 </w:t>
            </w:r>
          </w:p>
        </w:tc>
        <w:tc>
          <w:tcPr>
            <w:tcW w:w="4500" w:type="dxa"/>
            <w:vMerge w:val="restart"/>
            <w:tcBorders>
              <w:top w:val="single" w:color="000000" w:sz="8" w:space="0"/>
            </w:tcBorders>
          </w:tcPr>
          <w:p w:rsidRPr="00B25BFA" w:rsidR="00B25BFA" w:rsidP="00B25BFA" w:rsidRDefault="00B25BFA" w14:paraId="4AE686AB"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Submit DPP/DOCD and required/supporting information (including, but not limited to, submissions required by BOEM Forms 0137, 0139, 0142; lease stipulations; reports, including shallow hazards surveys, archaeological surveys &amp; reports (CFR 550.194)), in specified formats. Provide notification.</w:t>
            </w:r>
          </w:p>
        </w:tc>
        <w:tc>
          <w:tcPr>
            <w:tcW w:w="1080" w:type="dxa"/>
            <w:tcBorders>
              <w:top w:val="single" w:color="000000" w:sz="8" w:space="0"/>
              <w:right w:val="single" w:color="auto" w:sz="4" w:space="0"/>
            </w:tcBorders>
          </w:tcPr>
          <w:p w:rsidRPr="00B25BFA" w:rsidR="00B25BFA" w:rsidP="00B25BFA" w:rsidRDefault="00B25BFA" w14:paraId="08C933BA"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700</w:t>
            </w:r>
          </w:p>
        </w:tc>
        <w:tc>
          <w:tcPr>
            <w:tcW w:w="1939" w:type="dxa"/>
            <w:gridSpan w:val="2"/>
            <w:tcBorders>
              <w:top w:val="single" w:color="000000" w:sz="8" w:space="0"/>
              <w:right w:val="single" w:color="auto" w:sz="4" w:space="0"/>
            </w:tcBorders>
          </w:tcPr>
          <w:p w:rsidRPr="00B25BFA" w:rsidR="00B25BFA" w:rsidP="00B25BFA" w:rsidRDefault="00B25BFA" w14:paraId="29D225BD"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268</w:t>
            </w:r>
            <w:r w:rsidRPr="00B25BFA">
              <w:rPr>
                <w:rFonts w:ascii="Times New Roman" w:hAnsi="Times New Roman" w:eastAsia="Times New Roman" w:cs="Times New Roman"/>
                <w:snapToGrid w:val="0"/>
                <w:sz w:val="20"/>
                <w:szCs w:val="20"/>
                <w:vertAlign w:val="superscript"/>
              </w:rPr>
              <w:t>3</w:t>
            </w:r>
          </w:p>
        </w:tc>
        <w:tc>
          <w:tcPr>
            <w:tcW w:w="1260" w:type="dxa"/>
            <w:tcBorders>
              <w:top w:val="single" w:color="000000" w:sz="8" w:space="0"/>
              <w:right w:val="single" w:color="auto" w:sz="4" w:space="0"/>
            </w:tcBorders>
          </w:tcPr>
          <w:p w:rsidRPr="00B25BFA" w:rsidR="00B25BFA" w:rsidP="00B25BFA" w:rsidRDefault="00B25BFA" w14:paraId="7DFE7BDA"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187,600</w:t>
            </w:r>
          </w:p>
        </w:tc>
      </w:tr>
      <w:tr w:rsidRPr="00B25BFA" w:rsidR="00B25BFA" w:rsidTr="00671A0D" w14:paraId="12AEBBB8" w14:textId="77777777">
        <w:trPr>
          <w:trHeight w:val="568"/>
          <w:jc w:val="center"/>
        </w:trPr>
        <w:tc>
          <w:tcPr>
            <w:tcW w:w="1440" w:type="dxa"/>
            <w:vMerge/>
            <w:tcBorders>
              <w:left w:val="single" w:color="auto" w:sz="4" w:space="0"/>
            </w:tcBorders>
            <w:tcMar>
              <w:left w:w="72" w:type="dxa"/>
            </w:tcMar>
          </w:tcPr>
          <w:p w:rsidRPr="00B25BFA" w:rsidR="00B25BFA" w:rsidP="00B25BFA" w:rsidRDefault="00B25BFA" w14:paraId="5605FD8A"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p>
        </w:tc>
        <w:tc>
          <w:tcPr>
            <w:tcW w:w="4500" w:type="dxa"/>
            <w:vMerge/>
          </w:tcPr>
          <w:p w:rsidRPr="00B25BFA" w:rsidR="00B25BFA" w:rsidP="00B25BFA" w:rsidRDefault="00B25BFA" w14:paraId="3EDC83EE"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p>
        </w:tc>
        <w:tc>
          <w:tcPr>
            <w:tcW w:w="4279" w:type="dxa"/>
            <w:gridSpan w:val="4"/>
            <w:tcBorders>
              <w:right w:val="single" w:color="auto" w:sz="4" w:space="0"/>
            </w:tcBorders>
          </w:tcPr>
          <w:p w:rsidRPr="00B25BFA" w:rsidR="00B25BFA" w:rsidP="00B25BFA" w:rsidRDefault="00B25BFA" w14:paraId="2CBE1169" w14:textId="77777777">
            <w:pPr>
              <w:tabs>
                <w:tab w:val="left" w:pos="-1080"/>
                <w:tab w:val="left" w:pos="-720"/>
                <w:tab w:val="left" w:pos="-72"/>
                <w:tab w:val="left" w:pos="450"/>
                <w:tab w:val="left" w:pos="900"/>
                <w:tab w:val="left" w:pos="1350"/>
                <w:tab w:val="left" w:pos="2880"/>
              </w:tabs>
              <w:spacing w:after="0" w:line="240" w:lineRule="auto"/>
              <w:jc w:val="center"/>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$4,238 x 268 DPP/DOCD wells = $1,135,784.</w:t>
            </w:r>
          </w:p>
        </w:tc>
      </w:tr>
      <w:tr w:rsidRPr="00B25BFA" w:rsidR="00B25BFA" w:rsidTr="00671A0D" w14:paraId="2C0347A4" w14:textId="77777777">
        <w:trPr>
          <w:trHeight w:val="173"/>
          <w:jc w:val="center"/>
        </w:trPr>
        <w:tc>
          <w:tcPr>
            <w:tcW w:w="7020" w:type="dxa"/>
            <w:gridSpan w:val="3"/>
            <w:vMerge w:val="restart"/>
            <w:tcBorders>
              <w:top w:val="single" w:color="000000" w:sz="8" w:space="0"/>
              <w:left w:val="single" w:color="auto" w:sz="4" w:space="0"/>
              <w:bottom w:val="single" w:color="auto" w:sz="4" w:space="0"/>
              <w:right w:val="single" w:color="000000" w:sz="8" w:space="0"/>
            </w:tcBorders>
            <w:shd w:val="clear" w:color="auto" w:fill="F3F3F3"/>
            <w:tcMar>
              <w:left w:w="72" w:type="dxa"/>
            </w:tcMar>
            <w:vAlign w:val="center"/>
          </w:tcPr>
          <w:p w:rsidRPr="00B25BFA" w:rsidR="00B25BFA" w:rsidP="00B25BFA" w:rsidRDefault="00B25BFA" w14:paraId="54643BC3"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Subtotal</w:t>
            </w:r>
          </w:p>
        </w:tc>
        <w:tc>
          <w:tcPr>
            <w:tcW w:w="1939" w:type="dxa"/>
            <w:gridSpan w:val="2"/>
            <w:tcBorders>
              <w:top w:val="single" w:color="000000" w:sz="8" w:space="0"/>
              <w:left w:val="single" w:color="000000" w:sz="8" w:space="0"/>
              <w:bottom w:val="single" w:color="000000" w:sz="8" w:space="0"/>
              <w:right w:val="single" w:color="000000" w:sz="8" w:space="0"/>
            </w:tcBorders>
            <w:shd w:val="clear" w:color="auto" w:fill="F3F3F3"/>
          </w:tcPr>
          <w:p w:rsidRPr="00B25BFA" w:rsidR="00B25BFA" w:rsidP="00B25BFA" w:rsidRDefault="00B25BFA" w14:paraId="24559157"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621 responses</w:t>
            </w:r>
          </w:p>
        </w:tc>
        <w:tc>
          <w:tcPr>
            <w:tcW w:w="1260" w:type="dxa"/>
            <w:tcBorders>
              <w:top w:val="single" w:color="000000" w:sz="8" w:space="0"/>
              <w:left w:val="single" w:color="000000" w:sz="8" w:space="0"/>
              <w:bottom w:val="single" w:color="000000" w:sz="8" w:space="0"/>
              <w:right w:val="single" w:color="auto" w:sz="4" w:space="0"/>
            </w:tcBorders>
            <w:shd w:val="clear" w:color="auto" w:fill="F3F3F3"/>
          </w:tcPr>
          <w:p w:rsidRPr="00B25BFA" w:rsidR="00B25BFA" w:rsidP="00B25BFA" w:rsidRDefault="00B25BFA" w14:paraId="01B586DC"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270,555 hours</w:t>
            </w:r>
          </w:p>
        </w:tc>
      </w:tr>
      <w:tr w:rsidRPr="00B25BFA" w:rsidR="00B25BFA" w:rsidTr="00671A0D" w14:paraId="3CF3E2D6" w14:textId="77777777">
        <w:trPr>
          <w:trHeight w:val="172"/>
          <w:jc w:val="center"/>
        </w:trPr>
        <w:tc>
          <w:tcPr>
            <w:tcW w:w="7020" w:type="dxa"/>
            <w:gridSpan w:val="3"/>
            <w:vMerge/>
            <w:tcBorders>
              <w:top w:val="single" w:color="000000" w:sz="8" w:space="0"/>
              <w:left w:val="single" w:color="auto" w:sz="4" w:space="0"/>
              <w:bottom w:val="single" w:color="auto" w:sz="4" w:space="0"/>
              <w:right w:val="single" w:color="000000" w:sz="8" w:space="0"/>
            </w:tcBorders>
            <w:shd w:val="clear" w:color="auto" w:fill="F3F3F3"/>
            <w:tcMar>
              <w:left w:w="72" w:type="dxa"/>
            </w:tcMar>
          </w:tcPr>
          <w:p w:rsidRPr="00B25BFA" w:rsidR="00B25BFA" w:rsidP="00B25BFA" w:rsidRDefault="00B25BFA" w14:paraId="14E02E62"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b/>
                <w:snapToGrid w:val="0"/>
                <w:sz w:val="20"/>
                <w:szCs w:val="20"/>
              </w:rPr>
            </w:pPr>
          </w:p>
        </w:tc>
        <w:tc>
          <w:tcPr>
            <w:tcW w:w="3199" w:type="dxa"/>
            <w:gridSpan w:val="3"/>
            <w:tcBorders>
              <w:left w:val="single" w:color="000000" w:sz="8" w:space="0"/>
              <w:bottom w:val="single" w:color="000000" w:sz="8" w:space="0"/>
              <w:right w:val="single" w:color="auto" w:sz="4" w:space="0"/>
            </w:tcBorders>
            <w:shd w:val="clear" w:color="auto" w:fill="F3F3F3"/>
          </w:tcPr>
          <w:p w:rsidRPr="00B25BFA" w:rsidR="00B25BFA" w:rsidP="00B25BFA" w:rsidRDefault="00B25BFA" w14:paraId="77601ADF"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$1,135,784 Non-hour costs</w:t>
            </w:r>
          </w:p>
        </w:tc>
      </w:tr>
      <w:tr w:rsidRPr="00B25BFA" w:rsidR="00B25BFA" w:rsidTr="00671A0D" w14:paraId="294E9D9A" w14:textId="77777777">
        <w:trPr>
          <w:trHeight w:val="124"/>
          <w:jc w:val="center"/>
        </w:trPr>
        <w:tc>
          <w:tcPr>
            <w:tcW w:w="10219" w:type="dxa"/>
            <w:gridSpan w:val="6"/>
            <w:tcBorders>
              <w:top w:val="single" w:color="000000" w:sz="8" w:space="0"/>
              <w:left w:val="single" w:color="auto" w:sz="4" w:space="0"/>
              <w:bottom w:val="single" w:color="000000" w:sz="8" w:space="0"/>
              <w:right w:val="single" w:color="auto" w:sz="4" w:space="0"/>
            </w:tcBorders>
            <w:shd w:val="clear" w:color="auto" w:fill="E0E0E0"/>
            <w:tcMar>
              <w:left w:w="72" w:type="dxa"/>
            </w:tcMar>
          </w:tcPr>
          <w:p w:rsidRPr="00B25BFA" w:rsidR="00B25BFA" w:rsidP="00B25BFA" w:rsidRDefault="00B25BFA" w14:paraId="7351EF1A" w14:textId="77777777">
            <w:pPr>
              <w:tabs>
                <w:tab w:val="left" w:pos="-1080"/>
                <w:tab w:val="left" w:pos="-720"/>
                <w:tab w:val="left" w:pos="0"/>
                <w:tab w:val="left" w:pos="450"/>
                <w:tab w:val="left" w:pos="900"/>
                <w:tab w:val="left" w:pos="1350"/>
                <w:tab w:val="left" w:pos="2880"/>
              </w:tabs>
              <w:spacing w:after="0" w:line="240" w:lineRule="auto"/>
              <w:jc w:val="center"/>
              <w:rPr>
                <w:rFonts w:ascii="Times New Roman" w:hAnsi="Times New Roman" w:eastAsia="Times New Roman" w:cs="Times New Roman"/>
                <w:b/>
                <w:snapToGrid w:val="0"/>
              </w:rPr>
            </w:pPr>
            <w:r w:rsidRPr="00B25BFA">
              <w:rPr>
                <w:rFonts w:ascii="Times New Roman" w:hAnsi="Times New Roman" w:eastAsia="Times New Roman" w:cs="Times New Roman"/>
                <w:b/>
                <w:snapToGrid w:val="0"/>
              </w:rPr>
              <w:t>Review and Decision Process for the DPP or DOCD</w:t>
            </w:r>
          </w:p>
        </w:tc>
      </w:tr>
      <w:tr w:rsidRPr="00B25BFA" w:rsidR="00B25BFA" w:rsidTr="00671A0D" w14:paraId="06B82433" w14:textId="77777777">
        <w:trPr>
          <w:jc w:val="center"/>
        </w:trPr>
        <w:tc>
          <w:tcPr>
            <w:tcW w:w="1440" w:type="dxa"/>
            <w:tcBorders>
              <w:top w:val="single" w:color="auto" w:sz="6" w:space="0"/>
              <w:left w:val="single" w:color="auto" w:sz="4" w:space="0"/>
              <w:bottom w:val="single" w:color="000000" w:sz="8" w:space="0"/>
            </w:tcBorders>
            <w:tcMar>
              <w:left w:w="72" w:type="dxa"/>
            </w:tcMar>
          </w:tcPr>
          <w:p w:rsidRPr="00B25BFA" w:rsidR="00B25BFA" w:rsidP="00B25BFA" w:rsidRDefault="00B25BFA" w14:paraId="4800D8D0"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267(a)</w:t>
            </w:r>
          </w:p>
        </w:tc>
        <w:tc>
          <w:tcPr>
            <w:tcW w:w="4500" w:type="dxa"/>
            <w:tcBorders>
              <w:top w:val="single" w:color="auto" w:sz="6" w:space="0"/>
              <w:bottom w:val="single" w:color="000000" w:sz="8" w:space="0"/>
            </w:tcBorders>
          </w:tcPr>
          <w:p w:rsidRPr="00B25BFA" w:rsidR="00B25BFA" w:rsidP="00B25BFA" w:rsidRDefault="00B25BFA" w14:paraId="638A826B"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Once BOEM deemed DPP/DOCD submitted; Governor of each affected State, local government official; etc., submit comments/recommendations.</w:t>
            </w:r>
          </w:p>
        </w:tc>
        <w:tc>
          <w:tcPr>
            <w:tcW w:w="3019" w:type="dxa"/>
            <w:gridSpan w:val="3"/>
            <w:tcBorders>
              <w:top w:val="single" w:color="auto" w:sz="6" w:space="0"/>
              <w:bottom w:val="single" w:color="000000" w:sz="8" w:space="0"/>
            </w:tcBorders>
          </w:tcPr>
          <w:p w:rsidRPr="00B25BFA" w:rsidR="00B25BFA" w:rsidP="00B25BFA" w:rsidRDefault="00B25BFA" w14:paraId="53BA416D"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Not considered IC as defined in 5 CFR 1320.3(h)(4)</w:t>
            </w:r>
          </w:p>
        </w:tc>
        <w:tc>
          <w:tcPr>
            <w:tcW w:w="1260" w:type="dxa"/>
            <w:tcBorders>
              <w:top w:val="single" w:color="auto" w:sz="6" w:space="0"/>
              <w:bottom w:val="single" w:color="000000" w:sz="8" w:space="0"/>
              <w:right w:val="single" w:color="auto" w:sz="4" w:space="0"/>
            </w:tcBorders>
          </w:tcPr>
          <w:p w:rsidRPr="00B25BFA" w:rsidR="00B25BFA" w:rsidP="00B25BFA" w:rsidRDefault="00B25BFA" w14:paraId="2B6CC46C"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0</w:t>
            </w:r>
          </w:p>
        </w:tc>
      </w:tr>
      <w:tr w:rsidRPr="00B25BFA" w:rsidR="00B25BFA" w:rsidTr="00671A0D" w14:paraId="5411AEA8" w14:textId="77777777">
        <w:trPr>
          <w:jc w:val="center"/>
        </w:trPr>
        <w:tc>
          <w:tcPr>
            <w:tcW w:w="1440" w:type="dxa"/>
            <w:tcBorders>
              <w:top w:val="single" w:color="auto" w:sz="6" w:space="0"/>
              <w:left w:val="single" w:color="auto" w:sz="4" w:space="0"/>
              <w:bottom w:val="single" w:color="000000" w:sz="8" w:space="0"/>
            </w:tcBorders>
            <w:tcMar>
              <w:left w:w="72" w:type="dxa"/>
            </w:tcMar>
          </w:tcPr>
          <w:p w:rsidRPr="00B25BFA" w:rsidR="00B25BFA" w:rsidP="00B25BFA" w:rsidRDefault="00B25BFA" w14:paraId="61517E82"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267(b)</w:t>
            </w:r>
          </w:p>
        </w:tc>
        <w:tc>
          <w:tcPr>
            <w:tcW w:w="4500" w:type="dxa"/>
            <w:tcBorders>
              <w:top w:val="single" w:color="auto" w:sz="6" w:space="0"/>
              <w:bottom w:val="single" w:color="000000" w:sz="8" w:space="0"/>
            </w:tcBorders>
          </w:tcPr>
          <w:p w:rsidRPr="00B25BFA" w:rsidR="00B25BFA" w:rsidP="00B25BFA" w:rsidRDefault="00B25BFA" w14:paraId="0E6F3418"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General public comments/recommendations submitted to BOEM regarding DPPs or DOCDs.</w:t>
            </w:r>
          </w:p>
        </w:tc>
        <w:tc>
          <w:tcPr>
            <w:tcW w:w="3019" w:type="dxa"/>
            <w:gridSpan w:val="3"/>
            <w:tcBorders>
              <w:top w:val="single" w:color="auto" w:sz="6" w:space="0"/>
              <w:bottom w:val="single" w:color="000000" w:sz="8" w:space="0"/>
            </w:tcBorders>
          </w:tcPr>
          <w:p w:rsidRPr="00B25BFA" w:rsidR="00B25BFA" w:rsidP="00B25BFA" w:rsidRDefault="00B25BFA" w14:paraId="5B2E41A7" w14:textId="77777777">
            <w:pPr>
              <w:tabs>
                <w:tab w:val="left" w:pos="-1080"/>
                <w:tab w:val="left" w:pos="-720"/>
                <w:tab w:val="left" w:pos="0"/>
                <w:tab w:val="left" w:pos="450"/>
                <w:tab w:val="left" w:pos="900"/>
                <w:tab w:val="left" w:pos="1350"/>
                <w:tab w:val="left" w:pos="2880"/>
              </w:tabs>
              <w:spacing w:after="0" w:line="240" w:lineRule="auto"/>
              <w:ind w:right="-139"/>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Not considered IC as defined in 5 CFR 1320.3(h)(4).</w:t>
            </w:r>
          </w:p>
        </w:tc>
        <w:tc>
          <w:tcPr>
            <w:tcW w:w="1260" w:type="dxa"/>
            <w:tcBorders>
              <w:top w:val="single" w:color="auto" w:sz="6" w:space="0"/>
              <w:bottom w:val="single" w:color="000000" w:sz="8" w:space="0"/>
              <w:right w:val="single" w:color="auto" w:sz="4" w:space="0"/>
            </w:tcBorders>
          </w:tcPr>
          <w:p w:rsidRPr="00B25BFA" w:rsidR="00B25BFA" w:rsidP="00B25BFA" w:rsidRDefault="00B25BFA" w14:paraId="189981B5"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0</w:t>
            </w:r>
          </w:p>
        </w:tc>
      </w:tr>
      <w:tr w:rsidRPr="00B25BFA" w:rsidR="00B25BFA" w:rsidTr="00671A0D" w14:paraId="28F6D4A9" w14:textId="77777777">
        <w:trPr>
          <w:jc w:val="center"/>
        </w:trPr>
        <w:tc>
          <w:tcPr>
            <w:tcW w:w="1440" w:type="dxa"/>
            <w:tcBorders>
              <w:top w:val="single" w:color="auto" w:sz="6" w:space="0"/>
              <w:left w:val="single" w:color="auto" w:sz="4" w:space="0"/>
              <w:bottom w:val="single" w:color="000000" w:sz="8" w:space="0"/>
            </w:tcBorders>
            <w:tcMar>
              <w:left w:w="72" w:type="dxa"/>
            </w:tcMar>
          </w:tcPr>
          <w:p w:rsidRPr="00B25BFA" w:rsidR="00B25BFA" w:rsidP="00B25BFA" w:rsidRDefault="00B25BFA" w14:paraId="45663BD2"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trike/>
                <w:snapToGrid w:val="0"/>
                <w:sz w:val="20"/>
                <w:szCs w:val="20"/>
              </w:rPr>
            </w:pPr>
            <w:r w:rsidRPr="00B25BFA">
              <w:rPr>
                <w:rFonts w:ascii="Times New Roman" w:hAnsi="Times New Roman" w:eastAsia="Times New Roman" w:cs="Times New Roman"/>
                <w:snapToGrid w:val="0"/>
                <w:sz w:val="20"/>
                <w:szCs w:val="20"/>
              </w:rPr>
              <w:t>269(b)</w:t>
            </w:r>
          </w:p>
        </w:tc>
        <w:tc>
          <w:tcPr>
            <w:tcW w:w="4500" w:type="dxa"/>
            <w:tcBorders>
              <w:top w:val="single" w:color="auto" w:sz="6" w:space="0"/>
              <w:bottom w:val="single" w:color="000000" w:sz="8" w:space="0"/>
            </w:tcBorders>
          </w:tcPr>
          <w:p w:rsidRPr="00B25BFA" w:rsidR="00B25BFA" w:rsidP="00B25BFA" w:rsidRDefault="00B25BFA" w14:paraId="7E11CA7E"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For leases or units in vicinity of proposed development and production activities RD may require those lessees and operators to submit information on preliminary plans for their leases and units.</w:t>
            </w:r>
          </w:p>
        </w:tc>
        <w:tc>
          <w:tcPr>
            <w:tcW w:w="1080" w:type="dxa"/>
            <w:tcBorders>
              <w:top w:val="single" w:color="auto" w:sz="6" w:space="0"/>
              <w:bottom w:val="single" w:color="000000" w:sz="8" w:space="0"/>
            </w:tcBorders>
          </w:tcPr>
          <w:p w:rsidRPr="00B25BFA" w:rsidR="00B25BFA" w:rsidP="00B25BFA" w:rsidRDefault="00B25BFA" w14:paraId="0B92307F"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3</w:t>
            </w:r>
          </w:p>
        </w:tc>
        <w:tc>
          <w:tcPr>
            <w:tcW w:w="1939" w:type="dxa"/>
            <w:gridSpan w:val="2"/>
            <w:tcBorders>
              <w:top w:val="single" w:color="auto" w:sz="6" w:space="0"/>
              <w:bottom w:val="single" w:color="000000" w:sz="8" w:space="0"/>
            </w:tcBorders>
          </w:tcPr>
          <w:p w:rsidRPr="00B25BFA" w:rsidR="00B25BFA" w:rsidP="00B25BFA" w:rsidRDefault="00B25BFA" w14:paraId="025B4132"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1 response</w:t>
            </w:r>
          </w:p>
        </w:tc>
        <w:tc>
          <w:tcPr>
            <w:tcW w:w="1260" w:type="dxa"/>
            <w:tcBorders>
              <w:top w:val="single" w:color="auto" w:sz="6" w:space="0"/>
              <w:bottom w:val="single" w:color="000000" w:sz="8" w:space="0"/>
              <w:right w:val="single" w:color="auto" w:sz="4" w:space="0"/>
            </w:tcBorders>
          </w:tcPr>
          <w:p w:rsidRPr="00B25BFA" w:rsidR="00B25BFA" w:rsidP="00B25BFA" w:rsidRDefault="00B25BFA" w14:paraId="01E0D277"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3</w:t>
            </w:r>
          </w:p>
        </w:tc>
      </w:tr>
      <w:tr w:rsidRPr="00B25BFA" w:rsidR="00B25BFA" w:rsidTr="00671A0D" w14:paraId="2DB53C72" w14:textId="77777777">
        <w:trPr>
          <w:jc w:val="center"/>
        </w:trPr>
        <w:tc>
          <w:tcPr>
            <w:tcW w:w="7020" w:type="dxa"/>
            <w:gridSpan w:val="3"/>
            <w:tcBorders>
              <w:top w:val="single" w:color="000000" w:sz="8" w:space="0"/>
              <w:left w:val="single" w:color="auto" w:sz="4" w:space="0"/>
              <w:bottom w:val="single" w:color="000000" w:sz="8" w:space="0"/>
              <w:right w:val="single" w:color="000000" w:sz="8" w:space="0"/>
            </w:tcBorders>
            <w:shd w:val="clear" w:color="auto" w:fill="F3F3F3"/>
            <w:tcMar>
              <w:left w:w="72" w:type="dxa"/>
            </w:tcMar>
            <w:vAlign w:val="center"/>
          </w:tcPr>
          <w:p w:rsidRPr="00B25BFA" w:rsidR="00B25BFA" w:rsidP="00B25BFA" w:rsidRDefault="00B25BFA" w14:paraId="20490F10"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Subtotal</w:t>
            </w:r>
          </w:p>
        </w:tc>
        <w:tc>
          <w:tcPr>
            <w:tcW w:w="1939" w:type="dxa"/>
            <w:gridSpan w:val="2"/>
            <w:tcBorders>
              <w:top w:val="single" w:color="000000" w:sz="8" w:space="0"/>
              <w:left w:val="single" w:color="000000" w:sz="8" w:space="0"/>
              <w:bottom w:val="single" w:color="000000" w:sz="8" w:space="0"/>
              <w:right w:val="single" w:color="000000" w:sz="8" w:space="0"/>
            </w:tcBorders>
            <w:shd w:val="clear" w:color="auto" w:fill="F3F3F3"/>
          </w:tcPr>
          <w:p w:rsidRPr="00B25BFA" w:rsidR="00B25BFA" w:rsidP="00B25BFA" w:rsidRDefault="00B25BFA" w14:paraId="2DD3A970" w14:textId="79421438">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 xml:space="preserve">1 </w:t>
            </w:r>
            <w:r w:rsidRPr="00B25BFA" w:rsidR="005B4139">
              <w:rPr>
                <w:rFonts w:ascii="Times New Roman" w:hAnsi="Times New Roman" w:eastAsia="Times New Roman" w:cs="Times New Roman"/>
                <w:b/>
                <w:snapToGrid w:val="0"/>
                <w:sz w:val="20"/>
                <w:szCs w:val="20"/>
              </w:rPr>
              <w:t>response</w:t>
            </w:r>
          </w:p>
        </w:tc>
        <w:tc>
          <w:tcPr>
            <w:tcW w:w="1260" w:type="dxa"/>
            <w:tcBorders>
              <w:top w:val="single" w:color="000000" w:sz="8" w:space="0"/>
              <w:left w:val="single" w:color="000000" w:sz="8" w:space="0"/>
              <w:bottom w:val="single" w:color="000000" w:sz="8" w:space="0"/>
              <w:right w:val="single" w:color="auto" w:sz="4" w:space="0"/>
            </w:tcBorders>
            <w:shd w:val="clear" w:color="auto" w:fill="F3F3F3"/>
          </w:tcPr>
          <w:p w:rsidRPr="00B25BFA" w:rsidR="00B25BFA" w:rsidP="00B25BFA" w:rsidRDefault="00B25BFA" w14:paraId="2C17F240"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3 hours</w:t>
            </w:r>
          </w:p>
        </w:tc>
      </w:tr>
      <w:tr w:rsidRPr="00B25BFA" w:rsidR="00B25BFA" w:rsidTr="00671A0D" w14:paraId="5822DFA6" w14:textId="77777777">
        <w:trPr>
          <w:jc w:val="center"/>
        </w:trPr>
        <w:tc>
          <w:tcPr>
            <w:tcW w:w="10219" w:type="dxa"/>
            <w:gridSpan w:val="6"/>
            <w:tcBorders>
              <w:top w:val="single" w:color="000000" w:sz="8" w:space="0"/>
              <w:left w:val="single" w:color="auto" w:sz="4" w:space="0"/>
              <w:bottom w:val="single" w:color="000000" w:sz="8" w:space="0"/>
              <w:right w:val="single" w:color="auto" w:sz="4" w:space="0"/>
            </w:tcBorders>
            <w:shd w:val="clear" w:color="auto" w:fill="E0E0E0"/>
            <w:tcMar>
              <w:left w:w="72" w:type="dxa"/>
            </w:tcMar>
          </w:tcPr>
          <w:p w:rsidRPr="00B25BFA" w:rsidR="00B25BFA" w:rsidP="00B25BFA" w:rsidRDefault="00B25BFA" w14:paraId="1CDCA7ED" w14:textId="77777777">
            <w:pPr>
              <w:tabs>
                <w:tab w:val="left" w:pos="-1080"/>
                <w:tab w:val="left" w:pos="-720"/>
                <w:tab w:val="left" w:pos="0"/>
                <w:tab w:val="left" w:pos="450"/>
                <w:tab w:val="left" w:pos="900"/>
                <w:tab w:val="left" w:pos="1350"/>
                <w:tab w:val="left" w:pos="2880"/>
              </w:tabs>
              <w:spacing w:after="0" w:line="240" w:lineRule="auto"/>
              <w:jc w:val="center"/>
              <w:rPr>
                <w:rFonts w:ascii="Times New Roman" w:hAnsi="Times New Roman" w:eastAsia="Times New Roman" w:cs="Times New Roman"/>
                <w:b/>
                <w:snapToGrid w:val="0"/>
              </w:rPr>
            </w:pPr>
            <w:r w:rsidRPr="00B25BFA">
              <w:rPr>
                <w:rFonts w:ascii="Times New Roman" w:hAnsi="Times New Roman" w:eastAsia="Times New Roman" w:cs="Times New Roman"/>
                <w:b/>
                <w:snapToGrid w:val="0"/>
              </w:rPr>
              <w:t>Post-Approval Requirements for the EP, DPP, and DOCD</w:t>
            </w:r>
          </w:p>
        </w:tc>
      </w:tr>
      <w:tr w:rsidRPr="00B25BFA" w:rsidR="00B25BFA" w:rsidTr="00671A0D" w14:paraId="5F6179BE" w14:textId="77777777">
        <w:trPr>
          <w:jc w:val="center"/>
        </w:trPr>
        <w:tc>
          <w:tcPr>
            <w:tcW w:w="1440" w:type="dxa"/>
            <w:tcBorders>
              <w:top w:val="single" w:color="000000" w:sz="8" w:space="0"/>
              <w:left w:val="single" w:color="auto" w:sz="4" w:space="0"/>
              <w:bottom w:val="single" w:color="auto" w:sz="4" w:space="0"/>
              <w:right w:val="single" w:color="000000" w:sz="8" w:space="0"/>
            </w:tcBorders>
            <w:tcMar>
              <w:left w:w="72" w:type="dxa"/>
            </w:tcMar>
          </w:tcPr>
          <w:p w:rsidRPr="00B25BFA" w:rsidR="00B25BFA" w:rsidP="00B25BFA" w:rsidRDefault="00B25BFA" w14:paraId="4CEAD81E"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280(b)</w:t>
            </w:r>
          </w:p>
        </w:tc>
        <w:tc>
          <w:tcPr>
            <w:tcW w:w="4500" w:type="dxa"/>
            <w:tcBorders>
              <w:top w:val="single" w:color="000000" w:sz="8" w:space="0"/>
              <w:left w:val="single" w:color="000000" w:sz="8" w:space="0"/>
              <w:bottom w:val="single" w:color="auto" w:sz="4" w:space="0"/>
              <w:right w:val="single" w:color="000000" w:sz="8" w:space="0"/>
            </w:tcBorders>
          </w:tcPr>
          <w:p w:rsidRPr="00B25BFA" w:rsidR="00B25BFA" w:rsidP="00B25BFA" w:rsidRDefault="00B25BFA" w14:paraId="6871D78E"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In an emergency, request departure from your approved EP, DPP, or DOCD.</w:t>
            </w:r>
          </w:p>
        </w:tc>
        <w:tc>
          <w:tcPr>
            <w:tcW w:w="3019" w:type="dxa"/>
            <w:gridSpan w:val="3"/>
            <w:tcBorders>
              <w:top w:val="single" w:color="000000" w:sz="8" w:space="0"/>
              <w:left w:val="single" w:color="000000" w:sz="8" w:space="0"/>
              <w:bottom w:val="single" w:color="auto" w:sz="4" w:space="0"/>
              <w:right w:val="single" w:color="000000" w:sz="8" w:space="0"/>
            </w:tcBorders>
          </w:tcPr>
          <w:p w:rsidRPr="00B25BFA" w:rsidR="00B25BFA" w:rsidP="00B25BFA" w:rsidRDefault="00B25BFA" w14:paraId="72674890"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Burden included under 1010-0114.</w:t>
            </w:r>
          </w:p>
        </w:tc>
        <w:tc>
          <w:tcPr>
            <w:tcW w:w="1260" w:type="dxa"/>
            <w:tcBorders>
              <w:top w:val="single" w:color="000000" w:sz="8" w:space="0"/>
              <w:left w:val="single" w:color="000000" w:sz="8" w:space="0"/>
              <w:bottom w:val="single" w:color="auto" w:sz="4" w:space="0"/>
              <w:right w:val="single" w:color="auto" w:sz="4" w:space="0"/>
            </w:tcBorders>
          </w:tcPr>
          <w:p w:rsidRPr="00B25BFA" w:rsidR="00B25BFA" w:rsidP="00B25BFA" w:rsidRDefault="00B25BFA" w14:paraId="7F579E51"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0</w:t>
            </w:r>
          </w:p>
        </w:tc>
      </w:tr>
      <w:tr w:rsidRPr="00B25BFA" w:rsidR="00B25BFA" w:rsidTr="00671A0D" w14:paraId="4A1A0A42" w14:textId="77777777">
        <w:trPr>
          <w:trHeight w:val="457"/>
          <w:jc w:val="center"/>
        </w:trPr>
        <w:tc>
          <w:tcPr>
            <w:tcW w:w="1440" w:type="dxa"/>
            <w:tcBorders>
              <w:top w:val="single" w:color="000000" w:sz="8" w:space="0"/>
              <w:left w:val="single" w:color="auto" w:sz="4" w:space="0"/>
              <w:bottom w:val="single" w:color="auto" w:sz="4" w:space="0"/>
              <w:right w:val="single" w:color="000000" w:sz="8" w:space="0"/>
            </w:tcBorders>
            <w:tcMar>
              <w:left w:w="72" w:type="dxa"/>
            </w:tcMar>
          </w:tcPr>
          <w:p w:rsidRPr="00B25BFA" w:rsidR="00B25BFA" w:rsidP="00B25BFA" w:rsidRDefault="00B25BFA" w14:paraId="398852A7"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281(a)</w:t>
            </w:r>
          </w:p>
        </w:tc>
        <w:tc>
          <w:tcPr>
            <w:tcW w:w="4500" w:type="dxa"/>
            <w:tcBorders>
              <w:top w:val="single" w:color="000000" w:sz="8" w:space="0"/>
              <w:left w:val="single" w:color="000000" w:sz="8" w:space="0"/>
              <w:bottom w:val="single" w:color="auto" w:sz="4" w:space="0"/>
              <w:right w:val="single" w:color="000000" w:sz="8" w:space="0"/>
            </w:tcBorders>
          </w:tcPr>
          <w:p w:rsidRPr="00B25BFA" w:rsidR="00B25BFA" w:rsidP="00B25BFA" w:rsidRDefault="00B25BFA" w14:paraId="3DD7A856"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Submit various BSEE applications for approval and submit permits.</w:t>
            </w:r>
          </w:p>
        </w:tc>
        <w:tc>
          <w:tcPr>
            <w:tcW w:w="3019" w:type="dxa"/>
            <w:gridSpan w:val="3"/>
            <w:tcBorders>
              <w:top w:val="single" w:color="000000" w:sz="8" w:space="0"/>
              <w:left w:val="single" w:color="000000" w:sz="8" w:space="0"/>
              <w:bottom w:val="single" w:color="auto" w:sz="4" w:space="0"/>
              <w:right w:val="single" w:color="000000" w:sz="8" w:space="0"/>
            </w:tcBorders>
          </w:tcPr>
          <w:p w:rsidRPr="00B25BFA" w:rsidR="00B25BFA" w:rsidP="00B25BFA" w:rsidRDefault="00B25BFA" w14:paraId="1561B2A7"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Burdens included under appro</w:t>
            </w:r>
            <w:r w:rsidRPr="00B25BFA">
              <w:rPr>
                <w:rFonts w:ascii="Times New Roman" w:hAnsi="Times New Roman" w:eastAsia="Times New Roman" w:cs="Times New Roman"/>
                <w:snapToGrid w:val="0"/>
                <w:sz w:val="20"/>
                <w:szCs w:val="20"/>
              </w:rPr>
              <w:softHyphen/>
              <w:t>priate subpart or form (1014-0003; 1014-0011; 1014-0016; 1014-0018).</w:t>
            </w:r>
          </w:p>
        </w:tc>
        <w:tc>
          <w:tcPr>
            <w:tcW w:w="1260" w:type="dxa"/>
            <w:tcBorders>
              <w:top w:val="single" w:color="000000" w:sz="8" w:space="0"/>
              <w:left w:val="single" w:color="000000" w:sz="8" w:space="0"/>
              <w:bottom w:val="single" w:color="auto" w:sz="4" w:space="0"/>
              <w:right w:val="single" w:color="auto" w:sz="4" w:space="0"/>
            </w:tcBorders>
          </w:tcPr>
          <w:p w:rsidRPr="00B25BFA" w:rsidR="00B25BFA" w:rsidP="00B25BFA" w:rsidRDefault="00B25BFA" w14:paraId="600F681D"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0</w:t>
            </w:r>
          </w:p>
        </w:tc>
      </w:tr>
      <w:tr w:rsidRPr="00B25BFA" w:rsidR="00B25BFA" w:rsidTr="00671A0D" w14:paraId="04D99C5F" w14:textId="77777777">
        <w:trPr>
          <w:trHeight w:val="233"/>
          <w:jc w:val="center"/>
        </w:trPr>
        <w:tc>
          <w:tcPr>
            <w:tcW w:w="1440" w:type="dxa"/>
            <w:vMerge w:val="restart"/>
            <w:tcBorders>
              <w:top w:val="single" w:color="auto" w:sz="4" w:space="0"/>
              <w:left w:val="single" w:color="auto" w:sz="4" w:space="0"/>
              <w:bottom w:val="single" w:color="auto" w:sz="4" w:space="0"/>
              <w:right w:val="single" w:color="000000" w:sz="8" w:space="0"/>
            </w:tcBorders>
            <w:tcMar>
              <w:left w:w="72" w:type="dxa"/>
            </w:tcMar>
          </w:tcPr>
          <w:p w:rsidRPr="00B25BFA" w:rsidR="00B25BFA" w:rsidP="00B25BFA" w:rsidRDefault="00B25BFA" w14:paraId="64086B21"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b/>
                <w:snapToGrid w:val="0"/>
                <w:sz w:val="20"/>
                <w:szCs w:val="20"/>
              </w:rPr>
            </w:pPr>
            <w:r w:rsidRPr="00B25BFA">
              <w:rPr>
                <w:rFonts w:ascii="Times New Roman" w:hAnsi="Times New Roman" w:eastAsia="Times New Roman" w:cs="Times New Roman"/>
                <w:snapToGrid w:val="0"/>
                <w:sz w:val="20"/>
                <w:szCs w:val="20"/>
              </w:rPr>
              <w:t>282</w:t>
            </w:r>
          </w:p>
        </w:tc>
        <w:tc>
          <w:tcPr>
            <w:tcW w:w="4500" w:type="dxa"/>
            <w:tcBorders>
              <w:top w:val="single" w:color="auto" w:sz="4" w:space="0"/>
              <w:left w:val="single" w:color="000000" w:sz="8" w:space="0"/>
              <w:bottom w:val="single" w:color="auto" w:sz="4" w:space="0"/>
              <w:right w:val="single" w:color="000000" w:sz="8" w:space="0"/>
            </w:tcBorders>
            <w:shd w:val="clear" w:color="auto" w:fill="auto"/>
          </w:tcPr>
          <w:p w:rsidRPr="00B25BFA" w:rsidR="00B25BFA" w:rsidP="00B25BFA" w:rsidRDefault="00B25BFA" w14:paraId="3202B312"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Retain monitoring data/information; upon request, make available to BOEM.</w:t>
            </w:r>
          </w:p>
        </w:tc>
        <w:tc>
          <w:tcPr>
            <w:tcW w:w="1080" w:type="dxa"/>
            <w:tcBorders>
              <w:top w:val="single" w:color="auto" w:sz="4" w:space="0"/>
              <w:left w:val="single" w:color="000000" w:sz="8" w:space="0"/>
              <w:bottom w:val="single" w:color="auto" w:sz="4" w:space="0"/>
              <w:right w:val="single" w:color="000000" w:sz="8" w:space="0"/>
            </w:tcBorders>
          </w:tcPr>
          <w:p w:rsidRPr="00B25BFA" w:rsidR="00B25BFA" w:rsidP="00B25BFA" w:rsidRDefault="00B25BFA" w14:paraId="2C9C8A77"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4</w:t>
            </w:r>
          </w:p>
        </w:tc>
        <w:tc>
          <w:tcPr>
            <w:tcW w:w="1939" w:type="dxa"/>
            <w:gridSpan w:val="2"/>
            <w:tcBorders>
              <w:top w:val="single" w:color="auto" w:sz="4" w:space="0"/>
              <w:left w:val="single" w:color="000000" w:sz="8" w:space="0"/>
              <w:bottom w:val="single" w:color="auto" w:sz="4" w:space="0"/>
              <w:right w:val="single" w:color="000000" w:sz="8" w:space="0"/>
            </w:tcBorders>
            <w:shd w:val="clear" w:color="auto" w:fill="auto"/>
          </w:tcPr>
          <w:p w:rsidRPr="00B25BFA" w:rsidR="00B25BFA" w:rsidP="00B25BFA" w:rsidRDefault="00B25BFA" w14:paraId="0C78B14E"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150 records</w:t>
            </w:r>
          </w:p>
        </w:tc>
        <w:tc>
          <w:tcPr>
            <w:tcW w:w="1260" w:type="dxa"/>
            <w:tcBorders>
              <w:top w:val="single" w:color="auto" w:sz="4" w:space="0"/>
              <w:left w:val="single" w:color="000000" w:sz="8" w:space="0"/>
              <w:bottom w:val="single" w:color="auto" w:sz="4" w:space="0"/>
              <w:right w:val="single" w:color="auto" w:sz="4" w:space="0"/>
            </w:tcBorders>
            <w:shd w:val="clear" w:color="auto" w:fill="auto"/>
          </w:tcPr>
          <w:p w:rsidRPr="00B25BFA" w:rsidR="00B25BFA" w:rsidP="00B25BFA" w:rsidRDefault="00B25BFA" w14:paraId="0D36A80C"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600</w:t>
            </w:r>
          </w:p>
        </w:tc>
      </w:tr>
      <w:tr w:rsidRPr="00B25BFA" w:rsidR="00B25BFA" w:rsidTr="00671A0D" w14:paraId="39D2D677" w14:textId="77777777">
        <w:trPr>
          <w:trHeight w:val="232"/>
          <w:jc w:val="center"/>
        </w:trPr>
        <w:tc>
          <w:tcPr>
            <w:tcW w:w="1440" w:type="dxa"/>
            <w:vMerge/>
            <w:tcBorders>
              <w:top w:val="single" w:color="auto" w:sz="4" w:space="0"/>
              <w:left w:val="single" w:color="auto" w:sz="4" w:space="0"/>
            </w:tcBorders>
            <w:tcMar>
              <w:left w:w="72" w:type="dxa"/>
            </w:tcMar>
          </w:tcPr>
          <w:p w:rsidRPr="00B25BFA" w:rsidR="00B25BFA" w:rsidP="00B25BFA" w:rsidRDefault="00B25BFA" w14:paraId="2B508AFB"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p>
        </w:tc>
        <w:tc>
          <w:tcPr>
            <w:tcW w:w="4500" w:type="dxa"/>
            <w:tcBorders>
              <w:top w:val="single" w:color="auto" w:sz="4" w:space="0"/>
            </w:tcBorders>
            <w:shd w:val="clear" w:color="auto" w:fill="auto"/>
          </w:tcPr>
          <w:p w:rsidRPr="00B25BFA" w:rsidR="00B25BFA" w:rsidP="00B25BFA" w:rsidRDefault="00B25BFA" w14:paraId="4BF087F0"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Prepare and submit monitoring plan for approval.</w:t>
            </w:r>
          </w:p>
        </w:tc>
        <w:tc>
          <w:tcPr>
            <w:tcW w:w="1080" w:type="dxa"/>
            <w:tcBorders>
              <w:top w:val="single" w:color="auto" w:sz="4" w:space="0"/>
            </w:tcBorders>
          </w:tcPr>
          <w:p w:rsidRPr="00B25BFA" w:rsidR="00B25BFA" w:rsidP="00B25BFA" w:rsidRDefault="00B25BFA" w14:paraId="659BEA56"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w:t>
            </w:r>
          </w:p>
        </w:tc>
        <w:tc>
          <w:tcPr>
            <w:tcW w:w="1939" w:type="dxa"/>
            <w:gridSpan w:val="2"/>
            <w:tcBorders>
              <w:top w:val="single" w:color="auto" w:sz="4" w:space="0"/>
            </w:tcBorders>
            <w:shd w:val="clear" w:color="auto" w:fill="auto"/>
          </w:tcPr>
          <w:p w:rsidRPr="00B25BFA" w:rsidR="00B25BFA" w:rsidP="00B25BFA" w:rsidRDefault="00B25BFA" w14:paraId="2979D184"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6 plans</w:t>
            </w:r>
          </w:p>
        </w:tc>
        <w:tc>
          <w:tcPr>
            <w:tcW w:w="1260" w:type="dxa"/>
            <w:tcBorders>
              <w:top w:val="single" w:color="auto" w:sz="4" w:space="0"/>
              <w:right w:val="single" w:color="auto" w:sz="4" w:space="0"/>
            </w:tcBorders>
            <w:shd w:val="clear" w:color="auto" w:fill="auto"/>
          </w:tcPr>
          <w:p w:rsidRPr="00B25BFA" w:rsidR="00B25BFA" w:rsidP="00B25BFA" w:rsidRDefault="00B25BFA" w14:paraId="41677A7D"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12</w:t>
            </w:r>
          </w:p>
        </w:tc>
      </w:tr>
      <w:tr w:rsidRPr="00B25BFA" w:rsidR="00B25BFA" w:rsidTr="00671A0D" w14:paraId="1F6A5AD8" w14:textId="77777777">
        <w:trPr>
          <w:jc w:val="center"/>
        </w:trPr>
        <w:tc>
          <w:tcPr>
            <w:tcW w:w="1440" w:type="dxa"/>
            <w:tcBorders>
              <w:left w:val="single" w:color="auto" w:sz="4" w:space="0"/>
              <w:bottom w:val="single" w:color="000000" w:sz="8" w:space="0"/>
            </w:tcBorders>
            <w:tcMar>
              <w:left w:w="72" w:type="dxa"/>
            </w:tcMar>
          </w:tcPr>
          <w:p w:rsidRPr="00B25BFA" w:rsidR="00B25BFA" w:rsidP="00B25BFA" w:rsidRDefault="00B25BFA" w14:paraId="687A70E4"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282(b)</w:t>
            </w:r>
          </w:p>
        </w:tc>
        <w:tc>
          <w:tcPr>
            <w:tcW w:w="4500" w:type="dxa"/>
            <w:tcBorders>
              <w:bottom w:val="single" w:color="000000" w:sz="8" w:space="0"/>
            </w:tcBorders>
          </w:tcPr>
          <w:p w:rsidRPr="00B25BFA" w:rsidR="00B25BFA" w:rsidP="00B25BFA" w:rsidRDefault="00B25BFA" w14:paraId="3C49B69E"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Prepare and submit monitoring reports and data (including BOEM Form 0141 used in GOMR).</w:t>
            </w:r>
          </w:p>
        </w:tc>
        <w:tc>
          <w:tcPr>
            <w:tcW w:w="1080" w:type="dxa"/>
            <w:tcBorders>
              <w:bottom w:val="single" w:color="000000" w:sz="8" w:space="0"/>
            </w:tcBorders>
          </w:tcPr>
          <w:p w:rsidRPr="00B25BFA" w:rsidR="00B25BFA" w:rsidP="00B25BFA" w:rsidRDefault="00B25BFA" w14:paraId="72EF926D"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3</w:t>
            </w:r>
          </w:p>
        </w:tc>
        <w:tc>
          <w:tcPr>
            <w:tcW w:w="1939" w:type="dxa"/>
            <w:gridSpan w:val="2"/>
            <w:tcBorders>
              <w:bottom w:val="single" w:color="000000" w:sz="8" w:space="0"/>
            </w:tcBorders>
          </w:tcPr>
          <w:p w:rsidRPr="00B25BFA" w:rsidR="00B25BFA" w:rsidP="00B25BFA" w:rsidRDefault="00B25BFA" w14:paraId="6BD1674A"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12 reports</w:t>
            </w:r>
          </w:p>
        </w:tc>
        <w:tc>
          <w:tcPr>
            <w:tcW w:w="1260" w:type="dxa"/>
            <w:tcBorders>
              <w:bottom w:val="single" w:color="000000" w:sz="8" w:space="0"/>
              <w:right w:val="single" w:color="auto" w:sz="4" w:space="0"/>
            </w:tcBorders>
          </w:tcPr>
          <w:p w:rsidRPr="00B25BFA" w:rsidR="00B25BFA" w:rsidP="00B25BFA" w:rsidRDefault="00B25BFA" w14:paraId="5B748049"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36</w:t>
            </w:r>
          </w:p>
        </w:tc>
      </w:tr>
      <w:tr w:rsidRPr="00B25BFA" w:rsidR="00B25BFA" w:rsidTr="00671A0D" w14:paraId="51430D15" w14:textId="77777777">
        <w:trPr>
          <w:jc w:val="center"/>
        </w:trPr>
        <w:tc>
          <w:tcPr>
            <w:tcW w:w="1440" w:type="dxa"/>
            <w:tcBorders>
              <w:left w:val="single" w:color="auto" w:sz="4" w:space="0"/>
              <w:bottom w:val="single" w:color="000000" w:sz="8" w:space="0"/>
            </w:tcBorders>
            <w:tcMar>
              <w:left w:w="72" w:type="dxa"/>
            </w:tcMar>
          </w:tcPr>
          <w:p w:rsidRPr="00B25BFA" w:rsidR="00B25BFA" w:rsidP="00B25BFA" w:rsidRDefault="00B25BFA" w14:paraId="4E2BE0A4"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284(a)</w:t>
            </w:r>
          </w:p>
        </w:tc>
        <w:tc>
          <w:tcPr>
            <w:tcW w:w="4500" w:type="dxa"/>
            <w:tcBorders>
              <w:bottom w:val="single" w:color="000000" w:sz="8" w:space="0"/>
            </w:tcBorders>
          </w:tcPr>
          <w:p w:rsidRPr="00B25BFA" w:rsidR="00B25BFA" w:rsidP="00B25BFA" w:rsidRDefault="00B25BFA" w14:paraId="0455DB0F"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Submit updated info on activities conducted under approved EP/DPP/DOCD.</w:t>
            </w:r>
          </w:p>
        </w:tc>
        <w:tc>
          <w:tcPr>
            <w:tcW w:w="1080" w:type="dxa"/>
            <w:tcBorders>
              <w:bottom w:val="single" w:color="000000" w:sz="8" w:space="0"/>
            </w:tcBorders>
          </w:tcPr>
          <w:p w:rsidRPr="00B25BFA" w:rsidR="00B25BFA" w:rsidP="00B25BFA" w:rsidRDefault="00B25BFA" w14:paraId="6CC17C01"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4</w:t>
            </w:r>
          </w:p>
        </w:tc>
        <w:tc>
          <w:tcPr>
            <w:tcW w:w="1939" w:type="dxa"/>
            <w:gridSpan w:val="2"/>
            <w:tcBorders>
              <w:bottom w:val="single" w:color="000000" w:sz="8" w:space="0"/>
            </w:tcBorders>
          </w:tcPr>
          <w:p w:rsidRPr="00B25BFA" w:rsidR="00B25BFA" w:rsidP="00B25BFA" w:rsidRDefault="00B25BFA" w14:paraId="55BF1CFC"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56 updates</w:t>
            </w:r>
          </w:p>
        </w:tc>
        <w:tc>
          <w:tcPr>
            <w:tcW w:w="1260" w:type="dxa"/>
            <w:tcBorders>
              <w:bottom w:val="single" w:color="000000" w:sz="8" w:space="0"/>
              <w:right w:val="single" w:color="auto" w:sz="4" w:space="0"/>
            </w:tcBorders>
          </w:tcPr>
          <w:p w:rsidRPr="00B25BFA" w:rsidR="00B25BFA" w:rsidP="00B25BFA" w:rsidRDefault="00B25BFA" w14:paraId="1FC7DBAC"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224</w:t>
            </w:r>
          </w:p>
        </w:tc>
      </w:tr>
      <w:tr w:rsidRPr="00B25BFA" w:rsidR="00B25BFA" w:rsidTr="00671A0D" w14:paraId="06F7DED5" w14:textId="77777777">
        <w:trPr>
          <w:jc w:val="center"/>
        </w:trPr>
        <w:tc>
          <w:tcPr>
            <w:tcW w:w="7020" w:type="dxa"/>
            <w:gridSpan w:val="3"/>
            <w:tcBorders>
              <w:top w:val="single" w:color="000000" w:sz="8" w:space="0"/>
              <w:left w:val="single" w:color="auto" w:sz="4" w:space="0"/>
              <w:bottom w:val="single" w:color="000000" w:sz="8" w:space="0"/>
              <w:right w:val="single" w:color="000000" w:sz="8" w:space="0"/>
            </w:tcBorders>
            <w:shd w:val="clear" w:color="auto" w:fill="F3F3F3"/>
            <w:tcMar>
              <w:left w:w="72" w:type="dxa"/>
            </w:tcMar>
            <w:vAlign w:val="center"/>
          </w:tcPr>
          <w:p w:rsidRPr="00B25BFA" w:rsidR="00B25BFA" w:rsidP="00B25BFA" w:rsidRDefault="00B25BFA" w14:paraId="1459AFEE"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Subtotal</w:t>
            </w:r>
          </w:p>
        </w:tc>
        <w:tc>
          <w:tcPr>
            <w:tcW w:w="1939" w:type="dxa"/>
            <w:gridSpan w:val="2"/>
            <w:tcBorders>
              <w:top w:val="single" w:color="000000" w:sz="8" w:space="0"/>
              <w:left w:val="single" w:color="000000" w:sz="8" w:space="0"/>
              <w:bottom w:val="single" w:color="000000" w:sz="8" w:space="0"/>
              <w:right w:val="single" w:color="000000" w:sz="8" w:space="0"/>
            </w:tcBorders>
            <w:shd w:val="clear" w:color="auto" w:fill="F3F3F3"/>
          </w:tcPr>
          <w:p w:rsidRPr="00B25BFA" w:rsidR="00B25BFA" w:rsidP="00B25BFA" w:rsidRDefault="00B25BFA" w14:paraId="4FBEF402"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224 responses</w:t>
            </w:r>
          </w:p>
        </w:tc>
        <w:tc>
          <w:tcPr>
            <w:tcW w:w="1260" w:type="dxa"/>
            <w:tcBorders>
              <w:top w:val="single" w:color="000000" w:sz="8" w:space="0"/>
              <w:left w:val="single" w:color="000000" w:sz="8" w:space="0"/>
              <w:bottom w:val="single" w:color="000000" w:sz="8" w:space="0"/>
              <w:right w:val="single" w:color="auto" w:sz="4" w:space="0"/>
            </w:tcBorders>
            <w:shd w:val="clear" w:color="auto" w:fill="F3F3F3"/>
          </w:tcPr>
          <w:p w:rsidRPr="00B25BFA" w:rsidR="00B25BFA" w:rsidP="00B25BFA" w:rsidRDefault="00B25BFA" w14:paraId="6BA3D38E" w14:textId="77777777">
            <w:pPr>
              <w:tabs>
                <w:tab w:val="left" w:pos="-1080"/>
                <w:tab w:val="left" w:pos="-720"/>
                <w:tab w:val="left" w:pos="-139"/>
                <w:tab w:val="left" w:pos="450"/>
                <w:tab w:val="left" w:pos="900"/>
                <w:tab w:val="left" w:pos="1350"/>
                <w:tab w:val="left" w:pos="2880"/>
              </w:tabs>
              <w:spacing w:after="0" w:line="240" w:lineRule="auto"/>
              <w:ind w:left="-139"/>
              <w:jc w:val="right"/>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 xml:space="preserve">872 hours     </w:t>
            </w:r>
          </w:p>
        </w:tc>
      </w:tr>
      <w:tr w:rsidRPr="00B25BFA" w:rsidR="00B25BFA" w:rsidTr="00671A0D" w14:paraId="33EFD082" w14:textId="77777777">
        <w:trPr>
          <w:trHeight w:val="250"/>
          <w:jc w:val="center"/>
        </w:trPr>
        <w:tc>
          <w:tcPr>
            <w:tcW w:w="10219" w:type="dxa"/>
            <w:gridSpan w:val="6"/>
            <w:tcBorders>
              <w:top w:val="single" w:color="000000" w:sz="8" w:space="0"/>
              <w:left w:val="single" w:color="auto" w:sz="4" w:space="0"/>
              <w:bottom w:val="single" w:color="000000" w:sz="8" w:space="0"/>
              <w:right w:val="single" w:color="auto" w:sz="4" w:space="0"/>
            </w:tcBorders>
            <w:shd w:val="clear" w:color="auto" w:fill="E0E0E0"/>
            <w:tcMar>
              <w:left w:w="72" w:type="dxa"/>
            </w:tcMar>
          </w:tcPr>
          <w:p w:rsidRPr="00B25BFA" w:rsidR="00B25BFA" w:rsidP="00B25BFA" w:rsidRDefault="00B25BFA" w14:paraId="6E2C48C0" w14:textId="77777777">
            <w:pPr>
              <w:tabs>
                <w:tab w:val="left" w:pos="-1080"/>
                <w:tab w:val="left" w:pos="-720"/>
                <w:tab w:val="left" w:pos="0"/>
                <w:tab w:val="left" w:pos="450"/>
                <w:tab w:val="left" w:pos="900"/>
                <w:tab w:val="left" w:pos="1350"/>
                <w:tab w:val="left" w:pos="2880"/>
              </w:tabs>
              <w:spacing w:after="0" w:line="240" w:lineRule="auto"/>
              <w:jc w:val="center"/>
              <w:rPr>
                <w:rFonts w:ascii="Times New Roman" w:hAnsi="Times New Roman" w:eastAsia="Times New Roman" w:cs="Times New Roman"/>
                <w:b/>
                <w:snapToGrid w:val="0"/>
              </w:rPr>
            </w:pPr>
            <w:r w:rsidRPr="00B25BFA">
              <w:rPr>
                <w:rFonts w:ascii="Times New Roman" w:hAnsi="Times New Roman" w:eastAsia="Times New Roman" w:cs="Times New Roman"/>
                <w:b/>
                <w:snapToGrid w:val="0"/>
              </w:rPr>
              <w:t>Submit CIDs</w:t>
            </w:r>
          </w:p>
        </w:tc>
      </w:tr>
      <w:tr w:rsidRPr="00B25BFA" w:rsidR="00B25BFA" w:rsidTr="00671A0D" w14:paraId="5D4D0E30" w14:textId="77777777">
        <w:trPr>
          <w:trHeight w:val="163"/>
          <w:jc w:val="center"/>
        </w:trPr>
        <w:tc>
          <w:tcPr>
            <w:tcW w:w="1440" w:type="dxa"/>
            <w:vMerge w:val="restart"/>
            <w:tcBorders>
              <w:top w:val="single" w:color="auto" w:sz="4" w:space="0"/>
              <w:left w:val="single" w:color="auto" w:sz="4" w:space="0"/>
              <w:bottom w:val="single" w:color="auto" w:sz="4" w:space="0"/>
              <w:right w:val="single" w:color="000000" w:sz="8" w:space="0"/>
            </w:tcBorders>
            <w:tcMar>
              <w:left w:w="72" w:type="dxa"/>
            </w:tcMar>
          </w:tcPr>
          <w:p w:rsidRPr="00B25BFA" w:rsidR="00B25BFA" w:rsidP="00B25BFA" w:rsidRDefault="00B25BFA" w14:paraId="121ECE4A"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296(a); 297</w:t>
            </w:r>
          </w:p>
        </w:tc>
        <w:tc>
          <w:tcPr>
            <w:tcW w:w="4500" w:type="dxa"/>
            <w:vMerge w:val="restart"/>
            <w:tcBorders>
              <w:top w:val="single" w:color="auto" w:sz="4" w:space="0"/>
              <w:left w:val="single" w:color="000000" w:sz="8" w:space="0"/>
              <w:bottom w:val="single" w:color="auto" w:sz="4" w:space="0"/>
              <w:right w:val="single" w:color="000000" w:sz="8" w:space="0"/>
            </w:tcBorders>
          </w:tcPr>
          <w:p w:rsidRPr="00B25BFA" w:rsidR="00B25BFA" w:rsidP="00B25BFA" w:rsidRDefault="00B25BFA" w14:paraId="42DCB62A"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bookmarkStart w:name="OLE_LINK3" w:id="16"/>
            <w:bookmarkStart w:name="OLE_LINK4" w:id="17"/>
            <w:r w:rsidRPr="00B25BFA">
              <w:rPr>
                <w:rFonts w:ascii="Times New Roman" w:hAnsi="Times New Roman" w:eastAsia="Times New Roman" w:cs="Times New Roman"/>
                <w:snapToGrid w:val="0"/>
                <w:sz w:val="20"/>
                <w:szCs w:val="20"/>
              </w:rPr>
              <w:t>Submit CID and required/supporting information; submit CID for supplemental DOCD or DPP.</w:t>
            </w:r>
            <w:bookmarkEnd w:id="16"/>
            <w:bookmarkEnd w:id="17"/>
          </w:p>
        </w:tc>
        <w:tc>
          <w:tcPr>
            <w:tcW w:w="1080" w:type="dxa"/>
            <w:tcBorders>
              <w:top w:val="single" w:color="auto" w:sz="4" w:space="0"/>
              <w:left w:val="single" w:color="000000" w:sz="8" w:space="0"/>
              <w:bottom w:val="single" w:color="auto" w:sz="4" w:space="0"/>
              <w:right w:val="single" w:color="000000" w:sz="8" w:space="0"/>
            </w:tcBorders>
          </w:tcPr>
          <w:p w:rsidRPr="00B25BFA" w:rsidR="00B25BFA" w:rsidP="00B25BFA" w:rsidRDefault="00B25BFA" w14:paraId="28453576"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375</w:t>
            </w:r>
          </w:p>
        </w:tc>
        <w:tc>
          <w:tcPr>
            <w:tcW w:w="1939" w:type="dxa"/>
            <w:gridSpan w:val="2"/>
            <w:tcBorders>
              <w:top w:val="single" w:color="auto" w:sz="4" w:space="0"/>
              <w:left w:val="single" w:color="000000" w:sz="8" w:space="0"/>
              <w:bottom w:val="single" w:color="auto" w:sz="4" w:space="0"/>
              <w:right w:val="single" w:color="000000" w:sz="8" w:space="0"/>
            </w:tcBorders>
          </w:tcPr>
          <w:p w:rsidRPr="00B25BFA" w:rsidR="00B25BFA" w:rsidP="00B25BFA" w:rsidRDefault="00B25BFA" w14:paraId="0220BF4C"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14 documents</w:t>
            </w:r>
          </w:p>
        </w:tc>
        <w:tc>
          <w:tcPr>
            <w:tcW w:w="1260" w:type="dxa"/>
            <w:tcBorders>
              <w:top w:val="single" w:color="auto" w:sz="4" w:space="0"/>
              <w:left w:val="single" w:color="000000" w:sz="8" w:space="0"/>
              <w:bottom w:val="single" w:color="auto" w:sz="4" w:space="0"/>
              <w:right w:val="single" w:color="auto" w:sz="4" w:space="0"/>
            </w:tcBorders>
          </w:tcPr>
          <w:p w:rsidRPr="00B25BFA" w:rsidR="00B25BFA" w:rsidP="00B25BFA" w:rsidRDefault="00B25BFA" w14:paraId="3D576867"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5,250</w:t>
            </w:r>
          </w:p>
        </w:tc>
      </w:tr>
      <w:tr w:rsidRPr="00B25BFA" w:rsidR="00B25BFA" w:rsidTr="00671A0D" w14:paraId="2C358393" w14:textId="77777777">
        <w:trPr>
          <w:trHeight w:val="100"/>
          <w:jc w:val="center"/>
        </w:trPr>
        <w:tc>
          <w:tcPr>
            <w:tcW w:w="1440" w:type="dxa"/>
            <w:vMerge/>
            <w:tcBorders>
              <w:top w:val="single" w:color="auto" w:sz="4" w:space="0"/>
              <w:left w:val="single" w:color="auto" w:sz="4" w:space="0"/>
              <w:bottom w:val="single" w:color="auto" w:sz="4" w:space="0"/>
            </w:tcBorders>
            <w:tcMar>
              <w:left w:w="72" w:type="dxa"/>
            </w:tcMar>
          </w:tcPr>
          <w:p w:rsidRPr="00B25BFA" w:rsidR="00B25BFA" w:rsidP="00B25BFA" w:rsidRDefault="00B25BFA" w14:paraId="70261EF3"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p>
        </w:tc>
        <w:tc>
          <w:tcPr>
            <w:tcW w:w="4500" w:type="dxa"/>
            <w:vMerge/>
            <w:tcBorders>
              <w:top w:val="single" w:color="auto" w:sz="4" w:space="0"/>
              <w:bottom w:val="single" w:color="auto" w:sz="4" w:space="0"/>
            </w:tcBorders>
          </w:tcPr>
          <w:p w:rsidRPr="00B25BFA" w:rsidR="00B25BFA" w:rsidP="00B25BFA" w:rsidRDefault="00B25BFA" w14:paraId="017E567A"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p>
        </w:tc>
        <w:tc>
          <w:tcPr>
            <w:tcW w:w="4279" w:type="dxa"/>
            <w:gridSpan w:val="4"/>
            <w:tcBorders>
              <w:top w:val="single" w:color="auto" w:sz="4" w:space="0"/>
              <w:bottom w:val="single" w:color="auto" w:sz="4" w:space="0"/>
              <w:right w:val="single" w:color="auto" w:sz="4" w:space="0"/>
            </w:tcBorders>
          </w:tcPr>
          <w:p w:rsidRPr="00B25BFA" w:rsidR="00B25BFA" w:rsidP="00B25BFA" w:rsidRDefault="00B25BFA" w14:paraId="66C84615" w14:textId="77777777">
            <w:pPr>
              <w:tabs>
                <w:tab w:val="left" w:pos="-1080"/>
                <w:tab w:val="left" w:pos="-720"/>
                <w:tab w:val="left" w:pos="0"/>
                <w:tab w:val="left" w:pos="450"/>
                <w:tab w:val="left" w:pos="900"/>
                <w:tab w:val="left" w:pos="1350"/>
                <w:tab w:val="left" w:pos="2880"/>
              </w:tabs>
              <w:spacing w:after="0" w:line="240" w:lineRule="auto"/>
              <w:jc w:val="center"/>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$27,348 x 14 = $382,872</w:t>
            </w:r>
          </w:p>
        </w:tc>
      </w:tr>
      <w:tr w:rsidRPr="00B25BFA" w:rsidR="00B25BFA" w:rsidTr="00671A0D" w14:paraId="7F5E8328" w14:textId="77777777">
        <w:trPr>
          <w:jc w:val="center"/>
        </w:trPr>
        <w:tc>
          <w:tcPr>
            <w:tcW w:w="1440" w:type="dxa"/>
            <w:tcBorders>
              <w:top w:val="single" w:color="auto" w:sz="4" w:space="0"/>
              <w:left w:val="single" w:color="auto" w:sz="4" w:space="0"/>
              <w:bottom w:val="single" w:color="auto" w:sz="4" w:space="0"/>
            </w:tcBorders>
            <w:tcMar>
              <w:left w:w="72" w:type="dxa"/>
            </w:tcMar>
          </w:tcPr>
          <w:p w:rsidRPr="00B25BFA" w:rsidR="00B25BFA" w:rsidP="00B25BFA" w:rsidRDefault="00B25BFA" w14:paraId="1C056B95" w14:textId="77777777">
            <w:pPr>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lastRenderedPageBreak/>
              <w:t>296(b); 297</w:t>
            </w:r>
          </w:p>
        </w:tc>
        <w:tc>
          <w:tcPr>
            <w:tcW w:w="4500" w:type="dxa"/>
            <w:tcBorders>
              <w:top w:val="single" w:color="auto" w:sz="4" w:space="0"/>
              <w:bottom w:val="single" w:color="auto" w:sz="4" w:space="0"/>
            </w:tcBorders>
          </w:tcPr>
          <w:p w:rsidRPr="00B25BFA" w:rsidR="00B25BFA" w:rsidP="00B25BFA" w:rsidRDefault="00B25BFA" w14:paraId="16FCEA0E"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Submit a revised CID for approval.</w:t>
            </w:r>
          </w:p>
        </w:tc>
        <w:tc>
          <w:tcPr>
            <w:tcW w:w="1080" w:type="dxa"/>
            <w:tcBorders>
              <w:top w:val="single" w:color="auto" w:sz="4" w:space="0"/>
              <w:bottom w:val="single" w:color="auto" w:sz="4" w:space="0"/>
              <w:right w:val="single" w:color="000000" w:sz="8" w:space="0"/>
            </w:tcBorders>
          </w:tcPr>
          <w:p w:rsidRPr="00B25BFA" w:rsidR="00B25BFA" w:rsidP="00B25BFA" w:rsidRDefault="00B25BFA" w14:paraId="7FABD407"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100</w:t>
            </w:r>
          </w:p>
        </w:tc>
        <w:tc>
          <w:tcPr>
            <w:tcW w:w="1939" w:type="dxa"/>
            <w:gridSpan w:val="2"/>
            <w:tcBorders>
              <w:top w:val="single" w:color="auto" w:sz="4" w:space="0"/>
              <w:left w:val="single" w:color="000000" w:sz="8" w:space="0"/>
              <w:bottom w:val="single" w:color="auto" w:sz="4" w:space="0"/>
              <w:right w:val="single" w:color="000000" w:sz="8" w:space="0"/>
            </w:tcBorders>
          </w:tcPr>
          <w:p w:rsidRPr="00B25BFA" w:rsidR="00B25BFA" w:rsidP="00B25BFA" w:rsidRDefault="00B25BFA" w14:paraId="7DF2128A"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13 revisions</w:t>
            </w:r>
          </w:p>
        </w:tc>
        <w:tc>
          <w:tcPr>
            <w:tcW w:w="1260" w:type="dxa"/>
            <w:tcBorders>
              <w:top w:val="single" w:color="auto" w:sz="4" w:space="0"/>
              <w:left w:val="single" w:color="000000" w:sz="8" w:space="0"/>
              <w:bottom w:val="single" w:color="auto" w:sz="4" w:space="0"/>
              <w:right w:val="single" w:color="auto" w:sz="4" w:space="0"/>
            </w:tcBorders>
          </w:tcPr>
          <w:p w:rsidRPr="00B25BFA" w:rsidR="00B25BFA" w:rsidP="00B25BFA" w:rsidRDefault="00B25BFA" w14:paraId="4ABE3E08"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1,300</w:t>
            </w:r>
          </w:p>
        </w:tc>
      </w:tr>
      <w:tr w:rsidRPr="00B25BFA" w:rsidR="00B25BFA" w:rsidTr="00671A0D" w14:paraId="42D2CCA9" w14:textId="77777777">
        <w:trPr>
          <w:trHeight w:val="233"/>
          <w:jc w:val="center"/>
        </w:trPr>
        <w:tc>
          <w:tcPr>
            <w:tcW w:w="7020" w:type="dxa"/>
            <w:gridSpan w:val="3"/>
            <w:vMerge w:val="restart"/>
            <w:tcBorders>
              <w:top w:val="single" w:color="000000" w:sz="8" w:space="0"/>
              <w:left w:val="single" w:color="auto" w:sz="4" w:space="0"/>
              <w:right w:val="single" w:color="000000" w:sz="8" w:space="0"/>
            </w:tcBorders>
            <w:shd w:val="clear" w:color="auto" w:fill="F3F3F3"/>
            <w:tcMar>
              <w:left w:w="72" w:type="dxa"/>
            </w:tcMar>
            <w:vAlign w:val="center"/>
          </w:tcPr>
          <w:p w:rsidRPr="00B25BFA" w:rsidR="00B25BFA" w:rsidP="00B25BFA" w:rsidRDefault="00B25BFA" w14:paraId="67DA95F5"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Subtotal</w:t>
            </w:r>
          </w:p>
        </w:tc>
        <w:tc>
          <w:tcPr>
            <w:tcW w:w="1939" w:type="dxa"/>
            <w:gridSpan w:val="2"/>
            <w:tcBorders>
              <w:top w:val="single" w:color="000000" w:sz="8" w:space="0"/>
              <w:left w:val="single" w:color="000000" w:sz="8" w:space="0"/>
              <w:bottom w:val="single" w:color="000000" w:sz="8" w:space="0"/>
              <w:right w:val="single" w:color="auto" w:sz="4" w:space="0"/>
            </w:tcBorders>
            <w:shd w:val="clear" w:color="auto" w:fill="F3F3F3"/>
          </w:tcPr>
          <w:p w:rsidRPr="00B25BFA" w:rsidR="00B25BFA" w:rsidP="00B25BFA" w:rsidRDefault="00B25BFA" w14:paraId="47B7BEBB"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27 responses</w:t>
            </w:r>
          </w:p>
        </w:tc>
        <w:tc>
          <w:tcPr>
            <w:tcW w:w="1260" w:type="dxa"/>
            <w:tcBorders>
              <w:top w:val="single" w:color="000000" w:sz="8" w:space="0"/>
              <w:left w:val="single" w:color="000000" w:sz="8" w:space="0"/>
              <w:bottom w:val="single" w:color="000000" w:sz="8" w:space="0"/>
              <w:right w:val="single" w:color="auto" w:sz="4" w:space="0"/>
            </w:tcBorders>
            <w:shd w:val="clear" w:color="auto" w:fill="F3F3F3"/>
          </w:tcPr>
          <w:p w:rsidRPr="00B25BFA" w:rsidR="00B25BFA" w:rsidP="00B25BFA" w:rsidRDefault="00B25BFA" w14:paraId="6F1CE6E5"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6,550 hours</w:t>
            </w:r>
          </w:p>
        </w:tc>
      </w:tr>
      <w:tr w:rsidRPr="00B25BFA" w:rsidR="00B25BFA" w:rsidTr="00671A0D" w14:paraId="74D197C5" w14:textId="77777777">
        <w:trPr>
          <w:trHeight w:val="232"/>
          <w:jc w:val="center"/>
        </w:trPr>
        <w:tc>
          <w:tcPr>
            <w:tcW w:w="7020" w:type="dxa"/>
            <w:gridSpan w:val="3"/>
            <w:vMerge/>
            <w:tcBorders>
              <w:left w:val="single" w:color="auto" w:sz="4" w:space="0"/>
              <w:bottom w:val="single" w:color="auto" w:sz="4" w:space="0"/>
              <w:right w:val="single" w:color="000000" w:sz="8" w:space="0"/>
            </w:tcBorders>
            <w:shd w:val="clear" w:color="auto" w:fill="F3F3F3"/>
            <w:tcMar>
              <w:left w:w="72" w:type="dxa"/>
            </w:tcMar>
            <w:vAlign w:val="center"/>
          </w:tcPr>
          <w:p w:rsidRPr="00B25BFA" w:rsidR="00B25BFA" w:rsidP="00B25BFA" w:rsidRDefault="00B25BFA" w14:paraId="2C0257C5" w14:textId="77777777">
            <w:pPr>
              <w:tabs>
                <w:tab w:val="left" w:pos="-1080"/>
                <w:tab w:val="left" w:pos="-720"/>
                <w:tab w:val="left" w:pos="0"/>
                <w:tab w:val="left" w:pos="450"/>
                <w:tab w:val="left" w:pos="900"/>
                <w:tab w:val="left" w:pos="1350"/>
                <w:tab w:val="left" w:pos="2880"/>
              </w:tabs>
              <w:spacing w:after="0" w:line="240" w:lineRule="auto"/>
              <w:jc w:val="center"/>
              <w:rPr>
                <w:rFonts w:ascii="Times New Roman" w:hAnsi="Times New Roman" w:eastAsia="Times New Roman" w:cs="Times New Roman"/>
                <w:b/>
                <w:snapToGrid w:val="0"/>
                <w:sz w:val="20"/>
                <w:szCs w:val="20"/>
              </w:rPr>
            </w:pPr>
          </w:p>
        </w:tc>
        <w:tc>
          <w:tcPr>
            <w:tcW w:w="3199" w:type="dxa"/>
            <w:gridSpan w:val="3"/>
            <w:tcBorders>
              <w:top w:val="single" w:color="000000" w:sz="8" w:space="0"/>
              <w:left w:val="single" w:color="000000" w:sz="8" w:space="0"/>
              <w:bottom w:val="single" w:color="auto" w:sz="4" w:space="0"/>
              <w:right w:val="single" w:color="auto" w:sz="4" w:space="0"/>
            </w:tcBorders>
            <w:shd w:val="clear" w:color="auto" w:fill="F3F3F3"/>
          </w:tcPr>
          <w:p w:rsidRPr="00B25BFA" w:rsidR="00B25BFA" w:rsidP="00B25BFA" w:rsidRDefault="00B25BFA" w14:paraId="70EDFB60"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$382,872</w:t>
            </w:r>
            <w:r w:rsidRPr="00B25BFA">
              <w:rPr>
                <w:rFonts w:ascii="Times New Roman" w:hAnsi="Times New Roman" w:eastAsia="Times New Roman" w:cs="Times New Roman"/>
                <w:snapToGrid w:val="0"/>
                <w:sz w:val="20"/>
                <w:szCs w:val="20"/>
              </w:rPr>
              <w:t xml:space="preserve"> </w:t>
            </w:r>
            <w:r w:rsidRPr="00B25BFA">
              <w:rPr>
                <w:rFonts w:ascii="Times New Roman" w:hAnsi="Times New Roman" w:eastAsia="Times New Roman" w:cs="Times New Roman"/>
                <w:b/>
                <w:snapToGrid w:val="0"/>
                <w:sz w:val="20"/>
                <w:szCs w:val="20"/>
              </w:rPr>
              <w:t xml:space="preserve">non-hour costs </w:t>
            </w:r>
          </w:p>
        </w:tc>
      </w:tr>
      <w:tr w:rsidRPr="00B25BFA" w:rsidR="00B25BFA" w:rsidTr="00671A0D" w14:paraId="650F5236" w14:textId="77777777">
        <w:trPr>
          <w:jc w:val="center"/>
        </w:trPr>
        <w:tc>
          <w:tcPr>
            <w:tcW w:w="10219" w:type="dxa"/>
            <w:gridSpan w:val="6"/>
            <w:tcBorders>
              <w:top w:val="single" w:color="auto" w:sz="4" w:space="0"/>
              <w:left w:val="single" w:color="auto" w:sz="4" w:space="0"/>
              <w:bottom w:val="single" w:color="auto" w:sz="4" w:space="0"/>
              <w:right w:val="single" w:color="auto" w:sz="4" w:space="0"/>
            </w:tcBorders>
            <w:shd w:val="clear" w:color="auto" w:fill="E0E0E0"/>
            <w:tcMar>
              <w:left w:w="72" w:type="dxa"/>
            </w:tcMar>
          </w:tcPr>
          <w:p w:rsidRPr="00B25BFA" w:rsidR="00B25BFA" w:rsidP="00B25BFA" w:rsidRDefault="00B25BFA" w14:paraId="27B8512F" w14:textId="77777777">
            <w:pPr>
              <w:tabs>
                <w:tab w:val="left" w:pos="-1080"/>
                <w:tab w:val="left" w:pos="-720"/>
                <w:tab w:val="left" w:pos="0"/>
                <w:tab w:val="left" w:pos="450"/>
                <w:tab w:val="left" w:pos="900"/>
                <w:tab w:val="left" w:pos="1350"/>
                <w:tab w:val="left" w:pos="2880"/>
              </w:tabs>
              <w:spacing w:after="0" w:line="240" w:lineRule="auto"/>
              <w:jc w:val="center"/>
              <w:rPr>
                <w:rFonts w:ascii="Times New Roman" w:hAnsi="Times New Roman" w:eastAsia="Times New Roman" w:cs="Times New Roman"/>
                <w:snapToGrid w:val="0"/>
                <w:sz w:val="20"/>
                <w:szCs w:val="20"/>
              </w:rPr>
            </w:pPr>
            <w:r w:rsidRPr="00B25BFA">
              <w:rPr>
                <w:rFonts w:ascii="Times New Roman" w:hAnsi="Times New Roman" w:eastAsia="Times New Roman" w:cs="Times New Roman"/>
                <w:b/>
                <w:snapToGrid w:val="0"/>
                <w:sz w:val="20"/>
                <w:szCs w:val="20"/>
              </w:rPr>
              <w:t>Seismic Survey Mitigation Measures and Protected Species Observer Program NTL</w:t>
            </w:r>
          </w:p>
        </w:tc>
      </w:tr>
      <w:tr w:rsidRPr="00B25BFA" w:rsidR="00B25BFA" w:rsidTr="00671A0D" w14:paraId="79B7CF4A" w14:textId="77777777">
        <w:trPr>
          <w:jc w:val="center"/>
        </w:trPr>
        <w:tc>
          <w:tcPr>
            <w:tcW w:w="1440" w:type="dxa"/>
            <w:vMerge w:val="restart"/>
            <w:tcBorders>
              <w:top w:val="single" w:color="auto" w:sz="4" w:space="0"/>
              <w:left w:val="single" w:color="auto" w:sz="4" w:space="0"/>
            </w:tcBorders>
            <w:tcMar>
              <w:left w:w="72" w:type="dxa"/>
            </w:tcMar>
          </w:tcPr>
          <w:p w:rsidRPr="00B25BFA" w:rsidR="00B25BFA" w:rsidP="00B25BFA" w:rsidRDefault="00B25BFA" w14:paraId="17D1CF2A" w14:textId="77777777">
            <w:pPr>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NTL 2016-G02;</w:t>
            </w:r>
            <w:r w:rsidRPr="00B25BFA">
              <w:rPr>
                <w:rFonts w:ascii="Times New Roman" w:hAnsi="Times New Roman" w:eastAsia="Times New Roman" w:cs="Times New Roman"/>
                <w:snapToGrid w:val="0"/>
                <w:sz w:val="20"/>
                <w:szCs w:val="20"/>
                <w:vertAlign w:val="superscript"/>
              </w:rPr>
              <w:t xml:space="preserve"> </w:t>
            </w:r>
            <w:r w:rsidRPr="00B25BFA">
              <w:rPr>
                <w:rFonts w:ascii="Times New Roman" w:hAnsi="Times New Roman" w:eastAsia="Times New Roman" w:cs="Times New Roman"/>
                <w:snapToGrid w:val="0"/>
                <w:sz w:val="20"/>
                <w:szCs w:val="20"/>
              </w:rPr>
              <w:t xml:space="preserve"> </w:t>
            </w:r>
          </w:p>
          <w:p w:rsidRPr="00B25BFA" w:rsidR="00B25BFA" w:rsidP="00B25BFA" w:rsidRDefault="00B25BFA" w14:paraId="67054729" w14:textId="77777777">
            <w:pPr>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211 thru 228; 241 thru 262</w:t>
            </w:r>
          </w:p>
        </w:tc>
        <w:tc>
          <w:tcPr>
            <w:tcW w:w="4500" w:type="dxa"/>
            <w:tcBorders>
              <w:top w:val="single" w:color="auto" w:sz="4" w:space="0"/>
              <w:bottom w:val="single" w:color="auto" w:sz="4" w:space="0"/>
            </w:tcBorders>
          </w:tcPr>
          <w:p w:rsidRPr="00B25BFA" w:rsidR="00B25BFA" w:rsidP="00B25BFA" w:rsidRDefault="00B25BFA" w14:paraId="5087E5FB" w14:textId="77777777">
            <w:pPr>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Submit to BOEM observer training requirement materials and information.</w:t>
            </w:r>
          </w:p>
        </w:tc>
        <w:tc>
          <w:tcPr>
            <w:tcW w:w="1080" w:type="dxa"/>
            <w:tcBorders>
              <w:top w:val="single" w:color="auto" w:sz="4" w:space="0"/>
              <w:bottom w:val="single" w:color="auto" w:sz="4" w:space="0"/>
              <w:right w:val="single" w:color="000000" w:sz="8" w:space="0"/>
            </w:tcBorders>
          </w:tcPr>
          <w:p w:rsidRPr="00B25BFA" w:rsidR="00B25BFA" w:rsidP="00B25BFA" w:rsidRDefault="00B25BFA" w14:paraId="088EB237" w14:textId="77777777">
            <w:pPr>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1.5 hours</w:t>
            </w:r>
          </w:p>
        </w:tc>
        <w:tc>
          <w:tcPr>
            <w:tcW w:w="1939" w:type="dxa"/>
            <w:gridSpan w:val="2"/>
            <w:tcBorders>
              <w:top w:val="single" w:color="auto" w:sz="4" w:space="0"/>
              <w:left w:val="single" w:color="000000" w:sz="8" w:space="0"/>
              <w:bottom w:val="single" w:color="auto" w:sz="4" w:space="0"/>
              <w:right w:val="single" w:color="000000" w:sz="8" w:space="0"/>
            </w:tcBorders>
          </w:tcPr>
          <w:p w:rsidRPr="00B25BFA" w:rsidR="00B25BFA" w:rsidP="00B25BFA" w:rsidRDefault="00B25BFA" w14:paraId="6557AE43" w14:textId="77777777">
            <w:pPr>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 sets of material</w:t>
            </w:r>
          </w:p>
        </w:tc>
        <w:tc>
          <w:tcPr>
            <w:tcW w:w="1260" w:type="dxa"/>
            <w:tcBorders>
              <w:top w:val="single" w:color="auto" w:sz="4" w:space="0"/>
              <w:left w:val="single" w:color="000000" w:sz="8" w:space="0"/>
              <w:bottom w:val="single" w:color="auto" w:sz="4" w:space="0"/>
              <w:right w:val="single" w:color="auto" w:sz="4" w:space="0"/>
            </w:tcBorders>
          </w:tcPr>
          <w:p w:rsidRPr="00B25BFA" w:rsidR="00B25BFA" w:rsidP="00B25BFA" w:rsidRDefault="00B25BFA" w14:paraId="6FC528B6" w14:textId="77777777">
            <w:pPr>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3</w:t>
            </w:r>
          </w:p>
        </w:tc>
      </w:tr>
      <w:tr w:rsidRPr="00B25BFA" w:rsidR="00B25BFA" w:rsidTr="00671A0D" w14:paraId="35B167A2" w14:textId="77777777">
        <w:trPr>
          <w:jc w:val="center"/>
        </w:trPr>
        <w:tc>
          <w:tcPr>
            <w:tcW w:w="1440" w:type="dxa"/>
            <w:vMerge/>
            <w:tcBorders>
              <w:left w:val="single" w:color="auto" w:sz="4" w:space="0"/>
            </w:tcBorders>
            <w:tcMar>
              <w:left w:w="72" w:type="dxa"/>
            </w:tcMar>
          </w:tcPr>
          <w:p w:rsidRPr="00B25BFA" w:rsidR="00B25BFA" w:rsidP="00B25BFA" w:rsidRDefault="00B25BFA" w14:paraId="1B984FC8" w14:textId="77777777">
            <w:pPr>
              <w:spacing w:after="0" w:line="240" w:lineRule="auto"/>
              <w:rPr>
                <w:rFonts w:ascii="Times New Roman" w:hAnsi="Times New Roman" w:eastAsia="Times New Roman" w:cs="Times New Roman"/>
                <w:snapToGrid w:val="0"/>
                <w:sz w:val="20"/>
                <w:szCs w:val="20"/>
              </w:rPr>
            </w:pPr>
          </w:p>
        </w:tc>
        <w:tc>
          <w:tcPr>
            <w:tcW w:w="4500" w:type="dxa"/>
            <w:tcBorders>
              <w:top w:val="single" w:color="auto" w:sz="4" w:space="0"/>
              <w:bottom w:val="single" w:color="auto" w:sz="4" w:space="0"/>
            </w:tcBorders>
          </w:tcPr>
          <w:p w:rsidRPr="00B25BFA" w:rsidR="00B25BFA" w:rsidP="00B25BFA" w:rsidRDefault="00B25BFA" w14:paraId="3D3975E9" w14:textId="77777777">
            <w:pPr>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Training certification and recordkeeping.</w:t>
            </w:r>
          </w:p>
        </w:tc>
        <w:tc>
          <w:tcPr>
            <w:tcW w:w="1080" w:type="dxa"/>
            <w:tcBorders>
              <w:top w:val="single" w:color="auto" w:sz="4" w:space="0"/>
              <w:bottom w:val="single" w:color="auto" w:sz="4" w:space="0"/>
              <w:right w:val="single" w:color="000000" w:sz="8" w:space="0"/>
            </w:tcBorders>
          </w:tcPr>
          <w:p w:rsidRPr="00B25BFA" w:rsidR="00B25BFA" w:rsidP="00B25BFA" w:rsidRDefault="00B25BFA" w14:paraId="606D45B5" w14:textId="77777777">
            <w:pPr>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1 hour</w:t>
            </w:r>
          </w:p>
        </w:tc>
        <w:tc>
          <w:tcPr>
            <w:tcW w:w="1939" w:type="dxa"/>
            <w:gridSpan w:val="2"/>
            <w:tcBorders>
              <w:top w:val="single" w:color="auto" w:sz="4" w:space="0"/>
              <w:left w:val="single" w:color="000000" w:sz="8" w:space="0"/>
              <w:bottom w:val="single" w:color="auto" w:sz="4" w:space="0"/>
              <w:right w:val="single" w:color="000000" w:sz="8" w:space="0"/>
            </w:tcBorders>
          </w:tcPr>
          <w:p w:rsidRPr="00B25BFA" w:rsidR="00B25BFA" w:rsidP="00B25BFA" w:rsidRDefault="00B25BFA" w14:paraId="5B181754" w14:textId="77777777">
            <w:pPr>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1 new trainee</w:t>
            </w:r>
          </w:p>
        </w:tc>
        <w:tc>
          <w:tcPr>
            <w:tcW w:w="1260" w:type="dxa"/>
            <w:tcBorders>
              <w:top w:val="single" w:color="auto" w:sz="4" w:space="0"/>
              <w:left w:val="single" w:color="000000" w:sz="8" w:space="0"/>
              <w:bottom w:val="single" w:color="auto" w:sz="4" w:space="0"/>
              <w:right w:val="single" w:color="auto" w:sz="4" w:space="0"/>
            </w:tcBorders>
          </w:tcPr>
          <w:p w:rsidRPr="00B25BFA" w:rsidR="00B25BFA" w:rsidP="00B25BFA" w:rsidRDefault="00B25BFA" w14:paraId="4643E4E8" w14:textId="77777777">
            <w:pPr>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1</w:t>
            </w:r>
          </w:p>
        </w:tc>
      </w:tr>
      <w:tr w:rsidRPr="00B25BFA" w:rsidR="00B25BFA" w:rsidTr="00671A0D" w14:paraId="373501BE" w14:textId="77777777">
        <w:trPr>
          <w:jc w:val="center"/>
        </w:trPr>
        <w:tc>
          <w:tcPr>
            <w:tcW w:w="1440" w:type="dxa"/>
            <w:vMerge/>
            <w:tcBorders>
              <w:left w:val="single" w:color="auto" w:sz="4" w:space="0"/>
            </w:tcBorders>
            <w:tcMar>
              <w:left w:w="72" w:type="dxa"/>
            </w:tcMar>
          </w:tcPr>
          <w:p w:rsidRPr="00B25BFA" w:rsidR="00B25BFA" w:rsidP="00B25BFA" w:rsidRDefault="00B25BFA" w14:paraId="71E17309" w14:textId="77777777">
            <w:pPr>
              <w:spacing w:after="0" w:line="240" w:lineRule="auto"/>
              <w:rPr>
                <w:rFonts w:ascii="Times New Roman" w:hAnsi="Times New Roman" w:eastAsia="Times New Roman" w:cs="Times New Roman"/>
                <w:snapToGrid w:val="0"/>
                <w:sz w:val="20"/>
                <w:szCs w:val="20"/>
              </w:rPr>
            </w:pPr>
          </w:p>
        </w:tc>
        <w:tc>
          <w:tcPr>
            <w:tcW w:w="4500" w:type="dxa"/>
            <w:tcBorders>
              <w:top w:val="single" w:color="auto" w:sz="4" w:space="0"/>
              <w:bottom w:val="single" w:color="auto" w:sz="4" w:space="0"/>
            </w:tcBorders>
          </w:tcPr>
          <w:p w:rsidRPr="00B25BFA" w:rsidR="00B25BFA" w:rsidP="00B25BFA" w:rsidRDefault="00B25BFA" w14:paraId="71072185" w14:textId="77777777">
            <w:pPr>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During seismic acquisition operations, submit daily observer reports semi-monthly.</w:t>
            </w:r>
          </w:p>
        </w:tc>
        <w:tc>
          <w:tcPr>
            <w:tcW w:w="1080" w:type="dxa"/>
            <w:tcBorders>
              <w:top w:val="single" w:color="auto" w:sz="4" w:space="0"/>
              <w:bottom w:val="single" w:color="auto" w:sz="4" w:space="0"/>
              <w:right w:val="single" w:color="000000" w:sz="8" w:space="0"/>
            </w:tcBorders>
          </w:tcPr>
          <w:p w:rsidRPr="00B25BFA" w:rsidR="00B25BFA" w:rsidP="00B25BFA" w:rsidRDefault="00B25BFA" w14:paraId="399DD1E5" w14:textId="77777777">
            <w:pPr>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1.5 hours</w:t>
            </w:r>
          </w:p>
        </w:tc>
        <w:tc>
          <w:tcPr>
            <w:tcW w:w="1939" w:type="dxa"/>
            <w:gridSpan w:val="2"/>
            <w:tcBorders>
              <w:top w:val="single" w:color="auto" w:sz="4" w:space="0"/>
              <w:left w:val="single" w:color="000000" w:sz="8" w:space="0"/>
              <w:bottom w:val="single" w:color="auto" w:sz="4" w:space="0"/>
              <w:right w:val="single" w:color="000000" w:sz="8" w:space="0"/>
            </w:tcBorders>
          </w:tcPr>
          <w:p w:rsidRPr="00B25BFA" w:rsidR="00B25BFA" w:rsidP="00B25BFA" w:rsidRDefault="00B25BFA" w14:paraId="768A0B4A" w14:textId="77777777">
            <w:pPr>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344 reports</w:t>
            </w:r>
          </w:p>
        </w:tc>
        <w:tc>
          <w:tcPr>
            <w:tcW w:w="1260" w:type="dxa"/>
            <w:tcBorders>
              <w:top w:val="single" w:color="auto" w:sz="4" w:space="0"/>
              <w:left w:val="single" w:color="000000" w:sz="8" w:space="0"/>
              <w:bottom w:val="single" w:color="auto" w:sz="4" w:space="0"/>
              <w:right w:val="single" w:color="auto" w:sz="4" w:space="0"/>
            </w:tcBorders>
          </w:tcPr>
          <w:p w:rsidRPr="00B25BFA" w:rsidR="00B25BFA" w:rsidP="00B25BFA" w:rsidRDefault="00B25BFA" w14:paraId="28E01291" w14:textId="77777777">
            <w:pPr>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516</w:t>
            </w:r>
          </w:p>
        </w:tc>
      </w:tr>
      <w:tr w:rsidRPr="00B25BFA" w:rsidR="00B25BFA" w:rsidTr="00671A0D" w14:paraId="244207D4" w14:textId="77777777">
        <w:trPr>
          <w:jc w:val="center"/>
        </w:trPr>
        <w:tc>
          <w:tcPr>
            <w:tcW w:w="1440" w:type="dxa"/>
            <w:vMerge/>
            <w:tcBorders>
              <w:left w:val="single" w:color="auto" w:sz="4" w:space="0"/>
            </w:tcBorders>
            <w:tcMar>
              <w:left w:w="72" w:type="dxa"/>
            </w:tcMar>
          </w:tcPr>
          <w:p w:rsidRPr="00B25BFA" w:rsidR="00B25BFA" w:rsidP="00B25BFA" w:rsidRDefault="00B25BFA" w14:paraId="0790B14A" w14:textId="77777777">
            <w:pPr>
              <w:spacing w:after="0" w:line="240" w:lineRule="auto"/>
              <w:rPr>
                <w:rFonts w:ascii="Times New Roman" w:hAnsi="Times New Roman" w:eastAsia="Times New Roman" w:cs="Times New Roman"/>
                <w:snapToGrid w:val="0"/>
                <w:sz w:val="20"/>
                <w:szCs w:val="20"/>
              </w:rPr>
            </w:pPr>
          </w:p>
        </w:tc>
        <w:tc>
          <w:tcPr>
            <w:tcW w:w="4500" w:type="dxa"/>
            <w:tcBorders>
              <w:top w:val="single" w:color="auto" w:sz="4" w:space="0"/>
              <w:bottom w:val="single" w:color="auto" w:sz="4" w:space="0"/>
            </w:tcBorders>
          </w:tcPr>
          <w:p w:rsidRPr="00B25BFA" w:rsidR="00B25BFA" w:rsidP="00B25BFA" w:rsidRDefault="00B25BFA" w14:paraId="54EE2080" w14:textId="77777777">
            <w:pPr>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If used, submit to BOEM information on any</w:t>
            </w:r>
            <w:r w:rsidRPr="00B25BFA">
              <w:rPr>
                <w:rFonts w:ascii="Times New Roman" w:hAnsi="Times New Roman" w:eastAsia="Times New Roman" w:cs="Times New Roman"/>
                <w:snapToGrid w:val="0"/>
                <w:color w:val="FF0000"/>
                <w:sz w:val="20"/>
                <w:szCs w:val="20"/>
              </w:rPr>
              <w:t xml:space="preserve"> </w:t>
            </w:r>
            <w:r w:rsidRPr="00B25BFA">
              <w:rPr>
                <w:rFonts w:ascii="Times New Roman" w:hAnsi="Times New Roman" w:eastAsia="Times New Roman" w:cs="Times New Roman"/>
                <w:snapToGrid w:val="0"/>
                <w:sz w:val="20"/>
                <w:szCs w:val="20"/>
              </w:rPr>
              <w:t>passive acoustic monitoring system prior to placing it in service.</w:t>
            </w:r>
          </w:p>
        </w:tc>
        <w:tc>
          <w:tcPr>
            <w:tcW w:w="1080" w:type="dxa"/>
            <w:tcBorders>
              <w:top w:val="single" w:color="auto" w:sz="4" w:space="0"/>
              <w:bottom w:val="single" w:color="auto" w:sz="4" w:space="0"/>
              <w:right w:val="single" w:color="000000" w:sz="8" w:space="0"/>
            </w:tcBorders>
          </w:tcPr>
          <w:p w:rsidRPr="00B25BFA" w:rsidR="00B25BFA" w:rsidP="00B25BFA" w:rsidRDefault="00B25BFA" w14:paraId="4E61A651" w14:textId="70225FEC">
            <w:pPr>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 xml:space="preserve">2 </w:t>
            </w:r>
            <w:r w:rsidRPr="00B25BFA" w:rsidR="005B4139">
              <w:rPr>
                <w:rFonts w:ascii="Times New Roman" w:hAnsi="Times New Roman" w:eastAsia="Times New Roman" w:cs="Times New Roman"/>
                <w:snapToGrid w:val="0"/>
                <w:sz w:val="20"/>
                <w:szCs w:val="20"/>
              </w:rPr>
              <w:t>hours</w:t>
            </w:r>
          </w:p>
        </w:tc>
        <w:tc>
          <w:tcPr>
            <w:tcW w:w="1939" w:type="dxa"/>
            <w:gridSpan w:val="2"/>
            <w:tcBorders>
              <w:top w:val="single" w:color="auto" w:sz="4" w:space="0"/>
              <w:left w:val="single" w:color="000000" w:sz="8" w:space="0"/>
              <w:bottom w:val="single" w:color="auto" w:sz="4" w:space="0"/>
              <w:right w:val="single" w:color="000000" w:sz="8" w:space="0"/>
            </w:tcBorders>
          </w:tcPr>
          <w:p w:rsidRPr="00B25BFA" w:rsidR="00B25BFA" w:rsidP="00B25BFA" w:rsidRDefault="00B25BFA" w14:paraId="133646C6" w14:textId="77777777">
            <w:pPr>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6 submittals</w:t>
            </w:r>
          </w:p>
        </w:tc>
        <w:tc>
          <w:tcPr>
            <w:tcW w:w="1260" w:type="dxa"/>
            <w:tcBorders>
              <w:top w:val="single" w:color="auto" w:sz="4" w:space="0"/>
              <w:left w:val="single" w:color="000000" w:sz="8" w:space="0"/>
              <w:bottom w:val="single" w:color="auto" w:sz="4" w:space="0"/>
              <w:right w:val="single" w:color="auto" w:sz="4" w:space="0"/>
            </w:tcBorders>
          </w:tcPr>
          <w:p w:rsidRPr="00B25BFA" w:rsidR="00B25BFA" w:rsidP="00B25BFA" w:rsidRDefault="00B25BFA" w14:paraId="2445C923" w14:textId="77777777">
            <w:pPr>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12</w:t>
            </w:r>
          </w:p>
        </w:tc>
      </w:tr>
      <w:tr w:rsidRPr="00B25BFA" w:rsidR="00B25BFA" w:rsidTr="00671A0D" w14:paraId="03927E32" w14:textId="77777777">
        <w:trPr>
          <w:jc w:val="center"/>
        </w:trPr>
        <w:tc>
          <w:tcPr>
            <w:tcW w:w="1440" w:type="dxa"/>
            <w:vMerge/>
            <w:tcBorders>
              <w:left w:val="single" w:color="auto" w:sz="4" w:space="0"/>
            </w:tcBorders>
            <w:tcMar>
              <w:left w:w="72" w:type="dxa"/>
            </w:tcMar>
          </w:tcPr>
          <w:p w:rsidRPr="00B25BFA" w:rsidR="00B25BFA" w:rsidP="00B25BFA" w:rsidRDefault="00B25BFA" w14:paraId="143307C4" w14:textId="77777777">
            <w:pPr>
              <w:spacing w:after="0" w:line="240" w:lineRule="auto"/>
              <w:rPr>
                <w:rFonts w:ascii="Times New Roman" w:hAnsi="Times New Roman" w:eastAsia="Times New Roman" w:cs="Times New Roman"/>
                <w:snapToGrid w:val="0"/>
                <w:sz w:val="20"/>
                <w:szCs w:val="20"/>
              </w:rPr>
            </w:pPr>
          </w:p>
        </w:tc>
        <w:tc>
          <w:tcPr>
            <w:tcW w:w="4500" w:type="dxa"/>
            <w:tcBorders>
              <w:top w:val="single" w:color="auto" w:sz="4" w:space="0"/>
              <w:bottom w:val="single" w:color="auto" w:sz="4" w:space="0"/>
            </w:tcBorders>
          </w:tcPr>
          <w:p w:rsidRPr="00B25BFA" w:rsidR="00B25BFA" w:rsidP="00B25BFA" w:rsidRDefault="00B25BFA" w14:paraId="04BDA314" w14:textId="77777777">
            <w:pPr>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 xml:space="preserve">During seismic acquisition operations, submit to BOEM marine mammal observation report(s) semi-monthly or within 24 hours if air gun operations were shut down. </w:t>
            </w:r>
          </w:p>
        </w:tc>
        <w:tc>
          <w:tcPr>
            <w:tcW w:w="1080" w:type="dxa"/>
            <w:tcBorders>
              <w:top w:val="single" w:color="auto" w:sz="4" w:space="0"/>
              <w:bottom w:val="single" w:color="auto" w:sz="4" w:space="0"/>
              <w:right w:val="single" w:color="000000" w:sz="8" w:space="0"/>
            </w:tcBorders>
          </w:tcPr>
          <w:p w:rsidRPr="00B25BFA" w:rsidR="00B25BFA" w:rsidP="00B25BFA" w:rsidRDefault="00B25BFA" w14:paraId="7A25E491" w14:textId="77777777">
            <w:pPr>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1.5 hours</w:t>
            </w:r>
          </w:p>
        </w:tc>
        <w:tc>
          <w:tcPr>
            <w:tcW w:w="1939" w:type="dxa"/>
            <w:gridSpan w:val="2"/>
            <w:tcBorders>
              <w:top w:val="single" w:color="auto" w:sz="4" w:space="0"/>
              <w:left w:val="single" w:color="000000" w:sz="8" w:space="0"/>
              <w:bottom w:val="single" w:color="auto" w:sz="4" w:space="0"/>
              <w:right w:val="single" w:color="000000" w:sz="8" w:space="0"/>
            </w:tcBorders>
          </w:tcPr>
          <w:p w:rsidRPr="00B25BFA" w:rsidR="00B25BFA" w:rsidP="00B25BFA" w:rsidRDefault="00B25BFA" w14:paraId="1ABE989F" w14:textId="77777777">
            <w:pPr>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1,976 reports</w:t>
            </w:r>
          </w:p>
        </w:tc>
        <w:tc>
          <w:tcPr>
            <w:tcW w:w="1260" w:type="dxa"/>
            <w:tcBorders>
              <w:top w:val="single" w:color="auto" w:sz="4" w:space="0"/>
              <w:left w:val="single" w:color="000000" w:sz="8" w:space="0"/>
              <w:bottom w:val="single" w:color="auto" w:sz="4" w:space="0"/>
              <w:right w:val="single" w:color="auto" w:sz="4" w:space="0"/>
            </w:tcBorders>
          </w:tcPr>
          <w:p w:rsidRPr="00B25BFA" w:rsidR="00B25BFA" w:rsidP="00B25BFA" w:rsidRDefault="00B25BFA" w14:paraId="1CF1CEAD" w14:textId="77777777">
            <w:pPr>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2,964</w:t>
            </w:r>
          </w:p>
        </w:tc>
      </w:tr>
      <w:tr w:rsidRPr="00B25BFA" w:rsidR="00B25BFA" w:rsidTr="00671A0D" w14:paraId="1DE5D6A5" w14:textId="77777777">
        <w:trPr>
          <w:jc w:val="center"/>
        </w:trPr>
        <w:tc>
          <w:tcPr>
            <w:tcW w:w="1440" w:type="dxa"/>
            <w:vMerge/>
            <w:tcBorders>
              <w:left w:val="single" w:color="auto" w:sz="4" w:space="0"/>
            </w:tcBorders>
            <w:tcMar>
              <w:left w:w="72" w:type="dxa"/>
            </w:tcMar>
          </w:tcPr>
          <w:p w:rsidRPr="00B25BFA" w:rsidR="00B25BFA" w:rsidP="00B25BFA" w:rsidRDefault="00B25BFA" w14:paraId="25FFF23F" w14:textId="77777777">
            <w:pPr>
              <w:spacing w:after="0" w:line="240" w:lineRule="auto"/>
              <w:rPr>
                <w:rFonts w:ascii="Times New Roman" w:hAnsi="Times New Roman" w:eastAsia="Times New Roman" w:cs="Times New Roman"/>
                <w:snapToGrid w:val="0"/>
                <w:sz w:val="20"/>
                <w:szCs w:val="20"/>
              </w:rPr>
            </w:pPr>
          </w:p>
        </w:tc>
        <w:tc>
          <w:tcPr>
            <w:tcW w:w="4500" w:type="dxa"/>
            <w:tcBorders>
              <w:top w:val="single" w:color="auto" w:sz="4" w:space="0"/>
              <w:bottom w:val="single" w:color="auto" w:sz="4" w:space="0"/>
            </w:tcBorders>
          </w:tcPr>
          <w:p w:rsidRPr="00B25BFA" w:rsidR="00B25BFA" w:rsidP="00B25BFA" w:rsidRDefault="00B25BFA" w14:paraId="66FD298F" w14:textId="77777777">
            <w:pPr>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During seismic acquisition operations, when air guns are being discharged, submit daily observer reports semi-monthly.</w:t>
            </w:r>
          </w:p>
        </w:tc>
        <w:tc>
          <w:tcPr>
            <w:tcW w:w="1080" w:type="dxa"/>
            <w:tcBorders>
              <w:top w:val="single" w:color="auto" w:sz="4" w:space="0"/>
              <w:bottom w:val="single" w:color="auto" w:sz="4" w:space="0"/>
              <w:right w:val="single" w:color="000000" w:sz="8" w:space="0"/>
            </w:tcBorders>
          </w:tcPr>
          <w:p w:rsidRPr="00B25BFA" w:rsidR="00B25BFA" w:rsidP="00B25BFA" w:rsidRDefault="00B25BFA" w14:paraId="19304884" w14:textId="77777777">
            <w:pPr>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1.5 hours</w:t>
            </w:r>
          </w:p>
        </w:tc>
        <w:tc>
          <w:tcPr>
            <w:tcW w:w="1939" w:type="dxa"/>
            <w:gridSpan w:val="2"/>
            <w:tcBorders>
              <w:top w:val="single" w:color="auto" w:sz="4" w:space="0"/>
              <w:left w:val="single" w:color="000000" w:sz="8" w:space="0"/>
              <w:bottom w:val="single" w:color="auto" w:sz="4" w:space="0"/>
              <w:right w:val="single" w:color="000000" w:sz="8" w:space="0"/>
            </w:tcBorders>
          </w:tcPr>
          <w:p w:rsidRPr="00B25BFA" w:rsidR="00B25BFA" w:rsidP="00B25BFA" w:rsidRDefault="00B25BFA" w14:paraId="6C5AA334" w14:textId="77777777">
            <w:pPr>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344 reports</w:t>
            </w:r>
          </w:p>
        </w:tc>
        <w:tc>
          <w:tcPr>
            <w:tcW w:w="1260" w:type="dxa"/>
            <w:tcBorders>
              <w:top w:val="single" w:color="auto" w:sz="4" w:space="0"/>
              <w:left w:val="single" w:color="000000" w:sz="8" w:space="0"/>
              <w:bottom w:val="single" w:color="auto" w:sz="4" w:space="0"/>
              <w:right w:val="single" w:color="auto" w:sz="4" w:space="0"/>
            </w:tcBorders>
          </w:tcPr>
          <w:p w:rsidRPr="00B25BFA" w:rsidR="00B25BFA" w:rsidP="00B25BFA" w:rsidRDefault="00B25BFA" w14:paraId="6C33E505" w14:textId="77777777">
            <w:pPr>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516</w:t>
            </w:r>
          </w:p>
        </w:tc>
      </w:tr>
      <w:tr w:rsidRPr="00B25BFA" w:rsidR="00B25BFA" w:rsidTr="00671A0D" w14:paraId="0E4B4519" w14:textId="77777777">
        <w:trPr>
          <w:jc w:val="center"/>
        </w:trPr>
        <w:tc>
          <w:tcPr>
            <w:tcW w:w="1440" w:type="dxa"/>
            <w:vMerge/>
            <w:tcBorders>
              <w:left w:val="single" w:color="auto" w:sz="4" w:space="0"/>
              <w:bottom w:val="single" w:color="auto" w:sz="4" w:space="0"/>
            </w:tcBorders>
            <w:tcMar>
              <w:left w:w="72" w:type="dxa"/>
            </w:tcMar>
          </w:tcPr>
          <w:p w:rsidRPr="00B25BFA" w:rsidR="00B25BFA" w:rsidP="00B25BFA" w:rsidRDefault="00B25BFA" w14:paraId="15684C17" w14:textId="77777777">
            <w:pPr>
              <w:spacing w:after="0" w:line="240" w:lineRule="auto"/>
              <w:rPr>
                <w:rFonts w:ascii="Times New Roman" w:hAnsi="Times New Roman" w:eastAsia="Times New Roman" w:cs="Times New Roman"/>
                <w:snapToGrid w:val="0"/>
                <w:sz w:val="20"/>
                <w:szCs w:val="20"/>
              </w:rPr>
            </w:pPr>
          </w:p>
        </w:tc>
        <w:tc>
          <w:tcPr>
            <w:tcW w:w="4500" w:type="dxa"/>
            <w:tcBorders>
              <w:top w:val="single" w:color="auto" w:sz="4" w:space="0"/>
              <w:bottom w:val="single" w:color="auto" w:sz="4" w:space="0"/>
            </w:tcBorders>
          </w:tcPr>
          <w:p w:rsidRPr="00B25BFA" w:rsidR="00B25BFA" w:rsidP="00B25BFA" w:rsidRDefault="00B25BFA" w14:paraId="5D3BC128" w14:textId="77777777">
            <w:pPr>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Observation Duty (3 observers fulfilling an 8 hour shift ea for 365 calendar days x 4 vessels = 35,040 man-hours).  This requirement is contracted out; hence the non-hour cost burden.</w:t>
            </w:r>
          </w:p>
        </w:tc>
        <w:tc>
          <w:tcPr>
            <w:tcW w:w="4279" w:type="dxa"/>
            <w:gridSpan w:val="4"/>
            <w:tcBorders>
              <w:top w:val="single" w:color="auto" w:sz="4" w:space="0"/>
              <w:bottom w:val="single" w:color="auto" w:sz="4" w:space="0"/>
              <w:right w:val="single" w:color="auto" w:sz="4" w:space="0"/>
            </w:tcBorders>
          </w:tcPr>
          <w:p w:rsidRPr="00B25BFA" w:rsidR="00B25BFA" w:rsidP="00B25BFA" w:rsidRDefault="00B25BFA" w14:paraId="586DFB37" w14:textId="77777777">
            <w:pPr>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3 observers x 8 hrs x 365 days = 8,760 hours x 4 vessels observing = 35,040 man-hours x $52/hr = $1,822,080.</w:t>
            </w:r>
          </w:p>
        </w:tc>
      </w:tr>
      <w:tr w:rsidRPr="00B25BFA" w:rsidR="00B25BFA" w:rsidTr="00671A0D" w14:paraId="701A0465" w14:textId="77777777">
        <w:trPr>
          <w:trHeight w:val="233"/>
          <w:jc w:val="center"/>
        </w:trPr>
        <w:tc>
          <w:tcPr>
            <w:tcW w:w="7020" w:type="dxa"/>
            <w:gridSpan w:val="3"/>
            <w:vMerge w:val="restart"/>
            <w:tcBorders>
              <w:top w:val="single" w:color="auto" w:sz="4" w:space="0"/>
              <w:left w:val="single" w:color="auto" w:sz="4" w:space="0"/>
              <w:right w:val="single" w:color="000000" w:sz="8" w:space="0"/>
            </w:tcBorders>
            <w:shd w:val="clear" w:color="auto" w:fill="F3F3F3"/>
            <w:tcMar>
              <w:left w:w="72" w:type="dxa"/>
            </w:tcMar>
          </w:tcPr>
          <w:p w:rsidRPr="00B25BFA" w:rsidR="00B25BFA" w:rsidP="00B25BFA" w:rsidRDefault="00B25BFA" w14:paraId="78A69AEF" w14:textId="77777777">
            <w:pPr>
              <w:spacing w:after="0" w:line="240" w:lineRule="auto"/>
              <w:jc w:val="right"/>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Subtotal</w:t>
            </w:r>
          </w:p>
        </w:tc>
        <w:tc>
          <w:tcPr>
            <w:tcW w:w="1939" w:type="dxa"/>
            <w:gridSpan w:val="2"/>
            <w:tcBorders>
              <w:top w:val="single" w:color="auto" w:sz="4" w:space="0"/>
              <w:left w:val="single" w:color="000000" w:sz="8" w:space="0"/>
              <w:bottom w:val="single" w:color="auto" w:sz="4" w:space="0"/>
            </w:tcBorders>
            <w:shd w:val="clear" w:color="auto" w:fill="F3F3F3"/>
          </w:tcPr>
          <w:p w:rsidRPr="00B25BFA" w:rsidR="00B25BFA" w:rsidP="00B25BFA" w:rsidRDefault="00B25BFA" w14:paraId="2A92AE46" w14:textId="77777777">
            <w:pPr>
              <w:spacing w:after="0" w:line="240" w:lineRule="auto"/>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2,673 responses</w:t>
            </w:r>
          </w:p>
        </w:tc>
        <w:tc>
          <w:tcPr>
            <w:tcW w:w="1260" w:type="dxa"/>
            <w:tcBorders>
              <w:top w:val="single" w:color="auto" w:sz="4" w:space="0"/>
              <w:left w:val="single" w:color="000000" w:sz="8" w:space="0"/>
              <w:bottom w:val="single" w:color="auto" w:sz="4" w:space="0"/>
              <w:right w:val="single" w:color="auto" w:sz="4" w:space="0"/>
            </w:tcBorders>
            <w:shd w:val="clear" w:color="auto" w:fill="F3F3F3"/>
          </w:tcPr>
          <w:p w:rsidRPr="00B25BFA" w:rsidR="00B25BFA" w:rsidP="00B25BFA" w:rsidRDefault="00B25BFA" w14:paraId="58347930" w14:textId="77777777">
            <w:pPr>
              <w:spacing w:after="0" w:line="240" w:lineRule="auto"/>
              <w:jc w:val="right"/>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4,012 hours</w:t>
            </w:r>
          </w:p>
        </w:tc>
      </w:tr>
      <w:tr w:rsidRPr="00B25BFA" w:rsidR="00B25BFA" w:rsidTr="00671A0D" w14:paraId="1AD3D003" w14:textId="77777777">
        <w:trPr>
          <w:trHeight w:val="232"/>
          <w:jc w:val="center"/>
        </w:trPr>
        <w:tc>
          <w:tcPr>
            <w:tcW w:w="7020" w:type="dxa"/>
            <w:gridSpan w:val="3"/>
            <w:vMerge/>
            <w:tcBorders>
              <w:left w:val="single" w:color="auto" w:sz="4" w:space="0"/>
              <w:bottom w:val="single" w:color="auto" w:sz="4" w:space="0"/>
              <w:right w:val="single" w:color="000000" w:sz="8" w:space="0"/>
            </w:tcBorders>
            <w:shd w:val="clear" w:color="auto" w:fill="F3F3F3"/>
            <w:tcMar>
              <w:left w:w="72" w:type="dxa"/>
            </w:tcMar>
          </w:tcPr>
          <w:p w:rsidRPr="00B25BFA" w:rsidR="00B25BFA" w:rsidP="00B25BFA" w:rsidRDefault="00B25BFA" w14:paraId="31278E5A" w14:textId="77777777">
            <w:pPr>
              <w:spacing w:after="0" w:line="240" w:lineRule="auto"/>
              <w:jc w:val="right"/>
              <w:rPr>
                <w:rFonts w:ascii="Times New Roman" w:hAnsi="Times New Roman" w:eastAsia="Times New Roman" w:cs="Times New Roman"/>
                <w:b/>
                <w:snapToGrid w:val="0"/>
                <w:sz w:val="20"/>
                <w:szCs w:val="20"/>
              </w:rPr>
            </w:pPr>
          </w:p>
        </w:tc>
        <w:tc>
          <w:tcPr>
            <w:tcW w:w="3199" w:type="dxa"/>
            <w:gridSpan w:val="3"/>
            <w:tcBorders>
              <w:top w:val="single" w:color="auto" w:sz="4" w:space="0"/>
              <w:left w:val="single" w:color="000000" w:sz="8" w:space="0"/>
              <w:bottom w:val="single" w:color="auto" w:sz="4" w:space="0"/>
              <w:right w:val="single" w:color="auto" w:sz="4" w:space="0"/>
            </w:tcBorders>
            <w:shd w:val="clear" w:color="auto" w:fill="F3F3F3"/>
          </w:tcPr>
          <w:p w:rsidRPr="00B25BFA" w:rsidR="00B25BFA" w:rsidP="00B25BFA" w:rsidRDefault="00B25BFA" w14:paraId="558CEFAE" w14:textId="77777777">
            <w:pPr>
              <w:spacing w:after="0" w:line="240" w:lineRule="auto"/>
              <w:jc w:val="right"/>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$1,822,080 Non-Hour Costs</w:t>
            </w:r>
          </w:p>
        </w:tc>
      </w:tr>
      <w:tr w:rsidRPr="00B25BFA" w:rsidR="00B25BFA" w:rsidTr="00671A0D" w14:paraId="06290ACC" w14:textId="77777777">
        <w:trPr>
          <w:jc w:val="center"/>
        </w:trPr>
        <w:tc>
          <w:tcPr>
            <w:tcW w:w="10219" w:type="dxa"/>
            <w:gridSpan w:val="6"/>
            <w:tcBorders>
              <w:top w:val="single" w:color="auto" w:sz="4" w:space="0"/>
              <w:left w:val="single" w:color="auto" w:sz="4" w:space="0"/>
              <w:bottom w:val="single" w:color="auto" w:sz="4" w:space="0"/>
              <w:right w:val="single" w:color="auto" w:sz="4" w:space="0"/>
            </w:tcBorders>
            <w:shd w:val="clear" w:color="auto" w:fill="E0E0E0"/>
            <w:tcMar>
              <w:left w:w="72" w:type="dxa"/>
            </w:tcMar>
          </w:tcPr>
          <w:p w:rsidRPr="00B25BFA" w:rsidR="00B25BFA" w:rsidP="00B25BFA" w:rsidRDefault="00B25BFA" w14:paraId="4ADFC8D9" w14:textId="77777777">
            <w:pPr>
              <w:tabs>
                <w:tab w:val="left" w:pos="-1080"/>
                <w:tab w:val="left" w:pos="-720"/>
                <w:tab w:val="left" w:pos="0"/>
                <w:tab w:val="left" w:pos="450"/>
                <w:tab w:val="left" w:pos="900"/>
                <w:tab w:val="left" w:pos="1350"/>
                <w:tab w:val="left" w:pos="2880"/>
              </w:tabs>
              <w:spacing w:after="0" w:line="240" w:lineRule="auto"/>
              <w:jc w:val="center"/>
              <w:rPr>
                <w:rFonts w:ascii="Times New Roman" w:hAnsi="Times New Roman" w:eastAsia="Times New Roman" w:cs="Times New Roman"/>
                <w:snapToGrid w:val="0"/>
                <w:sz w:val="20"/>
                <w:szCs w:val="20"/>
              </w:rPr>
            </w:pPr>
            <w:r w:rsidRPr="00B25BFA">
              <w:rPr>
                <w:rFonts w:ascii="Times New Roman" w:hAnsi="Times New Roman" w:eastAsia="Times New Roman" w:cs="Times New Roman"/>
                <w:b/>
                <w:snapToGrid w:val="0"/>
                <w:sz w:val="20"/>
                <w:szCs w:val="20"/>
              </w:rPr>
              <w:t>Vessel Strike Avoidance and Injured/Protected Species Reporting NTL</w:t>
            </w:r>
          </w:p>
        </w:tc>
      </w:tr>
      <w:tr w:rsidRPr="00B25BFA" w:rsidR="00B25BFA" w:rsidTr="00671A0D" w14:paraId="53DE2CB8" w14:textId="77777777">
        <w:trPr>
          <w:jc w:val="center"/>
        </w:trPr>
        <w:tc>
          <w:tcPr>
            <w:tcW w:w="1440" w:type="dxa"/>
            <w:tcBorders>
              <w:top w:val="single" w:color="auto" w:sz="4" w:space="0"/>
              <w:left w:val="single" w:color="auto" w:sz="4" w:space="0"/>
              <w:bottom w:val="single" w:color="auto" w:sz="4" w:space="0"/>
            </w:tcBorders>
            <w:tcMar>
              <w:left w:w="72" w:type="dxa"/>
            </w:tcMar>
          </w:tcPr>
          <w:p w:rsidRPr="00B25BFA" w:rsidR="00B25BFA" w:rsidP="00B25BFA" w:rsidRDefault="00B25BFA" w14:paraId="6F8FDF0A" w14:textId="77777777">
            <w:pPr>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NTL 2016-G01;</w:t>
            </w:r>
          </w:p>
          <w:p w:rsidRPr="00B25BFA" w:rsidR="00B25BFA" w:rsidP="00B25BFA" w:rsidRDefault="00B25BFA" w14:paraId="7D6C85E7" w14:textId="77777777">
            <w:pPr>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211 thru 228; 241 thru 262</w:t>
            </w:r>
          </w:p>
        </w:tc>
        <w:tc>
          <w:tcPr>
            <w:tcW w:w="4500" w:type="dxa"/>
            <w:tcBorders>
              <w:top w:val="single" w:color="auto" w:sz="4" w:space="0"/>
              <w:bottom w:val="single" w:color="auto" w:sz="4" w:space="0"/>
            </w:tcBorders>
          </w:tcPr>
          <w:p w:rsidRPr="00B25BFA" w:rsidR="00B25BFA" w:rsidP="00B25BFA" w:rsidRDefault="00B25BFA" w14:paraId="4759F81D" w14:textId="77777777">
            <w:pPr>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Notify BOEM within 24 hours of strike, when your vessel injures/kills a protected species (marine mammal/sea turtle).</w:t>
            </w:r>
          </w:p>
        </w:tc>
        <w:tc>
          <w:tcPr>
            <w:tcW w:w="1080" w:type="dxa"/>
            <w:tcBorders>
              <w:top w:val="single" w:color="auto" w:sz="4" w:space="0"/>
              <w:bottom w:val="single" w:color="auto" w:sz="4" w:space="0"/>
              <w:right w:val="single" w:color="000000" w:sz="8" w:space="0"/>
            </w:tcBorders>
          </w:tcPr>
          <w:p w:rsidRPr="00B25BFA" w:rsidR="00B25BFA" w:rsidP="00B25BFA" w:rsidRDefault="00B25BFA" w14:paraId="61903A7D" w14:textId="77777777">
            <w:pPr>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1 hour</w:t>
            </w:r>
          </w:p>
          <w:p w:rsidRPr="00B25BFA" w:rsidR="00B25BFA" w:rsidP="00B25BFA" w:rsidRDefault="00B25BFA" w14:paraId="7520B1F6" w14:textId="77777777">
            <w:pPr>
              <w:spacing w:after="0" w:line="240" w:lineRule="auto"/>
              <w:rPr>
                <w:rFonts w:ascii="Times New Roman" w:hAnsi="Times New Roman" w:eastAsia="Times New Roman" w:cs="Times New Roman"/>
                <w:snapToGrid w:val="0"/>
                <w:sz w:val="20"/>
                <w:szCs w:val="20"/>
              </w:rPr>
            </w:pPr>
          </w:p>
        </w:tc>
        <w:tc>
          <w:tcPr>
            <w:tcW w:w="1939" w:type="dxa"/>
            <w:gridSpan w:val="2"/>
            <w:tcBorders>
              <w:top w:val="single" w:color="auto" w:sz="4" w:space="0"/>
              <w:left w:val="single" w:color="000000" w:sz="8" w:space="0"/>
              <w:bottom w:val="single" w:color="auto" w:sz="4" w:space="0"/>
              <w:right w:val="single" w:color="000000" w:sz="8" w:space="0"/>
            </w:tcBorders>
          </w:tcPr>
          <w:p w:rsidRPr="00B25BFA" w:rsidR="00B25BFA" w:rsidP="00B25BFA" w:rsidRDefault="00B25BFA" w14:paraId="0258216F" w14:textId="77777777">
            <w:pPr>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1 notice</w:t>
            </w:r>
          </w:p>
        </w:tc>
        <w:tc>
          <w:tcPr>
            <w:tcW w:w="1260" w:type="dxa"/>
            <w:tcBorders>
              <w:top w:val="single" w:color="auto" w:sz="4" w:space="0"/>
              <w:left w:val="single" w:color="000000" w:sz="8" w:space="0"/>
              <w:bottom w:val="single" w:color="auto" w:sz="4" w:space="0"/>
              <w:right w:val="single" w:color="auto" w:sz="4" w:space="0"/>
            </w:tcBorders>
          </w:tcPr>
          <w:p w:rsidRPr="00B25BFA" w:rsidR="00B25BFA" w:rsidP="00B25BFA" w:rsidRDefault="00B25BFA" w14:paraId="0A074491" w14:textId="77777777">
            <w:pPr>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1</w:t>
            </w:r>
          </w:p>
        </w:tc>
      </w:tr>
      <w:tr w:rsidRPr="00B25BFA" w:rsidR="00B25BFA" w:rsidTr="00671A0D" w14:paraId="1A22BD15" w14:textId="77777777">
        <w:trPr>
          <w:jc w:val="center"/>
        </w:trPr>
        <w:tc>
          <w:tcPr>
            <w:tcW w:w="7020" w:type="dxa"/>
            <w:gridSpan w:val="3"/>
            <w:tcBorders>
              <w:top w:val="single" w:color="auto" w:sz="4" w:space="0"/>
              <w:left w:val="single" w:color="auto" w:sz="4" w:space="0"/>
              <w:bottom w:val="single" w:color="auto" w:sz="4" w:space="0"/>
              <w:right w:val="single" w:color="000000" w:sz="8" w:space="0"/>
            </w:tcBorders>
            <w:shd w:val="clear" w:color="auto" w:fill="F3F3F3"/>
            <w:tcMar>
              <w:left w:w="72" w:type="dxa"/>
            </w:tcMar>
          </w:tcPr>
          <w:p w:rsidRPr="00B25BFA" w:rsidR="00B25BFA" w:rsidP="00B25BFA" w:rsidRDefault="00B25BFA" w14:paraId="0D66689A" w14:textId="77777777">
            <w:pPr>
              <w:spacing w:after="0" w:line="240" w:lineRule="auto"/>
              <w:jc w:val="right"/>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Subtotal</w:t>
            </w:r>
          </w:p>
        </w:tc>
        <w:tc>
          <w:tcPr>
            <w:tcW w:w="1939" w:type="dxa"/>
            <w:gridSpan w:val="2"/>
            <w:tcBorders>
              <w:top w:val="single" w:color="auto" w:sz="4" w:space="0"/>
              <w:left w:val="single" w:color="000000" w:sz="8" w:space="0"/>
              <w:bottom w:val="single" w:color="auto" w:sz="4" w:space="0"/>
              <w:right w:val="single" w:color="000000" w:sz="8" w:space="0"/>
            </w:tcBorders>
            <w:shd w:val="clear" w:color="auto" w:fill="F3F3F3"/>
          </w:tcPr>
          <w:p w:rsidRPr="00B25BFA" w:rsidR="00B25BFA" w:rsidP="00B25BFA" w:rsidRDefault="00B25BFA" w14:paraId="2CC7975D" w14:textId="77777777">
            <w:pPr>
              <w:spacing w:after="0" w:line="240" w:lineRule="auto"/>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1 response</w:t>
            </w:r>
          </w:p>
        </w:tc>
        <w:tc>
          <w:tcPr>
            <w:tcW w:w="1260" w:type="dxa"/>
            <w:tcBorders>
              <w:top w:val="single" w:color="auto" w:sz="4" w:space="0"/>
              <w:left w:val="single" w:color="000000" w:sz="8" w:space="0"/>
              <w:bottom w:val="single" w:color="auto" w:sz="4" w:space="0"/>
              <w:right w:val="single" w:color="auto" w:sz="4" w:space="0"/>
            </w:tcBorders>
            <w:shd w:val="clear" w:color="auto" w:fill="F3F3F3"/>
          </w:tcPr>
          <w:p w:rsidRPr="00B25BFA" w:rsidR="00B25BFA" w:rsidP="00B25BFA" w:rsidRDefault="00B25BFA" w14:paraId="0006A634"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1 hour</w:t>
            </w:r>
          </w:p>
        </w:tc>
      </w:tr>
      <w:tr w:rsidRPr="00B25BFA" w:rsidR="00B25BFA" w:rsidTr="00671A0D" w14:paraId="3B2B84D9" w14:textId="77777777">
        <w:trPr>
          <w:jc w:val="center"/>
        </w:trPr>
        <w:tc>
          <w:tcPr>
            <w:tcW w:w="7020" w:type="dxa"/>
            <w:gridSpan w:val="3"/>
            <w:tcBorders>
              <w:top w:val="single" w:color="auto" w:sz="4" w:space="0"/>
              <w:left w:val="single" w:color="auto" w:sz="4" w:space="0"/>
              <w:bottom w:val="single" w:color="auto" w:sz="4" w:space="0"/>
              <w:right w:val="single" w:color="000000" w:sz="8" w:space="0"/>
            </w:tcBorders>
            <w:shd w:val="clear" w:color="auto" w:fill="F3F3F3"/>
            <w:tcMar>
              <w:left w:w="72" w:type="dxa"/>
            </w:tcMar>
          </w:tcPr>
          <w:p w:rsidRPr="00B25BFA" w:rsidR="00B25BFA" w:rsidP="00B25BFA" w:rsidRDefault="00B25BFA" w14:paraId="41BC9E34" w14:textId="77777777">
            <w:pPr>
              <w:spacing w:after="0" w:line="240" w:lineRule="auto"/>
              <w:jc w:val="center"/>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General Departure</w:t>
            </w:r>
          </w:p>
        </w:tc>
        <w:tc>
          <w:tcPr>
            <w:tcW w:w="1939" w:type="dxa"/>
            <w:gridSpan w:val="2"/>
            <w:tcBorders>
              <w:top w:val="single" w:color="auto" w:sz="4" w:space="0"/>
              <w:left w:val="single" w:color="000000" w:sz="8" w:space="0"/>
              <w:bottom w:val="single" w:color="auto" w:sz="4" w:space="0"/>
              <w:right w:val="single" w:color="000000" w:sz="8" w:space="0"/>
            </w:tcBorders>
            <w:shd w:val="clear" w:color="auto" w:fill="F3F3F3"/>
          </w:tcPr>
          <w:p w:rsidRPr="00B25BFA" w:rsidR="00B25BFA" w:rsidP="00B25BFA" w:rsidRDefault="00B25BFA" w14:paraId="7C0E14A3"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b/>
                <w:snapToGrid w:val="0"/>
                <w:sz w:val="20"/>
                <w:szCs w:val="20"/>
              </w:rPr>
            </w:pPr>
          </w:p>
        </w:tc>
        <w:tc>
          <w:tcPr>
            <w:tcW w:w="1260" w:type="dxa"/>
            <w:tcBorders>
              <w:top w:val="single" w:color="auto" w:sz="4" w:space="0"/>
              <w:left w:val="single" w:color="000000" w:sz="8" w:space="0"/>
              <w:bottom w:val="single" w:color="auto" w:sz="4" w:space="0"/>
              <w:right w:val="single" w:color="auto" w:sz="4" w:space="0"/>
            </w:tcBorders>
            <w:shd w:val="clear" w:color="auto" w:fill="F3F3F3"/>
          </w:tcPr>
          <w:p w:rsidRPr="00B25BFA" w:rsidR="00B25BFA" w:rsidP="00B25BFA" w:rsidRDefault="00B25BFA" w14:paraId="433AA07C" w14:textId="77777777">
            <w:pPr>
              <w:tabs>
                <w:tab w:val="left" w:pos="-1080"/>
                <w:tab w:val="left" w:pos="-720"/>
                <w:tab w:val="left" w:pos="-139"/>
                <w:tab w:val="left" w:pos="450"/>
                <w:tab w:val="left" w:pos="900"/>
                <w:tab w:val="left" w:pos="1350"/>
                <w:tab w:val="left" w:pos="2880"/>
              </w:tabs>
              <w:spacing w:after="0" w:line="240" w:lineRule="auto"/>
              <w:ind w:right="-139"/>
              <w:jc w:val="center"/>
              <w:rPr>
                <w:rFonts w:ascii="Times New Roman" w:hAnsi="Times New Roman" w:eastAsia="Times New Roman" w:cs="Times New Roman"/>
                <w:b/>
                <w:snapToGrid w:val="0"/>
                <w:sz w:val="20"/>
                <w:szCs w:val="20"/>
              </w:rPr>
            </w:pPr>
          </w:p>
        </w:tc>
      </w:tr>
      <w:tr w:rsidRPr="00B25BFA" w:rsidR="00B25BFA" w:rsidTr="00671A0D" w14:paraId="0A3ED7B8" w14:textId="77777777">
        <w:trPr>
          <w:jc w:val="center"/>
        </w:trPr>
        <w:tc>
          <w:tcPr>
            <w:tcW w:w="1440" w:type="dxa"/>
            <w:tcBorders>
              <w:top w:val="single" w:color="auto" w:sz="4" w:space="0"/>
              <w:left w:val="single" w:color="auto" w:sz="4" w:space="0"/>
              <w:bottom w:val="single" w:color="auto" w:sz="4" w:space="0"/>
            </w:tcBorders>
            <w:tcMar>
              <w:left w:w="72" w:type="dxa"/>
            </w:tcMar>
          </w:tcPr>
          <w:p w:rsidRPr="00B25BFA" w:rsidR="00B25BFA" w:rsidP="00B25BFA" w:rsidRDefault="00B25BFA" w14:paraId="0F943D78"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200 thru 299</w:t>
            </w:r>
          </w:p>
        </w:tc>
        <w:tc>
          <w:tcPr>
            <w:tcW w:w="4500" w:type="dxa"/>
            <w:tcBorders>
              <w:top w:val="single" w:color="auto" w:sz="4" w:space="0"/>
              <w:bottom w:val="single" w:color="auto" w:sz="4" w:space="0"/>
            </w:tcBorders>
          </w:tcPr>
          <w:p w:rsidRPr="00B25BFA" w:rsidR="00B25BFA" w:rsidP="00B25BFA" w:rsidRDefault="00B25BFA" w14:paraId="4506E6C1"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General departure and alternative compliance requests not specifically covered elsewhere in Subpart B regulations.</w:t>
            </w:r>
          </w:p>
        </w:tc>
        <w:tc>
          <w:tcPr>
            <w:tcW w:w="1080" w:type="dxa"/>
            <w:tcBorders>
              <w:top w:val="single" w:color="auto" w:sz="4" w:space="0"/>
              <w:bottom w:val="single" w:color="auto" w:sz="4" w:space="0"/>
              <w:right w:val="single" w:color="000000" w:sz="8" w:space="0"/>
            </w:tcBorders>
          </w:tcPr>
          <w:p w:rsidRPr="00B25BFA" w:rsidR="00B25BFA" w:rsidP="00B25BFA" w:rsidRDefault="00B25BFA" w14:paraId="34CF62DD"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w:t>
            </w:r>
          </w:p>
        </w:tc>
        <w:tc>
          <w:tcPr>
            <w:tcW w:w="1939" w:type="dxa"/>
            <w:gridSpan w:val="2"/>
            <w:tcBorders>
              <w:top w:val="single" w:color="auto" w:sz="4" w:space="0"/>
              <w:left w:val="single" w:color="000000" w:sz="8" w:space="0"/>
              <w:bottom w:val="single" w:color="auto" w:sz="4" w:space="0"/>
              <w:right w:val="single" w:color="000000" w:sz="8" w:space="0"/>
            </w:tcBorders>
          </w:tcPr>
          <w:p w:rsidRPr="00B25BFA" w:rsidR="00B25BFA" w:rsidP="00B25BFA" w:rsidRDefault="00B25BFA" w14:paraId="13108F94"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25 requests</w:t>
            </w:r>
          </w:p>
        </w:tc>
        <w:tc>
          <w:tcPr>
            <w:tcW w:w="1260" w:type="dxa"/>
            <w:tcBorders>
              <w:top w:val="single" w:color="auto" w:sz="4" w:space="0"/>
              <w:left w:val="single" w:color="000000" w:sz="8" w:space="0"/>
              <w:bottom w:val="single" w:color="auto" w:sz="4" w:space="0"/>
              <w:right w:val="single" w:color="auto" w:sz="4" w:space="0"/>
            </w:tcBorders>
          </w:tcPr>
          <w:p w:rsidRPr="00B25BFA" w:rsidR="00B25BFA" w:rsidP="00B25BFA" w:rsidRDefault="00B25BFA" w14:paraId="7D60EBB1"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snapToGrid w:val="0"/>
                <w:sz w:val="20"/>
                <w:szCs w:val="20"/>
              </w:rPr>
            </w:pPr>
            <w:r w:rsidRPr="00B25BFA">
              <w:rPr>
                <w:rFonts w:ascii="Times New Roman" w:hAnsi="Times New Roman" w:eastAsia="Times New Roman" w:cs="Times New Roman"/>
                <w:snapToGrid w:val="0"/>
                <w:sz w:val="20"/>
                <w:szCs w:val="20"/>
              </w:rPr>
              <w:t>50</w:t>
            </w:r>
          </w:p>
        </w:tc>
      </w:tr>
      <w:tr w:rsidRPr="00B25BFA" w:rsidR="00B25BFA" w:rsidTr="00671A0D" w14:paraId="14561853" w14:textId="77777777">
        <w:trPr>
          <w:trHeight w:val="215"/>
          <w:jc w:val="center"/>
        </w:trPr>
        <w:tc>
          <w:tcPr>
            <w:tcW w:w="7020" w:type="dxa"/>
            <w:gridSpan w:val="3"/>
            <w:tcBorders>
              <w:top w:val="single" w:color="auto" w:sz="4" w:space="0"/>
              <w:left w:val="single" w:color="auto" w:sz="4" w:space="0"/>
              <w:bottom w:val="single" w:color="auto" w:sz="4" w:space="0"/>
              <w:right w:val="single" w:color="000000" w:sz="8" w:space="0"/>
            </w:tcBorders>
            <w:shd w:val="clear" w:color="auto" w:fill="F3F3F3"/>
            <w:tcMar>
              <w:left w:w="72" w:type="dxa"/>
            </w:tcMar>
            <w:vAlign w:val="center"/>
          </w:tcPr>
          <w:p w:rsidRPr="00B25BFA" w:rsidR="00B25BFA" w:rsidP="00B25BFA" w:rsidRDefault="00B25BFA" w14:paraId="27E66F68" w14:textId="77777777">
            <w:pPr>
              <w:tabs>
                <w:tab w:val="left" w:pos="-1080"/>
                <w:tab w:val="left" w:pos="-720"/>
                <w:tab w:val="left" w:pos="0"/>
                <w:tab w:val="left" w:pos="450"/>
                <w:tab w:val="left" w:pos="900"/>
                <w:tab w:val="left" w:pos="1350"/>
                <w:tab w:val="left" w:pos="2880"/>
              </w:tabs>
              <w:spacing w:after="0" w:line="240" w:lineRule="auto"/>
              <w:jc w:val="center"/>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Subtotal</w:t>
            </w:r>
          </w:p>
        </w:tc>
        <w:tc>
          <w:tcPr>
            <w:tcW w:w="1939" w:type="dxa"/>
            <w:gridSpan w:val="2"/>
            <w:tcBorders>
              <w:top w:val="single" w:color="auto" w:sz="4" w:space="0"/>
              <w:left w:val="single" w:color="000000" w:sz="8" w:space="0"/>
              <w:bottom w:val="single" w:color="000000" w:sz="8" w:space="0"/>
            </w:tcBorders>
            <w:shd w:val="clear" w:color="auto" w:fill="F3F3F3"/>
          </w:tcPr>
          <w:p w:rsidRPr="00B25BFA" w:rsidR="00B25BFA" w:rsidP="00B25BFA" w:rsidRDefault="00B25BFA" w14:paraId="4E4CC026"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 xml:space="preserve">25 responses </w:t>
            </w:r>
          </w:p>
        </w:tc>
        <w:tc>
          <w:tcPr>
            <w:tcW w:w="1260" w:type="dxa"/>
            <w:tcBorders>
              <w:top w:val="single" w:color="auto" w:sz="4" w:space="0"/>
              <w:left w:val="single" w:color="000000" w:sz="8" w:space="0"/>
              <w:bottom w:val="single" w:color="000000" w:sz="8" w:space="0"/>
              <w:right w:val="single" w:color="auto" w:sz="4" w:space="0"/>
            </w:tcBorders>
            <w:shd w:val="clear" w:color="auto" w:fill="F3F3F3"/>
          </w:tcPr>
          <w:p w:rsidRPr="00B25BFA" w:rsidR="00B25BFA" w:rsidP="00B25BFA" w:rsidRDefault="00B25BFA" w14:paraId="717443B3" w14:textId="77777777">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eastAsia="Times New Roman" w:cs="Times New Roman"/>
                <w:b/>
                <w:snapToGrid w:val="0"/>
                <w:sz w:val="20"/>
                <w:szCs w:val="20"/>
              </w:rPr>
            </w:pPr>
            <w:r w:rsidRPr="00B25BFA">
              <w:rPr>
                <w:rFonts w:ascii="Times New Roman" w:hAnsi="Times New Roman" w:eastAsia="Times New Roman" w:cs="Times New Roman"/>
                <w:b/>
                <w:snapToGrid w:val="0"/>
                <w:sz w:val="20"/>
                <w:szCs w:val="20"/>
              </w:rPr>
              <w:t>50 hours</w:t>
            </w:r>
          </w:p>
        </w:tc>
      </w:tr>
      <w:tr w:rsidRPr="00B25BFA" w:rsidR="00B25BFA" w:rsidTr="00671A0D" w14:paraId="0FC5EAFD" w14:textId="77777777">
        <w:trPr>
          <w:trHeight w:val="233"/>
          <w:jc w:val="center"/>
        </w:trPr>
        <w:tc>
          <w:tcPr>
            <w:tcW w:w="7020" w:type="dxa"/>
            <w:gridSpan w:val="3"/>
            <w:vMerge w:val="restart"/>
            <w:tcBorders>
              <w:top w:val="single" w:color="000000" w:sz="8" w:space="0"/>
              <w:left w:val="single" w:color="auto" w:sz="4" w:space="0"/>
              <w:right w:val="single" w:color="000000" w:sz="8" w:space="0"/>
            </w:tcBorders>
            <w:shd w:val="pct10" w:color="000000" w:fill="FFFFFF"/>
            <w:tcMar>
              <w:left w:w="72" w:type="dxa"/>
            </w:tcMar>
            <w:vAlign w:val="center"/>
          </w:tcPr>
          <w:p w:rsidRPr="00B25BFA" w:rsidR="00B25BFA" w:rsidP="00B25BFA" w:rsidRDefault="00B25BFA" w14:paraId="45EFEA04" w14:textId="77777777">
            <w:pPr>
              <w:tabs>
                <w:tab w:val="left" w:pos="-1080"/>
                <w:tab w:val="left" w:pos="-720"/>
                <w:tab w:val="left" w:pos="0"/>
                <w:tab w:val="left" w:pos="450"/>
                <w:tab w:val="left" w:pos="900"/>
                <w:tab w:val="left" w:pos="1350"/>
                <w:tab w:val="left" w:pos="2880"/>
              </w:tabs>
              <w:spacing w:after="0" w:line="240" w:lineRule="auto"/>
              <w:jc w:val="center"/>
              <w:rPr>
                <w:rFonts w:ascii="Times New Roman" w:hAnsi="Times New Roman" w:eastAsia="Times New Roman" w:cs="Times New Roman"/>
                <w:b/>
                <w:snapToGrid w:val="0"/>
              </w:rPr>
            </w:pPr>
            <w:r w:rsidRPr="00B25BFA">
              <w:rPr>
                <w:rFonts w:ascii="Times New Roman" w:hAnsi="Times New Roman" w:eastAsia="Times New Roman" w:cs="Times New Roman"/>
                <w:b/>
                <w:snapToGrid w:val="0"/>
              </w:rPr>
              <w:t>TOTAL BURDEN</w:t>
            </w:r>
          </w:p>
        </w:tc>
        <w:tc>
          <w:tcPr>
            <w:tcW w:w="1939" w:type="dxa"/>
            <w:gridSpan w:val="2"/>
            <w:tcBorders>
              <w:top w:val="single" w:color="000000" w:sz="8" w:space="0"/>
              <w:left w:val="single" w:color="000000" w:sz="8" w:space="0"/>
              <w:bottom w:val="single" w:color="auto" w:sz="4" w:space="0"/>
              <w:right w:val="single" w:color="000000" w:sz="8" w:space="0"/>
            </w:tcBorders>
            <w:shd w:val="pct10" w:color="000000" w:fill="FFFFFF"/>
            <w:vAlign w:val="center"/>
          </w:tcPr>
          <w:p w:rsidRPr="00B25BFA" w:rsidR="00B25BFA" w:rsidP="00B25BFA" w:rsidRDefault="00B25BFA" w14:paraId="1FF16855" w14:textId="77777777">
            <w:pPr>
              <w:tabs>
                <w:tab w:val="left" w:pos="-1080"/>
                <w:tab w:val="left" w:pos="-720"/>
                <w:tab w:val="left" w:pos="0"/>
                <w:tab w:val="left" w:pos="450"/>
                <w:tab w:val="left" w:pos="900"/>
                <w:tab w:val="left" w:pos="2880"/>
              </w:tabs>
              <w:spacing w:after="0" w:line="240" w:lineRule="auto"/>
              <w:ind w:right="-144"/>
              <w:jc w:val="center"/>
              <w:rPr>
                <w:rFonts w:ascii="Times New Roman" w:hAnsi="Times New Roman" w:eastAsia="Times New Roman" w:cs="Times New Roman"/>
                <w:b/>
                <w:snapToGrid w:val="0"/>
              </w:rPr>
            </w:pPr>
            <w:r w:rsidRPr="00B25BFA">
              <w:rPr>
                <w:rFonts w:ascii="Times New Roman" w:hAnsi="Times New Roman" w:eastAsia="Times New Roman" w:cs="Times New Roman"/>
                <w:b/>
                <w:snapToGrid w:val="0"/>
              </w:rPr>
              <w:t>4,266</w:t>
            </w:r>
          </w:p>
          <w:p w:rsidRPr="00B25BFA" w:rsidR="00B25BFA" w:rsidP="00B25BFA" w:rsidRDefault="00B25BFA" w14:paraId="0B3C464B" w14:textId="77777777">
            <w:pPr>
              <w:tabs>
                <w:tab w:val="left" w:pos="-1080"/>
                <w:tab w:val="left" w:pos="-720"/>
                <w:tab w:val="left" w:pos="0"/>
                <w:tab w:val="left" w:pos="450"/>
                <w:tab w:val="left" w:pos="900"/>
                <w:tab w:val="left" w:pos="2880"/>
              </w:tabs>
              <w:spacing w:after="0" w:line="240" w:lineRule="auto"/>
              <w:ind w:right="-144"/>
              <w:jc w:val="center"/>
              <w:rPr>
                <w:rFonts w:ascii="Times New Roman" w:hAnsi="Times New Roman" w:eastAsia="Times New Roman" w:cs="Times New Roman"/>
                <w:b/>
                <w:snapToGrid w:val="0"/>
              </w:rPr>
            </w:pPr>
            <w:r w:rsidRPr="00B25BFA">
              <w:rPr>
                <w:rFonts w:ascii="Times New Roman" w:hAnsi="Times New Roman" w:eastAsia="Times New Roman" w:cs="Times New Roman"/>
                <w:b/>
                <w:snapToGrid w:val="0"/>
              </w:rPr>
              <w:t>Responses</w:t>
            </w:r>
          </w:p>
        </w:tc>
        <w:tc>
          <w:tcPr>
            <w:tcW w:w="1260" w:type="dxa"/>
            <w:tcBorders>
              <w:top w:val="single" w:color="000000" w:sz="8" w:space="0"/>
              <w:left w:val="single" w:color="000000" w:sz="8" w:space="0"/>
              <w:bottom w:val="single" w:color="auto" w:sz="4" w:space="0"/>
              <w:right w:val="single" w:color="auto" w:sz="4" w:space="0"/>
            </w:tcBorders>
            <w:shd w:val="pct10" w:color="000000" w:fill="FFFFFF"/>
            <w:vAlign w:val="center"/>
          </w:tcPr>
          <w:p w:rsidRPr="00B25BFA" w:rsidR="00B25BFA" w:rsidP="00B25BFA" w:rsidRDefault="00B25BFA" w14:paraId="226174AE" w14:textId="77777777">
            <w:pPr>
              <w:tabs>
                <w:tab w:val="left" w:pos="-1080"/>
                <w:tab w:val="left" w:pos="-720"/>
                <w:tab w:val="left" w:pos="0"/>
                <w:tab w:val="left" w:pos="450"/>
                <w:tab w:val="left" w:pos="900"/>
                <w:tab w:val="left" w:pos="1350"/>
                <w:tab w:val="left" w:pos="2880"/>
              </w:tabs>
              <w:spacing w:before="40" w:after="40" w:line="240" w:lineRule="auto"/>
              <w:jc w:val="right"/>
              <w:rPr>
                <w:rFonts w:ascii="Times New Roman" w:hAnsi="Times New Roman" w:eastAsia="Times New Roman" w:cs="Times New Roman"/>
                <w:b/>
                <w:snapToGrid w:val="0"/>
              </w:rPr>
            </w:pPr>
            <w:r w:rsidRPr="00B25BFA">
              <w:rPr>
                <w:rFonts w:ascii="Times New Roman" w:hAnsi="Times New Roman" w:eastAsia="Times New Roman" w:cs="Times New Roman"/>
                <w:b/>
                <w:snapToGrid w:val="0"/>
              </w:rPr>
              <w:t>436,438  Hours</w:t>
            </w:r>
          </w:p>
        </w:tc>
      </w:tr>
      <w:tr w:rsidRPr="00B25BFA" w:rsidR="00B25BFA" w:rsidTr="00671A0D" w14:paraId="00A591DA" w14:textId="77777777">
        <w:trPr>
          <w:trHeight w:val="232"/>
          <w:jc w:val="center"/>
        </w:trPr>
        <w:tc>
          <w:tcPr>
            <w:tcW w:w="7020" w:type="dxa"/>
            <w:gridSpan w:val="3"/>
            <w:vMerge/>
            <w:tcBorders>
              <w:left w:val="single" w:color="auto" w:sz="4" w:space="0"/>
              <w:bottom w:val="single" w:color="auto" w:sz="4" w:space="0"/>
              <w:right w:val="single" w:color="000000" w:sz="8" w:space="0"/>
            </w:tcBorders>
            <w:shd w:val="pct10" w:color="000000" w:fill="FFFFFF"/>
            <w:tcMar>
              <w:left w:w="72" w:type="dxa"/>
            </w:tcMar>
            <w:vAlign w:val="center"/>
          </w:tcPr>
          <w:p w:rsidRPr="00B25BFA" w:rsidR="00B25BFA" w:rsidP="00B25BFA" w:rsidRDefault="00B25BFA" w14:paraId="36D4B318" w14:textId="77777777">
            <w:pPr>
              <w:tabs>
                <w:tab w:val="left" w:pos="-1080"/>
                <w:tab w:val="left" w:pos="-720"/>
                <w:tab w:val="left" w:pos="0"/>
                <w:tab w:val="left" w:pos="450"/>
                <w:tab w:val="left" w:pos="900"/>
                <w:tab w:val="left" w:pos="1350"/>
                <w:tab w:val="left" w:pos="2880"/>
              </w:tabs>
              <w:spacing w:after="0" w:line="240" w:lineRule="auto"/>
              <w:rPr>
                <w:rFonts w:ascii="Times New Roman" w:hAnsi="Times New Roman" w:eastAsia="Times New Roman" w:cs="Times New Roman"/>
                <w:b/>
                <w:snapToGrid w:val="0"/>
              </w:rPr>
            </w:pPr>
          </w:p>
        </w:tc>
        <w:tc>
          <w:tcPr>
            <w:tcW w:w="3199" w:type="dxa"/>
            <w:gridSpan w:val="3"/>
            <w:tcBorders>
              <w:top w:val="single" w:color="auto" w:sz="4" w:space="0"/>
              <w:left w:val="single" w:color="000000" w:sz="8" w:space="0"/>
              <w:bottom w:val="single" w:color="auto" w:sz="4" w:space="0"/>
              <w:right w:val="single" w:color="auto" w:sz="4" w:space="0"/>
            </w:tcBorders>
            <w:shd w:val="pct10" w:color="000000" w:fill="FFFFFF"/>
            <w:vAlign w:val="center"/>
          </w:tcPr>
          <w:p w:rsidRPr="00B25BFA" w:rsidR="00B25BFA" w:rsidP="00B25BFA" w:rsidRDefault="00B25BFA" w14:paraId="18E768A0" w14:textId="77777777">
            <w:pPr>
              <w:tabs>
                <w:tab w:val="left" w:pos="-1080"/>
                <w:tab w:val="left" w:pos="-720"/>
                <w:tab w:val="left" w:pos="0"/>
                <w:tab w:val="left" w:pos="450"/>
                <w:tab w:val="left" w:pos="900"/>
                <w:tab w:val="left" w:pos="1350"/>
                <w:tab w:val="left" w:pos="2880"/>
              </w:tabs>
              <w:spacing w:before="40" w:after="40" w:line="240" w:lineRule="auto"/>
              <w:jc w:val="center"/>
              <w:rPr>
                <w:rFonts w:ascii="Times New Roman" w:hAnsi="Times New Roman" w:eastAsia="Times New Roman" w:cs="Times New Roman"/>
                <w:b/>
                <w:snapToGrid w:val="0"/>
              </w:rPr>
            </w:pPr>
            <w:r w:rsidRPr="00B25BFA">
              <w:rPr>
                <w:rFonts w:ascii="Times New Roman" w:hAnsi="Times New Roman" w:eastAsia="Times New Roman" w:cs="Times New Roman"/>
                <w:b/>
                <w:snapToGrid w:val="0"/>
              </w:rPr>
              <w:t xml:space="preserve">$3,939,435 Non-Hour Costs </w:t>
            </w:r>
          </w:p>
        </w:tc>
      </w:tr>
    </w:tbl>
    <w:p w:rsidRPr="00B25BFA" w:rsidR="00B25BFA" w:rsidP="00B25BFA" w:rsidRDefault="00B25BFA" w14:paraId="6AD915DC" w14:textId="77777777">
      <w:pPr>
        <w:widowControl/>
        <w:tabs>
          <w:tab w:val="left" w:pos="-1080"/>
          <w:tab w:val="left" w:pos="-720"/>
          <w:tab w:val="left" w:pos="0"/>
          <w:tab w:val="left" w:pos="360"/>
          <w:tab w:val="left" w:pos="810"/>
          <w:tab w:val="left" w:pos="2160"/>
        </w:tabs>
        <w:spacing w:after="0" w:line="240" w:lineRule="auto"/>
        <w:rPr>
          <w:rFonts w:ascii="Times New Roman" w:hAnsi="Times New Roman" w:eastAsia="Times New Roman" w:cs="Times New Roman"/>
          <w:sz w:val="18"/>
          <w:szCs w:val="18"/>
        </w:rPr>
      </w:pPr>
      <w:r w:rsidRPr="00B25BFA">
        <w:rPr>
          <w:rFonts w:ascii="Times New Roman" w:hAnsi="Times New Roman" w:eastAsia="Times New Roman" w:cs="Times New Roman"/>
          <w:sz w:val="20"/>
          <w:szCs w:val="24"/>
          <w:vertAlign w:val="superscript"/>
        </w:rPr>
        <w:t>*</w:t>
      </w:r>
      <w:r w:rsidRPr="00B25BFA">
        <w:rPr>
          <w:rFonts w:ascii="Times New Roman" w:hAnsi="Times New Roman" w:eastAsia="Times New Roman" w:cs="Times New Roman"/>
          <w:sz w:val="24"/>
          <w:szCs w:val="24"/>
          <w:vertAlign w:val="superscript"/>
        </w:rPr>
        <w:t xml:space="preserve"> </w:t>
      </w:r>
      <w:r w:rsidRPr="00B25BFA">
        <w:rPr>
          <w:rFonts w:ascii="Times New Roman" w:hAnsi="Times New Roman" w:eastAsia="Times New Roman" w:cs="Times New Roman"/>
          <w:sz w:val="24"/>
          <w:szCs w:val="24"/>
        </w:rPr>
        <w:t xml:space="preserve"> </w:t>
      </w:r>
      <w:r w:rsidRPr="00B25BFA">
        <w:rPr>
          <w:rFonts w:ascii="Times New Roman" w:hAnsi="Times New Roman" w:eastAsia="Times New Roman" w:cs="Times New Roman"/>
          <w:sz w:val="18"/>
          <w:szCs w:val="18"/>
        </w:rPr>
        <w:t>The identification number of NTLs may change when NTLs are reissued periodically to update information.</w:t>
      </w:r>
    </w:p>
    <w:p w:rsidRPr="00B25BFA" w:rsidR="00B25BFA" w:rsidP="00B25BFA" w:rsidRDefault="00B25BFA" w14:paraId="25288592" w14:textId="77777777">
      <w:pPr>
        <w:widowControl/>
        <w:tabs>
          <w:tab w:val="left" w:pos="-1080"/>
          <w:tab w:val="left" w:pos="-720"/>
          <w:tab w:val="left" w:pos="0"/>
          <w:tab w:val="left" w:pos="360"/>
          <w:tab w:val="left" w:pos="810"/>
          <w:tab w:val="left" w:pos="2160"/>
        </w:tabs>
        <w:spacing w:after="0" w:line="240" w:lineRule="auto"/>
        <w:rPr>
          <w:rFonts w:ascii="Times New Roman" w:hAnsi="Times New Roman" w:eastAsia="Times New Roman" w:cs="Times New Roman"/>
          <w:i/>
          <w:sz w:val="18"/>
          <w:szCs w:val="18"/>
        </w:rPr>
      </w:pPr>
      <w:r w:rsidRPr="00B25BFA">
        <w:rPr>
          <w:rFonts w:ascii="Times New Roman" w:hAnsi="Times New Roman" w:eastAsia="Times New Roman" w:cs="Times New Roman"/>
          <w:sz w:val="18"/>
          <w:szCs w:val="18"/>
        </w:rPr>
        <w:t>**</w:t>
      </w:r>
      <w:r w:rsidR="007B29A2">
        <w:rPr>
          <w:rFonts w:ascii="Times New Roman" w:hAnsi="Times New Roman" w:eastAsia="Times New Roman" w:cs="Times New Roman"/>
          <w:sz w:val="18"/>
          <w:szCs w:val="18"/>
        </w:rPr>
        <w:t>R</w:t>
      </w:r>
      <w:r w:rsidRPr="00B25BFA">
        <w:rPr>
          <w:rFonts w:ascii="Times New Roman" w:hAnsi="Times New Roman" w:eastAsia="Times New Roman" w:cs="Times New Roman"/>
          <w:sz w:val="18"/>
          <w:szCs w:val="18"/>
        </w:rPr>
        <w:t>equirements from the Oil and Gas and Sulfur Operations on the Outer Continental Shelf—Requirements for Exploratory Drilling on the Arctic Outer Continental Shelf final rule</w:t>
      </w:r>
      <w:r w:rsidRPr="00B25BFA">
        <w:rPr>
          <w:rFonts w:ascii="Times New Roman" w:hAnsi="Times New Roman" w:eastAsia="Times New Roman" w:cs="Times New Roman"/>
          <w:i/>
          <w:sz w:val="18"/>
          <w:szCs w:val="18"/>
        </w:rPr>
        <w:t>.</w:t>
      </w:r>
    </w:p>
    <w:p w:rsidRPr="00B25BFA" w:rsidR="00B25BFA" w:rsidP="00B25BFA" w:rsidRDefault="00B25BFA" w14:paraId="1E98FF98" w14:textId="77777777">
      <w:pPr>
        <w:widowControl/>
        <w:spacing w:after="0" w:line="240" w:lineRule="auto"/>
        <w:rPr>
          <w:rFonts w:ascii="Times New Roman" w:hAnsi="Times New Roman" w:eastAsia="Times New Roman" w:cs="Times New Roman"/>
          <w:sz w:val="18"/>
          <w:szCs w:val="18"/>
        </w:rPr>
      </w:pPr>
      <w:r w:rsidRPr="00B25BFA">
        <w:rPr>
          <w:rFonts w:ascii="Times New Roman" w:hAnsi="Times New Roman" w:eastAsia="Times New Roman" w:cs="Times New Roman"/>
          <w:sz w:val="18"/>
          <w:szCs w:val="18"/>
        </w:rPr>
        <w:t>***Archaeological surveys and reports required under 30 CFR 550, Subpart A in 550.194(a) are generally part of the geohazard survey report required under 30 CFR 550, Subpart B.  On average it takes an archaeologist 35 hours to prepare the archaeological survey and report.  This hour burden is included in the overall hour burden estimate for submission of EPs and all required information.</w:t>
      </w:r>
    </w:p>
    <w:p w:rsidR="00B25BFA" w:rsidP="000E4EB9" w:rsidRDefault="00B25BFA" w14:paraId="6E921D9E" w14:textId="77777777">
      <w:pPr>
        <w:spacing w:after="0" w:line="240" w:lineRule="auto"/>
        <w:ind w:right="-43"/>
        <w:rPr>
          <w:rFonts w:ascii="Times New Roman" w:hAnsi="Times New Roman" w:eastAsia="Times New Roman" w:cs="Times New Roman"/>
          <w:color w:val="030303"/>
          <w:spacing w:val="2"/>
          <w:sz w:val="24"/>
          <w:szCs w:val="24"/>
        </w:rPr>
      </w:pPr>
    </w:p>
    <w:p w:rsidR="0001155F" w:rsidP="00A03B38" w:rsidRDefault="0001155F" w14:paraId="76872776" w14:textId="77777777">
      <w:pPr>
        <w:spacing w:after="0" w:line="240" w:lineRule="auto"/>
        <w:ind w:right="-40" w:hanging="5"/>
        <w:rPr>
          <w:rFonts w:ascii="Times New Roman" w:hAnsi="Times New Roman" w:eastAsia="Times New Roman" w:cs="Times New Roman"/>
          <w:b/>
          <w:i/>
          <w:color w:val="030303"/>
          <w:spacing w:val="2"/>
          <w:sz w:val="24"/>
          <w:szCs w:val="24"/>
        </w:rPr>
      </w:pPr>
    </w:p>
    <w:p w:rsidRPr="00161FAA" w:rsidR="00F64F67" w:rsidP="00D90DB2" w:rsidRDefault="00F64F67" w14:paraId="3A01DDD1" w14:textId="77777777">
      <w:pPr>
        <w:spacing w:after="0" w:line="240" w:lineRule="auto"/>
        <w:ind w:left="-5" w:right="-40"/>
        <w:rPr>
          <w:rFonts w:ascii="Times New Roman" w:hAnsi="Times New Roman" w:eastAsia="Times New Roman" w:cs="Times New Roman"/>
          <w:b/>
          <w:i/>
          <w:color w:val="030303"/>
          <w:spacing w:val="2"/>
          <w:sz w:val="24"/>
          <w:szCs w:val="24"/>
        </w:rPr>
      </w:pPr>
      <w:r w:rsidRPr="00161FAA">
        <w:rPr>
          <w:rFonts w:ascii="Times New Roman" w:hAnsi="Times New Roman" w:eastAsia="Times New Roman" w:cs="Times New Roman"/>
          <w:b/>
          <w:i/>
          <w:color w:val="030303"/>
          <w:spacing w:val="2"/>
          <w:sz w:val="24"/>
          <w:szCs w:val="24"/>
        </w:rPr>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the Federal Government."</w:t>
      </w:r>
    </w:p>
    <w:p w:rsidR="00F64F67" w:rsidP="00A03B38" w:rsidRDefault="00F64F67" w14:paraId="74A76FD1" w14:textId="77777777">
      <w:pPr>
        <w:spacing w:after="0" w:line="240" w:lineRule="auto"/>
        <w:ind w:right="-40" w:hanging="5"/>
        <w:rPr>
          <w:rFonts w:ascii="Times New Roman" w:hAnsi="Times New Roman" w:eastAsia="Times New Roman" w:cs="Times New Roman"/>
          <w:color w:val="030303"/>
          <w:spacing w:val="2"/>
          <w:sz w:val="24"/>
          <w:szCs w:val="24"/>
        </w:rPr>
      </w:pPr>
    </w:p>
    <w:p w:rsidR="003D1994" w:rsidP="00A03B38" w:rsidRDefault="003D1994" w14:paraId="56799D69" w14:textId="77777777">
      <w:pPr>
        <w:spacing w:after="0" w:line="240" w:lineRule="auto"/>
        <w:ind w:right="-40" w:hanging="5"/>
        <w:rPr>
          <w:rFonts w:ascii="Times New Roman" w:hAnsi="Times New Roman" w:eastAsia="Times New Roman" w:cs="Times New Roman"/>
          <w:color w:val="030303"/>
          <w:spacing w:val="2"/>
          <w:sz w:val="24"/>
          <w:szCs w:val="24"/>
        </w:rPr>
      </w:pPr>
      <w:r>
        <w:rPr>
          <w:rFonts w:ascii="Times New Roman" w:hAnsi="Times New Roman" w:eastAsia="Times New Roman" w:cs="Times New Roman"/>
          <w:color w:val="030303"/>
          <w:spacing w:val="2"/>
          <w:sz w:val="24"/>
          <w:szCs w:val="24"/>
        </w:rPr>
        <w:t xml:space="preserve">The annualized costs </w:t>
      </w:r>
      <w:r w:rsidR="00FA0125">
        <w:rPr>
          <w:rFonts w:ascii="Times New Roman" w:hAnsi="Times New Roman" w:eastAsia="Times New Roman" w:cs="Times New Roman"/>
          <w:color w:val="030303"/>
          <w:spacing w:val="2"/>
          <w:sz w:val="24"/>
          <w:szCs w:val="24"/>
        </w:rPr>
        <w:t xml:space="preserve">to respondents </w:t>
      </w:r>
      <w:r>
        <w:rPr>
          <w:rFonts w:ascii="Times New Roman" w:hAnsi="Times New Roman" w:eastAsia="Times New Roman" w:cs="Times New Roman"/>
          <w:color w:val="030303"/>
          <w:spacing w:val="2"/>
          <w:sz w:val="24"/>
          <w:szCs w:val="24"/>
        </w:rPr>
        <w:t>will remain current</w:t>
      </w:r>
      <w:r w:rsidR="000E4EB9">
        <w:rPr>
          <w:rFonts w:ascii="Times New Roman" w:hAnsi="Times New Roman" w:eastAsia="Times New Roman" w:cs="Times New Roman"/>
          <w:color w:val="030303"/>
          <w:spacing w:val="2"/>
          <w:sz w:val="24"/>
          <w:szCs w:val="24"/>
        </w:rPr>
        <w:t xml:space="preserve"> as approved by OMB in OMB Control Numbers 1010-0114, 1010-0151, and 1010-0057</w:t>
      </w:r>
      <w:r>
        <w:rPr>
          <w:rFonts w:ascii="Times New Roman" w:hAnsi="Times New Roman" w:eastAsia="Times New Roman" w:cs="Times New Roman"/>
          <w:color w:val="030303"/>
          <w:spacing w:val="2"/>
          <w:sz w:val="24"/>
          <w:szCs w:val="24"/>
        </w:rPr>
        <w:t>.</w:t>
      </w:r>
    </w:p>
    <w:p w:rsidR="00D324EC" w:rsidP="00A03B38" w:rsidRDefault="00D324EC" w14:paraId="1298A1FC" w14:textId="77777777">
      <w:pPr>
        <w:spacing w:after="0" w:line="240" w:lineRule="auto"/>
        <w:ind w:right="-40" w:hanging="5"/>
        <w:rPr>
          <w:rFonts w:ascii="Times New Roman" w:hAnsi="Times New Roman" w:eastAsia="Times New Roman" w:cs="Times New Roman"/>
          <w:color w:val="030303"/>
          <w:spacing w:val="2"/>
          <w:sz w:val="24"/>
          <w:szCs w:val="24"/>
        </w:rPr>
      </w:pPr>
    </w:p>
    <w:p w:rsidR="00D324EC" w:rsidP="00A03B38" w:rsidRDefault="00D324EC" w14:paraId="048AF60D" w14:textId="77777777">
      <w:pPr>
        <w:spacing w:after="0" w:line="240" w:lineRule="auto"/>
        <w:ind w:right="-40" w:hanging="5"/>
        <w:rPr>
          <w:rFonts w:ascii="Times New Roman" w:hAnsi="Times New Roman" w:eastAsia="Times New Roman" w:cs="Times New Roman"/>
          <w:color w:val="030303"/>
          <w:spacing w:val="2"/>
          <w:sz w:val="24"/>
          <w:szCs w:val="24"/>
        </w:rPr>
      </w:pPr>
      <w:r>
        <w:rPr>
          <w:rFonts w:ascii="Times New Roman" w:hAnsi="Times New Roman" w:eastAsia="Times New Roman" w:cs="Times New Roman"/>
          <w:color w:val="030303"/>
          <w:spacing w:val="2"/>
          <w:sz w:val="24"/>
          <w:szCs w:val="24"/>
        </w:rPr>
        <w:t>This supporting statement updates the respondent cost for OMB control number 1010-0151 using the most current Bureau of Labor Statistics (BLS) data.</w:t>
      </w:r>
    </w:p>
    <w:p w:rsidR="003D1994" w:rsidP="00A03B38" w:rsidRDefault="003D1994" w14:paraId="620DF85C" w14:textId="77777777">
      <w:pPr>
        <w:spacing w:after="0" w:line="240" w:lineRule="auto"/>
        <w:ind w:right="-40" w:hanging="5"/>
        <w:rPr>
          <w:rFonts w:ascii="Times New Roman" w:hAnsi="Times New Roman" w:eastAsia="Times New Roman" w:cs="Times New Roman"/>
          <w:color w:val="030303"/>
          <w:spacing w:val="2"/>
          <w:sz w:val="24"/>
          <w:szCs w:val="24"/>
        </w:rPr>
      </w:pPr>
    </w:p>
    <w:p w:rsidRPr="006F2808" w:rsidR="006F2808" w:rsidP="006F2808" w:rsidRDefault="006F2808" w14:paraId="4CFDBEA2" w14:textId="77777777">
      <w:pPr>
        <w:tabs>
          <w:tab w:val="left" w:pos="-1080"/>
          <w:tab w:val="left" w:pos="-720"/>
          <w:tab w:val="left" w:pos="0"/>
          <w:tab w:val="left" w:pos="360"/>
          <w:tab w:val="left" w:pos="810"/>
          <w:tab w:val="left" w:pos="2160"/>
        </w:tabs>
        <w:spacing w:after="0" w:line="240" w:lineRule="auto"/>
        <w:rPr>
          <w:rFonts w:ascii="Times New Roman" w:hAnsi="Times New Roman" w:eastAsia="Times New Roman" w:cs="Times New Roman"/>
          <w:snapToGrid w:val="0"/>
          <w:sz w:val="24"/>
          <w:szCs w:val="20"/>
        </w:rPr>
      </w:pPr>
      <w:r w:rsidRPr="006F2808">
        <w:rPr>
          <w:rFonts w:ascii="Times New Roman" w:hAnsi="Times New Roman" w:eastAsia="Times New Roman" w:cs="Times New Roman"/>
          <w:snapToGrid w:val="0"/>
          <w:sz w:val="24"/>
          <w:szCs w:val="20"/>
        </w:rPr>
        <w:t>The average respondent cost is $</w:t>
      </w:r>
      <w:r w:rsidR="007F6B2B">
        <w:rPr>
          <w:rFonts w:ascii="Times New Roman" w:hAnsi="Times New Roman" w:eastAsia="Times New Roman" w:cs="Times New Roman"/>
          <w:snapToGrid w:val="0"/>
          <w:sz w:val="24"/>
          <w:szCs w:val="20"/>
        </w:rPr>
        <w:t>1</w:t>
      </w:r>
      <w:r w:rsidR="000538BF">
        <w:rPr>
          <w:rFonts w:ascii="Times New Roman" w:hAnsi="Times New Roman" w:eastAsia="Times New Roman" w:cs="Times New Roman"/>
          <w:snapToGrid w:val="0"/>
          <w:sz w:val="24"/>
          <w:szCs w:val="20"/>
        </w:rPr>
        <w:t>10</w:t>
      </w:r>
      <w:r w:rsidRPr="006F2808">
        <w:rPr>
          <w:rFonts w:ascii="Times New Roman" w:hAnsi="Times New Roman" w:eastAsia="Times New Roman" w:cs="Times New Roman"/>
          <w:snapToGrid w:val="0"/>
          <w:sz w:val="24"/>
          <w:szCs w:val="20"/>
        </w:rPr>
        <w:t xml:space="preserve">*/hour (rounded).  This cost is broken out in the below table using the Bureau of Labor Statistics data for the Houston, TX area.  See BLS website:  </w:t>
      </w:r>
      <w:r w:rsidRPr="006F2808">
        <w:rPr>
          <w:rFonts w:ascii="Times New Roman" w:hAnsi="Times New Roman" w:eastAsia="Times New Roman" w:cs="Times New Roman"/>
          <w:b/>
          <w:snapToGrid w:val="0"/>
          <w:sz w:val="24"/>
          <w:szCs w:val="20"/>
        </w:rPr>
        <w:t>https://www.bls.gov/oes/current/oes_26420.htm</w:t>
      </w:r>
      <w:r w:rsidRPr="006F2808">
        <w:rPr>
          <w:rFonts w:ascii="Times New Roman" w:hAnsi="Times New Roman" w:eastAsia="Times New Roman" w:cs="Times New Roman"/>
          <w:snapToGrid w:val="0"/>
          <w:sz w:val="24"/>
          <w:szCs w:val="20"/>
        </w:rPr>
        <w:t xml:space="preserve">.  </w:t>
      </w:r>
    </w:p>
    <w:p w:rsidRPr="006F2808" w:rsidR="006F2808" w:rsidP="006F2808" w:rsidRDefault="006F2808" w14:paraId="3D872531" w14:textId="77777777">
      <w:pPr>
        <w:tabs>
          <w:tab w:val="left" w:pos="-1080"/>
          <w:tab w:val="left" w:pos="-720"/>
          <w:tab w:val="left" w:pos="0"/>
          <w:tab w:val="left" w:pos="360"/>
          <w:tab w:val="left" w:pos="810"/>
          <w:tab w:val="left" w:pos="2160"/>
        </w:tabs>
        <w:spacing w:after="0" w:line="240" w:lineRule="auto"/>
        <w:rPr>
          <w:rFonts w:ascii="Times New Roman" w:hAnsi="Times New Roman" w:eastAsia="Times New Roman" w:cs="Times New Roman"/>
          <w:snapToGrid w:val="0"/>
          <w:sz w:val="24"/>
          <w:szCs w:val="20"/>
        </w:rPr>
      </w:pP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68"/>
        <w:gridCol w:w="1435"/>
        <w:gridCol w:w="1954"/>
        <w:gridCol w:w="1696"/>
        <w:gridCol w:w="1627"/>
      </w:tblGrid>
      <w:tr w:rsidRPr="006F2808" w:rsidR="006F2808" w:rsidTr="00A91427" w14:paraId="05CB9C98" w14:textId="77777777">
        <w:trPr>
          <w:trHeight w:val="665"/>
          <w:jc w:val="center"/>
        </w:trPr>
        <w:tc>
          <w:tcPr>
            <w:tcW w:w="3368" w:type="dxa"/>
            <w:vAlign w:val="center"/>
          </w:tcPr>
          <w:p w:rsidRPr="006F2808" w:rsidR="006F2808" w:rsidP="006F2808" w:rsidRDefault="006F2808" w14:paraId="04AAA890" w14:textId="77777777">
            <w:pPr>
              <w:widowControl/>
              <w:tabs>
                <w:tab w:val="left" w:pos="360"/>
                <w:tab w:val="left" w:pos="720"/>
                <w:tab w:val="left" w:pos="1080"/>
              </w:tabs>
              <w:spacing w:after="0" w:line="240" w:lineRule="auto"/>
              <w:jc w:val="center"/>
              <w:rPr>
                <w:rFonts w:ascii="Times New Roman" w:hAnsi="Times New Roman" w:eastAsia="Times New Roman" w:cs="Times New Roman"/>
                <w:b/>
                <w:snapToGrid w:val="0"/>
                <w:sz w:val="21"/>
                <w:szCs w:val="21"/>
              </w:rPr>
            </w:pPr>
            <w:r w:rsidRPr="006F2808">
              <w:rPr>
                <w:rFonts w:ascii="Times New Roman" w:hAnsi="Times New Roman" w:eastAsia="Times New Roman" w:cs="Times New Roman"/>
                <w:b/>
                <w:snapToGrid w:val="0"/>
                <w:sz w:val="21"/>
                <w:szCs w:val="21"/>
              </w:rPr>
              <w:t>Position</w:t>
            </w:r>
          </w:p>
        </w:tc>
        <w:tc>
          <w:tcPr>
            <w:tcW w:w="1435" w:type="dxa"/>
          </w:tcPr>
          <w:p w:rsidRPr="006F2808" w:rsidR="006F2808" w:rsidP="006F2808" w:rsidRDefault="006F2808" w14:paraId="22115509" w14:textId="77777777">
            <w:pPr>
              <w:widowControl/>
              <w:tabs>
                <w:tab w:val="left" w:pos="360"/>
                <w:tab w:val="left" w:pos="720"/>
                <w:tab w:val="left" w:pos="1080"/>
              </w:tabs>
              <w:spacing w:after="0" w:line="240" w:lineRule="auto"/>
              <w:jc w:val="center"/>
              <w:rPr>
                <w:rFonts w:ascii="Times New Roman" w:hAnsi="Times New Roman" w:eastAsia="Times New Roman" w:cs="Times New Roman"/>
                <w:b/>
                <w:snapToGrid w:val="0"/>
                <w:sz w:val="21"/>
                <w:szCs w:val="21"/>
              </w:rPr>
            </w:pPr>
            <w:r w:rsidRPr="006F2808">
              <w:rPr>
                <w:rFonts w:ascii="Times New Roman" w:hAnsi="Times New Roman" w:eastAsia="Times New Roman" w:cs="Times New Roman"/>
                <w:b/>
                <w:snapToGrid w:val="0"/>
                <w:sz w:val="21"/>
                <w:szCs w:val="21"/>
              </w:rPr>
              <w:t>Hourly Pay rate ($/hour estimate)</w:t>
            </w:r>
          </w:p>
        </w:tc>
        <w:tc>
          <w:tcPr>
            <w:tcW w:w="1954" w:type="dxa"/>
          </w:tcPr>
          <w:p w:rsidRPr="006F2808" w:rsidR="006F2808" w:rsidP="006F2808" w:rsidRDefault="006F2808" w14:paraId="0DF80101" w14:textId="77777777">
            <w:pPr>
              <w:widowControl/>
              <w:tabs>
                <w:tab w:val="left" w:pos="360"/>
                <w:tab w:val="left" w:pos="720"/>
                <w:tab w:val="left" w:pos="1080"/>
              </w:tabs>
              <w:spacing w:after="0" w:line="240" w:lineRule="auto"/>
              <w:jc w:val="center"/>
              <w:rPr>
                <w:rFonts w:ascii="Times New Roman" w:hAnsi="Times New Roman" w:eastAsia="Times New Roman" w:cs="Times New Roman"/>
                <w:b/>
                <w:snapToGrid w:val="0"/>
                <w:sz w:val="21"/>
                <w:szCs w:val="21"/>
              </w:rPr>
            </w:pPr>
            <w:r w:rsidRPr="006F2808">
              <w:rPr>
                <w:rFonts w:ascii="Times New Roman" w:hAnsi="Times New Roman" w:eastAsia="Times New Roman" w:cs="Times New Roman"/>
                <w:b/>
                <w:snapToGrid w:val="0"/>
                <w:sz w:val="21"/>
                <w:szCs w:val="21"/>
              </w:rPr>
              <w:t>Hourly rate including benefits (1.4** x $/hour)</w:t>
            </w:r>
          </w:p>
        </w:tc>
        <w:tc>
          <w:tcPr>
            <w:tcW w:w="1696" w:type="dxa"/>
          </w:tcPr>
          <w:p w:rsidRPr="006F2808" w:rsidR="006F2808" w:rsidP="006F2808" w:rsidRDefault="006F2808" w14:paraId="7E4B48D1" w14:textId="77777777">
            <w:pPr>
              <w:widowControl/>
              <w:tabs>
                <w:tab w:val="left" w:pos="360"/>
                <w:tab w:val="left" w:pos="720"/>
                <w:tab w:val="left" w:pos="1080"/>
              </w:tabs>
              <w:spacing w:after="0" w:line="240" w:lineRule="auto"/>
              <w:jc w:val="center"/>
              <w:rPr>
                <w:rFonts w:ascii="Times New Roman" w:hAnsi="Times New Roman" w:eastAsia="Times New Roman" w:cs="Times New Roman"/>
                <w:b/>
                <w:snapToGrid w:val="0"/>
                <w:sz w:val="21"/>
                <w:szCs w:val="21"/>
              </w:rPr>
            </w:pPr>
            <w:r w:rsidRPr="006F2808">
              <w:rPr>
                <w:rFonts w:ascii="Times New Roman" w:hAnsi="Times New Roman" w:eastAsia="Times New Roman" w:cs="Times New Roman"/>
                <w:b/>
                <w:snapToGrid w:val="0"/>
                <w:sz w:val="21"/>
                <w:szCs w:val="21"/>
              </w:rPr>
              <w:t>Percent of time spent on collection</w:t>
            </w:r>
          </w:p>
        </w:tc>
        <w:tc>
          <w:tcPr>
            <w:tcW w:w="1627" w:type="dxa"/>
          </w:tcPr>
          <w:p w:rsidRPr="006F2808" w:rsidR="006F2808" w:rsidP="006F2808" w:rsidRDefault="006F2808" w14:paraId="293588BE" w14:textId="77777777">
            <w:pPr>
              <w:widowControl/>
              <w:tabs>
                <w:tab w:val="left" w:pos="360"/>
                <w:tab w:val="left" w:pos="720"/>
                <w:tab w:val="left" w:pos="1080"/>
              </w:tabs>
              <w:spacing w:after="0" w:line="240" w:lineRule="auto"/>
              <w:jc w:val="center"/>
              <w:rPr>
                <w:rFonts w:ascii="Times New Roman" w:hAnsi="Times New Roman" w:eastAsia="Times New Roman" w:cs="Times New Roman"/>
                <w:b/>
                <w:snapToGrid w:val="0"/>
                <w:sz w:val="21"/>
                <w:szCs w:val="21"/>
              </w:rPr>
            </w:pPr>
            <w:r w:rsidRPr="006F2808">
              <w:rPr>
                <w:rFonts w:ascii="Times New Roman" w:hAnsi="Times New Roman" w:eastAsia="Times New Roman" w:cs="Times New Roman"/>
                <w:b/>
                <w:snapToGrid w:val="0"/>
                <w:sz w:val="21"/>
                <w:szCs w:val="21"/>
              </w:rPr>
              <w:t>Weighted Average ($/hour)</w:t>
            </w:r>
          </w:p>
        </w:tc>
      </w:tr>
      <w:tr w:rsidRPr="006F2808" w:rsidR="006F2808" w:rsidTr="00A91427" w14:paraId="3DA1B5D8" w14:textId="77777777">
        <w:trPr>
          <w:jc w:val="center"/>
        </w:trPr>
        <w:tc>
          <w:tcPr>
            <w:tcW w:w="3368" w:type="dxa"/>
          </w:tcPr>
          <w:p w:rsidRPr="006F2808" w:rsidR="006F2808" w:rsidP="006F2808" w:rsidRDefault="006F2808" w14:paraId="6F433634" w14:textId="77777777">
            <w:pPr>
              <w:widowControl/>
              <w:tabs>
                <w:tab w:val="left" w:pos="360"/>
                <w:tab w:val="left" w:pos="720"/>
                <w:tab w:val="left" w:pos="1080"/>
              </w:tabs>
              <w:spacing w:after="0" w:line="240" w:lineRule="auto"/>
              <w:rPr>
                <w:rFonts w:ascii="Times New Roman" w:hAnsi="Times New Roman" w:eastAsia="Times New Roman" w:cs="Times New Roman"/>
                <w:snapToGrid w:val="0"/>
                <w:sz w:val="21"/>
                <w:szCs w:val="21"/>
              </w:rPr>
            </w:pPr>
            <w:r w:rsidRPr="006F2808">
              <w:rPr>
                <w:rFonts w:ascii="Times New Roman" w:hAnsi="Times New Roman" w:eastAsia="Times New Roman" w:cs="Times New Roman"/>
                <w:snapToGrid w:val="0"/>
                <w:sz w:val="21"/>
                <w:szCs w:val="21"/>
              </w:rPr>
              <w:t>Secretaries and Administrative assistants (43-6011)</w:t>
            </w:r>
          </w:p>
        </w:tc>
        <w:tc>
          <w:tcPr>
            <w:tcW w:w="1435" w:type="dxa"/>
          </w:tcPr>
          <w:p w:rsidRPr="006F2808" w:rsidR="006F2808" w:rsidP="006F2808" w:rsidRDefault="007F6B2B" w14:paraId="00835192" w14:textId="77777777">
            <w:pPr>
              <w:widowControl/>
              <w:tabs>
                <w:tab w:val="left" w:pos="360"/>
                <w:tab w:val="left" w:pos="720"/>
                <w:tab w:val="left" w:pos="1080"/>
              </w:tabs>
              <w:spacing w:after="0" w:line="240" w:lineRule="auto"/>
              <w:jc w:val="center"/>
              <w:rPr>
                <w:rFonts w:ascii="Times New Roman" w:hAnsi="Times New Roman" w:eastAsia="Times New Roman" w:cs="Times New Roman"/>
                <w:snapToGrid w:val="0"/>
                <w:sz w:val="21"/>
                <w:szCs w:val="21"/>
              </w:rPr>
            </w:pPr>
            <w:r>
              <w:rPr>
                <w:rFonts w:ascii="Times New Roman" w:hAnsi="Times New Roman" w:eastAsia="Times New Roman" w:cs="Times New Roman"/>
                <w:snapToGrid w:val="0"/>
                <w:sz w:val="21"/>
                <w:szCs w:val="21"/>
              </w:rPr>
              <w:t>$3</w:t>
            </w:r>
            <w:r w:rsidR="000538BF">
              <w:rPr>
                <w:rFonts w:ascii="Times New Roman" w:hAnsi="Times New Roman" w:eastAsia="Times New Roman" w:cs="Times New Roman"/>
                <w:snapToGrid w:val="0"/>
                <w:sz w:val="21"/>
                <w:szCs w:val="21"/>
              </w:rPr>
              <w:t>1</w:t>
            </w:r>
          </w:p>
        </w:tc>
        <w:tc>
          <w:tcPr>
            <w:tcW w:w="1954" w:type="dxa"/>
          </w:tcPr>
          <w:p w:rsidRPr="006F2808" w:rsidR="006F2808" w:rsidP="006F2808" w:rsidRDefault="007F6B2B" w14:paraId="48DCF813" w14:textId="77777777">
            <w:pPr>
              <w:widowControl/>
              <w:tabs>
                <w:tab w:val="left" w:pos="360"/>
                <w:tab w:val="left" w:pos="720"/>
                <w:tab w:val="left" w:pos="1080"/>
              </w:tabs>
              <w:spacing w:after="0" w:line="240" w:lineRule="auto"/>
              <w:jc w:val="center"/>
              <w:rPr>
                <w:rFonts w:ascii="Times New Roman" w:hAnsi="Times New Roman" w:eastAsia="Times New Roman" w:cs="Times New Roman"/>
                <w:snapToGrid w:val="0"/>
                <w:sz w:val="21"/>
                <w:szCs w:val="21"/>
              </w:rPr>
            </w:pPr>
            <w:r>
              <w:rPr>
                <w:rFonts w:ascii="Times New Roman" w:hAnsi="Times New Roman" w:eastAsia="Times New Roman" w:cs="Times New Roman"/>
                <w:snapToGrid w:val="0"/>
                <w:sz w:val="21"/>
                <w:szCs w:val="21"/>
              </w:rPr>
              <w:t>$4</w:t>
            </w:r>
            <w:r w:rsidR="000538BF">
              <w:rPr>
                <w:rFonts w:ascii="Times New Roman" w:hAnsi="Times New Roman" w:eastAsia="Times New Roman" w:cs="Times New Roman"/>
                <w:snapToGrid w:val="0"/>
                <w:sz w:val="21"/>
                <w:szCs w:val="21"/>
              </w:rPr>
              <w:t>3</w:t>
            </w:r>
          </w:p>
        </w:tc>
        <w:tc>
          <w:tcPr>
            <w:tcW w:w="1696" w:type="dxa"/>
          </w:tcPr>
          <w:p w:rsidRPr="006F2808" w:rsidR="006F2808" w:rsidP="006F2808" w:rsidRDefault="006F2808" w14:paraId="6025C6EB" w14:textId="77777777">
            <w:pPr>
              <w:widowControl/>
              <w:tabs>
                <w:tab w:val="left" w:pos="360"/>
                <w:tab w:val="left" w:pos="720"/>
                <w:tab w:val="left" w:pos="1080"/>
              </w:tabs>
              <w:spacing w:after="0" w:line="240" w:lineRule="auto"/>
              <w:jc w:val="center"/>
              <w:rPr>
                <w:rFonts w:ascii="Times New Roman" w:hAnsi="Times New Roman" w:eastAsia="Times New Roman" w:cs="Times New Roman"/>
                <w:snapToGrid w:val="0"/>
                <w:sz w:val="21"/>
                <w:szCs w:val="21"/>
              </w:rPr>
            </w:pPr>
            <w:r w:rsidRPr="006F2808">
              <w:rPr>
                <w:rFonts w:ascii="Times New Roman" w:hAnsi="Times New Roman" w:eastAsia="Times New Roman" w:cs="Times New Roman"/>
                <w:snapToGrid w:val="0"/>
                <w:sz w:val="21"/>
                <w:szCs w:val="21"/>
              </w:rPr>
              <w:t>15%</w:t>
            </w:r>
          </w:p>
        </w:tc>
        <w:tc>
          <w:tcPr>
            <w:tcW w:w="1627" w:type="dxa"/>
          </w:tcPr>
          <w:p w:rsidRPr="006F2808" w:rsidR="006F2808" w:rsidP="006F2808" w:rsidRDefault="007F6B2B" w14:paraId="244D1EC2" w14:textId="77777777">
            <w:pPr>
              <w:widowControl/>
              <w:tabs>
                <w:tab w:val="left" w:pos="360"/>
                <w:tab w:val="left" w:pos="720"/>
                <w:tab w:val="left" w:pos="1080"/>
              </w:tabs>
              <w:spacing w:after="0" w:line="240" w:lineRule="auto"/>
              <w:jc w:val="center"/>
              <w:rPr>
                <w:rFonts w:ascii="Times New Roman" w:hAnsi="Times New Roman" w:eastAsia="Times New Roman" w:cs="Times New Roman"/>
                <w:snapToGrid w:val="0"/>
                <w:sz w:val="21"/>
                <w:szCs w:val="21"/>
              </w:rPr>
            </w:pPr>
            <w:r>
              <w:rPr>
                <w:rFonts w:ascii="Times New Roman" w:hAnsi="Times New Roman" w:eastAsia="Times New Roman" w:cs="Times New Roman"/>
                <w:snapToGrid w:val="0"/>
                <w:sz w:val="21"/>
                <w:szCs w:val="21"/>
              </w:rPr>
              <w:t>$6</w:t>
            </w:r>
          </w:p>
        </w:tc>
      </w:tr>
      <w:tr w:rsidRPr="006F2808" w:rsidR="006F2808" w:rsidTr="00A91427" w14:paraId="4DCE43E1" w14:textId="77777777">
        <w:trPr>
          <w:jc w:val="center"/>
        </w:trPr>
        <w:tc>
          <w:tcPr>
            <w:tcW w:w="3368" w:type="dxa"/>
          </w:tcPr>
          <w:p w:rsidRPr="006F2808" w:rsidR="006F2808" w:rsidP="006F2808" w:rsidRDefault="006F2808" w14:paraId="7FC9F03D" w14:textId="77777777">
            <w:pPr>
              <w:widowControl/>
              <w:tabs>
                <w:tab w:val="left" w:pos="360"/>
                <w:tab w:val="left" w:pos="720"/>
                <w:tab w:val="left" w:pos="1080"/>
              </w:tabs>
              <w:spacing w:after="0" w:line="240" w:lineRule="auto"/>
              <w:rPr>
                <w:rFonts w:ascii="Times New Roman" w:hAnsi="Times New Roman" w:eastAsia="Times New Roman" w:cs="Times New Roman"/>
                <w:snapToGrid w:val="0"/>
                <w:sz w:val="21"/>
                <w:szCs w:val="21"/>
              </w:rPr>
            </w:pPr>
            <w:r w:rsidRPr="006F2808">
              <w:rPr>
                <w:rFonts w:ascii="Times New Roman" w:hAnsi="Times New Roman" w:eastAsia="Times New Roman" w:cs="Times New Roman"/>
                <w:snapToGrid w:val="0"/>
                <w:sz w:val="21"/>
                <w:szCs w:val="21"/>
              </w:rPr>
              <w:t>Petroleum Engineers, Geologists (17-2171)</w:t>
            </w:r>
          </w:p>
        </w:tc>
        <w:tc>
          <w:tcPr>
            <w:tcW w:w="1435" w:type="dxa"/>
          </w:tcPr>
          <w:p w:rsidRPr="006F2808" w:rsidR="006F2808" w:rsidP="006F2808" w:rsidRDefault="007F6B2B" w14:paraId="01124D06" w14:textId="77777777">
            <w:pPr>
              <w:widowControl/>
              <w:tabs>
                <w:tab w:val="left" w:pos="360"/>
                <w:tab w:val="left" w:pos="720"/>
                <w:tab w:val="left" w:pos="1080"/>
              </w:tabs>
              <w:spacing w:after="0" w:line="240" w:lineRule="auto"/>
              <w:jc w:val="center"/>
              <w:rPr>
                <w:rFonts w:ascii="Times New Roman" w:hAnsi="Times New Roman" w:eastAsia="Times New Roman" w:cs="Times New Roman"/>
                <w:snapToGrid w:val="0"/>
                <w:sz w:val="21"/>
                <w:szCs w:val="21"/>
              </w:rPr>
            </w:pPr>
            <w:r>
              <w:rPr>
                <w:rFonts w:ascii="Times New Roman" w:hAnsi="Times New Roman" w:eastAsia="Times New Roman" w:cs="Times New Roman"/>
                <w:snapToGrid w:val="0"/>
                <w:sz w:val="21"/>
                <w:szCs w:val="21"/>
              </w:rPr>
              <w:t>$8</w:t>
            </w:r>
            <w:r w:rsidR="000538BF">
              <w:rPr>
                <w:rFonts w:ascii="Times New Roman" w:hAnsi="Times New Roman" w:eastAsia="Times New Roman" w:cs="Times New Roman"/>
                <w:snapToGrid w:val="0"/>
                <w:sz w:val="21"/>
                <w:szCs w:val="21"/>
              </w:rPr>
              <w:t>8</w:t>
            </w:r>
          </w:p>
        </w:tc>
        <w:tc>
          <w:tcPr>
            <w:tcW w:w="1954" w:type="dxa"/>
          </w:tcPr>
          <w:p w:rsidRPr="006F2808" w:rsidR="006F2808" w:rsidP="006F2808" w:rsidRDefault="007F6B2B" w14:paraId="36219235" w14:textId="77777777">
            <w:pPr>
              <w:widowControl/>
              <w:tabs>
                <w:tab w:val="left" w:pos="360"/>
                <w:tab w:val="left" w:pos="720"/>
                <w:tab w:val="left" w:pos="1080"/>
              </w:tabs>
              <w:spacing w:after="0" w:line="240" w:lineRule="auto"/>
              <w:jc w:val="center"/>
              <w:rPr>
                <w:rFonts w:ascii="Times New Roman" w:hAnsi="Times New Roman" w:eastAsia="Times New Roman" w:cs="Times New Roman"/>
                <w:snapToGrid w:val="0"/>
                <w:sz w:val="21"/>
                <w:szCs w:val="21"/>
              </w:rPr>
            </w:pPr>
            <w:r>
              <w:rPr>
                <w:rFonts w:ascii="Times New Roman" w:hAnsi="Times New Roman" w:eastAsia="Times New Roman" w:cs="Times New Roman"/>
                <w:snapToGrid w:val="0"/>
                <w:sz w:val="21"/>
                <w:szCs w:val="21"/>
              </w:rPr>
              <w:t>$1</w:t>
            </w:r>
            <w:r w:rsidR="000538BF">
              <w:rPr>
                <w:rFonts w:ascii="Times New Roman" w:hAnsi="Times New Roman" w:eastAsia="Times New Roman" w:cs="Times New Roman"/>
                <w:snapToGrid w:val="0"/>
                <w:sz w:val="21"/>
                <w:szCs w:val="21"/>
              </w:rPr>
              <w:t>23</w:t>
            </w:r>
          </w:p>
        </w:tc>
        <w:tc>
          <w:tcPr>
            <w:tcW w:w="1696" w:type="dxa"/>
          </w:tcPr>
          <w:p w:rsidRPr="006F2808" w:rsidR="006F2808" w:rsidP="006F2808" w:rsidRDefault="006F2808" w14:paraId="40F2C97B" w14:textId="77777777">
            <w:pPr>
              <w:widowControl/>
              <w:tabs>
                <w:tab w:val="left" w:pos="360"/>
                <w:tab w:val="left" w:pos="720"/>
                <w:tab w:val="left" w:pos="1080"/>
              </w:tabs>
              <w:spacing w:after="0" w:line="240" w:lineRule="auto"/>
              <w:jc w:val="center"/>
              <w:rPr>
                <w:rFonts w:ascii="Times New Roman" w:hAnsi="Times New Roman" w:eastAsia="Times New Roman" w:cs="Times New Roman"/>
                <w:snapToGrid w:val="0"/>
                <w:sz w:val="21"/>
                <w:szCs w:val="21"/>
              </w:rPr>
            </w:pPr>
            <w:r w:rsidRPr="006F2808">
              <w:rPr>
                <w:rFonts w:ascii="Times New Roman" w:hAnsi="Times New Roman" w:eastAsia="Times New Roman" w:cs="Times New Roman"/>
                <w:snapToGrid w:val="0"/>
                <w:sz w:val="21"/>
                <w:szCs w:val="21"/>
              </w:rPr>
              <w:t>70%</w:t>
            </w:r>
          </w:p>
        </w:tc>
        <w:tc>
          <w:tcPr>
            <w:tcW w:w="1627" w:type="dxa"/>
          </w:tcPr>
          <w:p w:rsidRPr="006F2808" w:rsidR="006F2808" w:rsidP="006F2808" w:rsidRDefault="007F6B2B" w14:paraId="3D284AE7" w14:textId="77777777">
            <w:pPr>
              <w:widowControl/>
              <w:tabs>
                <w:tab w:val="left" w:pos="360"/>
                <w:tab w:val="left" w:pos="720"/>
                <w:tab w:val="left" w:pos="1080"/>
              </w:tabs>
              <w:spacing w:after="0" w:line="240" w:lineRule="auto"/>
              <w:jc w:val="center"/>
              <w:rPr>
                <w:rFonts w:ascii="Times New Roman" w:hAnsi="Times New Roman" w:eastAsia="Times New Roman" w:cs="Times New Roman"/>
                <w:snapToGrid w:val="0"/>
                <w:sz w:val="21"/>
                <w:szCs w:val="21"/>
              </w:rPr>
            </w:pPr>
            <w:r>
              <w:rPr>
                <w:rFonts w:ascii="Times New Roman" w:hAnsi="Times New Roman" w:eastAsia="Times New Roman" w:cs="Times New Roman"/>
                <w:snapToGrid w:val="0"/>
                <w:sz w:val="21"/>
                <w:szCs w:val="21"/>
              </w:rPr>
              <w:t>$8</w:t>
            </w:r>
            <w:r w:rsidR="000538BF">
              <w:rPr>
                <w:rFonts w:ascii="Times New Roman" w:hAnsi="Times New Roman" w:eastAsia="Times New Roman" w:cs="Times New Roman"/>
                <w:snapToGrid w:val="0"/>
                <w:sz w:val="21"/>
                <w:szCs w:val="21"/>
              </w:rPr>
              <w:t>6</w:t>
            </w:r>
          </w:p>
        </w:tc>
      </w:tr>
      <w:tr w:rsidRPr="006F2808" w:rsidR="006F2808" w:rsidTr="00A91427" w14:paraId="47528F4B" w14:textId="77777777">
        <w:trPr>
          <w:jc w:val="center"/>
        </w:trPr>
        <w:tc>
          <w:tcPr>
            <w:tcW w:w="3368" w:type="dxa"/>
          </w:tcPr>
          <w:p w:rsidRPr="006F2808" w:rsidR="006F2808" w:rsidP="006F2808" w:rsidRDefault="006F2808" w14:paraId="7D0EDEE8" w14:textId="77777777">
            <w:pPr>
              <w:widowControl/>
              <w:tabs>
                <w:tab w:val="left" w:pos="360"/>
                <w:tab w:val="left" w:pos="720"/>
                <w:tab w:val="left" w:pos="1080"/>
              </w:tabs>
              <w:spacing w:after="0" w:line="240" w:lineRule="auto"/>
              <w:rPr>
                <w:rFonts w:ascii="Times New Roman" w:hAnsi="Times New Roman" w:eastAsia="Times New Roman" w:cs="Times New Roman"/>
                <w:snapToGrid w:val="0"/>
                <w:sz w:val="21"/>
                <w:szCs w:val="21"/>
              </w:rPr>
            </w:pPr>
            <w:r w:rsidRPr="006F2808">
              <w:rPr>
                <w:rFonts w:ascii="Times New Roman" w:hAnsi="Times New Roman" w:eastAsia="Times New Roman" w:cs="Times New Roman"/>
                <w:snapToGrid w:val="0"/>
                <w:sz w:val="21"/>
                <w:szCs w:val="21"/>
              </w:rPr>
              <w:t>Supv. Engineer (17-2171)</w:t>
            </w:r>
          </w:p>
        </w:tc>
        <w:tc>
          <w:tcPr>
            <w:tcW w:w="1435" w:type="dxa"/>
          </w:tcPr>
          <w:p w:rsidRPr="006F2808" w:rsidR="006F2808" w:rsidP="006F2808" w:rsidRDefault="007F6B2B" w14:paraId="3E8A781F" w14:textId="77777777">
            <w:pPr>
              <w:widowControl/>
              <w:tabs>
                <w:tab w:val="left" w:pos="360"/>
                <w:tab w:val="left" w:pos="720"/>
                <w:tab w:val="left" w:pos="1080"/>
              </w:tabs>
              <w:spacing w:after="0" w:line="240" w:lineRule="auto"/>
              <w:jc w:val="center"/>
              <w:rPr>
                <w:rFonts w:ascii="Times New Roman" w:hAnsi="Times New Roman" w:eastAsia="Times New Roman" w:cs="Times New Roman"/>
                <w:snapToGrid w:val="0"/>
                <w:sz w:val="21"/>
                <w:szCs w:val="21"/>
              </w:rPr>
            </w:pPr>
            <w:r>
              <w:rPr>
                <w:rFonts w:ascii="Times New Roman" w:hAnsi="Times New Roman" w:eastAsia="Times New Roman" w:cs="Times New Roman"/>
                <w:snapToGrid w:val="0"/>
                <w:sz w:val="21"/>
                <w:szCs w:val="21"/>
              </w:rPr>
              <w:t>$8</w:t>
            </w:r>
            <w:r w:rsidR="000538BF">
              <w:rPr>
                <w:rFonts w:ascii="Times New Roman" w:hAnsi="Times New Roman" w:eastAsia="Times New Roman" w:cs="Times New Roman"/>
                <w:snapToGrid w:val="0"/>
                <w:sz w:val="21"/>
                <w:szCs w:val="21"/>
              </w:rPr>
              <w:t>8</w:t>
            </w:r>
          </w:p>
        </w:tc>
        <w:tc>
          <w:tcPr>
            <w:tcW w:w="1954" w:type="dxa"/>
          </w:tcPr>
          <w:p w:rsidRPr="006F2808" w:rsidR="006F2808" w:rsidP="006F2808" w:rsidRDefault="007F6B2B" w14:paraId="612F1141" w14:textId="77777777">
            <w:pPr>
              <w:widowControl/>
              <w:tabs>
                <w:tab w:val="left" w:pos="360"/>
                <w:tab w:val="left" w:pos="720"/>
                <w:tab w:val="left" w:pos="1080"/>
              </w:tabs>
              <w:spacing w:after="0" w:line="240" w:lineRule="auto"/>
              <w:jc w:val="center"/>
              <w:rPr>
                <w:rFonts w:ascii="Times New Roman" w:hAnsi="Times New Roman" w:eastAsia="Times New Roman" w:cs="Times New Roman"/>
                <w:snapToGrid w:val="0"/>
                <w:sz w:val="21"/>
                <w:szCs w:val="21"/>
              </w:rPr>
            </w:pPr>
            <w:r>
              <w:rPr>
                <w:rFonts w:ascii="Times New Roman" w:hAnsi="Times New Roman" w:eastAsia="Times New Roman" w:cs="Times New Roman"/>
                <w:snapToGrid w:val="0"/>
                <w:sz w:val="21"/>
                <w:szCs w:val="21"/>
              </w:rPr>
              <w:t>$1</w:t>
            </w:r>
            <w:r w:rsidR="000538BF">
              <w:rPr>
                <w:rFonts w:ascii="Times New Roman" w:hAnsi="Times New Roman" w:eastAsia="Times New Roman" w:cs="Times New Roman"/>
                <w:snapToGrid w:val="0"/>
                <w:sz w:val="21"/>
                <w:szCs w:val="21"/>
              </w:rPr>
              <w:t>23</w:t>
            </w:r>
          </w:p>
        </w:tc>
        <w:tc>
          <w:tcPr>
            <w:tcW w:w="1696" w:type="dxa"/>
          </w:tcPr>
          <w:p w:rsidRPr="006F2808" w:rsidR="006F2808" w:rsidP="006F2808" w:rsidRDefault="006F2808" w14:paraId="65B5DC34" w14:textId="77777777">
            <w:pPr>
              <w:widowControl/>
              <w:tabs>
                <w:tab w:val="left" w:pos="360"/>
                <w:tab w:val="left" w:pos="720"/>
                <w:tab w:val="left" w:pos="1080"/>
              </w:tabs>
              <w:spacing w:after="0" w:line="240" w:lineRule="auto"/>
              <w:jc w:val="center"/>
              <w:rPr>
                <w:rFonts w:ascii="Times New Roman" w:hAnsi="Times New Roman" w:eastAsia="Times New Roman" w:cs="Times New Roman"/>
                <w:snapToGrid w:val="0"/>
                <w:sz w:val="21"/>
                <w:szCs w:val="21"/>
              </w:rPr>
            </w:pPr>
            <w:r w:rsidRPr="006F2808">
              <w:rPr>
                <w:rFonts w:ascii="Times New Roman" w:hAnsi="Times New Roman" w:eastAsia="Times New Roman" w:cs="Times New Roman"/>
                <w:snapToGrid w:val="0"/>
                <w:sz w:val="21"/>
                <w:szCs w:val="21"/>
              </w:rPr>
              <w:t>15%</w:t>
            </w:r>
          </w:p>
        </w:tc>
        <w:tc>
          <w:tcPr>
            <w:tcW w:w="1627" w:type="dxa"/>
          </w:tcPr>
          <w:p w:rsidRPr="006F2808" w:rsidR="006F2808" w:rsidP="006F2808" w:rsidRDefault="007F6B2B" w14:paraId="0CCD9ED2" w14:textId="77777777">
            <w:pPr>
              <w:widowControl/>
              <w:tabs>
                <w:tab w:val="left" w:pos="360"/>
                <w:tab w:val="left" w:pos="720"/>
                <w:tab w:val="left" w:pos="1080"/>
              </w:tabs>
              <w:spacing w:after="0" w:line="240" w:lineRule="auto"/>
              <w:jc w:val="center"/>
              <w:rPr>
                <w:rFonts w:ascii="Times New Roman" w:hAnsi="Times New Roman" w:eastAsia="Times New Roman" w:cs="Times New Roman"/>
                <w:snapToGrid w:val="0"/>
                <w:sz w:val="21"/>
                <w:szCs w:val="21"/>
              </w:rPr>
            </w:pPr>
            <w:r>
              <w:rPr>
                <w:rFonts w:ascii="Times New Roman" w:hAnsi="Times New Roman" w:eastAsia="Times New Roman" w:cs="Times New Roman"/>
                <w:snapToGrid w:val="0"/>
                <w:sz w:val="21"/>
                <w:szCs w:val="21"/>
              </w:rPr>
              <w:t>$18</w:t>
            </w:r>
          </w:p>
        </w:tc>
      </w:tr>
      <w:tr w:rsidRPr="006F2808" w:rsidR="006F2808" w:rsidTr="00A91427" w14:paraId="2460DDBD" w14:textId="77777777">
        <w:trPr>
          <w:jc w:val="center"/>
        </w:trPr>
        <w:tc>
          <w:tcPr>
            <w:tcW w:w="8453" w:type="dxa"/>
            <w:gridSpan w:val="4"/>
          </w:tcPr>
          <w:p w:rsidRPr="006F2808" w:rsidR="006F2808" w:rsidP="006F2808" w:rsidRDefault="006F2808" w14:paraId="45500225" w14:textId="77777777">
            <w:pPr>
              <w:widowControl/>
              <w:tabs>
                <w:tab w:val="left" w:pos="360"/>
                <w:tab w:val="left" w:pos="720"/>
                <w:tab w:val="left" w:pos="1080"/>
              </w:tabs>
              <w:spacing w:after="0" w:line="240" w:lineRule="auto"/>
              <w:rPr>
                <w:rFonts w:ascii="Times New Roman" w:hAnsi="Times New Roman" w:eastAsia="Times New Roman" w:cs="Times New Roman"/>
                <w:b/>
                <w:snapToGrid w:val="0"/>
                <w:sz w:val="21"/>
                <w:szCs w:val="21"/>
              </w:rPr>
            </w:pPr>
            <w:r w:rsidRPr="006F2808">
              <w:rPr>
                <w:rFonts w:ascii="Times New Roman" w:hAnsi="Times New Roman" w:eastAsia="Times New Roman" w:cs="Times New Roman"/>
                <w:b/>
                <w:snapToGrid w:val="0"/>
                <w:sz w:val="21"/>
                <w:szCs w:val="21"/>
              </w:rPr>
              <w:t>Weighted Average ($/hour)</w:t>
            </w:r>
          </w:p>
        </w:tc>
        <w:tc>
          <w:tcPr>
            <w:tcW w:w="1627" w:type="dxa"/>
          </w:tcPr>
          <w:p w:rsidRPr="006F2808" w:rsidR="006F2808" w:rsidP="006F2808" w:rsidRDefault="007F6B2B" w14:paraId="296F0D60" w14:textId="77777777">
            <w:pPr>
              <w:widowControl/>
              <w:tabs>
                <w:tab w:val="left" w:pos="360"/>
                <w:tab w:val="left" w:pos="720"/>
                <w:tab w:val="left" w:pos="1080"/>
              </w:tabs>
              <w:spacing w:after="0" w:line="240" w:lineRule="auto"/>
              <w:jc w:val="center"/>
              <w:rPr>
                <w:rFonts w:ascii="Times New Roman" w:hAnsi="Times New Roman" w:eastAsia="Times New Roman" w:cs="Times New Roman"/>
                <w:b/>
                <w:snapToGrid w:val="0"/>
                <w:sz w:val="21"/>
                <w:szCs w:val="21"/>
              </w:rPr>
            </w:pPr>
            <w:r>
              <w:rPr>
                <w:rFonts w:ascii="Times New Roman" w:hAnsi="Times New Roman" w:eastAsia="Times New Roman" w:cs="Times New Roman"/>
                <w:b/>
                <w:snapToGrid w:val="0"/>
                <w:sz w:val="21"/>
                <w:szCs w:val="21"/>
              </w:rPr>
              <w:t>$1</w:t>
            </w:r>
            <w:r w:rsidR="000538BF">
              <w:rPr>
                <w:rFonts w:ascii="Times New Roman" w:hAnsi="Times New Roman" w:eastAsia="Times New Roman" w:cs="Times New Roman"/>
                <w:b/>
                <w:snapToGrid w:val="0"/>
                <w:sz w:val="21"/>
                <w:szCs w:val="21"/>
              </w:rPr>
              <w:t>10</w:t>
            </w:r>
          </w:p>
        </w:tc>
      </w:tr>
    </w:tbl>
    <w:p w:rsidRPr="006F2808" w:rsidR="006F2808" w:rsidP="006F2808" w:rsidRDefault="006F2808" w14:paraId="3327688A" w14:textId="77777777">
      <w:pPr>
        <w:tabs>
          <w:tab w:val="left" w:pos="-1080"/>
          <w:tab w:val="left" w:pos="-720"/>
          <w:tab w:val="left" w:pos="0"/>
          <w:tab w:val="left" w:pos="360"/>
          <w:tab w:val="left" w:pos="810"/>
          <w:tab w:val="left" w:pos="2160"/>
        </w:tabs>
        <w:spacing w:after="0" w:line="240" w:lineRule="auto"/>
        <w:rPr>
          <w:rFonts w:ascii="Times New Roman" w:hAnsi="Times New Roman" w:eastAsia="Times New Roman" w:cs="Times New Roman"/>
          <w:snapToGrid w:val="0"/>
          <w:sz w:val="20"/>
          <w:szCs w:val="20"/>
        </w:rPr>
      </w:pPr>
      <w:r w:rsidRPr="006F2808">
        <w:rPr>
          <w:rFonts w:ascii="Times New Roman" w:hAnsi="Times New Roman" w:eastAsia="Times New Roman" w:cs="Times New Roman"/>
          <w:snapToGrid w:val="0"/>
          <w:sz w:val="20"/>
          <w:szCs w:val="20"/>
        </w:rPr>
        <w:t>*  Note that this BLS source reflects their last update from May 201</w:t>
      </w:r>
      <w:r w:rsidR="000538BF">
        <w:rPr>
          <w:rFonts w:ascii="Times New Roman" w:hAnsi="Times New Roman" w:eastAsia="Times New Roman" w:cs="Times New Roman"/>
          <w:snapToGrid w:val="0"/>
          <w:sz w:val="20"/>
          <w:szCs w:val="20"/>
        </w:rPr>
        <w:t>9</w:t>
      </w:r>
      <w:r w:rsidRPr="006F2808">
        <w:rPr>
          <w:rFonts w:ascii="Times New Roman" w:hAnsi="Times New Roman" w:eastAsia="Times New Roman" w:cs="Times New Roman"/>
          <w:snapToGrid w:val="0"/>
          <w:sz w:val="20"/>
          <w:szCs w:val="20"/>
        </w:rPr>
        <w:t>.</w:t>
      </w:r>
    </w:p>
    <w:p w:rsidRPr="006F2808" w:rsidR="006F2808" w:rsidP="006F2808" w:rsidRDefault="006F2808" w14:paraId="09E2378D" w14:textId="77777777">
      <w:pPr>
        <w:tabs>
          <w:tab w:val="left" w:pos="-1080"/>
          <w:tab w:val="left" w:pos="-720"/>
          <w:tab w:val="left" w:pos="0"/>
          <w:tab w:val="left" w:pos="360"/>
          <w:tab w:val="left" w:pos="810"/>
          <w:tab w:val="left" w:pos="2160"/>
        </w:tabs>
        <w:spacing w:after="0" w:line="240" w:lineRule="auto"/>
        <w:rPr>
          <w:rFonts w:ascii="Times New Roman" w:hAnsi="Times New Roman" w:eastAsia="Times New Roman" w:cs="Times New Roman"/>
          <w:snapToGrid w:val="0"/>
          <w:sz w:val="20"/>
          <w:szCs w:val="20"/>
        </w:rPr>
      </w:pPr>
      <w:r w:rsidRPr="006F2808">
        <w:rPr>
          <w:rFonts w:ascii="Times New Roman" w:hAnsi="Times New Roman" w:eastAsia="Times New Roman" w:cs="Times New Roman"/>
          <w:snapToGrid w:val="0"/>
          <w:sz w:val="20"/>
          <w:szCs w:val="20"/>
        </w:rPr>
        <w:t>** A multiplier of 1.4 (as implied by BLS news release USDL</w:t>
      </w:r>
      <w:r w:rsidR="007F6B2B">
        <w:rPr>
          <w:rFonts w:ascii="Times New Roman" w:hAnsi="Times New Roman" w:eastAsia="Times New Roman" w:cs="Times New Roman"/>
          <w:snapToGrid w:val="0"/>
          <w:sz w:val="20"/>
          <w:szCs w:val="20"/>
        </w:rPr>
        <w:t>-</w:t>
      </w:r>
      <w:r w:rsidR="000538BF">
        <w:rPr>
          <w:rFonts w:ascii="Times New Roman" w:hAnsi="Times New Roman" w:eastAsia="Times New Roman" w:cs="Times New Roman"/>
          <w:snapToGrid w:val="0"/>
          <w:sz w:val="20"/>
          <w:szCs w:val="20"/>
        </w:rPr>
        <w:t>20</w:t>
      </w:r>
      <w:r w:rsidR="007F6B2B">
        <w:rPr>
          <w:rFonts w:ascii="Times New Roman" w:hAnsi="Times New Roman" w:eastAsia="Times New Roman" w:cs="Times New Roman"/>
          <w:snapToGrid w:val="0"/>
          <w:sz w:val="20"/>
          <w:szCs w:val="20"/>
        </w:rPr>
        <w:t>-</w:t>
      </w:r>
      <w:r w:rsidR="000538BF">
        <w:rPr>
          <w:rFonts w:ascii="Times New Roman" w:hAnsi="Times New Roman" w:eastAsia="Times New Roman" w:cs="Times New Roman"/>
          <w:snapToGrid w:val="0"/>
          <w:sz w:val="20"/>
          <w:szCs w:val="20"/>
        </w:rPr>
        <w:t>0451</w:t>
      </w:r>
      <w:r w:rsidRPr="006F2808">
        <w:rPr>
          <w:rFonts w:ascii="Times New Roman" w:hAnsi="Times New Roman" w:eastAsia="Times New Roman" w:cs="Times New Roman"/>
          <w:snapToGrid w:val="0"/>
          <w:sz w:val="20"/>
          <w:szCs w:val="20"/>
        </w:rPr>
        <w:t>,</w:t>
      </w:r>
      <w:r w:rsidR="007F6B2B">
        <w:rPr>
          <w:rFonts w:ascii="Times New Roman" w:hAnsi="Times New Roman" w:eastAsia="Times New Roman" w:cs="Times New Roman"/>
          <w:snapToGrid w:val="0"/>
          <w:sz w:val="20"/>
          <w:szCs w:val="20"/>
        </w:rPr>
        <w:t xml:space="preserve"> </w:t>
      </w:r>
      <w:r w:rsidR="000538BF">
        <w:rPr>
          <w:rFonts w:ascii="Times New Roman" w:hAnsi="Times New Roman" w:eastAsia="Times New Roman" w:cs="Times New Roman"/>
          <w:snapToGrid w:val="0"/>
          <w:sz w:val="20"/>
          <w:szCs w:val="20"/>
        </w:rPr>
        <w:t>March</w:t>
      </w:r>
      <w:r w:rsidR="007F6B2B">
        <w:rPr>
          <w:rFonts w:ascii="Times New Roman" w:hAnsi="Times New Roman" w:eastAsia="Times New Roman" w:cs="Times New Roman"/>
          <w:snapToGrid w:val="0"/>
          <w:sz w:val="20"/>
          <w:szCs w:val="20"/>
        </w:rPr>
        <w:t xml:space="preserve"> 1</w:t>
      </w:r>
      <w:r w:rsidR="000538BF">
        <w:rPr>
          <w:rFonts w:ascii="Times New Roman" w:hAnsi="Times New Roman" w:eastAsia="Times New Roman" w:cs="Times New Roman"/>
          <w:snapToGrid w:val="0"/>
          <w:sz w:val="20"/>
          <w:szCs w:val="20"/>
        </w:rPr>
        <w:t>9</w:t>
      </w:r>
      <w:r w:rsidRPr="006F2808">
        <w:rPr>
          <w:rFonts w:ascii="Times New Roman" w:hAnsi="Times New Roman" w:eastAsia="Times New Roman" w:cs="Times New Roman"/>
          <w:snapToGrid w:val="0"/>
          <w:sz w:val="20"/>
          <w:szCs w:val="20"/>
        </w:rPr>
        <w:t>, 20</w:t>
      </w:r>
      <w:r w:rsidR="000538BF">
        <w:rPr>
          <w:rFonts w:ascii="Times New Roman" w:hAnsi="Times New Roman" w:eastAsia="Times New Roman" w:cs="Times New Roman"/>
          <w:snapToGrid w:val="0"/>
          <w:sz w:val="20"/>
          <w:szCs w:val="20"/>
        </w:rPr>
        <w:t>20</w:t>
      </w:r>
      <w:r w:rsidRPr="006F2808">
        <w:rPr>
          <w:rFonts w:ascii="Times New Roman" w:hAnsi="Times New Roman" w:eastAsia="Times New Roman" w:cs="Times New Roman"/>
          <w:snapToGrid w:val="0"/>
          <w:sz w:val="20"/>
          <w:szCs w:val="20"/>
        </w:rPr>
        <w:t xml:space="preserve"> (see </w:t>
      </w:r>
      <w:hyperlink w:history="1" r:id="rId8">
        <w:r w:rsidRPr="006F2808">
          <w:rPr>
            <w:rFonts w:ascii="Times New Roman" w:hAnsi="Times New Roman" w:eastAsia="Times New Roman" w:cs="Times New Roman"/>
            <w:bCs/>
            <w:snapToGrid w:val="0"/>
            <w:color w:val="0000FF"/>
            <w:sz w:val="20"/>
            <w:szCs w:val="20"/>
            <w:u w:val="single"/>
          </w:rPr>
          <w:t>http://www.bls.gov/news.release/ecec.nr0.htm</w:t>
        </w:r>
      </w:hyperlink>
      <w:r w:rsidRPr="006F2808">
        <w:rPr>
          <w:rFonts w:ascii="Times New Roman" w:hAnsi="Times New Roman" w:eastAsia="Times New Roman" w:cs="Times New Roman"/>
          <w:snapToGrid w:val="0"/>
          <w:sz w:val="20"/>
          <w:szCs w:val="20"/>
        </w:rPr>
        <w:t xml:space="preserve">)) was added for benefits. </w:t>
      </w:r>
    </w:p>
    <w:p w:rsidRPr="006F2808" w:rsidR="006F2808" w:rsidP="006F2808" w:rsidRDefault="006F2808" w14:paraId="4679BF4A" w14:textId="77777777">
      <w:pPr>
        <w:tabs>
          <w:tab w:val="left" w:pos="-1080"/>
          <w:tab w:val="left" w:pos="-720"/>
          <w:tab w:val="left" w:pos="0"/>
          <w:tab w:val="left" w:pos="360"/>
          <w:tab w:val="left" w:pos="810"/>
          <w:tab w:val="left" w:pos="2160"/>
        </w:tabs>
        <w:spacing w:after="0" w:line="240" w:lineRule="auto"/>
        <w:rPr>
          <w:rFonts w:ascii="Times New Roman" w:hAnsi="Times New Roman" w:eastAsia="Times New Roman" w:cs="Times New Roman"/>
          <w:snapToGrid w:val="0"/>
          <w:sz w:val="24"/>
          <w:szCs w:val="20"/>
        </w:rPr>
      </w:pPr>
    </w:p>
    <w:p w:rsidRPr="006F2808" w:rsidR="006F2808" w:rsidP="006F2808" w:rsidRDefault="006F2808" w14:paraId="47AC5405" w14:textId="77777777">
      <w:pPr>
        <w:tabs>
          <w:tab w:val="left" w:pos="360"/>
        </w:tabs>
        <w:spacing w:after="0" w:line="240" w:lineRule="auto"/>
        <w:rPr>
          <w:rFonts w:ascii="Times New Roman" w:hAnsi="Times New Roman" w:eastAsia="Times New Roman" w:cs="Times New Roman"/>
          <w:snapToGrid w:val="0"/>
          <w:sz w:val="24"/>
          <w:szCs w:val="24"/>
        </w:rPr>
      </w:pPr>
      <w:r w:rsidRPr="006F2808">
        <w:rPr>
          <w:rFonts w:ascii="Times New Roman" w:hAnsi="Times New Roman" w:eastAsia="Times New Roman" w:cs="Times New Roman"/>
          <w:snapToGrid w:val="0"/>
          <w:sz w:val="24"/>
          <w:szCs w:val="20"/>
        </w:rPr>
        <w:t>Based on a cost factor of $</w:t>
      </w:r>
      <w:r w:rsidR="007F6B2B">
        <w:rPr>
          <w:rFonts w:ascii="Times New Roman" w:hAnsi="Times New Roman" w:eastAsia="Times New Roman" w:cs="Times New Roman"/>
          <w:snapToGrid w:val="0"/>
          <w:sz w:val="24"/>
          <w:szCs w:val="20"/>
        </w:rPr>
        <w:t>1</w:t>
      </w:r>
      <w:r w:rsidR="000538BF">
        <w:rPr>
          <w:rFonts w:ascii="Times New Roman" w:hAnsi="Times New Roman" w:eastAsia="Times New Roman" w:cs="Times New Roman"/>
          <w:snapToGrid w:val="0"/>
          <w:sz w:val="24"/>
          <w:szCs w:val="20"/>
        </w:rPr>
        <w:t>10</w:t>
      </w:r>
      <w:r w:rsidRPr="006F2808">
        <w:rPr>
          <w:rFonts w:ascii="Times New Roman" w:hAnsi="Times New Roman" w:eastAsia="Times New Roman" w:cs="Times New Roman"/>
          <w:snapToGrid w:val="0"/>
          <w:sz w:val="24"/>
          <w:szCs w:val="20"/>
        </w:rPr>
        <w:t xml:space="preserve"> per hour, we estimate the total annual cost to industry as a dolla</w:t>
      </w:r>
      <w:r w:rsidR="004063FA">
        <w:rPr>
          <w:rFonts w:ascii="Times New Roman" w:hAnsi="Times New Roman" w:eastAsia="Times New Roman" w:cs="Times New Roman"/>
          <w:snapToGrid w:val="0"/>
          <w:sz w:val="24"/>
          <w:szCs w:val="20"/>
        </w:rPr>
        <w:t>r equivalent is $4</w:t>
      </w:r>
      <w:r w:rsidR="000538BF">
        <w:rPr>
          <w:rFonts w:ascii="Times New Roman" w:hAnsi="Times New Roman" w:eastAsia="Times New Roman" w:cs="Times New Roman"/>
          <w:snapToGrid w:val="0"/>
          <w:sz w:val="24"/>
          <w:szCs w:val="20"/>
        </w:rPr>
        <w:t>8,008,180</w:t>
      </w:r>
      <w:r w:rsidRPr="006F2808">
        <w:rPr>
          <w:rFonts w:ascii="Times New Roman" w:hAnsi="Times New Roman" w:eastAsia="Times New Roman" w:cs="Times New Roman"/>
          <w:snapToGrid w:val="0"/>
          <w:sz w:val="24"/>
          <w:szCs w:val="20"/>
        </w:rPr>
        <w:t xml:space="preserve"> ($</w:t>
      </w:r>
      <w:r w:rsidR="007F6B2B">
        <w:rPr>
          <w:rFonts w:ascii="Times New Roman" w:hAnsi="Times New Roman" w:eastAsia="Times New Roman" w:cs="Times New Roman"/>
          <w:snapToGrid w:val="0"/>
          <w:sz w:val="24"/>
          <w:szCs w:val="20"/>
        </w:rPr>
        <w:t>1</w:t>
      </w:r>
      <w:r w:rsidR="000538BF">
        <w:rPr>
          <w:rFonts w:ascii="Times New Roman" w:hAnsi="Times New Roman" w:eastAsia="Times New Roman" w:cs="Times New Roman"/>
          <w:snapToGrid w:val="0"/>
          <w:sz w:val="24"/>
          <w:szCs w:val="20"/>
        </w:rPr>
        <w:t>10</w:t>
      </w:r>
      <w:r w:rsidRPr="006F2808">
        <w:rPr>
          <w:rFonts w:ascii="Times New Roman" w:hAnsi="Times New Roman" w:eastAsia="Times New Roman" w:cs="Times New Roman"/>
          <w:snapToGrid w:val="0"/>
          <w:sz w:val="24"/>
          <w:szCs w:val="20"/>
        </w:rPr>
        <w:t xml:space="preserve"> x 436,438 hours = $4</w:t>
      </w:r>
      <w:r w:rsidR="000538BF">
        <w:rPr>
          <w:rFonts w:ascii="Times New Roman" w:hAnsi="Times New Roman" w:eastAsia="Times New Roman" w:cs="Times New Roman"/>
          <w:snapToGrid w:val="0"/>
          <w:sz w:val="24"/>
          <w:szCs w:val="20"/>
        </w:rPr>
        <w:t>8,008,180</w:t>
      </w:r>
      <w:r w:rsidRPr="006F2808">
        <w:rPr>
          <w:rFonts w:ascii="Times New Roman" w:hAnsi="Times New Roman" w:eastAsia="Times New Roman" w:cs="Times New Roman"/>
          <w:snapToGrid w:val="0"/>
          <w:sz w:val="24"/>
          <w:szCs w:val="20"/>
        </w:rPr>
        <w:t xml:space="preserve">).  </w:t>
      </w:r>
      <w:r w:rsidRPr="006F2808">
        <w:rPr>
          <w:rFonts w:ascii="Times New Roman" w:hAnsi="Times New Roman" w:eastAsia="Times New Roman" w:cs="Times New Roman"/>
          <w:snapToGrid w:val="0"/>
          <w:sz w:val="24"/>
          <w:szCs w:val="24"/>
        </w:rPr>
        <w:t xml:space="preserve"> </w:t>
      </w:r>
    </w:p>
    <w:p w:rsidR="006F2808" w:rsidP="00A03B38" w:rsidRDefault="006F2808" w14:paraId="3920315D" w14:textId="77777777">
      <w:pPr>
        <w:spacing w:after="0" w:line="240" w:lineRule="auto"/>
        <w:ind w:right="-40" w:hanging="5"/>
        <w:rPr>
          <w:rFonts w:ascii="Times New Roman" w:hAnsi="Times New Roman" w:eastAsia="Times New Roman" w:cs="Times New Roman"/>
          <w:color w:val="030303"/>
          <w:spacing w:val="2"/>
          <w:sz w:val="24"/>
          <w:szCs w:val="24"/>
        </w:rPr>
      </w:pPr>
    </w:p>
    <w:p w:rsidRPr="00A03B38" w:rsidR="006F2808" w:rsidP="00A03B38" w:rsidRDefault="006F2808" w14:paraId="231285B1" w14:textId="77777777">
      <w:pPr>
        <w:spacing w:after="0" w:line="240" w:lineRule="auto"/>
        <w:ind w:right="-40" w:hanging="5"/>
        <w:rPr>
          <w:rFonts w:ascii="Times New Roman" w:hAnsi="Times New Roman" w:eastAsia="Times New Roman" w:cs="Times New Roman"/>
          <w:color w:val="030303"/>
          <w:spacing w:val="2"/>
          <w:sz w:val="24"/>
          <w:szCs w:val="24"/>
        </w:rPr>
      </w:pPr>
    </w:p>
    <w:p w:rsidRPr="0016324A" w:rsidR="00F64F67" w:rsidP="00A03B38" w:rsidRDefault="00F64F67" w14:paraId="189FA707" w14:textId="77777777">
      <w:pPr>
        <w:spacing w:after="0" w:line="240" w:lineRule="auto"/>
        <w:ind w:right="-40" w:hanging="5"/>
        <w:rPr>
          <w:rFonts w:ascii="Times New Roman" w:hAnsi="Times New Roman" w:eastAsia="Times New Roman" w:cs="Times New Roman"/>
          <w:b/>
          <w:i/>
          <w:color w:val="030303"/>
          <w:spacing w:val="2"/>
          <w:sz w:val="24"/>
          <w:szCs w:val="24"/>
        </w:rPr>
      </w:pPr>
      <w:r w:rsidRPr="0016324A">
        <w:rPr>
          <w:rFonts w:ascii="Times New Roman" w:hAnsi="Times New Roman" w:eastAsia="Times New Roman" w:cs="Times New Roman"/>
          <w:b/>
          <w:i/>
          <w:color w:val="030303"/>
          <w:spacing w:val="2"/>
          <w:sz w:val="24"/>
          <w:szCs w:val="24"/>
        </w:rPr>
        <w:t>13. Provide an estimate of the total annual non-hour cost burden to respondents or recordkeepers resulting from the collection of information. (Do not include the cost of any hour burden already reflected in Item 12).</w:t>
      </w:r>
    </w:p>
    <w:p w:rsidRPr="0016324A" w:rsidR="00F64F67" w:rsidP="00A03B38" w:rsidRDefault="00F64F67" w14:paraId="3FD77536" w14:textId="77777777">
      <w:pPr>
        <w:spacing w:after="0" w:line="240" w:lineRule="auto"/>
        <w:ind w:right="-40" w:hanging="5"/>
        <w:rPr>
          <w:rFonts w:ascii="Times New Roman" w:hAnsi="Times New Roman" w:eastAsia="Times New Roman" w:cs="Times New Roman"/>
          <w:b/>
          <w:i/>
          <w:color w:val="030303"/>
          <w:spacing w:val="2"/>
          <w:sz w:val="24"/>
          <w:szCs w:val="24"/>
        </w:rPr>
      </w:pPr>
    </w:p>
    <w:p w:rsidRPr="0016324A" w:rsidR="00F64F67" w:rsidP="00A03B38" w:rsidRDefault="00F64F67" w14:paraId="47B85EE6" w14:textId="77777777">
      <w:pPr>
        <w:spacing w:after="0" w:line="240" w:lineRule="auto"/>
        <w:ind w:right="-40" w:hanging="5"/>
        <w:rPr>
          <w:rFonts w:ascii="Times New Roman" w:hAnsi="Times New Roman" w:eastAsia="Times New Roman" w:cs="Times New Roman"/>
          <w:b/>
          <w:i/>
          <w:color w:val="030303"/>
          <w:spacing w:val="2"/>
          <w:sz w:val="24"/>
          <w:szCs w:val="24"/>
        </w:rPr>
      </w:pPr>
      <w:r w:rsidRPr="0016324A">
        <w:rPr>
          <w:rFonts w:ascii="Times New Roman" w:hAnsi="Times New Roman" w:eastAsia="Times New Roman" w:cs="Times New Roman"/>
          <w:b/>
          <w:i/>
          <w:color w:val="030303"/>
          <w:spacing w:val="2"/>
          <w:sz w:val="24"/>
          <w:szCs w:val="24"/>
        </w:rPr>
        <w:t>(a)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w:t>
      </w:r>
      <w:r w:rsidRPr="0016324A" w:rsidR="00A938FF">
        <w:rPr>
          <w:rFonts w:ascii="Times New Roman" w:hAnsi="Times New Roman" w:eastAsia="Times New Roman" w:cs="Times New Roman"/>
          <w:b/>
          <w:i/>
          <w:color w:val="030303"/>
          <w:spacing w:val="2"/>
          <w:sz w:val="24"/>
          <w:szCs w:val="24"/>
        </w:rPr>
        <w:t>d over which costs will be incurr</w:t>
      </w:r>
      <w:r w:rsidRPr="0016324A">
        <w:rPr>
          <w:rFonts w:ascii="Times New Roman" w:hAnsi="Times New Roman" w:eastAsia="Times New Roman" w:cs="Times New Roman"/>
          <w:b/>
          <w:i/>
          <w:color w:val="030303"/>
          <w:spacing w:val="2"/>
          <w:sz w:val="24"/>
          <w:szCs w:val="24"/>
        </w:rPr>
        <w:t>ed. Capital and start-up costs include,</w:t>
      </w:r>
      <w:r w:rsidRPr="0016324A" w:rsidR="00A938FF">
        <w:rPr>
          <w:rFonts w:ascii="Times New Roman" w:hAnsi="Times New Roman" w:eastAsia="Times New Roman" w:cs="Times New Roman"/>
          <w:b/>
          <w:i/>
          <w:color w:val="030303"/>
          <w:spacing w:val="2"/>
          <w:sz w:val="24"/>
          <w:szCs w:val="24"/>
        </w:rPr>
        <w:t xml:space="preserve"> </w:t>
      </w:r>
      <w:r w:rsidRPr="0016324A">
        <w:rPr>
          <w:rFonts w:ascii="Times New Roman" w:hAnsi="Times New Roman" w:eastAsia="Times New Roman" w:cs="Times New Roman"/>
          <w:b/>
          <w:i/>
          <w:color w:val="030303"/>
          <w:spacing w:val="2"/>
          <w:sz w:val="24"/>
          <w:szCs w:val="24"/>
        </w:rPr>
        <w:t xml:space="preserve">among other items, preparations for collecting information such as purchasing computers and software; monitoring, sampling, drilling and </w:t>
      </w:r>
      <w:r w:rsidRPr="0016324A">
        <w:rPr>
          <w:rFonts w:ascii="Times New Roman" w:hAnsi="Times New Roman" w:eastAsia="Times New Roman" w:cs="Times New Roman"/>
          <w:b/>
          <w:i/>
          <w:color w:val="030303"/>
          <w:spacing w:val="2"/>
          <w:sz w:val="24"/>
          <w:szCs w:val="24"/>
        </w:rPr>
        <w:lastRenderedPageBreak/>
        <w:t>testing equipment; and record storage facilities.</w:t>
      </w:r>
    </w:p>
    <w:p w:rsidRPr="0016324A" w:rsidR="00F64F67" w:rsidP="00A03B38" w:rsidRDefault="00F64F67" w14:paraId="071D85EF" w14:textId="77777777">
      <w:pPr>
        <w:spacing w:after="0" w:line="240" w:lineRule="auto"/>
        <w:ind w:right="-40" w:hanging="5"/>
        <w:rPr>
          <w:rFonts w:ascii="Times New Roman" w:hAnsi="Times New Roman" w:eastAsia="Times New Roman" w:cs="Times New Roman"/>
          <w:b/>
          <w:i/>
          <w:color w:val="030303"/>
          <w:spacing w:val="2"/>
          <w:sz w:val="24"/>
          <w:szCs w:val="24"/>
        </w:rPr>
      </w:pPr>
    </w:p>
    <w:p w:rsidRPr="0016324A" w:rsidR="00F64F67" w:rsidP="00A03B38" w:rsidRDefault="00F64F67" w14:paraId="12A7D647" w14:textId="77777777">
      <w:pPr>
        <w:spacing w:after="0" w:line="240" w:lineRule="auto"/>
        <w:ind w:right="-40" w:hanging="5"/>
        <w:rPr>
          <w:rFonts w:ascii="Times New Roman" w:hAnsi="Times New Roman" w:eastAsia="Times New Roman" w:cs="Times New Roman"/>
          <w:b/>
          <w:i/>
          <w:color w:val="030303"/>
          <w:spacing w:val="2"/>
          <w:sz w:val="24"/>
          <w:szCs w:val="24"/>
        </w:rPr>
      </w:pPr>
      <w:r w:rsidRPr="0016324A">
        <w:rPr>
          <w:rFonts w:ascii="Times New Roman" w:hAnsi="Times New Roman" w:eastAsia="Times New Roman" w:cs="Times New Roman"/>
          <w:b/>
          <w:i/>
          <w:color w:val="030303"/>
          <w:spacing w:val="2"/>
          <w:sz w:val="24"/>
          <w:szCs w:val="24"/>
        </w:rPr>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6324A" w:rsidR="00F64F67" w:rsidP="00A03B38" w:rsidRDefault="00F64F67" w14:paraId="4BD41AF6" w14:textId="77777777">
      <w:pPr>
        <w:spacing w:after="0" w:line="240" w:lineRule="auto"/>
        <w:ind w:right="-40" w:hanging="5"/>
        <w:rPr>
          <w:rFonts w:ascii="Times New Roman" w:hAnsi="Times New Roman" w:eastAsia="Times New Roman" w:cs="Times New Roman"/>
          <w:b/>
          <w:i/>
          <w:color w:val="030303"/>
          <w:spacing w:val="2"/>
          <w:sz w:val="24"/>
          <w:szCs w:val="24"/>
        </w:rPr>
      </w:pPr>
    </w:p>
    <w:p w:rsidRPr="0016324A" w:rsidR="00F64F67" w:rsidP="00A03B38" w:rsidRDefault="00F64F67" w14:paraId="231B3FE9" w14:textId="77777777">
      <w:pPr>
        <w:spacing w:after="0" w:line="240" w:lineRule="auto"/>
        <w:ind w:right="-40" w:hanging="5"/>
        <w:rPr>
          <w:rFonts w:ascii="Times New Roman" w:hAnsi="Times New Roman" w:eastAsia="Times New Roman" w:cs="Times New Roman"/>
          <w:b/>
          <w:i/>
          <w:color w:val="030303"/>
          <w:spacing w:val="2"/>
          <w:sz w:val="24"/>
          <w:szCs w:val="24"/>
        </w:rPr>
      </w:pPr>
      <w:r w:rsidRPr="0016324A">
        <w:rPr>
          <w:rFonts w:ascii="Times New Roman" w:hAnsi="Times New Roman" w:eastAsia="Times New Roman" w:cs="Times New Roman"/>
          <w:b/>
          <w:i/>
          <w:color w:val="030303"/>
          <w:spacing w:val="2"/>
          <w:sz w:val="24"/>
          <w:szCs w:val="24"/>
        </w:rPr>
        <w:t xml:space="preserve">(c) Generally, estimates should not include purchases of equipment or services, or portions thereof, made: (1) prior to October 1, 1995, (2) to achieve regulatory compliance with requirements not associated with the </w:t>
      </w:r>
      <w:r w:rsidRPr="0016324A" w:rsidR="00A938FF">
        <w:rPr>
          <w:rFonts w:ascii="Times New Roman" w:hAnsi="Times New Roman" w:eastAsia="Times New Roman" w:cs="Times New Roman"/>
          <w:b/>
          <w:i/>
          <w:color w:val="030303"/>
          <w:spacing w:val="2"/>
          <w:sz w:val="24"/>
          <w:szCs w:val="24"/>
        </w:rPr>
        <w:t>information collection</w:t>
      </w:r>
      <w:r w:rsidRPr="0016324A">
        <w:rPr>
          <w:rFonts w:ascii="Times New Roman" w:hAnsi="Times New Roman" w:eastAsia="Times New Roman" w:cs="Times New Roman"/>
          <w:b/>
          <w:i/>
          <w:color w:val="030303"/>
          <w:spacing w:val="2"/>
          <w:sz w:val="24"/>
          <w:szCs w:val="24"/>
        </w:rPr>
        <w:t xml:space="preserve">, (3) for reasons other than to provide </w:t>
      </w:r>
      <w:r w:rsidRPr="0016324A" w:rsidR="00A938FF">
        <w:rPr>
          <w:rFonts w:ascii="Times New Roman" w:hAnsi="Times New Roman" w:eastAsia="Times New Roman" w:cs="Times New Roman"/>
          <w:b/>
          <w:i/>
          <w:color w:val="030303"/>
          <w:spacing w:val="2"/>
          <w:sz w:val="24"/>
          <w:szCs w:val="24"/>
        </w:rPr>
        <w:t>information or</w:t>
      </w:r>
      <w:r w:rsidRPr="0016324A">
        <w:rPr>
          <w:rFonts w:ascii="Times New Roman" w:hAnsi="Times New Roman" w:eastAsia="Times New Roman" w:cs="Times New Roman"/>
          <w:b/>
          <w:i/>
          <w:color w:val="030303"/>
          <w:spacing w:val="2"/>
          <w:sz w:val="24"/>
          <w:szCs w:val="24"/>
        </w:rPr>
        <w:t xml:space="preserve"> keep records for the government, or (4) as part of customary and usual business or private practices.</w:t>
      </w:r>
    </w:p>
    <w:p w:rsidRPr="00A03B38" w:rsidR="00F64F67" w:rsidP="00A03B38" w:rsidRDefault="00F64F67" w14:paraId="676FA0BD" w14:textId="77777777">
      <w:pPr>
        <w:spacing w:after="0" w:line="240" w:lineRule="auto"/>
        <w:ind w:right="-40" w:hanging="5"/>
        <w:rPr>
          <w:rFonts w:ascii="Times New Roman" w:hAnsi="Times New Roman" w:eastAsia="Times New Roman" w:cs="Times New Roman"/>
          <w:color w:val="030303"/>
          <w:spacing w:val="2"/>
          <w:sz w:val="24"/>
          <w:szCs w:val="24"/>
        </w:rPr>
      </w:pPr>
    </w:p>
    <w:p w:rsidRPr="006F2808" w:rsidR="006F2808" w:rsidP="006F2808" w:rsidRDefault="00FA0125" w14:paraId="40765D5C" w14:textId="77777777">
      <w:pPr>
        <w:tabs>
          <w:tab w:val="left" w:pos="-1080"/>
          <w:tab w:val="left" w:pos="-720"/>
          <w:tab w:val="left" w:pos="360"/>
          <w:tab w:val="left" w:pos="810"/>
        </w:tabs>
        <w:rPr>
          <w:rFonts w:ascii="Times New Roman" w:hAnsi="Times New Roman" w:eastAsia="Times New Roman" w:cs="Times New Roman"/>
          <w:snapToGrid w:val="0"/>
          <w:sz w:val="24"/>
          <w:szCs w:val="20"/>
        </w:rPr>
      </w:pPr>
      <w:r>
        <w:rPr>
          <w:rFonts w:ascii="Times New Roman" w:hAnsi="Times New Roman" w:eastAsia="Times New Roman" w:cs="Times New Roman"/>
          <w:color w:val="030303"/>
          <w:spacing w:val="2"/>
          <w:sz w:val="24"/>
          <w:szCs w:val="24"/>
        </w:rPr>
        <w:t>The non-hour burden costs will remain current as approved by OMB.</w:t>
      </w:r>
      <w:r w:rsidR="006F2808">
        <w:rPr>
          <w:rFonts w:ascii="Times New Roman" w:hAnsi="Times New Roman" w:eastAsia="Times New Roman" w:cs="Times New Roman"/>
          <w:color w:val="030303"/>
          <w:spacing w:val="2"/>
          <w:sz w:val="24"/>
          <w:szCs w:val="24"/>
        </w:rPr>
        <w:t xml:space="preserve"> </w:t>
      </w:r>
      <w:r w:rsidRPr="006F2808" w:rsidR="006F2808">
        <w:rPr>
          <w:rFonts w:ascii="Times New Roman" w:hAnsi="Times New Roman" w:eastAsia="Times New Roman" w:cs="Times New Roman"/>
          <w:snapToGrid w:val="0"/>
          <w:sz w:val="24"/>
          <w:szCs w:val="20"/>
        </w:rPr>
        <w:t xml:space="preserve">There are three non-hour costs associated with this information collection that are cost recovery fees.  They consist of fees being submitted with EP’s ($3,673), DPP’s or DOCD’s ($4,238), and CID’s ($27,348).  </w:t>
      </w:r>
    </w:p>
    <w:p w:rsidRPr="006F2808" w:rsidR="006F2808" w:rsidP="006F2808" w:rsidRDefault="006F2808" w14:paraId="17E85F14" w14:textId="77777777">
      <w:pPr>
        <w:tabs>
          <w:tab w:val="left" w:pos="-1080"/>
          <w:tab w:val="left" w:pos="-720"/>
          <w:tab w:val="left" w:pos="360"/>
          <w:tab w:val="left" w:pos="810"/>
        </w:tabs>
        <w:spacing w:after="0" w:line="240" w:lineRule="auto"/>
        <w:rPr>
          <w:rFonts w:ascii="Times New Roman" w:hAnsi="Times New Roman" w:eastAsia="Times New Roman" w:cs="Times New Roman"/>
          <w:snapToGrid w:val="0"/>
          <w:sz w:val="24"/>
          <w:szCs w:val="20"/>
        </w:rPr>
      </w:pPr>
      <w:r w:rsidRPr="006F2808">
        <w:rPr>
          <w:rFonts w:ascii="Times New Roman" w:hAnsi="Times New Roman" w:eastAsia="Times New Roman" w:cs="Times New Roman"/>
          <w:snapToGrid w:val="0"/>
          <w:sz w:val="24"/>
          <w:szCs w:val="20"/>
        </w:rPr>
        <w:t xml:space="preserve">There is also one non-hour cost burden associated with the Protected Species Observer Program. The cost associated with this program is due to observation activities that are usually subcontracted to other service companies with expertise in these areas. Since all of the observation duty and reporting would be done while on the vessel and by contractors, these requirements were calculated as non-hour cost burdens. See the hours, fees, and costs in the burden table in A.12.  </w:t>
      </w:r>
    </w:p>
    <w:p w:rsidRPr="006F2808" w:rsidR="006F2808" w:rsidP="006F2808" w:rsidRDefault="006F2808" w14:paraId="48942EC6" w14:textId="77777777">
      <w:pPr>
        <w:tabs>
          <w:tab w:val="left" w:pos="-1080"/>
          <w:tab w:val="left" w:pos="-720"/>
          <w:tab w:val="left" w:pos="360"/>
          <w:tab w:val="left" w:pos="810"/>
        </w:tabs>
        <w:spacing w:after="0" w:line="240" w:lineRule="auto"/>
        <w:rPr>
          <w:rFonts w:ascii="Times New Roman" w:hAnsi="Times New Roman" w:eastAsia="Times New Roman" w:cs="Times New Roman"/>
          <w:snapToGrid w:val="0"/>
          <w:sz w:val="24"/>
          <w:szCs w:val="20"/>
        </w:rPr>
      </w:pPr>
    </w:p>
    <w:p w:rsidRPr="006F2808" w:rsidR="006F2808" w:rsidP="006F2808" w:rsidRDefault="006F2808" w14:paraId="77D337B8" w14:textId="77777777">
      <w:pPr>
        <w:tabs>
          <w:tab w:val="left" w:pos="-1080"/>
          <w:tab w:val="left" w:pos="-720"/>
          <w:tab w:val="left" w:pos="360"/>
          <w:tab w:val="left" w:pos="810"/>
        </w:tabs>
        <w:spacing w:after="0" w:line="240" w:lineRule="auto"/>
        <w:rPr>
          <w:rFonts w:ascii="Times New Roman" w:hAnsi="Times New Roman" w:eastAsia="Times New Roman" w:cs="Times New Roman"/>
          <w:snapToGrid w:val="0"/>
          <w:sz w:val="24"/>
          <w:szCs w:val="20"/>
        </w:rPr>
      </w:pPr>
      <w:r w:rsidRPr="006F2808">
        <w:rPr>
          <w:rFonts w:ascii="Times New Roman" w:hAnsi="Times New Roman" w:eastAsia="Times New Roman" w:cs="Times New Roman"/>
          <w:snapToGrid w:val="0"/>
          <w:sz w:val="24"/>
          <w:szCs w:val="20"/>
        </w:rPr>
        <w:t xml:space="preserve">We estimate that the annual total non-hour cost burden is </w:t>
      </w:r>
      <w:r w:rsidRPr="006F2808">
        <w:rPr>
          <w:rFonts w:ascii="Times New Roman" w:hAnsi="Times New Roman" w:eastAsia="Times New Roman" w:cs="Times New Roman"/>
          <w:snapToGrid w:val="0"/>
        </w:rPr>
        <w:t>$3,939,435</w:t>
      </w:r>
      <w:r w:rsidRPr="006F2808">
        <w:rPr>
          <w:rFonts w:ascii="Times New Roman" w:hAnsi="Times New Roman" w:eastAsia="Times New Roman" w:cs="Times New Roman"/>
          <w:snapToGrid w:val="0"/>
          <w:sz w:val="24"/>
          <w:szCs w:val="20"/>
        </w:rPr>
        <w:t xml:space="preserve">.  </w:t>
      </w:r>
    </w:p>
    <w:p w:rsidR="003610A9" w:rsidP="00A03B38" w:rsidRDefault="003610A9" w14:paraId="7D0D8D38" w14:textId="77777777">
      <w:pPr>
        <w:spacing w:after="0" w:line="240" w:lineRule="auto"/>
        <w:ind w:right="-40" w:hanging="5"/>
        <w:rPr>
          <w:rFonts w:ascii="Times New Roman" w:hAnsi="Times New Roman" w:eastAsia="Times New Roman" w:cs="Times New Roman"/>
          <w:color w:val="030303"/>
          <w:spacing w:val="2"/>
          <w:sz w:val="24"/>
          <w:szCs w:val="24"/>
        </w:rPr>
      </w:pPr>
    </w:p>
    <w:p w:rsidRPr="003610A9" w:rsidR="00F64F67" w:rsidP="00A03B38" w:rsidRDefault="00F64F67" w14:paraId="0BEF9575" w14:textId="77777777">
      <w:pPr>
        <w:spacing w:after="0" w:line="240" w:lineRule="auto"/>
        <w:ind w:right="-40" w:hanging="5"/>
        <w:rPr>
          <w:rFonts w:ascii="Times New Roman" w:hAnsi="Times New Roman" w:eastAsia="Times New Roman" w:cs="Times New Roman"/>
          <w:b/>
          <w:i/>
          <w:color w:val="030303"/>
          <w:spacing w:val="2"/>
          <w:sz w:val="24"/>
          <w:szCs w:val="24"/>
        </w:rPr>
      </w:pPr>
      <w:r w:rsidRPr="003610A9">
        <w:rPr>
          <w:rFonts w:ascii="Times New Roman" w:hAnsi="Times New Roman" w:eastAsia="Times New Roman" w:cs="Times New Roman"/>
          <w:b/>
          <w:i/>
          <w:color w:val="030303"/>
          <w:spacing w:val="2"/>
          <w:sz w:val="24"/>
          <w:szCs w:val="24"/>
        </w:rPr>
        <w:t>14.</w:t>
      </w:r>
      <w:r w:rsidRPr="003610A9" w:rsidR="003610A9">
        <w:rPr>
          <w:rFonts w:ascii="Times New Roman" w:hAnsi="Times New Roman" w:eastAsia="Times New Roman" w:cs="Times New Roman"/>
          <w:b/>
          <w:i/>
          <w:color w:val="030303"/>
          <w:spacing w:val="2"/>
          <w:sz w:val="24"/>
          <w:szCs w:val="24"/>
        </w:rPr>
        <w:t xml:space="preserve"> </w:t>
      </w:r>
      <w:r w:rsidRPr="003610A9">
        <w:rPr>
          <w:rFonts w:ascii="Times New Roman" w:hAnsi="Times New Roman" w:eastAsia="Times New Roman" w:cs="Times New Roman"/>
          <w:b/>
          <w:i/>
          <w:color w:val="030303"/>
          <w:spacing w:val="2"/>
          <w:sz w:val="24"/>
          <w:szCs w:val="24"/>
        </w:rPr>
        <w:t>Provide estimates of annualized cost to the Federal Government.  Also, provide a description of the method used to estimate cost, which should include quantification of hours, operational expenses (such as equipment, overhead, printing,</w:t>
      </w:r>
      <w:r w:rsidRPr="003610A9" w:rsidR="00A938FF">
        <w:rPr>
          <w:rFonts w:ascii="Times New Roman" w:hAnsi="Times New Roman" w:eastAsia="Times New Roman" w:cs="Times New Roman"/>
          <w:b/>
          <w:i/>
          <w:color w:val="030303"/>
          <w:spacing w:val="2"/>
          <w:sz w:val="24"/>
          <w:szCs w:val="24"/>
        </w:rPr>
        <w:t xml:space="preserve"> </w:t>
      </w:r>
      <w:r w:rsidRPr="003610A9">
        <w:rPr>
          <w:rFonts w:ascii="Times New Roman" w:hAnsi="Times New Roman" w:eastAsia="Times New Roman" w:cs="Times New Roman"/>
          <w:b/>
          <w:i/>
          <w:color w:val="030303"/>
          <w:spacing w:val="2"/>
          <w:sz w:val="24"/>
          <w:szCs w:val="24"/>
        </w:rPr>
        <w:t>and  support staff), and any other expense that would not have been incu</w:t>
      </w:r>
      <w:r w:rsidRPr="003610A9" w:rsidR="00A938FF">
        <w:rPr>
          <w:rFonts w:ascii="Times New Roman" w:hAnsi="Times New Roman" w:eastAsia="Times New Roman" w:cs="Times New Roman"/>
          <w:b/>
          <w:i/>
          <w:color w:val="030303"/>
          <w:spacing w:val="2"/>
          <w:sz w:val="24"/>
          <w:szCs w:val="24"/>
        </w:rPr>
        <w:t>rr</w:t>
      </w:r>
      <w:r w:rsidRPr="003610A9">
        <w:rPr>
          <w:rFonts w:ascii="Times New Roman" w:hAnsi="Times New Roman" w:eastAsia="Times New Roman" w:cs="Times New Roman"/>
          <w:b/>
          <w:i/>
          <w:color w:val="030303"/>
          <w:spacing w:val="2"/>
          <w:sz w:val="24"/>
          <w:szCs w:val="24"/>
        </w:rPr>
        <w:t>ed without this collection of information.</w:t>
      </w:r>
    </w:p>
    <w:p w:rsidR="00F64F67" w:rsidP="00A03B38" w:rsidRDefault="00F64F67" w14:paraId="01456394" w14:textId="77777777">
      <w:pPr>
        <w:spacing w:after="0" w:line="240" w:lineRule="auto"/>
        <w:ind w:right="-40" w:hanging="5"/>
        <w:rPr>
          <w:rFonts w:ascii="Times New Roman" w:hAnsi="Times New Roman" w:eastAsia="Times New Roman" w:cs="Times New Roman"/>
          <w:color w:val="030303"/>
          <w:spacing w:val="2"/>
          <w:sz w:val="24"/>
          <w:szCs w:val="24"/>
        </w:rPr>
      </w:pPr>
    </w:p>
    <w:p w:rsidR="00FA0125" w:rsidP="00FA0125" w:rsidRDefault="00FA0125" w14:paraId="5E09CF79" w14:textId="77777777">
      <w:pPr>
        <w:spacing w:after="0" w:line="240" w:lineRule="auto"/>
        <w:ind w:right="-40" w:hanging="5"/>
        <w:rPr>
          <w:rFonts w:ascii="Times New Roman" w:hAnsi="Times New Roman" w:eastAsia="Times New Roman" w:cs="Times New Roman"/>
          <w:color w:val="030303"/>
          <w:spacing w:val="2"/>
          <w:sz w:val="24"/>
          <w:szCs w:val="24"/>
        </w:rPr>
      </w:pPr>
      <w:r>
        <w:rPr>
          <w:rFonts w:ascii="Times New Roman" w:hAnsi="Times New Roman" w:eastAsia="Times New Roman" w:cs="Times New Roman"/>
          <w:color w:val="030303"/>
          <w:spacing w:val="2"/>
          <w:sz w:val="24"/>
          <w:szCs w:val="24"/>
        </w:rPr>
        <w:t>The annualized costs to the Federal Government will remain current as approved by OMB i</w:t>
      </w:r>
      <w:r w:rsidR="004C57AB">
        <w:rPr>
          <w:rFonts w:ascii="Times New Roman" w:hAnsi="Times New Roman" w:eastAsia="Times New Roman" w:cs="Times New Roman"/>
          <w:color w:val="030303"/>
          <w:spacing w:val="2"/>
          <w:sz w:val="24"/>
          <w:szCs w:val="24"/>
        </w:rPr>
        <w:t>n OMB Control Numbers 1010-0114</w:t>
      </w:r>
      <w:r>
        <w:rPr>
          <w:rFonts w:ascii="Times New Roman" w:hAnsi="Times New Roman" w:eastAsia="Times New Roman" w:cs="Times New Roman"/>
          <w:color w:val="030303"/>
          <w:spacing w:val="2"/>
          <w:sz w:val="24"/>
          <w:szCs w:val="24"/>
        </w:rPr>
        <w:t xml:space="preserve"> and 1010-0057.</w:t>
      </w:r>
    </w:p>
    <w:p w:rsidR="004C57AB" w:rsidP="00FA0125" w:rsidRDefault="004C57AB" w14:paraId="39694354" w14:textId="77777777">
      <w:pPr>
        <w:spacing w:after="0" w:line="240" w:lineRule="auto"/>
        <w:ind w:right="-40" w:hanging="5"/>
        <w:rPr>
          <w:rFonts w:ascii="Times New Roman" w:hAnsi="Times New Roman" w:eastAsia="Times New Roman" w:cs="Times New Roman"/>
          <w:color w:val="030303"/>
          <w:spacing w:val="2"/>
          <w:sz w:val="24"/>
          <w:szCs w:val="24"/>
        </w:rPr>
      </w:pPr>
    </w:p>
    <w:p w:rsidR="004C57AB" w:rsidP="00FA0125" w:rsidRDefault="004C57AB" w14:paraId="1648C1D0" w14:textId="77777777">
      <w:pPr>
        <w:spacing w:after="0" w:line="240" w:lineRule="auto"/>
        <w:ind w:right="-40" w:hanging="5"/>
        <w:rPr>
          <w:rFonts w:ascii="Times New Roman" w:hAnsi="Times New Roman" w:eastAsia="Times New Roman" w:cs="Times New Roman"/>
          <w:color w:val="030303"/>
          <w:spacing w:val="2"/>
          <w:sz w:val="24"/>
          <w:szCs w:val="24"/>
        </w:rPr>
      </w:pPr>
      <w:r>
        <w:rPr>
          <w:rFonts w:ascii="Times New Roman" w:hAnsi="Times New Roman" w:eastAsia="Times New Roman" w:cs="Times New Roman"/>
          <w:color w:val="030303"/>
          <w:spacing w:val="2"/>
          <w:sz w:val="24"/>
          <w:szCs w:val="24"/>
        </w:rPr>
        <w:t xml:space="preserve">The following are updated numbers </w:t>
      </w:r>
      <w:r w:rsidR="00D67C5F">
        <w:rPr>
          <w:rFonts w:ascii="Times New Roman" w:hAnsi="Times New Roman" w:eastAsia="Times New Roman" w:cs="Times New Roman"/>
          <w:color w:val="030303"/>
          <w:spacing w:val="2"/>
          <w:sz w:val="24"/>
          <w:szCs w:val="24"/>
        </w:rPr>
        <w:t>using the 20</w:t>
      </w:r>
      <w:r w:rsidR="00AF7C36">
        <w:rPr>
          <w:rFonts w:ascii="Times New Roman" w:hAnsi="Times New Roman" w:eastAsia="Times New Roman" w:cs="Times New Roman"/>
          <w:color w:val="030303"/>
          <w:spacing w:val="2"/>
          <w:sz w:val="24"/>
          <w:szCs w:val="24"/>
        </w:rPr>
        <w:t>20</w:t>
      </w:r>
      <w:r w:rsidR="00D67C5F">
        <w:rPr>
          <w:rFonts w:ascii="Times New Roman" w:hAnsi="Times New Roman" w:eastAsia="Times New Roman" w:cs="Times New Roman"/>
          <w:color w:val="030303"/>
          <w:spacing w:val="2"/>
          <w:sz w:val="24"/>
          <w:szCs w:val="24"/>
        </w:rPr>
        <w:t xml:space="preserve"> OPM Salary Tables </w:t>
      </w:r>
      <w:r>
        <w:rPr>
          <w:rFonts w:ascii="Times New Roman" w:hAnsi="Times New Roman" w:eastAsia="Times New Roman" w:cs="Times New Roman"/>
          <w:color w:val="030303"/>
          <w:spacing w:val="2"/>
          <w:sz w:val="24"/>
          <w:szCs w:val="24"/>
        </w:rPr>
        <w:t>for OMB Control Number 1010-0151:</w:t>
      </w:r>
    </w:p>
    <w:p w:rsidR="006F2808" w:rsidP="00FA0125" w:rsidRDefault="006F2808" w14:paraId="0040094E" w14:textId="77777777">
      <w:pPr>
        <w:spacing w:after="0" w:line="240" w:lineRule="auto"/>
        <w:ind w:right="-40" w:hanging="5"/>
        <w:rPr>
          <w:rFonts w:ascii="Times New Roman" w:hAnsi="Times New Roman" w:eastAsia="Times New Roman" w:cs="Times New Roman"/>
          <w:color w:val="030303"/>
          <w:spacing w:val="2"/>
          <w:sz w:val="24"/>
          <w:szCs w:val="24"/>
        </w:rPr>
      </w:pPr>
    </w:p>
    <w:p w:rsidRPr="006F2808" w:rsidR="006F2808" w:rsidP="006F2808" w:rsidRDefault="006F2808" w14:paraId="33B1A66A" w14:textId="77777777">
      <w:pPr>
        <w:tabs>
          <w:tab w:val="left" w:pos="360"/>
        </w:tabs>
        <w:spacing w:after="0" w:line="240" w:lineRule="auto"/>
        <w:rPr>
          <w:rFonts w:ascii="Times New Roman" w:hAnsi="Times New Roman" w:eastAsia="Times New Roman" w:cs="Times New Roman"/>
          <w:snapToGrid w:val="0"/>
          <w:sz w:val="24"/>
          <w:szCs w:val="20"/>
        </w:rPr>
      </w:pPr>
      <w:r w:rsidRPr="006F2808">
        <w:rPr>
          <w:rFonts w:ascii="Times New Roman" w:hAnsi="Times New Roman" w:eastAsia="Times New Roman" w:cs="Times New Roman"/>
          <w:snapToGrid w:val="0"/>
          <w:sz w:val="24"/>
          <w:szCs w:val="20"/>
        </w:rPr>
        <w:t>The average Federal cost is $6</w:t>
      </w:r>
      <w:r w:rsidR="00AF7C36">
        <w:rPr>
          <w:rFonts w:ascii="Times New Roman" w:hAnsi="Times New Roman" w:eastAsia="Times New Roman" w:cs="Times New Roman"/>
          <w:snapToGrid w:val="0"/>
          <w:sz w:val="24"/>
          <w:szCs w:val="20"/>
        </w:rPr>
        <w:t>6</w:t>
      </w:r>
      <w:r w:rsidRPr="006F2808">
        <w:rPr>
          <w:rFonts w:ascii="Times New Roman" w:hAnsi="Times New Roman" w:eastAsia="Times New Roman" w:cs="Times New Roman"/>
          <w:snapToGrid w:val="0"/>
          <w:sz w:val="24"/>
          <w:szCs w:val="20"/>
        </w:rPr>
        <w:t>/hour.  This cost is broken out in the below table using the 201</w:t>
      </w:r>
      <w:r w:rsidR="007F6B2B">
        <w:rPr>
          <w:rFonts w:ascii="Times New Roman" w:hAnsi="Times New Roman" w:eastAsia="Times New Roman" w:cs="Times New Roman"/>
          <w:snapToGrid w:val="0"/>
          <w:sz w:val="24"/>
          <w:szCs w:val="20"/>
        </w:rPr>
        <w:t>9</w:t>
      </w:r>
      <w:r w:rsidRPr="006F2808">
        <w:rPr>
          <w:rFonts w:ascii="Times New Roman" w:hAnsi="Times New Roman" w:eastAsia="Times New Roman" w:cs="Times New Roman"/>
          <w:snapToGrid w:val="0"/>
          <w:sz w:val="24"/>
          <w:szCs w:val="20"/>
        </w:rPr>
        <w:t xml:space="preserve"> Office of Personnel Management salary data for the REST OF THE UNITED STATES.   </w:t>
      </w:r>
    </w:p>
    <w:p w:rsidRPr="006F2808" w:rsidR="006F2808" w:rsidP="006F2808" w:rsidRDefault="006F2808" w14:paraId="414A0960" w14:textId="77777777">
      <w:pPr>
        <w:tabs>
          <w:tab w:val="left" w:pos="360"/>
          <w:tab w:val="left" w:pos="720"/>
          <w:tab w:val="left" w:pos="1080"/>
        </w:tabs>
        <w:spacing w:after="0" w:line="240" w:lineRule="auto"/>
        <w:rPr>
          <w:rFonts w:ascii="Times New Roman" w:hAnsi="Times New Roman" w:eastAsia="Times New Roman" w:cs="Times New Roman"/>
          <w:snapToGrid w:val="0"/>
          <w:sz w:val="24"/>
          <w:szCs w:val="20"/>
        </w:rPr>
      </w:pPr>
    </w:p>
    <w:tbl>
      <w:tblPr>
        <w:tblW w:w="100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2479"/>
        <w:gridCol w:w="1426"/>
        <w:gridCol w:w="1405"/>
        <w:gridCol w:w="1979"/>
        <w:gridCol w:w="1430"/>
        <w:gridCol w:w="1361"/>
      </w:tblGrid>
      <w:tr w:rsidRPr="006F2808" w:rsidR="006F2808" w:rsidTr="00A83B67" w14:paraId="7B78D35C" w14:textId="77777777">
        <w:trPr>
          <w:jc w:val="center"/>
        </w:trPr>
        <w:tc>
          <w:tcPr>
            <w:tcW w:w="2479" w:type="dxa"/>
            <w:vAlign w:val="center"/>
          </w:tcPr>
          <w:p w:rsidRPr="006F2808" w:rsidR="006F2808" w:rsidP="006F2808" w:rsidRDefault="006F2808" w14:paraId="50567A12" w14:textId="77777777">
            <w:pPr>
              <w:tabs>
                <w:tab w:val="left" w:pos="360"/>
              </w:tabs>
              <w:spacing w:after="0" w:line="240" w:lineRule="auto"/>
              <w:jc w:val="center"/>
              <w:rPr>
                <w:rFonts w:ascii="Times New Roman" w:hAnsi="Times New Roman" w:eastAsia="Times New Roman" w:cs="Times New Roman"/>
                <w:b/>
                <w:snapToGrid w:val="0"/>
              </w:rPr>
            </w:pPr>
            <w:r w:rsidRPr="006F2808">
              <w:rPr>
                <w:rFonts w:ascii="Times New Roman" w:hAnsi="Times New Roman" w:eastAsia="Times New Roman" w:cs="Times New Roman"/>
                <w:b/>
                <w:snapToGrid w:val="0"/>
              </w:rPr>
              <w:t>Position</w:t>
            </w:r>
          </w:p>
        </w:tc>
        <w:tc>
          <w:tcPr>
            <w:tcW w:w="1426" w:type="dxa"/>
            <w:vAlign w:val="center"/>
          </w:tcPr>
          <w:p w:rsidRPr="006F2808" w:rsidR="006F2808" w:rsidP="006F2808" w:rsidRDefault="006F2808" w14:paraId="2095E859" w14:textId="77777777">
            <w:pPr>
              <w:tabs>
                <w:tab w:val="left" w:pos="360"/>
              </w:tabs>
              <w:spacing w:after="0" w:line="240" w:lineRule="auto"/>
              <w:jc w:val="center"/>
              <w:rPr>
                <w:rFonts w:ascii="Times New Roman" w:hAnsi="Times New Roman" w:eastAsia="Times New Roman" w:cs="Times New Roman"/>
                <w:b/>
                <w:snapToGrid w:val="0"/>
              </w:rPr>
            </w:pPr>
            <w:r w:rsidRPr="006F2808">
              <w:rPr>
                <w:rFonts w:ascii="Times New Roman" w:hAnsi="Times New Roman" w:eastAsia="Times New Roman" w:cs="Times New Roman"/>
                <w:b/>
                <w:snapToGrid w:val="0"/>
              </w:rPr>
              <w:t>Grade</w:t>
            </w:r>
          </w:p>
        </w:tc>
        <w:tc>
          <w:tcPr>
            <w:tcW w:w="1405" w:type="dxa"/>
          </w:tcPr>
          <w:p w:rsidRPr="006F2808" w:rsidR="006F2808" w:rsidP="006F2808" w:rsidRDefault="006F2808" w14:paraId="31FF4FB6" w14:textId="77777777">
            <w:pPr>
              <w:tabs>
                <w:tab w:val="left" w:pos="360"/>
              </w:tabs>
              <w:spacing w:after="0" w:line="240" w:lineRule="auto"/>
              <w:jc w:val="center"/>
              <w:rPr>
                <w:rFonts w:ascii="Times New Roman" w:hAnsi="Times New Roman" w:eastAsia="Times New Roman" w:cs="Times New Roman"/>
                <w:b/>
                <w:snapToGrid w:val="0"/>
              </w:rPr>
            </w:pPr>
            <w:r w:rsidRPr="006F2808">
              <w:rPr>
                <w:rFonts w:ascii="Times New Roman" w:hAnsi="Times New Roman" w:eastAsia="Times New Roman" w:cs="Times New Roman"/>
                <w:b/>
                <w:snapToGrid w:val="0"/>
              </w:rPr>
              <w:t>Hourly Pay rate ($/hour estimate)</w:t>
            </w:r>
          </w:p>
        </w:tc>
        <w:tc>
          <w:tcPr>
            <w:tcW w:w="1979" w:type="dxa"/>
          </w:tcPr>
          <w:p w:rsidRPr="006F2808" w:rsidR="006F2808" w:rsidP="006F2808" w:rsidRDefault="006F2808" w14:paraId="2AA1C77E" w14:textId="77777777">
            <w:pPr>
              <w:tabs>
                <w:tab w:val="left" w:pos="360"/>
              </w:tabs>
              <w:spacing w:after="0" w:line="240" w:lineRule="auto"/>
              <w:jc w:val="center"/>
              <w:rPr>
                <w:rFonts w:ascii="Times New Roman" w:hAnsi="Times New Roman" w:eastAsia="Times New Roman" w:cs="Times New Roman"/>
                <w:b/>
                <w:snapToGrid w:val="0"/>
              </w:rPr>
            </w:pPr>
            <w:r w:rsidRPr="006F2808">
              <w:rPr>
                <w:rFonts w:ascii="Times New Roman" w:hAnsi="Times New Roman" w:eastAsia="Times New Roman" w:cs="Times New Roman"/>
                <w:b/>
                <w:snapToGrid w:val="0"/>
              </w:rPr>
              <w:t>Hourly rate including benefits (1.6 x $/hour)</w:t>
            </w:r>
          </w:p>
        </w:tc>
        <w:tc>
          <w:tcPr>
            <w:tcW w:w="1430" w:type="dxa"/>
          </w:tcPr>
          <w:p w:rsidRPr="006F2808" w:rsidR="006F2808" w:rsidP="006F2808" w:rsidRDefault="006F2808" w14:paraId="1B6F0677" w14:textId="77777777">
            <w:pPr>
              <w:tabs>
                <w:tab w:val="left" w:pos="360"/>
              </w:tabs>
              <w:spacing w:after="0" w:line="240" w:lineRule="auto"/>
              <w:jc w:val="center"/>
              <w:rPr>
                <w:rFonts w:ascii="Times New Roman" w:hAnsi="Times New Roman" w:eastAsia="Times New Roman" w:cs="Times New Roman"/>
                <w:b/>
                <w:snapToGrid w:val="0"/>
              </w:rPr>
            </w:pPr>
            <w:r w:rsidRPr="006F2808">
              <w:rPr>
                <w:rFonts w:ascii="Times New Roman" w:hAnsi="Times New Roman" w:eastAsia="Times New Roman" w:cs="Times New Roman"/>
                <w:b/>
                <w:snapToGrid w:val="0"/>
              </w:rPr>
              <w:t>Percent of time spent on collection</w:t>
            </w:r>
          </w:p>
        </w:tc>
        <w:tc>
          <w:tcPr>
            <w:tcW w:w="1361" w:type="dxa"/>
          </w:tcPr>
          <w:p w:rsidRPr="006F2808" w:rsidR="006F2808" w:rsidP="006F2808" w:rsidRDefault="006F2808" w14:paraId="0D57C6F8" w14:textId="77777777">
            <w:pPr>
              <w:tabs>
                <w:tab w:val="left" w:pos="360"/>
              </w:tabs>
              <w:spacing w:after="0" w:line="240" w:lineRule="auto"/>
              <w:jc w:val="center"/>
              <w:rPr>
                <w:rFonts w:ascii="Times New Roman" w:hAnsi="Times New Roman" w:eastAsia="Times New Roman" w:cs="Times New Roman"/>
                <w:b/>
                <w:snapToGrid w:val="0"/>
              </w:rPr>
            </w:pPr>
            <w:r w:rsidRPr="006F2808">
              <w:rPr>
                <w:rFonts w:ascii="Times New Roman" w:hAnsi="Times New Roman" w:eastAsia="Times New Roman" w:cs="Times New Roman"/>
                <w:b/>
                <w:snapToGrid w:val="0"/>
              </w:rPr>
              <w:t>Weighted Average ($/hour)</w:t>
            </w:r>
          </w:p>
        </w:tc>
      </w:tr>
      <w:tr w:rsidRPr="006F2808" w:rsidR="006F2808" w:rsidTr="00A83B67" w14:paraId="026E6012" w14:textId="77777777">
        <w:trPr>
          <w:jc w:val="center"/>
        </w:trPr>
        <w:tc>
          <w:tcPr>
            <w:tcW w:w="2479" w:type="dxa"/>
          </w:tcPr>
          <w:p w:rsidRPr="006F2808" w:rsidR="006F2808" w:rsidP="006F2808" w:rsidRDefault="006F2808" w14:paraId="65516442" w14:textId="77777777">
            <w:pPr>
              <w:tabs>
                <w:tab w:val="left" w:pos="360"/>
              </w:tabs>
              <w:spacing w:after="0" w:line="240" w:lineRule="auto"/>
              <w:rPr>
                <w:rFonts w:ascii="Times New Roman" w:hAnsi="Times New Roman" w:eastAsia="Times New Roman" w:cs="Times New Roman"/>
                <w:snapToGrid w:val="0"/>
              </w:rPr>
            </w:pPr>
            <w:r w:rsidRPr="006F2808">
              <w:rPr>
                <w:rFonts w:ascii="Times New Roman" w:hAnsi="Times New Roman" w:eastAsia="Times New Roman" w:cs="Times New Roman"/>
                <w:snapToGrid w:val="0"/>
              </w:rPr>
              <w:lastRenderedPageBreak/>
              <w:t>Clerical</w:t>
            </w:r>
          </w:p>
        </w:tc>
        <w:tc>
          <w:tcPr>
            <w:tcW w:w="1426" w:type="dxa"/>
          </w:tcPr>
          <w:p w:rsidRPr="006F2808" w:rsidR="006F2808" w:rsidP="006F2808" w:rsidRDefault="006F2808" w14:paraId="7E803148" w14:textId="77777777">
            <w:pPr>
              <w:tabs>
                <w:tab w:val="left" w:pos="360"/>
              </w:tabs>
              <w:spacing w:after="0" w:line="240" w:lineRule="auto"/>
              <w:jc w:val="center"/>
              <w:rPr>
                <w:rFonts w:ascii="Times New Roman" w:hAnsi="Times New Roman" w:eastAsia="Times New Roman" w:cs="Times New Roman"/>
                <w:snapToGrid w:val="0"/>
              </w:rPr>
            </w:pPr>
            <w:r w:rsidRPr="006F2808">
              <w:rPr>
                <w:rFonts w:ascii="Times New Roman" w:hAnsi="Times New Roman" w:eastAsia="Times New Roman" w:cs="Times New Roman"/>
                <w:snapToGrid w:val="0"/>
              </w:rPr>
              <w:t>GS-7/5</w:t>
            </w:r>
          </w:p>
        </w:tc>
        <w:tc>
          <w:tcPr>
            <w:tcW w:w="1405" w:type="dxa"/>
          </w:tcPr>
          <w:p w:rsidRPr="006F2808" w:rsidR="006F2808" w:rsidP="006F2808" w:rsidRDefault="004C57AB" w14:paraId="16EF9A49" w14:textId="77777777">
            <w:pPr>
              <w:tabs>
                <w:tab w:val="left" w:pos="360"/>
              </w:tabs>
              <w:spacing w:after="0" w:line="240" w:lineRule="auto"/>
              <w:jc w:val="center"/>
              <w:rPr>
                <w:rFonts w:ascii="Times New Roman" w:hAnsi="Times New Roman" w:eastAsia="Times New Roman" w:cs="Times New Roman"/>
                <w:snapToGrid w:val="0"/>
              </w:rPr>
            </w:pPr>
            <w:r>
              <w:rPr>
                <w:rFonts w:ascii="Times New Roman" w:hAnsi="Times New Roman" w:eastAsia="Times New Roman" w:cs="Times New Roman"/>
                <w:snapToGrid w:val="0"/>
              </w:rPr>
              <w:t>$23</w:t>
            </w:r>
          </w:p>
        </w:tc>
        <w:tc>
          <w:tcPr>
            <w:tcW w:w="1979" w:type="dxa"/>
          </w:tcPr>
          <w:p w:rsidRPr="006F2808" w:rsidR="006F2808" w:rsidP="006F2808" w:rsidRDefault="004C57AB" w14:paraId="00FE9134" w14:textId="77777777">
            <w:pPr>
              <w:tabs>
                <w:tab w:val="left" w:pos="360"/>
              </w:tabs>
              <w:spacing w:after="0" w:line="240" w:lineRule="auto"/>
              <w:jc w:val="center"/>
              <w:rPr>
                <w:rFonts w:ascii="Times New Roman" w:hAnsi="Times New Roman" w:eastAsia="Times New Roman" w:cs="Times New Roman"/>
                <w:snapToGrid w:val="0"/>
              </w:rPr>
            </w:pPr>
            <w:r>
              <w:rPr>
                <w:rFonts w:ascii="Times New Roman" w:hAnsi="Times New Roman" w:eastAsia="Times New Roman" w:cs="Times New Roman"/>
                <w:snapToGrid w:val="0"/>
              </w:rPr>
              <w:t>$37</w:t>
            </w:r>
          </w:p>
        </w:tc>
        <w:tc>
          <w:tcPr>
            <w:tcW w:w="1430" w:type="dxa"/>
          </w:tcPr>
          <w:p w:rsidRPr="006F2808" w:rsidR="006F2808" w:rsidP="006F2808" w:rsidRDefault="006F2808" w14:paraId="41153196" w14:textId="77777777">
            <w:pPr>
              <w:tabs>
                <w:tab w:val="left" w:pos="360"/>
              </w:tabs>
              <w:spacing w:after="0" w:line="240" w:lineRule="auto"/>
              <w:jc w:val="center"/>
              <w:rPr>
                <w:rFonts w:ascii="Times New Roman" w:hAnsi="Times New Roman" w:eastAsia="Times New Roman" w:cs="Times New Roman"/>
                <w:snapToGrid w:val="0"/>
              </w:rPr>
            </w:pPr>
            <w:r w:rsidRPr="006F2808">
              <w:rPr>
                <w:rFonts w:ascii="Times New Roman" w:hAnsi="Times New Roman" w:eastAsia="Times New Roman" w:cs="Times New Roman"/>
                <w:snapToGrid w:val="0"/>
              </w:rPr>
              <w:t>5%</w:t>
            </w:r>
          </w:p>
        </w:tc>
        <w:tc>
          <w:tcPr>
            <w:tcW w:w="1361" w:type="dxa"/>
          </w:tcPr>
          <w:p w:rsidRPr="006F2808" w:rsidR="006F2808" w:rsidP="006F2808" w:rsidRDefault="006F2808" w14:paraId="651C1C16" w14:textId="77777777">
            <w:pPr>
              <w:tabs>
                <w:tab w:val="left" w:pos="360"/>
              </w:tabs>
              <w:spacing w:after="0" w:line="240" w:lineRule="auto"/>
              <w:jc w:val="center"/>
              <w:rPr>
                <w:rFonts w:ascii="Times New Roman" w:hAnsi="Times New Roman" w:eastAsia="Times New Roman" w:cs="Times New Roman"/>
                <w:snapToGrid w:val="0"/>
              </w:rPr>
            </w:pPr>
            <w:r w:rsidRPr="006F2808">
              <w:rPr>
                <w:rFonts w:ascii="Times New Roman" w:hAnsi="Times New Roman" w:eastAsia="Times New Roman" w:cs="Times New Roman"/>
                <w:snapToGrid w:val="0"/>
              </w:rPr>
              <w:t>$2</w:t>
            </w:r>
          </w:p>
        </w:tc>
      </w:tr>
      <w:tr w:rsidRPr="006F2808" w:rsidR="006F2808" w:rsidTr="00A83B67" w14:paraId="48423C8D" w14:textId="77777777">
        <w:trPr>
          <w:jc w:val="center"/>
        </w:trPr>
        <w:tc>
          <w:tcPr>
            <w:tcW w:w="2479" w:type="dxa"/>
          </w:tcPr>
          <w:p w:rsidRPr="006F2808" w:rsidR="006F2808" w:rsidP="006F2808" w:rsidRDefault="006F2808" w14:paraId="5F68517A" w14:textId="77777777">
            <w:pPr>
              <w:tabs>
                <w:tab w:val="left" w:pos="360"/>
              </w:tabs>
              <w:spacing w:after="0" w:line="240" w:lineRule="auto"/>
              <w:rPr>
                <w:rFonts w:ascii="Times New Roman" w:hAnsi="Times New Roman" w:eastAsia="Times New Roman" w:cs="Times New Roman"/>
                <w:snapToGrid w:val="0"/>
              </w:rPr>
            </w:pPr>
            <w:r w:rsidRPr="006F2808">
              <w:rPr>
                <w:rFonts w:ascii="Times New Roman" w:hAnsi="Times New Roman" w:eastAsia="Times New Roman" w:cs="Times New Roman"/>
                <w:snapToGrid w:val="0"/>
              </w:rPr>
              <w:t>Regulatory</w:t>
            </w:r>
          </w:p>
        </w:tc>
        <w:tc>
          <w:tcPr>
            <w:tcW w:w="1426" w:type="dxa"/>
          </w:tcPr>
          <w:p w:rsidRPr="006F2808" w:rsidR="006F2808" w:rsidP="006F2808" w:rsidRDefault="006F2808" w14:paraId="400AA557" w14:textId="77777777">
            <w:pPr>
              <w:tabs>
                <w:tab w:val="left" w:pos="360"/>
              </w:tabs>
              <w:spacing w:after="0" w:line="240" w:lineRule="auto"/>
              <w:jc w:val="center"/>
              <w:rPr>
                <w:rFonts w:ascii="Times New Roman" w:hAnsi="Times New Roman" w:eastAsia="Times New Roman" w:cs="Times New Roman"/>
                <w:snapToGrid w:val="0"/>
              </w:rPr>
            </w:pPr>
            <w:r w:rsidRPr="006F2808">
              <w:rPr>
                <w:rFonts w:ascii="Times New Roman" w:hAnsi="Times New Roman" w:eastAsia="Times New Roman" w:cs="Times New Roman"/>
                <w:snapToGrid w:val="0"/>
              </w:rPr>
              <w:t>GS-11/5</w:t>
            </w:r>
          </w:p>
        </w:tc>
        <w:tc>
          <w:tcPr>
            <w:tcW w:w="1405" w:type="dxa"/>
          </w:tcPr>
          <w:p w:rsidRPr="006F2808" w:rsidR="006F2808" w:rsidP="006F2808" w:rsidRDefault="004C57AB" w14:paraId="7375DA49" w14:textId="77777777">
            <w:pPr>
              <w:tabs>
                <w:tab w:val="left" w:pos="360"/>
              </w:tabs>
              <w:spacing w:after="0" w:line="240" w:lineRule="auto"/>
              <w:jc w:val="center"/>
              <w:rPr>
                <w:rFonts w:ascii="Times New Roman" w:hAnsi="Times New Roman" w:eastAsia="Times New Roman" w:cs="Times New Roman"/>
                <w:snapToGrid w:val="0"/>
              </w:rPr>
            </w:pPr>
            <w:r>
              <w:rPr>
                <w:rFonts w:ascii="Times New Roman" w:hAnsi="Times New Roman" w:eastAsia="Times New Roman" w:cs="Times New Roman"/>
                <w:snapToGrid w:val="0"/>
              </w:rPr>
              <w:t>$3</w:t>
            </w:r>
            <w:r w:rsidR="00AF7C36">
              <w:rPr>
                <w:rFonts w:ascii="Times New Roman" w:hAnsi="Times New Roman" w:eastAsia="Times New Roman" w:cs="Times New Roman"/>
                <w:snapToGrid w:val="0"/>
              </w:rPr>
              <w:t>5</w:t>
            </w:r>
          </w:p>
        </w:tc>
        <w:tc>
          <w:tcPr>
            <w:tcW w:w="1979" w:type="dxa"/>
          </w:tcPr>
          <w:p w:rsidRPr="006F2808" w:rsidR="006F2808" w:rsidP="006F2808" w:rsidRDefault="004C57AB" w14:paraId="0B442101" w14:textId="77777777">
            <w:pPr>
              <w:tabs>
                <w:tab w:val="left" w:pos="360"/>
              </w:tabs>
              <w:spacing w:after="0" w:line="240" w:lineRule="auto"/>
              <w:jc w:val="center"/>
              <w:rPr>
                <w:rFonts w:ascii="Times New Roman" w:hAnsi="Times New Roman" w:eastAsia="Times New Roman" w:cs="Times New Roman"/>
                <w:snapToGrid w:val="0"/>
              </w:rPr>
            </w:pPr>
            <w:r>
              <w:rPr>
                <w:rFonts w:ascii="Times New Roman" w:hAnsi="Times New Roman" w:eastAsia="Times New Roman" w:cs="Times New Roman"/>
                <w:snapToGrid w:val="0"/>
              </w:rPr>
              <w:t>$5</w:t>
            </w:r>
            <w:r w:rsidR="00AF7C36">
              <w:rPr>
                <w:rFonts w:ascii="Times New Roman" w:hAnsi="Times New Roman" w:eastAsia="Times New Roman" w:cs="Times New Roman"/>
                <w:snapToGrid w:val="0"/>
              </w:rPr>
              <w:t>6</w:t>
            </w:r>
          </w:p>
        </w:tc>
        <w:tc>
          <w:tcPr>
            <w:tcW w:w="1430" w:type="dxa"/>
          </w:tcPr>
          <w:p w:rsidRPr="006F2808" w:rsidR="006F2808" w:rsidP="006F2808" w:rsidRDefault="006F2808" w14:paraId="4FB2C7DA" w14:textId="77777777">
            <w:pPr>
              <w:tabs>
                <w:tab w:val="left" w:pos="360"/>
              </w:tabs>
              <w:spacing w:after="0" w:line="240" w:lineRule="auto"/>
              <w:jc w:val="center"/>
              <w:rPr>
                <w:rFonts w:ascii="Times New Roman" w:hAnsi="Times New Roman" w:eastAsia="Times New Roman" w:cs="Times New Roman"/>
                <w:snapToGrid w:val="0"/>
              </w:rPr>
            </w:pPr>
            <w:r w:rsidRPr="006F2808">
              <w:rPr>
                <w:rFonts w:ascii="Times New Roman" w:hAnsi="Times New Roman" w:eastAsia="Times New Roman" w:cs="Times New Roman"/>
                <w:snapToGrid w:val="0"/>
              </w:rPr>
              <w:t>40%</w:t>
            </w:r>
          </w:p>
        </w:tc>
        <w:tc>
          <w:tcPr>
            <w:tcW w:w="1361" w:type="dxa"/>
          </w:tcPr>
          <w:p w:rsidRPr="006F2808" w:rsidR="006F2808" w:rsidP="006F2808" w:rsidRDefault="007F6B2B" w14:paraId="18A9E1A5" w14:textId="77777777">
            <w:pPr>
              <w:tabs>
                <w:tab w:val="left" w:pos="360"/>
              </w:tabs>
              <w:spacing w:after="0" w:line="240" w:lineRule="auto"/>
              <w:jc w:val="center"/>
              <w:rPr>
                <w:rFonts w:ascii="Times New Roman" w:hAnsi="Times New Roman" w:eastAsia="Times New Roman" w:cs="Times New Roman"/>
                <w:snapToGrid w:val="0"/>
              </w:rPr>
            </w:pPr>
            <w:r>
              <w:rPr>
                <w:rFonts w:ascii="Times New Roman" w:hAnsi="Times New Roman" w:eastAsia="Times New Roman" w:cs="Times New Roman"/>
                <w:snapToGrid w:val="0"/>
              </w:rPr>
              <w:t>$22</w:t>
            </w:r>
          </w:p>
        </w:tc>
      </w:tr>
      <w:tr w:rsidRPr="006F2808" w:rsidR="006F2808" w:rsidTr="00A83B67" w14:paraId="7FC62492" w14:textId="77777777">
        <w:trPr>
          <w:jc w:val="center"/>
        </w:trPr>
        <w:tc>
          <w:tcPr>
            <w:tcW w:w="2479" w:type="dxa"/>
          </w:tcPr>
          <w:p w:rsidRPr="006F2808" w:rsidR="006F2808" w:rsidP="006F2808" w:rsidRDefault="006F2808" w14:paraId="3019BD3F" w14:textId="77777777">
            <w:pPr>
              <w:tabs>
                <w:tab w:val="left" w:pos="360"/>
              </w:tabs>
              <w:spacing w:after="0" w:line="240" w:lineRule="auto"/>
              <w:rPr>
                <w:rFonts w:ascii="Times New Roman" w:hAnsi="Times New Roman" w:eastAsia="Times New Roman" w:cs="Times New Roman"/>
                <w:snapToGrid w:val="0"/>
              </w:rPr>
            </w:pPr>
            <w:r w:rsidRPr="006F2808">
              <w:rPr>
                <w:rFonts w:ascii="Times New Roman" w:hAnsi="Times New Roman" w:eastAsia="Times New Roman" w:cs="Times New Roman"/>
                <w:snapToGrid w:val="0"/>
              </w:rPr>
              <w:t xml:space="preserve">Engineers/Geologists </w:t>
            </w:r>
          </w:p>
        </w:tc>
        <w:tc>
          <w:tcPr>
            <w:tcW w:w="1426" w:type="dxa"/>
          </w:tcPr>
          <w:p w:rsidRPr="006F2808" w:rsidR="006F2808" w:rsidP="006F2808" w:rsidRDefault="006F2808" w14:paraId="667DF36D" w14:textId="77777777">
            <w:pPr>
              <w:tabs>
                <w:tab w:val="left" w:pos="360"/>
              </w:tabs>
              <w:spacing w:after="0" w:line="240" w:lineRule="auto"/>
              <w:jc w:val="center"/>
              <w:rPr>
                <w:rFonts w:ascii="Times New Roman" w:hAnsi="Times New Roman" w:eastAsia="Times New Roman" w:cs="Times New Roman"/>
                <w:snapToGrid w:val="0"/>
              </w:rPr>
            </w:pPr>
            <w:r w:rsidRPr="006F2808">
              <w:rPr>
                <w:rFonts w:ascii="Times New Roman" w:hAnsi="Times New Roman" w:eastAsia="Times New Roman" w:cs="Times New Roman"/>
                <w:snapToGrid w:val="0"/>
              </w:rPr>
              <w:t>GS-13/5</w:t>
            </w:r>
          </w:p>
        </w:tc>
        <w:tc>
          <w:tcPr>
            <w:tcW w:w="1405" w:type="dxa"/>
          </w:tcPr>
          <w:p w:rsidRPr="006F2808" w:rsidR="006F2808" w:rsidP="006F2808" w:rsidRDefault="004C57AB" w14:paraId="08F078C3" w14:textId="77777777">
            <w:pPr>
              <w:tabs>
                <w:tab w:val="left" w:pos="360"/>
              </w:tabs>
              <w:spacing w:after="0" w:line="240" w:lineRule="auto"/>
              <w:jc w:val="center"/>
              <w:rPr>
                <w:rFonts w:ascii="Times New Roman" w:hAnsi="Times New Roman" w:eastAsia="Times New Roman" w:cs="Times New Roman"/>
                <w:snapToGrid w:val="0"/>
              </w:rPr>
            </w:pPr>
            <w:r>
              <w:rPr>
                <w:rFonts w:ascii="Times New Roman" w:hAnsi="Times New Roman" w:eastAsia="Times New Roman" w:cs="Times New Roman"/>
                <w:snapToGrid w:val="0"/>
              </w:rPr>
              <w:t>$</w:t>
            </w:r>
            <w:r w:rsidR="00AF7C36">
              <w:rPr>
                <w:rFonts w:ascii="Times New Roman" w:hAnsi="Times New Roman" w:eastAsia="Times New Roman" w:cs="Times New Roman"/>
                <w:snapToGrid w:val="0"/>
              </w:rPr>
              <w:t>50</w:t>
            </w:r>
          </w:p>
        </w:tc>
        <w:tc>
          <w:tcPr>
            <w:tcW w:w="1979" w:type="dxa"/>
          </w:tcPr>
          <w:p w:rsidRPr="006F2808" w:rsidR="006F2808" w:rsidP="006F2808" w:rsidRDefault="004C57AB" w14:paraId="0C55945B" w14:textId="77777777">
            <w:pPr>
              <w:tabs>
                <w:tab w:val="left" w:pos="360"/>
              </w:tabs>
              <w:spacing w:after="0" w:line="240" w:lineRule="auto"/>
              <w:jc w:val="center"/>
              <w:rPr>
                <w:rFonts w:ascii="Times New Roman" w:hAnsi="Times New Roman" w:eastAsia="Times New Roman" w:cs="Times New Roman"/>
                <w:snapToGrid w:val="0"/>
              </w:rPr>
            </w:pPr>
            <w:r>
              <w:rPr>
                <w:rFonts w:ascii="Times New Roman" w:hAnsi="Times New Roman" w:eastAsia="Times New Roman" w:cs="Times New Roman"/>
                <w:snapToGrid w:val="0"/>
              </w:rPr>
              <w:t>$</w:t>
            </w:r>
            <w:r w:rsidR="00AF7C36">
              <w:rPr>
                <w:rFonts w:ascii="Times New Roman" w:hAnsi="Times New Roman" w:eastAsia="Times New Roman" w:cs="Times New Roman"/>
                <w:snapToGrid w:val="0"/>
              </w:rPr>
              <w:t>80</w:t>
            </w:r>
          </w:p>
        </w:tc>
        <w:tc>
          <w:tcPr>
            <w:tcW w:w="1430" w:type="dxa"/>
          </w:tcPr>
          <w:p w:rsidRPr="006F2808" w:rsidR="006F2808" w:rsidP="006F2808" w:rsidRDefault="006F2808" w14:paraId="4A290D6C" w14:textId="77777777">
            <w:pPr>
              <w:tabs>
                <w:tab w:val="left" w:pos="360"/>
              </w:tabs>
              <w:spacing w:after="0" w:line="240" w:lineRule="auto"/>
              <w:jc w:val="center"/>
              <w:rPr>
                <w:rFonts w:ascii="Times New Roman" w:hAnsi="Times New Roman" w:eastAsia="Times New Roman" w:cs="Times New Roman"/>
                <w:snapToGrid w:val="0"/>
              </w:rPr>
            </w:pPr>
            <w:r w:rsidRPr="006F2808">
              <w:rPr>
                <w:rFonts w:ascii="Times New Roman" w:hAnsi="Times New Roman" w:eastAsia="Times New Roman" w:cs="Times New Roman"/>
                <w:snapToGrid w:val="0"/>
              </w:rPr>
              <w:t>25%</w:t>
            </w:r>
          </w:p>
        </w:tc>
        <w:tc>
          <w:tcPr>
            <w:tcW w:w="1361" w:type="dxa"/>
          </w:tcPr>
          <w:p w:rsidRPr="006F2808" w:rsidR="006F2808" w:rsidP="006F2808" w:rsidRDefault="006F2808" w14:paraId="23F4C213" w14:textId="77777777">
            <w:pPr>
              <w:tabs>
                <w:tab w:val="left" w:pos="360"/>
              </w:tabs>
              <w:spacing w:after="0" w:line="240" w:lineRule="auto"/>
              <w:jc w:val="center"/>
              <w:rPr>
                <w:rFonts w:ascii="Times New Roman" w:hAnsi="Times New Roman" w:eastAsia="Times New Roman" w:cs="Times New Roman"/>
                <w:snapToGrid w:val="0"/>
              </w:rPr>
            </w:pPr>
            <w:r w:rsidRPr="006F2808">
              <w:rPr>
                <w:rFonts w:ascii="Times New Roman" w:hAnsi="Times New Roman" w:eastAsia="Times New Roman" w:cs="Times New Roman"/>
                <w:snapToGrid w:val="0"/>
              </w:rPr>
              <w:t>$</w:t>
            </w:r>
            <w:r w:rsidR="00AF7C36">
              <w:rPr>
                <w:rFonts w:ascii="Times New Roman" w:hAnsi="Times New Roman" w:eastAsia="Times New Roman" w:cs="Times New Roman"/>
                <w:snapToGrid w:val="0"/>
              </w:rPr>
              <w:t>20</w:t>
            </w:r>
          </w:p>
        </w:tc>
      </w:tr>
      <w:tr w:rsidRPr="006F2808" w:rsidR="006F2808" w:rsidTr="00A83B67" w14:paraId="235AF4CD" w14:textId="77777777">
        <w:trPr>
          <w:jc w:val="center"/>
        </w:trPr>
        <w:tc>
          <w:tcPr>
            <w:tcW w:w="2479" w:type="dxa"/>
          </w:tcPr>
          <w:p w:rsidRPr="006F2808" w:rsidR="006F2808" w:rsidP="006F2808" w:rsidRDefault="006F2808" w14:paraId="6F75F4CA" w14:textId="77777777">
            <w:pPr>
              <w:tabs>
                <w:tab w:val="left" w:pos="360"/>
              </w:tabs>
              <w:spacing w:after="0" w:line="240" w:lineRule="auto"/>
              <w:rPr>
                <w:rFonts w:ascii="Times New Roman" w:hAnsi="Times New Roman" w:eastAsia="Times New Roman" w:cs="Times New Roman"/>
                <w:snapToGrid w:val="0"/>
              </w:rPr>
            </w:pPr>
            <w:r w:rsidRPr="006F2808">
              <w:rPr>
                <w:rFonts w:ascii="Times New Roman" w:hAnsi="Times New Roman" w:eastAsia="Times New Roman" w:cs="Times New Roman"/>
                <w:snapToGrid w:val="0"/>
              </w:rPr>
              <w:t>Biologist/Physical Scientist</w:t>
            </w:r>
          </w:p>
        </w:tc>
        <w:tc>
          <w:tcPr>
            <w:tcW w:w="1426" w:type="dxa"/>
          </w:tcPr>
          <w:p w:rsidRPr="006F2808" w:rsidR="006F2808" w:rsidP="006F2808" w:rsidRDefault="006F2808" w14:paraId="1B3CDE0C" w14:textId="77777777">
            <w:pPr>
              <w:tabs>
                <w:tab w:val="left" w:pos="360"/>
              </w:tabs>
              <w:spacing w:after="0" w:line="240" w:lineRule="auto"/>
              <w:jc w:val="center"/>
              <w:rPr>
                <w:rFonts w:ascii="Times New Roman" w:hAnsi="Times New Roman" w:eastAsia="Times New Roman" w:cs="Times New Roman"/>
                <w:snapToGrid w:val="0"/>
              </w:rPr>
            </w:pPr>
            <w:r w:rsidRPr="006F2808">
              <w:rPr>
                <w:rFonts w:ascii="Times New Roman" w:hAnsi="Times New Roman" w:eastAsia="Times New Roman" w:cs="Times New Roman"/>
                <w:snapToGrid w:val="0"/>
              </w:rPr>
              <w:t>GS-12/5</w:t>
            </w:r>
          </w:p>
        </w:tc>
        <w:tc>
          <w:tcPr>
            <w:tcW w:w="1405" w:type="dxa"/>
          </w:tcPr>
          <w:p w:rsidRPr="006F2808" w:rsidR="006F2808" w:rsidP="006F2808" w:rsidRDefault="004C57AB" w14:paraId="091F4529" w14:textId="77777777">
            <w:pPr>
              <w:tabs>
                <w:tab w:val="left" w:pos="360"/>
              </w:tabs>
              <w:spacing w:after="0" w:line="240" w:lineRule="auto"/>
              <w:jc w:val="center"/>
              <w:rPr>
                <w:rFonts w:ascii="Times New Roman" w:hAnsi="Times New Roman" w:eastAsia="Times New Roman" w:cs="Times New Roman"/>
                <w:snapToGrid w:val="0"/>
              </w:rPr>
            </w:pPr>
            <w:r>
              <w:rPr>
                <w:rFonts w:ascii="Times New Roman" w:hAnsi="Times New Roman" w:eastAsia="Times New Roman" w:cs="Times New Roman"/>
                <w:snapToGrid w:val="0"/>
              </w:rPr>
              <w:t>$4</w:t>
            </w:r>
            <w:r w:rsidR="00AF7C36">
              <w:rPr>
                <w:rFonts w:ascii="Times New Roman" w:hAnsi="Times New Roman" w:eastAsia="Times New Roman" w:cs="Times New Roman"/>
                <w:snapToGrid w:val="0"/>
              </w:rPr>
              <w:t>2</w:t>
            </w:r>
          </w:p>
        </w:tc>
        <w:tc>
          <w:tcPr>
            <w:tcW w:w="1979" w:type="dxa"/>
          </w:tcPr>
          <w:p w:rsidRPr="006F2808" w:rsidR="006F2808" w:rsidP="006F2808" w:rsidRDefault="004C57AB" w14:paraId="0FACDE5C" w14:textId="77777777">
            <w:pPr>
              <w:tabs>
                <w:tab w:val="left" w:pos="360"/>
              </w:tabs>
              <w:spacing w:after="0" w:line="240" w:lineRule="auto"/>
              <w:jc w:val="center"/>
              <w:rPr>
                <w:rFonts w:ascii="Times New Roman" w:hAnsi="Times New Roman" w:eastAsia="Times New Roman" w:cs="Times New Roman"/>
                <w:snapToGrid w:val="0"/>
              </w:rPr>
            </w:pPr>
            <w:r>
              <w:rPr>
                <w:rFonts w:ascii="Times New Roman" w:hAnsi="Times New Roman" w:eastAsia="Times New Roman" w:cs="Times New Roman"/>
                <w:snapToGrid w:val="0"/>
              </w:rPr>
              <w:t>$6</w:t>
            </w:r>
            <w:r w:rsidR="00AF7C36">
              <w:rPr>
                <w:rFonts w:ascii="Times New Roman" w:hAnsi="Times New Roman" w:eastAsia="Times New Roman" w:cs="Times New Roman"/>
                <w:snapToGrid w:val="0"/>
              </w:rPr>
              <w:t>7</w:t>
            </w:r>
          </w:p>
        </w:tc>
        <w:tc>
          <w:tcPr>
            <w:tcW w:w="1430" w:type="dxa"/>
          </w:tcPr>
          <w:p w:rsidRPr="006F2808" w:rsidR="006F2808" w:rsidP="006F2808" w:rsidRDefault="006F2808" w14:paraId="75DB2631" w14:textId="77777777">
            <w:pPr>
              <w:tabs>
                <w:tab w:val="left" w:pos="360"/>
              </w:tabs>
              <w:spacing w:after="0" w:line="240" w:lineRule="auto"/>
              <w:jc w:val="center"/>
              <w:rPr>
                <w:rFonts w:ascii="Times New Roman" w:hAnsi="Times New Roman" w:eastAsia="Times New Roman" w:cs="Times New Roman"/>
                <w:snapToGrid w:val="0"/>
              </w:rPr>
            </w:pPr>
            <w:r w:rsidRPr="006F2808">
              <w:rPr>
                <w:rFonts w:ascii="Times New Roman" w:hAnsi="Times New Roman" w:eastAsia="Times New Roman" w:cs="Times New Roman"/>
                <w:snapToGrid w:val="0"/>
              </w:rPr>
              <w:t>25%</w:t>
            </w:r>
          </w:p>
        </w:tc>
        <w:tc>
          <w:tcPr>
            <w:tcW w:w="1361" w:type="dxa"/>
          </w:tcPr>
          <w:p w:rsidRPr="006F2808" w:rsidR="006F2808" w:rsidP="006F2808" w:rsidRDefault="007F6B2B" w14:paraId="73551D89" w14:textId="77777777">
            <w:pPr>
              <w:tabs>
                <w:tab w:val="left" w:pos="360"/>
              </w:tabs>
              <w:spacing w:after="0" w:line="240" w:lineRule="auto"/>
              <w:jc w:val="center"/>
              <w:rPr>
                <w:rFonts w:ascii="Times New Roman" w:hAnsi="Times New Roman" w:eastAsia="Times New Roman" w:cs="Times New Roman"/>
                <w:snapToGrid w:val="0"/>
              </w:rPr>
            </w:pPr>
            <w:r>
              <w:rPr>
                <w:rFonts w:ascii="Times New Roman" w:hAnsi="Times New Roman" w:eastAsia="Times New Roman" w:cs="Times New Roman"/>
                <w:snapToGrid w:val="0"/>
              </w:rPr>
              <w:t>$17</w:t>
            </w:r>
          </w:p>
        </w:tc>
      </w:tr>
      <w:tr w:rsidRPr="006F2808" w:rsidR="006F2808" w:rsidTr="00A83B67" w14:paraId="5E02B06B" w14:textId="77777777">
        <w:trPr>
          <w:jc w:val="center"/>
        </w:trPr>
        <w:tc>
          <w:tcPr>
            <w:tcW w:w="2479" w:type="dxa"/>
          </w:tcPr>
          <w:p w:rsidRPr="006F2808" w:rsidR="006F2808" w:rsidP="006F2808" w:rsidRDefault="006F2808" w14:paraId="736E22D4" w14:textId="77777777">
            <w:pPr>
              <w:tabs>
                <w:tab w:val="left" w:pos="360"/>
              </w:tabs>
              <w:spacing w:after="0" w:line="240" w:lineRule="auto"/>
              <w:rPr>
                <w:rFonts w:ascii="Times New Roman" w:hAnsi="Times New Roman" w:eastAsia="Times New Roman" w:cs="Times New Roman"/>
                <w:snapToGrid w:val="0"/>
              </w:rPr>
            </w:pPr>
            <w:r w:rsidRPr="006F2808">
              <w:rPr>
                <w:rFonts w:ascii="Times New Roman" w:hAnsi="Times New Roman" w:eastAsia="Times New Roman" w:cs="Times New Roman"/>
                <w:snapToGrid w:val="0"/>
              </w:rPr>
              <w:t>Supv. Physical Scientist</w:t>
            </w:r>
          </w:p>
        </w:tc>
        <w:tc>
          <w:tcPr>
            <w:tcW w:w="1426" w:type="dxa"/>
          </w:tcPr>
          <w:p w:rsidRPr="006F2808" w:rsidR="006F2808" w:rsidP="006F2808" w:rsidRDefault="006F2808" w14:paraId="633B0E5B" w14:textId="77777777">
            <w:pPr>
              <w:tabs>
                <w:tab w:val="left" w:pos="360"/>
              </w:tabs>
              <w:spacing w:after="0" w:line="240" w:lineRule="auto"/>
              <w:jc w:val="center"/>
              <w:rPr>
                <w:rFonts w:ascii="Times New Roman" w:hAnsi="Times New Roman" w:eastAsia="Times New Roman" w:cs="Times New Roman"/>
                <w:snapToGrid w:val="0"/>
              </w:rPr>
            </w:pPr>
            <w:r w:rsidRPr="006F2808">
              <w:rPr>
                <w:rFonts w:ascii="Times New Roman" w:hAnsi="Times New Roman" w:eastAsia="Times New Roman" w:cs="Times New Roman"/>
                <w:snapToGrid w:val="0"/>
              </w:rPr>
              <w:t>GS-14/5</w:t>
            </w:r>
          </w:p>
        </w:tc>
        <w:tc>
          <w:tcPr>
            <w:tcW w:w="1405" w:type="dxa"/>
          </w:tcPr>
          <w:p w:rsidRPr="006F2808" w:rsidR="006F2808" w:rsidP="006F2808" w:rsidRDefault="004C57AB" w14:paraId="6BA2B643" w14:textId="77777777">
            <w:pPr>
              <w:tabs>
                <w:tab w:val="left" w:pos="360"/>
              </w:tabs>
              <w:spacing w:after="0" w:line="240" w:lineRule="auto"/>
              <w:jc w:val="center"/>
              <w:rPr>
                <w:rFonts w:ascii="Times New Roman" w:hAnsi="Times New Roman" w:eastAsia="Times New Roman" w:cs="Times New Roman"/>
                <w:snapToGrid w:val="0"/>
              </w:rPr>
            </w:pPr>
            <w:r>
              <w:rPr>
                <w:rFonts w:ascii="Times New Roman" w:hAnsi="Times New Roman" w:eastAsia="Times New Roman" w:cs="Times New Roman"/>
                <w:snapToGrid w:val="0"/>
              </w:rPr>
              <w:t>$5</w:t>
            </w:r>
            <w:r w:rsidR="00AF7C36">
              <w:rPr>
                <w:rFonts w:ascii="Times New Roman" w:hAnsi="Times New Roman" w:eastAsia="Times New Roman" w:cs="Times New Roman"/>
                <w:snapToGrid w:val="0"/>
              </w:rPr>
              <w:t>9</w:t>
            </w:r>
          </w:p>
        </w:tc>
        <w:tc>
          <w:tcPr>
            <w:tcW w:w="1979" w:type="dxa"/>
          </w:tcPr>
          <w:p w:rsidRPr="006F2808" w:rsidR="006F2808" w:rsidP="006F2808" w:rsidRDefault="004C57AB" w14:paraId="5C37162F" w14:textId="77777777">
            <w:pPr>
              <w:tabs>
                <w:tab w:val="left" w:pos="360"/>
              </w:tabs>
              <w:spacing w:after="0" w:line="240" w:lineRule="auto"/>
              <w:jc w:val="center"/>
              <w:rPr>
                <w:rFonts w:ascii="Times New Roman" w:hAnsi="Times New Roman" w:eastAsia="Times New Roman" w:cs="Times New Roman"/>
                <w:snapToGrid w:val="0"/>
              </w:rPr>
            </w:pPr>
            <w:r>
              <w:rPr>
                <w:rFonts w:ascii="Times New Roman" w:hAnsi="Times New Roman" w:eastAsia="Times New Roman" w:cs="Times New Roman"/>
                <w:snapToGrid w:val="0"/>
              </w:rPr>
              <w:t>$9</w:t>
            </w:r>
            <w:r w:rsidR="00AF7C36">
              <w:rPr>
                <w:rFonts w:ascii="Times New Roman" w:hAnsi="Times New Roman" w:eastAsia="Times New Roman" w:cs="Times New Roman"/>
                <w:snapToGrid w:val="0"/>
              </w:rPr>
              <w:t>4</w:t>
            </w:r>
          </w:p>
        </w:tc>
        <w:tc>
          <w:tcPr>
            <w:tcW w:w="1430" w:type="dxa"/>
          </w:tcPr>
          <w:p w:rsidRPr="006F2808" w:rsidR="006F2808" w:rsidP="006F2808" w:rsidRDefault="006F2808" w14:paraId="485AEE01" w14:textId="77777777">
            <w:pPr>
              <w:tabs>
                <w:tab w:val="left" w:pos="360"/>
              </w:tabs>
              <w:spacing w:after="0" w:line="240" w:lineRule="auto"/>
              <w:jc w:val="center"/>
              <w:rPr>
                <w:rFonts w:ascii="Times New Roman" w:hAnsi="Times New Roman" w:eastAsia="Times New Roman" w:cs="Times New Roman"/>
                <w:snapToGrid w:val="0"/>
              </w:rPr>
            </w:pPr>
            <w:r w:rsidRPr="006F2808">
              <w:rPr>
                <w:rFonts w:ascii="Times New Roman" w:hAnsi="Times New Roman" w:eastAsia="Times New Roman" w:cs="Times New Roman"/>
                <w:snapToGrid w:val="0"/>
              </w:rPr>
              <w:t>5%</w:t>
            </w:r>
          </w:p>
        </w:tc>
        <w:tc>
          <w:tcPr>
            <w:tcW w:w="1361" w:type="dxa"/>
          </w:tcPr>
          <w:p w:rsidRPr="006F2808" w:rsidR="006F2808" w:rsidP="006F2808" w:rsidRDefault="007F6B2B" w14:paraId="6369698A" w14:textId="77777777">
            <w:pPr>
              <w:tabs>
                <w:tab w:val="left" w:pos="360"/>
              </w:tabs>
              <w:spacing w:after="0" w:line="240" w:lineRule="auto"/>
              <w:jc w:val="center"/>
              <w:rPr>
                <w:rFonts w:ascii="Times New Roman" w:hAnsi="Times New Roman" w:eastAsia="Times New Roman" w:cs="Times New Roman"/>
                <w:snapToGrid w:val="0"/>
              </w:rPr>
            </w:pPr>
            <w:r>
              <w:rPr>
                <w:rFonts w:ascii="Times New Roman" w:hAnsi="Times New Roman" w:eastAsia="Times New Roman" w:cs="Times New Roman"/>
                <w:snapToGrid w:val="0"/>
              </w:rPr>
              <w:t>$5</w:t>
            </w:r>
          </w:p>
        </w:tc>
      </w:tr>
      <w:tr w:rsidRPr="006F2808" w:rsidR="006F2808" w:rsidTr="00A83B67" w14:paraId="184E8DCB" w14:textId="77777777">
        <w:trPr>
          <w:jc w:val="center"/>
        </w:trPr>
        <w:tc>
          <w:tcPr>
            <w:tcW w:w="8719" w:type="dxa"/>
            <w:gridSpan w:val="5"/>
          </w:tcPr>
          <w:p w:rsidRPr="006F2808" w:rsidR="006F2808" w:rsidP="006F2808" w:rsidRDefault="006F2808" w14:paraId="2836D82F" w14:textId="77777777">
            <w:pPr>
              <w:tabs>
                <w:tab w:val="left" w:pos="360"/>
              </w:tabs>
              <w:spacing w:after="0" w:line="240" w:lineRule="auto"/>
              <w:rPr>
                <w:rFonts w:ascii="Times New Roman" w:hAnsi="Times New Roman" w:eastAsia="Times New Roman" w:cs="Times New Roman"/>
                <w:b/>
                <w:snapToGrid w:val="0"/>
              </w:rPr>
            </w:pPr>
            <w:r w:rsidRPr="006F2808">
              <w:rPr>
                <w:rFonts w:ascii="Times New Roman" w:hAnsi="Times New Roman" w:eastAsia="Times New Roman" w:cs="Times New Roman"/>
                <w:b/>
                <w:snapToGrid w:val="0"/>
              </w:rPr>
              <w:t>Weighted Average ($/hour)</w:t>
            </w:r>
          </w:p>
        </w:tc>
        <w:tc>
          <w:tcPr>
            <w:tcW w:w="1361" w:type="dxa"/>
          </w:tcPr>
          <w:p w:rsidRPr="006F2808" w:rsidR="006F2808" w:rsidP="006F2808" w:rsidRDefault="007F6B2B" w14:paraId="5B103859" w14:textId="77777777">
            <w:pPr>
              <w:tabs>
                <w:tab w:val="left" w:pos="360"/>
              </w:tabs>
              <w:spacing w:after="0" w:line="240" w:lineRule="auto"/>
              <w:jc w:val="center"/>
              <w:rPr>
                <w:rFonts w:ascii="Times New Roman" w:hAnsi="Times New Roman" w:eastAsia="Times New Roman" w:cs="Times New Roman"/>
                <w:b/>
                <w:snapToGrid w:val="0"/>
              </w:rPr>
            </w:pPr>
            <w:r>
              <w:rPr>
                <w:rFonts w:ascii="Times New Roman" w:hAnsi="Times New Roman" w:eastAsia="Times New Roman" w:cs="Times New Roman"/>
                <w:b/>
                <w:snapToGrid w:val="0"/>
              </w:rPr>
              <w:t>$6</w:t>
            </w:r>
            <w:r w:rsidR="00AF7C36">
              <w:rPr>
                <w:rFonts w:ascii="Times New Roman" w:hAnsi="Times New Roman" w:eastAsia="Times New Roman" w:cs="Times New Roman"/>
                <w:b/>
                <w:snapToGrid w:val="0"/>
              </w:rPr>
              <w:t>6</w:t>
            </w:r>
          </w:p>
        </w:tc>
      </w:tr>
    </w:tbl>
    <w:p w:rsidRPr="006F2808" w:rsidR="006F2808" w:rsidP="006F2808" w:rsidRDefault="006F2808" w14:paraId="18A267F6" w14:textId="77777777">
      <w:pPr>
        <w:tabs>
          <w:tab w:val="left" w:pos="360"/>
          <w:tab w:val="left" w:pos="720"/>
          <w:tab w:val="left" w:pos="1080"/>
        </w:tabs>
        <w:spacing w:after="0" w:line="240" w:lineRule="auto"/>
        <w:rPr>
          <w:rFonts w:ascii="Times New Roman" w:hAnsi="Times New Roman" w:eastAsia="Times New Roman" w:cs="Times New Roman"/>
          <w:snapToGrid w:val="0"/>
          <w:sz w:val="20"/>
          <w:szCs w:val="20"/>
        </w:rPr>
      </w:pPr>
      <w:r w:rsidRPr="006F2808">
        <w:rPr>
          <w:rFonts w:ascii="Times New Roman" w:hAnsi="Times New Roman" w:eastAsia="Times New Roman" w:cs="Times New Roman"/>
          <w:snapToGrid w:val="0"/>
          <w:sz w:val="20"/>
          <w:szCs w:val="20"/>
        </w:rPr>
        <w:t>* A multiplier of 1.6 (as implied by BLS news release USDL</w:t>
      </w:r>
      <w:r w:rsidR="007F6B2B">
        <w:rPr>
          <w:rFonts w:ascii="Times New Roman" w:hAnsi="Times New Roman" w:eastAsia="Times New Roman" w:cs="Times New Roman"/>
          <w:snapToGrid w:val="0"/>
          <w:sz w:val="20"/>
          <w:szCs w:val="20"/>
        </w:rPr>
        <w:t>-</w:t>
      </w:r>
      <w:r w:rsidR="00AF7C36">
        <w:rPr>
          <w:rFonts w:ascii="Times New Roman" w:hAnsi="Times New Roman" w:eastAsia="Times New Roman" w:cs="Times New Roman"/>
          <w:snapToGrid w:val="0"/>
          <w:sz w:val="20"/>
          <w:szCs w:val="20"/>
        </w:rPr>
        <w:t>20</w:t>
      </w:r>
      <w:r w:rsidRPr="006F2808">
        <w:rPr>
          <w:rFonts w:ascii="Times New Roman" w:hAnsi="Times New Roman" w:eastAsia="Times New Roman" w:cs="Times New Roman"/>
          <w:snapToGrid w:val="0"/>
          <w:sz w:val="20"/>
          <w:szCs w:val="20"/>
        </w:rPr>
        <w:t>-</w:t>
      </w:r>
      <w:r w:rsidR="00AF7C36">
        <w:rPr>
          <w:rFonts w:ascii="Times New Roman" w:hAnsi="Times New Roman" w:eastAsia="Times New Roman" w:cs="Times New Roman"/>
          <w:snapToGrid w:val="0"/>
          <w:sz w:val="20"/>
          <w:szCs w:val="20"/>
        </w:rPr>
        <w:t>0451</w:t>
      </w:r>
      <w:r w:rsidRPr="006F2808">
        <w:rPr>
          <w:rFonts w:ascii="Times New Roman" w:hAnsi="Times New Roman" w:eastAsia="Times New Roman" w:cs="Times New Roman"/>
          <w:snapToGrid w:val="0"/>
          <w:sz w:val="20"/>
          <w:szCs w:val="20"/>
        </w:rPr>
        <w:t xml:space="preserve">, </w:t>
      </w:r>
      <w:r w:rsidR="00AF7C36">
        <w:rPr>
          <w:rFonts w:ascii="Times New Roman" w:hAnsi="Times New Roman" w:eastAsia="Times New Roman" w:cs="Times New Roman"/>
          <w:snapToGrid w:val="0"/>
          <w:sz w:val="20"/>
          <w:szCs w:val="20"/>
        </w:rPr>
        <w:t>March 19</w:t>
      </w:r>
      <w:r w:rsidRPr="006F2808">
        <w:rPr>
          <w:rFonts w:ascii="Times New Roman" w:hAnsi="Times New Roman" w:eastAsia="Times New Roman" w:cs="Times New Roman"/>
          <w:snapToGrid w:val="0"/>
          <w:sz w:val="20"/>
          <w:szCs w:val="20"/>
        </w:rPr>
        <w:t>, 20</w:t>
      </w:r>
      <w:r w:rsidR="00AF7C36">
        <w:rPr>
          <w:rFonts w:ascii="Times New Roman" w:hAnsi="Times New Roman" w:eastAsia="Times New Roman" w:cs="Times New Roman"/>
          <w:snapToGrid w:val="0"/>
          <w:sz w:val="20"/>
          <w:szCs w:val="20"/>
        </w:rPr>
        <w:t>20</w:t>
      </w:r>
      <w:r w:rsidRPr="006F2808">
        <w:rPr>
          <w:rFonts w:ascii="Times New Roman" w:hAnsi="Times New Roman" w:eastAsia="Times New Roman" w:cs="Times New Roman"/>
          <w:snapToGrid w:val="0"/>
          <w:sz w:val="20"/>
          <w:szCs w:val="20"/>
        </w:rPr>
        <w:t xml:space="preserve"> (see </w:t>
      </w:r>
      <w:hyperlink w:history="1" r:id="rId9">
        <w:r w:rsidRPr="006F2808">
          <w:rPr>
            <w:rFonts w:ascii="Times New Roman" w:hAnsi="Times New Roman" w:eastAsia="Times New Roman" w:cs="Arial"/>
            <w:b/>
            <w:bCs/>
            <w:snapToGrid w:val="0"/>
            <w:color w:val="0000FF"/>
            <w:sz w:val="20"/>
            <w:szCs w:val="20"/>
            <w:u w:val="single"/>
          </w:rPr>
          <w:t>http://www.bls.gov/news.release/ecec.nr0.htm</w:t>
        </w:r>
      </w:hyperlink>
      <w:r w:rsidRPr="006F2808">
        <w:rPr>
          <w:rFonts w:ascii="Times New Roman" w:hAnsi="Times New Roman" w:eastAsia="Times New Roman" w:cs="Times New Roman"/>
          <w:snapToGrid w:val="0"/>
          <w:sz w:val="20"/>
          <w:szCs w:val="20"/>
        </w:rPr>
        <w:t xml:space="preserve">)) was added for benefits. </w:t>
      </w:r>
    </w:p>
    <w:p w:rsidRPr="006F2808" w:rsidR="006F2808" w:rsidP="006F2808" w:rsidRDefault="006F2808" w14:paraId="297AF939" w14:textId="77777777">
      <w:pPr>
        <w:tabs>
          <w:tab w:val="left" w:pos="360"/>
          <w:tab w:val="left" w:pos="720"/>
          <w:tab w:val="left" w:pos="1080"/>
        </w:tabs>
        <w:spacing w:after="0" w:line="240" w:lineRule="auto"/>
        <w:rPr>
          <w:rFonts w:ascii="Times New Roman" w:hAnsi="Times New Roman" w:eastAsia="Times New Roman" w:cs="Times New Roman"/>
          <w:snapToGrid w:val="0"/>
          <w:sz w:val="24"/>
          <w:szCs w:val="20"/>
        </w:rPr>
      </w:pPr>
    </w:p>
    <w:p w:rsidRPr="006F2808" w:rsidR="006F2808" w:rsidP="006F2808" w:rsidRDefault="006F2808" w14:paraId="6DB7C3AA" w14:textId="77777777">
      <w:pPr>
        <w:tabs>
          <w:tab w:val="left" w:pos="-1080"/>
          <w:tab w:val="left" w:pos="-720"/>
          <w:tab w:val="left" w:pos="360"/>
          <w:tab w:val="left" w:pos="810"/>
        </w:tabs>
        <w:spacing w:after="0" w:line="240" w:lineRule="auto"/>
        <w:rPr>
          <w:rFonts w:ascii="Times New Roman" w:hAnsi="Times New Roman" w:eastAsia="Times New Roman" w:cs="Times New Roman"/>
          <w:snapToGrid w:val="0"/>
          <w:sz w:val="24"/>
          <w:szCs w:val="20"/>
        </w:rPr>
      </w:pPr>
      <w:r w:rsidRPr="006F2808">
        <w:rPr>
          <w:rFonts w:ascii="Times New Roman" w:hAnsi="Times New Roman" w:eastAsia="Times New Roman" w:cs="Times New Roman"/>
          <w:snapToGrid w:val="0"/>
          <w:sz w:val="24"/>
          <w:szCs w:val="20"/>
        </w:rPr>
        <w:t>To analyze and review the information required by Subpart B and related NTLs, we estimate the Government will spend an average of approximately 1/4 hour for each hour spent by respondents for a total of 109,110 hours (</w:t>
      </w:r>
      <w:r w:rsidRPr="006F2808">
        <w:rPr>
          <w:rFonts w:ascii="Times New Roman" w:hAnsi="Times New Roman" w:eastAsia="Times New Roman" w:cs="Times New Roman"/>
          <w:snapToGrid w:val="0"/>
          <w:sz w:val="24"/>
          <w:szCs w:val="24"/>
        </w:rPr>
        <w:t>436,438</w:t>
      </w:r>
      <w:r w:rsidRPr="006F2808">
        <w:rPr>
          <w:rFonts w:ascii="Times New Roman" w:hAnsi="Times New Roman" w:eastAsia="Times New Roman" w:cs="Times New Roman"/>
          <w:b/>
          <w:snapToGrid w:val="0"/>
        </w:rPr>
        <w:t xml:space="preserve"> </w:t>
      </w:r>
      <w:r w:rsidRPr="006F2808">
        <w:rPr>
          <w:rFonts w:ascii="Times New Roman" w:hAnsi="Times New Roman" w:eastAsia="Times New Roman" w:cs="Times New Roman"/>
          <w:snapToGrid w:val="0"/>
          <w:sz w:val="24"/>
          <w:szCs w:val="20"/>
        </w:rPr>
        <w:t>divided by 4 = 109,110).  Based on a cost factor of $6</w:t>
      </w:r>
      <w:r w:rsidR="00AF7C36">
        <w:rPr>
          <w:rFonts w:ascii="Times New Roman" w:hAnsi="Times New Roman" w:eastAsia="Times New Roman" w:cs="Times New Roman"/>
          <w:snapToGrid w:val="0"/>
          <w:sz w:val="24"/>
          <w:szCs w:val="20"/>
        </w:rPr>
        <w:t>6</w:t>
      </w:r>
      <w:r w:rsidRPr="006F2808">
        <w:rPr>
          <w:rFonts w:ascii="Times New Roman" w:hAnsi="Times New Roman" w:eastAsia="Times New Roman" w:cs="Times New Roman"/>
          <w:snapToGrid w:val="0"/>
          <w:sz w:val="24"/>
          <w:szCs w:val="20"/>
        </w:rPr>
        <w:t xml:space="preserve"> per hour, the total gross annualized cost to the Government is $7</w:t>
      </w:r>
      <w:r w:rsidR="007F6B2B">
        <w:rPr>
          <w:rFonts w:ascii="Times New Roman" w:hAnsi="Times New Roman" w:eastAsia="Times New Roman" w:cs="Times New Roman"/>
          <w:snapToGrid w:val="0"/>
          <w:sz w:val="24"/>
          <w:szCs w:val="20"/>
        </w:rPr>
        <w:t>,</w:t>
      </w:r>
      <w:r w:rsidR="00AF7C36">
        <w:rPr>
          <w:rFonts w:ascii="Times New Roman" w:hAnsi="Times New Roman" w:eastAsia="Times New Roman" w:cs="Times New Roman"/>
          <w:snapToGrid w:val="0"/>
          <w:sz w:val="24"/>
          <w:szCs w:val="20"/>
        </w:rPr>
        <w:t>201,260</w:t>
      </w:r>
      <w:r w:rsidRPr="006F2808">
        <w:rPr>
          <w:rFonts w:ascii="Times New Roman" w:hAnsi="Times New Roman" w:eastAsia="Times New Roman" w:cs="Times New Roman"/>
          <w:snapToGrid w:val="0"/>
          <w:sz w:val="24"/>
          <w:szCs w:val="20"/>
        </w:rPr>
        <w:t xml:space="preserve">.  </w:t>
      </w:r>
    </w:p>
    <w:p w:rsidR="006F2808" w:rsidP="00FA0125" w:rsidRDefault="006F2808" w14:paraId="3DDA474B" w14:textId="77777777">
      <w:pPr>
        <w:spacing w:after="0" w:line="240" w:lineRule="auto"/>
        <w:ind w:right="-40" w:hanging="5"/>
        <w:rPr>
          <w:rFonts w:ascii="Times New Roman" w:hAnsi="Times New Roman" w:eastAsia="Times New Roman" w:cs="Times New Roman"/>
          <w:color w:val="030303"/>
          <w:spacing w:val="2"/>
          <w:sz w:val="24"/>
          <w:szCs w:val="24"/>
        </w:rPr>
      </w:pPr>
    </w:p>
    <w:p w:rsidRPr="00D90DB2" w:rsidR="00F64F67" w:rsidP="00A03B38" w:rsidRDefault="00F64F67" w14:paraId="79EDEFDE" w14:textId="77777777">
      <w:pPr>
        <w:spacing w:after="0" w:line="240" w:lineRule="auto"/>
        <w:ind w:right="-40" w:hanging="5"/>
        <w:rPr>
          <w:rFonts w:ascii="Times New Roman" w:hAnsi="Times New Roman" w:eastAsia="Times New Roman" w:cs="Times New Roman"/>
          <w:b/>
          <w:i/>
          <w:color w:val="030303"/>
          <w:spacing w:val="2"/>
          <w:sz w:val="24"/>
          <w:szCs w:val="24"/>
        </w:rPr>
      </w:pPr>
      <w:r w:rsidRPr="00D90DB2">
        <w:rPr>
          <w:rFonts w:ascii="Times New Roman" w:hAnsi="Times New Roman" w:eastAsia="Times New Roman" w:cs="Times New Roman"/>
          <w:b/>
          <w:i/>
          <w:color w:val="030303"/>
          <w:spacing w:val="2"/>
          <w:sz w:val="24"/>
          <w:szCs w:val="24"/>
        </w:rPr>
        <w:t>15. Explain the reasons for any program changes or adjustments in hour or cost burden.</w:t>
      </w:r>
    </w:p>
    <w:p w:rsidRPr="00A03B38" w:rsidR="00F64F67" w:rsidP="00A03B38" w:rsidRDefault="00F64F67" w14:paraId="38181FDE" w14:textId="77777777">
      <w:pPr>
        <w:spacing w:after="0" w:line="240" w:lineRule="auto"/>
        <w:ind w:right="-40" w:hanging="5"/>
        <w:rPr>
          <w:rFonts w:ascii="Times New Roman" w:hAnsi="Times New Roman" w:eastAsia="Times New Roman" w:cs="Times New Roman"/>
          <w:color w:val="030303"/>
          <w:spacing w:val="2"/>
          <w:sz w:val="24"/>
          <w:szCs w:val="24"/>
        </w:rPr>
      </w:pPr>
    </w:p>
    <w:p w:rsidR="00BD39BD" w:rsidP="00A03B38" w:rsidRDefault="00FA0125" w14:paraId="108B6A2F" w14:textId="77777777">
      <w:pPr>
        <w:spacing w:after="0" w:line="240" w:lineRule="auto"/>
        <w:ind w:right="-40" w:hanging="5"/>
        <w:rPr>
          <w:rFonts w:ascii="Times New Roman" w:hAnsi="Times New Roman" w:eastAsia="Times New Roman" w:cs="Times New Roman"/>
          <w:color w:val="030303"/>
          <w:spacing w:val="2"/>
          <w:sz w:val="24"/>
          <w:szCs w:val="24"/>
        </w:rPr>
      </w:pPr>
      <w:r>
        <w:rPr>
          <w:rFonts w:ascii="Times New Roman" w:hAnsi="Times New Roman" w:eastAsia="Times New Roman" w:cs="Times New Roman"/>
          <w:color w:val="030303"/>
          <w:spacing w:val="2"/>
          <w:sz w:val="24"/>
          <w:szCs w:val="24"/>
        </w:rPr>
        <w:t xml:space="preserve">There are no program changes related to the existing hour or cost burden.  </w:t>
      </w:r>
    </w:p>
    <w:p w:rsidR="00BD39BD" w:rsidP="00A03B38" w:rsidRDefault="00BD39BD" w14:paraId="4F753B14" w14:textId="77777777">
      <w:pPr>
        <w:spacing w:after="0" w:line="240" w:lineRule="auto"/>
        <w:ind w:right="-40" w:hanging="5"/>
        <w:rPr>
          <w:rFonts w:ascii="Times New Roman" w:hAnsi="Times New Roman" w:eastAsia="Times New Roman" w:cs="Times New Roman"/>
          <w:color w:val="030303"/>
          <w:spacing w:val="2"/>
          <w:sz w:val="24"/>
          <w:szCs w:val="24"/>
        </w:rPr>
      </w:pPr>
    </w:p>
    <w:p w:rsidR="00F64F67" w:rsidP="00A03B38" w:rsidRDefault="00D67C5F" w14:paraId="5F685C55" w14:textId="77777777">
      <w:pPr>
        <w:spacing w:after="0" w:line="240" w:lineRule="auto"/>
        <w:ind w:right="-40" w:hanging="5"/>
        <w:rPr>
          <w:rFonts w:ascii="Times New Roman" w:hAnsi="Times New Roman" w:cs="Times New Roman"/>
          <w:bCs/>
          <w:spacing w:val="2"/>
          <w:sz w:val="24"/>
          <w:szCs w:val="24"/>
        </w:rPr>
      </w:pPr>
      <w:r>
        <w:rPr>
          <w:rFonts w:ascii="Times New Roman" w:hAnsi="Times New Roman" w:eastAsia="Times New Roman" w:cs="Times New Roman"/>
          <w:color w:val="030303"/>
          <w:spacing w:val="2"/>
          <w:sz w:val="24"/>
          <w:szCs w:val="24"/>
        </w:rPr>
        <w:t xml:space="preserve">Note:  </w:t>
      </w:r>
      <w:r w:rsidR="00FA0125">
        <w:rPr>
          <w:rFonts w:ascii="Times New Roman" w:hAnsi="Times New Roman" w:eastAsia="Times New Roman" w:cs="Times New Roman"/>
          <w:color w:val="030303"/>
          <w:spacing w:val="2"/>
          <w:sz w:val="24"/>
          <w:szCs w:val="24"/>
        </w:rPr>
        <w:t xml:space="preserve">There is a change in hour and cost burdens as it relates to the proposed rule versus the final rule.  </w:t>
      </w:r>
      <w:r w:rsidRPr="000C067F" w:rsidR="00BD39BD">
        <w:rPr>
          <w:rFonts w:ascii="Times New Roman" w:hAnsi="Times New Roman" w:cs="Times New Roman"/>
          <w:bCs/>
          <w:spacing w:val="2"/>
          <w:sz w:val="24"/>
          <w:szCs w:val="24"/>
        </w:rPr>
        <w:t>Because the proposed rule was intended to replace the existing set of regulations in its entirety, and not, like this final rule, simply to update certain provisions, the structure of the proposed rule was quite different from that of th</w:t>
      </w:r>
      <w:r w:rsidR="00BD39BD">
        <w:rPr>
          <w:rFonts w:ascii="Times New Roman" w:hAnsi="Times New Roman" w:cs="Times New Roman"/>
          <w:bCs/>
          <w:spacing w:val="2"/>
          <w:sz w:val="24"/>
          <w:szCs w:val="24"/>
        </w:rPr>
        <w:t>e</w:t>
      </w:r>
      <w:r w:rsidRPr="000C067F" w:rsidR="00BD39BD">
        <w:rPr>
          <w:rFonts w:ascii="Times New Roman" w:hAnsi="Times New Roman" w:cs="Times New Roman"/>
          <w:bCs/>
          <w:spacing w:val="2"/>
          <w:sz w:val="24"/>
          <w:szCs w:val="24"/>
        </w:rPr>
        <w:t xml:space="preserve"> final rule.  Th</w:t>
      </w:r>
      <w:r w:rsidR="00BD39BD">
        <w:rPr>
          <w:rFonts w:ascii="Times New Roman" w:hAnsi="Times New Roman" w:cs="Times New Roman"/>
          <w:bCs/>
          <w:spacing w:val="2"/>
          <w:sz w:val="24"/>
          <w:szCs w:val="24"/>
        </w:rPr>
        <w:t>e</w:t>
      </w:r>
      <w:r w:rsidRPr="000C067F" w:rsidR="00BD39BD">
        <w:rPr>
          <w:rFonts w:ascii="Times New Roman" w:hAnsi="Times New Roman" w:cs="Times New Roman"/>
          <w:bCs/>
          <w:spacing w:val="2"/>
          <w:sz w:val="24"/>
          <w:szCs w:val="24"/>
        </w:rPr>
        <w:t xml:space="preserve"> final rule makes only a limited number of updates to the existing regulations and does not fundamentally restructure the existing regulations.</w:t>
      </w:r>
      <w:r w:rsidR="00BD39BD">
        <w:rPr>
          <w:rFonts w:ascii="Times New Roman" w:hAnsi="Times New Roman" w:cs="Times New Roman"/>
          <w:bCs/>
          <w:spacing w:val="2"/>
          <w:sz w:val="24"/>
          <w:szCs w:val="24"/>
        </w:rPr>
        <w:t xml:space="preserve">  There</w:t>
      </w:r>
      <w:r w:rsidR="00DE2FA0">
        <w:rPr>
          <w:rFonts w:ascii="Times New Roman" w:hAnsi="Times New Roman" w:cs="Times New Roman"/>
          <w:bCs/>
          <w:spacing w:val="2"/>
          <w:sz w:val="24"/>
          <w:szCs w:val="24"/>
        </w:rPr>
        <w:t>fore,</w:t>
      </w:r>
      <w:r w:rsidR="00BD39BD">
        <w:rPr>
          <w:rFonts w:ascii="Times New Roman" w:hAnsi="Times New Roman" w:cs="Times New Roman"/>
          <w:bCs/>
          <w:spacing w:val="2"/>
          <w:sz w:val="24"/>
          <w:szCs w:val="24"/>
        </w:rPr>
        <w:t xml:space="preserve"> the changes from the proposed rule to the final rule are a reduction of 146,490 annual burden hours and a reduction of $3,455,000 non-hour cost burdens.</w:t>
      </w:r>
    </w:p>
    <w:p w:rsidR="006F2808" w:rsidP="00A03B38" w:rsidRDefault="006F2808" w14:paraId="41AB2290" w14:textId="77777777">
      <w:pPr>
        <w:spacing w:after="0" w:line="240" w:lineRule="auto"/>
        <w:ind w:right="-40" w:hanging="5"/>
        <w:rPr>
          <w:rFonts w:ascii="Times New Roman" w:hAnsi="Times New Roman" w:cs="Times New Roman"/>
          <w:bCs/>
          <w:spacing w:val="2"/>
          <w:sz w:val="24"/>
          <w:szCs w:val="24"/>
        </w:rPr>
      </w:pPr>
    </w:p>
    <w:p w:rsidRPr="00D90DB2" w:rsidR="00F64F67" w:rsidP="00A03B38" w:rsidRDefault="00F64F67" w14:paraId="5D59C78D" w14:textId="77777777">
      <w:pPr>
        <w:spacing w:after="0" w:line="240" w:lineRule="auto"/>
        <w:ind w:right="-40" w:hanging="5"/>
        <w:rPr>
          <w:rFonts w:ascii="Times New Roman" w:hAnsi="Times New Roman" w:eastAsia="Times New Roman" w:cs="Times New Roman"/>
          <w:b/>
          <w:i/>
          <w:color w:val="030303"/>
          <w:spacing w:val="2"/>
          <w:sz w:val="24"/>
          <w:szCs w:val="24"/>
        </w:rPr>
      </w:pPr>
      <w:r w:rsidRPr="00D90DB2">
        <w:rPr>
          <w:rFonts w:ascii="Times New Roman" w:hAnsi="Times New Roman" w:eastAsia="Times New Roman" w:cs="Times New Roman"/>
          <w:b/>
          <w:i/>
          <w:color w:val="030303"/>
          <w:spacing w:val="2"/>
          <w:sz w:val="24"/>
          <w:szCs w:val="24"/>
        </w:rPr>
        <w:t>16.</w:t>
      </w:r>
      <w:r w:rsidRPr="00D90DB2" w:rsidR="001F3FB8">
        <w:rPr>
          <w:rFonts w:ascii="Times New Roman" w:hAnsi="Times New Roman" w:eastAsia="Times New Roman" w:cs="Times New Roman"/>
          <w:b/>
          <w:i/>
          <w:color w:val="030303"/>
          <w:spacing w:val="2"/>
          <w:sz w:val="24"/>
          <w:szCs w:val="24"/>
        </w:rPr>
        <w:t xml:space="preserve"> </w:t>
      </w:r>
      <w:r w:rsidRPr="00D90DB2">
        <w:rPr>
          <w:rFonts w:ascii="Times New Roman" w:hAnsi="Times New Roman" w:eastAsia="Times New Roman" w:cs="Times New Roman"/>
          <w:b/>
          <w:i/>
          <w:color w:val="030303"/>
          <w:spacing w:val="2"/>
          <w:sz w:val="24"/>
          <w:szCs w:val="24"/>
        </w:rPr>
        <w:t>For collections of information whose results will be published, outline plans for tabulation and publication.  Address any complex analytical techniques that will be used. Provide the time schedule for the entire project,</w:t>
      </w:r>
      <w:r w:rsidRPr="00D90DB2" w:rsidR="00A938FF">
        <w:rPr>
          <w:rFonts w:ascii="Times New Roman" w:hAnsi="Times New Roman" w:eastAsia="Times New Roman" w:cs="Times New Roman"/>
          <w:b/>
          <w:i/>
          <w:color w:val="030303"/>
          <w:spacing w:val="2"/>
          <w:sz w:val="24"/>
          <w:szCs w:val="24"/>
        </w:rPr>
        <w:t xml:space="preserve"> </w:t>
      </w:r>
      <w:r w:rsidRPr="00D90DB2">
        <w:rPr>
          <w:rFonts w:ascii="Times New Roman" w:hAnsi="Times New Roman" w:eastAsia="Times New Roman" w:cs="Times New Roman"/>
          <w:b/>
          <w:i/>
          <w:color w:val="030303"/>
          <w:spacing w:val="2"/>
          <w:sz w:val="24"/>
          <w:szCs w:val="24"/>
        </w:rPr>
        <w:t>including beginning and ending dates of the collection of information, completion of report, publication dates, and other actions</w:t>
      </w:r>
      <w:r w:rsidRPr="00D90DB2" w:rsidR="001F3FB8">
        <w:rPr>
          <w:rFonts w:ascii="Times New Roman" w:hAnsi="Times New Roman" w:eastAsia="Times New Roman" w:cs="Times New Roman"/>
          <w:b/>
          <w:i/>
          <w:color w:val="030303"/>
          <w:spacing w:val="2"/>
          <w:sz w:val="24"/>
          <w:szCs w:val="24"/>
        </w:rPr>
        <w:t>.</w:t>
      </w:r>
    </w:p>
    <w:p w:rsidRPr="00A03B38" w:rsidR="00F64F67" w:rsidP="00A03B38" w:rsidRDefault="00F64F67" w14:paraId="584952E0" w14:textId="77777777">
      <w:pPr>
        <w:spacing w:after="0" w:line="240" w:lineRule="auto"/>
        <w:ind w:right="-40" w:hanging="5"/>
        <w:rPr>
          <w:rFonts w:ascii="Times New Roman" w:hAnsi="Times New Roman" w:eastAsia="Times New Roman" w:cs="Times New Roman"/>
          <w:color w:val="030303"/>
          <w:spacing w:val="2"/>
          <w:sz w:val="24"/>
          <w:szCs w:val="24"/>
        </w:rPr>
      </w:pPr>
    </w:p>
    <w:p w:rsidR="00F64F67" w:rsidP="00A03B38" w:rsidRDefault="00F64F67" w14:paraId="0FFD2F5F" w14:textId="77777777">
      <w:pPr>
        <w:spacing w:after="0" w:line="240" w:lineRule="auto"/>
        <w:ind w:right="-40" w:hanging="5"/>
        <w:rPr>
          <w:rFonts w:ascii="Times New Roman" w:hAnsi="Times New Roman" w:eastAsia="Times New Roman" w:cs="Times New Roman"/>
          <w:color w:val="030303"/>
          <w:spacing w:val="2"/>
          <w:sz w:val="24"/>
          <w:szCs w:val="24"/>
        </w:rPr>
      </w:pPr>
      <w:r w:rsidRPr="00A03B38">
        <w:rPr>
          <w:rFonts w:ascii="Times New Roman" w:hAnsi="Times New Roman" w:eastAsia="Times New Roman" w:cs="Times New Roman"/>
          <w:color w:val="030303"/>
          <w:spacing w:val="2"/>
          <w:sz w:val="24"/>
          <w:szCs w:val="24"/>
        </w:rPr>
        <w:t xml:space="preserve">We will not tabulate and publish the individual responses. </w:t>
      </w:r>
    </w:p>
    <w:p w:rsidRPr="00A03B38" w:rsidR="00917B10" w:rsidP="00A03B38" w:rsidRDefault="00917B10" w14:paraId="7F0F1ABC" w14:textId="77777777">
      <w:pPr>
        <w:spacing w:after="0" w:line="240" w:lineRule="auto"/>
        <w:ind w:right="-40" w:hanging="5"/>
        <w:rPr>
          <w:rFonts w:ascii="Times New Roman" w:hAnsi="Times New Roman" w:eastAsia="Times New Roman" w:cs="Times New Roman"/>
          <w:color w:val="030303"/>
          <w:spacing w:val="2"/>
          <w:sz w:val="24"/>
          <w:szCs w:val="24"/>
        </w:rPr>
      </w:pPr>
    </w:p>
    <w:p w:rsidRPr="00D90DB2" w:rsidR="00F64F67" w:rsidP="00A03B38" w:rsidRDefault="00F64F67" w14:paraId="0181AC97" w14:textId="77777777">
      <w:pPr>
        <w:spacing w:after="0" w:line="240" w:lineRule="auto"/>
        <w:ind w:right="-40" w:hanging="5"/>
        <w:rPr>
          <w:rFonts w:ascii="Times New Roman" w:hAnsi="Times New Roman" w:eastAsia="Times New Roman" w:cs="Times New Roman"/>
          <w:b/>
          <w:i/>
          <w:color w:val="030303"/>
          <w:spacing w:val="2"/>
          <w:sz w:val="24"/>
          <w:szCs w:val="24"/>
        </w:rPr>
      </w:pPr>
      <w:r w:rsidRPr="00D90DB2">
        <w:rPr>
          <w:rFonts w:ascii="Times New Roman" w:hAnsi="Times New Roman" w:eastAsia="Times New Roman" w:cs="Times New Roman"/>
          <w:b/>
          <w:i/>
          <w:color w:val="030303"/>
          <w:spacing w:val="2"/>
          <w:sz w:val="24"/>
          <w:szCs w:val="24"/>
        </w:rPr>
        <w:t>17. If seeking approval to not display the expiration date for OMB approval of the information collection, explain the reasons that display would be inappropriate.</w:t>
      </w:r>
    </w:p>
    <w:p w:rsidRPr="00A03B38" w:rsidR="00F64F67" w:rsidP="00A03B38" w:rsidRDefault="00F64F67" w14:paraId="66C6CDEE" w14:textId="77777777">
      <w:pPr>
        <w:spacing w:after="0" w:line="240" w:lineRule="auto"/>
        <w:ind w:right="-40" w:hanging="5"/>
        <w:rPr>
          <w:rFonts w:ascii="Times New Roman" w:hAnsi="Times New Roman" w:eastAsia="Times New Roman" w:cs="Times New Roman"/>
          <w:color w:val="030303"/>
          <w:spacing w:val="2"/>
          <w:sz w:val="24"/>
          <w:szCs w:val="24"/>
        </w:rPr>
      </w:pPr>
    </w:p>
    <w:p w:rsidRPr="00A03B38" w:rsidR="00F64F67" w:rsidP="00A03B38" w:rsidRDefault="00F64F67" w14:paraId="73D722B0" w14:textId="77777777">
      <w:pPr>
        <w:spacing w:after="0" w:line="240" w:lineRule="auto"/>
        <w:ind w:right="-40" w:hanging="5"/>
        <w:rPr>
          <w:rFonts w:ascii="Times New Roman" w:hAnsi="Times New Roman" w:eastAsia="Times New Roman" w:cs="Times New Roman"/>
          <w:color w:val="030303"/>
          <w:spacing w:val="2"/>
          <w:sz w:val="24"/>
          <w:szCs w:val="24"/>
        </w:rPr>
      </w:pPr>
      <w:r w:rsidRPr="00A03B38">
        <w:rPr>
          <w:rFonts w:ascii="Times New Roman" w:hAnsi="Times New Roman" w:eastAsia="Times New Roman" w:cs="Times New Roman"/>
          <w:color w:val="030303"/>
          <w:spacing w:val="2"/>
          <w:sz w:val="24"/>
          <w:szCs w:val="24"/>
        </w:rPr>
        <w:t>BOEM will display the OMB control number and approved expiration date.</w:t>
      </w:r>
    </w:p>
    <w:p w:rsidRPr="00A03B38" w:rsidR="00F64F67" w:rsidP="00A03B38" w:rsidRDefault="00F64F67" w14:paraId="1F5AAF94" w14:textId="77777777">
      <w:pPr>
        <w:spacing w:after="0" w:line="240" w:lineRule="auto"/>
        <w:ind w:right="-40" w:hanging="5"/>
        <w:rPr>
          <w:rFonts w:ascii="Times New Roman" w:hAnsi="Times New Roman" w:eastAsia="Times New Roman" w:cs="Times New Roman"/>
          <w:color w:val="030303"/>
          <w:spacing w:val="2"/>
          <w:sz w:val="24"/>
          <w:szCs w:val="24"/>
        </w:rPr>
      </w:pPr>
    </w:p>
    <w:p w:rsidRPr="00D90DB2" w:rsidR="00F64F67" w:rsidP="00A03B38" w:rsidRDefault="00F64F67" w14:paraId="750E7B22" w14:textId="77777777">
      <w:pPr>
        <w:spacing w:after="0" w:line="240" w:lineRule="auto"/>
        <w:ind w:right="-40" w:hanging="5"/>
        <w:rPr>
          <w:rFonts w:ascii="Times New Roman" w:hAnsi="Times New Roman" w:eastAsia="Times New Roman" w:cs="Times New Roman"/>
          <w:b/>
          <w:i/>
          <w:color w:val="030303"/>
          <w:spacing w:val="2"/>
          <w:sz w:val="24"/>
          <w:szCs w:val="24"/>
        </w:rPr>
      </w:pPr>
      <w:r w:rsidRPr="00D90DB2">
        <w:rPr>
          <w:rFonts w:ascii="Times New Roman" w:hAnsi="Times New Roman" w:eastAsia="Times New Roman" w:cs="Times New Roman"/>
          <w:b/>
          <w:i/>
          <w:color w:val="030303"/>
          <w:spacing w:val="2"/>
          <w:sz w:val="24"/>
          <w:szCs w:val="24"/>
        </w:rPr>
        <w:t>18. Explain each exception to the topics of the certification statement identified in, "Certification for</w:t>
      </w:r>
      <w:r w:rsidRPr="00D90DB2" w:rsidR="00A938FF">
        <w:rPr>
          <w:rFonts w:ascii="Times New Roman" w:hAnsi="Times New Roman" w:eastAsia="Times New Roman" w:cs="Times New Roman"/>
          <w:b/>
          <w:i/>
          <w:color w:val="030303"/>
          <w:spacing w:val="2"/>
          <w:sz w:val="24"/>
          <w:szCs w:val="24"/>
        </w:rPr>
        <w:t xml:space="preserve"> </w:t>
      </w:r>
      <w:r w:rsidRPr="00D90DB2">
        <w:rPr>
          <w:rFonts w:ascii="Times New Roman" w:hAnsi="Times New Roman" w:eastAsia="Times New Roman" w:cs="Times New Roman"/>
          <w:b/>
          <w:i/>
          <w:color w:val="030303"/>
          <w:spacing w:val="2"/>
          <w:sz w:val="24"/>
          <w:szCs w:val="24"/>
        </w:rPr>
        <w:t>Paperwork Reduction Act Submission."</w:t>
      </w:r>
    </w:p>
    <w:p w:rsidRPr="00A03B38" w:rsidR="00F64F67" w:rsidP="00A03B38" w:rsidRDefault="00F64F67" w14:paraId="4796B44C" w14:textId="77777777">
      <w:pPr>
        <w:spacing w:after="0" w:line="240" w:lineRule="auto"/>
        <w:ind w:right="-40" w:hanging="5"/>
        <w:rPr>
          <w:rFonts w:ascii="Times New Roman" w:hAnsi="Times New Roman" w:eastAsia="Times New Roman" w:cs="Times New Roman"/>
          <w:color w:val="030303"/>
          <w:spacing w:val="2"/>
          <w:sz w:val="24"/>
          <w:szCs w:val="24"/>
        </w:rPr>
      </w:pPr>
    </w:p>
    <w:p w:rsidRPr="00A03B38" w:rsidR="00F64F67" w:rsidP="00A03B38" w:rsidRDefault="00F64F67" w14:paraId="7B8FA5A4" w14:textId="77777777">
      <w:pPr>
        <w:spacing w:after="0" w:line="240" w:lineRule="auto"/>
        <w:ind w:right="-40" w:hanging="5"/>
        <w:rPr>
          <w:rFonts w:ascii="Times New Roman" w:hAnsi="Times New Roman" w:eastAsia="Times New Roman" w:cs="Times New Roman"/>
          <w:color w:val="030303"/>
          <w:spacing w:val="2"/>
          <w:sz w:val="24"/>
          <w:szCs w:val="24"/>
        </w:rPr>
      </w:pPr>
      <w:r w:rsidRPr="00A03B38">
        <w:rPr>
          <w:rFonts w:ascii="Times New Roman" w:hAnsi="Times New Roman" w:eastAsia="Times New Roman" w:cs="Times New Roman"/>
          <w:color w:val="030303"/>
          <w:spacing w:val="2"/>
          <w:sz w:val="24"/>
          <w:szCs w:val="24"/>
        </w:rPr>
        <w:t>There are no exceptions to the certification statement.</w:t>
      </w:r>
    </w:p>
    <w:p w:rsidRPr="00A03B38" w:rsidR="00F64F67" w:rsidP="00A03B38" w:rsidRDefault="00F64F67" w14:paraId="50D28335" w14:textId="77777777">
      <w:pPr>
        <w:spacing w:after="0" w:line="240" w:lineRule="auto"/>
        <w:ind w:right="-40" w:hanging="5"/>
        <w:rPr>
          <w:rFonts w:ascii="Times New Roman" w:hAnsi="Times New Roman" w:eastAsia="Times New Roman" w:cs="Times New Roman"/>
          <w:color w:val="030303"/>
          <w:spacing w:val="2"/>
          <w:sz w:val="24"/>
          <w:szCs w:val="24"/>
        </w:rPr>
      </w:pPr>
    </w:p>
    <w:p w:rsidRPr="00A03B38" w:rsidR="000B2658" w:rsidP="00A03B38" w:rsidRDefault="000B2658" w14:paraId="37006132" w14:textId="77777777">
      <w:pPr>
        <w:spacing w:after="0" w:line="240" w:lineRule="auto"/>
        <w:ind w:right="-40" w:hanging="5"/>
        <w:rPr>
          <w:rFonts w:ascii="Times New Roman" w:hAnsi="Times New Roman" w:eastAsia="Times New Roman" w:cs="Times New Roman"/>
          <w:color w:val="030303"/>
          <w:spacing w:val="2"/>
          <w:sz w:val="24"/>
          <w:szCs w:val="24"/>
        </w:rPr>
      </w:pPr>
    </w:p>
    <w:sectPr w:rsidRPr="00A03B38" w:rsidR="000B2658" w:rsidSect="00D7577B">
      <w:headerReference w:type="default" r:id="rId10"/>
      <w:footerReference w:type="default" r:id="rId11"/>
      <w:pgSz w:w="12200" w:h="15780"/>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6FF70" w14:textId="77777777" w:rsidR="005E7FA1" w:rsidRDefault="005E7FA1" w:rsidP="00A352B6">
      <w:pPr>
        <w:spacing w:after="0" w:line="240" w:lineRule="auto"/>
      </w:pPr>
      <w:r>
        <w:separator/>
      </w:r>
    </w:p>
  </w:endnote>
  <w:endnote w:type="continuationSeparator" w:id="0">
    <w:p w14:paraId="7E0BA587" w14:textId="77777777" w:rsidR="005E7FA1" w:rsidRDefault="005E7FA1" w:rsidP="00A3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324682"/>
      <w:docPartObj>
        <w:docPartGallery w:val="Page Numbers (Bottom of Page)"/>
        <w:docPartUnique/>
      </w:docPartObj>
    </w:sdtPr>
    <w:sdtEndPr>
      <w:rPr>
        <w:noProof/>
      </w:rPr>
    </w:sdtEndPr>
    <w:sdtContent>
      <w:p w14:paraId="56050A75" w14:textId="77777777" w:rsidR="00D7577B" w:rsidRDefault="00D7577B">
        <w:pPr>
          <w:pStyle w:val="Footer"/>
          <w:jc w:val="center"/>
        </w:pPr>
        <w:r>
          <w:fldChar w:fldCharType="begin"/>
        </w:r>
        <w:r>
          <w:instrText xml:space="preserve"> PAGE   \* MERGEFORMAT </w:instrText>
        </w:r>
        <w:r>
          <w:fldChar w:fldCharType="separate"/>
        </w:r>
        <w:r w:rsidR="006377CF">
          <w:rPr>
            <w:noProof/>
          </w:rPr>
          <w:t>1</w:t>
        </w:r>
        <w:r>
          <w:rPr>
            <w:noProof/>
          </w:rPr>
          <w:fldChar w:fldCharType="end"/>
        </w:r>
      </w:p>
    </w:sdtContent>
  </w:sdt>
  <w:p w14:paraId="1A6F0AA4" w14:textId="77777777" w:rsidR="00A91427" w:rsidRDefault="00A91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4E949" w14:textId="77777777" w:rsidR="005E7FA1" w:rsidRDefault="005E7FA1" w:rsidP="00A352B6">
      <w:pPr>
        <w:spacing w:after="0" w:line="240" w:lineRule="auto"/>
      </w:pPr>
      <w:r>
        <w:separator/>
      </w:r>
    </w:p>
  </w:footnote>
  <w:footnote w:type="continuationSeparator" w:id="0">
    <w:p w14:paraId="7429F115" w14:textId="77777777" w:rsidR="005E7FA1" w:rsidRDefault="005E7FA1" w:rsidP="00A352B6">
      <w:pPr>
        <w:spacing w:after="0" w:line="240" w:lineRule="auto"/>
      </w:pPr>
      <w:r>
        <w:continuationSeparator/>
      </w:r>
    </w:p>
  </w:footnote>
  <w:footnote w:id="1">
    <w:p w14:paraId="22605FC9" w14:textId="77777777" w:rsidR="005B4139" w:rsidRPr="000C43AB" w:rsidRDefault="005B4139" w:rsidP="005B4139">
      <w:pPr>
        <w:spacing w:after="240"/>
        <w:ind w:left="360" w:hanging="360"/>
        <w:rPr>
          <w:rFonts w:ascii="Calibri" w:eastAsia="Calibri" w:hAnsi="Calibri" w:cs="Calibri"/>
        </w:rPr>
      </w:pPr>
      <w:r>
        <w:rPr>
          <w:rStyle w:val="FootnoteReference"/>
        </w:rPr>
        <w:footnoteRef/>
      </w:r>
      <w:r>
        <w:t xml:space="preserve"> </w:t>
      </w:r>
      <w:r w:rsidRPr="003274F7">
        <w:rPr>
          <w:rFonts w:ascii="Times New Roman" w:eastAsia="Calibri" w:hAnsi="Times New Roman" w:cs="Times New Roman"/>
        </w:rPr>
        <w:t xml:space="preserve">USEPA. 2019. 2017 National emissions inventory, technical support document. Research Triangle Park (NC): U.S. Environmental Protection Agency, Office of Air Quality Planning and Standards. </w:t>
      </w:r>
      <w:r w:rsidRPr="000C43AB">
        <w:rPr>
          <w:rFonts w:ascii="Times New Roman" w:hAnsi="Times New Roman" w:cs="Times New Roman"/>
        </w:rPr>
        <w:fldChar w:fldCharType="begin"/>
      </w:r>
      <w:r w:rsidRPr="000C43AB">
        <w:rPr>
          <w:rFonts w:ascii="Times New Roman" w:hAnsi="Times New Roman" w:cs="Times New Roman"/>
        </w:rPr>
        <w:instrText xml:space="preserve"> "https://www.epa.gov/air-emissions-inventories/2017-national-emissions-inventory-nei-data"</w:instrText>
      </w:r>
      <w:r w:rsidRPr="000C43AB">
        <w:rPr>
          <w:rFonts w:ascii="Times New Roman" w:hAnsi="Times New Roman" w:cs="Times New Roman"/>
        </w:rPr>
        <w:fldChar w:fldCharType="separate"/>
      </w:r>
      <w:r w:rsidRPr="000C43AB">
        <w:rPr>
          <w:rFonts w:ascii="Times New Roman" w:eastAsia="Calibri" w:hAnsi="Times New Roman" w:cs="Times New Roman"/>
          <w:u w:val="single"/>
        </w:rPr>
        <w:t>https://www.epa.gov/air-emissions-inventories/2017-national-emissions-inventory-nei-data</w:t>
      </w:r>
      <w:r w:rsidRPr="000C43AB">
        <w:rPr>
          <w:rFonts w:ascii="Times New Roman" w:eastAsia="Calibri" w:hAnsi="Times New Roman" w:cs="Times New Roman"/>
          <w:u w:val="single"/>
        </w:rPr>
        <w:fldChar w:fldCharType="end"/>
      </w:r>
    </w:p>
  </w:footnote>
  <w:footnote w:id="2">
    <w:p w14:paraId="66475C29" w14:textId="77777777" w:rsidR="005B4139" w:rsidRDefault="005B4139" w:rsidP="005B4139">
      <w:pPr>
        <w:pStyle w:val="FootnoteText"/>
      </w:pPr>
      <w:r>
        <w:rPr>
          <w:rStyle w:val="FootnoteReference"/>
        </w:rPr>
        <w:footnoteRef/>
      </w:r>
      <w:r>
        <w:t xml:space="preserve"> Air Quality Rule Implementation Workshop hosted virtually between BOEM and Operators on June 25,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3C8D0" w14:textId="77777777" w:rsidR="00A91427" w:rsidRDefault="00A91427">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38DB"/>
    <w:multiLevelType w:val="hybridMultilevel"/>
    <w:tmpl w:val="D5DCE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97343"/>
    <w:multiLevelType w:val="hybridMultilevel"/>
    <w:tmpl w:val="37DE8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7D04C3"/>
    <w:multiLevelType w:val="hybridMultilevel"/>
    <w:tmpl w:val="CEAAF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B2476"/>
    <w:multiLevelType w:val="multilevel"/>
    <w:tmpl w:val="88FE1D0C"/>
    <w:lvl w:ilvl="0">
      <w:start w:val="1"/>
      <w:numFmt w:val="bullet"/>
      <w:lvlText w:val=""/>
      <w:lvlJc w:val="left"/>
      <w:pPr>
        <w:tabs>
          <w:tab w:val="left" w:pos="0"/>
        </w:tabs>
        <w:ind w:left="360"/>
      </w:pPr>
      <w:rPr>
        <w:rFonts w:ascii="Symbol" w:hAnsi="Symbol" w:hint="default"/>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250B84"/>
    <w:multiLevelType w:val="hybridMultilevel"/>
    <w:tmpl w:val="DDE07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13A0E"/>
    <w:multiLevelType w:val="hybridMultilevel"/>
    <w:tmpl w:val="B27CAB0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2258327B"/>
    <w:multiLevelType w:val="multilevel"/>
    <w:tmpl w:val="88FE1D0C"/>
    <w:lvl w:ilvl="0">
      <w:start w:val="1"/>
      <w:numFmt w:val="bullet"/>
      <w:lvlText w:val=""/>
      <w:lvlJc w:val="left"/>
      <w:pPr>
        <w:tabs>
          <w:tab w:val="left" w:pos="0"/>
        </w:tabs>
        <w:ind w:left="360"/>
      </w:pPr>
      <w:rPr>
        <w:rFonts w:ascii="Symbol" w:hAnsi="Symbol" w:hint="default"/>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313DE4"/>
    <w:multiLevelType w:val="multilevel"/>
    <w:tmpl w:val="0F94F3E6"/>
    <w:lvl w:ilvl="0">
      <w:start w:val="1"/>
      <w:numFmt w:val="lowerLetter"/>
      <w:lvlText w:val="%1."/>
      <w:lvlJc w:val="left"/>
      <w:pPr>
        <w:tabs>
          <w:tab w:val="left" w:pos="-360"/>
        </w:tabs>
        <w:ind w:left="0"/>
      </w:pPr>
      <w:rPr>
        <w:rFonts w:ascii="Calibri" w:eastAsia="Calibri" w:hAnsi="Calibri"/>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173F66"/>
    <w:multiLevelType w:val="multilevel"/>
    <w:tmpl w:val="88FE1D0C"/>
    <w:lvl w:ilvl="0">
      <w:start w:val="1"/>
      <w:numFmt w:val="bullet"/>
      <w:lvlText w:val=""/>
      <w:lvlJc w:val="left"/>
      <w:pPr>
        <w:tabs>
          <w:tab w:val="left" w:pos="360"/>
        </w:tabs>
        <w:ind w:left="720"/>
      </w:pPr>
      <w:rPr>
        <w:rFonts w:ascii="Symbol" w:hAnsi="Symbol" w:hint="default"/>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04F6A"/>
    <w:multiLevelType w:val="hybridMultilevel"/>
    <w:tmpl w:val="02BADF06"/>
    <w:lvl w:ilvl="0" w:tplc="989E7D00">
      <w:start w:val="1"/>
      <w:numFmt w:val="lowerLetter"/>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0" w15:restartNumberingAfterBreak="0">
    <w:nsid w:val="308344AB"/>
    <w:multiLevelType w:val="multilevel"/>
    <w:tmpl w:val="34B465CC"/>
    <w:lvl w:ilvl="0">
      <w:start w:val="1"/>
      <w:numFmt w:val="lowerLetter"/>
      <w:lvlText w:val="%1."/>
      <w:lvlJc w:val="left"/>
      <w:pPr>
        <w:tabs>
          <w:tab w:val="left" w:pos="360"/>
        </w:tabs>
        <w:ind w:left="720"/>
      </w:pPr>
      <w:rPr>
        <w:rFonts w:ascii="Calibri" w:eastAsia="Calibri" w:hAnsi="Calibri"/>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1D3C3B"/>
    <w:multiLevelType w:val="multilevel"/>
    <w:tmpl w:val="BC8E33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EE21936"/>
    <w:multiLevelType w:val="multilevel"/>
    <w:tmpl w:val="88FE1D0C"/>
    <w:lvl w:ilvl="0">
      <w:start w:val="1"/>
      <w:numFmt w:val="bullet"/>
      <w:lvlText w:val=""/>
      <w:lvlJc w:val="left"/>
      <w:pPr>
        <w:tabs>
          <w:tab w:val="left" w:pos="0"/>
        </w:tabs>
        <w:ind w:left="360"/>
      </w:pPr>
      <w:rPr>
        <w:rFonts w:ascii="Symbol" w:hAnsi="Symbol" w:hint="default"/>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144DD2"/>
    <w:multiLevelType w:val="hybridMultilevel"/>
    <w:tmpl w:val="6488475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C95E57"/>
    <w:multiLevelType w:val="hybridMultilevel"/>
    <w:tmpl w:val="287809A2"/>
    <w:lvl w:ilvl="0" w:tplc="4A2A94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073691"/>
    <w:multiLevelType w:val="multilevel"/>
    <w:tmpl w:val="88FE1D0C"/>
    <w:lvl w:ilvl="0">
      <w:start w:val="1"/>
      <w:numFmt w:val="bullet"/>
      <w:lvlText w:val=""/>
      <w:lvlJc w:val="left"/>
      <w:pPr>
        <w:tabs>
          <w:tab w:val="left" w:pos="360"/>
        </w:tabs>
        <w:ind w:left="720"/>
      </w:pPr>
      <w:rPr>
        <w:rFonts w:ascii="Symbol" w:hAnsi="Symbol" w:hint="default"/>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925D12"/>
    <w:multiLevelType w:val="multilevel"/>
    <w:tmpl w:val="AD7AC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F07791"/>
    <w:multiLevelType w:val="multilevel"/>
    <w:tmpl w:val="88FE1D0C"/>
    <w:lvl w:ilvl="0">
      <w:start w:val="1"/>
      <w:numFmt w:val="bullet"/>
      <w:lvlText w:val=""/>
      <w:lvlJc w:val="left"/>
      <w:pPr>
        <w:tabs>
          <w:tab w:val="left" w:pos="0"/>
        </w:tabs>
        <w:ind w:left="360"/>
      </w:pPr>
      <w:rPr>
        <w:rFonts w:ascii="Symbol" w:hAnsi="Symbol" w:hint="default"/>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884F6D"/>
    <w:multiLevelType w:val="hybridMultilevel"/>
    <w:tmpl w:val="7AE8A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D38BA"/>
    <w:multiLevelType w:val="multilevel"/>
    <w:tmpl w:val="E4DC9112"/>
    <w:lvl w:ilvl="0">
      <w:start w:val="1"/>
      <w:numFmt w:val="lowerRoman"/>
      <w:lvlText w:val="%1."/>
      <w:lvlJc w:val="left"/>
      <w:pPr>
        <w:tabs>
          <w:tab w:val="left" w:pos="360"/>
        </w:tabs>
        <w:ind w:left="720"/>
      </w:pPr>
      <w:rPr>
        <w:rFonts w:ascii="Calibri" w:eastAsia="Calibri" w:hAnsi="Calibri"/>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73238B"/>
    <w:multiLevelType w:val="multilevel"/>
    <w:tmpl w:val="8DB6F138"/>
    <w:lvl w:ilvl="0">
      <w:start w:val="1"/>
      <w:numFmt w:val="bullet"/>
      <w:lvlText w:val=""/>
      <w:lvlJc w:val="left"/>
      <w:pPr>
        <w:tabs>
          <w:tab w:val="num" w:pos="0"/>
        </w:tabs>
        <w:ind w:left="504" w:hanging="144"/>
      </w:pPr>
      <w:rPr>
        <w:rFonts w:ascii="Symbol" w:hAnsi="Symbol" w:hint="default"/>
        <w:strike w:val="0"/>
        <w:color w:val="000000"/>
        <w:spacing w:val="-4"/>
        <w:w w:val="100"/>
        <w:sz w:val="23"/>
        <w:vertAlign w:val="baseline"/>
        <w:lang w:val="en-US"/>
      </w:rPr>
    </w:lvl>
    <w:lvl w:ilvl="1">
      <w:numFmt w:val="decimal"/>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5BFC0F67"/>
    <w:multiLevelType w:val="multilevel"/>
    <w:tmpl w:val="88FE1D0C"/>
    <w:lvl w:ilvl="0">
      <w:start w:val="1"/>
      <w:numFmt w:val="bullet"/>
      <w:lvlText w:val=""/>
      <w:lvlJc w:val="left"/>
      <w:pPr>
        <w:tabs>
          <w:tab w:val="left" w:pos="360"/>
        </w:tabs>
        <w:ind w:left="720"/>
      </w:pPr>
      <w:rPr>
        <w:rFonts w:ascii="Symbol" w:hAnsi="Symbol" w:hint="default"/>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6D172F"/>
    <w:multiLevelType w:val="hybridMultilevel"/>
    <w:tmpl w:val="2C62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171EB"/>
    <w:multiLevelType w:val="multilevel"/>
    <w:tmpl w:val="88FE1D0C"/>
    <w:lvl w:ilvl="0">
      <w:start w:val="1"/>
      <w:numFmt w:val="bullet"/>
      <w:lvlText w:val=""/>
      <w:lvlJc w:val="left"/>
      <w:pPr>
        <w:tabs>
          <w:tab w:val="left" w:pos="0"/>
        </w:tabs>
        <w:ind w:left="360"/>
      </w:pPr>
      <w:rPr>
        <w:rFonts w:ascii="Symbol" w:hAnsi="Symbol" w:hint="default"/>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691F55"/>
    <w:multiLevelType w:val="multilevel"/>
    <w:tmpl w:val="7B04DF82"/>
    <w:lvl w:ilvl="0">
      <w:start w:val="1"/>
      <w:numFmt w:val="lowerLetter"/>
      <w:lvlText w:val="%1."/>
      <w:lvlJc w:val="left"/>
      <w:pPr>
        <w:tabs>
          <w:tab w:val="left" w:pos="360"/>
        </w:tabs>
        <w:ind w:left="720"/>
      </w:pPr>
      <w:rPr>
        <w:rFonts w:ascii="Calibri" w:eastAsia="Calibri" w:hAnsi="Calibri"/>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5976FA"/>
    <w:multiLevelType w:val="multilevel"/>
    <w:tmpl w:val="88FE1D0C"/>
    <w:lvl w:ilvl="0">
      <w:start w:val="1"/>
      <w:numFmt w:val="bullet"/>
      <w:lvlText w:val=""/>
      <w:lvlJc w:val="left"/>
      <w:pPr>
        <w:tabs>
          <w:tab w:val="left" w:pos="0"/>
        </w:tabs>
        <w:ind w:left="360"/>
      </w:pPr>
      <w:rPr>
        <w:rFonts w:ascii="Symbol" w:hAnsi="Symbol" w:hint="default"/>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F13911"/>
    <w:multiLevelType w:val="multilevel"/>
    <w:tmpl w:val="88FE1D0C"/>
    <w:lvl w:ilvl="0">
      <w:start w:val="1"/>
      <w:numFmt w:val="bullet"/>
      <w:lvlText w:val=""/>
      <w:lvlJc w:val="left"/>
      <w:pPr>
        <w:tabs>
          <w:tab w:val="left" w:pos="360"/>
        </w:tabs>
        <w:ind w:left="720"/>
      </w:pPr>
      <w:rPr>
        <w:rFonts w:ascii="Symbol" w:hAnsi="Symbol" w:hint="default"/>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9C4AF0"/>
    <w:multiLevelType w:val="hybridMultilevel"/>
    <w:tmpl w:val="E9F4B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3B3B6D"/>
    <w:multiLevelType w:val="hybridMultilevel"/>
    <w:tmpl w:val="79C273CC"/>
    <w:lvl w:ilvl="0" w:tplc="6F546112">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9" w15:restartNumberingAfterBreak="0">
    <w:nsid w:val="73125B15"/>
    <w:multiLevelType w:val="multilevel"/>
    <w:tmpl w:val="88FE1D0C"/>
    <w:lvl w:ilvl="0">
      <w:start w:val="1"/>
      <w:numFmt w:val="bullet"/>
      <w:lvlText w:val=""/>
      <w:lvlJc w:val="left"/>
      <w:pPr>
        <w:tabs>
          <w:tab w:val="left" w:pos="0"/>
        </w:tabs>
        <w:ind w:left="360"/>
      </w:pPr>
      <w:rPr>
        <w:rFonts w:ascii="Symbol" w:hAnsi="Symbol" w:hint="default"/>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4B0886"/>
    <w:multiLevelType w:val="hybridMultilevel"/>
    <w:tmpl w:val="5838C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D24113"/>
    <w:multiLevelType w:val="hybridMultilevel"/>
    <w:tmpl w:val="86B2E6D8"/>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32" w15:restartNumberingAfterBreak="0">
    <w:nsid w:val="787626EC"/>
    <w:multiLevelType w:val="multilevel"/>
    <w:tmpl w:val="B85AF986"/>
    <w:lvl w:ilvl="0">
      <w:start w:val="8"/>
      <w:numFmt w:val="decimal"/>
      <w:lvlText w:val="%1."/>
      <w:lvlJc w:val="left"/>
      <w:pPr>
        <w:tabs>
          <w:tab w:val="left" w:pos="360"/>
        </w:tabs>
        <w:ind w:left="720"/>
      </w:pPr>
      <w:rPr>
        <w:rFonts w:ascii="Calibri" w:eastAsia="Calibri" w:hAnsi="Calibri"/>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7742AA"/>
    <w:multiLevelType w:val="multilevel"/>
    <w:tmpl w:val="76505596"/>
    <w:lvl w:ilvl="0">
      <w:start w:val="1"/>
      <w:numFmt w:val="lowerLetter"/>
      <w:lvlText w:val="%1."/>
      <w:lvlJc w:val="left"/>
      <w:pPr>
        <w:tabs>
          <w:tab w:val="left" w:pos="360"/>
        </w:tabs>
        <w:ind w:left="720"/>
      </w:pPr>
      <w:rPr>
        <w:rFonts w:ascii="Calibri" w:eastAsia="Calibri" w:hAnsi="Calibri"/>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1"/>
  </w:num>
  <w:num w:numId="4">
    <w:abstractNumId w:val="14"/>
  </w:num>
  <w:num w:numId="5">
    <w:abstractNumId w:val="13"/>
  </w:num>
  <w:num w:numId="6">
    <w:abstractNumId w:val="31"/>
  </w:num>
  <w:num w:numId="7">
    <w:abstractNumId w:val="2"/>
  </w:num>
  <w:num w:numId="8">
    <w:abstractNumId w:val="27"/>
  </w:num>
  <w:num w:numId="9">
    <w:abstractNumId w:val="0"/>
  </w:num>
  <w:num w:numId="10">
    <w:abstractNumId w:val="22"/>
  </w:num>
  <w:num w:numId="11">
    <w:abstractNumId w:val="11"/>
  </w:num>
  <w:num w:numId="12">
    <w:abstractNumId w:val="16"/>
  </w:num>
  <w:num w:numId="13">
    <w:abstractNumId w:val="7"/>
  </w:num>
  <w:num w:numId="14">
    <w:abstractNumId w:val="10"/>
  </w:num>
  <w:num w:numId="15">
    <w:abstractNumId w:val="26"/>
  </w:num>
  <w:num w:numId="16">
    <w:abstractNumId w:val="21"/>
  </w:num>
  <w:num w:numId="17">
    <w:abstractNumId w:val="15"/>
  </w:num>
  <w:num w:numId="18">
    <w:abstractNumId w:val="33"/>
  </w:num>
  <w:num w:numId="19">
    <w:abstractNumId w:val="19"/>
  </w:num>
  <w:num w:numId="20">
    <w:abstractNumId w:val="24"/>
  </w:num>
  <w:num w:numId="21">
    <w:abstractNumId w:val="32"/>
  </w:num>
  <w:num w:numId="22">
    <w:abstractNumId w:val="18"/>
  </w:num>
  <w:num w:numId="23">
    <w:abstractNumId w:val="17"/>
  </w:num>
  <w:num w:numId="24">
    <w:abstractNumId w:val="29"/>
  </w:num>
  <w:num w:numId="25">
    <w:abstractNumId w:val="28"/>
  </w:num>
  <w:num w:numId="26">
    <w:abstractNumId w:val="12"/>
  </w:num>
  <w:num w:numId="27">
    <w:abstractNumId w:val="3"/>
  </w:num>
  <w:num w:numId="28">
    <w:abstractNumId w:val="6"/>
  </w:num>
  <w:num w:numId="29">
    <w:abstractNumId w:val="23"/>
  </w:num>
  <w:num w:numId="30">
    <w:abstractNumId w:val="8"/>
  </w:num>
  <w:num w:numId="31">
    <w:abstractNumId w:val="25"/>
  </w:num>
  <w:num w:numId="32">
    <w:abstractNumId w:val="20"/>
  </w:num>
  <w:num w:numId="33">
    <w:abstractNumId w:val="30"/>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67"/>
    <w:rsid w:val="0000113C"/>
    <w:rsid w:val="00003F22"/>
    <w:rsid w:val="00006BC1"/>
    <w:rsid w:val="00010CE0"/>
    <w:rsid w:val="0001155F"/>
    <w:rsid w:val="000130C9"/>
    <w:rsid w:val="00020973"/>
    <w:rsid w:val="00032227"/>
    <w:rsid w:val="00042D61"/>
    <w:rsid w:val="00042EA5"/>
    <w:rsid w:val="00045DB4"/>
    <w:rsid w:val="00050494"/>
    <w:rsid w:val="000538BF"/>
    <w:rsid w:val="000567BD"/>
    <w:rsid w:val="000604E0"/>
    <w:rsid w:val="00061292"/>
    <w:rsid w:val="00062E8E"/>
    <w:rsid w:val="000764DF"/>
    <w:rsid w:val="00084674"/>
    <w:rsid w:val="00096725"/>
    <w:rsid w:val="00097307"/>
    <w:rsid w:val="000A3BAC"/>
    <w:rsid w:val="000B21C0"/>
    <w:rsid w:val="000B2658"/>
    <w:rsid w:val="000B484C"/>
    <w:rsid w:val="000B6E41"/>
    <w:rsid w:val="000C067F"/>
    <w:rsid w:val="000C0A29"/>
    <w:rsid w:val="000D4B47"/>
    <w:rsid w:val="000E4EB9"/>
    <w:rsid w:val="000E521D"/>
    <w:rsid w:val="0010539C"/>
    <w:rsid w:val="00107529"/>
    <w:rsid w:val="00110693"/>
    <w:rsid w:val="00116D1D"/>
    <w:rsid w:val="00127215"/>
    <w:rsid w:val="00133AFA"/>
    <w:rsid w:val="00140F5D"/>
    <w:rsid w:val="00150835"/>
    <w:rsid w:val="001513C2"/>
    <w:rsid w:val="001563D7"/>
    <w:rsid w:val="00161FAA"/>
    <w:rsid w:val="0016324A"/>
    <w:rsid w:val="00171EBF"/>
    <w:rsid w:val="0017341D"/>
    <w:rsid w:val="001917F7"/>
    <w:rsid w:val="00196618"/>
    <w:rsid w:val="001A04B5"/>
    <w:rsid w:val="001A065B"/>
    <w:rsid w:val="001A3CF8"/>
    <w:rsid w:val="001B058C"/>
    <w:rsid w:val="001D0F3F"/>
    <w:rsid w:val="001D20FF"/>
    <w:rsid w:val="001D6C31"/>
    <w:rsid w:val="001F30DB"/>
    <w:rsid w:val="001F3788"/>
    <w:rsid w:val="001F3FB8"/>
    <w:rsid w:val="0020421C"/>
    <w:rsid w:val="00204816"/>
    <w:rsid w:val="00216672"/>
    <w:rsid w:val="002206ED"/>
    <w:rsid w:val="002221DD"/>
    <w:rsid w:val="002265B8"/>
    <w:rsid w:val="00234ED7"/>
    <w:rsid w:val="0023788A"/>
    <w:rsid w:val="00242894"/>
    <w:rsid w:val="00246E4C"/>
    <w:rsid w:val="00246FAB"/>
    <w:rsid w:val="00250E08"/>
    <w:rsid w:val="00251D6A"/>
    <w:rsid w:val="0026035D"/>
    <w:rsid w:val="0026169C"/>
    <w:rsid w:val="0026202C"/>
    <w:rsid w:val="00270EF3"/>
    <w:rsid w:val="00272B46"/>
    <w:rsid w:val="0027421E"/>
    <w:rsid w:val="00281EA4"/>
    <w:rsid w:val="0028256A"/>
    <w:rsid w:val="002900F2"/>
    <w:rsid w:val="002A516A"/>
    <w:rsid w:val="002A7D91"/>
    <w:rsid w:val="002B4D1E"/>
    <w:rsid w:val="002B681B"/>
    <w:rsid w:val="002C0307"/>
    <w:rsid w:val="002C106F"/>
    <w:rsid w:val="002C688D"/>
    <w:rsid w:val="002C69D7"/>
    <w:rsid w:val="002D3299"/>
    <w:rsid w:val="002D39A2"/>
    <w:rsid w:val="002D60CD"/>
    <w:rsid w:val="002D7A84"/>
    <w:rsid w:val="002E230C"/>
    <w:rsid w:val="002E25B8"/>
    <w:rsid w:val="002E2D36"/>
    <w:rsid w:val="002E412A"/>
    <w:rsid w:val="002E4DE2"/>
    <w:rsid w:val="002E52EA"/>
    <w:rsid w:val="002F6F33"/>
    <w:rsid w:val="002F7275"/>
    <w:rsid w:val="00302821"/>
    <w:rsid w:val="00302913"/>
    <w:rsid w:val="0031002D"/>
    <w:rsid w:val="003100CA"/>
    <w:rsid w:val="0032623D"/>
    <w:rsid w:val="00332BB5"/>
    <w:rsid w:val="00334D5F"/>
    <w:rsid w:val="00336C7F"/>
    <w:rsid w:val="00341E09"/>
    <w:rsid w:val="00343BF9"/>
    <w:rsid w:val="00346B3D"/>
    <w:rsid w:val="00350442"/>
    <w:rsid w:val="00350F88"/>
    <w:rsid w:val="00352F29"/>
    <w:rsid w:val="003554BE"/>
    <w:rsid w:val="0035557D"/>
    <w:rsid w:val="00360A5C"/>
    <w:rsid w:val="003610A9"/>
    <w:rsid w:val="003721C1"/>
    <w:rsid w:val="00381390"/>
    <w:rsid w:val="00382324"/>
    <w:rsid w:val="00387114"/>
    <w:rsid w:val="00394988"/>
    <w:rsid w:val="00397D81"/>
    <w:rsid w:val="003A1BB5"/>
    <w:rsid w:val="003B70F2"/>
    <w:rsid w:val="003C5029"/>
    <w:rsid w:val="003C56D8"/>
    <w:rsid w:val="003D1994"/>
    <w:rsid w:val="003D3C32"/>
    <w:rsid w:val="003D3F1A"/>
    <w:rsid w:val="003E49A9"/>
    <w:rsid w:val="003F28F1"/>
    <w:rsid w:val="003F4159"/>
    <w:rsid w:val="003F5238"/>
    <w:rsid w:val="003F6934"/>
    <w:rsid w:val="004063FA"/>
    <w:rsid w:val="00414B6E"/>
    <w:rsid w:val="0041660A"/>
    <w:rsid w:val="00420C0A"/>
    <w:rsid w:val="00420E87"/>
    <w:rsid w:val="00423ACC"/>
    <w:rsid w:val="0042575D"/>
    <w:rsid w:val="0042667E"/>
    <w:rsid w:val="00426CFC"/>
    <w:rsid w:val="00437805"/>
    <w:rsid w:val="00451294"/>
    <w:rsid w:val="0045163B"/>
    <w:rsid w:val="004607D1"/>
    <w:rsid w:val="00465454"/>
    <w:rsid w:val="00467EAB"/>
    <w:rsid w:val="00473FE9"/>
    <w:rsid w:val="004745DA"/>
    <w:rsid w:val="00486A4E"/>
    <w:rsid w:val="004A5561"/>
    <w:rsid w:val="004A6B7A"/>
    <w:rsid w:val="004B3E57"/>
    <w:rsid w:val="004C3890"/>
    <w:rsid w:val="004C57AB"/>
    <w:rsid w:val="004D11ED"/>
    <w:rsid w:val="004D16FB"/>
    <w:rsid w:val="004E19E9"/>
    <w:rsid w:val="004E56A0"/>
    <w:rsid w:val="004E6E95"/>
    <w:rsid w:val="004F33B4"/>
    <w:rsid w:val="004F3968"/>
    <w:rsid w:val="004F464D"/>
    <w:rsid w:val="00500CE6"/>
    <w:rsid w:val="00511C8A"/>
    <w:rsid w:val="0051752B"/>
    <w:rsid w:val="00521B19"/>
    <w:rsid w:val="00530A6A"/>
    <w:rsid w:val="00541358"/>
    <w:rsid w:val="00541EC7"/>
    <w:rsid w:val="00544704"/>
    <w:rsid w:val="00547822"/>
    <w:rsid w:val="00571543"/>
    <w:rsid w:val="00571D76"/>
    <w:rsid w:val="00577106"/>
    <w:rsid w:val="00580EFB"/>
    <w:rsid w:val="005822CE"/>
    <w:rsid w:val="00583E40"/>
    <w:rsid w:val="00585250"/>
    <w:rsid w:val="0059196E"/>
    <w:rsid w:val="005928F4"/>
    <w:rsid w:val="005A23F7"/>
    <w:rsid w:val="005A2737"/>
    <w:rsid w:val="005A27FD"/>
    <w:rsid w:val="005B4139"/>
    <w:rsid w:val="005B5422"/>
    <w:rsid w:val="005C5C34"/>
    <w:rsid w:val="005C669A"/>
    <w:rsid w:val="005C7373"/>
    <w:rsid w:val="005E5BA3"/>
    <w:rsid w:val="005E5C4D"/>
    <w:rsid w:val="005E7FA1"/>
    <w:rsid w:val="005F4525"/>
    <w:rsid w:val="005F5A4C"/>
    <w:rsid w:val="00605DBA"/>
    <w:rsid w:val="006073CA"/>
    <w:rsid w:val="006137DA"/>
    <w:rsid w:val="00615CF3"/>
    <w:rsid w:val="00615FD5"/>
    <w:rsid w:val="00621DA0"/>
    <w:rsid w:val="006253C0"/>
    <w:rsid w:val="00636A34"/>
    <w:rsid w:val="006377CF"/>
    <w:rsid w:val="006406A8"/>
    <w:rsid w:val="0064782B"/>
    <w:rsid w:val="00651295"/>
    <w:rsid w:val="0066107F"/>
    <w:rsid w:val="006615CC"/>
    <w:rsid w:val="00663DBD"/>
    <w:rsid w:val="00665B3D"/>
    <w:rsid w:val="0066710D"/>
    <w:rsid w:val="00671A0D"/>
    <w:rsid w:val="00671F6E"/>
    <w:rsid w:val="00685635"/>
    <w:rsid w:val="00686948"/>
    <w:rsid w:val="00686EDA"/>
    <w:rsid w:val="00693DC5"/>
    <w:rsid w:val="006A15D4"/>
    <w:rsid w:val="006B0610"/>
    <w:rsid w:val="006B20CB"/>
    <w:rsid w:val="006C7BF4"/>
    <w:rsid w:val="006D2CC9"/>
    <w:rsid w:val="006E3081"/>
    <w:rsid w:val="006E30B2"/>
    <w:rsid w:val="006E4788"/>
    <w:rsid w:val="006F1DD1"/>
    <w:rsid w:val="006F2808"/>
    <w:rsid w:val="006F5C41"/>
    <w:rsid w:val="00712EFC"/>
    <w:rsid w:val="00713B3E"/>
    <w:rsid w:val="00715F14"/>
    <w:rsid w:val="00723B1B"/>
    <w:rsid w:val="00733BCD"/>
    <w:rsid w:val="0073565F"/>
    <w:rsid w:val="0073786F"/>
    <w:rsid w:val="0074066A"/>
    <w:rsid w:val="0074499E"/>
    <w:rsid w:val="00746403"/>
    <w:rsid w:val="0075114D"/>
    <w:rsid w:val="00753968"/>
    <w:rsid w:val="0075472F"/>
    <w:rsid w:val="00757A81"/>
    <w:rsid w:val="00770B5F"/>
    <w:rsid w:val="00773F6E"/>
    <w:rsid w:val="007838C6"/>
    <w:rsid w:val="00784F64"/>
    <w:rsid w:val="00797C4F"/>
    <w:rsid w:val="007B29A2"/>
    <w:rsid w:val="007B386E"/>
    <w:rsid w:val="007B5F01"/>
    <w:rsid w:val="007C1902"/>
    <w:rsid w:val="007C3B3C"/>
    <w:rsid w:val="007D07E6"/>
    <w:rsid w:val="007D2BD7"/>
    <w:rsid w:val="007E5C0C"/>
    <w:rsid w:val="007E7FC3"/>
    <w:rsid w:val="007F312B"/>
    <w:rsid w:val="007F471B"/>
    <w:rsid w:val="007F6B2B"/>
    <w:rsid w:val="00800539"/>
    <w:rsid w:val="00806987"/>
    <w:rsid w:val="00813504"/>
    <w:rsid w:val="00816ADF"/>
    <w:rsid w:val="00821034"/>
    <w:rsid w:val="008214BD"/>
    <w:rsid w:val="0082661E"/>
    <w:rsid w:val="008272CF"/>
    <w:rsid w:val="0083699F"/>
    <w:rsid w:val="00852D3C"/>
    <w:rsid w:val="00853ED7"/>
    <w:rsid w:val="008548F5"/>
    <w:rsid w:val="008564F3"/>
    <w:rsid w:val="00856C12"/>
    <w:rsid w:val="00860B6E"/>
    <w:rsid w:val="00866DF2"/>
    <w:rsid w:val="008731D6"/>
    <w:rsid w:val="00875A8D"/>
    <w:rsid w:val="00884AB3"/>
    <w:rsid w:val="00886D4F"/>
    <w:rsid w:val="00887464"/>
    <w:rsid w:val="0089103A"/>
    <w:rsid w:val="008A2077"/>
    <w:rsid w:val="008A3FB2"/>
    <w:rsid w:val="008A6EC4"/>
    <w:rsid w:val="008C0735"/>
    <w:rsid w:val="008C66AF"/>
    <w:rsid w:val="008C70BF"/>
    <w:rsid w:val="008C74B5"/>
    <w:rsid w:val="008D0ADF"/>
    <w:rsid w:val="008D7378"/>
    <w:rsid w:val="008E38B5"/>
    <w:rsid w:val="008F121A"/>
    <w:rsid w:val="008F3159"/>
    <w:rsid w:val="008F4888"/>
    <w:rsid w:val="00902628"/>
    <w:rsid w:val="0090548F"/>
    <w:rsid w:val="00905798"/>
    <w:rsid w:val="00917B10"/>
    <w:rsid w:val="00920BD3"/>
    <w:rsid w:val="00921298"/>
    <w:rsid w:val="00933219"/>
    <w:rsid w:val="00933C92"/>
    <w:rsid w:val="00942A1F"/>
    <w:rsid w:val="009441A6"/>
    <w:rsid w:val="00944F1D"/>
    <w:rsid w:val="00953A06"/>
    <w:rsid w:val="00970DAA"/>
    <w:rsid w:val="00970E08"/>
    <w:rsid w:val="009820A3"/>
    <w:rsid w:val="00982E26"/>
    <w:rsid w:val="00982FBC"/>
    <w:rsid w:val="00987DDD"/>
    <w:rsid w:val="0099152E"/>
    <w:rsid w:val="00996AD6"/>
    <w:rsid w:val="009A1370"/>
    <w:rsid w:val="009B1E07"/>
    <w:rsid w:val="009B275B"/>
    <w:rsid w:val="009B72E7"/>
    <w:rsid w:val="009B7C61"/>
    <w:rsid w:val="009C0696"/>
    <w:rsid w:val="009C743F"/>
    <w:rsid w:val="009D7069"/>
    <w:rsid w:val="009D7C9C"/>
    <w:rsid w:val="009E1582"/>
    <w:rsid w:val="009E3F29"/>
    <w:rsid w:val="009E4DD7"/>
    <w:rsid w:val="009E675D"/>
    <w:rsid w:val="009F2444"/>
    <w:rsid w:val="009F28FA"/>
    <w:rsid w:val="009F7970"/>
    <w:rsid w:val="00A03B38"/>
    <w:rsid w:val="00A0469E"/>
    <w:rsid w:val="00A24991"/>
    <w:rsid w:val="00A2629E"/>
    <w:rsid w:val="00A277B0"/>
    <w:rsid w:val="00A33CFF"/>
    <w:rsid w:val="00A33D43"/>
    <w:rsid w:val="00A352B6"/>
    <w:rsid w:val="00A415CB"/>
    <w:rsid w:val="00A42199"/>
    <w:rsid w:val="00A500A8"/>
    <w:rsid w:val="00A577A0"/>
    <w:rsid w:val="00A60E8F"/>
    <w:rsid w:val="00A62F61"/>
    <w:rsid w:val="00A750AD"/>
    <w:rsid w:val="00A7594A"/>
    <w:rsid w:val="00A81065"/>
    <w:rsid w:val="00A82281"/>
    <w:rsid w:val="00A83B67"/>
    <w:rsid w:val="00A85918"/>
    <w:rsid w:val="00A91427"/>
    <w:rsid w:val="00A938FF"/>
    <w:rsid w:val="00A96217"/>
    <w:rsid w:val="00A97272"/>
    <w:rsid w:val="00AA2DA1"/>
    <w:rsid w:val="00AB48D0"/>
    <w:rsid w:val="00AB4DE1"/>
    <w:rsid w:val="00AC08E8"/>
    <w:rsid w:val="00AC4DEF"/>
    <w:rsid w:val="00AE44BC"/>
    <w:rsid w:val="00AF6AD4"/>
    <w:rsid w:val="00AF7C36"/>
    <w:rsid w:val="00B13AD3"/>
    <w:rsid w:val="00B238F2"/>
    <w:rsid w:val="00B25BFA"/>
    <w:rsid w:val="00B2604B"/>
    <w:rsid w:val="00B30EF5"/>
    <w:rsid w:val="00B3178C"/>
    <w:rsid w:val="00B577C0"/>
    <w:rsid w:val="00B578E3"/>
    <w:rsid w:val="00B6384D"/>
    <w:rsid w:val="00B76635"/>
    <w:rsid w:val="00B7691B"/>
    <w:rsid w:val="00B824BF"/>
    <w:rsid w:val="00B90B88"/>
    <w:rsid w:val="00BA296F"/>
    <w:rsid w:val="00BA6B98"/>
    <w:rsid w:val="00BB0153"/>
    <w:rsid w:val="00BB110A"/>
    <w:rsid w:val="00BB1E97"/>
    <w:rsid w:val="00BB40CD"/>
    <w:rsid w:val="00BC294D"/>
    <w:rsid w:val="00BC3418"/>
    <w:rsid w:val="00BC4335"/>
    <w:rsid w:val="00BC6FD4"/>
    <w:rsid w:val="00BD39BD"/>
    <w:rsid w:val="00BD6D78"/>
    <w:rsid w:val="00BD7052"/>
    <w:rsid w:val="00BD74BC"/>
    <w:rsid w:val="00BE66E4"/>
    <w:rsid w:val="00BF102F"/>
    <w:rsid w:val="00BF4FAE"/>
    <w:rsid w:val="00C01CB5"/>
    <w:rsid w:val="00C14587"/>
    <w:rsid w:val="00C16B28"/>
    <w:rsid w:val="00C22959"/>
    <w:rsid w:val="00C241C5"/>
    <w:rsid w:val="00C4657B"/>
    <w:rsid w:val="00C5106E"/>
    <w:rsid w:val="00C51608"/>
    <w:rsid w:val="00C57369"/>
    <w:rsid w:val="00C7730B"/>
    <w:rsid w:val="00C843EF"/>
    <w:rsid w:val="00C849EC"/>
    <w:rsid w:val="00C868CD"/>
    <w:rsid w:val="00C930A5"/>
    <w:rsid w:val="00C93E47"/>
    <w:rsid w:val="00C96612"/>
    <w:rsid w:val="00CA721B"/>
    <w:rsid w:val="00CB206E"/>
    <w:rsid w:val="00CB6055"/>
    <w:rsid w:val="00CC0CE3"/>
    <w:rsid w:val="00CC1BD4"/>
    <w:rsid w:val="00CC3545"/>
    <w:rsid w:val="00CC3B80"/>
    <w:rsid w:val="00CD542D"/>
    <w:rsid w:val="00CD6492"/>
    <w:rsid w:val="00CE2FC7"/>
    <w:rsid w:val="00CE5F9A"/>
    <w:rsid w:val="00CE6275"/>
    <w:rsid w:val="00CE7026"/>
    <w:rsid w:val="00CF53CB"/>
    <w:rsid w:val="00D05568"/>
    <w:rsid w:val="00D14682"/>
    <w:rsid w:val="00D2040F"/>
    <w:rsid w:val="00D324EC"/>
    <w:rsid w:val="00D37C69"/>
    <w:rsid w:val="00D409BD"/>
    <w:rsid w:val="00D4635B"/>
    <w:rsid w:val="00D55856"/>
    <w:rsid w:val="00D60711"/>
    <w:rsid w:val="00D62656"/>
    <w:rsid w:val="00D67C5F"/>
    <w:rsid w:val="00D722B0"/>
    <w:rsid w:val="00D7577B"/>
    <w:rsid w:val="00D76DFF"/>
    <w:rsid w:val="00D8115A"/>
    <w:rsid w:val="00D87690"/>
    <w:rsid w:val="00D90DB2"/>
    <w:rsid w:val="00DD587B"/>
    <w:rsid w:val="00DD5B51"/>
    <w:rsid w:val="00DD797F"/>
    <w:rsid w:val="00DE0CE0"/>
    <w:rsid w:val="00DE2FA0"/>
    <w:rsid w:val="00DF19A9"/>
    <w:rsid w:val="00DF2DCA"/>
    <w:rsid w:val="00E015FB"/>
    <w:rsid w:val="00E020D9"/>
    <w:rsid w:val="00E117A2"/>
    <w:rsid w:val="00E20543"/>
    <w:rsid w:val="00E25249"/>
    <w:rsid w:val="00E30B6B"/>
    <w:rsid w:val="00E30FA5"/>
    <w:rsid w:val="00E3180D"/>
    <w:rsid w:val="00E343AA"/>
    <w:rsid w:val="00E403D6"/>
    <w:rsid w:val="00E41D4A"/>
    <w:rsid w:val="00E43860"/>
    <w:rsid w:val="00E43F29"/>
    <w:rsid w:val="00E46344"/>
    <w:rsid w:val="00E46EF1"/>
    <w:rsid w:val="00E510C0"/>
    <w:rsid w:val="00E60417"/>
    <w:rsid w:val="00E610A8"/>
    <w:rsid w:val="00E634C2"/>
    <w:rsid w:val="00E65794"/>
    <w:rsid w:val="00E6690C"/>
    <w:rsid w:val="00E67911"/>
    <w:rsid w:val="00E82D18"/>
    <w:rsid w:val="00E87AD1"/>
    <w:rsid w:val="00E918F0"/>
    <w:rsid w:val="00E920FF"/>
    <w:rsid w:val="00E930B1"/>
    <w:rsid w:val="00E96B82"/>
    <w:rsid w:val="00EA369C"/>
    <w:rsid w:val="00EB2089"/>
    <w:rsid w:val="00EC0AF2"/>
    <w:rsid w:val="00EE1CE5"/>
    <w:rsid w:val="00F05DD7"/>
    <w:rsid w:val="00F11820"/>
    <w:rsid w:val="00F13831"/>
    <w:rsid w:val="00F13B23"/>
    <w:rsid w:val="00F21AD4"/>
    <w:rsid w:val="00F21C0A"/>
    <w:rsid w:val="00F34EEE"/>
    <w:rsid w:val="00F41BA7"/>
    <w:rsid w:val="00F45980"/>
    <w:rsid w:val="00F474D3"/>
    <w:rsid w:val="00F47D05"/>
    <w:rsid w:val="00F5041D"/>
    <w:rsid w:val="00F545CA"/>
    <w:rsid w:val="00F61F22"/>
    <w:rsid w:val="00F62849"/>
    <w:rsid w:val="00F64CF6"/>
    <w:rsid w:val="00F64F67"/>
    <w:rsid w:val="00F661CD"/>
    <w:rsid w:val="00F703D7"/>
    <w:rsid w:val="00F75357"/>
    <w:rsid w:val="00F7759D"/>
    <w:rsid w:val="00F84807"/>
    <w:rsid w:val="00F85543"/>
    <w:rsid w:val="00F8791F"/>
    <w:rsid w:val="00F90FB8"/>
    <w:rsid w:val="00F92EF2"/>
    <w:rsid w:val="00FA0125"/>
    <w:rsid w:val="00FA08B4"/>
    <w:rsid w:val="00FA38A4"/>
    <w:rsid w:val="00FB1ED1"/>
    <w:rsid w:val="00FC045D"/>
    <w:rsid w:val="00FC0B31"/>
    <w:rsid w:val="00FC0E46"/>
    <w:rsid w:val="00FC4EF8"/>
    <w:rsid w:val="00FC5C02"/>
    <w:rsid w:val="00FD0852"/>
    <w:rsid w:val="00FD14B5"/>
    <w:rsid w:val="00FD1BC5"/>
    <w:rsid w:val="00FD4155"/>
    <w:rsid w:val="00FD4420"/>
    <w:rsid w:val="00FE4C5B"/>
    <w:rsid w:val="00FE58FB"/>
    <w:rsid w:val="00FF6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651B8"/>
  <w15:docId w15:val="{C1259958-2C73-474F-BF12-C918AC60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64F67"/>
    <w:pPr>
      <w:widowControl w:val="0"/>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4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F67"/>
    <w:rPr>
      <w:rFonts w:ascii="Tahoma" w:hAnsi="Tahoma" w:cs="Tahoma"/>
      <w:sz w:val="16"/>
      <w:szCs w:val="16"/>
    </w:rPr>
  </w:style>
  <w:style w:type="paragraph" w:styleId="Header">
    <w:name w:val="header"/>
    <w:basedOn w:val="Normal"/>
    <w:link w:val="HeaderChar"/>
    <w:uiPriority w:val="99"/>
    <w:unhideWhenUsed/>
    <w:rsid w:val="00A35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2B6"/>
    <w:rPr>
      <w:rFonts w:asciiTheme="minorHAnsi" w:hAnsiTheme="minorHAnsi" w:cstheme="minorBidi"/>
      <w:sz w:val="22"/>
      <w:szCs w:val="22"/>
    </w:rPr>
  </w:style>
  <w:style w:type="paragraph" w:styleId="Footer">
    <w:name w:val="footer"/>
    <w:basedOn w:val="Normal"/>
    <w:link w:val="FooterChar"/>
    <w:uiPriority w:val="99"/>
    <w:unhideWhenUsed/>
    <w:rsid w:val="00A35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2B6"/>
    <w:rPr>
      <w:rFonts w:asciiTheme="minorHAnsi" w:hAnsiTheme="minorHAnsi" w:cstheme="minorBidi"/>
      <w:sz w:val="22"/>
      <w:szCs w:val="22"/>
    </w:rPr>
  </w:style>
  <w:style w:type="paragraph" w:styleId="ListParagraph">
    <w:name w:val="List Paragraph"/>
    <w:basedOn w:val="Normal"/>
    <w:uiPriority w:val="34"/>
    <w:qFormat/>
    <w:rsid w:val="00BD6D78"/>
    <w:pPr>
      <w:ind w:left="720"/>
      <w:contextualSpacing/>
    </w:pPr>
  </w:style>
  <w:style w:type="table" w:styleId="TableGrid">
    <w:name w:val="Table Grid"/>
    <w:basedOn w:val="TableNormal"/>
    <w:uiPriority w:val="59"/>
    <w:rsid w:val="004E6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0E87"/>
    <w:rPr>
      <w:sz w:val="16"/>
      <w:szCs w:val="16"/>
    </w:rPr>
  </w:style>
  <w:style w:type="paragraph" w:styleId="CommentText">
    <w:name w:val="annotation text"/>
    <w:basedOn w:val="Normal"/>
    <w:link w:val="CommentTextChar"/>
    <w:uiPriority w:val="99"/>
    <w:semiHidden/>
    <w:unhideWhenUsed/>
    <w:rsid w:val="00420E87"/>
    <w:pPr>
      <w:spacing w:line="240" w:lineRule="auto"/>
    </w:pPr>
    <w:rPr>
      <w:sz w:val="20"/>
      <w:szCs w:val="20"/>
    </w:rPr>
  </w:style>
  <w:style w:type="character" w:customStyle="1" w:styleId="CommentTextChar">
    <w:name w:val="Comment Text Char"/>
    <w:basedOn w:val="DefaultParagraphFont"/>
    <w:link w:val="CommentText"/>
    <w:uiPriority w:val="99"/>
    <w:semiHidden/>
    <w:rsid w:val="00420E87"/>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420E87"/>
    <w:rPr>
      <w:b/>
      <w:bCs/>
    </w:rPr>
  </w:style>
  <w:style w:type="character" w:customStyle="1" w:styleId="CommentSubjectChar">
    <w:name w:val="Comment Subject Char"/>
    <w:basedOn w:val="CommentTextChar"/>
    <w:link w:val="CommentSubject"/>
    <w:uiPriority w:val="99"/>
    <w:semiHidden/>
    <w:rsid w:val="00420E87"/>
    <w:rPr>
      <w:rFonts w:asciiTheme="minorHAnsi" w:hAnsiTheme="minorHAnsi" w:cstheme="minorBidi"/>
      <w:b/>
      <w:bCs/>
      <w:sz w:val="20"/>
      <w:szCs w:val="20"/>
    </w:rPr>
  </w:style>
  <w:style w:type="character" w:styleId="Hyperlink">
    <w:name w:val="Hyperlink"/>
    <w:basedOn w:val="DefaultParagraphFont"/>
    <w:uiPriority w:val="99"/>
    <w:unhideWhenUsed/>
    <w:rsid w:val="00D60711"/>
    <w:rPr>
      <w:color w:val="0000FF" w:themeColor="hyperlink"/>
      <w:u w:val="single"/>
    </w:rPr>
  </w:style>
  <w:style w:type="paragraph" w:styleId="Revision">
    <w:name w:val="Revision"/>
    <w:hidden/>
    <w:uiPriority w:val="99"/>
    <w:semiHidden/>
    <w:rsid w:val="00465454"/>
    <w:pPr>
      <w:spacing w:after="0" w:line="240" w:lineRule="auto"/>
    </w:pPr>
    <w:rPr>
      <w:rFonts w:asciiTheme="minorHAnsi" w:hAnsiTheme="minorHAnsi" w:cstheme="minorBidi"/>
      <w:sz w:val="22"/>
      <w:szCs w:val="22"/>
    </w:rPr>
  </w:style>
  <w:style w:type="paragraph" w:styleId="FootnoteText">
    <w:name w:val="footnote text"/>
    <w:basedOn w:val="Normal"/>
    <w:link w:val="FootnoteTextChar"/>
    <w:uiPriority w:val="99"/>
    <w:unhideWhenUsed/>
    <w:rsid w:val="000C067F"/>
    <w:pPr>
      <w:widowControl/>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0C067F"/>
    <w:rPr>
      <w:rFonts w:eastAsia="Calibri"/>
      <w:sz w:val="20"/>
      <w:szCs w:val="20"/>
    </w:rPr>
  </w:style>
  <w:style w:type="character" w:styleId="FootnoteReference">
    <w:name w:val="footnote reference"/>
    <w:basedOn w:val="DefaultParagraphFont"/>
    <w:uiPriority w:val="99"/>
    <w:semiHidden/>
    <w:unhideWhenUsed/>
    <w:rsid w:val="000C067F"/>
    <w:rPr>
      <w:vertAlign w:val="superscript"/>
    </w:rPr>
  </w:style>
  <w:style w:type="paragraph" w:customStyle="1" w:styleId="Default">
    <w:name w:val="Default"/>
    <w:rsid w:val="00797C4F"/>
    <w:pPr>
      <w:autoSpaceDE w:val="0"/>
      <w:autoSpaceDN w:val="0"/>
      <w:adjustRightInd w:val="0"/>
      <w:spacing w:after="0" w:line="240"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4936">
      <w:bodyDiv w:val="1"/>
      <w:marLeft w:val="0"/>
      <w:marRight w:val="0"/>
      <w:marTop w:val="0"/>
      <w:marBottom w:val="0"/>
      <w:divBdr>
        <w:top w:val="none" w:sz="0" w:space="0" w:color="auto"/>
        <w:left w:val="none" w:sz="0" w:space="0" w:color="auto"/>
        <w:bottom w:val="none" w:sz="0" w:space="0" w:color="auto"/>
        <w:right w:val="none" w:sz="0" w:space="0" w:color="auto"/>
      </w:divBdr>
    </w:div>
    <w:div w:id="397750073">
      <w:bodyDiv w:val="1"/>
      <w:marLeft w:val="0"/>
      <w:marRight w:val="0"/>
      <w:marTop w:val="0"/>
      <w:marBottom w:val="0"/>
      <w:divBdr>
        <w:top w:val="none" w:sz="0" w:space="0" w:color="auto"/>
        <w:left w:val="none" w:sz="0" w:space="0" w:color="auto"/>
        <w:bottom w:val="none" w:sz="0" w:space="0" w:color="auto"/>
        <w:right w:val="none" w:sz="0" w:space="0" w:color="auto"/>
      </w:divBdr>
    </w:div>
    <w:div w:id="5614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cec.nr0.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85C56-D1ED-4A44-B232-3498991E1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12018</Words>
  <Characters>68503</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80361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Meffert</dc:creator>
  <cp:lastModifiedBy>AA</cp:lastModifiedBy>
  <cp:revision>2</cp:revision>
  <cp:lastPrinted>2019-07-29T20:43:00Z</cp:lastPrinted>
  <dcterms:created xsi:type="dcterms:W3CDTF">2020-07-30T12:47:00Z</dcterms:created>
  <dcterms:modified xsi:type="dcterms:W3CDTF">2020-07-30T12:47:00Z</dcterms:modified>
</cp:coreProperties>
</file>