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CE1" w:rsidP="00E208F7" w:rsidRDefault="009C4CE1" w14:paraId="35564DFF" w14:textId="77777777">
      <w:pPr>
        <w:tabs>
          <w:tab w:val="center" w:pos="4680"/>
        </w:tabs>
        <w:jc w:val="center"/>
        <w:rPr>
          <w:b/>
          <w:szCs w:val="24"/>
        </w:rPr>
      </w:pPr>
      <w:r w:rsidRPr="00600EEB">
        <w:rPr>
          <w:b/>
          <w:szCs w:val="24"/>
        </w:rPr>
        <w:t xml:space="preserve">Supporting Statement </w:t>
      </w:r>
      <w:r w:rsidR="0085555B">
        <w:rPr>
          <w:b/>
          <w:szCs w:val="24"/>
        </w:rPr>
        <w:t xml:space="preserve">A </w:t>
      </w:r>
    </w:p>
    <w:p w:rsidR="009F4DB5" w:rsidP="009F4DB5" w:rsidRDefault="009F4DB5" w14:paraId="4AFAEE34" w14:textId="77777777">
      <w:pPr>
        <w:tabs>
          <w:tab w:val="left" w:pos="360"/>
          <w:tab w:val="left" w:pos="720"/>
        </w:tabs>
        <w:jc w:val="center"/>
        <w:rPr>
          <w:b/>
        </w:rPr>
      </w:pPr>
      <w:r>
        <w:rPr>
          <w:b/>
        </w:rPr>
        <w:t>30 CFR 250, Subpart M, Unitization</w:t>
      </w:r>
    </w:p>
    <w:p w:rsidRPr="00A22279" w:rsidR="00A22279" w:rsidP="00A22279" w:rsidRDefault="00A22279" w14:paraId="17910E12" w14:textId="77777777">
      <w:pPr>
        <w:tabs>
          <w:tab w:val="center" w:pos="4680"/>
        </w:tabs>
        <w:jc w:val="center"/>
        <w:rPr>
          <w:b/>
          <w:szCs w:val="24"/>
        </w:rPr>
      </w:pPr>
      <w:r w:rsidRPr="00A22279">
        <w:rPr>
          <w:b/>
          <w:szCs w:val="24"/>
        </w:rPr>
        <w:t>OMB Control Number 1014-0015</w:t>
      </w:r>
    </w:p>
    <w:p w:rsidR="00A22279" w:rsidP="00A22279" w:rsidRDefault="00A22279" w14:paraId="32D57F76" w14:textId="77777777">
      <w:pPr>
        <w:tabs>
          <w:tab w:val="center" w:pos="4680"/>
        </w:tabs>
        <w:jc w:val="center"/>
        <w:rPr>
          <w:b/>
          <w:szCs w:val="24"/>
        </w:rPr>
      </w:pPr>
      <w:r w:rsidRPr="00A22279">
        <w:rPr>
          <w:b/>
          <w:szCs w:val="24"/>
        </w:rPr>
        <w:t xml:space="preserve">Current Expiration Date: </w:t>
      </w:r>
      <w:r w:rsidR="00AD14E3">
        <w:rPr>
          <w:b/>
          <w:szCs w:val="24"/>
        </w:rPr>
        <w:t>January</w:t>
      </w:r>
      <w:r w:rsidR="0016455F">
        <w:rPr>
          <w:b/>
          <w:szCs w:val="24"/>
        </w:rPr>
        <w:t xml:space="preserve"> 31, 20</w:t>
      </w:r>
      <w:r w:rsidR="00AD14E3">
        <w:rPr>
          <w:b/>
          <w:szCs w:val="24"/>
        </w:rPr>
        <w:t>21</w:t>
      </w:r>
    </w:p>
    <w:p w:rsidR="000666EA" w:rsidP="00E208F7" w:rsidRDefault="000666EA" w14:paraId="4387B12D" w14:textId="77777777">
      <w:pPr>
        <w:tabs>
          <w:tab w:val="left" w:pos="360"/>
          <w:tab w:val="left" w:pos="720"/>
        </w:tabs>
        <w:jc w:val="center"/>
        <w:rPr>
          <w:b/>
        </w:rPr>
      </w:pPr>
    </w:p>
    <w:p w:rsidRPr="00290398" w:rsidR="00264726" w:rsidP="00290398" w:rsidRDefault="000666EA" w14:paraId="47A4E6FC" w14:textId="77777777">
      <w:pPr>
        <w:tabs>
          <w:tab w:val="left" w:pos="360"/>
          <w:tab w:val="left" w:pos="720"/>
        </w:tabs>
      </w:pPr>
      <w:r w:rsidRPr="000666EA">
        <w:rPr>
          <w:rFonts w:ascii="Arial" w:hAnsi="Arial" w:cs="Arial"/>
          <w:b/>
          <w:sz w:val="22"/>
          <w:szCs w:val="22"/>
        </w:rPr>
        <w:t>Terms of Clearance</w:t>
      </w:r>
      <w:r w:rsidR="00290398">
        <w:rPr>
          <w:rFonts w:ascii="Arial" w:hAnsi="Arial" w:cs="Arial"/>
          <w:b/>
          <w:sz w:val="22"/>
          <w:szCs w:val="22"/>
        </w:rPr>
        <w:t>:</w:t>
      </w:r>
      <w:r w:rsidRPr="000666EA">
        <w:rPr>
          <w:rFonts w:ascii="Arial" w:hAnsi="Arial" w:cs="Arial"/>
          <w:b/>
          <w:sz w:val="22"/>
          <w:szCs w:val="22"/>
        </w:rPr>
        <w:t xml:space="preserve">  </w:t>
      </w:r>
      <w:r w:rsidRPr="00290398" w:rsidR="00290398">
        <w:rPr>
          <w:sz w:val="22"/>
          <w:szCs w:val="22"/>
        </w:rPr>
        <w:t>None</w:t>
      </w:r>
    </w:p>
    <w:p w:rsidR="001703F4" w:rsidP="00264726" w:rsidRDefault="00264726" w14:paraId="1C3E3102" w14:textId="77777777">
      <w:pPr>
        <w:tabs>
          <w:tab w:val="left" w:pos="360"/>
          <w:tab w:val="left" w:pos="720"/>
        </w:tabs>
        <w:rPr>
          <w:b/>
        </w:rPr>
      </w:pPr>
      <w:r>
        <w:t xml:space="preserve">  </w:t>
      </w:r>
    </w:p>
    <w:p w:rsidR="009C4CE1" w:rsidP="00E208F7" w:rsidRDefault="009C4CE1" w14:paraId="18EADCF1" w14:textId="77777777">
      <w:pPr>
        <w:tabs>
          <w:tab w:val="center" w:pos="4680"/>
        </w:tabs>
        <w:rPr>
          <w:rFonts w:ascii="Arial" w:hAnsi="Arial" w:cs="Arial"/>
          <w:b/>
          <w:sz w:val="22"/>
          <w:szCs w:val="22"/>
        </w:rPr>
      </w:pPr>
      <w:r w:rsidRPr="00F362C3">
        <w:rPr>
          <w:rFonts w:ascii="Arial" w:hAnsi="Arial" w:cs="Arial"/>
          <w:b/>
          <w:sz w:val="22"/>
          <w:szCs w:val="22"/>
        </w:rPr>
        <w:t>General Instructions</w:t>
      </w:r>
    </w:p>
    <w:p w:rsidR="009C4CE1" w:rsidP="00E208F7" w:rsidRDefault="009C4CE1" w14:paraId="052ABA68" w14:textId="77777777">
      <w:pPr>
        <w:tabs>
          <w:tab w:val="center" w:pos="4680"/>
        </w:tabs>
        <w:rPr>
          <w:b/>
        </w:rPr>
      </w:pPr>
    </w:p>
    <w:p w:rsidRPr="0085555B" w:rsidR="0085555B" w:rsidP="0085555B" w:rsidRDefault="0085555B" w14:paraId="533DEBBE" w14:textId="77777777">
      <w:pPr>
        <w:tabs>
          <w:tab w:val="center" w:pos="4680"/>
        </w:tabs>
      </w:pPr>
      <w:r w:rsidRPr="0085555B">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85555B" w:rsidP="00E208F7" w:rsidRDefault="0085555B" w14:paraId="0989A833" w14:textId="77777777">
      <w:pPr>
        <w:tabs>
          <w:tab w:val="center" w:pos="4680"/>
        </w:tabs>
        <w:rPr>
          <w:rFonts w:ascii="Arial" w:hAnsi="Arial" w:cs="Arial"/>
          <w:b/>
          <w:sz w:val="22"/>
          <w:szCs w:val="22"/>
        </w:rPr>
      </w:pPr>
    </w:p>
    <w:p w:rsidRPr="00F362C3" w:rsidR="009C4CE1" w:rsidP="00E208F7" w:rsidRDefault="009C4CE1" w14:paraId="01066DA5" w14:textId="77777777">
      <w:pPr>
        <w:tabs>
          <w:tab w:val="center" w:pos="4680"/>
        </w:tabs>
        <w:rPr>
          <w:rFonts w:ascii="Arial" w:hAnsi="Arial" w:cs="Arial"/>
          <w:b/>
          <w:sz w:val="22"/>
          <w:szCs w:val="22"/>
        </w:rPr>
      </w:pPr>
      <w:r w:rsidRPr="00F362C3">
        <w:rPr>
          <w:rFonts w:ascii="Arial" w:hAnsi="Arial" w:cs="Arial"/>
          <w:b/>
          <w:sz w:val="22"/>
          <w:szCs w:val="22"/>
        </w:rPr>
        <w:t>Specific Instructions</w:t>
      </w:r>
    </w:p>
    <w:p w:rsidR="009C4CE1" w:rsidP="00E208F7" w:rsidRDefault="009C4CE1" w14:paraId="6EA9007F" w14:textId="77777777">
      <w:pPr>
        <w:tabs>
          <w:tab w:val="center" w:pos="4680"/>
        </w:tabs>
        <w:rPr>
          <w:b/>
        </w:rPr>
      </w:pPr>
    </w:p>
    <w:p w:rsidR="009C4CE1" w:rsidP="00E208F7" w:rsidRDefault="009C4CE1" w14:paraId="6484F2C2" w14:textId="77777777">
      <w:pPr>
        <w:tabs>
          <w:tab w:val="left" w:pos="-1080"/>
          <w:tab w:val="left" w:pos="-720"/>
          <w:tab w:val="left" w:pos="360"/>
          <w:tab w:val="left" w:pos="720"/>
        </w:tabs>
        <w:rPr>
          <w:b/>
          <w:u w:val="single"/>
        </w:rPr>
      </w:pPr>
      <w:r w:rsidRPr="00EB51C3">
        <w:rPr>
          <w:b/>
          <w:u w:val="single"/>
        </w:rPr>
        <w:t>Justification</w:t>
      </w:r>
    </w:p>
    <w:p w:rsidRPr="00EB51C3" w:rsidR="009C4CE1" w:rsidP="00E208F7" w:rsidRDefault="009C4CE1" w14:paraId="5B61F423" w14:textId="77777777">
      <w:pPr>
        <w:tabs>
          <w:tab w:val="left" w:pos="-1080"/>
          <w:tab w:val="left" w:pos="-720"/>
          <w:tab w:val="left" w:pos="360"/>
          <w:tab w:val="left" w:pos="720"/>
        </w:tabs>
      </w:pPr>
    </w:p>
    <w:p w:rsidR="009C4CE1" w:rsidP="00E208F7" w:rsidRDefault="009C4CE1" w14:paraId="57DFBFA0" w14:textId="77777777">
      <w:pPr>
        <w:tabs>
          <w:tab w:val="left" w:pos="-1080"/>
          <w:tab w:val="left" w:pos="-720"/>
          <w:tab w:val="left" w:pos="360"/>
          <w:tab w:val="left" w:pos="720"/>
        </w:tabs>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1703F4" w:rsidP="00E208F7" w:rsidRDefault="001703F4" w14:paraId="3DC73FF5" w14:textId="77777777">
      <w:pPr>
        <w:tabs>
          <w:tab w:val="left" w:pos="360"/>
          <w:tab w:val="left" w:pos="720"/>
        </w:tabs>
      </w:pPr>
    </w:p>
    <w:p w:rsidR="001703F4" w:rsidP="00E208F7" w:rsidRDefault="0004481D" w14:paraId="1FED63E3" w14:textId="77777777">
      <w:pPr>
        <w:tabs>
          <w:tab w:val="left" w:pos="360"/>
          <w:tab w:val="left" w:pos="720"/>
        </w:tabs>
      </w:pPr>
      <w:bookmarkStart w:name="OLE_LINK5" w:id="0"/>
      <w:bookmarkStart w:name="OLE_LINK6" w:id="1"/>
      <w:r w:rsidRPr="0004481D">
        <w:t xml:space="preserve">The Outer Continental Shelf (OCS) Lands Act (OCSLA) 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r w:rsidR="001703F4">
        <w:t>Section 1334(a) specifies that the Secretary “provide for the prevention of waste and conservation of the natural resources of the [O]</w:t>
      </w:r>
      <w:proofErr w:type="spellStart"/>
      <w:r w:rsidR="001703F4">
        <w:t>uter</w:t>
      </w:r>
      <w:proofErr w:type="spellEnd"/>
      <w:r w:rsidR="001703F4">
        <w:t xml:space="preserve"> Continental Shelf, and the protection of correlative rights therein” and include provisions for “unitization, pooling, and drilling agreements.” </w:t>
      </w:r>
    </w:p>
    <w:p w:rsidR="00AB2DBE" w:rsidP="00E208F7" w:rsidRDefault="00AB2DBE" w14:paraId="711DB2AF" w14:textId="77777777">
      <w:pPr>
        <w:tabs>
          <w:tab w:val="left" w:pos="360"/>
          <w:tab w:val="left" w:pos="720"/>
        </w:tabs>
      </w:pPr>
    </w:p>
    <w:p w:rsidR="004715B7" w:rsidP="00290398" w:rsidRDefault="0004481D" w14:paraId="1B5CDEC2" w14:textId="300DC482">
      <w:pPr>
        <w:widowControl/>
        <w:tabs>
          <w:tab w:val="left" w:pos="360"/>
          <w:tab w:val="left" w:pos="720"/>
          <w:tab w:val="left" w:pos="1080"/>
        </w:tabs>
      </w:pPr>
      <w:r w:rsidRPr="0004481D">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the Bureau </w:t>
      </w:r>
      <w:r w:rsidRPr="0004481D">
        <w:lastRenderedPageBreak/>
        <w:t xml:space="preserve">of Safety and Environmental Enforcement (BSEE), 30 U.S.C. 1751 is included as additional authority for these </w:t>
      </w:r>
      <w:r w:rsidRPr="0004481D" w:rsidR="00EE503F">
        <w:t>requirements.</w:t>
      </w:r>
    </w:p>
    <w:p w:rsidR="00290398" w:rsidP="00290398" w:rsidRDefault="00290398" w14:paraId="54DA83A1" w14:textId="77777777">
      <w:pPr>
        <w:widowControl/>
        <w:tabs>
          <w:tab w:val="left" w:pos="360"/>
          <w:tab w:val="left" w:pos="720"/>
          <w:tab w:val="left" w:pos="1080"/>
        </w:tabs>
      </w:pPr>
    </w:p>
    <w:p w:rsidR="00290398" w:rsidP="00290398" w:rsidRDefault="004715B7" w14:paraId="5DF89872" w14:textId="77777777">
      <w:pPr>
        <w:widowControl/>
        <w:tabs>
          <w:tab w:val="left" w:pos="360"/>
          <w:tab w:val="left" w:pos="720"/>
          <w:tab w:val="left" w:pos="1080"/>
        </w:tabs>
      </w:pPr>
      <w:r w:rsidRPr="004715B7">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implementing policy, BSEE is required to charge fees for services that provide special benefits or privileges to an identifiable non-Federal recipient above and beyond those which accrue to the public at large.  </w:t>
      </w:r>
      <w:r w:rsidR="00B20F5E">
        <w:t>Voluntary or revised unitization requests are required in S</w:t>
      </w:r>
      <w:r w:rsidR="00290398">
        <w:t xml:space="preserve">ubpart </w:t>
      </w:r>
      <w:r w:rsidR="00B20F5E">
        <w:t>M and are</w:t>
      </w:r>
      <w:r w:rsidR="00290398">
        <w:t xml:space="preserve"> subject to cost recovery</w:t>
      </w:r>
      <w:r w:rsidR="00B20F5E">
        <w:t xml:space="preserve">; </w:t>
      </w:r>
      <w:r w:rsidR="00290398">
        <w:t xml:space="preserve">BSEE regulations specify service fees for these requests.  </w:t>
      </w:r>
    </w:p>
    <w:p w:rsidR="00290398" w:rsidP="00290398" w:rsidRDefault="00290398" w14:paraId="24FD28E7" w14:textId="77777777">
      <w:pPr>
        <w:widowControl/>
        <w:tabs>
          <w:tab w:val="left" w:pos="360"/>
          <w:tab w:val="left" w:pos="720"/>
          <w:tab w:val="left" w:pos="1080"/>
        </w:tabs>
      </w:pPr>
    </w:p>
    <w:p w:rsidRPr="004715B7" w:rsidR="004715B7" w:rsidP="004715B7" w:rsidRDefault="004715B7" w14:paraId="1F16F771" w14:textId="77777777">
      <w:r w:rsidRPr="004715B7">
        <w:t xml:space="preserve">The Federal Water Pollution Control Act (33 U.S.C. 1331(j)(1)(C)) authorizes the President to adopt regulations that establish procedures, methods and equipment requirements to prevent oil spills and other hazardous substance discharges from offshore and other facilities. The regulatory authority for offshore facilities has been delegated to the Secretary and further delegated by the Secretary to BSEE. </w:t>
      </w:r>
    </w:p>
    <w:p w:rsidR="004715B7" w:rsidP="00290398" w:rsidRDefault="004715B7" w14:paraId="4F1F7581" w14:textId="77777777">
      <w:pPr>
        <w:widowControl/>
        <w:tabs>
          <w:tab w:val="left" w:pos="360"/>
          <w:tab w:val="left" w:pos="720"/>
          <w:tab w:val="left" w:pos="1080"/>
        </w:tabs>
      </w:pPr>
    </w:p>
    <w:p w:rsidR="001703F4" w:rsidP="00290398" w:rsidRDefault="00290398" w14:paraId="04EBAC56" w14:textId="77777777">
      <w:pPr>
        <w:widowControl/>
        <w:tabs>
          <w:tab w:val="left" w:pos="360"/>
          <w:tab w:val="left" w:pos="720"/>
          <w:tab w:val="left" w:pos="1080"/>
        </w:tabs>
      </w:pPr>
      <w:r>
        <w:t xml:space="preserve">This authority and responsibility are among those delegated to BSEE.  The regulations at 30 CFR 250, Subpart M, concern the regulatory requirements relating to </w:t>
      </w:r>
      <w:r w:rsidR="00B20F5E">
        <w:t>u</w:t>
      </w:r>
      <w:r>
        <w:t xml:space="preserve">nitization on the OCS and are the subject of this collection.  </w:t>
      </w:r>
      <w:bookmarkEnd w:id="0"/>
      <w:bookmarkEnd w:id="1"/>
      <w:r w:rsidRPr="0004481D" w:rsidR="0004481D">
        <w:t xml:space="preserve">This request also covers any related Notices to Lessees and Operators (NTLs) that BSEE issues to clarify, supplement, or provide additional guidance on some aspects of our regulations.  </w:t>
      </w:r>
    </w:p>
    <w:p w:rsidR="001703F4" w:rsidP="00E208F7" w:rsidRDefault="001703F4" w14:paraId="603F03E1" w14:textId="77777777">
      <w:pPr>
        <w:tabs>
          <w:tab w:val="left" w:pos="360"/>
          <w:tab w:val="left" w:pos="720"/>
        </w:tabs>
      </w:pPr>
    </w:p>
    <w:p w:rsidR="009C4CE1" w:rsidP="00E208F7" w:rsidRDefault="009C4CE1" w14:paraId="6C84C81F" w14:textId="77777777">
      <w:pPr>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w:t>
      </w:r>
      <w:r w:rsidR="0085555B">
        <w:rPr>
          <w:b/>
          <w:i/>
        </w:rPr>
        <w:t xml:space="preserve"> from the current collection.  </w:t>
      </w:r>
      <w:r w:rsidRPr="00600EEB">
        <w:rPr>
          <w:b/>
          <w:i/>
        </w:rPr>
        <w:t>Be specific.  If this collection is a form or a questionnaire, every question needs to be justified.</w:t>
      </w:r>
      <w:r w:rsidRPr="00600EEB">
        <w:rPr>
          <w:i/>
        </w:rPr>
        <w:t xml:space="preserve"> </w:t>
      </w:r>
    </w:p>
    <w:p w:rsidRPr="00600EEB" w:rsidR="002D772E" w:rsidP="00E208F7" w:rsidRDefault="002D772E" w14:paraId="3CFE30FE" w14:textId="77777777">
      <w:pPr>
        <w:tabs>
          <w:tab w:val="left" w:pos="-1080"/>
          <w:tab w:val="left" w:pos="-720"/>
          <w:tab w:val="left" w:pos="360"/>
          <w:tab w:val="left" w:pos="720"/>
        </w:tabs>
        <w:rPr>
          <w:i/>
        </w:rPr>
      </w:pPr>
    </w:p>
    <w:p w:rsidR="00024141" w:rsidP="00E208F7" w:rsidRDefault="004B6867" w14:paraId="7EAA511E" w14:textId="77777777">
      <w:pPr>
        <w:tabs>
          <w:tab w:val="left" w:pos="360"/>
          <w:tab w:val="left" w:pos="720"/>
        </w:tabs>
      </w:pPr>
      <w:r>
        <w:t>B</w:t>
      </w:r>
      <w:r w:rsidR="00290398">
        <w:t>SEE</w:t>
      </w:r>
      <w:r w:rsidR="001703F4">
        <w:t xml:space="preserve"> must approve any lessee’s proposal to enter an agreement to unitize operations under two or more leases</w:t>
      </w:r>
      <w:r w:rsidR="00850E1F">
        <w:t xml:space="preserve"> and for modifications when warranted</w:t>
      </w:r>
      <w:r w:rsidR="001703F4">
        <w:t xml:space="preserve">.  We use the information to ensure that operations under the proposed unit agreement will result in preventing waste, conserving natural resources, and protecting correlative rights including the government’s interests.  </w:t>
      </w:r>
    </w:p>
    <w:p w:rsidR="00850E1F" w:rsidP="00E208F7" w:rsidRDefault="00850E1F" w14:paraId="66F6EBB9" w14:textId="77777777">
      <w:pPr>
        <w:tabs>
          <w:tab w:val="left" w:pos="360"/>
          <w:tab w:val="left" w:pos="720"/>
        </w:tabs>
      </w:pPr>
    </w:p>
    <w:p w:rsidRPr="00600EEB" w:rsidR="009C4CE1" w:rsidP="00E208F7" w:rsidRDefault="009C4CE1" w14:paraId="29BE13EA" w14:textId="77777777">
      <w:pPr>
        <w:tabs>
          <w:tab w:val="left" w:pos="-1080"/>
          <w:tab w:val="left" w:pos="-720"/>
          <w:tab w:val="left" w:pos="360"/>
          <w:tab w:val="left" w:pos="720"/>
        </w:tabs>
        <w:rPr>
          <w:i/>
        </w:rPr>
      </w:pPr>
      <w:r w:rsidRPr="00600EEB">
        <w:rPr>
          <w:b/>
          <w:i/>
        </w:rPr>
        <w:t>3.</w:t>
      </w:r>
      <w:r w:rsidRPr="00600EEB">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85555B">
        <w:rPr>
          <w:b/>
          <w:i/>
        </w:rPr>
        <w:t xml:space="preserve">on technology to reduce burden </w:t>
      </w:r>
      <w:r w:rsidRPr="00600EEB">
        <w:rPr>
          <w:b/>
          <w:i/>
        </w:rPr>
        <w:t>and specifically how this col</w:t>
      </w:r>
      <w:r w:rsidR="0085555B">
        <w:rPr>
          <w:b/>
          <w:i/>
        </w:rPr>
        <w:t>lection meets GPEA requirements</w:t>
      </w:r>
      <w:r w:rsidRPr="00600EEB">
        <w:rPr>
          <w:b/>
          <w:i/>
        </w:rPr>
        <w:t xml:space="preserve">. </w:t>
      </w:r>
      <w:r w:rsidRPr="00600EEB">
        <w:rPr>
          <w:i/>
        </w:rPr>
        <w:t xml:space="preserve"> </w:t>
      </w:r>
    </w:p>
    <w:p w:rsidR="009C4CE1" w:rsidP="00E208F7" w:rsidRDefault="009C4CE1" w14:paraId="7C0ECD93" w14:textId="77777777">
      <w:pPr>
        <w:tabs>
          <w:tab w:val="left" w:pos="-1080"/>
          <w:tab w:val="left" w:pos="-720"/>
          <w:tab w:val="left" w:pos="360"/>
          <w:tab w:val="left" w:pos="720"/>
        </w:tabs>
      </w:pPr>
    </w:p>
    <w:p w:rsidRPr="003777FE" w:rsidR="00C63C57" w:rsidP="00E208F7" w:rsidRDefault="00380A47" w14:paraId="5EF16AE0" w14:textId="4716CA68">
      <w:pPr>
        <w:tabs>
          <w:tab w:val="left" w:pos="-1080"/>
          <w:tab w:val="left" w:pos="-720"/>
          <w:tab w:val="left" w:pos="360"/>
          <w:tab w:val="left" w:pos="720"/>
        </w:tabs>
      </w:pPr>
      <w:r w:rsidRPr="003777FE">
        <w:t xml:space="preserve">Beginning FY 20, through the implementation of </w:t>
      </w:r>
      <w:proofErr w:type="spellStart"/>
      <w:r w:rsidRPr="003777FE">
        <w:t>TIMsWeb</w:t>
      </w:r>
      <w:proofErr w:type="spellEnd"/>
      <w:r w:rsidRPr="003777FE">
        <w:t xml:space="preserve">, </w:t>
      </w:r>
      <w:r w:rsidR="005704BF">
        <w:t>90 percent of</w:t>
      </w:r>
      <w:r w:rsidRPr="003777FE">
        <w:t xml:space="preserve"> operators are utilizing electronic submission for unitization submittals and are currently strongly encouraged to utilize </w:t>
      </w:r>
      <w:proofErr w:type="spellStart"/>
      <w:r w:rsidRPr="003777FE">
        <w:t>TIMsWeb</w:t>
      </w:r>
      <w:proofErr w:type="spellEnd"/>
      <w:r w:rsidRPr="003777FE">
        <w:t xml:space="preserve"> for electronic submissions during the COVID-19 pandemic and going forward.</w:t>
      </w:r>
    </w:p>
    <w:p w:rsidRPr="003777FE" w:rsidR="00B76EE8" w:rsidP="00E208F7" w:rsidRDefault="00B76EE8" w14:paraId="6E9DF18F" w14:textId="77777777">
      <w:pPr>
        <w:tabs>
          <w:tab w:val="left" w:pos="-1080"/>
          <w:tab w:val="left" w:pos="-720"/>
          <w:tab w:val="left" w:pos="360"/>
          <w:tab w:val="left" w:pos="720"/>
        </w:tabs>
      </w:pPr>
    </w:p>
    <w:p w:rsidRPr="00600EEB" w:rsidR="009C4CE1" w:rsidP="00E208F7" w:rsidRDefault="009C4CE1" w14:paraId="3C48E127" w14:textId="77777777">
      <w:pPr>
        <w:tabs>
          <w:tab w:val="left" w:pos="-1080"/>
          <w:tab w:val="left" w:pos="-720"/>
          <w:tab w:val="left" w:pos="360"/>
          <w:tab w:val="left" w:pos="720"/>
        </w:tabs>
        <w:rPr>
          <w:b/>
          <w:i/>
        </w:rPr>
      </w:pPr>
      <w:r w:rsidRPr="00600EEB">
        <w:rPr>
          <w:b/>
          <w:i/>
        </w:rPr>
        <w:t>4.</w:t>
      </w:r>
      <w:r w:rsidRPr="00600EEB">
        <w:rPr>
          <w:b/>
          <w:i/>
        </w:rPr>
        <w:tab/>
        <w:t xml:space="preserve">Describe efforts to identify duplication.  Show specifically why any similar information already available cannot be used or modified for use for the purposes described in Item 2 above.  </w:t>
      </w:r>
    </w:p>
    <w:p w:rsidR="009C4CE1" w:rsidP="00E208F7" w:rsidRDefault="009C4CE1" w14:paraId="52F265B7" w14:textId="77777777">
      <w:pPr>
        <w:tabs>
          <w:tab w:val="left" w:pos="360"/>
          <w:tab w:val="left" w:pos="720"/>
        </w:tabs>
        <w:rPr>
          <w:b/>
        </w:rPr>
      </w:pPr>
    </w:p>
    <w:p w:rsidR="001703F4" w:rsidP="00E208F7" w:rsidRDefault="001703F4" w14:paraId="38350170" w14:textId="77777777">
      <w:pPr>
        <w:tabs>
          <w:tab w:val="left" w:pos="360"/>
          <w:tab w:val="left" w:pos="720"/>
        </w:tabs>
      </w:pPr>
      <w:r>
        <w:t>Each unit proposal is unique to two or more specific leases, and there is no duplication.  Other</w:t>
      </w:r>
      <w:r w:rsidR="00552ED1">
        <w:t xml:space="preserve"> Federal departments/</w:t>
      </w:r>
      <w:r>
        <w:t>agencies are not involved with the unitization of operations on OCS leases.</w:t>
      </w:r>
    </w:p>
    <w:p w:rsidR="001703F4" w:rsidP="00E208F7" w:rsidRDefault="001703F4" w14:paraId="6484E500" w14:textId="77777777">
      <w:pPr>
        <w:tabs>
          <w:tab w:val="left" w:pos="360"/>
          <w:tab w:val="left" w:pos="720"/>
        </w:tabs>
      </w:pPr>
    </w:p>
    <w:p w:rsidRPr="00600EEB" w:rsidR="009C4CE1" w:rsidP="00E208F7" w:rsidRDefault="009C4CE1" w14:paraId="59521D7F" w14:textId="77777777">
      <w:pPr>
        <w:tabs>
          <w:tab w:val="left" w:pos="-1080"/>
          <w:tab w:val="left" w:pos="-720"/>
          <w:tab w:val="left" w:pos="360"/>
          <w:tab w:val="left" w:pos="720"/>
        </w:tabs>
        <w:rPr>
          <w:i/>
        </w:rPr>
      </w:pPr>
      <w:r w:rsidRPr="00600EEB">
        <w:rPr>
          <w:b/>
          <w:i/>
        </w:rPr>
        <w:lastRenderedPageBreak/>
        <w:t>5.</w:t>
      </w:r>
      <w:r w:rsidRPr="00600EEB">
        <w:rPr>
          <w:b/>
          <w:i/>
        </w:rPr>
        <w:tab/>
        <w:t xml:space="preserve">If the collection of information impacts </w:t>
      </w:r>
      <w:r w:rsidR="006646E3">
        <w:rPr>
          <w:b/>
          <w:i/>
        </w:rPr>
        <w:t>small businesses or other small</w:t>
      </w:r>
      <w:r w:rsidRPr="00600EEB">
        <w:rPr>
          <w:b/>
          <w:i/>
        </w:rPr>
        <w:t xml:space="preserve">, describe any methods used to minimize burden. </w:t>
      </w:r>
      <w:r w:rsidRPr="00600EEB">
        <w:rPr>
          <w:i/>
        </w:rPr>
        <w:t xml:space="preserve">  </w:t>
      </w:r>
    </w:p>
    <w:p w:rsidR="009C4CE1" w:rsidP="00E208F7" w:rsidRDefault="009C4CE1" w14:paraId="3E426B93" w14:textId="77777777">
      <w:pPr>
        <w:tabs>
          <w:tab w:val="left" w:pos="-1080"/>
          <w:tab w:val="left" w:pos="-720"/>
          <w:tab w:val="left" w:pos="360"/>
          <w:tab w:val="left" w:pos="720"/>
        </w:tabs>
      </w:pPr>
    </w:p>
    <w:p w:rsidR="009C4CE1" w:rsidP="00E208F7" w:rsidRDefault="009C4CE1" w14:paraId="1525C976" w14:textId="77777777">
      <w:pPr>
        <w:tabs>
          <w:tab w:val="left" w:pos="360"/>
          <w:tab w:val="left" w:pos="720"/>
        </w:tabs>
      </w:pPr>
      <w:r>
        <w:t xml:space="preserve">This collection of information </w:t>
      </w:r>
      <w:r w:rsidR="00297A6B">
        <w:t xml:space="preserve">could </w:t>
      </w:r>
      <w:r>
        <w:t xml:space="preserve">have a significant economic effect on a substantial number of small entities.  Any direct effects primarily impact the OCS lessees and operators.  However, </w:t>
      </w:r>
      <w:r w:rsidR="00850E1F">
        <w:t>many</w:t>
      </w:r>
      <w:r>
        <w:t xml:space="preserve"> of the OCS lessees and operators may have less than 500 employees and would be considered small businesses as defined by the Small Business Administration.  It </w:t>
      </w:r>
      <w:r w:rsidR="004B6867">
        <w:t>should be noted, that B</w:t>
      </w:r>
      <w:r w:rsidR="00290398">
        <w:t>SEE</w:t>
      </w:r>
      <w:r>
        <w:t xml:space="preserve"> approval of voluntary unitization applications for business - small or large - results in various </w:t>
      </w:r>
      <w:r w:rsidR="00E96480">
        <w:t>benefits</w:t>
      </w:r>
      <w:r>
        <w:t>.  These can include holding the lease in effect without having to drill unnecessary wells, as well as other financial benefits during continued activities.</w:t>
      </w:r>
    </w:p>
    <w:p w:rsidR="009C4CE1" w:rsidP="00E208F7" w:rsidRDefault="009C4CE1" w14:paraId="65AE6C49" w14:textId="77777777">
      <w:pPr>
        <w:tabs>
          <w:tab w:val="left" w:pos="-1080"/>
          <w:tab w:val="left" w:pos="-720"/>
          <w:tab w:val="left" w:pos="360"/>
          <w:tab w:val="left" w:pos="720"/>
        </w:tabs>
      </w:pPr>
    </w:p>
    <w:p w:rsidR="009C4CE1" w:rsidP="00E208F7" w:rsidRDefault="009C4CE1" w14:paraId="6F7D241A" w14:textId="77777777">
      <w:pPr>
        <w:tabs>
          <w:tab w:val="left" w:pos="-1080"/>
          <w:tab w:val="left" w:pos="-720"/>
          <w:tab w:val="left" w:pos="360"/>
          <w:tab w:val="left" w:pos="720"/>
        </w:tabs>
      </w:pPr>
      <w:r w:rsidRPr="00600EEB">
        <w:rPr>
          <w:b/>
          <w:i/>
        </w:rPr>
        <w:t>6.</w:t>
      </w:r>
      <w:r w:rsidRPr="00600EEB">
        <w:rPr>
          <w:b/>
          <w:i/>
        </w:rPr>
        <w:tab/>
        <w:t>Describe the consequence to Federal program or policy activities if the collection is not conducted or is conducted less frequently, as well as any technical or legal obstacles to reducing burden.</w:t>
      </w:r>
      <w:r>
        <w:t xml:space="preserve">  </w:t>
      </w:r>
    </w:p>
    <w:p w:rsidR="00D2618C" w:rsidP="00E208F7" w:rsidRDefault="00D2618C" w14:paraId="2EDEF5C1" w14:textId="77777777">
      <w:pPr>
        <w:tabs>
          <w:tab w:val="left" w:pos="360"/>
          <w:tab w:val="left" w:pos="720"/>
        </w:tabs>
      </w:pPr>
    </w:p>
    <w:p w:rsidR="001703F4" w:rsidP="00E208F7" w:rsidRDefault="001703F4" w14:paraId="3A86ADC7" w14:textId="77777777">
      <w:pPr>
        <w:tabs>
          <w:tab w:val="left" w:pos="360"/>
          <w:tab w:val="left" w:pos="720"/>
        </w:tabs>
      </w:pPr>
      <w:r>
        <w:t>The number of reservoirs that are susceptible to exploration, development, and production under a unit agreement determines frequency of submission.  If we did not collect the information, we could not ensure</w:t>
      </w:r>
      <w:r w:rsidR="005F7E30">
        <w:t xml:space="preserve"> maximum ultimate recovery of resources and ensuring</w:t>
      </w:r>
      <w:r>
        <w:t xml:space="preserve"> </w:t>
      </w:r>
      <w:r w:rsidR="005F7E30">
        <w:t xml:space="preserve">taxpayer royalty collection, and </w:t>
      </w:r>
      <w:r>
        <w:t>that unitization proposals will achieve the desired purpose.  We could not monitor operations without lessees submitting annual updated operating plans.</w:t>
      </w:r>
    </w:p>
    <w:p w:rsidR="001703F4" w:rsidP="00E208F7" w:rsidRDefault="001703F4" w14:paraId="5BC57BC4" w14:textId="77777777">
      <w:pPr>
        <w:tabs>
          <w:tab w:val="left" w:pos="360"/>
          <w:tab w:val="left" w:pos="720"/>
        </w:tabs>
      </w:pPr>
    </w:p>
    <w:p w:rsidRPr="00600EEB" w:rsidR="009C4CE1" w:rsidP="00E208F7" w:rsidRDefault="009C4CE1" w14:paraId="4229EB30" w14:textId="77777777">
      <w:pPr>
        <w:tabs>
          <w:tab w:val="left" w:pos="-1080"/>
          <w:tab w:val="left" w:pos="-720"/>
          <w:tab w:val="left" w:pos="360"/>
          <w:tab w:val="left" w:pos="720"/>
        </w:tabs>
        <w:rPr>
          <w:i/>
        </w:rPr>
      </w:pPr>
      <w:r w:rsidRPr="00600EEB">
        <w:rPr>
          <w:b/>
          <w:i/>
        </w:rPr>
        <w:t>7.</w:t>
      </w:r>
      <w:r w:rsidRPr="00600EEB">
        <w:rPr>
          <w:b/>
          <w:i/>
        </w:rPr>
        <w:tab/>
        <w:t>Explain any special circumstances that would cause an information collection to be conducted in a manner:</w:t>
      </w:r>
      <w:r w:rsidRPr="00600EEB">
        <w:rPr>
          <w:i/>
        </w:rPr>
        <w:t xml:space="preserve">  </w:t>
      </w:r>
    </w:p>
    <w:p w:rsidR="009C4CE1" w:rsidP="00E208F7" w:rsidRDefault="009C4CE1" w14:paraId="5D307A3C" w14:textId="77777777">
      <w:pPr>
        <w:tabs>
          <w:tab w:val="left" w:pos="-1080"/>
          <w:tab w:val="left" w:pos="-720"/>
          <w:tab w:val="left" w:pos="360"/>
          <w:tab w:val="left" w:pos="720"/>
        </w:tabs>
      </w:pPr>
      <w:r>
        <w:tab/>
      </w:r>
    </w:p>
    <w:p w:rsidR="009C4CE1" w:rsidP="00E208F7" w:rsidRDefault="009C4CE1" w14:paraId="27CE3BEC" w14:textId="77777777">
      <w:pPr>
        <w:tabs>
          <w:tab w:val="left" w:pos="-1080"/>
          <w:tab w:val="left" w:pos="-720"/>
          <w:tab w:val="left" w:pos="360"/>
          <w:tab w:val="left" w:pos="720"/>
        </w:tabs>
        <w:rPr>
          <w:b/>
          <w:i/>
        </w:rPr>
      </w:pPr>
      <w:r>
        <w:tab/>
      </w:r>
      <w:r w:rsidRPr="00A90789">
        <w:rPr>
          <w:b/>
          <w:i/>
        </w:rPr>
        <w:t>(a) requiring respondents to report information to the agency more often than quarterl</w:t>
      </w:r>
      <w:r>
        <w:rPr>
          <w:b/>
          <w:i/>
        </w:rPr>
        <w:t>y</w:t>
      </w:r>
      <w:r w:rsidR="0085555B">
        <w:rPr>
          <w:b/>
          <w:i/>
        </w:rPr>
        <w:t>;</w:t>
      </w:r>
    </w:p>
    <w:p w:rsidR="00082F28" w:rsidP="00E208F7" w:rsidRDefault="00082F28" w14:paraId="2DDD8455" w14:textId="77777777">
      <w:pPr>
        <w:tabs>
          <w:tab w:val="left" w:pos="-1080"/>
          <w:tab w:val="left" w:pos="-720"/>
          <w:tab w:val="left" w:pos="360"/>
          <w:tab w:val="left" w:pos="720"/>
        </w:tabs>
        <w:rPr>
          <w:b/>
        </w:rPr>
      </w:pPr>
    </w:p>
    <w:p w:rsidR="009C4CE1" w:rsidP="00E208F7" w:rsidRDefault="00290398" w14:paraId="262A822E" w14:textId="77777777">
      <w:pPr>
        <w:tabs>
          <w:tab w:val="left" w:pos="-1080"/>
          <w:tab w:val="left" w:pos="-720"/>
          <w:tab w:val="left" w:pos="360"/>
          <w:tab w:val="left" w:pos="720"/>
        </w:tabs>
      </w:pPr>
      <w:r>
        <w:t>The BSEE</w:t>
      </w:r>
      <w:r w:rsidR="00127B14">
        <w:t xml:space="preserve"> must be able to approve </w:t>
      </w:r>
      <w:r w:rsidR="007C772F">
        <w:t xml:space="preserve">all types of </w:t>
      </w:r>
      <w:r w:rsidR="00127B14">
        <w:t>modification</w:t>
      </w:r>
      <w:r w:rsidR="00253FF3">
        <w:t>(s)</w:t>
      </w:r>
      <w:r w:rsidR="007C772F">
        <w:t>/revisions</w:t>
      </w:r>
      <w:r w:rsidR="00127B14">
        <w:t xml:space="preserve"> </w:t>
      </w:r>
      <w:r w:rsidR="007C772F">
        <w:t>to</w:t>
      </w:r>
      <w:r w:rsidR="00127B14">
        <w:t xml:space="preserve"> </w:t>
      </w:r>
      <w:r w:rsidR="007C772F">
        <w:t>U</w:t>
      </w:r>
      <w:r w:rsidR="00127B14">
        <w:t xml:space="preserve">nit </w:t>
      </w:r>
      <w:r w:rsidR="00A079DD">
        <w:t>A</w:t>
      </w:r>
      <w:r w:rsidR="00127B14">
        <w:t>greement</w:t>
      </w:r>
      <w:r w:rsidR="007C772F">
        <w:t xml:space="preserve">(s), Unit Operating </w:t>
      </w:r>
      <w:r w:rsidR="00A079DD">
        <w:t>A</w:t>
      </w:r>
      <w:r w:rsidR="007C772F">
        <w:t>greement(s), plan(s) of operation, change of unit operator(s) etc.,</w:t>
      </w:r>
      <w:r w:rsidR="00127B14">
        <w:t xml:space="preserve"> when changes in circumstances warrant</w:t>
      </w:r>
      <w:r w:rsidR="00253FF3">
        <w:t>, so frequency is on occasion</w:t>
      </w:r>
      <w:r w:rsidR="00127B14">
        <w:t>.</w:t>
      </w:r>
      <w:r w:rsidR="009C4CE1">
        <w:t xml:space="preserve"> </w:t>
      </w:r>
    </w:p>
    <w:p w:rsidRPr="001C67BB" w:rsidR="009C4CE1" w:rsidP="00E208F7" w:rsidRDefault="009C4CE1" w14:paraId="47D0D542" w14:textId="77777777">
      <w:pPr>
        <w:tabs>
          <w:tab w:val="left" w:pos="-1080"/>
          <w:tab w:val="left" w:pos="-720"/>
          <w:tab w:val="left" w:pos="360"/>
          <w:tab w:val="left" w:pos="720"/>
        </w:tabs>
        <w:rPr>
          <w:b/>
        </w:rPr>
      </w:pPr>
    </w:p>
    <w:p w:rsidRPr="00A90789" w:rsidR="009C4CE1" w:rsidP="00E208F7" w:rsidRDefault="009C4CE1" w14:paraId="319227CF" w14:textId="77777777">
      <w:pPr>
        <w:tabs>
          <w:tab w:val="left" w:pos="-1080"/>
          <w:tab w:val="left" w:pos="-720"/>
          <w:tab w:val="left" w:pos="360"/>
          <w:tab w:val="left" w:pos="720"/>
        </w:tabs>
        <w:rPr>
          <w:b/>
          <w:i/>
        </w:rPr>
      </w:pPr>
      <w:r>
        <w:rPr>
          <w:b/>
        </w:rPr>
        <w:tab/>
      </w:r>
      <w:r w:rsidRPr="00A90789">
        <w:rPr>
          <w:b/>
          <w:i/>
        </w:rPr>
        <w:t>(b) requiring respondents to prepare a written response to a collection of information in few</w:t>
      </w:r>
      <w:r>
        <w:rPr>
          <w:b/>
          <w:i/>
        </w:rPr>
        <w:t>er than 30 days after receipt of it</w:t>
      </w:r>
      <w:r w:rsidR="0085555B">
        <w:rPr>
          <w:b/>
          <w:i/>
        </w:rPr>
        <w:t>;</w:t>
      </w:r>
    </w:p>
    <w:p w:rsidRPr="00A90789" w:rsidR="009C4CE1" w:rsidP="00E208F7" w:rsidRDefault="009C4CE1" w14:paraId="4F0DFA14" w14:textId="77777777">
      <w:pPr>
        <w:tabs>
          <w:tab w:val="left" w:pos="-1080"/>
          <w:tab w:val="left" w:pos="-720"/>
          <w:tab w:val="left" w:pos="360"/>
          <w:tab w:val="left" w:pos="720"/>
        </w:tabs>
        <w:rPr>
          <w:b/>
          <w:i/>
        </w:rPr>
      </w:pPr>
      <w:r>
        <w:rPr>
          <w:b/>
        </w:rPr>
        <w:tab/>
      </w:r>
      <w:r w:rsidRPr="00A90789">
        <w:rPr>
          <w:b/>
          <w:i/>
        </w:rPr>
        <w:t>(c) requiring respondents to submit more than an original</w:t>
      </w:r>
      <w:r w:rsidR="0085555B">
        <w:rPr>
          <w:b/>
          <w:i/>
        </w:rPr>
        <w:t xml:space="preserve"> and two copies of any document;</w:t>
      </w:r>
    </w:p>
    <w:p w:rsidRPr="00A90789" w:rsidR="009C4CE1" w:rsidP="00E208F7" w:rsidRDefault="009C4CE1" w14:paraId="663FAED9" w14:textId="77777777">
      <w:pPr>
        <w:tabs>
          <w:tab w:val="left" w:pos="-1080"/>
          <w:tab w:val="left" w:pos="-720"/>
          <w:tab w:val="left" w:pos="360"/>
          <w:tab w:val="left" w:pos="720"/>
        </w:tabs>
        <w:rPr>
          <w:b/>
          <w:i/>
        </w:rPr>
      </w:pPr>
      <w:r>
        <w:rPr>
          <w:b/>
        </w:rPr>
        <w:tab/>
      </w:r>
      <w:r w:rsidRPr="00A90789">
        <w:rPr>
          <w:b/>
          <w:i/>
        </w:rPr>
        <w:t>(d) requiring respondents to retain records, other than health, medical, government contract, grant-in-aid, or tax</w:t>
      </w:r>
      <w:r w:rsidR="0085555B">
        <w:rPr>
          <w:b/>
          <w:i/>
        </w:rPr>
        <w:t xml:space="preserve"> records, for more than 3 years;</w:t>
      </w:r>
    </w:p>
    <w:p w:rsidRPr="00B27CC7" w:rsidR="009C4CE1" w:rsidP="00E208F7" w:rsidRDefault="009C4CE1" w14:paraId="3423B604" w14:textId="77777777">
      <w:pPr>
        <w:tabs>
          <w:tab w:val="left" w:pos="-1080"/>
          <w:tab w:val="left" w:pos="-720"/>
          <w:tab w:val="left" w:pos="360"/>
          <w:tab w:val="left" w:pos="720"/>
        </w:tabs>
        <w:rPr>
          <w:b/>
          <w:i/>
        </w:rPr>
      </w:pPr>
      <w:r w:rsidRPr="00B27CC7">
        <w:rPr>
          <w:b/>
          <w:i/>
        </w:rPr>
        <w:tab/>
        <w:t>(e) in connection with a statistical survey, that is not designed to produce valid and reliable results that can be gener</w:t>
      </w:r>
      <w:r w:rsidR="0085555B">
        <w:rPr>
          <w:b/>
          <w:i/>
        </w:rPr>
        <w:t>alized to the universe of study;</w:t>
      </w:r>
    </w:p>
    <w:p w:rsidRPr="00B27CC7" w:rsidR="009C4CE1" w:rsidP="00E208F7" w:rsidRDefault="009C4CE1" w14:paraId="590A829B" w14:textId="77777777">
      <w:pPr>
        <w:tabs>
          <w:tab w:val="left" w:pos="-1080"/>
          <w:tab w:val="left" w:pos="-720"/>
          <w:tab w:val="left" w:pos="360"/>
          <w:tab w:val="left" w:pos="720"/>
        </w:tabs>
        <w:rPr>
          <w:b/>
          <w:i/>
        </w:rPr>
      </w:pPr>
      <w:r w:rsidRPr="00B27CC7">
        <w:rPr>
          <w:b/>
          <w:i/>
        </w:rPr>
        <w:tab/>
        <w:t>(f) requiring the use of statistical data classification that has be</w:t>
      </w:r>
      <w:r w:rsidR="0085555B">
        <w:rPr>
          <w:b/>
          <w:i/>
        </w:rPr>
        <w:t>en reviewed and approved by OMB;</w:t>
      </w:r>
    </w:p>
    <w:p w:rsidR="009C4CE1" w:rsidP="00E208F7" w:rsidRDefault="009C4CE1" w14:paraId="03415545" w14:textId="77777777">
      <w:pPr>
        <w:tabs>
          <w:tab w:val="left" w:pos="-1080"/>
          <w:tab w:val="left" w:pos="-720"/>
          <w:tab w:val="left" w:pos="360"/>
          <w:tab w:val="left" w:pos="720"/>
        </w:tabs>
        <w:rPr>
          <w:b/>
          <w:i/>
        </w:rPr>
      </w:pPr>
      <w:r>
        <w:rPr>
          <w:b/>
        </w:rPr>
        <w:tab/>
      </w:r>
      <w:r w:rsidRPr="00B27CC7">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85555B">
        <w:rPr>
          <w:b/>
          <w:i/>
        </w:rPr>
        <w:t>for compatible confidential use; or</w:t>
      </w:r>
    </w:p>
    <w:p w:rsidR="00082F28" w:rsidP="00E208F7" w:rsidRDefault="00082F28" w14:paraId="7C70ED30" w14:textId="77777777">
      <w:pPr>
        <w:tabs>
          <w:tab w:val="left" w:pos="-1080"/>
          <w:tab w:val="left" w:pos="-720"/>
          <w:tab w:val="left" w:pos="360"/>
          <w:tab w:val="left" w:pos="720"/>
        </w:tabs>
        <w:rPr>
          <w:b/>
          <w:i/>
        </w:rPr>
      </w:pPr>
    </w:p>
    <w:p w:rsidR="00807898" w:rsidP="00807898" w:rsidRDefault="00807898" w14:paraId="13484254" w14:textId="77777777">
      <w:pPr>
        <w:tabs>
          <w:tab w:val="left" w:pos="-1080"/>
          <w:tab w:val="left" w:pos="-720"/>
          <w:tab w:val="left" w:pos="360"/>
          <w:tab w:val="left" w:pos="720"/>
        </w:tabs>
      </w:pPr>
      <w:r>
        <w:t>Not applicable in this collection.</w:t>
      </w:r>
    </w:p>
    <w:p w:rsidRPr="00B27CC7" w:rsidR="00807898" w:rsidP="00E208F7" w:rsidRDefault="00807898" w14:paraId="56254CAF" w14:textId="77777777">
      <w:pPr>
        <w:tabs>
          <w:tab w:val="left" w:pos="-1080"/>
          <w:tab w:val="left" w:pos="-720"/>
          <w:tab w:val="left" w:pos="360"/>
          <w:tab w:val="left" w:pos="720"/>
        </w:tabs>
        <w:rPr>
          <w:b/>
          <w:i/>
        </w:rPr>
      </w:pPr>
    </w:p>
    <w:p w:rsidR="009C4CE1" w:rsidP="00E208F7" w:rsidRDefault="009C4CE1" w14:paraId="6FFBA9F1" w14:textId="77777777">
      <w:pPr>
        <w:tabs>
          <w:tab w:val="left" w:pos="-1080"/>
          <w:tab w:val="left" w:pos="-720"/>
          <w:tab w:val="left" w:pos="360"/>
          <w:tab w:val="left" w:pos="720"/>
        </w:tabs>
        <w:rPr>
          <w:b/>
          <w:i/>
        </w:rPr>
      </w:pPr>
      <w:r>
        <w:rPr>
          <w:b/>
        </w:rPr>
        <w:tab/>
      </w:r>
      <w:r w:rsidRPr="00B27CC7">
        <w:rPr>
          <w:b/>
          <w:i/>
        </w:rPr>
        <w:t>(h) requiring respondents to submit proprietary trade secrets</w:t>
      </w:r>
      <w:r w:rsidR="0085555B">
        <w:rPr>
          <w:b/>
          <w:i/>
        </w:rPr>
        <w:t>,</w:t>
      </w:r>
      <w:r w:rsidRPr="00B27CC7">
        <w:rPr>
          <w:b/>
          <w:i/>
        </w:rPr>
        <w:t xml:space="preserve"> or other confidential information</w:t>
      </w:r>
      <w:r w:rsidR="0085555B">
        <w:rPr>
          <w:b/>
          <w:i/>
        </w:rPr>
        <w:t>,</w:t>
      </w:r>
      <w:r w:rsidRPr="00B27CC7">
        <w:rPr>
          <w:b/>
          <w:i/>
        </w:rPr>
        <w:t xml:space="preserve"> unless the agency can demonstrate that it has instituted procedures to protect the information’s </w:t>
      </w:r>
      <w:r w:rsidRPr="00B27CC7">
        <w:rPr>
          <w:b/>
          <w:i/>
        </w:rPr>
        <w:lastRenderedPageBreak/>
        <w:t>confidentiality to the extent permitted by law.</w:t>
      </w:r>
    </w:p>
    <w:p w:rsidRPr="00B27CC7" w:rsidR="00082F28" w:rsidP="00E208F7" w:rsidRDefault="00082F28" w14:paraId="24B3709F" w14:textId="77777777">
      <w:pPr>
        <w:tabs>
          <w:tab w:val="left" w:pos="-1080"/>
          <w:tab w:val="left" w:pos="-720"/>
          <w:tab w:val="left" w:pos="360"/>
          <w:tab w:val="left" w:pos="720"/>
        </w:tabs>
        <w:rPr>
          <w:b/>
          <w:i/>
        </w:rPr>
      </w:pPr>
    </w:p>
    <w:p w:rsidRPr="004D0467" w:rsidR="004D0467" w:rsidP="004D0467" w:rsidRDefault="004D0467" w14:paraId="12F45729" w14:textId="77777777">
      <w:pPr>
        <w:tabs>
          <w:tab w:val="left" w:pos="360"/>
          <w:tab w:val="left" w:pos="720"/>
        </w:tabs>
        <w:rPr>
          <w:i/>
        </w:rPr>
      </w:pPr>
      <w:r w:rsidRPr="004D0467">
        <w:t xml:space="preserve">BSEE will protect any confidential commercial or proprietary information according to the Freedom of Information Act (5 U.S.C. 552) and DOI’s implementing regulations (43 CFR 2); section 26 of OCSLA (43 U.S.C. 1352); 30 CFR 250.197, </w:t>
      </w:r>
      <w:r w:rsidRPr="004D0467">
        <w:rPr>
          <w:i/>
        </w:rPr>
        <w:t>Data and information to be made available to the public or for limited inspection;</w:t>
      </w:r>
      <w:r w:rsidRPr="004D0467">
        <w:t xml:space="preserve"> and 30 CFR part 252, </w:t>
      </w:r>
      <w:r w:rsidRPr="004D0467">
        <w:rPr>
          <w:i/>
        </w:rPr>
        <w:t>OCS Oil and Gas Information Program.</w:t>
      </w:r>
    </w:p>
    <w:p w:rsidR="009C4CE1" w:rsidP="00E208F7" w:rsidRDefault="009C4CE1" w14:paraId="42C079BD" w14:textId="77777777">
      <w:pPr>
        <w:tabs>
          <w:tab w:val="left" w:pos="-1080"/>
          <w:tab w:val="left" w:pos="-720"/>
          <w:tab w:val="left" w:pos="360"/>
          <w:tab w:val="left" w:pos="720"/>
        </w:tabs>
      </w:pPr>
    </w:p>
    <w:p w:rsidR="009C4CE1" w:rsidP="00CC0C5C" w:rsidRDefault="009C4CE1" w14:paraId="6D0B2A30" w14:textId="77777777">
      <w:pPr>
        <w:tabs>
          <w:tab w:val="left" w:pos="-1080"/>
          <w:tab w:val="left" w:pos="-720"/>
          <w:tab w:val="left" w:pos="360"/>
          <w:tab w:val="left" w:pos="720"/>
        </w:tabs>
        <w:rPr>
          <w:b/>
          <w:i/>
        </w:rPr>
      </w:pPr>
      <w:r w:rsidRPr="00600EEB">
        <w:rPr>
          <w:b/>
          <w:i/>
        </w:rPr>
        <w:t>8.</w:t>
      </w:r>
      <w:r w:rsidRPr="00600EEB">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85555B">
        <w:rPr>
          <w:b/>
          <w:i/>
        </w:rPr>
        <w:t xml:space="preserve">ved in response to that notice </w:t>
      </w:r>
      <w:r w:rsidRPr="00600EEB">
        <w:rPr>
          <w:b/>
          <w:i/>
        </w:rPr>
        <w:t xml:space="preserve">and in response to the PRA statement associated with the </w:t>
      </w:r>
      <w:r w:rsidR="0085555B">
        <w:rPr>
          <w:b/>
          <w:i/>
        </w:rPr>
        <w:t>collection over the past 3 years</w:t>
      </w:r>
      <w:r w:rsidRPr="00600EEB">
        <w:rPr>
          <w:b/>
          <w:i/>
        </w:rPr>
        <w:t xml:space="preserve"> and describe actions taken by the agency in response to these comments.  Specifically address comments received on cost and hour burden.  </w:t>
      </w:r>
    </w:p>
    <w:p w:rsidR="009C4CE1" w:rsidP="00E208F7" w:rsidRDefault="009C4CE1" w14:paraId="605E6E2B" w14:textId="77777777">
      <w:pPr>
        <w:tabs>
          <w:tab w:val="left" w:pos="360"/>
          <w:tab w:val="left" w:pos="720"/>
          <w:tab w:val="left" w:pos="1080"/>
        </w:tabs>
        <w:rPr>
          <w:b/>
        </w:rPr>
      </w:pPr>
    </w:p>
    <w:p w:rsidR="0085555B" w:rsidP="00E208F7" w:rsidRDefault="009C4CE1" w14:paraId="21B555D8" w14:textId="77777777">
      <w:pPr>
        <w:tabs>
          <w:tab w:val="left" w:pos="360"/>
          <w:tab w:val="left" w:pos="720"/>
          <w:tab w:val="left" w:pos="1080"/>
        </w:tabs>
        <w:rPr>
          <w:b/>
          <w:i/>
        </w:rPr>
      </w:pPr>
      <w:r w:rsidRPr="00600EEB">
        <w:rPr>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85555B" w:rsidP="00E208F7" w:rsidRDefault="0085555B" w14:paraId="44AAFA5D" w14:textId="77777777">
      <w:pPr>
        <w:tabs>
          <w:tab w:val="left" w:pos="360"/>
          <w:tab w:val="left" w:pos="720"/>
          <w:tab w:val="left" w:pos="1080"/>
        </w:tabs>
        <w:rPr>
          <w:b/>
          <w:i/>
        </w:rPr>
      </w:pPr>
    </w:p>
    <w:p w:rsidR="009C4CE1" w:rsidP="00E208F7" w:rsidRDefault="009C4CE1" w14:paraId="6E5392C8" w14:textId="77777777">
      <w:pPr>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rsidR="009C4CE1" w:rsidP="00E208F7" w:rsidRDefault="009C4CE1" w14:paraId="1732EA0F" w14:textId="77777777">
      <w:pPr>
        <w:tabs>
          <w:tab w:val="left" w:pos="360"/>
          <w:tab w:val="left" w:pos="720"/>
        </w:tabs>
        <w:rPr>
          <w:b/>
        </w:rPr>
      </w:pPr>
    </w:p>
    <w:p w:rsidRPr="000757B1" w:rsidR="00361CB0" w:rsidP="00361CB0" w:rsidRDefault="001703F4" w14:paraId="356AE277" w14:textId="77777777">
      <w:pPr>
        <w:tabs>
          <w:tab w:val="left" w:pos="360"/>
          <w:tab w:val="left" w:pos="720"/>
          <w:tab w:val="left" w:pos="1080"/>
        </w:tabs>
      </w:pPr>
      <w:r w:rsidRPr="00361CB0">
        <w:t xml:space="preserve">As required in 5 CFR 1320.8(d), </w:t>
      </w:r>
      <w:r w:rsidRPr="00361CB0" w:rsidR="004B6867">
        <w:t>B</w:t>
      </w:r>
      <w:r w:rsidRPr="00361CB0" w:rsidR="001D1366">
        <w:t>SEE</w:t>
      </w:r>
      <w:r w:rsidRPr="00361CB0">
        <w:t xml:space="preserve"> published the required 60-day notice in the </w:t>
      </w:r>
      <w:r w:rsidRPr="00361CB0">
        <w:rPr>
          <w:b/>
        </w:rPr>
        <w:t>Federal Register</w:t>
      </w:r>
      <w:r w:rsidRPr="00361CB0">
        <w:t xml:space="preserve"> </w:t>
      </w:r>
      <w:r w:rsidRPr="00361CB0" w:rsidR="00361CB0">
        <w:rPr>
          <w:bCs/>
        </w:rPr>
        <w:t>July 7, 2020 (85 FR 40679</w:t>
      </w:r>
      <w:r w:rsidRPr="00361CB0" w:rsidR="00361CB0">
        <w:rPr>
          <w:bCs/>
        </w:rPr>
        <w:t>)</w:t>
      </w:r>
      <w:r w:rsidRPr="00361CB0">
        <w:t xml:space="preserve">.  Also, 30 CFR 250.199 explains that </w:t>
      </w:r>
      <w:r w:rsidRPr="00361CB0" w:rsidR="004B6867">
        <w:t>B</w:t>
      </w:r>
      <w:r w:rsidRPr="00361CB0" w:rsidR="001D1366">
        <w:t>SEE</w:t>
      </w:r>
      <w:r w:rsidRPr="00361CB0">
        <w:t xml:space="preserve"> will accept comments at any time on the information collection </w:t>
      </w:r>
      <w:r w:rsidRPr="00FB3AB6">
        <w:t xml:space="preserve">burden of our 30 CFR 250 regulations.  We display the OMB control number </w:t>
      </w:r>
      <w:r w:rsidRPr="00FB3AB6" w:rsidR="00127B14">
        <w:t xml:space="preserve">where appropriate </w:t>
      </w:r>
      <w:r w:rsidRPr="00FB3AB6">
        <w:t xml:space="preserve">and provide the address for sending comments to </w:t>
      </w:r>
      <w:r w:rsidRPr="00FB3AB6" w:rsidR="004B6867">
        <w:t>B</w:t>
      </w:r>
      <w:r w:rsidRPr="00FB3AB6" w:rsidR="001D1366">
        <w:t>SEE</w:t>
      </w:r>
      <w:r w:rsidRPr="00FB3AB6">
        <w:t xml:space="preserve">.  </w:t>
      </w:r>
      <w:r w:rsidRPr="00F62325" w:rsidR="00361CB0">
        <w:t xml:space="preserve">We received </w:t>
      </w:r>
      <w:r w:rsidR="00361CB0">
        <w:t>one</w:t>
      </w:r>
      <w:r w:rsidRPr="00F62325" w:rsidR="00361CB0">
        <w:t xml:space="preserve"> comment in response to the Federal Register notice</w:t>
      </w:r>
      <w:r w:rsidR="00361CB0">
        <w:t>; however, it was not germane to the information collection.</w:t>
      </w:r>
    </w:p>
    <w:p w:rsidR="009C4CE1" w:rsidP="00361CB0" w:rsidRDefault="009C4CE1" w14:paraId="0F174DCD" w14:textId="607EC459">
      <w:pPr>
        <w:tabs>
          <w:tab w:val="left" w:pos="360"/>
          <w:tab w:val="left" w:pos="720"/>
          <w:tab w:val="left" w:pos="1080"/>
        </w:tabs>
      </w:pPr>
    </w:p>
    <w:p w:rsidRPr="001D1366" w:rsidR="001D1366" w:rsidP="001D1366" w:rsidRDefault="001D1366" w14:paraId="0C1076C9" w14:textId="77777777">
      <w:r w:rsidRPr="001D1366">
        <w:t>To prepare this information collection renewal request, companies were contacted to determine the estimated burden this subpart places on respondents:  The following company representatives that commented were:</w:t>
      </w:r>
    </w:p>
    <w:p w:rsidR="001703F4" w:rsidP="00E208F7" w:rsidRDefault="001703F4" w14:paraId="6EA9B12B" w14:textId="77777777">
      <w:pPr>
        <w:tabs>
          <w:tab w:val="left" w:pos="360"/>
          <w:tab w:val="left" w:pos="720"/>
        </w:tabs>
        <w:rPr>
          <w:i/>
        </w:rPr>
      </w:pPr>
    </w:p>
    <w:p w:rsidRPr="0057282A" w:rsidR="00552ED1" w:rsidP="0057282A" w:rsidRDefault="00643F1E" w14:paraId="7EFEA8A4" w14:textId="77777777">
      <w:pPr>
        <w:tabs>
          <w:tab w:val="left" w:pos="360"/>
          <w:tab w:val="left" w:pos="720"/>
        </w:tabs>
        <w:ind w:left="450"/>
      </w:pPr>
      <w:r w:rsidRPr="0057282A">
        <w:t>Anadarko</w:t>
      </w:r>
      <w:r w:rsidRPr="0057282A" w:rsidR="00552ED1">
        <w:t xml:space="preserve"> </w:t>
      </w:r>
      <w:r w:rsidRPr="0057282A">
        <w:t>Petroleum</w:t>
      </w:r>
      <w:r w:rsidRPr="0057282A" w:rsidR="00552ED1">
        <w:t xml:space="preserve"> Corporation –</w:t>
      </w:r>
      <w:r w:rsidRPr="0057282A" w:rsidR="005F7E30">
        <w:t xml:space="preserve"> </w:t>
      </w:r>
      <w:r w:rsidRPr="0057282A" w:rsidR="00552ED1">
        <w:t xml:space="preserve">Regulatory </w:t>
      </w:r>
      <w:r w:rsidRPr="0057282A">
        <w:t>Affairs Manager</w:t>
      </w:r>
      <w:r w:rsidRPr="0057282A" w:rsidR="005F7E30">
        <w:t>,</w:t>
      </w:r>
      <w:r w:rsidR="0057282A">
        <w:t xml:space="preserve"> </w:t>
      </w:r>
      <w:r w:rsidRPr="0057282A" w:rsidR="00552ED1">
        <w:t>(</w:t>
      </w:r>
      <w:r w:rsidRPr="0057282A">
        <w:t>832</w:t>
      </w:r>
      <w:r w:rsidRPr="0057282A" w:rsidR="00552ED1">
        <w:t xml:space="preserve">) </w:t>
      </w:r>
      <w:r w:rsidRPr="0057282A">
        <w:t>636</w:t>
      </w:r>
      <w:r w:rsidRPr="0057282A" w:rsidR="00552ED1">
        <w:t>-</w:t>
      </w:r>
      <w:r w:rsidRPr="0057282A" w:rsidR="0057282A">
        <w:t>3018</w:t>
      </w:r>
      <w:r w:rsidR="0057282A">
        <w:t>,</w:t>
      </w:r>
      <w:r w:rsidRPr="0057282A">
        <w:t xml:space="preserve"> </w:t>
      </w:r>
      <w:r w:rsidRPr="0057282A" w:rsidR="0057282A">
        <w:t>1201 Lake Robbins Drive</w:t>
      </w:r>
      <w:r w:rsidRPr="0057282A" w:rsidR="00552ED1">
        <w:t xml:space="preserve">, </w:t>
      </w:r>
      <w:r w:rsidRPr="0057282A" w:rsidR="0057282A">
        <w:t>The Woodlands</w:t>
      </w:r>
      <w:r w:rsidRPr="0057282A" w:rsidR="00552ED1">
        <w:t>, Texas  77</w:t>
      </w:r>
      <w:r w:rsidRPr="0057282A" w:rsidR="0057282A">
        <w:t>380</w:t>
      </w:r>
    </w:p>
    <w:p w:rsidRPr="00306C5F" w:rsidR="00552ED1" w:rsidP="0057282A" w:rsidRDefault="00552ED1" w14:paraId="0A989CAF" w14:textId="77777777">
      <w:pPr>
        <w:tabs>
          <w:tab w:val="left" w:pos="360"/>
          <w:tab w:val="left" w:pos="720"/>
        </w:tabs>
        <w:ind w:left="450"/>
        <w:rPr>
          <w:highlight w:val="yellow"/>
        </w:rPr>
      </w:pPr>
    </w:p>
    <w:p w:rsidRPr="0057282A" w:rsidR="00063A21" w:rsidP="0057282A" w:rsidRDefault="0057282A" w14:paraId="1BBF97DB" w14:textId="77777777">
      <w:pPr>
        <w:widowControl/>
        <w:shd w:val="clear" w:color="auto" w:fill="FFFFFF"/>
        <w:ind w:left="450"/>
        <w:rPr>
          <w:snapToGrid/>
          <w:color w:val="222222"/>
          <w:szCs w:val="24"/>
        </w:rPr>
      </w:pPr>
      <w:proofErr w:type="spellStart"/>
      <w:r w:rsidRPr="0057282A">
        <w:t>Hilcorp</w:t>
      </w:r>
      <w:proofErr w:type="spellEnd"/>
      <w:r w:rsidRPr="0057282A">
        <w:t xml:space="preserve"> Alaska, LLC, Regulatory Compliance Specialist, (907) 777-8435, 3800 CenterPoint Drive, Suite 1400, Anchorage, AK 99503</w:t>
      </w:r>
    </w:p>
    <w:p w:rsidRPr="00306C5F" w:rsidR="00063A21" w:rsidP="0057282A" w:rsidRDefault="00063A21" w14:paraId="20315B77" w14:textId="77777777">
      <w:pPr>
        <w:widowControl/>
        <w:shd w:val="clear" w:color="auto" w:fill="FFFFFF"/>
        <w:ind w:left="450"/>
        <w:rPr>
          <w:snapToGrid/>
          <w:color w:val="222222"/>
          <w:szCs w:val="24"/>
          <w:highlight w:val="yellow"/>
        </w:rPr>
      </w:pPr>
    </w:p>
    <w:p w:rsidRPr="0057282A" w:rsidR="00063A21" w:rsidP="0057282A" w:rsidRDefault="00063A21" w14:paraId="208EB2D5" w14:textId="77777777">
      <w:pPr>
        <w:widowControl/>
        <w:shd w:val="clear" w:color="auto" w:fill="FFFFFF"/>
        <w:ind w:left="450"/>
        <w:rPr>
          <w:snapToGrid/>
          <w:color w:val="222222"/>
          <w:szCs w:val="24"/>
        </w:rPr>
      </w:pPr>
      <w:r w:rsidRPr="0057282A">
        <w:rPr>
          <w:snapToGrid/>
          <w:color w:val="222222"/>
          <w:szCs w:val="24"/>
        </w:rPr>
        <w:t>Chevron USA Inc.</w:t>
      </w:r>
      <w:r w:rsidRPr="0057282A" w:rsidR="005F7E30">
        <w:rPr>
          <w:snapToGrid/>
          <w:color w:val="222222"/>
          <w:szCs w:val="24"/>
        </w:rPr>
        <w:t>,</w:t>
      </w:r>
      <w:r w:rsidRPr="0057282A">
        <w:rPr>
          <w:snapToGrid/>
          <w:color w:val="222222"/>
          <w:szCs w:val="24"/>
        </w:rPr>
        <w:t xml:space="preserve"> </w:t>
      </w:r>
      <w:r w:rsidRPr="0057282A" w:rsidR="0057282A">
        <w:rPr>
          <w:snapToGrid/>
          <w:color w:val="222222"/>
          <w:szCs w:val="24"/>
        </w:rPr>
        <w:t xml:space="preserve">Deepwater Land </w:t>
      </w:r>
      <w:r w:rsidRPr="0057282A">
        <w:rPr>
          <w:snapToGrid/>
          <w:color w:val="222222"/>
          <w:szCs w:val="24"/>
        </w:rPr>
        <w:t>Rep.</w:t>
      </w:r>
      <w:r w:rsidRPr="0057282A" w:rsidR="005F7E30">
        <w:rPr>
          <w:snapToGrid/>
          <w:color w:val="222222"/>
          <w:szCs w:val="24"/>
        </w:rPr>
        <w:t>,</w:t>
      </w:r>
      <w:r w:rsidRPr="0057282A" w:rsidR="0057282A">
        <w:rPr>
          <w:snapToGrid/>
          <w:color w:val="222222"/>
          <w:szCs w:val="24"/>
        </w:rPr>
        <w:t xml:space="preserve"> </w:t>
      </w:r>
      <w:r w:rsidRPr="0057282A">
        <w:rPr>
          <w:snapToGrid/>
          <w:color w:val="222222"/>
          <w:szCs w:val="24"/>
        </w:rPr>
        <w:t>(</w:t>
      </w:r>
      <w:r w:rsidRPr="0057282A" w:rsidR="0057282A">
        <w:rPr>
          <w:snapToGrid/>
          <w:color w:val="222222"/>
          <w:szCs w:val="24"/>
        </w:rPr>
        <w:t>985</w:t>
      </w:r>
      <w:r w:rsidRPr="0057282A">
        <w:rPr>
          <w:snapToGrid/>
          <w:color w:val="222222"/>
          <w:szCs w:val="24"/>
        </w:rPr>
        <w:t xml:space="preserve">) </w:t>
      </w:r>
      <w:r w:rsidRPr="0057282A" w:rsidR="0057282A">
        <w:rPr>
          <w:snapToGrid/>
          <w:color w:val="222222"/>
          <w:szCs w:val="24"/>
        </w:rPr>
        <w:t>773</w:t>
      </w:r>
      <w:r w:rsidRPr="0057282A">
        <w:rPr>
          <w:snapToGrid/>
          <w:color w:val="222222"/>
          <w:szCs w:val="24"/>
        </w:rPr>
        <w:t>-</w:t>
      </w:r>
      <w:r w:rsidRPr="0057282A" w:rsidR="0057282A">
        <w:rPr>
          <w:snapToGrid/>
          <w:color w:val="222222"/>
          <w:szCs w:val="24"/>
        </w:rPr>
        <w:t>7697,</w:t>
      </w:r>
      <w:r w:rsidRPr="0057282A">
        <w:rPr>
          <w:snapToGrid/>
          <w:color w:val="222222"/>
          <w:szCs w:val="24"/>
        </w:rPr>
        <w:t xml:space="preserve"> </w:t>
      </w:r>
      <w:r w:rsidRPr="0057282A" w:rsidR="0057282A">
        <w:rPr>
          <w:snapToGrid/>
          <w:color w:val="222222"/>
          <w:szCs w:val="24"/>
        </w:rPr>
        <w:t xml:space="preserve">100 </w:t>
      </w:r>
      <w:proofErr w:type="spellStart"/>
      <w:r w:rsidRPr="0057282A" w:rsidR="0057282A">
        <w:rPr>
          <w:snapToGrid/>
          <w:color w:val="222222"/>
          <w:szCs w:val="24"/>
        </w:rPr>
        <w:t>Northpark</w:t>
      </w:r>
      <w:proofErr w:type="spellEnd"/>
      <w:r w:rsidRPr="0057282A" w:rsidR="0057282A">
        <w:rPr>
          <w:snapToGrid/>
          <w:color w:val="222222"/>
          <w:szCs w:val="24"/>
        </w:rPr>
        <w:t xml:space="preserve"> Blvd., N1170B, Covington, LA 70433</w:t>
      </w:r>
    </w:p>
    <w:p w:rsidRPr="00306C5F" w:rsidR="005F7E30" w:rsidP="0057282A" w:rsidRDefault="005F7E30" w14:paraId="1D6F5D9D" w14:textId="77777777">
      <w:pPr>
        <w:widowControl/>
        <w:shd w:val="clear" w:color="auto" w:fill="FFFFFF"/>
        <w:ind w:left="450"/>
        <w:rPr>
          <w:snapToGrid/>
          <w:color w:val="222222"/>
          <w:szCs w:val="24"/>
          <w:highlight w:val="yellow"/>
        </w:rPr>
      </w:pPr>
    </w:p>
    <w:p w:rsidRPr="005F7E30" w:rsidR="005F7E30" w:rsidP="0057282A" w:rsidRDefault="0057282A" w14:paraId="54670768" w14:textId="77777777">
      <w:pPr>
        <w:widowControl/>
        <w:shd w:val="clear" w:color="auto" w:fill="FFFFFF"/>
        <w:ind w:left="450"/>
        <w:rPr>
          <w:snapToGrid/>
          <w:color w:val="222222"/>
          <w:szCs w:val="24"/>
        </w:rPr>
      </w:pPr>
      <w:r>
        <w:rPr>
          <w:snapToGrid/>
          <w:color w:val="222222"/>
          <w:szCs w:val="24"/>
        </w:rPr>
        <w:t>Eni US Operating Co. Inc., Manager, Public Relations &amp; Alaska Rep., (907) 865-3350, 3800 CenterPoint Drive, Suite 300, Anchorage, AK 99503</w:t>
      </w:r>
    </w:p>
    <w:p w:rsidR="001D1366" w:rsidP="00072904" w:rsidRDefault="001D1366" w14:paraId="0F94038A" w14:textId="77777777">
      <w:pPr>
        <w:tabs>
          <w:tab w:val="left" w:pos="360"/>
          <w:tab w:val="left" w:pos="720"/>
        </w:tabs>
      </w:pPr>
    </w:p>
    <w:p w:rsidRPr="00552ED1" w:rsidR="001D1366" w:rsidP="00072904" w:rsidRDefault="001D1366" w14:paraId="3C58880B" w14:textId="77777777">
      <w:pPr>
        <w:tabs>
          <w:tab w:val="left" w:pos="360"/>
          <w:tab w:val="left" w:pos="720"/>
        </w:tabs>
      </w:pPr>
      <w:r w:rsidRPr="001D1366">
        <w:t xml:space="preserve">All the different reporting and recordkeeping requirements that are listed in the following Subpart </w:t>
      </w:r>
      <w:r>
        <w:t>M</w:t>
      </w:r>
      <w:r w:rsidRPr="001D1366">
        <w:t xml:space="preserve"> </w:t>
      </w:r>
      <w:r w:rsidRPr="001D1366">
        <w:lastRenderedPageBreak/>
        <w:t xml:space="preserve">burden table (Section A.12) were thoroughly reviewed by the company representatives listed.  These representatives had no concerns regarding the availability of data, frequency of collection, clarity of instructions, and elements being collected at this time.  The companies that replied provided the burden estimates that are reflected in Section A.12.   </w:t>
      </w:r>
    </w:p>
    <w:p w:rsidRPr="00552ED1" w:rsidR="00072904" w:rsidP="00E208F7" w:rsidRDefault="00072904" w14:paraId="2B67EFB4" w14:textId="77777777">
      <w:pPr>
        <w:tabs>
          <w:tab w:val="left" w:pos="360"/>
          <w:tab w:val="left" w:pos="720"/>
        </w:tabs>
      </w:pPr>
    </w:p>
    <w:p w:rsidR="00575958" w:rsidP="00E208F7" w:rsidRDefault="00575958" w14:paraId="4D63A0D6" w14:textId="77777777">
      <w:pPr>
        <w:tabs>
          <w:tab w:val="left" w:pos="-1080"/>
          <w:tab w:val="left" w:pos="-720"/>
          <w:tab w:val="left" w:pos="360"/>
          <w:tab w:val="left" w:pos="720"/>
        </w:tabs>
      </w:pPr>
      <w:r w:rsidRPr="00600EEB">
        <w:rPr>
          <w:b/>
          <w:i/>
        </w:rPr>
        <w:t>9.</w:t>
      </w:r>
      <w:r w:rsidRPr="00600EEB">
        <w:rPr>
          <w:b/>
          <w:i/>
        </w:rPr>
        <w:tab/>
        <w:t>Explain any decision to provide any payment or gift to respondents, other than remuneration of contractors or grantees.</w:t>
      </w:r>
      <w:r>
        <w:rPr>
          <w:b/>
        </w:rPr>
        <w:t xml:space="preserve"> </w:t>
      </w:r>
    </w:p>
    <w:p w:rsidR="00575958" w:rsidP="00E208F7" w:rsidRDefault="00575958" w14:paraId="021E006C" w14:textId="77777777">
      <w:pPr>
        <w:tabs>
          <w:tab w:val="left" w:pos="-1080"/>
          <w:tab w:val="left" w:pos="-720"/>
          <w:tab w:val="left" w:pos="360"/>
          <w:tab w:val="left" w:pos="720"/>
        </w:tabs>
      </w:pPr>
    </w:p>
    <w:p w:rsidR="00575958" w:rsidP="00E208F7" w:rsidRDefault="001D1366" w14:paraId="5402D812" w14:textId="77777777">
      <w:pPr>
        <w:tabs>
          <w:tab w:val="left" w:pos="-1080"/>
          <w:tab w:val="left" w:pos="-720"/>
          <w:tab w:val="left" w:pos="360"/>
          <w:tab w:val="left" w:pos="720"/>
        </w:tabs>
      </w:pPr>
      <w:r>
        <w:t>The BSEE</w:t>
      </w:r>
      <w:r w:rsidR="00575958">
        <w:t xml:space="preserve"> will not provide payment or gifts to respondents in this collection.</w:t>
      </w:r>
    </w:p>
    <w:p w:rsidR="00575958" w:rsidP="00E208F7" w:rsidRDefault="00575958" w14:paraId="0C280429" w14:textId="77777777">
      <w:pPr>
        <w:tabs>
          <w:tab w:val="left" w:pos="-1080"/>
          <w:tab w:val="left" w:pos="-720"/>
          <w:tab w:val="left" w:pos="360"/>
          <w:tab w:val="left" w:pos="720"/>
        </w:tabs>
      </w:pPr>
    </w:p>
    <w:p w:rsidRPr="00600EEB" w:rsidR="00575958" w:rsidP="00E208F7" w:rsidRDefault="00575958" w14:paraId="7634464C" w14:textId="77777777">
      <w:pPr>
        <w:tabs>
          <w:tab w:val="left" w:pos="-1080"/>
          <w:tab w:val="left" w:pos="-720"/>
          <w:tab w:val="left" w:pos="360"/>
          <w:tab w:val="left" w:pos="810"/>
        </w:tabs>
        <w:rPr>
          <w:i/>
        </w:rPr>
      </w:pPr>
      <w:r w:rsidRPr="00600EEB">
        <w:rPr>
          <w:b/>
          <w:i/>
        </w:rPr>
        <w:t>10.</w:t>
      </w:r>
      <w:r w:rsidRPr="00600EEB">
        <w:rPr>
          <w:b/>
          <w:i/>
        </w:rPr>
        <w:tab/>
        <w:t>Describe any assurance of confidentiality provided to respondents and the basis for the assurance in statute, regulation, or agency policy.</w:t>
      </w:r>
      <w:r w:rsidRPr="00600EEB">
        <w:rPr>
          <w:i/>
        </w:rPr>
        <w:t xml:space="preserve">  </w:t>
      </w:r>
    </w:p>
    <w:p w:rsidR="00575958" w:rsidP="00E208F7" w:rsidRDefault="00575958" w14:paraId="4E79D4A9" w14:textId="77777777">
      <w:pPr>
        <w:tabs>
          <w:tab w:val="left" w:pos="-1080"/>
          <w:tab w:val="left" w:pos="-720"/>
          <w:tab w:val="left" w:pos="360"/>
          <w:tab w:val="left" w:pos="810"/>
        </w:tabs>
      </w:pPr>
    </w:p>
    <w:p w:rsidRPr="004D0467" w:rsidR="00FD4CD7" w:rsidP="00FD4CD7" w:rsidRDefault="00FD4CD7" w14:paraId="32E02565" w14:textId="77777777">
      <w:pPr>
        <w:tabs>
          <w:tab w:val="left" w:pos="360"/>
          <w:tab w:val="left" w:pos="720"/>
        </w:tabs>
        <w:rPr>
          <w:i/>
        </w:rPr>
      </w:pPr>
      <w:r w:rsidRPr="004D0467">
        <w:t xml:space="preserve">BSEE will protect any confidential commercial or proprietary information according to the Freedom of Information Act (5 U.S.C. 552) and DOI’s implementing regulations (43 CFR 2); section 26 of OCSLA (43 U.S.C. 1352); 30 CFR 250.197, </w:t>
      </w:r>
      <w:r w:rsidRPr="004D0467">
        <w:rPr>
          <w:i/>
        </w:rPr>
        <w:t>Data and information to be made available to the public or for limited inspection;</w:t>
      </w:r>
      <w:r w:rsidRPr="004D0467">
        <w:t xml:space="preserve"> and 30 CFR part 252, </w:t>
      </w:r>
      <w:r w:rsidRPr="004D0467">
        <w:rPr>
          <w:i/>
        </w:rPr>
        <w:t>OCS Oil and Gas Information Program.</w:t>
      </w:r>
    </w:p>
    <w:p w:rsidR="00EF5F66" w:rsidP="00E208F7" w:rsidRDefault="00EF5F66" w14:paraId="5C0770E7" w14:textId="77777777">
      <w:pPr>
        <w:tabs>
          <w:tab w:val="left" w:pos="-1080"/>
          <w:tab w:val="left" w:pos="-720"/>
          <w:tab w:val="left" w:pos="360"/>
          <w:tab w:val="left" w:pos="810"/>
        </w:tabs>
      </w:pPr>
    </w:p>
    <w:p w:rsidRPr="00600EEB" w:rsidR="00575958" w:rsidP="00E208F7" w:rsidRDefault="00575958" w14:paraId="24832643" w14:textId="77777777">
      <w:pPr>
        <w:tabs>
          <w:tab w:val="left" w:pos="-1080"/>
          <w:tab w:val="left" w:pos="-720"/>
          <w:tab w:val="left" w:pos="360"/>
          <w:tab w:val="left" w:pos="810"/>
        </w:tabs>
        <w:rPr>
          <w:i/>
        </w:rPr>
      </w:pPr>
      <w:r w:rsidRPr="00600EEB">
        <w:rPr>
          <w:b/>
          <w:i/>
        </w:rPr>
        <w:t>11.</w:t>
      </w:r>
      <w:r w:rsidRPr="00600EEB">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rsidR="00575958" w:rsidP="00E208F7" w:rsidRDefault="00575958" w14:paraId="565F91BC" w14:textId="77777777">
      <w:pPr>
        <w:tabs>
          <w:tab w:val="left" w:pos="-1080"/>
          <w:tab w:val="left" w:pos="-720"/>
          <w:tab w:val="left" w:pos="360"/>
          <w:tab w:val="left" w:pos="810"/>
        </w:tabs>
      </w:pPr>
    </w:p>
    <w:p w:rsidR="00575958" w:rsidP="00E208F7" w:rsidRDefault="00575958" w14:paraId="2B66B862" w14:textId="77777777">
      <w:pPr>
        <w:tabs>
          <w:tab w:val="left" w:pos="-1080"/>
          <w:tab w:val="left" w:pos="-720"/>
          <w:tab w:val="left" w:pos="360"/>
          <w:tab w:val="left" w:pos="810"/>
        </w:tabs>
      </w:pPr>
      <w:r>
        <w:t>The collection does not include sensitive or private questions.</w:t>
      </w:r>
    </w:p>
    <w:p w:rsidR="00575958" w:rsidP="00E208F7" w:rsidRDefault="00575958" w14:paraId="1EBC4E56" w14:textId="77777777">
      <w:pPr>
        <w:tabs>
          <w:tab w:val="left" w:pos="-1080"/>
          <w:tab w:val="left" w:pos="-720"/>
          <w:tab w:val="left" w:pos="360"/>
          <w:tab w:val="left" w:pos="810"/>
        </w:tabs>
      </w:pPr>
    </w:p>
    <w:p w:rsidR="00575958" w:rsidP="00E208F7" w:rsidRDefault="00575958" w14:paraId="3915FEB4" w14:textId="77777777">
      <w:pPr>
        <w:tabs>
          <w:tab w:val="left" w:pos="-1080"/>
          <w:tab w:val="left" w:pos="-720"/>
          <w:tab w:val="left" w:pos="360"/>
          <w:tab w:val="left" w:pos="810"/>
        </w:tabs>
        <w:rPr>
          <w:b/>
          <w:i/>
        </w:rPr>
      </w:pPr>
      <w:r w:rsidRPr="00600EEB">
        <w:rPr>
          <w:b/>
          <w:i/>
        </w:rPr>
        <w:t>12.</w:t>
      </w:r>
      <w:r w:rsidRPr="00600EEB">
        <w:rPr>
          <w:b/>
          <w:i/>
        </w:rPr>
        <w:tab/>
        <w:t>Provide estimates of the hour burden of the collection of information.  The statement should:</w:t>
      </w:r>
    </w:p>
    <w:p w:rsidRPr="00600EEB" w:rsidR="00575958" w:rsidP="00E208F7" w:rsidRDefault="00575958" w14:paraId="1BD9017B" w14:textId="77777777">
      <w:pPr>
        <w:tabs>
          <w:tab w:val="left" w:pos="-1080"/>
          <w:tab w:val="left" w:pos="-720"/>
          <w:tab w:val="left" w:pos="360"/>
          <w:tab w:val="left" w:pos="810"/>
        </w:tabs>
        <w:rPr>
          <w:b/>
          <w:i/>
        </w:rPr>
      </w:pPr>
    </w:p>
    <w:p w:rsidR="00575958" w:rsidP="00E208F7" w:rsidRDefault="00575958" w14:paraId="6F1A8719" w14:textId="77777777">
      <w:pPr>
        <w:tabs>
          <w:tab w:val="left" w:pos="-1080"/>
          <w:tab w:val="left" w:pos="-720"/>
          <w:tab w:val="left" w:pos="360"/>
          <w:tab w:val="left" w:pos="810"/>
        </w:tabs>
        <w:rPr>
          <w:b/>
          <w:i/>
        </w:rPr>
      </w:pPr>
      <w:r w:rsidRPr="00600EEB">
        <w:rPr>
          <w:b/>
          <w:i/>
        </w:rPr>
        <w:tab/>
      </w:r>
      <w:r>
        <w:rPr>
          <w:b/>
          <w:i/>
        </w:rPr>
        <w:t>(a)</w:t>
      </w:r>
      <w:r w:rsidRPr="00600EEB">
        <w:rPr>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575958" w:rsidP="00E208F7" w:rsidRDefault="00575958" w14:paraId="67BDCBDB" w14:textId="77777777">
      <w:pPr>
        <w:tabs>
          <w:tab w:val="left" w:pos="-1080"/>
          <w:tab w:val="left" w:pos="-720"/>
          <w:tab w:val="left" w:pos="360"/>
          <w:tab w:val="left" w:pos="810"/>
        </w:tabs>
        <w:rPr>
          <w:b/>
          <w:i/>
        </w:rPr>
      </w:pPr>
    </w:p>
    <w:p w:rsidR="00575958" w:rsidP="00E208F7" w:rsidRDefault="00575958" w14:paraId="77428179" w14:textId="77777777">
      <w:pPr>
        <w:tabs>
          <w:tab w:val="left" w:pos="-1080"/>
          <w:tab w:val="left" w:pos="-720"/>
          <w:tab w:val="left" w:pos="360"/>
          <w:tab w:val="left" w:pos="810"/>
        </w:tabs>
        <w:rPr>
          <w:b/>
          <w:i/>
        </w:rPr>
      </w:pPr>
      <w:r w:rsidRPr="00600EEB">
        <w:rPr>
          <w:b/>
          <w:i/>
        </w:rPr>
        <w:tab/>
      </w:r>
      <w:r>
        <w:rPr>
          <w:b/>
          <w:i/>
        </w:rPr>
        <w:t>(b)</w:t>
      </w:r>
      <w:r w:rsidRPr="00600EEB">
        <w:rPr>
          <w:b/>
          <w:i/>
        </w:rPr>
        <w:t xml:space="preserve"> If this request for approval covers more than one form, provide separate hour burden estimates for each form and aggregate the hour burdens.</w:t>
      </w:r>
    </w:p>
    <w:p w:rsidR="00552ED1" w:rsidP="00E208F7" w:rsidRDefault="00552ED1" w14:paraId="4D6DF4E5" w14:textId="77777777">
      <w:pPr>
        <w:tabs>
          <w:tab w:val="left" w:pos="-1080"/>
          <w:tab w:val="left" w:pos="-720"/>
          <w:tab w:val="left" w:pos="360"/>
          <w:tab w:val="left" w:pos="810"/>
        </w:tabs>
        <w:rPr>
          <w:b/>
          <w:i/>
        </w:rPr>
      </w:pPr>
    </w:p>
    <w:p w:rsidR="001D1366" w:rsidP="00E208F7" w:rsidRDefault="001D1366" w14:paraId="0E58CB70" w14:textId="4D7C799E">
      <w:pPr>
        <w:tabs>
          <w:tab w:val="left" w:pos="-1080"/>
          <w:tab w:val="left" w:pos="-720"/>
          <w:tab w:val="left" w:pos="360"/>
          <w:tab w:val="left" w:pos="810"/>
        </w:tabs>
      </w:pPr>
      <w:r w:rsidRPr="001D1366">
        <w:t>Potential respondents include Federal OCS oil, gas, and sul</w:t>
      </w:r>
      <w:r w:rsidR="00BA5AD1">
        <w:t>f</w:t>
      </w:r>
      <w:r w:rsidRPr="001D1366">
        <w:t>ur lessees</w:t>
      </w:r>
      <w:r w:rsidR="004B36C5">
        <w:t xml:space="preserve"> and/or operators </w:t>
      </w:r>
      <w:r w:rsidRPr="001D1366">
        <w:t xml:space="preserve">and holders of pipeline rights-of-way.  </w:t>
      </w:r>
      <w:r w:rsidRPr="00141D80" w:rsidR="00141D80">
        <w:t>Currently there are approximately 60 Oil and Gas Drilling and Production Operators in the OCS.  Not all the potential respondents will submit information in any given year, and some may submit multiple times.</w:t>
      </w:r>
      <w:r w:rsidRPr="001D1366">
        <w:t xml:space="preserve">  The burden estimates include the time for reviewing instructions, searching existing data sources, gathering and maintaining the data needed, and completing and reviewing the collection of information and are based on information discussions with the respondents</w:t>
      </w:r>
      <w:r w:rsidR="00B82EBF">
        <w:t xml:space="preserve"> listed</w:t>
      </w:r>
      <w:r w:rsidRPr="001D1366">
        <w:t xml:space="preserve"> in Section A.8.  Submissions are </w:t>
      </w:r>
      <w:r w:rsidR="00755543">
        <w:t>generally on occasion</w:t>
      </w:r>
      <w:r w:rsidRPr="001D1366">
        <w:t xml:space="preserve">.  </w:t>
      </w:r>
      <w:r w:rsidR="00216003">
        <w:t>R</w:t>
      </w:r>
      <w:r w:rsidRPr="001D1366">
        <w:t>esponses are voluntary,</w:t>
      </w:r>
      <w:r w:rsidR="00C57C79">
        <w:t xml:space="preserve"> </w:t>
      </w:r>
      <w:r w:rsidR="00C015FC">
        <w:t>and</w:t>
      </w:r>
      <w:r w:rsidR="00C57C79">
        <w:t xml:space="preserve"> some are</w:t>
      </w:r>
      <w:r w:rsidRPr="001D1366">
        <w:t xml:space="preserve"> required to obtain or retain benefits.  We estimate the total annual burden </w:t>
      </w:r>
      <w:r w:rsidRPr="00E80F50">
        <w:t xml:space="preserve">is </w:t>
      </w:r>
      <w:r w:rsidR="00E80F50">
        <w:t>5,998</w:t>
      </w:r>
      <w:r w:rsidRPr="00E80F50">
        <w:t xml:space="preserve"> hours.  Refer</w:t>
      </w:r>
      <w:r w:rsidRPr="001D1366">
        <w:t xml:space="preserve"> to the </w:t>
      </w:r>
      <w:r w:rsidRPr="001D1366">
        <w:lastRenderedPageBreak/>
        <w:t>following table for a breakdown of the burdens.</w:t>
      </w:r>
    </w:p>
    <w:p w:rsidR="008D69D8" w:rsidP="00E208F7" w:rsidRDefault="008D69D8" w14:paraId="7F813DC8" w14:textId="77777777">
      <w:pPr>
        <w:tabs>
          <w:tab w:val="left" w:pos="-1080"/>
          <w:tab w:val="left" w:pos="-720"/>
          <w:tab w:val="left" w:pos="360"/>
          <w:tab w:val="left" w:pos="810"/>
        </w:tabs>
      </w:pPr>
    </w:p>
    <w:p w:rsidR="001D1366" w:rsidP="00E208F7" w:rsidRDefault="001D1366" w14:paraId="1C2C2768" w14:textId="77777777">
      <w:pPr>
        <w:tabs>
          <w:tab w:val="left" w:pos="-1080"/>
          <w:tab w:val="left" w:pos="-720"/>
          <w:tab w:val="left" w:pos="360"/>
          <w:tab w:val="left" w:pos="810"/>
        </w:tabs>
      </w:pPr>
    </w:p>
    <w:p w:rsidR="00552ED1" w:rsidP="00E208F7" w:rsidRDefault="00954469" w14:paraId="64F07D19" w14:textId="77777777">
      <w:pPr>
        <w:tabs>
          <w:tab w:val="left" w:pos="-1080"/>
          <w:tab w:val="left" w:pos="-720"/>
          <w:tab w:val="left" w:pos="360"/>
          <w:tab w:val="left" w:pos="810"/>
        </w:tabs>
        <w:jc w:val="center"/>
        <w:rPr>
          <w:b/>
        </w:rPr>
      </w:pPr>
      <w:r>
        <w:rPr>
          <w:b/>
        </w:rPr>
        <w:t>BURDEN BREAKDOWN</w:t>
      </w:r>
    </w:p>
    <w:p w:rsidR="00F75D59" w:rsidP="00E208F7" w:rsidRDefault="00F75D59" w14:paraId="78FC0A63" w14:textId="77777777">
      <w:pPr>
        <w:tabs>
          <w:tab w:val="left" w:pos="-1080"/>
          <w:tab w:val="left" w:pos="-720"/>
          <w:tab w:val="left" w:pos="360"/>
          <w:tab w:val="left" w:pos="810"/>
        </w:tabs>
        <w:jc w:val="center"/>
        <w:rPr>
          <w:b/>
        </w:rPr>
      </w:pP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139" w:type="dxa"/>
          <w:right w:w="139" w:type="dxa"/>
        </w:tblCellMar>
        <w:tblLook w:val="0000" w:firstRow="0" w:lastRow="0" w:firstColumn="0" w:lastColumn="0" w:noHBand="0" w:noVBand="0"/>
      </w:tblPr>
      <w:tblGrid>
        <w:gridCol w:w="1131"/>
        <w:gridCol w:w="5032"/>
        <w:gridCol w:w="1071"/>
        <w:gridCol w:w="1633"/>
        <w:gridCol w:w="1197"/>
      </w:tblGrid>
      <w:tr w:rsidRPr="00216003" w:rsidR="00027D42" w:rsidTr="00892BD4" w14:paraId="57F5F5F4" w14:textId="77777777">
        <w:trPr>
          <w:trHeight w:val="511"/>
          <w:tblHeader/>
          <w:jc w:val="center"/>
        </w:trPr>
        <w:tc>
          <w:tcPr>
            <w:tcW w:w="1131" w:type="dxa"/>
            <w:vMerge w:val="restart"/>
            <w:tcBorders>
              <w:top w:val="single" w:color="auto" w:sz="4" w:space="0"/>
              <w:left w:val="single" w:color="000000" w:sz="6" w:space="0"/>
              <w:right w:val="single" w:color="000000" w:sz="6" w:space="0"/>
            </w:tcBorders>
            <w:shd w:val="pct10" w:color="000000" w:fill="FFFFFF"/>
            <w:vAlign w:val="center"/>
          </w:tcPr>
          <w:p w:rsidRPr="00216003" w:rsidR="00027D42" w:rsidP="00E208F7" w:rsidRDefault="00027D42" w14:paraId="78275DCA" w14:textId="77777777">
            <w:pPr>
              <w:jc w:val="center"/>
              <w:rPr>
                <w:b/>
                <w:sz w:val="22"/>
                <w:szCs w:val="22"/>
              </w:rPr>
            </w:pPr>
            <w:r w:rsidRPr="00216003">
              <w:rPr>
                <w:b/>
                <w:sz w:val="22"/>
                <w:szCs w:val="22"/>
              </w:rPr>
              <w:t>Citation</w:t>
            </w:r>
          </w:p>
          <w:p w:rsidRPr="00216003" w:rsidR="00027D42" w:rsidP="00E208F7" w:rsidRDefault="00027D42" w14:paraId="194608E5" w14:textId="77777777">
            <w:pPr>
              <w:jc w:val="center"/>
              <w:rPr>
                <w:b/>
                <w:sz w:val="22"/>
                <w:szCs w:val="22"/>
              </w:rPr>
            </w:pPr>
            <w:r w:rsidRPr="00216003">
              <w:rPr>
                <w:b/>
                <w:sz w:val="22"/>
                <w:szCs w:val="22"/>
              </w:rPr>
              <w:t>30 CFR 250</w:t>
            </w:r>
          </w:p>
          <w:p w:rsidRPr="00216003" w:rsidR="00027D42" w:rsidP="00E208F7" w:rsidRDefault="001D1366" w14:paraId="2ECFEC12" w14:textId="77777777">
            <w:pPr>
              <w:snapToGrid w:val="0"/>
              <w:jc w:val="center"/>
              <w:rPr>
                <w:b/>
                <w:sz w:val="22"/>
                <w:szCs w:val="22"/>
              </w:rPr>
            </w:pPr>
            <w:r w:rsidRPr="00216003">
              <w:rPr>
                <w:b/>
                <w:sz w:val="22"/>
                <w:szCs w:val="22"/>
              </w:rPr>
              <w:t>S</w:t>
            </w:r>
            <w:r w:rsidRPr="00216003" w:rsidR="00027D42">
              <w:rPr>
                <w:b/>
                <w:sz w:val="22"/>
                <w:szCs w:val="22"/>
              </w:rPr>
              <w:t>ubpart M</w:t>
            </w:r>
          </w:p>
        </w:tc>
        <w:tc>
          <w:tcPr>
            <w:tcW w:w="0" w:type="auto"/>
            <w:vMerge w:val="restart"/>
            <w:tcBorders>
              <w:top w:val="single" w:color="auto" w:sz="4" w:space="0"/>
              <w:left w:val="single" w:color="000000" w:sz="6" w:space="0"/>
              <w:right w:val="single" w:color="000000" w:sz="6" w:space="0"/>
            </w:tcBorders>
            <w:shd w:val="pct10" w:color="000000" w:fill="FFFFFF"/>
            <w:vAlign w:val="center"/>
          </w:tcPr>
          <w:p w:rsidRPr="00216003" w:rsidR="00027D42" w:rsidP="00E208F7" w:rsidRDefault="005D5CD4" w14:paraId="79A02ED3" w14:textId="77777777">
            <w:pPr>
              <w:snapToGrid w:val="0"/>
              <w:jc w:val="center"/>
              <w:rPr>
                <w:b/>
                <w:sz w:val="22"/>
                <w:szCs w:val="22"/>
              </w:rPr>
            </w:pPr>
            <w:r w:rsidRPr="00216003">
              <w:rPr>
                <w:b/>
                <w:sz w:val="22"/>
                <w:szCs w:val="22"/>
              </w:rPr>
              <w:t xml:space="preserve">Recordkeeping and </w:t>
            </w:r>
            <w:r w:rsidRPr="00216003" w:rsidR="00027D42">
              <w:rPr>
                <w:b/>
                <w:sz w:val="22"/>
                <w:szCs w:val="22"/>
              </w:rPr>
              <w:t>Reporting Requirement</w:t>
            </w:r>
          </w:p>
        </w:tc>
        <w:tc>
          <w:tcPr>
            <w:tcW w:w="0" w:type="auto"/>
            <w:tcBorders>
              <w:top w:val="single" w:color="auto" w:sz="4" w:space="0"/>
              <w:left w:val="single" w:color="000000" w:sz="6" w:space="0"/>
              <w:bottom w:val="single" w:color="000000" w:sz="8" w:space="0"/>
              <w:right w:val="single" w:color="000000" w:sz="6" w:space="0"/>
            </w:tcBorders>
            <w:shd w:val="pct10" w:color="000000" w:fill="FFFFFF"/>
            <w:vAlign w:val="center"/>
          </w:tcPr>
          <w:p w:rsidRPr="00216003" w:rsidR="00027D42" w:rsidP="00337EFC" w:rsidRDefault="00027D42" w14:paraId="11314F03" w14:textId="77777777">
            <w:pPr>
              <w:snapToGrid w:val="0"/>
              <w:spacing w:before="40" w:after="40"/>
              <w:jc w:val="center"/>
              <w:rPr>
                <w:b/>
                <w:sz w:val="22"/>
                <w:szCs w:val="22"/>
              </w:rPr>
            </w:pPr>
            <w:r w:rsidRPr="00216003">
              <w:rPr>
                <w:b/>
                <w:sz w:val="22"/>
                <w:szCs w:val="22"/>
              </w:rPr>
              <w:t>Hour Burden</w:t>
            </w:r>
          </w:p>
        </w:tc>
        <w:tc>
          <w:tcPr>
            <w:tcW w:w="0" w:type="auto"/>
            <w:tcBorders>
              <w:top w:val="single" w:color="auto" w:sz="4" w:space="0"/>
              <w:left w:val="single" w:color="000000" w:sz="6" w:space="0"/>
              <w:bottom w:val="single" w:color="000000" w:sz="8" w:space="0"/>
              <w:right w:val="single" w:color="000000" w:sz="6" w:space="0"/>
            </w:tcBorders>
            <w:shd w:val="pct10" w:color="000000" w:fill="FFFFFF"/>
            <w:vAlign w:val="center"/>
          </w:tcPr>
          <w:p w:rsidRPr="00216003" w:rsidR="00027D42" w:rsidP="00337EFC" w:rsidRDefault="00027D42" w14:paraId="2BB0F165" w14:textId="77777777">
            <w:pPr>
              <w:snapToGrid w:val="0"/>
              <w:spacing w:before="40" w:after="40"/>
              <w:jc w:val="center"/>
              <w:rPr>
                <w:b/>
                <w:sz w:val="22"/>
                <w:szCs w:val="22"/>
              </w:rPr>
            </w:pPr>
            <w:r w:rsidRPr="00216003">
              <w:rPr>
                <w:b/>
                <w:sz w:val="22"/>
                <w:szCs w:val="22"/>
              </w:rPr>
              <w:t>Average No. Annual Responses</w:t>
            </w:r>
          </w:p>
        </w:tc>
        <w:tc>
          <w:tcPr>
            <w:tcW w:w="0" w:type="auto"/>
            <w:tcBorders>
              <w:top w:val="single" w:color="auto" w:sz="4" w:space="0"/>
              <w:left w:val="single" w:color="000000" w:sz="6" w:space="0"/>
              <w:bottom w:val="single" w:color="000000" w:sz="8" w:space="0"/>
              <w:right w:val="single" w:color="000000" w:sz="6" w:space="0"/>
            </w:tcBorders>
            <w:shd w:val="pct10" w:color="000000" w:fill="FFFFFF"/>
            <w:vAlign w:val="center"/>
          </w:tcPr>
          <w:p w:rsidRPr="00216003" w:rsidR="00027D42" w:rsidP="00337EFC" w:rsidRDefault="00027D42" w14:paraId="3E297839" w14:textId="77777777">
            <w:pPr>
              <w:snapToGrid w:val="0"/>
              <w:spacing w:before="40" w:after="40"/>
              <w:jc w:val="center"/>
              <w:rPr>
                <w:b/>
                <w:sz w:val="22"/>
                <w:szCs w:val="22"/>
              </w:rPr>
            </w:pPr>
            <w:r w:rsidRPr="00216003">
              <w:rPr>
                <w:b/>
                <w:sz w:val="22"/>
                <w:szCs w:val="22"/>
              </w:rPr>
              <w:t>Annual Burden Hours</w:t>
            </w:r>
          </w:p>
        </w:tc>
      </w:tr>
      <w:tr w:rsidRPr="00216003" w:rsidR="00027D42" w:rsidTr="00892BD4" w14:paraId="18F9C887" w14:textId="77777777">
        <w:trPr>
          <w:trHeight w:val="510"/>
          <w:tblHeader/>
          <w:jc w:val="center"/>
        </w:trPr>
        <w:tc>
          <w:tcPr>
            <w:tcW w:w="1131" w:type="dxa"/>
            <w:vMerge/>
            <w:tcBorders>
              <w:left w:val="single" w:color="000000" w:sz="6" w:space="0"/>
              <w:bottom w:val="single" w:color="000000" w:sz="8" w:space="0"/>
              <w:right w:val="single" w:color="000000" w:sz="6" w:space="0"/>
            </w:tcBorders>
            <w:shd w:val="pct10" w:color="000000" w:fill="FFFFFF"/>
            <w:vAlign w:val="center"/>
          </w:tcPr>
          <w:p w:rsidRPr="00216003" w:rsidR="00027D42" w:rsidP="00E208F7" w:rsidRDefault="00027D42" w14:paraId="11E963EA" w14:textId="77777777">
            <w:pPr>
              <w:jc w:val="center"/>
              <w:rPr>
                <w:b/>
                <w:sz w:val="22"/>
                <w:szCs w:val="22"/>
              </w:rPr>
            </w:pPr>
          </w:p>
        </w:tc>
        <w:tc>
          <w:tcPr>
            <w:tcW w:w="0" w:type="auto"/>
            <w:vMerge/>
            <w:tcBorders>
              <w:left w:val="single" w:color="000000" w:sz="6" w:space="0"/>
              <w:bottom w:val="single" w:color="000000" w:sz="8" w:space="0"/>
              <w:right w:val="single" w:color="000000" w:sz="6" w:space="0"/>
            </w:tcBorders>
            <w:shd w:val="pct10" w:color="000000" w:fill="FFFFFF"/>
            <w:vAlign w:val="center"/>
          </w:tcPr>
          <w:p w:rsidRPr="00216003" w:rsidR="00027D42" w:rsidP="00E208F7" w:rsidRDefault="00027D42" w14:paraId="41AACC6B" w14:textId="77777777">
            <w:pPr>
              <w:snapToGrid w:val="0"/>
              <w:jc w:val="center"/>
              <w:rPr>
                <w:b/>
                <w:sz w:val="22"/>
                <w:szCs w:val="22"/>
              </w:rPr>
            </w:pPr>
          </w:p>
        </w:tc>
        <w:tc>
          <w:tcPr>
            <w:tcW w:w="0" w:type="auto"/>
            <w:gridSpan w:val="3"/>
            <w:tcBorders>
              <w:top w:val="single" w:color="auto" w:sz="4" w:space="0"/>
              <w:left w:val="single" w:color="000000" w:sz="6" w:space="0"/>
              <w:bottom w:val="single" w:color="000000" w:sz="8" w:space="0"/>
              <w:right w:val="single" w:color="000000" w:sz="6" w:space="0"/>
            </w:tcBorders>
            <w:shd w:val="pct10" w:color="000000" w:fill="FFFFFF"/>
            <w:vAlign w:val="center"/>
          </w:tcPr>
          <w:p w:rsidRPr="00216003" w:rsidR="00027D42" w:rsidP="00E208F7" w:rsidRDefault="00015861" w14:paraId="5070F87E" w14:textId="77777777">
            <w:pPr>
              <w:snapToGrid w:val="0"/>
              <w:jc w:val="center"/>
              <w:rPr>
                <w:b/>
                <w:sz w:val="22"/>
                <w:szCs w:val="22"/>
              </w:rPr>
            </w:pPr>
            <w:r w:rsidRPr="00216003">
              <w:rPr>
                <w:b/>
                <w:sz w:val="22"/>
                <w:szCs w:val="22"/>
              </w:rPr>
              <w:t>Non-Hour Cost Burdens</w:t>
            </w:r>
            <w:r w:rsidRPr="00216003" w:rsidR="005D5CD4">
              <w:rPr>
                <w:b/>
                <w:sz w:val="22"/>
                <w:szCs w:val="22"/>
              </w:rPr>
              <w:t>*</w:t>
            </w:r>
          </w:p>
        </w:tc>
      </w:tr>
      <w:tr w:rsidRPr="00216003" w:rsidR="00D1636F" w:rsidTr="001A1596" w14:paraId="4AA37B33" w14:textId="77777777">
        <w:trPr>
          <w:jc w:val="center"/>
        </w:trPr>
        <w:tc>
          <w:tcPr>
            <w:tcW w:w="1131" w:type="dxa"/>
            <w:tcBorders>
              <w:top w:val="single" w:color="000000" w:sz="8" w:space="0"/>
              <w:left w:val="single" w:color="000000" w:sz="8" w:space="0"/>
              <w:bottom w:val="single" w:color="auto" w:sz="4" w:space="0"/>
              <w:right w:val="single" w:color="000000" w:sz="8" w:space="0"/>
            </w:tcBorders>
            <w:shd w:val="clear" w:color="auto" w:fill="auto"/>
          </w:tcPr>
          <w:p w:rsidRPr="00216003" w:rsidR="00D1636F" w:rsidP="00E67792" w:rsidRDefault="00D1636F" w14:paraId="418E92D9" w14:textId="77777777">
            <w:pPr>
              <w:snapToGrid w:val="0"/>
              <w:ind w:left="-49" w:right="-49"/>
              <w:rPr>
                <w:sz w:val="22"/>
                <w:szCs w:val="22"/>
              </w:rPr>
            </w:pPr>
            <w:r w:rsidRPr="00216003">
              <w:rPr>
                <w:sz w:val="22"/>
                <w:szCs w:val="22"/>
              </w:rPr>
              <w:t>1301</w:t>
            </w:r>
          </w:p>
        </w:tc>
        <w:tc>
          <w:tcPr>
            <w:tcW w:w="0" w:type="auto"/>
            <w:tcBorders>
              <w:top w:val="single" w:color="000000" w:sz="8" w:space="0"/>
              <w:left w:val="single" w:color="000000" w:sz="8" w:space="0"/>
              <w:bottom w:val="single" w:color="auto" w:sz="4" w:space="0"/>
              <w:right w:val="single" w:color="000000" w:sz="8" w:space="0"/>
            </w:tcBorders>
            <w:shd w:val="clear" w:color="auto" w:fill="auto"/>
          </w:tcPr>
          <w:p w:rsidRPr="00216003" w:rsidR="00D1636F" w:rsidP="00E67792" w:rsidRDefault="00D1636F" w14:paraId="15A46454" w14:textId="77777777">
            <w:pPr>
              <w:snapToGrid w:val="0"/>
              <w:rPr>
                <w:sz w:val="22"/>
                <w:szCs w:val="22"/>
              </w:rPr>
            </w:pPr>
            <w:r w:rsidRPr="00216003">
              <w:rPr>
                <w:sz w:val="22"/>
                <w:szCs w:val="22"/>
              </w:rPr>
              <w:t xml:space="preserve">Description of requirements.  </w:t>
            </w:r>
          </w:p>
        </w:tc>
        <w:tc>
          <w:tcPr>
            <w:tcW w:w="0" w:type="auto"/>
            <w:gridSpan w:val="2"/>
            <w:tcBorders>
              <w:top w:val="single" w:color="000000" w:sz="8" w:space="0"/>
              <w:left w:val="single" w:color="000000" w:sz="8" w:space="0"/>
              <w:bottom w:val="single" w:color="auto" w:sz="4" w:space="0"/>
              <w:right w:val="single" w:color="000000" w:sz="8" w:space="0"/>
            </w:tcBorders>
            <w:shd w:val="clear" w:color="auto" w:fill="auto"/>
          </w:tcPr>
          <w:p w:rsidRPr="00216003" w:rsidR="00D1636F" w:rsidP="00E67792" w:rsidRDefault="00D1636F" w14:paraId="5EA9A7A8" w14:textId="77777777">
            <w:pPr>
              <w:snapToGrid w:val="0"/>
              <w:rPr>
                <w:sz w:val="22"/>
                <w:szCs w:val="22"/>
              </w:rPr>
            </w:pPr>
            <w:r w:rsidRPr="00216003">
              <w:rPr>
                <w:sz w:val="22"/>
                <w:szCs w:val="22"/>
              </w:rPr>
              <w:t>Burden included in the following sections.</w:t>
            </w:r>
          </w:p>
        </w:tc>
        <w:tc>
          <w:tcPr>
            <w:tcW w:w="0" w:type="auto"/>
            <w:tcBorders>
              <w:top w:val="single" w:color="000000" w:sz="8" w:space="0"/>
              <w:left w:val="single" w:color="000000" w:sz="8" w:space="0"/>
              <w:bottom w:val="single" w:color="auto" w:sz="4" w:space="0"/>
              <w:right w:val="single" w:color="000000" w:sz="8" w:space="0"/>
            </w:tcBorders>
            <w:shd w:val="clear" w:color="auto" w:fill="auto"/>
          </w:tcPr>
          <w:p w:rsidRPr="00216003" w:rsidR="00D1636F" w:rsidP="00596022" w:rsidRDefault="00D1636F" w14:paraId="2D91BA44" w14:textId="77777777">
            <w:pPr>
              <w:snapToGrid w:val="0"/>
              <w:jc w:val="right"/>
              <w:rPr>
                <w:sz w:val="22"/>
                <w:szCs w:val="22"/>
              </w:rPr>
            </w:pPr>
            <w:r w:rsidRPr="00216003">
              <w:rPr>
                <w:sz w:val="22"/>
                <w:szCs w:val="22"/>
              </w:rPr>
              <w:t>0</w:t>
            </w:r>
          </w:p>
        </w:tc>
      </w:tr>
      <w:tr w:rsidRPr="00216003" w:rsidR="00813AD9" w:rsidTr="001A1596" w14:paraId="7581A878" w14:textId="77777777">
        <w:trPr>
          <w:jc w:val="center"/>
        </w:trPr>
        <w:tc>
          <w:tcPr>
            <w:tcW w:w="1131" w:type="dxa"/>
            <w:tcBorders>
              <w:top w:val="single" w:color="000000" w:sz="8" w:space="0"/>
              <w:left w:val="single" w:color="000000" w:sz="8" w:space="0"/>
              <w:bottom w:val="single" w:color="auto" w:sz="4" w:space="0"/>
              <w:right w:val="single" w:color="000000" w:sz="8" w:space="0"/>
            </w:tcBorders>
            <w:shd w:val="clear" w:color="auto" w:fill="auto"/>
          </w:tcPr>
          <w:p w:rsidRPr="00216003" w:rsidR="00813AD9" w:rsidP="00E67792" w:rsidRDefault="00813AD9" w14:paraId="7CBA2BB7" w14:textId="77777777">
            <w:pPr>
              <w:snapToGrid w:val="0"/>
              <w:ind w:left="-49" w:right="-49"/>
              <w:rPr>
                <w:sz w:val="22"/>
                <w:szCs w:val="22"/>
              </w:rPr>
            </w:pPr>
            <w:r w:rsidRPr="00216003">
              <w:rPr>
                <w:sz w:val="22"/>
                <w:szCs w:val="22"/>
              </w:rPr>
              <w:t>1300-1304</w:t>
            </w:r>
          </w:p>
        </w:tc>
        <w:tc>
          <w:tcPr>
            <w:tcW w:w="0" w:type="auto"/>
            <w:tcBorders>
              <w:top w:val="single" w:color="000000" w:sz="8" w:space="0"/>
              <w:left w:val="single" w:color="000000" w:sz="8" w:space="0"/>
              <w:bottom w:val="single" w:color="auto" w:sz="4" w:space="0"/>
              <w:right w:val="single" w:color="000000" w:sz="8" w:space="0"/>
            </w:tcBorders>
            <w:shd w:val="clear" w:color="auto" w:fill="auto"/>
          </w:tcPr>
          <w:p w:rsidRPr="00216003" w:rsidR="00813AD9" w:rsidP="00813AD9" w:rsidRDefault="00813AD9" w14:paraId="0D2C03AB" w14:textId="77777777">
            <w:pPr>
              <w:snapToGrid w:val="0"/>
              <w:rPr>
                <w:sz w:val="22"/>
                <w:szCs w:val="22"/>
              </w:rPr>
            </w:pPr>
            <w:r w:rsidRPr="00216003">
              <w:rPr>
                <w:sz w:val="22"/>
                <w:szCs w:val="22"/>
              </w:rPr>
              <w:t>General departure and alternative compliance requests under subpart M regulations.</w:t>
            </w:r>
          </w:p>
        </w:tc>
        <w:tc>
          <w:tcPr>
            <w:tcW w:w="0" w:type="auto"/>
            <w:gridSpan w:val="2"/>
            <w:tcBorders>
              <w:top w:val="single" w:color="000000" w:sz="8" w:space="0"/>
              <w:left w:val="single" w:color="000000" w:sz="8" w:space="0"/>
              <w:bottom w:val="single" w:color="auto" w:sz="4" w:space="0"/>
              <w:right w:val="single" w:color="000000" w:sz="8" w:space="0"/>
            </w:tcBorders>
            <w:shd w:val="clear" w:color="auto" w:fill="auto"/>
          </w:tcPr>
          <w:p w:rsidRPr="00216003" w:rsidR="00813AD9" w:rsidP="00E67792" w:rsidRDefault="00813AD9" w14:paraId="6C957815" w14:textId="77777777">
            <w:pPr>
              <w:snapToGrid w:val="0"/>
              <w:rPr>
                <w:sz w:val="22"/>
                <w:szCs w:val="22"/>
              </w:rPr>
            </w:pPr>
            <w:r w:rsidRPr="00216003">
              <w:rPr>
                <w:sz w:val="22"/>
                <w:szCs w:val="22"/>
              </w:rPr>
              <w:t>Burden covered under Subpart A [1014-0022].</w:t>
            </w:r>
          </w:p>
        </w:tc>
        <w:tc>
          <w:tcPr>
            <w:tcW w:w="0" w:type="auto"/>
            <w:tcBorders>
              <w:top w:val="single" w:color="000000" w:sz="8" w:space="0"/>
              <w:left w:val="single" w:color="000000" w:sz="8" w:space="0"/>
              <w:bottom w:val="single" w:color="auto" w:sz="4" w:space="0"/>
              <w:right w:val="single" w:color="000000" w:sz="8" w:space="0"/>
            </w:tcBorders>
            <w:shd w:val="clear" w:color="auto" w:fill="auto"/>
          </w:tcPr>
          <w:p w:rsidRPr="00216003" w:rsidR="00813AD9" w:rsidP="00596022" w:rsidRDefault="00813AD9" w14:paraId="3D2CA9FA" w14:textId="77777777">
            <w:pPr>
              <w:snapToGrid w:val="0"/>
              <w:jc w:val="right"/>
              <w:rPr>
                <w:sz w:val="22"/>
                <w:szCs w:val="22"/>
              </w:rPr>
            </w:pPr>
            <w:r w:rsidRPr="00216003">
              <w:rPr>
                <w:sz w:val="22"/>
                <w:szCs w:val="22"/>
              </w:rPr>
              <w:t>0</w:t>
            </w:r>
          </w:p>
        </w:tc>
      </w:tr>
      <w:tr w:rsidRPr="00216003" w:rsidR="00B20CB4" w:rsidTr="001A1596" w14:paraId="6028DE9D" w14:textId="77777777">
        <w:trPr>
          <w:trHeight w:val="20"/>
          <w:jc w:val="center"/>
        </w:trPr>
        <w:tc>
          <w:tcPr>
            <w:tcW w:w="1131" w:type="dxa"/>
            <w:vMerge w:val="restart"/>
            <w:tcBorders>
              <w:top w:val="single" w:color="auto" w:sz="4" w:space="0"/>
              <w:left w:val="single" w:color="auto" w:sz="4" w:space="0"/>
              <w:bottom w:val="single" w:color="auto" w:sz="4" w:space="0"/>
              <w:right w:val="single" w:color="auto" w:sz="4" w:space="0"/>
            </w:tcBorders>
            <w:shd w:val="clear" w:color="auto" w:fill="auto"/>
          </w:tcPr>
          <w:p w:rsidRPr="00216003" w:rsidR="00B20CB4" w:rsidP="00E67792" w:rsidRDefault="00B20CB4" w14:paraId="0A28FCD5" w14:textId="77777777">
            <w:pPr>
              <w:snapToGrid w:val="0"/>
              <w:ind w:left="-49" w:right="-49"/>
              <w:rPr>
                <w:sz w:val="22"/>
                <w:szCs w:val="22"/>
              </w:rPr>
            </w:pPr>
            <w:bookmarkStart w:name="_Hlk51334173" w:id="2"/>
            <w:r w:rsidRPr="00216003">
              <w:rPr>
                <w:sz w:val="22"/>
                <w:szCs w:val="22"/>
              </w:rPr>
              <w:t xml:space="preserve">1301(a), 1303  </w:t>
            </w:r>
          </w:p>
          <w:p w:rsidRPr="00216003" w:rsidR="00B20CB4" w:rsidP="00E67792" w:rsidRDefault="00B20CB4" w14:paraId="617826F5" w14:textId="77777777">
            <w:pPr>
              <w:snapToGrid w:val="0"/>
              <w:ind w:left="-49" w:right="-49"/>
              <w:rPr>
                <w:sz w:val="22"/>
                <w:szCs w:val="22"/>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tcPr>
          <w:p w:rsidRPr="00216003" w:rsidR="00B20CB4" w:rsidP="00E67792" w:rsidRDefault="00B20CB4" w14:paraId="597B6BF4" w14:textId="77777777">
            <w:pPr>
              <w:snapToGrid w:val="0"/>
              <w:rPr>
                <w:sz w:val="22"/>
                <w:szCs w:val="22"/>
              </w:rPr>
            </w:pPr>
            <w:r w:rsidRPr="00216003">
              <w:rPr>
                <w:sz w:val="22"/>
                <w:szCs w:val="22"/>
              </w:rPr>
              <w:t>Apply for voluntary unitization, including submitting unit agreement, unit operating agreement, initial plan of operation, obtain approval of Regional Supervisor if required, and supporting data; request for variance from model agreement and other related requirements.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216003" w:rsidR="00B20CB4" w:rsidP="00813AD9" w:rsidRDefault="005B02D3" w14:paraId="6EE95F82" w14:textId="77777777">
            <w:pPr>
              <w:snapToGrid w:val="0"/>
              <w:rPr>
                <w:sz w:val="22"/>
                <w:szCs w:val="22"/>
              </w:rPr>
            </w:pPr>
            <w:r>
              <w:rPr>
                <w:sz w:val="22"/>
                <w:szCs w:val="22"/>
              </w:rPr>
              <w:t>520</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1B32EA" w:rsidR="00B20CB4" w:rsidP="00813AD9" w:rsidRDefault="000B6C3B" w14:paraId="0A01DF56" w14:textId="728E3047">
            <w:pPr>
              <w:snapToGrid w:val="0"/>
              <w:rPr>
                <w:sz w:val="22"/>
                <w:szCs w:val="22"/>
              </w:rPr>
            </w:pPr>
            <w:r w:rsidRPr="001B32EA">
              <w:rPr>
                <w:sz w:val="22"/>
                <w:szCs w:val="22"/>
              </w:rPr>
              <w:t>8</w:t>
            </w:r>
            <w:r w:rsidRPr="001B32EA" w:rsidR="00B20CB4">
              <w:rPr>
                <w:sz w:val="22"/>
                <w:szCs w:val="22"/>
              </w:rPr>
              <w:t xml:space="preserve"> apps / plans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216003" w:rsidR="00B20CB4" w:rsidP="00D00C9A" w:rsidRDefault="00D04222" w14:paraId="04E1A94F" w14:textId="16472BE2">
            <w:pPr>
              <w:snapToGrid w:val="0"/>
              <w:jc w:val="right"/>
              <w:rPr>
                <w:sz w:val="22"/>
                <w:szCs w:val="22"/>
              </w:rPr>
            </w:pPr>
            <w:r>
              <w:rPr>
                <w:sz w:val="22"/>
                <w:szCs w:val="22"/>
              </w:rPr>
              <w:t>4,160</w:t>
            </w:r>
          </w:p>
        </w:tc>
      </w:tr>
      <w:bookmarkEnd w:id="2"/>
      <w:tr w:rsidRPr="00216003" w:rsidR="00B20CB4" w:rsidTr="001A1596" w14:paraId="1540C0E4" w14:textId="77777777">
        <w:trPr>
          <w:trHeight w:val="20"/>
          <w:jc w:val="center"/>
        </w:trPr>
        <w:tc>
          <w:tcPr>
            <w:tcW w:w="1131" w:type="dxa"/>
            <w:vMerge/>
            <w:tcBorders>
              <w:top w:val="single" w:color="auto" w:sz="4" w:space="0"/>
              <w:left w:val="single" w:color="auto" w:sz="4" w:space="0"/>
              <w:bottom w:val="single" w:color="auto" w:sz="4" w:space="0"/>
              <w:right w:val="single" w:color="auto" w:sz="4" w:space="0"/>
            </w:tcBorders>
            <w:shd w:val="clear" w:color="auto" w:fill="auto"/>
          </w:tcPr>
          <w:p w:rsidRPr="00216003" w:rsidR="00B20CB4" w:rsidP="00E67792" w:rsidRDefault="00B20CB4" w14:paraId="1AF11F9A" w14:textId="77777777">
            <w:pPr>
              <w:snapToGrid w:val="0"/>
              <w:ind w:left="-49" w:right="-49"/>
              <w:rPr>
                <w:sz w:val="22"/>
                <w:szCs w:val="22"/>
              </w:rPr>
            </w:pPr>
          </w:p>
        </w:tc>
        <w:tc>
          <w:tcPr>
            <w:tcW w:w="0" w:type="auto"/>
            <w:vMerge/>
            <w:tcBorders>
              <w:top w:val="single" w:color="auto" w:sz="4" w:space="0"/>
              <w:left w:val="single" w:color="auto" w:sz="4" w:space="0"/>
              <w:bottom w:val="single" w:color="auto" w:sz="4" w:space="0"/>
              <w:right w:val="single" w:color="auto" w:sz="4" w:space="0"/>
            </w:tcBorders>
            <w:shd w:val="clear" w:color="auto" w:fill="auto"/>
          </w:tcPr>
          <w:p w:rsidRPr="00216003" w:rsidR="00B20CB4" w:rsidP="00E67792" w:rsidRDefault="00B20CB4" w14:paraId="2F56265F" w14:textId="77777777">
            <w:pPr>
              <w:snapToGrid w:val="0"/>
              <w:rPr>
                <w:sz w:val="22"/>
                <w:szCs w:val="22"/>
              </w:rPr>
            </w:pPr>
          </w:p>
        </w:tc>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rsidRPr="00216003" w:rsidR="00B20CB4" w:rsidP="00D00C9A" w:rsidRDefault="00B20CB4" w14:paraId="170AD2AC" w14:textId="61B91CE9">
            <w:pPr>
              <w:snapToGrid w:val="0"/>
              <w:jc w:val="center"/>
              <w:rPr>
                <w:sz w:val="22"/>
                <w:szCs w:val="22"/>
              </w:rPr>
            </w:pPr>
            <w:r w:rsidRPr="00216003">
              <w:rPr>
                <w:sz w:val="22"/>
                <w:szCs w:val="22"/>
              </w:rPr>
              <w:t xml:space="preserve">$12,619 fee x </w:t>
            </w:r>
            <w:r w:rsidR="00141D80">
              <w:rPr>
                <w:sz w:val="22"/>
                <w:szCs w:val="22"/>
              </w:rPr>
              <w:t>8</w:t>
            </w:r>
            <w:r w:rsidRPr="00216003">
              <w:rPr>
                <w:sz w:val="22"/>
                <w:szCs w:val="22"/>
              </w:rPr>
              <w:t xml:space="preserve"> applications/plans = $</w:t>
            </w:r>
            <w:r w:rsidR="001B32EA">
              <w:rPr>
                <w:sz w:val="22"/>
                <w:szCs w:val="22"/>
              </w:rPr>
              <w:t>100,952</w:t>
            </w:r>
          </w:p>
        </w:tc>
      </w:tr>
      <w:tr w:rsidRPr="00216003" w:rsidR="00D1636F" w:rsidTr="00892BD4" w14:paraId="290D5096" w14:textId="77777777">
        <w:trPr>
          <w:jc w:val="center"/>
        </w:trPr>
        <w:tc>
          <w:tcPr>
            <w:tcW w:w="1131" w:type="dxa"/>
            <w:tcBorders>
              <w:top w:val="single" w:color="000000" w:sz="8" w:space="0"/>
              <w:left w:val="single" w:color="000000" w:sz="8" w:space="0"/>
              <w:bottom w:val="single" w:color="auto" w:sz="4" w:space="0"/>
              <w:right w:val="single" w:color="000000" w:sz="8" w:space="0"/>
            </w:tcBorders>
            <w:shd w:val="clear" w:color="auto" w:fill="auto"/>
          </w:tcPr>
          <w:p w:rsidRPr="00216003" w:rsidR="00D1636F" w:rsidP="00E208F7" w:rsidRDefault="00D1636F" w14:paraId="7034AB57" w14:textId="77777777">
            <w:pPr>
              <w:snapToGrid w:val="0"/>
              <w:ind w:left="-49" w:right="-139"/>
              <w:rPr>
                <w:sz w:val="22"/>
                <w:szCs w:val="22"/>
              </w:rPr>
            </w:pPr>
            <w:r w:rsidRPr="00216003">
              <w:rPr>
                <w:sz w:val="22"/>
                <w:szCs w:val="22"/>
              </w:rPr>
              <w:t>1301(d), (f)(3), (g)(1), (g)(2) (ii)</w:t>
            </w:r>
          </w:p>
        </w:tc>
        <w:tc>
          <w:tcPr>
            <w:tcW w:w="0" w:type="auto"/>
            <w:tcBorders>
              <w:top w:val="single" w:color="000000" w:sz="8" w:space="0"/>
              <w:left w:val="single" w:color="000000" w:sz="8" w:space="0"/>
              <w:bottom w:val="single" w:color="auto" w:sz="4" w:space="0"/>
              <w:right w:val="single" w:color="000000" w:sz="8" w:space="0"/>
            </w:tcBorders>
            <w:shd w:val="clear" w:color="auto" w:fill="auto"/>
          </w:tcPr>
          <w:p w:rsidRPr="00216003" w:rsidR="00D1636F" w:rsidP="00E208F7" w:rsidRDefault="00D1636F" w14:paraId="2F9E1182" w14:textId="77777777">
            <w:pPr>
              <w:snapToGrid w:val="0"/>
              <w:rPr>
                <w:sz w:val="22"/>
                <w:szCs w:val="22"/>
              </w:rPr>
            </w:pPr>
            <w:r w:rsidRPr="00216003">
              <w:rPr>
                <w:sz w:val="22"/>
                <w:szCs w:val="22"/>
              </w:rPr>
              <w:t>Request suspension of production or operations.</w:t>
            </w:r>
          </w:p>
        </w:tc>
        <w:tc>
          <w:tcPr>
            <w:tcW w:w="0" w:type="auto"/>
            <w:gridSpan w:val="2"/>
            <w:tcBorders>
              <w:top w:val="single" w:color="000000" w:sz="8" w:space="0"/>
              <w:left w:val="single" w:color="000000" w:sz="8" w:space="0"/>
              <w:bottom w:val="single" w:color="auto" w:sz="4" w:space="0"/>
              <w:right w:val="single" w:color="000000" w:sz="8" w:space="0"/>
            </w:tcBorders>
            <w:shd w:val="clear" w:color="auto" w:fill="auto"/>
          </w:tcPr>
          <w:p w:rsidRPr="00216003" w:rsidR="00D1636F" w:rsidP="00596022" w:rsidRDefault="00D1636F" w14:paraId="5E126717" w14:textId="77777777">
            <w:pPr>
              <w:snapToGrid w:val="0"/>
              <w:rPr>
                <w:sz w:val="22"/>
                <w:szCs w:val="22"/>
              </w:rPr>
            </w:pPr>
            <w:r w:rsidRPr="00216003">
              <w:rPr>
                <w:sz w:val="22"/>
                <w:szCs w:val="22"/>
              </w:rPr>
              <w:t xml:space="preserve">Burden covered </w:t>
            </w:r>
            <w:r w:rsidRPr="00216003" w:rsidR="00596022">
              <w:rPr>
                <w:sz w:val="22"/>
                <w:szCs w:val="22"/>
              </w:rPr>
              <w:t>under Subpart A</w:t>
            </w:r>
            <w:r w:rsidRPr="00216003">
              <w:rPr>
                <w:sz w:val="22"/>
                <w:szCs w:val="22"/>
              </w:rPr>
              <w:t xml:space="preserve"> </w:t>
            </w:r>
            <w:r w:rsidRPr="00216003" w:rsidR="00596022">
              <w:rPr>
                <w:sz w:val="22"/>
                <w:szCs w:val="22"/>
              </w:rPr>
              <w:t>[</w:t>
            </w:r>
            <w:r w:rsidRPr="00216003">
              <w:rPr>
                <w:sz w:val="22"/>
                <w:szCs w:val="22"/>
              </w:rPr>
              <w:t>101</w:t>
            </w:r>
            <w:r w:rsidRPr="00216003" w:rsidR="001D1366">
              <w:rPr>
                <w:sz w:val="22"/>
                <w:szCs w:val="22"/>
              </w:rPr>
              <w:t>4</w:t>
            </w:r>
            <w:r w:rsidRPr="00216003">
              <w:rPr>
                <w:sz w:val="22"/>
                <w:szCs w:val="22"/>
              </w:rPr>
              <w:t>-0</w:t>
            </w:r>
            <w:r w:rsidRPr="00216003" w:rsidR="001D1366">
              <w:rPr>
                <w:sz w:val="22"/>
                <w:szCs w:val="22"/>
              </w:rPr>
              <w:t>022</w:t>
            </w:r>
            <w:r w:rsidRPr="00216003" w:rsidR="00596022">
              <w:rPr>
                <w:sz w:val="22"/>
                <w:szCs w:val="22"/>
              </w:rPr>
              <w:t>]</w:t>
            </w:r>
            <w:r w:rsidRPr="00216003">
              <w:rPr>
                <w:sz w:val="22"/>
                <w:szCs w:val="22"/>
              </w:rPr>
              <w:t>.</w:t>
            </w:r>
          </w:p>
        </w:tc>
        <w:tc>
          <w:tcPr>
            <w:tcW w:w="0" w:type="auto"/>
            <w:tcBorders>
              <w:top w:val="single" w:color="000000" w:sz="8" w:space="0"/>
              <w:left w:val="single" w:color="000000" w:sz="8" w:space="0"/>
              <w:bottom w:val="single" w:color="auto" w:sz="4" w:space="0"/>
              <w:right w:val="single" w:color="000000" w:sz="8" w:space="0"/>
            </w:tcBorders>
            <w:shd w:val="clear" w:color="auto" w:fill="auto"/>
          </w:tcPr>
          <w:p w:rsidRPr="00216003" w:rsidR="00D1636F" w:rsidP="00596022" w:rsidRDefault="00D1636F" w14:paraId="0309C669" w14:textId="77777777">
            <w:pPr>
              <w:snapToGrid w:val="0"/>
              <w:jc w:val="right"/>
              <w:rPr>
                <w:sz w:val="22"/>
                <w:szCs w:val="22"/>
              </w:rPr>
            </w:pPr>
            <w:r w:rsidRPr="00216003">
              <w:rPr>
                <w:sz w:val="22"/>
                <w:szCs w:val="22"/>
              </w:rPr>
              <w:t>0</w:t>
            </w:r>
          </w:p>
        </w:tc>
      </w:tr>
      <w:tr w:rsidRPr="00216003" w:rsidR="00D1636F" w:rsidTr="00892BD4" w14:paraId="2176F259" w14:textId="77777777">
        <w:trPr>
          <w:jc w:val="center"/>
        </w:trPr>
        <w:tc>
          <w:tcPr>
            <w:tcW w:w="1131" w:type="dxa"/>
            <w:tcBorders>
              <w:top w:val="single" w:color="000000" w:sz="6" w:space="0"/>
              <w:left w:val="single" w:color="000000" w:sz="6" w:space="0"/>
              <w:bottom w:val="single" w:color="000000" w:sz="6" w:space="0"/>
              <w:right w:val="single" w:color="000000" w:sz="6" w:space="0"/>
            </w:tcBorders>
            <w:shd w:val="clear" w:color="auto" w:fill="auto"/>
          </w:tcPr>
          <w:p w:rsidRPr="00216003" w:rsidR="00D1636F" w:rsidP="00E208F7" w:rsidRDefault="00D1636F" w14:paraId="7ED944EF" w14:textId="77777777">
            <w:pPr>
              <w:snapToGrid w:val="0"/>
              <w:ind w:left="-49" w:right="-49"/>
              <w:rPr>
                <w:sz w:val="22"/>
                <w:szCs w:val="22"/>
              </w:rPr>
            </w:pPr>
            <w:r w:rsidRPr="00216003">
              <w:rPr>
                <w:sz w:val="22"/>
                <w:szCs w:val="22"/>
              </w:rPr>
              <w:t>1302(b)</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D1636F" w:rsidP="00E208F7" w:rsidRDefault="00D1636F" w14:paraId="70368FBD" w14:textId="77777777">
            <w:pPr>
              <w:snapToGrid w:val="0"/>
              <w:rPr>
                <w:sz w:val="22"/>
                <w:szCs w:val="22"/>
              </w:rPr>
            </w:pPr>
            <w:r w:rsidRPr="00216003">
              <w:rPr>
                <w:sz w:val="22"/>
                <w:szCs w:val="22"/>
              </w:rPr>
              <w:t xml:space="preserve">Request preliminary determination on competitive reservoir. </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D1636F" w:rsidP="00596022" w:rsidRDefault="00756930" w14:paraId="78353CDE" w14:textId="77777777">
            <w:pPr>
              <w:snapToGrid w:val="0"/>
              <w:rPr>
                <w:sz w:val="22"/>
                <w:szCs w:val="22"/>
              </w:rPr>
            </w:pPr>
            <w:r w:rsidRPr="00216003">
              <w:rPr>
                <w:sz w:val="22"/>
                <w:szCs w:val="22"/>
              </w:rPr>
              <w:t>116</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1B32EA" w:rsidR="00D1636F" w:rsidP="00596022" w:rsidRDefault="001B32EA" w14:paraId="2D6D108D" w14:textId="1F9F7C3D">
            <w:pPr>
              <w:snapToGrid w:val="0"/>
              <w:jc w:val="both"/>
              <w:rPr>
                <w:sz w:val="22"/>
                <w:szCs w:val="22"/>
              </w:rPr>
            </w:pPr>
            <w:r w:rsidRPr="001B32EA">
              <w:rPr>
                <w:sz w:val="22"/>
                <w:szCs w:val="22"/>
              </w:rPr>
              <w:t>1</w:t>
            </w:r>
            <w:r w:rsidRPr="001B32EA" w:rsidR="00D1636F">
              <w:rPr>
                <w:sz w:val="22"/>
                <w:szCs w:val="22"/>
              </w:rPr>
              <w:t xml:space="preserve"> request</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D1636F" w:rsidP="00596022" w:rsidRDefault="00756930" w14:paraId="4C20CD75" w14:textId="77777777">
            <w:pPr>
              <w:snapToGrid w:val="0"/>
              <w:jc w:val="right"/>
              <w:rPr>
                <w:sz w:val="22"/>
                <w:szCs w:val="22"/>
              </w:rPr>
            </w:pPr>
            <w:r w:rsidRPr="00216003">
              <w:rPr>
                <w:sz w:val="22"/>
                <w:szCs w:val="22"/>
              </w:rPr>
              <w:t>116</w:t>
            </w:r>
          </w:p>
        </w:tc>
      </w:tr>
      <w:tr w:rsidRPr="00216003" w:rsidR="00B2185D" w:rsidTr="00892BD4" w14:paraId="1F86CD27" w14:textId="77777777">
        <w:trPr>
          <w:jc w:val="center"/>
        </w:trPr>
        <w:tc>
          <w:tcPr>
            <w:tcW w:w="1131" w:type="dxa"/>
            <w:tcBorders>
              <w:top w:val="single" w:color="000000" w:sz="6" w:space="0"/>
              <w:left w:val="single" w:color="000000" w:sz="6" w:space="0"/>
              <w:bottom w:val="single" w:color="000000" w:sz="6" w:space="0"/>
              <w:right w:val="single" w:color="000000" w:sz="6" w:space="0"/>
            </w:tcBorders>
            <w:shd w:val="clear" w:color="auto" w:fill="auto"/>
          </w:tcPr>
          <w:p w:rsidRPr="00216003" w:rsidR="00B2185D" w:rsidP="00E208F7" w:rsidRDefault="00B2185D" w14:paraId="6B3C08EF" w14:textId="77777777">
            <w:pPr>
              <w:snapToGrid w:val="0"/>
              <w:ind w:left="-49" w:right="-49"/>
              <w:rPr>
                <w:sz w:val="22"/>
                <w:szCs w:val="22"/>
              </w:rPr>
            </w:pPr>
            <w:r w:rsidRPr="00216003">
              <w:rPr>
                <w:sz w:val="22"/>
                <w:szCs w:val="22"/>
              </w:rPr>
              <w:t>1302(b)</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B2185D" w:rsidP="00E208F7" w:rsidRDefault="00B2185D" w14:paraId="792FB966" w14:textId="77777777">
            <w:pPr>
              <w:snapToGrid w:val="0"/>
              <w:rPr>
                <w:sz w:val="22"/>
                <w:szCs w:val="22"/>
              </w:rPr>
            </w:pPr>
            <w:r w:rsidRPr="00216003">
              <w:rPr>
                <w:sz w:val="22"/>
                <w:szCs w:val="22"/>
              </w:rPr>
              <w:t>Submit concurrence or objection on competitiveness with supporting evidence.</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B2185D" w:rsidP="00596022" w:rsidRDefault="00B2185D" w14:paraId="36E87292" w14:textId="77777777">
            <w:pPr>
              <w:snapToGrid w:val="0"/>
              <w:rPr>
                <w:sz w:val="22"/>
                <w:szCs w:val="22"/>
              </w:rPr>
            </w:pPr>
            <w:r w:rsidRPr="00216003">
              <w:rPr>
                <w:sz w:val="22"/>
                <w:szCs w:val="22"/>
              </w:rPr>
              <w:t>47</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1B32EA" w:rsidR="00B2185D" w:rsidP="00596022" w:rsidRDefault="001B32EA" w14:paraId="0E800FE7" w14:textId="468098DC">
            <w:pPr>
              <w:snapToGrid w:val="0"/>
              <w:jc w:val="both"/>
              <w:rPr>
                <w:sz w:val="22"/>
                <w:szCs w:val="22"/>
              </w:rPr>
            </w:pPr>
            <w:r w:rsidRPr="001B32EA">
              <w:rPr>
                <w:sz w:val="22"/>
                <w:szCs w:val="22"/>
              </w:rPr>
              <w:t>1</w:t>
            </w:r>
            <w:r w:rsidRPr="001B32EA" w:rsidR="00B2185D">
              <w:rPr>
                <w:sz w:val="22"/>
                <w:szCs w:val="22"/>
              </w:rPr>
              <w:t xml:space="preserve"> request</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B2185D" w:rsidP="00596022" w:rsidRDefault="00B2185D" w14:paraId="61EEC19F" w14:textId="77777777">
            <w:pPr>
              <w:snapToGrid w:val="0"/>
              <w:jc w:val="right"/>
              <w:rPr>
                <w:sz w:val="22"/>
                <w:szCs w:val="22"/>
              </w:rPr>
            </w:pPr>
            <w:r w:rsidRPr="00216003">
              <w:rPr>
                <w:sz w:val="22"/>
                <w:szCs w:val="22"/>
              </w:rPr>
              <w:t>47</w:t>
            </w:r>
          </w:p>
        </w:tc>
      </w:tr>
      <w:tr w:rsidRPr="00216003" w:rsidR="00B2185D" w:rsidTr="00892BD4" w14:paraId="175D768A" w14:textId="77777777">
        <w:trPr>
          <w:jc w:val="center"/>
        </w:trPr>
        <w:tc>
          <w:tcPr>
            <w:tcW w:w="1131" w:type="dxa"/>
            <w:tcBorders>
              <w:top w:val="single" w:color="000000" w:sz="6" w:space="0"/>
              <w:left w:val="single" w:color="000000" w:sz="6" w:space="0"/>
              <w:bottom w:val="single" w:color="000000" w:sz="6" w:space="0"/>
              <w:right w:val="single" w:color="000000" w:sz="6" w:space="0"/>
            </w:tcBorders>
            <w:shd w:val="clear" w:color="auto" w:fill="auto"/>
          </w:tcPr>
          <w:p w:rsidRPr="00216003" w:rsidR="00B2185D" w:rsidP="00E208F7" w:rsidRDefault="00B2185D" w14:paraId="11790339" w14:textId="77777777">
            <w:pPr>
              <w:snapToGrid w:val="0"/>
              <w:ind w:left="-49" w:right="-49"/>
              <w:rPr>
                <w:sz w:val="22"/>
                <w:szCs w:val="22"/>
              </w:rPr>
            </w:pPr>
            <w:r w:rsidRPr="00216003">
              <w:rPr>
                <w:sz w:val="22"/>
                <w:szCs w:val="22"/>
              </w:rPr>
              <w:t>1302(c), (d)</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B2185D" w:rsidP="00E208F7" w:rsidRDefault="00B2185D" w14:paraId="6A7D6211" w14:textId="77777777">
            <w:pPr>
              <w:snapToGrid w:val="0"/>
              <w:rPr>
                <w:sz w:val="22"/>
                <w:szCs w:val="22"/>
              </w:rPr>
            </w:pPr>
            <w:r w:rsidRPr="00216003">
              <w:rPr>
                <w:sz w:val="22"/>
                <w:szCs w:val="22"/>
              </w:rPr>
              <w:t>Submit joint competitive reservoir development program, supplemental plans, or a separate plan if agreement cannot be reached.</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B2185D" w:rsidP="00596022" w:rsidRDefault="00B2185D" w14:paraId="67282780" w14:textId="77777777">
            <w:pPr>
              <w:snapToGrid w:val="0"/>
              <w:rPr>
                <w:sz w:val="22"/>
                <w:szCs w:val="22"/>
              </w:rPr>
            </w:pPr>
            <w:r w:rsidRPr="00216003">
              <w:rPr>
                <w:sz w:val="22"/>
                <w:szCs w:val="22"/>
              </w:rPr>
              <w:t>68</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1B32EA" w:rsidR="00B2185D" w:rsidP="00596022" w:rsidRDefault="001B32EA" w14:paraId="0A8046F9" w14:textId="7DA7D11E">
            <w:pPr>
              <w:snapToGrid w:val="0"/>
              <w:jc w:val="both"/>
              <w:rPr>
                <w:sz w:val="22"/>
                <w:szCs w:val="22"/>
              </w:rPr>
            </w:pPr>
            <w:r w:rsidRPr="001B32EA">
              <w:rPr>
                <w:sz w:val="22"/>
                <w:szCs w:val="22"/>
              </w:rPr>
              <w:t>1</w:t>
            </w:r>
            <w:r w:rsidRPr="001B32EA" w:rsidR="00B2185D">
              <w:rPr>
                <w:sz w:val="22"/>
                <w:szCs w:val="22"/>
              </w:rPr>
              <w:t xml:space="preserve"> plan</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B2185D" w:rsidP="00596022" w:rsidRDefault="00B2185D" w14:paraId="762F8064" w14:textId="77777777">
            <w:pPr>
              <w:snapToGrid w:val="0"/>
              <w:jc w:val="right"/>
              <w:rPr>
                <w:sz w:val="22"/>
                <w:szCs w:val="22"/>
              </w:rPr>
            </w:pPr>
            <w:r w:rsidRPr="00216003">
              <w:rPr>
                <w:sz w:val="22"/>
                <w:szCs w:val="22"/>
              </w:rPr>
              <w:t>68</w:t>
            </w:r>
          </w:p>
        </w:tc>
      </w:tr>
      <w:tr w:rsidRPr="00216003" w:rsidR="00A00DE7" w:rsidTr="00FB245E" w14:paraId="544D887B" w14:textId="77777777">
        <w:trPr>
          <w:trHeight w:val="246"/>
          <w:jc w:val="center"/>
        </w:trPr>
        <w:tc>
          <w:tcPr>
            <w:tcW w:w="1131" w:type="dxa"/>
            <w:vMerge w:val="restart"/>
            <w:tcBorders>
              <w:top w:val="single" w:color="000000" w:sz="6" w:space="0"/>
              <w:left w:val="single" w:color="000000" w:sz="6" w:space="0"/>
              <w:right w:val="single" w:color="000000" w:sz="6" w:space="0"/>
            </w:tcBorders>
            <w:shd w:val="clear" w:color="auto" w:fill="auto"/>
          </w:tcPr>
          <w:p w:rsidRPr="00216003" w:rsidR="00A00DE7" w:rsidP="00FB245E" w:rsidRDefault="00A00DE7" w14:paraId="7799497F" w14:textId="77777777">
            <w:pPr>
              <w:snapToGrid w:val="0"/>
              <w:ind w:left="-49" w:right="-49"/>
              <w:rPr>
                <w:sz w:val="22"/>
                <w:szCs w:val="22"/>
              </w:rPr>
            </w:pPr>
            <w:bookmarkStart w:name="_Hlk51334236" w:id="3"/>
            <w:r w:rsidRPr="00216003">
              <w:rPr>
                <w:sz w:val="22"/>
                <w:szCs w:val="22"/>
              </w:rPr>
              <w:t xml:space="preserve">1303; 1304 </w:t>
            </w:r>
          </w:p>
        </w:tc>
        <w:tc>
          <w:tcPr>
            <w:tcW w:w="0" w:type="auto"/>
            <w:vMerge w:val="restart"/>
            <w:tcBorders>
              <w:top w:val="single" w:color="000000" w:sz="6" w:space="0"/>
              <w:left w:val="single" w:color="000000" w:sz="6" w:space="0"/>
              <w:right w:val="single" w:color="000000" w:sz="6" w:space="0"/>
            </w:tcBorders>
            <w:shd w:val="clear" w:color="auto" w:fill="auto"/>
          </w:tcPr>
          <w:p w:rsidRPr="00216003" w:rsidR="00A00DE7" w:rsidP="00FB245E" w:rsidRDefault="00A00DE7" w14:paraId="4EA58446" w14:textId="77777777">
            <w:pPr>
              <w:snapToGrid w:val="0"/>
              <w:rPr>
                <w:sz w:val="22"/>
                <w:szCs w:val="22"/>
              </w:rPr>
            </w:pPr>
            <w:r w:rsidRPr="00216003">
              <w:rPr>
                <w:sz w:val="22"/>
                <w:szCs w:val="22"/>
              </w:rPr>
              <w:t xml:space="preserve">*Submit revisions or modifications to unit agreement, unit operating agreement, plan of operation, change of unit operator, etc. </w:t>
            </w:r>
          </w:p>
        </w:tc>
        <w:tc>
          <w:tcPr>
            <w:tcW w:w="0" w:type="auto"/>
            <w:tcBorders>
              <w:top w:val="single" w:color="000000" w:sz="6" w:space="0"/>
              <w:left w:val="single" w:color="000000" w:sz="6" w:space="0"/>
              <w:right w:val="single" w:color="000000" w:sz="6" w:space="0"/>
            </w:tcBorders>
            <w:shd w:val="clear" w:color="auto" w:fill="auto"/>
          </w:tcPr>
          <w:p w:rsidRPr="00216003" w:rsidR="00A00DE7" w:rsidP="00FB245E" w:rsidRDefault="00F41D88" w14:paraId="3ED04413" w14:textId="77777777">
            <w:pPr>
              <w:snapToGrid w:val="0"/>
              <w:rPr>
                <w:sz w:val="22"/>
                <w:szCs w:val="22"/>
              </w:rPr>
            </w:pPr>
            <w:r>
              <w:rPr>
                <w:sz w:val="22"/>
                <w:szCs w:val="22"/>
              </w:rPr>
              <w:t>10</w:t>
            </w:r>
          </w:p>
        </w:tc>
        <w:tc>
          <w:tcPr>
            <w:tcW w:w="0" w:type="auto"/>
            <w:tcBorders>
              <w:top w:val="single" w:color="000000" w:sz="6" w:space="0"/>
              <w:left w:val="single" w:color="000000" w:sz="6" w:space="0"/>
              <w:right w:val="single" w:color="000000" w:sz="6" w:space="0"/>
            </w:tcBorders>
            <w:shd w:val="clear" w:color="auto" w:fill="auto"/>
          </w:tcPr>
          <w:p w:rsidRPr="001B32EA" w:rsidR="00A00DE7" w:rsidP="00FB245E" w:rsidRDefault="000B6C3B" w14:paraId="56D07427" w14:textId="39A99A1B">
            <w:pPr>
              <w:snapToGrid w:val="0"/>
              <w:rPr>
                <w:sz w:val="22"/>
                <w:szCs w:val="22"/>
              </w:rPr>
            </w:pPr>
            <w:r w:rsidRPr="001B32EA">
              <w:rPr>
                <w:sz w:val="22"/>
                <w:szCs w:val="22"/>
              </w:rPr>
              <w:t>54</w:t>
            </w:r>
            <w:r w:rsidRPr="001B32EA" w:rsidR="00260E3B">
              <w:rPr>
                <w:sz w:val="22"/>
                <w:szCs w:val="22"/>
              </w:rPr>
              <w:t xml:space="preserve"> </w:t>
            </w:r>
            <w:r w:rsidRPr="001B32EA" w:rsidR="00A00DE7">
              <w:rPr>
                <w:sz w:val="22"/>
                <w:szCs w:val="22"/>
              </w:rPr>
              <w:t>revs/mods</w:t>
            </w:r>
          </w:p>
        </w:tc>
        <w:tc>
          <w:tcPr>
            <w:tcW w:w="0" w:type="auto"/>
            <w:tcBorders>
              <w:top w:val="single" w:color="000000" w:sz="6" w:space="0"/>
              <w:left w:val="single" w:color="000000" w:sz="6" w:space="0"/>
              <w:right w:val="single" w:color="000000" w:sz="6" w:space="0"/>
            </w:tcBorders>
            <w:shd w:val="clear" w:color="auto" w:fill="auto"/>
          </w:tcPr>
          <w:p w:rsidRPr="00216003" w:rsidR="00A00DE7" w:rsidP="00FB245E" w:rsidRDefault="001B32EA" w14:paraId="1604E18D" w14:textId="0E4A9D8D">
            <w:pPr>
              <w:snapToGrid w:val="0"/>
              <w:jc w:val="right"/>
              <w:rPr>
                <w:sz w:val="22"/>
                <w:szCs w:val="22"/>
              </w:rPr>
            </w:pPr>
            <w:r>
              <w:rPr>
                <w:sz w:val="22"/>
                <w:szCs w:val="22"/>
              </w:rPr>
              <w:t>540</w:t>
            </w:r>
          </w:p>
        </w:tc>
      </w:tr>
      <w:bookmarkEnd w:id="3"/>
      <w:tr w:rsidRPr="00216003" w:rsidR="00A00DE7" w:rsidTr="00FB245E" w14:paraId="51DFCC73" w14:textId="77777777">
        <w:trPr>
          <w:trHeight w:val="351"/>
          <w:jc w:val="center"/>
        </w:trPr>
        <w:tc>
          <w:tcPr>
            <w:tcW w:w="1131" w:type="dxa"/>
            <w:vMerge/>
            <w:tcBorders>
              <w:left w:val="single" w:color="000000" w:sz="6" w:space="0"/>
              <w:bottom w:val="single" w:color="000000" w:sz="6" w:space="0"/>
              <w:right w:val="single" w:color="000000" w:sz="6" w:space="0"/>
            </w:tcBorders>
            <w:shd w:val="clear" w:color="auto" w:fill="auto"/>
          </w:tcPr>
          <w:p w:rsidRPr="00216003" w:rsidR="00A00DE7" w:rsidP="00FB245E" w:rsidRDefault="00A00DE7" w14:paraId="3D79C19B" w14:textId="77777777">
            <w:pPr>
              <w:snapToGrid w:val="0"/>
              <w:ind w:left="-49" w:right="-49"/>
              <w:rPr>
                <w:sz w:val="22"/>
                <w:szCs w:val="22"/>
              </w:rPr>
            </w:pPr>
          </w:p>
        </w:tc>
        <w:tc>
          <w:tcPr>
            <w:tcW w:w="0" w:type="auto"/>
            <w:vMerge/>
            <w:tcBorders>
              <w:left w:val="single" w:color="000000" w:sz="6" w:space="0"/>
              <w:bottom w:val="single" w:color="000000" w:sz="6" w:space="0"/>
              <w:right w:val="single" w:color="000000" w:sz="6" w:space="0"/>
            </w:tcBorders>
            <w:shd w:val="clear" w:color="auto" w:fill="auto"/>
          </w:tcPr>
          <w:p w:rsidRPr="00216003" w:rsidR="00A00DE7" w:rsidP="00FB245E" w:rsidRDefault="00A00DE7" w14:paraId="030538DF" w14:textId="77777777">
            <w:pPr>
              <w:snapToGrid w:val="0"/>
              <w:rPr>
                <w:sz w:val="22"/>
                <w:szCs w:val="22"/>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auto"/>
            <w:vAlign w:val="center"/>
          </w:tcPr>
          <w:p w:rsidRPr="001B32EA" w:rsidR="00A00DE7" w:rsidP="001833FB" w:rsidRDefault="00A00DE7" w14:paraId="7A636327" w14:textId="09EC641B">
            <w:pPr>
              <w:snapToGrid w:val="0"/>
              <w:jc w:val="center"/>
              <w:rPr>
                <w:sz w:val="22"/>
                <w:szCs w:val="22"/>
              </w:rPr>
            </w:pPr>
            <w:r w:rsidRPr="001B32EA">
              <w:rPr>
                <w:sz w:val="22"/>
                <w:szCs w:val="22"/>
              </w:rPr>
              <w:t xml:space="preserve">$896 fees x </w:t>
            </w:r>
            <w:r w:rsidRPr="001B32EA" w:rsidR="001B32EA">
              <w:rPr>
                <w:sz w:val="22"/>
                <w:szCs w:val="22"/>
              </w:rPr>
              <w:t>54</w:t>
            </w:r>
            <w:r w:rsidRPr="001B32EA" w:rsidR="00260E3B">
              <w:rPr>
                <w:sz w:val="22"/>
                <w:szCs w:val="22"/>
              </w:rPr>
              <w:t xml:space="preserve"> </w:t>
            </w:r>
            <w:r w:rsidRPr="001B32EA">
              <w:rPr>
                <w:sz w:val="22"/>
                <w:szCs w:val="22"/>
              </w:rPr>
              <w:t>revisions/modifications = $</w:t>
            </w:r>
            <w:r w:rsidRPr="001B32EA" w:rsidR="001B32EA">
              <w:rPr>
                <w:sz w:val="22"/>
                <w:szCs w:val="22"/>
              </w:rPr>
              <w:t>48,384</w:t>
            </w:r>
          </w:p>
        </w:tc>
      </w:tr>
      <w:tr w:rsidRPr="00216003" w:rsidR="00A00DE7" w:rsidTr="00FB245E" w14:paraId="4E65B1C2" w14:textId="77777777">
        <w:trPr>
          <w:jc w:val="center"/>
        </w:trPr>
        <w:tc>
          <w:tcPr>
            <w:tcW w:w="1131" w:type="dxa"/>
            <w:tcBorders>
              <w:top w:val="single" w:color="000000" w:sz="6" w:space="0"/>
              <w:left w:val="single" w:color="000000" w:sz="6" w:space="0"/>
              <w:bottom w:val="single" w:color="000000" w:sz="6" w:space="0"/>
              <w:right w:val="single" w:color="000000" w:sz="6" w:space="0"/>
            </w:tcBorders>
            <w:shd w:val="clear" w:color="auto" w:fill="auto"/>
          </w:tcPr>
          <w:p w:rsidRPr="00216003" w:rsidR="00A00DE7" w:rsidP="00FB245E" w:rsidRDefault="00A00DE7" w14:paraId="11B33D4F" w14:textId="77777777">
            <w:pPr>
              <w:snapToGrid w:val="0"/>
              <w:ind w:left="-49" w:right="-49"/>
              <w:rPr>
                <w:sz w:val="22"/>
                <w:szCs w:val="22"/>
              </w:rPr>
            </w:pPr>
            <w:r w:rsidRPr="00216003">
              <w:rPr>
                <w:sz w:val="22"/>
                <w:szCs w:val="22"/>
              </w:rPr>
              <w:t>1303; 1304</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A00DE7" w:rsidP="0002700D" w:rsidRDefault="00A00DE7" w14:paraId="2443B7E6" w14:textId="77777777">
            <w:pPr>
              <w:snapToGrid w:val="0"/>
              <w:rPr>
                <w:sz w:val="22"/>
                <w:szCs w:val="22"/>
              </w:rPr>
            </w:pPr>
            <w:r w:rsidRPr="00216003">
              <w:rPr>
                <w:sz w:val="22"/>
                <w:szCs w:val="22"/>
              </w:rPr>
              <w:t>*Submit initial, and revisions to participating area.</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A00DE7" w:rsidP="00FB245E" w:rsidRDefault="00A00DE7" w14:paraId="54F2AEDF" w14:textId="77777777">
            <w:pPr>
              <w:snapToGrid w:val="0"/>
              <w:rPr>
                <w:sz w:val="22"/>
                <w:szCs w:val="22"/>
              </w:rPr>
            </w:pPr>
            <w:r w:rsidRPr="00216003">
              <w:rPr>
                <w:sz w:val="22"/>
                <w:szCs w:val="22"/>
              </w:rPr>
              <w:t>76</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1B32EA" w:rsidR="00A00DE7" w:rsidP="00260E3B" w:rsidRDefault="000B6C3B" w14:paraId="7D2B8350" w14:textId="29619D39">
            <w:pPr>
              <w:snapToGrid w:val="0"/>
              <w:rPr>
                <w:sz w:val="22"/>
                <w:szCs w:val="22"/>
              </w:rPr>
            </w:pPr>
            <w:r w:rsidRPr="001B32EA">
              <w:rPr>
                <w:sz w:val="22"/>
                <w:szCs w:val="22"/>
              </w:rPr>
              <w:t>10</w:t>
            </w:r>
            <w:r w:rsidRPr="001B32EA" w:rsidR="00A00DE7">
              <w:rPr>
                <w:sz w:val="22"/>
                <w:szCs w:val="22"/>
              </w:rPr>
              <w:t xml:space="preserve"> submissions</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A00DE7" w:rsidP="00FB245E" w:rsidRDefault="001B32EA" w14:paraId="0959A042" w14:textId="3E56A407">
            <w:pPr>
              <w:snapToGrid w:val="0"/>
              <w:jc w:val="right"/>
              <w:rPr>
                <w:sz w:val="22"/>
                <w:szCs w:val="22"/>
              </w:rPr>
            </w:pPr>
            <w:r>
              <w:rPr>
                <w:sz w:val="22"/>
                <w:szCs w:val="22"/>
              </w:rPr>
              <w:t>760</w:t>
            </w:r>
          </w:p>
        </w:tc>
      </w:tr>
      <w:tr w:rsidRPr="00216003" w:rsidR="00D1636F" w:rsidTr="00892BD4" w14:paraId="2DEE06B5" w14:textId="77777777">
        <w:trPr>
          <w:jc w:val="center"/>
        </w:trPr>
        <w:tc>
          <w:tcPr>
            <w:tcW w:w="1131" w:type="dxa"/>
            <w:tcBorders>
              <w:top w:val="single" w:color="000000" w:sz="6" w:space="0"/>
              <w:left w:val="single" w:color="000000" w:sz="6" w:space="0"/>
              <w:bottom w:val="single" w:color="000000" w:sz="6" w:space="0"/>
              <w:right w:val="single" w:color="000000" w:sz="6" w:space="0"/>
            </w:tcBorders>
            <w:shd w:val="clear" w:color="auto" w:fill="auto"/>
          </w:tcPr>
          <w:p w:rsidRPr="00216003" w:rsidR="00D1636F" w:rsidP="005F603E" w:rsidRDefault="00D1636F" w14:paraId="2E6138A5" w14:textId="77777777">
            <w:pPr>
              <w:snapToGrid w:val="0"/>
              <w:ind w:left="-49" w:right="-49"/>
              <w:rPr>
                <w:sz w:val="22"/>
                <w:szCs w:val="22"/>
              </w:rPr>
            </w:pPr>
            <w:r w:rsidRPr="00216003">
              <w:rPr>
                <w:sz w:val="22"/>
                <w:szCs w:val="22"/>
              </w:rPr>
              <w:t>1304(b)</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D1636F" w:rsidP="005F603E" w:rsidRDefault="00D1636F" w14:paraId="62C6CB42" w14:textId="77777777">
            <w:pPr>
              <w:snapToGrid w:val="0"/>
              <w:rPr>
                <w:sz w:val="22"/>
                <w:szCs w:val="22"/>
              </w:rPr>
            </w:pPr>
            <w:r w:rsidRPr="00216003">
              <w:rPr>
                <w:sz w:val="22"/>
                <w:szCs w:val="22"/>
              </w:rPr>
              <w:t xml:space="preserve">Request compulsory unitization, including submitting unit agreement, unit operating agreement, initial plan of operation, </w:t>
            </w:r>
            <w:r w:rsidRPr="00216003" w:rsidR="0074023A">
              <w:rPr>
                <w:sz w:val="22"/>
                <w:szCs w:val="22"/>
              </w:rPr>
              <w:t xml:space="preserve">obtain approval of Regional Supervisor if required, </w:t>
            </w:r>
            <w:r w:rsidRPr="00216003">
              <w:rPr>
                <w:sz w:val="22"/>
                <w:szCs w:val="22"/>
              </w:rPr>
              <w:t>and supporting data; serving non-consenting lessees with documents.</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D1636F" w:rsidP="00596022" w:rsidRDefault="00F41D88" w14:paraId="7F70A174" w14:textId="77777777">
            <w:pPr>
              <w:snapToGrid w:val="0"/>
              <w:rPr>
                <w:strike/>
                <w:sz w:val="22"/>
                <w:szCs w:val="22"/>
              </w:rPr>
            </w:pPr>
            <w:r>
              <w:rPr>
                <w:sz w:val="22"/>
                <w:szCs w:val="22"/>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1B32EA" w:rsidR="00D1636F" w:rsidP="00596022" w:rsidRDefault="001B32EA" w14:paraId="1EEED05C" w14:textId="424A6B96">
            <w:pPr>
              <w:snapToGrid w:val="0"/>
              <w:jc w:val="both"/>
              <w:rPr>
                <w:sz w:val="22"/>
                <w:szCs w:val="22"/>
              </w:rPr>
            </w:pPr>
            <w:r w:rsidRPr="001B32EA">
              <w:rPr>
                <w:sz w:val="22"/>
                <w:szCs w:val="22"/>
              </w:rPr>
              <w:t>1</w:t>
            </w:r>
            <w:r w:rsidRPr="001B32EA" w:rsidR="00D1636F">
              <w:rPr>
                <w:sz w:val="22"/>
                <w:szCs w:val="22"/>
              </w:rPr>
              <w:t xml:space="preserve"> request</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D1636F" w:rsidP="00596022" w:rsidRDefault="001833FB" w14:paraId="4ABC1E95" w14:textId="77777777">
            <w:pPr>
              <w:snapToGrid w:val="0"/>
              <w:jc w:val="right"/>
              <w:rPr>
                <w:strike/>
                <w:sz w:val="22"/>
                <w:szCs w:val="22"/>
              </w:rPr>
            </w:pPr>
            <w:r>
              <w:rPr>
                <w:sz w:val="22"/>
                <w:szCs w:val="22"/>
              </w:rPr>
              <w:t>300</w:t>
            </w:r>
          </w:p>
        </w:tc>
      </w:tr>
      <w:tr w:rsidRPr="00216003" w:rsidR="00D1636F" w:rsidTr="00892BD4" w14:paraId="7ECBA01F" w14:textId="77777777">
        <w:trPr>
          <w:jc w:val="center"/>
        </w:trPr>
        <w:tc>
          <w:tcPr>
            <w:tcW w:w="1131" w:type="dxa"/>
            <w:tcBorders>
              <w:top w:val="single" w:color="000000" w:sz="6" w:space="0"/>
              <w:left w:val="single" w:color="000000" w:sz="6" w:space="0"/>
              <w:bottom w:val="single" w:color="000000" w:sz="6" w:space="0"/>
              <w:right w:val="single" w:color="000000" w:sz="6" w:space="0"/>
            </w:tcBorders>
            <w:shd w:val="clear" w:color="auto" w:fill="auto"/>
          </w:tcPr>
          <w:p w:rsidRPr="00216003" w:rsidR="00D1636F" w:rsidP="005F603E" w:rsidRDefault="00D1636F" w14:paraId="1F8419A9" w14:textId="77777777">
            <w:pPr>
              <w:snapToGrid w:val="0"/>
              <w:ind w:left="-49" w:right="-49"/>
              <w:rPr>
                <w:sz w:val="22"/>
                <w:szCs w:val="22"/>
              </w:rPr>
            </w:pPr>
            <w:r w:rsidRPr="00216003">
              <w:rPr>
                <w:sz w:val="22"/>
                <w:szCs w:val="22"/>
              </w:rPr>
              <w:t>1304(d)</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D1636F" w:rsidP="005F603E" w:rsidRDefault="00D1636F" w14:paraId="29D91BF2" w14:textId="77777777">
            <w:pPr>
              <w:snapToGrid w:val="0"/>
              <w:rPr>
                <w:sz w:val="22"/>
                <w:szCs w:val="22"/>
              </w:rPr>
            </w:pPr>
            <w:r w:rsidRPr="00216003">
              <w:rPr>
                <w:sz w:val="22"/>
                <w:szCs w:val="22"/>
              </w:rPr>
              <w:t>Request hearing on required unitization.</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D1636F" w:rsidP="00596022" w:rsidRDefault="00D1636F" w14:paraId="0911EB8F" w14:textId="77777777">
            <w:pPr>
              <w:snapToGrid w:val="0"/>
              <w:rPr>
                <w:sz w:val="22"/>
                <w:szCs w:val="22"/>
              </w:rPr>
            </w:pPr>
            <w:r w:rsidRPr="00216003">
              <w:rPr>
                <w:sz w:val="22"/>
                <w:szCs w:val="22"/>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1B32EA" w:rsidR="00D1636F" w:rsidP="005F603E" w:rsidRDefault="001B32EA" w14:paraId="0F867BDC" w14:textId="08E24966">
            <w:pPr>
              <w:snapToGrid w:val="0"/>
              <w:rPr>
                <w:sz w:val="22"/>
                <w:szCs w:val="22"/>
              </w:rPr>
            </w:pPr>
            <w:r w:rsidRPr="001B32EA">
              <w:rPr>
                <w:sz w:val="22"/>
                <w:szCs w:val="22"/>
              </w:rPr>
              <w:t>1</w:t>
            </w:r>
            <w:r w:rsidRPr="001B32EA" w:rsidR="00A01B30">
              <w:rPr>
                <w:sz w:val="22"/>
                <w:szCs w:val="22"/>
              </w:rPr>
              <w:t xml:space="preserve"> </w:t>
            </w:r>
            <w:r w:rsidRPr="001B32EA" w:rsidR="00D1636F">
              <w:rPr>
                <w:sz w:val="22"/>
                <w:szCs w:val="22"/>
              </w:rPr>
              <w:t>request</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216003" w:rsidR="00D1636F" w:rsidP="00596022" w:rsidRDefault="00D1636F" w14:paraId="354A4F29" w14:textId="77777777">
            <w:pPr>
              <w:snapToGrid w:val="0"/>
              <w:jc w:val="right"/>
              <w:rPr>
                <w:sz w:val="22"/>
                <w:szCs w:val="22"/>
              </w:rPr>
            </w:pPr>
            <w:r w:rsidRPr="00216003">
              <w:rPr>
                <w:sz w:val="22"/>
                <w:szCs w:val="22"/>
              </w:rPr>
              <w:t>1</w:t>
            </w:r>
          </w:p>
        </w:tc>
      </w:tr>
      <w:tr w:rsidRPr="00216003" w:rsidR="00D1636F" w:rsidTr="00892BD4" w14:paraId="3F6096AD" w14:textId="77777777">
        <w:trPr>
          <w:trHeight w:val="507"/>
          <w:jc w:val="center"/>
        </w:trPr>
        <w:tc>
          <w:tcPr>
            <w:tcW w:w="1131" w:type="dxa"/>
            <w:tcBorders>
              <w:top w:val="single" w:color="000000" w:sz="6" w:space="0"/>
              <w:left w:val="single" w:color="000000" w:sz="6" w:space="0"/>
              <w:right w:val="single" w:color="000000" w:sz="6" w:space="0"/>
            </w:tcBorders>
            <w:shd w:val="clear" w:color="auto" w:fill="auto"/>
          </w:tcPr>
          <w:p w:rsidRPr="00216003" w:rsidR="00D1636F" w:rsidP="00E208F7" w:rsidRDefault="00D1636F" w14:paraId="64CAC95C" w14:textId="77777777">
            <w:pPr>
              <w:snapToGrid w:val="0"/>
              <w:ind w:left="-49" w:right="-49"/>
              <w:rPr>
                <w:sz w:val="22"/>
                <w:szCs w:val="22"/>
              </w:rPr>
            </w:pPr>
            <w:r w:rsidRPr="00216003">
              <w:rPr>
                <w:sz w:val="22"/>
                <w:szCs w:val="22"/>
              </w:rPr>
              <w:t>1304(d)</w:t>
            </w:r>
          </w:p>
        </w:tc>
        <w:tc>
          <w:tcPr>
            <w:tcW w:w="0" w:type="auto"/>
            <w:tcBorders>
              <w:top w:val="single" w:color="000000" w:sz="6" w:space="0"/>
              <w:left w:val="single" w:color="000000" w:sz="6" w:space="0"/>
              <w:right w:val="single" w:color="000000" w:sz="6" w:space="0"/>
            </w:tcBorders>
            <w:shd w:val="clear" w:color="auto" w:fill="auto"/>
          </w:tcPr>
          <w:p w:rsidRPr="00216003" w:rsidR="00D1636F" w:rsidP="00E208F7" w:rsidRDefault="00D1636F" w14:paraId="529BB140" w14:textId="77777777">
            <w:pPr>
              <w:snapToGrid w:val="0"/>
              <w:rPr>
                <w:sz w:val="22"/>
                <w:szCs w:val="22"/>
              </w:rPr>
            </w:pPr>
            <w:r w:rsidRPr="00216003">
              <w:rPr>
                <w:sz w:val="22"/>
                <w:szCs w:val="22"/>
              </w:rPr>
              <w:t>Submit statement at hearing on compulsory unitization.</w:t>
            </w:r>
          </w:p>
        </w:tc>
        <w:tc>
          <w:tcPr>
            <w:tcW w:w="0" w:type="auto"/>
            <w:tcBorders>
              <w:top w:val="single" w:color="000000" w:sz="6" w:space="0"/>
              <w:left w:val="single" w:color="000000" w:sz="6" w:space="0"/>
              <w:right w:val="single" w:color="000000" w:sz="6" w:space="0"/>
            </w:tcBorders>
            <w:shd w:val="clear" w:color="auto" w:fill="auto"/>
          </w:tcPr>
          <w:p w:rsidRPr="00216003" w:rsidR="00D1636F" w:rsidP="00596022" w:rsidRDefault="00D1636F" w14:paraId="39EBD47E" w14:textId="77777777">
            <w:pPr>
              <w:snapToGrid w:val="0"/>
              <w:rPr>
                <w:sz w:val="22"/>
                <w:szCs w:val="22"/>
              </w:rPr>
            </w:pPr>
            <w:r w:rsidRPr="00216003">
              <w:rPr>
                <w:sz w:val="22"/>
                <w:szCs w:val="22"/>
              </w:rPr>
              <w:t>5</w:t>
            </w:r>
          </w:p>
        </w:tc>
        <w:tc>
          <w:tcPr>
            <w:tcW w:w="0" w:type="auto"/>
            <w:tcBorders>
              <w:top w:val="single" w:color="000000" w:sz="6" w:space="0"/>
              <w:left w:val="single" w:color="000000" w:sz="6" w:space="0"/>
              <w:right w:val="single" w:color="000000" w:sz="6" w:space="0"/>
            </w:tcBorders>
            <w:shd w:val="clear" w:color="auto" w:fill="auto"/>
          </w:tcPr>
          <w:p w:rsidRPr="001B32EA" w:rsidR="00D1636F" w:rsidP="00596022" w:rsidRDefault="001B32EA" w14:paraId="2743C35C" w14:textId="1BA31753">
            <w:pPr>
              <w:snapToGrid w:val="0"/>
              <w:rPr>
                <w:sz w:val="22"/>
                <w:szCs w:val="22"/>
              </w:rPr>
            </w:pPr>
            <w:r w:rsidRPr="001B32EA">
              <w:rPr>
                <w:sz w:val="22"/>
                <w:szCs w:val="22"/>
              </w:rPr>
              <w:t>1</w:t>
            </w:r>
            <w:r w:rsidRPr="001B32EA" w:rsidR="00D1636F">
              <w:rPr>
                <w:sz w:val="22"/>
                <w:szCs w:val="22"/>
              </w:rPr>
              <w:t xml:space="preserve"> statement</w:t>
            </w:r>
          </w:p>
        </w:tc>
        <w:tc>
          <w:tcPr>
            <w:tcW w:w="0" w:type="auto"/>
            <w:tcBorders>
              <w:top w:val="single" w:color="000000" w:sz="6" w:space="0"/>
              <w:left w:val="single" w:color="000000" w:sz="6" w:space="0"/>
              <w:right w:val="single" w:color="000000" w:sz="6" w:space="0"/>
            </w:tcBorders>
            <w:shd w:val="clear" w:color="auto" w:fill="auto"/>
          </w:tcPr>
          <w:p w:rsidRPr="00216003" w:rsidR="00D1636F" w:rsidP="00596022" w:rsidRDefault="00D1636F" w14:paraId="6DAA753D" w14:textId="77777777">
            <w:pPr>
              <w:snapToGrid w:val="0"/>
              <w:jc w:val="right"/>
              <w:rPr>
                <w:sz w:val="22"/>
                <w:szCs w:val="22"/>
              </w:rPr>
            </w:pPr>
            <w:r w:rsidRPr="00216003">
              <w:rPr>
                <w:sz w:val="22"/>
                <w:szCs w:val="22"/>
              </w:rPr>
              <w:t>5</w:t>
            </w:r>
          </w:p>
        </w:tc>
      </w:tr>
      <w:tr w:rsidRPr="00216003" w:rsidR="00D1636F" w:rsidTr="00892BD4" w14:paraId="7B0B835D" w14:textId="77777777">
        <w:trPr>
          <w:trHeight w:val="309"/>
          <w:jc w:val="center"/>
        </w:trPr>
        <w:tc>
          <w:tcPr>
            <w:tcW w:w="1131" w:type="dxa"/>
            <w:vMerge w:val="restart"/>
            <w:tcBorders>
              <w:left w:val="single" w:color="000000" w:sz="6" w:space="0"/>
              <w:right w:val="single" w:color="000000" w:sz="6" w:space="0"/>
            </w:tcBorders>
            <w:shd w:val="clear" w:color="auto" w:fill="auto"/>
          </w:tcPr>
          <w:p w:rsidRPr="00216003" w:rsidR="00D1636F" w:rsidP="005F603E" w:rsidRDefault="00D1636F" w14:paraId="77814BE0" w14:textId="77777777">
            <w:pPr>
              <w:snapToGrid w:val="0"/>
              <w:ind w:left="-49" w:right="-49"/>
              <w:rPr>
                <w:sz w:val="22"/>
                <w:szCs w:val="22"/>
              </w:rPr>
            </w:pPr>
            <w:r w:rsidRPr="00216003">
              <w:rPr>
                <w:sz w:val="22"/>
                <w:szCs w:val="22"/>
              </w:rPr>
              <w:t>1304(e)</w:t>
            </w:r>
          </w:p>
        </w:tc>
        <w:tc>
          <w:tcPr>
            <w:tcW w:w="0" w:type="auto"/>
            <w:vMerge w:val="restart"/>
            <w:tcBorders>
              <w:left w:val="single" w:color="000000" w:sz="6" w:space="0"/>
              <w:right w:val="single" w:color="000000" w:sz="6" w:space="0"/>
            </w:tcBorders>
            <w:shd w:val="clear" w:color="auto" w:fill="auto"/>
          </w:tcPr>
          <w:p w:rsidRPr="00216003" w:rsidR="00D1636F" w:rsidP="005F603E" w:rsidRDefault="00D1636F" w14:paraId="3648D932" w14:textId="77777777">
            <w:pPr>
              <w:snapToGrid w:val="0"/>
              <w:rPr>
                <w:sz w:val="22"/>
                <w:szCs w:val="22"/>
              </w:rPr>
            </w:pPr>
            <w:r w:rsidRPr="00216003">
              <w:rPr>
                <w:sz w:val="22"/>
                <w:szCs w:val="22"/>
              </w:rPr>
              <w:t>Pay for and submit three copies of verbatim transcript of hearing.</w:t>
            </w:r>
          </w:p>
        </w:tc>
        <w:tc>
          <w:tcPr>
            <w:tcW w:w="0" w:type="auto"/>
            <w:tcBorders>
              <w:top w:val="single" w:color="000000" w:sz="6" w:space="0"/>
              <w:left w:val="single" w:color="000000" w:sz="6" w:space="0"/>
              <w:bottom w:val="single" w:color="000000" w:sz="6" w:space="0"/>
            </w:tcBorders>
            <w:shd w:val="clear" w:color="auto" w:fill="auto"/>
          </w:tcPr>
          <w:p w:rsidRPr="00216003" w:rsidR="00D1636F" w:rsidP="00596022" w:rsidRDefault="00D1636F" w14:paraId="23C120B8" w14:textId="77777777">
            <w:pPr>
              <w:snapToGrid w:val="0"/>
              <w:rPr>
                <w:sz w:val="22"/>
                <w:szCs w:val="22"/>
              </w:rPr>
            </w:pPr>
            <w:r w:rsidRPr="00216003">
              <w:rPr>
                <w:sz w:val="22"/>
                <w:szCs w:val="22"/>
              </w:rPr>
              <w:t>1</w:t>
            </w:r>
          </w:p>
        </w:tc>
        <w:tc>
          <w:tcPr>
            <w:tcW w:w="0" w:type="auto"/>
            <w:tcBorders>
              <w:top w:val="single" w:color="000000" w:sz="6" w:space="0"/>
              <w:left w:val="single" w:color="000000" w:sz="6" w:space="0"/>
              <w:bottom w:val="single" w:color="000000" w:sz="6" w:space="0"/>
            </w:tcBorders>
            <w:shd w:val="clear" w:color="auto" w:fill="auto"/>
          </w:tcPr>
          <w:p w:rsidRPr="001B32EA" w:rsidR="00D1636F" w:rsidP="00596022" w:rsidRDefault="001B32EA" w14:paraId="4310E63F" w14:textId="728C37A4">
            <w:pPr>
              <w:snapToGrid w:val="0"/>
              <w:rPr>
                <w:sz w:val="22"/>
                <w:szCs w:val="22"/>
              </w:rPr>
            </w:pPr>
            <w:r w:rsidRPr="001B32EA">
              <w:rPr>
                <w:sz w:val="22"/>
                <w:szCs w:val="22"/>
              </w:rPr>
              <w:t>1</w:t>
            </w:r>
            <w:r w:rsidRPr="001B32EA" w:rsidR="00D1636F">
              <w:rPr>
                <w:sz w:val="22"/>
                <w:szCs w:val="22"/>
              </w:rPr>
              <w:t xml:space="preserve"> submission</w:t>
            </w:r>
          </w:p>
        </w:tc>
        <w:tc>
          <w:tcPr>
            <w:tcW w:w="0" w:type="auto"/>
            <w:tcBorders>
              <w:top w:val="single" w:color="000000" w:sz="6" w:space="0"/>
              <w:left w:val="single" w:color="000000" w:sz="6" w:space="0"/>
              <w:bottom w:val="single" w:color="000000" w:sz="6" w:space="0"/>
            </w:tcBorders>
            <w:shd w:val="clear" w:color="auto" w:fill="auto"/>
          </w:tcPr>
          <w:p w:rsidRPr="00216003" w:rsidR="00D1636F" w:rsidP="00596022" w:rsidRDefault="00D1636F" w14:paraId="7A5DC996" w14:textId="77777777">
            <w:pPr>
              <w:snapToGrid w:val="0"/>
              <w:jc w:val="right"/>
              <w:rPr>
                <w:sz w:val="22"/>
                <w:szCs w:val="22"/>
              </w:rPr>
            </w:pPr>
            <w:r w:rsidRPr="00216003">
              <w:rPr>
                <w:sz w:val="22"/>
                <w:szCs w:val="22"/>
              </w:rPr>
              <w:t>1</w:t>
            </w:r>
          </w:p>
        </w:tc>
      </w:tr>
      <w:tr w:rsidRPr="00216003" w:rsidR="00D1636F" w:rsidTr="00892BD4" w14:paraId="6767CFFD" w14:textId="77777777">
        <w:trPr>
          <w:trHeight w:val="385"/>
          <w:jc w:val="center"/>
        </w:trPr>
        <w:tc>
          <w:tcPr>
            <w:tcW w:w="1131" w:type="dxa"/>
            <w:vMerge/>
            <w:tcBorders>
              <w:left w:val="single" w:color="000000" w:sz="6" w:space="0"/>
              <w:bottom w:val="single" w:color="000000" w:sz="6" w:space="0"/>
              <w:right w:val="single" w:color="000000" w:sz="6" w:space="0"/>
            </w:tcBorders>
            <w:shd w:val="clear" w:color="auto" w:fill="auto"/>
          </w:tcPr>
          <w:p w:rsidRPr="00216003" w:rsidR="00D1636F" w:rsidP="005F603E" w:rsidRDefault="00D1636F" w14:paraId="03BB7B01" w14:textId="77777777">
            <w:pPr>
              <w:snapToGrid w:val="0"/>
              <w:ind w:left="-49" w:right="-49"/>
              <w:rPr>
                <w:sz w:val="22"/>
                <w:szCs w:val="22"/>
              </w:rPr>
            </w:pPr>
          </w:p>
        </w:tc>
        <w:tc>
          <w:tcPr>
            <w:tcW w:w="0" w:type="auto"/>
            <w:vMerge/>
            <w:tcBorders>
              <w:left w:val="single" w:color="000000" w:sz="6" w:space="0"/>
              <w:bottom w:val="single" w:color="000000" w:sz="6" w:space="0"/>
              <w:right w:val="single" w:color="000000" w:sz="6" w:space="0"/>
            </w:tcBorders>
            <w:shd w:val="clear" w:color="auto" w:fill="auto"/>
          </w:tcPr>
          <w:p w:rsidRPr="00216003" w:rsidR="00D1636F" w:rsidP="005F603E" w:rsidRDefault="00D1636F" w14:paraId="4A6A7E59" w14:textId="77777777">
            <w:pPr>
              <w:snapToGrid w:val="0"/>
              <w:rPr>
                <w:sz w:val="22"/>
                <w:szCs w:val="22"/>
              </w:rPr>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auto"/>
          </w:tcPr>
          <w:p w:rsidRPr="001B32EA" w:rsidR="00D1636F" w:rsidP="00072904" w:rsidRDefault="00D1636F" w14:paraId="727E03E1" w14:textId="77777777">
            <w:pPr>
              <w:snapToGrid w:val="0"/>
              <w:jc w:val="center"/>
              <w:rPr>
                <w:sz w:val="22"/>
                <w:szCs w:val="22"/>
              </w:rPr>
            </w:pPr>
            <w:r w:rsidRPr="001B32EA">
              <w:rPr>
                <w:sz w:val="22"/>
                <w:szCs w:val="22"/>
              </w:rPr>
              <w:t>Court reporter and 3 transcript copies for 1 hearing = $500</w:t>
            </w:r>
          </w:p>
        </w:tc>
      </w:tr>
      <w:tr w:rsidRPr="00216003" w:rsidR="00D1636F" w:rsidTr="00892BD4" w14:paraId="29760654" w14:textId="77777777">
        <w:trPr>
          <w:jc w:val="center"/>
        </w:trPr>
        <w:tc>
          <w:tcPr>
            <w:tcW w:w="1131" w:type="dxa"/>
            <w:tcBorders>
              <w:left w:val="single" w:color="000000" w:sz="6" w:space="0"/>
              <w:bottom w:val="single" w:color="auto" w:sz="4" w:space="0"/>
              <w:right w:val="single" w:color="000000" w:sz="6" w:space="0"/>
            </w:tcBorders>
            <w:shd w:val="clear" w:color="auto" w:fill="auto"/>
          </w:tcPr>
          <w:p w:rsidRPr="00216003" w:rsidR="00D1636F" w:rsidP="005F603E" w:rsidRDefault="00D1636F" w14:paraId="14A3037D" w14:textId="77777777">
            <w:pPr>
              <w:snapToGrid w:val="0"/>
              <w:ind w:left="-49" w:right="-49"/>
              <w:rPr>
                <w:sz w:val="22"/>
                <w:szCs w:val="22"/>
              </w:rPr>
            </w:pPr>
            <w:r w:rsidRPr="00216003">
              <w:rPr>
                <w:sz w:val="22"/>
                <w:szCs w:val="22"/>
              </w:rPr>
              <w:t>1304(f)</w:t>
            </w:r>
          </w:p>
        </w:tc>
        <w:tc>
          <w:tcPr>
            <w:tcW w:w="0" w:type="auto"/>
            <w:tcBorders>
              <w:left w:val="single" w:color="000000" w:sz="6" w:space="0"/>
              <w:bottom w:val="single" w:color="auto" w:sz="4" w:space="0"/>
              <w:right w:val="single" w:color="000000" w:sz="6" w:space="0"/>
            </w:tcBorders>
            <w:shd w:val="clear" w:color="auto" w:fill="auto"/>
          </w:tcPr>
          <w:p w:rsidRPr="00216003" w:rsidR="00D1636F" w:rsidP="005F603E" w:rsidRDefault="00D1636F" w14:paraId="4CC99F70" w14:textId="77777777">
            <w:pPr>
              <w:snapToGrid w:val="0"/>
              <w:rPr>
                <w:sz w:val="22"/>
                <w:szCs w:val="22"/>
              </w:rPr>
            </w:pPr>
            <w:r w:rsidRPr="00216003">
              <w:rPr>
                <w:sz w:val="22"/>
                <w:szCs w:val="22"/>
              </w:rPr>
              <w:t xml:space="preserve">Appeal final order of compulsory unitization. </w:t>
            </w:r>
          </w:p>
        </w:tc>
        <w:tc>
          <w:tcPr>
            <w:tcW w:w="0" w:type="auto"/>
            <w:gridSpan w:val="2"/>
            <w:tcBorders>
              <w:top w:val="single" w:color="000000" w:sz="6" w:space="0"/>
              <w:left w:val="single" w:color="000000" w:sz="6" w:space="0"/>
            </w:tcBorders>
            <w:shd w:val="clear" w:color="auto" w:fill="auto"/>
          </w:tcPr>
          <w:p w:rsidRPr="00216003" w:rsidR="00D1636F" w:rsidP="00596022" w:rsidRDefault="00D1636F" w14:paraId="6DF65B09" w14:textId="77777777">
            <w:pPr>
              <w:snapToGrid w:val="0"/>
              <w:rPr>
                <w:sz w:val="22"/>
                <w:szCs w:val="22"/>
              </w:rPr>
            </w:pPr>
            <w:r w:rsidRPr="00216003">
              <w:rPr>
                <w:sz w:val="22"/>
                <w:szCs w:val="22"/>
              </w:rPr>
              <w:t>Exempt as defined in 5 CFR 1320.4(a)(2), (c).</w:t>
            </w:r>
          </w:p>
        </w:tc>
        <w:tc>
          <w:tcPr>
            <w:tcW w:w="0" w:type="auto"/>
            <w:tcBorders>
              <w:top w:val="single" w:color="000000" w:sz="6" w:space="0"/>
              <w:left w:val="single" w:color="000000" w:sz="6" w:space="0"/>
            </w:tcBorders>
            <w:shd w:val="clear" w:color="auto" w:fill="auto"/>
          </w:tcPr>
          <w:p w:rsidRPr="00216003" w:rsidR="00D1636F" w:rsidP="00596022" w:rsidRDefault="00D1636F" w14:paraId="1F0F4FD3" w14:textId="77777777">
            <w:pPr>
              <w:snapToGrid w:val="0"/>
              <w:jc w:val="right"/>
              <w:rPr>
                <w:sz w:val="22"/>
                <w:szCs w:val="22"/>
              </w:rPr>
            </w:pPr>
            <w:r w:rsidRPr="00216003">
              <w:rPr>
                <w:sz w:val="22"/>
                <w:szCs w:val="22"/>
              </w:rPr>
              <w:t>0</w:t>
            </w:r>
          </w:p>
        </w:tc>
      </w:tr>
      <w:tr w:rsidRPr="00216003" w:rsidR="00D1636F" w:rsidTr="00892BD4" w14:paraId="4F351F0F" w14:textId="77777777">
        <w:trPr>
          <w:trHeight w:val="566"/>
          <w:jc w:val="center"/>
        </w:trPr>
        <w:tc>
          <w:tcPr>
            <w:tcW w:w="7309" w:type="dxa"/>
            <w:gridSpan w:val="3"/>
            <w:vMerge w:val="restart"/>
            <w:tcBorders>
              <w:top w:val="single" w:color="auto" w:sz="4" w:space="0"/>
              <w:left w:val="single" w:color="000000" w:sz="6" w:space="0"/>
              <w:right w:val="single" w:color="000000" w:sz="6" w:space="0"/>
            </w:tcBorders>
            <w:shd w:val="pct10" w:color="000000" w:fill="FFFFFF"/>
            <w:vAlign w:val="center"/>
          </w:tcPr>
          <w:p w:rsidRPr="00216003" w:rsidR="00D1636F" w:rsidP="00892BD4" w:rsidRDefault="00D1636F" w14:paraId="2FDD9298" w14:textId="77777777">
            <w:pPr>
              <w:snapToGrid w:val="0"/>
              <w:jc w:val="center"/>
              <w:rPr>
                <w:b/>
                <w:sz w:val="22"/>
                <w:szCs w:val="22"/>
              </w:rPr>
            </w:pPr>
            <w:r w:rsidRPr="00216003">
              <w:rPr>
                <w:b/>
                <w:sz w:val="22"/>
                <w:szCs w:val="22"/>
              </w:rPr>
              <w:lastRenderedPageBreak/>
              <w:t>Total Burden</w:t>
            </w:r>
          </w:p>
        </w:tc>
        <w:tc>
          <w:tcPr>
            <w:tcW w:w="0" w:type="auto"/>
            <w:tcBorders>
              <w:top w:val="single" w:color="auto" w:sz="4" w:space="0"/>
              <w:left w:val="single" w:color="000000" w:sz="6" w:space="0"/>
              <w:bottom w:val="single" w:color="auto" w:sz="4" w:space="0"/>
              <w:right w:val="single" w:color="000000" w:sz="6" w:space="0"/>
            </w:tcBorders>
            <w:shd w:val="pct10" w:color="000000" w:fill="FFFFFF"/>
            <w:vAlign w:val="center"/>
          </w:tcPr>
          <w:p w:rsidRPr="00216003" w:rsidR="00565F0C" w:rsidP="00892BD4" w:rsidRDefault="00565F0C" w14:paraId="624D8F08" w14:textId="77777777">
            <w:pPr>
              <w:snapToGrid w:val="0"/>
              <w:rPr>
                <w:b/>
                <w:sz w:val="22"/>
                <w:szCs w:val="22"/>
              </w:rPr>
            </w:pPr>
          </w:p>
          <w:p w:rsidRPr="00216003" w:rsidR="00D1636F" w:rsidP="00892BD4" w:rsidRDefault="008311FF" w14:paraId="5475207D" w14:textId="4DD93958">
            <w:pPr>
              <w:snapToGrid w:val="0"/>
              <w:rPr>
                <w:b/>
                <w:sz w:val="22"/>
                <w:szCs w:val="22"/>
              </w:rPr>
            </w:pPr>
            <w:r>
              <w:rPr>
                <w:b/>
                <w:sz w:val="22"/>
                <w:szCs w:val="22"/>
              </w:rPr>
              <w:t>79</w:t>
            </w:r>
            <w:r w:rsidR="00A41197">
              <w:rPr>
                <w:b/>
                <w:sz w:val="22"/>
                <w:szCs w:val="22"/>
              </w:rPr>
              <w:t xml:space="preserve"> </w:t>
            </w:r>
            <w:r w:rsidRPr="00216003" w:rsidR="00565F0C">
              <w:rPr>
                <w:b/>
                <w:sz w:val="22"/>
                <w:szCs w:val="22"/>
              </w:rPr>
              <w:t>R</w:t>
            </w:r>
            <w:r w:rsidRPr="00216003" w:rsidR="00D1636F">
              <w:rPr>
                <w:b/>
                <w:sz w:val="22"/>
                <w:szCs w:val="22"/>
              </w:rPr>
              <w:t>esponses</w:t>
            </w:r>
          </w:p>
        </w:tc>
        <w:tc>
          <w:tcPr>
            <w:tcW w:w="0" w:type="auto"/>
            <w:tcBorders>
              <w:top w:val="single" w:color="auto" w:sz="4" w:space="0"/>
              <w:left w:val="single" w:color="000000" w:sz="6" w:space="0"/>
              <w:bottom w:val="single" w:color="auto" w:sz="4" w:space="0"/>
              <w:right w:val="single" w:color="000000" w:sz="6" w:space="0"/>
            </w:tcBorders>
            <w:shd w:val="pct10" w:color="000000" w:fill="FFFFFF"/>
            <w:vAlign w:val="center"/>
          </w:tcPr>
          <w:p w:rsidRPr="00216003" w:rsidR="00D1636F" w:rsidP="00C6769F" w:rsidRDefault="008311FF" w14:paraId="2C6C3B8B" w14:textId="0947CD26">
            <w:pPr>
              <w:snapToGrid w:val="0"/>
              <w:ind w:left="-139" w:right="-139"/>
              <w:jc w:val="right"/>
              <w:rPr>
                <w:b/>
                <w:sz w:val="22"/>
                <w:szCs w:val="22"/>
              </w:rPr>
            </w:pPr>
            <w:r>
              <w:rPr>
                <w:b/>
                <w:sz w:val="22"/>
                <w:szCs w:val="22"/>
              </w:rPr>
              <w:t>5,998</w:t>
            </w:r>
            <w:r w:rsidR="00A41197">
              <w:rPr>
                <w:b/>
                <w:sz w:val="22"/>
                <w:szCs w:val="22"/>
              </w:rPr>
              <w:t xml:space="preserve"> </w:t>
            </w:r>
            <w:r w:rsidRPr="00216003" w:rsidR="00565F0C">
              <w:rPr>
                <w:b/>
                <w:sz w:val="22"/>
                <w:szCs w:val="22"/>
              </w:rPr>
              <w:t>H</w:t>
            </w:r>
            <w:r w:rsidRPr="00216003" w:rsidR="00D83C44">
              <w:rPr>
                <w:b/>
                <w:sz w:val="22"/>
                <w:szCs w:val="22"/>
              </w:rPr>
              <w:t>ou</w:t>
            </w:r>
            <w:r w:rsidRPr="00216003" w:rsidR="00D1636F">
              <w:rPr>
                <w:b/>
                <w:sz w:val="22"/>
                <w:szCs w:val="22"/>
              </w:rPr>
              <w:t>rs</w:t>
            </w:r>
          </w:p>
        </w:tc>
      </w:tr>
      <w:tr w:rsidRPr="007D78FD" w:rsidR="00D1636F" w:rsidTr="00892BD4" w14:paraId="62DF32F1" w14:textId="77777777">
        <w:trPr>
          <w:trHeight w:val="259"/>
          <w:jc w:val="center"/>
        </w:trPr>
        <w:tc>
          <w:tcPr>
            <w:tcW w:w="7309" w:type="dxa"/>
            <w:gridSpan w:val="3"/>
            <w:vMerge/>
            <w:tcBorders>
              <w:left w:val="single" w:color="000000" w:sz="6" w:space="0"/>
              <w:bottom w:val="single" w:color="auto" w:sz="4" w:space="0"/>
              <w:right w:val="single" w:color="000000" w:sz="6" w:space="0"/>
            </w:tcBorders>
            <w:shd w:val="pct10" w:color="000000" w:fill="FFFFFF"/>
            <w:vAlign w:val="center"/>
          </w:tcPr>
          <w:p w:rsidRPr="00216003" w:rsidR="00D1636F" w:rsidP="00E208F7" w:rsidRDefault="00D1636F" w14:paraId="43F55AF1" w14:textId="77777777">
            <w:pPr>
              <w:snapToGrid w:val="0"/>
              <w:rPr>
                <w:b/>
                <w:sz w:val="22"/>
                <w:szCs w:val="22"/>
              </w:rPr>
            </w:pPr>
          </w:p>
        </w:tc>
        <w:tc>
          <w:tcPr>
            <w:tcW w:w="0" w:type="auto"/>
            <w:gridSpan w:val="2"/>
            <w:tcBorders>
              <w:top w:val="single" w:color="auto" w:sz="4" w:space="0"/>
              <w:left w:val="single" w:color="000000" w:sz="6" w:space="0"/>
              <w:bottom w:val="single" w:color="auto" w:sz="4" w:space="0"/>
              <w:right w:val="single" w:color="000000" w:sz="6" w:space="0"/>
            </w:tcBorders>
            <w:shd w:val="pct10" w:color="000000" w:fill="FFFFFF"/>
            <w:vAlign w:val="center"/>
          </w:tcPr>
          <w:p w:rsidRPr="007D78FD" w:rsidR="00D1636F" w:rsidP="008F3723" w:rsidRDefault="00D1636F" w14:paraId="36AE96E2" w14:textId="42FFE296">
            <w:pPr>
              <w:snapToGrid w:val="0"/>
              <w:jc w:val="center"/>
              <w:rPr>
                <w:b/>
                <w:sz w:val="22"/>
                <w:szCs w:val="22"/>
              </w:rPr>
            </w:pPr>
            <w:r w:rsidRPr="00216003">
              <w:rPr>
                <w:b/>
                <w:sz w:val="22"/>
                <w:szCs w:val="22"/>
              </w:rPr>
              <w:t>$</w:t>
            </w:r>
            <w:r w:rsidR="008311FF">
              <w:rPr>
                <w:b/>
                <w:sz w:val="22"/>
                <w:szCs w:val="22"/>
              </w:rPr>
              <w:t>149,836</w:t>
            </w:r>
            <w:r w:rsidR="00A41197">
              <w:rPr>
                <w:b/>
                <w:sz w:val="22"/>
                <w:szCs w:val="22"/>
              </w:rPr>
              <w:t xml:space="preserve"> </w:t>
            </w:r>
            <w:r w:rsidRPr="00216003">
              <w:rPr>
                <w:b/>
                <w:sz w:val="22"/>
                <w:szCs w:val="22"/>
              </w:rPr>
              <w:t>Non-Hour Cost Burdens</w:t>
            </w:r>
          </w:p>
        </w:tc>
      </w:tr>
    </w:tbl>
    <w:p w:rsidRPr="00356AF1" w:rsidR="00954469" w:rsidP="00E208F7" w:rsidRDefault="00954469" w14:paraId="27B23566" w14:textId="77777777">
      <w:pPr>
        <w:rPr>
          <w:sz w:val="20"/>
        </w:rPr>
      </w:pPr>
      <w:r w:rsidRPr="00356AF1">
        <w:rPr>
          <w:sz w:val="20"/>
        </w:rPr>
        <w:t>* These requirements are specified in each Unit Agreement.</w:t>
      </w:r>
    </w:p>
    <w:p w:rsidRPr="00600EEB" w:rsidR="00575958" w:rsidP="00E208F7" w:rsidRDefault="00575958" w14:paraId="7AB74877" w14:textId="77777777">
      <w:pPr>
        <w:tabs>
          <w:tab w:val="left" w:pos="-1080"/>
          <w:tab w:val="left" w:pos="-720"/>
          <w:tab w:val="left" w:pos="360"/>
          <w:tab w:val="left" w:pos="810"/>
        </w:tabs>
        <w:rPr>
          <w:b/>
          <w:i/>
        </w:rPr>
      </w:pPr>
    </w:p>
    <w:p w:rsidRPr="00600EEB" w:rsidR="00575958" w:rsidP="00E208F7" w:rsidRDefault="00575958" w14:paraId="64640932" w14:textId="77777777">
      <w:pPr>
        <w:tabs>
          <w:tab w:val="left" w:pos="-1080"/>
          <w:tab w:val="left" w:pos="-720"/>
          <w:tab w:val="left" w:pos="360"/>
          <w:tab w:val="left" w:pos="810"/>
        </w:tabs>
        <w:rPr>
          <w:i/>
        </w:rPr>
      </w:pPr>
      <w:r w:rsidRPr="00600EEB">
        <w:rPr>
          <w:b/>
          <w:i/>
        </w:rPr>
        <w:tab/>
      </w:r>
      <w:r>
        <w:rPr>
          <w:b/>
          <w:i/>
        </w:rPr>
        <w:t>(c)</w:t>
      </w:r>
      <w:r w:rsidRPr="00600EEB">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r w:rsidR="00E4094B">
        <w:rPr>
          <w:b/>
          <w:i/>
        </w:rPr>
        <w:t xml:space="preserve">under “annual Cost to the Federal Government.”  </w:t>
      </w:r>
      <w:r w:rsidRPr="00600EEB">
        <w:rPr>
          <w:i/>
        </w:rPr>
        <w:t xml:space="preserve">  </w:t>
      </w:r>
    </w:p>
    <w:p w:rsidR="00D2618C" w:rsidP="00E208F7" w:rsidRDefault="00D2618C" w14:paraId="6CC1A8B1" w14:textId="77777777">
      <w:pPr>
        <w:tabs>
          <w:tab w:val="left" w:pos="-1080"/>
          <w:tab w:val="left" w:pos="-720"/>
          <w:tab w:val="left" w:pos="360"/>
          <w:tab w:val="left" w:pos="810"/>
        </w:tabs>
      </w:pPr>
    </w:p>
    <w:p w:rsidRPr="001D1366" w:rsidR="001D1366" w:rsidP="00DF5FB8" w:rsidRDefault="001D1366" w14:paraId="5C716CDC" w14:textId="124D8530">
      <w:pPr>
        <w:widowControl/>
        <w:tabs>
          <w:tab w:val="left" w:pos="-1080"/>
          <w:tab w:val="left" w:pos="-720"/>
          <w:tab w:val="left" w:pos="360"/>
          <w:tab w:val="left" w:pos="810"/>
        </w:tabs>
      </w:pPr>
      <w:r w:rsidRPr="001D1366">
        <w:rPr>
          <w:snapToGrid/>
        </w:rPr>
        <w:t>The average respondent cost is $</w:t>
      </w:r>
      <w:r w:rsidR="00B754A2">
        <w:rPr>
          <w:snapToGrid/>
        </w:rPr>
        <w:t>1</w:t>
      </w:r>
      <w:r w:rsidR="00CD323A">
        <w:rPr>
          <w:snapToGrid/>
        </w:rPr>
        <w:t>34</w:t>
      </w:r>
      <w:r w:rsidRPr="001D1366">
        <w:rPr>
          <w:snapToGrid/>
        </w:rPr>
        <w:t xml:space="preserve">/hour.  This cost is broken out in the following table using the Society of Petroleum Engineers (SPE) data dated </w:t>
      </w:r>
      <w:r w:rsidR="00A37251">
        <w:rPr>
          <w:snapToGrid/>
        </w:rPr>
        <w:t>November 2019</w:t>
      </w:r>
      <w:r w:rsidRPr="001D1366">
        <w:rPr>
          <w:snapToGrid/>
        </w:rPr>
        <w:t>.  See SPE document/website:</w:t>
      </w:r>
      <w:r w:rsidRPr="001D1366">
        <w:rPr>
          <w:rFonts w:ascii="Courier" w:hAnsi="Courier"/>
          <w:snapToGrid/>
        </w:rPr>
        <w:t xml:space="preserve"> </w:t>
      </w:r>
      <w:hyperlink w:history="1" r:id="rId7">
        <w:r w:rsidRPr="00A37251" w:rsidR="00A37251">
          <w:rPr>
            <w:color w:val="0000FF"/>
            <w:u w:val="single"/>
          </w:rPr>
          <w:t>https://www.spe.org/en/industry/oil-and-gas-salary-survey/</w:t>
        </w:r>
      </w:hyperlink>
      <w:r w:rsidR="00A37251">
        <w:t xml:space="preserve"> </w:t>
      </w:r>
    </w:p>
    <w:tbl>
      <w:tblPr>
        <w:tblW w:w="10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0"/>
        <w:gridCol w:w="2279"/>
        <w:gridCol w:w="1654"/>
        <w:gridCol w:w="1736"/>
        <w:gridCol w:w="1819"/>
      </w:tblGrid>
      <w:tr w:rsidRPr="00B754A2" w:rsidR="001D1366" w:rsidTr="001D1366" w14:paraId="7D1F434D" w14:textId="77777777">
        <w:tc>
          <w:tcPr>
            <w:tcW w:w="2700" w:type="dxa"/>
            <w:vAlign w:val="center"/>
          </w:tcPr>
          <w:p w:rsidRPr="00B754A2" w:rsidR="001D1366" w:rsidP="001D1366" w:rsidRDefault="001D1366" w14:paraId="066A16C2" w14:textId="77777777">
            <w:pPr>
              <w:widowControl/>
              <w:tabs>
                <w:tab w:val="left" w:pos="360"/>
              </w:tabs>
              <w:jc w:val="center"/>
              <w:rPr>
                <w:b/>
                <w:sz w:val="22"/>
                <w:szCs w:val="22"/>
              </w:rPr>
            </w:pPr>
            <w:r w:rsidRPr="00B754A2">
              <w:rPr>
                <w:b/>
                <w:sz w:val="22"/>
                <w:szCs w:val="22"/>
              </w:rPr>
              <w:t>Position</w:t>
            </w:r>
          </w:p>
        </w:tc>
        <w:tc>
          <w:tcPr>
            <w:tcW w:w="2279" w:type="dxa"/>
          </w:tcPr>
          <w:p w:rsidRPr="00B754A2" w:rsidR="001D1366" w:rsidP="001D1366" w:rsidRDefault="001D1366" w14:paraId="2EF7B3FE" w14:textId="77777777">
            <w:pPr>
              <w:widowControl/>
              <w:tabs>
                <w:tab w:val="left" w:pos="360"/>
              </w:tabs>
              <w:jc w:val="center"/>
              <w:rPr>
                <w:b/>
                <w:sz w:val="22"/>
                <w:szCs w:val="22"/>
              </w:rPr>
            </w:pPr>
            <w:r w:rsidRPr="00B754A2">
              <w:rPr>
                <w:b/>
                <w:sz w:val="22"/>
                <w:szCs w:val="22"/>
              </w:rPr>
              <w:t>Hourly Pay rate ($/hour estimate)</w:t>
            </w:r>
          </w:p>
        </w:tc>
        <w:tc>
          <w:tcPr>
            <w:tcW w:w="1654" w:type="dxa"/>
          </w:tcPr>
          <w:p w:rsidRPr="00B754A2" w:rsidR="001D1366" w:rsidP="001D1366" w:rsidRDefault="001D1366" w14:paraId="6FC0F4DB" w14:textId="77777777">
            <w:pPr>
              <w:widowControl/>
              <w:tabs>
                <w:tab w:val="left" w:pos="360"/>
              </w:tabs>
              <w:jc w:val="center"/>
              <w:rPr>
                <w:b/>
                <w:sz w:val="22"/>
                <w:szCs w:val="22"/>
              </w:rPr>
            </w:pPr>
            <w:r w:rsidRPr="00B754A2">
              <w:rPr>
                <w:b/>
                <w:sz w:val="22"/>
                <w:szCs w:val="22"/>
              </w:rPr>
              <w:t>Hourl</w:t>
            </w:r>
            <w:r w:rsidR="00922DA2">
              <w:rPr>
                <w:b/>
                <w:sz w:val="22"/>
                <w:szCs w:val="22"/>
              </w:rPr>
              <w:t xml:space="preserve">y rate including benefits (1.4* </w:t>
            </w:r>
            <w:r w:rsidRPr="00B754A2">
              <w:rPr>
                <w:b/>
                <w:sz w:val="22"/>
                <w:szCs w:val="22"/>
              </w:rPr>
              <w:t xml:space="preserve"> x $/hour)</w:t>
            </w:r>
          </w:p>
        </w:tc>
        <w:tc>
          <w:tcPr>
            <w:tcW w:w="1736" w:type="dxa"/>
          </w:tcPr>
          <w:p w:rsidRPr="00B754A2" w:rsidR="001D1366" w:rsidP="001D1366" w:rsidRDefault="001D1366" w14:paraId="587E70BD" w14:textId="77777777">
            <w:pPr>
              <w:widowControl/>
              <w:tabs>
                <w:tab w:val="left" w:pos="360"/>
              </w:tabs>
              <w:jc w:val="center"/>
              <w:rPr>
                <w:b/>
                <w:sz w:val="22"/>
                <w:szCs w:val="22"/>
              </w:rPr>
            </w:pPr>
            <w:r w:rsidRPr="00B754A2">
              <w:rPr>
                <w:b/>
                <w:sz w:val="22"/>
                <w:szCs w:val="22"/>
              </w:rPr>
              <w:t>Percent of time spent on collection</w:t>
            </w:r>
          </w:p>
        </w:tc>
        <w:tc>
          <w:tcPr>
            <w:tcW w:w="1819" w:type="dxa"/>
          </w:tcPr>
          <w:p w:rsidRPr="00B754A2" w:rsidR="001D1366" w:rsidP="001D1366" w:rsidRDefault="001D1366" w14:paraId="05B7F42E" w14:textId="77777777">
            <w:pPr>
              <w:widowControl/>
              <w:tabs>
                <w:tab w:val="left" w:pos="360"/>
              </w:tabs>
              <w:jc w:val="center"/>
              <w:rPr>
                <w:b/>
                <w:sz w:val="22"/>
                <w:szCs w:val="22"/>
              </w:rPr>
            </w:pPr>
            <w:r w:rsidRPr="00B754A2">
              <w:rPr>
                <w:b/>
                <w:sz w:val="22"/>
                <w:szCs w:val="22"/>
              </w:rPr>
              <w:t>Weighted Average ($/hour/ rounded)</w:t>
            </w:r>
          </w:p>
        </w:tc>
      </w:tr>
      <w:tr w:rsidRPr="00B754A2" w:rsidR="001D1366" w:rsidTr="001D1366" w14:paraId="7D0B0EF9" w14:textId="77777777">
        <w:tc>
          <w:tcPr>
            <w:tcW w:w="2700" w:type="dxa"/>
          </w:tcPr>
          <w:p w:rsidRPr="008C2D3A" w:rsidR="001D1366" w:rsidP="001D1366" w:rsidRDefault="00DF5FB8" w14:paraId="3365E2D3" w14:textId="55BF28DB">
            <w:pPr>
              <w:widowControl/>
              <w:tabs>
                <w:tab w:val="left" w:pos="360"/>
              </w:tabs>
              <w:rPr>
                <w:sz w:val="22"/>
                <w:szCs w:val="22"/>
              </w:rPr>
            </w:pPr>
            <w:r w:rsidRPr="008C2D3A">
              <w:rPr>
                <w:sz w:val="22"/>
                <w:szCs w:val="22"/>
              </w:rPr>
              <w:t>Non-Engineering Technical</w:t>
            </w:r>
          </w:p>
        </w:tc>
        <w:tc>
          <w:tcPr>
            <w:tcW w:w="2279" w:type="dxa"/>
          </w:tcPr>
          <w:p w:rsidRPr="008C2D3A" w:rsidR="001D1366" w:rsidP="001D1366" w:rsidRDefault="001D1366" w14:paraId="66BB8A3F" w14:textId="780DA0EB">
            <w:pPr>
              <w:widowControl/>
              <w:tabs>
                <w:tab w:val="left" w:pos="360"/>
              </w:tabs>
              <w:jc w:val="center"/>
              <w:rPr>
                <w:sz w:val="22"/>
                <w:szCs w:val="22"/>
              </w:rPr>
            </w:pPr>
            <w:r w:rsidRPr="008C2D3A">
              <w:rPr>
                <w:sz w:val="22"/>
                <w:szCs w:val="22"/>
              </w:rPr>
              <w:t>$</w:t>
            </w:r>
            <w:r w:rsidR="00D620C8">
              <w:rPr>
                <w:sz w:val="22"/>
                <w:szCs w:val="22"/>
              </w:rPr>
              <w:t>62.67</w:t>
            </w:r>
          </w:p>
        </w:tc>
        <w:tc>
          <w:tcPr>
            <w:tcW w:w="1654" w:type="dxa"/>
          </w:tcPr>
          <w:p w:rsidRPr="008C2D3A" w:rsidR="001D1366" w:rsidP="00DF5FB8" w:rsidRDefault="001D1366" w14:paraId="43B38BAC" w14:textId="5BA9864F">
            <w:pPr>
              <w:widowControl/>
              <w:tabs>
                <w:tab w:val="left" w:pos="360"/>
              </w:tabs>
              <w:jc w:val="center"/>
              <w:rPr>
                <w:sz w:val="22"/>
                <w:szCs w:val="22"/>
              </w:rPr>
            </w:pPr>
            <w:r w:rsidRPr="008C2D3A">
              <w:rPr>
                <w:sz w:val="22"/>
                <w:szCs w:val="22"/>
              </w:rPr>
              <w:t>$</w:t>
            </w:r>
            <w:r w:rsidRPr="008C2D3A" w:rsidR="00DF5FB8">
              <w:rPr>
                <w:sz w:val="22"/>
                <w:szCs w:val="22"/>
              </w:rPr>
              <w:t>8</w:t>
            </w:r>
            <w:r w:rsidR="005D0F3B">
              <w:rPr>
                <w:sz w:val="22"/>
                <w:szCs w:val="22"/>
              </w:rPr>
              <w:t>7.74</w:t>
            </w:r>
          </w:p>
        </w:tc>
        <w:tc>
          <w:tcPr>
            <w:tcW w:w="1736" w:type="dxa"/>
          </w:tcPr>
          <w:p w:rsidRPr="008C2D3A" w:rsidR="001D1366" w:rsidP="00100A91" w:rsidRDefault="00100A91" w14:paraId="5A0217D4" w14:textId="77777777">
            <w:pPr>
              <w:widowControl/>
              <w:tabs>
                <w:tab w:val="left" w:pos="360"/>
              </w:tabs>
              <w:jc w:val="center"/>
              <w:rPr>
                <w:sz w:val="22"/>
                <w:szCs w:val="22"/>
              </w:rPr>
            </w:pPr>
            <w:r w:rsidRPr="008C2D3A">
              <w:rPr>
                <w:sz w:val="22"/>
                <w:szCs w:val="22"/>
              </w:rPr>
              <w:t>12%</w:t>
            </w:r>
          </w:p>
        </w:tc>
        <w:tc>
          <w:tcPr>
            <w:tcW w:w="1819" w:type="dxa"/>
          </w:tcPr>
          <w:p w:rsidRPr="00B754A2" w:rsidR="001D1366" w:rsidP="001D1366" w:rsidRDefault="001D1366" w14:paraId="1D5911C2" w14:textId="4292052C">
            <w:pPr>
              <w:widowControl/>
              <w:tabs>
                <w:tab w:val="left" w:pos="360"/>
              </w:tabs>
              <w:jc w:val="center"/>
              <w:rPr>
                <w:sz w:val="22"/>
                <w:szCs w:val="22"/>
              </w:rPr>
            </w:pPr>
            <w:r w:rsidRPr="00B754A2">
              <w:rPr>
                <w:sz w:val="22"/>
                <w:szCs w:val="22"/>
              </w:rPr>
              <w:t>$</w:t>
            </w:r>
            <w:r w:rsidR="003E6456">
              <w:rPr>
                <w:sz w:val="22"/>
                <w:szCs w:val="22"/>
              </w:rPr>
              <w:t>10.53</w:t>
            </w:r>
          </w:p>
        </w:tc>
      </w:tr>
      <w:tr w:rsidRPr="00B754A2" w:rsidR="001D1366" w:rsidTr="001D1366" w14:paraId="405FBBD7" w14:textId="77777777">
        <w:tc>
          <w:tcPr>
            <w:tcW w:w="2700" w:type="dxa"/>
          </w:tcPr>
          <w:p w:rsidRPr="008C2D3A" w:rsidR="001D1366" w:rsidP="00CE0C28" w:rsidRDefault="00CE0C28" w14:paraId="2C4A5BF2" w14:textId="77777777">
            <w:pPr>
              <w:widowControl/>
              <w:tabs>
                <w:tab w:val="left" w:pos="360"/>
              </w:tabs>
              <w:rPr>
                <w:sz w:val="22"/>
                <w:szCs w:val="22"/>
              </w:rPr>
            </w:pPr>
            <w:r w:rsidRPr="008C2D3A">
              <w:rPr>
                <w:sz w:val="22"/>
                <w:szCs w:val="22"/>
              </w:rPr>
              <w:t>Earth Science/</w:t>
            </w:r>
            <w:r w:rsidRPr="008C2D3A" w:rsidR="001D1366">
              <w:rPr>
                <w:sz w:val="22"/>
                <w:szCs w:val="22"/>
              </w:rPr>
              <w:t>Geolog</w:t>
            </w:r>
            <w:r w:rsidRPr="008C2D3A">
              <w:rPr>
                <w:sz w:val="22"/>
                <w:szCs w:val="22"/>
              </w:rPr>
              <w:t>y</w:t>
            </w:r>
          </w:p>
        </w:tc>
        <w:tc>
          <w:tcPr>
            <w:tcW w:w="2279" w:type="dxa"/>
          </w:tcPr>
          <w:p w:rsidRPr="008C2D3A" w:rsidR="001D1366" w:rsidP="001D1366" w:rsidRDefault="001D1366" w14:paraId="3BB62590" w14:textId="179368E2">
            <w:pPr>
              <w:widowControl/>
              <w:tabs>
                <w:tab w:val="left" w:pos="360"/>
              </w:tabs>
              <w:jc w:val="center"/>
              <w:rPr>
                <w:sz w:val="22"/>
                <w:szCs w:val="22"/>
              </w:rPr>
            </w:pPr>
            <w:r w:rsidRPr="008C2D3A">
              <w:rPr>
                <w:sz w:val="22"/>
                <w:szCs w:val="22"/>
              </w:rPr>
              <w:t>$</w:t>
            </w:r>
            <w:r w:rsidRPr="008C2D3A" w:rsidR="00DF5FB8">
              <w:rPr>
                <w:sz w:val="22"/>
                <w:szCs w:val="22"/>
              </w:rPr>
              <w:t>10</w:t>
            </w:r>
            <w:r w:rsidR="003E1C9D">
              <w:rPr>
                <w:sz w:val="22"/>
                <w:szCs w:val="22"/>
              </w:rPr>
              <w:t>4.92</w:t>
            </w:r>
          </w:p>
        </w:tc>
        <w:tc>
          <w:tcPr>
            <w:tcW w:w="1654" w:type="dxa"/>
          </w:tcPr>
          <w:p w:rsidRPr="008C2D3A" w:rsidR="001D1366" w:rsidP="001D1366" w:rsidRDefault="00CE0C28" w14:paraId="55CBC633" w14:textId="393E1018">
            <w:pPr>
              <w:widowControl/>
              <w:tabs>
                <w:tab w:val="left" w:pos="360"/>
              </w:tabs>
              <w:jc w:val="center"/>
              <w:rPr>
                <w:sz w:val="22"/>
                <w:szCs w:val="22"/>
              </w:rPr>
            </w:pPr>
            <w:r w:rsidRPr="008C2D3A">
              <w:rPr>
                <w:sz w:val="22"/>
                <w:szCs w:val="22"/>
              </w:rPr>
              <w:t>$1</w:t>
            </w:r>
            <w:r w:rsidRPr="008C2D3A" w:rsidR="00DF5FB8">
              <w:rPr>
                <w:sz w:val="22"/>
                <w:szCs w:val="22"/>
              </w:rPr>
              <w:t>4</w:t>
            </w:r>
            <w:r w:rsidR="005D0F3B">
              <w:rPr>
                <w:sz w:val="22"/>
                <w:szCs w:val="22"/>
              </w:rPr>
              <w:t>6</w:t>
            </w:r>
            <w:r w:rsidR="003E6456">
              <w:rPr>
                <w:sz w:val="22"/>
                <w:szCs w:val="22"/>
              </w:rPr>
              <w:t>.89</w:t>
            </w:r>
          </w:p>
        </w:tc>
        <w:tc>
          <w:tcPr>
            <w:tcW w:w="1736" w:type="dxa"/>
          </w:tcPr>
          <w:p w:rsidRPr="008C2D3A" w:rsidR="001D1366" w:rsidP="001D1366" w:rsidRDefault="00FF762F" w14:paraId="057F77E9" w14:textId="77777777">
            <w:pPr>
              <w:widowControl/>
              <w:tabs>
                <w:tab w:val="left" w:pos="360"/>
              </w:tabs>
              <w:jc w:val="center"/>
              <w:rPr>
                <w:sz w:val="22"/>
                <w:szCs w:val="22"/>
              </w:rPr>
            </w:pPr>
            <w:r w:rsidRPr="008C2D3A">
              <w:rPr>
                <w:sz w:val="22"/>
                <w:szCs w:val="22"/>
              </w:rPr>
              <w:t>35</w:t>
            </w:r>
            <w:r w:rsidRPr="008C2D3A" w:rsidR="001D1366">
              <w:rPr>
                <w:sz w:val="22"/>
                <w:szCs w:val="22"/>
              </w:rPr>
              <w:t>%</w:t>
            </w:r>
          </w:p>
        </w:tc>
        <w:tc>
          <w:tcPr>
            <w:tcW w:w="1819" w:type="dxa"/>
          </w:tcPr>
          <w:p w:rsidRPr="00B754A2" w:rsidR="001D1366" w:rsidP="001D1366" w:rsidRDefault="00CE0C28" w14:paraId="0627CFE8" w14:textId="11AD7280">
            <w:pPr>
              <w:widowControl/>
              <w:tabs>
                <w:tab w:val="left" w:pos="360"/>
              </w:tabs>
              <w:jc w:val="center"/>
              <w:rPr>
                <w:sz w:val="22"/>
                <w:szCs w:val="22"/>
              </w:rPr>
            </w:pPr>
            <w:r w:rsidRPr="00B754A2">
              <w:rPr>
                <w:sz w:val="22"/>
                <w:szCs w:val="22"/>
              </w:rPr>
              <w:t>$</w:t>
            </w:r>
            <w:r w:rsidR="00DF5FB8">
              <w:rPr>
                <w:sz w:val="22"/>
                <w:szCs w:val="22"/>
              </w:rPr>
              <w:t>51.</w:t>
            </w:r>
            <w:r w:rsidR="003E6456">
              <w:rPr>
                <w:sz w:val="22"/>
                <w:szCs w:val="22"/>
              </w:rPr>
              <w:t>41</w:t>
            </w:r>
          </w:p>
        </w:tc>
      </w:tr>
      <w:tr w:rsidRPr="00B754A2" w:rsidR="001D1366" w:rsidTr="001D1366" w14:paraId="1D2D788F" w14:textId="77777777">
        <w:tc>
          <w:tcPr>
            <w:tcW w:w="2700" w:type="dxa"/>
          </w:tcPr>
          <w:p w:rsidRPr="008C2D3A" w:rsidR="001D1366" w:rsidP="001D1366" w:rsidRDefault="00CE0C28" w14:paraId="33B608AA" w14:textId="77777777">
            <w:pPr>
              <w:widowControl/>
              <w:tabs>
                <w:tab w:val="left" w:pos="360"/>
              </w:tabs>
              <w:rPr>
                <w:sz w:val="22"/>
                <w:szCs w:val="22"/>
              </w:rPr>
            </w:pPr>
            <w:r w:rsidRPr="008C2D3A">
              <w:rPr>
                <w:sz w:val="22"/>
                <w:szCs w:val="22"/>
              </w:rPr>
              <w:t>Production</w:t>
            </w:r>
            <w:r w:rsidRPr="008C2D3A" w:rsidR="001D1366">
              <w:rPr>
                <w:sz w:val="22"/>
                <w:szCs w:val="22"/>
              </w:rPr>
              <w:t xml:space="preserve"> Engineer</w:t>
            </w:r>
          </w:p>
        </w:tc>
        <w:tc>
          <w:tcPr>
            <w:tcW w:w="2279" w:type="dxa"/>
          </w:tcPr>
          <w:p w:rsidRPr="008C2D3A" w:rsidR="001D1366" w:rsidP="00CE0C28" w:rsidRDefault="001D1366" w14:paraId="69772843" w14:textId="41E27491">
            <w:pPr>
              <w:widowControl/>
              <w:tabs>
                <w:tab w:val="left" w:pos="360"/>
              </w:tabs>
              <w:jc w:val="center"/>
              <w:rPr>
                <w:sz w:val="22"/>
                <w:szCs w:val="22"/>
              </w:rPr>
            </w:pPr>
            <w:r w:rsidRPr="008C2D3A">
              <w:rPr>
                <w:sz w:val="22"/>
                <w:szCs w:val="22"/>
              </w:rPr>
              <w:t>$</w:t>
            </w:r>
            <w:r w:rsidR="003E1C9D">
              <w:rPr>
                <w:sz w:val="22"/>
                <w:szCs w:val="22"/>
              </w:rPr>
              <w:t>96.56</w:t>
            </w:r>
          </w:p>
        </w:tc>
        <w:tc>
          <w:tcPr>
            <w:tcW w:w="1654" w:type="dxa"/>
          </w:tcPr>
          <w:p w:rsidRPr="008C2D3A" w:rsidR="001D1366" w:rsidP="001D1366" w:rsidRDefault="00CE0C28" w14:paraId="1B508F9F" w14:textId="0DC9CE8B">
            <w:pPr>
              <w:widowControl/>
              <w:tabs>
                <w:tab w:val="left" w:pos="360"/>
              </w:tabs>
              <w:jc w:val="center"/>
              <w:rPr>
                <w:sz w:val="22"/>
                <w:szCs w:val="22"/>
              </w:rPr>
            </w:pPr>
            <w:r w:rsidRPr="008C2D3A">
              <w:rPr>
                <w:sz w:val="22"/>
                <w:szCs w:val="22"/>
              </w:rPr>
              <w:t>$</w:t>
            </w:r>
            <w:r w:rsidR="003E6456">
              <w:rPr>
                <w:sz w:val="22"/>
                <w:szCs w:val="22"/>
              </w:rPr>
              <w:t>135.18</w:t>
            </w:r>
          </w:p>
        </w:tc>
        <w:tc>
          <w:tcPr>
            <w:tcW w:w="1736" w:type="dxa"/>
          </w:tcPr>
          <w:p w:rsidRPr="008C2D3A" w:rsidR="001D1366" w:rsidP="001D1366" w:rsidRDefault="00FF762F" w14:paraId="7CA29535" w14:textId="77777777">
            <w:pPr>
              <w:widowControl/>
              <w:tabs>
                <w:tab w:val="left" w:pos="360"/>
              </w:tabs>
              <w:jc w:val="center"/>
              <w:rPr>
                <w:sz w:val="22"/>
                <w:szCs w:val="22"/>
              </w:rPr>
            </w:pPr>
            <w:r w:rsidRPr="008C2D3A">
              <w:rPr>
                <w:sz w:val="22"/>
                <w:szCs w:val="22"/>
              </w:rPr>
              <w:t>53</w:t>
            </w:r>
            <w:r w:rsidRPr="008C2D3A" w:rsidR="001D1366">
              <w:rPr>
                <w:sz w:val="22"/>
                <w:szCs w:val="22"/>
              </w:rPr>
              <w:t>%</w:t>
            </w:r>
          </w:p>
        </w:tc>
        <w:tc>
          <w:tcPr>
            <w:tcW w:w="1819" w:type="dxa"/>
          </w:tcPr>
          <w:p w:rsidRPr="00B754A2" w:rsidR="001D1366" w:rsidP="00CE0C28" w:rsidRDefault="001D1366" w14:paraId="04431947" w14:textId="0264283B">
            <w:pPr>
              <w:widowControl/>
              <w:tabs>
                <w:tab w:val="left" w:pos="360"/>
              </w:tabs>
              <w:jc w:val="center"/>
              <w:rPr>
                <w:sz w:val="22"/>
                <w:szCs w:val="22"/>
              </w:rPr>
            </w:pPr>
            <w:r w:rsidRPr="00B754A2">
              <w:rPr>
                <w:sz w:val="22"/>
                <w:szCs w:val="22"/>
              </w:rPr>
              <w:t>$</w:t>
            </w:r>
            <w:r w:rsidR="00CD323A">
              <w:rPr>
                <w:sz w:val="22"/>
                <w:szCs w:val="22"/>
              </w:rPr>
              <w:t>71.65</w:t>
            </w:r>
          </w:p>
        </w:tc>
      </w:tr>
      <w:tr w:rsidRPr="00B754A2" w:rsidR="001D1366" w:rsidTr="001D1366" w14:paraId="7A68A246" w14:textId="77777777">
        <w:tc>
          <w:tcPr>
            <w:tcW w:w="8369" w:type="dxa"/>
            <w:gridSpan w:val="4"/>
          </w:tcPr>
          <w:p w:rsidRPr="008C2D3A" w:rsidR="001D1366" w:rsidP="001D1366" w:rsidRDefault="001D1366" w14:paraId="7476CF87" w14:textId="77777777">
            <w:pPr>
              <w:widowControl/>
              <w:tabs>
                <w:tab w:val="left" w:pos="360"/>
              </w:tabs>
              <w:rPr>
                <w:b/>
                <w:sz w:val="22"/>
                <w:szCs w:val="22"/>
              </w:rPr>
            </w:pPr>
            <w:r w:rsidRPr="008C2D3A">
              <w:rPr>
                <w:b/>
                <w:sz w:val="22"/>
                <w:szCs w:val="22"/>
              </w:rPr>
              <w:t>Weighted Average ($/hour)</w:t>
            </w:r>
          </w:p>
        </w:tc>
        <w:tc>
          <w:tcPr>
            <w:tcW w:w="1819" w:type="dxa"/>
          </w:tcPr>
          <w:p w:rsidRPr="00B754A2" w:rsidR="001D1366" w:rsidP="00CE0C28" w:rsidRDefault="001D1366" w14:paraId="0D04561F" w14:textId="50DC3128">
            <w:pPr>
              <w:widowControl/>
              <w:tabs>
                <w:tab w:val="left" w:pos="360"/>
              </w:tabs>
              <w:jc w:val="center"/>
              <w:rPr>
                <w:b/>
                <w:sz w:val="22"/>
                <w:szCs w:val="22"/>
              </w:rPr>
            </w:pPr>
            <w:r w:rsidRPr="00B754A2">
              <w:rPr>
                <w:b/>
                <w:sz w:val="22"/>
                <w:szCs w:val="22"/>
              </w:rPr>
              <w:t>$</w:t>
            </w:r>
            <w:r w:rsidRPr="00B754A2" w:rsidR="00100A91">
              <w:rPr>
                <w:b/>
                <w:sz w:val="22"/>
                <w:szCs w:val="22"/>
              </w:rPr>
              <w:t>1</w:t>
            </w:r>
            <w:r w:rsidR="00CD323A">
              <w:rPr>
                <w:b/>
                <w:sz w:val="22"/>
                <w:szCs w:val="22"/>
              </w:rPr>
              <w:t>34</w:t>
            </w:r>
          </w:p>
        </w:tc>
      </w:tr>
    </w:tbl>
    <w:p w:rsidRPr="00922DA2" w:rsidR="00922DA2" w:rsidP="00922DA2" w:rsidRDefault="00922DA2" w14:paraId="1B264E6B" w14:textId="65BFCDE8">
      <w:pPr>
        <w:widowControl/>
        <w:tabs>
          <w:tab w:val="left" w:pos="0"/>
        </w:tabs>
        <w:rPr>
          <w:sz w:val="20"/>
        </w:rPr>
      </w:pPr>
      <w:r w:rsidRPr="00922DA2">
        <w:rPr>
          <w:sz w:val="20"/>
        </w:rPr>
        <w:t xml:space="preserve">*A multiplier of 1.4 (as implied by BLS news release </w:t>
      </w:r>
      <w:r w:rsidRPr="00D87C19" w:rsidR="00D87C19">
        <w:rPr>
          <w:sz w:val="20"/>
        </w:rPr>
        <w:t>USDL-20-1736</w:t>
      </w:r>
      <w:r w:rsidRPr="00922DA2">
        <w:rPr>
          <w:sz w:val="20"/>
        </w:rPr>
        <w:t xml:space="preserve">, </w:t>
      </w:r>
      <w:r w:rsidRPr="00D87C19" w:rsidR="00D87C19">
        <w:rPr>
          <w:sz w:val="20"/>
        </w:rPr>
        <w:t>September 17, 2020</w:t>
      </w:r>
      <w:r w:rsidRPr="00D87C19" w:rsidR="00D87C19">
        <w:rPr>
          <w:sz w:val="20"/>
        </w:rPr>
        <w:t xml:space="preserve"> </w:t>
      </w:r>
      <w:r w:rsidRPr="00922DA2">
        <w:rPr>
          <w:sz w:val="20"/>
        </w:rPr>
        <w:t xml:space="preserve">(see </w:t>
      </w:r>
      <w:hyperlink w:history="1" r:id="rId8">
        <w:r w:rsidRPr="00922DA2">
          <w:rPr>
            <w:color w:val="0000FF"/>
            <w:sz w:val="21"/>
            <w:szCs w:val="21"/>
            <w:u w:val="single"/>
          </w:rPr>
          <w:t>http://www.bls.gov/news.release/ecec.nr0.htm</w:t>
        </w:r>
      </w:hyperlink>
      <w:r w:rsidRPr="00922DA2">
        <w:rPr>
          <w:sz w:val="20"/>
        </w:rPr>
        <w:t>)) was added for benefits.</w:t>
      </w:r>
    </w:p>
    <w:p w:rsidR="00922DA2" w:rsidP="00E208F7" w:rsidRDefault="00922DA2" w14:paraId="279B236F" w14:textId="77777777">
      <w:pPr>
        <w:tabs>
          <w:tab w:val="left" w:pos="360"/>
          <w:tab w:val="left" w:pos="720"/>
        </w:tabs>
      </w:pPr>
    </w:p>
    <w:p w:rsidR="00575958" w:rsidP="00E208F7" w:rsidRDefault="00655CFE" w14:paraId="05AB1485" w14:textId="26DDCD6F">
      <w:pPr>
        <w:tabs>
          <w:tab w:val="left" w:pos="360"/>
          <w:tab w:val="left" w:pos="720"/>
        </w:tabs>
      </w:pPr>
      <w:r w:rsidRPr="00B754A2">
        <w:t>Based on a cost factor of $</w:t>
      </w:r>
      <w:r w:rsidRPr="00B754A2" w:rsidR="00CE0C28">
        <w:t>1</w:t>
      </w:r>
      <w:r w:rsidR="00CD323A">
        <w:t>34</w:t>
      </w:r>
      <w:r w:rsidRPr="00B754A2">
        <w:t xml:space="preserve"> per hour, </w:t>
      </w:r>
      <w:r w:rsidRPr="00DF5FB8" w:rsidR="00DF5FB8">
        <w:t xml:space="preserve">we estimate the hour burden as a dollar equivalent is </w:t>
      </w:r>
      <w:r w:rsidRPr="00B754A2">
        <w:t>$</w:t>
      </w:r>
      <w:r w:rsidRPr="00CD323A" w:rsidR="00CD323A">
        <w:t>803,732</w:t>
      </w:r>
      <w:r w:rsidRPr="00CD323A" w:rsidR="00CD323A">
        <w:t xml:space="preserve"> </w:t>
      </w:r>
      <w:r w:rsidRPr="00B754A2">
        <w:t>($</w:t>
      </w:r>
      <w:r w:rsidR="00922DA2">
        <w:t>1</w:t>
      </w:r>
      <w:r w:rsidR="00CD323A">
        <w:t>34</w:t>
      </w:r>
      <w:r w:rsidRPr="00B754A2">
        <w:t xml:space="preserve"> x </w:t>
      </w:r>
      <w:r w:rsidR="00CD323A">
        <w:t>5,998</w:t>
      </w:r>
      <w:r w:rsidRPr="00B754A2">
        <w:t xml:space="preserve"> hours = $</w:t>
      </w:r>
      <w:r w:rsidR="00CD323A">
        <w:t>803,732</w:t>
      </w:r>
      <w:r w:rsidRPr="00B754A2">
        <w:t>).</w:t>
      </w:r>
      <w:r>
        <w:t xml:space="preserve">  </w:t>
      </w:r>
    </w:p>
    <w:p w:rsidR="00655CFE" w:rsidP="00E208F7" w:rsidRDefault="00655CFE" w14:paraId="0F3EF8D4" w14:textId="77777777">
      <w:pPr>
        <w:tabs>
          <w:tab w:val="left" w:pos="360"/>
          <w:tab w:val="left" w:pos="720"/>
        </w:tabs>
        <w:rPr>
          <w:b/>
        </w:rPr>
      </w:pPr>
    </w:p>
    <w:p w:rsidR="00575958" w:rsidP="00E208F7" w:rsidRDefault="00575958" w14:paraId="7DDC8D91" w14:textId="77777777">
      <w:pPr>
        <w:tabs>
          <w:tab w:val="left" w:pos="-1080"/>
          <w:tab w:val="left" w:pos="-720"/>
          <w:tab w:val="left" w:pos="360"/>
          <w:tab w:val="left" w:pos="810"/>
        </w:tabs>
        <w:rPr>
          <w:b/>
          <w:i/>
        </w:rPr>
      </w:pPr>
      <w:r w:rsidRPr="00600EEB">
        <w:rPr>
          <w:b/>
          <w:i/>
        </w:rPr>
        <w:t>13.</w:t>
      </w:r>
      <w:r w:rsidRPr="00600EEB">
        <w:rPr>
          <w:b/>
          <w:i/>
        </w:rPr>
        <w:tab/>
        <w:t xml:space="preserve">Provide </w:t>
      </w:r>
      <w:r w:rsidR="00E4094B">
        <w:rPr>
          <w:b/>
          <w:i/>
        </w:rPr>
        <w:t xml:space="preserve">an estimate of the total annual </w:t>
      </w:r>
      <w:r w:rsidRPr="00600EEB">
        <w:rPr>
          <w:b/>
          <w:i/>
        </w:rPr>
        <w:t xml:space="preserve">non-hour cost burden to respondents or recordkeepers resulting from the collection of information.  (Do not include the cost of any hour burden </w:t>
      </w:r>
      <w:r w:rsidR="00E4094B">
        <w:rPr>
          <w:b/>
          <w:i/>
        </w:rPr>
        <w:t>already reflected in Item 12</w:t>
      </w:r>
      <w:r w:rsidRPr="00600EEB">
        <w:rPr>
          <w:b/>
          <w:i/>
        </w:rPr>
        <w:t>).</w:t>
      </w:r>
    </w:p>
    <w:p w:rsidRPr="00600EEB" w:rsidR="00575958" w:rsidP="00E208F7" w:rsidRDefault="00575958" w14:paraId="112FE87E" w14:textId="77777777">
      <w:pPr>
        <w:tabs>
          <w:tab w:val="left" w:pos="-1080"/>
          <w:tab w:val="left" w:pos="-720"/>
          <w:tab w:val="left" w:pos="360"/>
          <w:tab w:val="left" w:pos="810"/>
        </w:tabs>
        <w:rPr>
          <w:b/>
          <w:i/>
        </w:rPr>
      </w:pPr>
    </w:p>
    <w:p w:rsidR="00575958" w:rsidP="00E208F7" w:rsidRDefault="00575958" w14:paraId="75F6E424" w14:textId="77777777">
      <w:pPr>
        <w:tabs>
          <w:tab w:val="left" w:pos="-1080"/>
          <w:tab w:val="left" w:pos="-720"/>
          <w:tab w:val="left" w:pos="360"/>
          <w:tab w:val="left" w:pos="810"/>
        </w:tabs>
        <w:rPr>
          <w:b/>
          <w:i/>
        </w:rPr>
      </w:pPr>
      <w:r w:rsidRPr="00600EEB">
        <w:rPr>
          <w:b/>
          <w:i/>
        </w:rPr>
        <w:tab/>
      </w:r>
      <w:r>
        <w:rPr>
          <w:b/>
          <w:i/>
        </w:rPr>
        <w:t>(a)</w:t>
      </w:r>
      <w:r w:rsidRPr="00600EEB">
        <w:rPr>
          <w:b/>
          <w:i/>
        </w:rPr>
        <w:t xml:space="preserve"> 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xml:space="preserve">) a total operation and maintenance and purchase of services component.  The estimates should take into account costs associated with generating, maintaining, and disclosing or providing the information </w:t>
      </w:r>
      <w:r w:rsidR="00443253">
        <w:rPr>
          <w:b/>
          <w:i/>
        </w:rPr>
        <w:t>(</w:t>
      </w:r>
      <w:r w:rsidRPr="00600EEB">
        <w:rPr>
          <w:b/>
          <w:i/>
        </w:rPr>
        <w:t>including filing fees paid</w:t>
      </w:r>
      <w:r w:rsidR="00443253">
        <w:rPr>
          <w:b/>
          <w:i/>
        </w:rPr>
        <w:t xml:space="preserve"> for form processing)</w:t>
      </w:r>
      <w:r w:rsidRPr="00600EEB">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575958" w:rsidP="00E208F7" w:rsidRDefault="00575958" w14:paraId="1B9B2607" w14:textId="77777777">
      <w:pPr>
        <w:tabs>
          <w:tab w:val="left" w:pos="-1080"/>
          <w:tab w:val="left" w:pos="-720"/>
          <w:tab w:val="left" w:pos="360"/>
          <w:tab w:val="left" w:pos="810"/>
        </w:tabs>
        <w:rPr>
          <w:b/>
          <w:i/>
        </w:rPr>
      </w:pPr>
    </w:p>
    <w:p w:rsidR="00575958" w:rsidP="00E208F7" w:rsidRDefault="00575958" w14:paraId="2A0E9237" w14:textId="77777777">
      <w:pPr>
        <w:tabs>
          <w:tab w:val="left" w:pos="-1080"/>
          <w:tab w:val="left" w:pos="-720"/>
          <w:tab w:val="left" w:pos="360"/>
          <w:tab w:val="left" w:pos="810"/>
        </w:tabs>
        <w:rPr>
          <w:i/>
        </w:rPr>
      </w:pPr>
      <w:r w:rsidRPr="00600EEB">
        <w:rPr>
          <w:b/>
          <w:i/>
        </w:rPr>
        <w:tab/>
      </w:r>
      <w:r>
        <w:rPr>
          <w:b/>
          <w:i/>
        </w:rPr>
        <w:t>(b)</w:t>
      </w:r>
      <w:r w:rsidRPr="00600EEB">
        <w:rPr>
          <w:b/>
          <w:i/>
        </w:rPr>
        <w:t xml:space="preserve"> If cost estimates are expected to vary widely, agencies should present ranges of cost burden </w:t>
      </w:r>
      <w:r w:rsidRPr="00600EEB">
        <w:rPr>
          <w:b/>
          <w:i/>
        </w:rPr>
        <w:lastRenderedPageBreak/>
        <w:t>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rsidRPr="00600EEB" w:rsidR="00575958" w:rsidP="00E208F7" w:rsidRDefault="00575958" w14:paraId="0C0C2040" w14:textId="77777777">
      <w:pPr>
        <w:tabs>
          <w:tab w:val="left" w:pos="-1080"/>
          <w:tab w:val="left" w:pos="-720"/>
          <w:tab w:val="left" w:pos="360"/>
          <w:tab w:val="left" w:pos="810"/>
        </w:tabs>
        <w:rPr>
          <w:i/>
        </w:rPr>
      </w:pPr>
    </w:p>
    <w:p w:rsidR="00575958" w:rsidP="00E208F7" w:rsidRDefault="00575958" w14:paraId="483DE9AD" w14:textId="77777777">
      <w:pPr>
        <w:tabs>
          <w:tab w:val="left" w:pos="-1080"/>
          <w:tab w:val="left" w:pos="-720"/>
          <w:tab w:val="left" w:pos="360"/>
          <w:tab w:val="left" w:pos="810"/>
        </w:tabs>
        <w:rPr>
          <w:i/>
        </w:rPr>
      </w:pPr>
      <w:r w:rsidRPr="00600EEB">
        <w:rPr>
          <w:i/>
        </w:rPr>
        <w:tab/>
      </w:r>
      <w:r w:rsidRPr="00AF2A4E">
        <w:rPr>
          <w:b/>
          <w:i/>
        </w:rPr>
        <w:t>(c)</w:t>
      </w:r>
      <w:r w:rsidRPr="00600EEB">
        <w:rPr>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rsidRPr="00600EEB" w:rsidR="00575958" w:rsidP="00E208F7" w:rsidRDefault="00575958" w14:paraId="0A3A750E" w14:textId="77777777">
      <w:pPr>
        <w:tabs>
          <w:tab w:val="left" w:pos="-1080"/>
          <w:tab w:val="left" w:pos="-720"/>
          <w:tab w:val="left" w:pos="360"/>
          <w:tab w:val="left" w:pos="810"/>
        </w:tabs>
        <w:rPr>
          <w:i/>
        </w:rPr>
      </w:pPr>
    </w:p>
    <w:p w:rsidR="00D1636F" w:rsidP="000429BD" w:rsidRDefault="000429BD" w14:paraId="7FA96071" w14:textId="77777777">
      <w:pPr>
        <w:widowControl/>
        <w:tabs>
          <w:tab w:val="left" w:pos="-1080"/>
          <w:tab w:val="left" w:pos="-720"/>
          <w:tab w:val="left" w:pos="360"/>
          <w:tab w:val="left" w:pos="720"/>
        </w:tabs>
      </w:pPr>
      <w:r>
        <w:t>We have identified</w:t>
      </w:r>
      <w:r w:rsidRPr="000429BD">
        <w:t xml:space="preserve"> </w:t>
      </w:r>
      <w:r w:rsidR="00AD1919">
        <w:t>three</w:t>
      </w:r>
      <w:r w:rsidRPr="000429BD">
        <w:t xml:space="preserve"> non-hour cost</w:t>
      </w:r>
      <w:r>
        <w:t xml:space="preserve"> burdens</w:t>
      </w:r>
      <w:r w:rsidRPr="000429BD">
        <w:t xml:space="preserve"> associated with this information collection.  Section 250.1303 requires respondents to pay filing fees when </w:t>
      </w:r>
      <w:r w:rsidR="001D551B">
        <w:t xml:space="preserve">(1) </w:t>
      </w:r>
      <w:r w:rsidRPr="000429BD">
        <w:t>applying for a voluntary unitization proposal or unit expansion</w:t>
      </w:r>
      <w:r w:rsidR="00D1636F">
        <w:t xml:space="preserve"> ($1</w:t>
      </w:r>
      <w:r w:rsidR="00AD1919">
        <w:t>2</w:t>
      </w:r>
      <w:r w:rsidR="00D1636F">
        <w:t>,6</w:t>
      </w:r>
      <w:r w:rsidR="00AD1919">
        <w:t>19</w:t>
      </w:r>
      <w:r w:rsidR="00D1636F">
        <w:t>)</w:t>
      </w:r>
      <w:r w:rsidRPr="000429BD">
        <w:t xml:space="preserve">, as well as a </w:t>
      </w:r>
      <w:r w:rsidR="001D551B">
        <w:t xml:space="preserve">(2) </w:t>
      </w:r>
      <w:r w:rsidRPr="000429BD">
        <w:t>unitization revision</w:t>
      </w:r>
      <w:r w:rsidR="00D1636F">
        <w:t xml:space="preserve"> ($8</w:t>
      </w:r>
      <w:r w:rsidR="00AD1919">
        <w:t>96</w:t>
      </w:r>
      <w:r w:rsidR="00D1636F">
        <w:t>)</w:t>
      </w:r>
      <w:r w:rsidRPr="000429BD">
        <w:t>.  The filing fees are required to recover the Federal Government's processing costs.  Section 250.1304(d) provides an opportunity for parties notified of compulsory unitization to request a hearing</w:t>
      </w:r>
      <w:r w:rsidR="001D551B">
        <w:t xml:space="preserve">; therefore </w:t>
      </w:r>
      <w:r w:rsidR="008C2208">
        <w:t xml:space="preserve">§ </w:t>
      </w:r>
      <w:r w:rsidRPr="000429BD">
        <w:t xml:space="preserve">250.1304(e) requires the party seeking the compulsory unitization to </w:t>
      </w:r>
      <w:r w:rsidR="001D551B">
        <w:t xml:space="preserve">(3) </w:t>
      </w:r>
      <w:r w:rsidRPr="000429BD">
        <w:t>pay for the court reporter and three copies of the verbatim transcript of the hearing</w:t>
      </w:r>
      <w:r w:rsidR="00D1636F">
        <w:t xml:space="preserve"> (approximately $500)</w:t>
      </w:r>
      <w:r w:rsidRPr="000429BD">
        <w:t xml:space="preserve">.  </w:t>
      </w:r>
    </w:p>
    <w:p w:rsidR="00D1636F" w:rsidP="000429BD" w:rsidRDefault="00D1636F" w14:paraId="1FE5BE66" w14:textId="77777777">
      <w:pPr>
        <w:widowControl/>
        <w:tabs>
          <w:tab w:val="left" w:pos="-1080"/>
          <w:tab w:val="left" w:pos="-720"/>
          <w:tab w:val="left" w:pos="360"/>
          <w:tab w:val="left" w:pos="720"/>
        </w:tabs>
      </w:pPr>
    </w:p>
    <w:p w:rsidR="000429BD" w:rsidP="000429BD" w:rsidRDefault="000429BD" w14:paraId="4BC5FF88" w14:textId="404BA5DC">
      <w:pPr>
        <w:widowControl/>
        <w:tabs>
          <w:tab w:val="left" w:pos="-1080"/>
          <w:tab w:val="left" w:pos="-720"/>
          <w:tab w:val="left" w:pos="360"/>
          <w:tab w:val="left" w:pos="720"/>
        </w:tabs>
      </w:pPr>
      <w:r w:rsidRPr="007C7FDC">
        <w:t>It should be noted there have been no such hearings in the recent past, and none are expected in the near future.  We have not identified any other non-hour cost burdens associated with this collection of information</w:t>
      </w:r>
      <w:r w:rsidRPr="007C7FDC" w:rsidR="001D551B">
        <w:t>.  We</w:t>
      </w:r>
      <w:r w:rsidRPr="007C7FDC">
        <w:t xml:space="preserve"> estimate a total reporting non-hour cost </w:t>
      </w:r>
      <w:r w:rsidRPr="00B754A2">
        <w:t>burden of $</w:t>
      </w:r>
      <w:r w:rsidRPr="00E727F1" w:rsidR="00E727F1">
        <w:t>149,836</w:t>
      </w:r>
      <w:r>
        <w:t>.  Refer to the chart in Section A.12 of this supporting statement for the specific breakdown.</w:t>
      </w:r>
    </w:p>
    <w:p w:rsidR="000429BD" w:rsidP="000429BD" w:rsidRDefault="000429BD" w14:paraId="05E8F241" w14:textId="77777777">
      <w:pPr>
        <w:tabs>
          <w:tab w:val="left" w:pos="360"/>
          <w:tab w:val="left" w:pos="720"/>
        </w:tabs>
      </w:pPr>
    </w:p>
    <w:p w:rsidR="00575958" w:rsidP="00E208F7" w:rsidRDefault="00575958" w14:paraId="54A26607" w14:textId="77777777">
      <w:pPr>
        <w:tabs>
          <w:tab w:val="left" w:pos="-1080"/>
          <w:tab w:val="left" w:pos="-720"/>
          <w:tab w:val="left" w:pos="360"/>
          <w:tab w:val="left" w:pos="810"/>
        </w:tabs>
        <w:rPr>
          <w:b/>
          <w:i/>
        </w:rPr>
      </w:pPr>
      <w:r w:rsidRPr="00600EEB">
        <w:rPr>
          <w:b/>
          <w:i/>
        </w:rPr>
        <w:t>14.</w:t>
      </w:r>
      <w:r w:rsidRPr="00600EEB">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51ABE" w:rsidP="00E208F7" w:rsidRDefault="00451ABE" w14:paraId="75310025" w14:textId="77777777">
      <w:pPr>
        <w:tabs>
          <w:tab w:val="left" w:pos="-1080"/>
          <w:tab w:val="left" w:pos="-720"/>
          <w:tab w:val="left" w:pos="360"/>
          <w:tab w:val="left" w:pos="810"/>
        </w:tabs>
        <w:rPr>
          <w:b/>
          <w:i/>
        </w:rPr>
      </w:pPr>
    </w:p>
    <w:p w:rsidRPr="00055FDC" w:rsidR="00451ABE" w:rsidP="00E208F7" w:rsidRDefault="00451ABE" w14:paraId="73DF70F7" w14:textId="2C9541A6">
      <w:pPr>
        <w:tabs>
          <w:tab w:val="left" w:pos="-1080"/>
          <w:tab w:val="left" w:pos="-720"/>
          <w:tab w:val="left" w:pos="360"/>
          <w:tab w:val="left" w:pos="810"/>
        </w:tabs>
      </w:pPr>
      <w:r w:rsidRPr="000C3CC9">
        <w:t xml:space="preserve">The average government cost is </w:t>
      </w:r>
      <w:r w:rsidRPr="00055FDC">
        <w:t>$</w:t>
      </w:r>
      <w:r w:rsidR="00240DF7">
        <w:t>85</w:t>
      </w:r>
      <w:r w:rsidRPr="00055FDC">
        <w:t>/hour.  This cost is broken out in the below table using the current Office of Personnel Management salary data for the REST OF THE UNITED STATES (</w:t>
      </w:r>
      <w:hyperlink w:history="1" r:id="rId9">
        <w:r w:rsidRPr="00F8769F" w:rsidR="00CE0C28">
          <w:rPr>
            <w:rStyle w:val="Hyperlink"/>
          </w:rPr>
          <w:t>http://www.opm.gov/policy-data-oversight/pay-leave/salaries-wages/</w:t>
        </w:r>
      </w:hyperlink>
      <w:r w:rsidRPr="00CE0C28" w:rsidR="00CE0C28">
        <w:t xml:space="preserve">).   </w:t>
      </w:r>
    </w:p>
    <w:p w:rsidRPr="00055FDC" w:rsidR="00443253" w:rsidP="00E208F7" w:rsidRDefault="00443253" w14:paraId="5DFDB8BA" w14:textId="77777777">
      <w:pPr>
        <w:tabs>
          <w:tab w:val="left" w:pos="-1080"/>
          <w:tab w:val="left" w:pos="-720"/>
          <w:tab w:val="left" w:pos="360"/>
          <w:tab w:val="left" w:pos="810"/>
        </w:tabs>
        <w:rPr>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Pr="00435D63" w:rsidR="00954469" w:rsidTr="00CE0C28" w14:paraId="5B12FC72" w14:textId="77777777">
        <w:tc>
          <w:tcPr>
            <w:tcW w:w="3150" w:type="dxa"/>
            <w:vAlign w:val="center"/>
          </w:tcPr>
          <w:p w:rsidRPr="00435D63" w:rsidR="00954469" w:rsidP="00E208F7" w:rsidRDefault="00954469" w14:paraId="69A4A14B" w14:textId="77777777">
            <w:pPr>
              <w:tabs>
                <w:tab w:val="left" w:pos="360"/>
              </w:tabs>
              <w:jc w:val="center"/>
              <w:rPr>
                <w:b/>
                <w:szCs w:val="24"/>
              </w:rPr>
            </w:pPr>
            <w:r w:rsidRPr="00435D63">
              <w:rPr>
                <w:b/>
                <w:szCs w:val="24"/>
              </w:rPr>
              <w:t>Position</w:t>
            </w:r>
          </w:p>
        </w:tc>
        <w:tc>
          <w:tcPr>
            <w:tcW w:w="1143" w:type="dxa"/>
            <w:vAlign w:val="center"/>
          </w:tcPr>
          <w:p w:rsidRPr="00435D63" w:rsidR="00954469" w:rsidP="00E208F7" w:rsidRDefault="00954469" w14:paraId="6BCC9F66" w14:textId="77777777">
            <w:pPr>
              <w:tabs>
                <w:tab w:val="left" w:pos="360"/>
              </w:tabs>
              <w:jc w:val="center"/>
              <w:rPr>
                <w:b/>
                <w:szCs w:val="24"/>
              </w:rPr>
            </w:pPr>
            <w:r w:rsidRPr="00435D63">
              <w:rPr>
                <w:b/>
                <w:szCs w:val="24"/>
              </w:rPr>
              <w:t>Grade</w:t>
            </w:r>
          </w:p>
        </w:tc>
        <w:tc>
          <w:tcPr>
            <w:tcW w:w="1337" w:type="dxa"/>
          </w:tcPr>
          <w:p w:rsidRPr="00435D63" w:rsidR="00954469" w:rsidP="00E208F7" w:rsidRDefault="00954469" w14:paraId="240BEE23" w14:textId="77777777">
            <w:pPr>
              <w:tabs>
                <w:tab w:val="left" w:pos="360"/>
              </w:tabs>
              <w:jc w:val="center"/>
              <w:rPr>
                <w:b/>
                <w:szCs w:val="24"/>
              </w:rPr>
            </w:pPr>
            <w:r w:rsidRPr="00435D63">
              <w:rPr>
                <w:b/>
                <w:szCs w:val="24"/>
              </w:rPr>
              <w:t>Hourly Pay rate ($/hour estimate)</w:t>
            </w:r>
          </w:p>
        </w:tc>
        <w:tc>
          <w:tcPr>
            <w:tcW w:w="1765" w:type="dxa"/>
          </w:tcPr>
          <w:p w:rsidRPr="00435D63" w:rsidR="00954469" w:rsidP="001F13C3" w:rsidRDefault="00954469" w14:paraId="78BB85B6" w14:textId="77777777">
            <w:pPr>
              <w:tabs>
                <w:tab w:val="left" w:pos="360"/>
              </w:tabs>
              <w:jc w:val="center"/>
              <w:rPr>
                <w:b/>
                <w:szCs w:val="24"/>
              </w:rPr>
            </w:pPr>
            <w:r w:rsidRPr="00435D63">
              <w:rPr>
                <w:b/>
                <w:szCs w:val="24"/>
              </w:rPr>
              <w:t>Hourly rate including benefits (1</w:t>
            </w:r>
            <w:r w:rsidRPr="00435D63" w:rsidR="001F13C3">
              <w:rPr>
                <w:b/>
                <w:szCs w:val="24"/>
              </w:rPr>
              <w:t>.6</w:t>
            </w:r>
            <w:r w:rsidRPr="00435D63" w:rsidR="00B53E30">
              <w:rPr>
                <w:b/>
                <w:szCs w:val="24"/>
              </w:rPr>
              <w:t>*</w:t>
            </w:r>
            <w:r w:rsidRPr="00435D63">
              <w:rPr>
                <w:b/>
                <w:szCs w:val="24"/>
              </w:rPr>
              <w:t xml:space="preserve"> x $/hour)</w:t>
            </w:r>
          </w:p>
        </w:tc>
        <w:tc>
          <w:tcPr>
            <w:tcW w:w="1366" w:type="dxa"/>
          </w:tcPr>
          <w:p w:rsidRPr="00435D63" w:rsidR="00954469" w:rsidP="00E208F7" w:rsidRDefault="00954469" w14:paraId="4D057E85" w14:textId="77777777">
            <w:pPr>
              <w:tabs>
                <w:tab w:val="left" w:pos="360"/>
              </w:tabs>
              <w:jc w:val="center"/>
              <w:rPr>
                <w:b/>
                <w:szCs w:val="24"/>
              </w:rPr>
            </w:pPr>
            <w:r w:rsidRPr="00435D63">
              <w:rPr>
                <w:b/>
                <w:szCs w:val="24"/>
              </w:rPr>
              <w:t>Percent of time spent on collection</w:t>
            </w:r>
          </w:p>
        </w:tc>
        <w:tc>
          <w:tcPr>
            <w:tcW w:w="1319" w:type="dxa"/>
          </w:tcPr>
          <w:p w:rsidRPr="00435D63" w:rsidR="00954469" w:rsidP="00E208F7" w:rsidRDefault="00954469" w14:paraId="66D38144" w14:textId="77777777">
            <w:pPr>
              <w:tabs>
                <w:tab w:val="left" w:pos="360"/>
              </w:tabs>
              <w:jc w:val="center"/>
              <w:rPr>
                <w:b/>
                <w:szCs w:val="24"/>
              </w:rPr>
            </w:pPr>
            <w:r w:rsidRPr="00435D63">
              <w:rPr>
                <w:b/>
                <w:szCs w:val="24"/>
              </w:rPr>
              <w:t>Weighted Average ($/hour)</w:t>
            </w:r>
          </w:p>
        </w:tc>
      </w:tr>
      <w:tr w:rsidRPr="00435D63" w:rsidR="00954469" w:rsidTr="00CE0C28" w14:paraId="6DBB120E" w14:textId="77777777">
        <w:tc>
          <w:tcPr>
            <w:tcW w:w="3150" w:type="dxa"/>
          </w:tcPr>
          <w:p w:rsidRPr="00435D63" w:rsidR="00954469" w:rsidP="00CE0C28" w:rsidRDefault="00954469" w14:paraId="7CBF62B7" w14:textId="77777777">
            <w:pPr>
              <w:tabs>
                <w:tab w:val="left" w:pos="360"/>
              </w:tabs>
              <w:ind w:right="-121"/>
              <w:rPr>
                <w:sz w:val="22"/>
                <w:szCs w:val="22"/>
              </w:rPr>
            </w:pPr>
            <w:r w:rsidRPr="00435D63">
              <w:rPr>
                <w:sz w:val="22"/>
                <w:szCs w:val="22"/>
              </w:rPr>
              <w:t>Petroleum Engineer</w:t>
            </w:r>
            <w:r w:rsidRPr="00435D63" w:rsidR="009F4A90">
              <w:rPr>
                <w:sz w:val="22"/>
                <w:szCs w:val="22"/>
              </w:rPr>
              <w:t>/Geologist/Geophysicist</w:t>
            </w:r>
          </w:p>
        </w:tc>
        <w:tc>
          <w:tcPr>
            <w:tcW w:w="1143" w:type="dxa"/>
          </w:tcPr>
          <w:p w:rsidRPr="00435D63" w:rsidR="00954469" w:rsidP="00E208F7" w:rsidRDefault="00954469" w14:paraId="553B008A" w14:textId="77777777">
            <w:pPr>
              <w:tabs>
                <w:tab w:val="left" w:pos="360"/>
              </w:tabs>
              <w:jc w:val="center"/>
              <w:rPr>
                <w:sz w:val="22"/>
                <w:szCs w:val="22"/>
              </w:rPr>
            </w:pPr>
            <w:r w:rsidRPr="00435D63">
              <w:rPr>
                <w:sz w:val="22"/>
                <w:szCs w:val="22"/>
              </w:rPr>
              <w:t>GS-13/5</w:t>
            </w:r>
          </w:p>
        </w:tc>
        <w:tc>
          <w:tcPr>
            <w:tcW w:w="1337" w:type="dxa"/>
          </w:tcPr>
          <w:p w:rsidRPr="00435D63" w:rsidR="00954469" w:rsidP="00CE0C28" w:rsidRDefault="00954469" w14:paraId="539083ED" w14:textId="2087D1A7">
            <w:pPr>
              <w:tabs>
                <w:tab w:val="left" w:pos="360"/>
              </w:tabs>
              <w:jc w:val="center"/>
              <w:rPr>
                <w:sz w:val="22"/>
                <w:szCs w:val="22"/>
              </w:rPr>
            </w:pPr>
            <w:r w:rsidRPr="00435D63">
              <w:rPr>
                <w:sz w:val="22"/>
                <w:szCs w:val="22"/>
              </w:rPr>
              <w:t>$</w:t>
            </w:r>
            <w:r w:rsidRPr="00435D63" w:rsidR="00090064">
              <w:rPr>
                <w:sz w:val="22"/>
                <w:szCs w:val="22"/>
              </w:rPr>
              <w:t>4</w:t>
            </w:r>
            <w:r w:rsidRPr="00435D63" w:rsidR="00240DF7">
              <w:rPr>
                <w:sz w:val="22"/>
                <w:szCs w:val="22"/>
              </w:rPr>
              <w:t>9.54</w:t>
            </w:r>
          </w:p>
        </w:tc>
        <w:tc>
          <w:tcPr>
            <w:tcW w:w="1765" w:type="dxa"/>
          </w:tcPr>
          <w:p w:rsidRPr="00435D63" w:rsidR="00954469" w:rsidP="00CE0C28" w:rsidRDefault="00954469" w14:paraId="6A21F41C" w14:textId="443F89B9">
            <w:pPr>
              <w:tabs>
                <w:tab w:val="left" w:pos="360"/>
              </w:tabs>
              <w:jc w:val="center"/>
              <w:rPr>
                <w:sz w:val="22"/>
                <w:szCs w:val="22"/>
              </w:rPr>
            </w:pPr>
            <w:r w:rsidRPr="00435D63">
              <w:rPr>
                <w:sz w:val="22"/>
                <w:szCs w:val="22"/>
              </w:rPr>
              <w:t>$</w:t>
            </w:r>
            <w:r w:rsidRPr="00435D63" w:rsidR="003C45A9">
              <w:rPr>
                <w:sz w:val="22"/>
                <w:szCs w:val="22"/>
              </w:rPr>
              <w:t>7</w:t>
            </w:r>
            <w:r w:rsidRPr="00435D63" w:rsidR="00240DF7">
              <w:rPr>
                <w:sz w:val="22"/>
                <w:szCs w:val="22"/>
              </w:rPr>
              <w:t>9.26</w:t>
            </w:r>
          </w:p>
        </w:tc>
        <w:tc>
          <w:tcPr>
            <w:tcW w:w="1366" w:type="dxa"/>
          </w:tcPr>
          <w:p w:rsidRPr="00435D63" w:rsidR="00954469" w:rsidP="00E208F7" w:rsidRDefault="00136C58" w14:paraId="339ECE48" w14:textId="6422CBFB">
            <w:pPr>
              <w:tabs>
                <w:tab w:val="left" w:pos="360"/>
              </w:tabs>
              <w:jc w:val="center"/>
              <w:rPr>
                <w:sz w:val="22"/>
                <w:szCs w:val="22"/>
              </w:rPr>
            </w:pPr>
            <w:r w:rsidRPr="00435D63">
              <w:rPr>
                <w:sz w:val="22"/>
                <w:szCs w:val="22"/>
              </w:rPr>
              <w:t>80</w:t>
            </w:r>
            <w:r w:rsidRPr="00435D63" w:rsidR="00954469">
              <w:rPr>
                <w:sz w:val="22"/>
                <w:szCs w:val="22"/>
              </w:rPr>
              <w:t>%</w:t>
            </w:r>
          </w:p>
        </w:tc>
        <w:tc>
          <w:tcPr>
            <w:tcW w:w="1319" w:type="dxa"/>
          </w:tcPr>
          <w:p w:rsidRPr="00435D63" w:rsidR="00954469" w:rsidP="00CE0C28" w:rsidRDefault="00954469" w14:paraId="6E5C8083" w14:textId="2C2A1084">
            <w:pPr>
              <w:tabs>
                <w:tab w:val="left" w:pos="360"/>
              </w:tabs>
              <w:jc w:val="center"/>
              <w:rPr>
                <w:sz w:val="22"/>
                <w:szCs w:val="22"/>
              </w:rPr>
            </w:pPr>
            <w:r w:rsidRPr="00435D63">
              <w:rPr>
                <w:sz w:val="22"/>
                <w:szCs w:val="22"/>
              </w:rPr>
              <w:t>$</w:t>
            </w:r>
            <w:r w:rsidRPr="00435D63" w:rsidR="00240DF7">
              <w:rPr>
                <w:sz w:val="22"/>
                <w:szCs w:val="22"/>
              </w:rPr>
              <w:t>63.41</w:t>
            </w:r>
          </w:p>
        </w:tc>
      </w:tr>
      <w:tr w:rsidRPr="00435D63" w:rsidR="00954469" w:rsidTr="00CE0C28" w14:paraId="32D6C145" w14:textId="77777777">
        <w:tc>
          <w:tcPr>
            <w:tcW w:w="3150" w:type="dxa"/>
          </w:tcPr>
          <w:p w:rsidRPr="00435D63" w:rsidR="00954469" w:rsidP="00CE0C28" w:rsidRDefault="00954469" w14:paraId="3CB095A7" w14:textId="77777777">
            <w:pPr>
              <w:tabs>
                <w:tab w:val="left" w:pos="360"/>
              </w:tabs>
              <w:ind w:right="-121"/>
              <w:rPr>
                <w:sz w:val="22"/>
                <w:szCs w:val="22"/>
              </w:rPr>
            </w:pPr>
            <w:proofErr w:type="spellStart"/>
            <w:r w:rsidRPr="00435D63">
              <w:rPr>
                <w:sz w:val="22"/>
                <w:szCs w:val="22"/>
              </w:rPr>
              <w:t>Supv</w:t>
            </w:r>
            <w:proofErr w:type="spellEnd"/>
            <w:r w:rsidRPr="00435D63">
              <w:rPr>
                <w:sz w:val="22"/>
                <w:szCs w:val="22"/>
              </w:rPr>
              <w:t>. Petroleum Engineer</w:t>
            </w:r>
            <w:r w:rsidRPr="00435D63" w:rsidR="00F42859">
              <w:rPr>
                <w:sz w:val="22"/>
                <w:szCs w:val="22"/>
              </w:rPr>
              <w:t>/Geologist/Geophysicist</w:t>
            </w:r>
          </w:p>
        </w:tc>
        <w:tc>
          <w:tcPr>
            <w:tcW w:w="1143" w:type="dxa"/>
          </w:tcPr>
          <w:p w:rsidRPr="00435D63" w:rsidR="00954469" w:rsidP="00E208F7" w:rsidRDefault="00954469" w14:paraId="5D69F72A" w14:textId="77777777">
            <w:pPr>
              <w:tabs>
                <w:tab w:val="left" w:pos="360"/>
              </w:tabs>
              <w:jc w:val="center"/>
              <w:rPr>
                <w:sz w:val="22"/>
                <w:szCs w:val="22"/>
              </w:rPr>
            </w:pPr>
            <w:r w:rsidRPr="00435D63">
              <w:rPr>
                <w:sz w:val="22"/>
                <w:szCs w:val="22"/>
              </w:rPr>
              <w:t>GS-15/5</w:t>
            </w:r>
          </w:p>
        </w:tc>
        <w:tc>
          <w:tcPr>
            <w:tcW w:w="1337" w:type="dxa"/>
          </w:tcPr>
          <w:p w:rsidRPr="00435D63" w:rsidR="00954469" w:rsidP="00E208F7" w:rsidRDefault="00954469" w14:paraId="453BFBBF" w14:textId="57D65DF9">
            <w:pPr>
              <w:tabs>
                <w:tab w:val="left" w:pos="360"/>
              </w:tabs>
              <w:jc w:val="center"/>
              <w:rPr>
                <w:sz w:val="22"/>
                <w:szCs w:val="22"/>
              </w:rPr>
            </w:pPr>
            <w:r w:rsidRPr="00435D63">
              <w:rPr>
                <w:sz w:val="22"/>
                <w:szCs w:val="22"/>
              </w:rPr>
              <w:t>$</w:t>
            </w:r>
            <w:r w:rsidRPr="00435D63" w:rsidR="00090064">
              <w:rPr>
                <w:sz w:val="22"/>
                <w:szCs w:val="22"/>
              </w:rPr>
              <w:t>6</w:t>
            </w:r>
            <w:r w:rsidRPr="00435D63" w:rsidR="00240DF7">
              <w:rPr>
                <w:sz w:val="22"/>
                <w:szCs w:val="22"/>
              </w:rPr>
              <w:t>8.86</w:t>
            </w:r>
          </w:p>
        </w:tc>
        <w:tc>
          <w:tcPr>
            <w:tcW w:w="1765" w:type="dxa"/>
          </w:tcPr>
          <w:p w:rsidRPr="00435D63" w:rsidR="00954469" w:rsidP="00E208F7" w:rsidRDefault="00954469" w14:paraId="2935A109" w14:textId="35A63B34">
            <w:pPr>
              <w:tabs>
                <w:tab w:val="left" w:pos="360"/>
              </w:tabs>
              <w:jc w:val="center"/>
              <w:rPr>
                <w:sz w:val="22"/>
                <w:szCs w:val="22"/>
              </w:rPr>
            </w:pPr>
            <w:r w:rsidRPr="00435D63">
              <w:rPr>
                <w:sz w:val="22"/>
                <w:szCs w:val="22"/>
              </w:rPr>
              <w:t>$</w:t>
            </w:r>
            <w:r w:rsidRPr="00435D63" w:rsidR="003C45A9">
              <w:rPr>
                <w:sz w:val="22"/>
                <w:szCs w:val="22"/>
              </w:rPr>
              <w:t>1</w:t>
            </w:r>
            <w:r w:rsidRPr="00435D63" w:rsidR="00240DF7">
              <w:rPr>
                <w:sz w:val="22"/>
                <w:szCs w:val="22"/>
              </w:rPr>
              <w:t>10.18</w:t>
            </w:r>
          </w:p>
        </w:tc>
        <w:tc>
          <w:tcPr>
            <w:tcW w:w="1366" w:type="dxa"/>
          </w:tcPr>
          <w:p w:rsidRPr="00435D63" w:rsidR="00954469" w:rsidP="00E208F7" w:rsidRDefault="00D1636F" w14:paraId="096F9729" w14:textId="77777777">
            <w:pPr>
              <w:tabs>
                <w:tab w:val="left" w:pos="360"/>
              </w:tabs>
              <w:jc w:val="center"/>
              <w:rPr>
                <w:sz w:val="22"/>
                <w:szCs w:val="22"/>
              </w:rPr>
            </w:pPr>
            <w:r w:rsidRPr="00435D63">
              <w:rPr>
                <w:sz w:val="22"/>
                <w:szCs w:val="22"/>
              </w:rPr>
              <w:t>20</w:t>
            </w:r>
            <w:r w:rsidRPr="00435D63" w:rsidR="00954469">
              <w:rPr>
                <w:sz w:val="22"/>
                <w:szCs w:val="22"/>
              </w:rPr>
              <w:t>%</w:t>
            </w:r>
          </w:p>
        </w:tc>
        <w:tc>
          <w:tcPr>
            <w:tcW w:w="1319" w:type="dxa"/>
          </w:tcPr>
          <w:p w:rsidRPr="00435D63" w:rsidR="00954469" w:rsidP="00E208F7" w:rsidRDefault="00954469" w14:paraId="1906BEE9" w14:textId="755E9572">
            <w:pPr>
              <w:tabs>
                <w:tab w:val="left" w:pos="360"/>
              </w:tabs>
              <w:jc w:val="center"/>
              <w:rPr>
                <w:sz w:val="22"/>
                <w:szCs w:val="22"/>
              </w:rPr>
            </w:pPr>
            <w:r w:rsidRPr="00435D63">
              <w:rPr>
                <w:sz w:val="22"/>
                <w:szCs w:val="22"/>
              </w:rPr>
              <w:t>$</w:t>
            </w:r>
            <w:r w:rsidRPr="00435D63" w:rsidR="0076594D">
              <w:rPr>
                <w:sz w:val="22"/>
                <w:szCs w:val="22"/>
              </w:rPr>
              <w:t>2</w:t>
            </w:r>
            <w:r w:rsidRPr="00435D63" w:rsidR="00240DF7">
              <w:rPr>
                <w:sz w:val="22"/>
                <w:szCs w:val="22"/>
              </w:rPr>
              <w:t>2.04</w:t>
            </w:r>
          </w:p>
        </w:tc>
      </w:tr>
      <w:tr w:rsidRPr="00435D63" w:rsidR="00954469" w:rsidTr="00CE0C28" w14:paraId="4119873B" w14:textId="77777777">
        <w:tc>
          <w:tcPr>
            <w:tcW w:w="8761" w:type="dxa"/>
            <w:gridSpan w:val="5"/>
          </w:tcPr>
          <w:p w:rsidRPr="00435D63" w:rsidR="00954469" w:rsidP="00E208F7" w:rsidRDefault="00954469" w14:paraId="73C1389F" w14:textId="77777777">
            <w:pPr>
              <w:tabs>
                <w:tab w:val="left" w:pos="360"/>
              </w:tabs>
              <w:rPr>
                <w:b/>
                <w:szCs w:val="24"/>
              </w:rPr>
            </w:pPr>
            <w:r w:rsidRPr="00435D63">
              <w:rPr>
                <w:b/>
                <w:szCs w:val="24"/>
              </w:rPr>
              <w:t>Weighted Average ($/hour)</w:t>
            </w:r>
          </w:p>
        </w:tc>
        <w:tc>
          <w:tcPr>
            <w:tcW w:w="1319" w:type="dxa"/>
          </w:tcPr>
          <w:p w:rsidRPr="00435D63" w:rsidR="00954469" w:rsidP="00CE0C28" w:rsidRDefault="00B53E30" w14:paraId="56A633AE" w14:textId="6F5E042B">
            <w:pPr>
              <w:tabs>
                <w:tab w:val="left" w:pos="360"/>
              </w:tabs>
              <w:jc w:val="center"/>
              <w:rPr>
                <w:b/>
                <w:szCs w:val="24"/>
              </w:rPr>
            </w:pPr>
            <w:r w:rsidRPr="00435D63">
              <w:rPr>
                <w:b/>
                <w:szCs w:val="24"/>
              </w:rPr>
              <w:t>$</w:t>
            </w:r>
            <w:r w:rsidRPr="00435D63" w:rsidR="00240DF7">
              <w:rPr>
                <w:b/>
                <w:szCs w:val="24"/>
              </w:rPr>
              <w:t>85</w:t>
            </w:r>
          </w:p>
        </w:tc>
      </w:tr>
    </w:tbl>
    <w:p w:rsidRPr="00435D63" w:rsidR="00F67FC5" w:rsidP="00F67FC5" w:rsidRDefault="00451ABE" w14:paraId="0B65C74A" w14:textId="3A81CDB9">
      <w:pPr>
        <w:tabs>
          <w:tab w:val="left" w:pos="360"/>
          <w:tab w:val="left" w:pos="720"/>
          <w:tab w:val="left" w:pos="1080"/>
        </w:tabs>
        <w:rPr>
          <w:sz w:val="21"/>
          <w:szCs w:val="21"/>
        </w:rPr>
      </w:pPr>
      <w:r w:rsidRPr="00435D63">
        <w:rPr>
          <w:sz w:val="21"/>
          <w:szCs w:val="21"/>
        </w:rPr>
        <w:t xml:space="preserve">* </w:t>
      </w:r>
      <w:r w:rsidRPr="00435D63" w:rsidR="00F67FC5">
        <w:rPr>
          <w:sz w:val="21"/>
          <w:szCs w:val="21"/>
        </w:rPr>
        <w:t>*A multiplier of 1.</w:t>
      </w:r>
      <w:r w:rsidRPr="00435D63" w:rsidR="001F13C3">
        <w:rPr>
          <w:sz w:val="21"/>
          <w:szCs w:val="21"/>
        </w:rPr>
        <w:t>6</w:t>
      </w:r>
      <w:r w:rsidRPr="00435D63" w:rsidR="00F67FC5">
        <w:rPr>
          <w:sz w:val="21"/>
          <w:szCs w:val="21"/>
        </w:rPr>
        <w:t xml:space="preserve"> (as implied by BLS news release </w:t>
      </w:r>
      <w:r w:rsidRPr="00435D63" w:rsidR="00DF2040">
        <w:rPr>
          <w:sz w:val="21"/>
          <w:szCs w:val="21"/>
        </w:rPr>
        <w:t xml:space="preserve">USDL-20-1736, September 17, 2020 </w:t>
      </w:r>
      <w:r w:rsidRPr="00435D63" w:rsidR="00F67FC5">
        <w:rPr>
          <w:sz w:val="21"/>
          <w:szCs w:val="21"/>
        </w:rPr>
        <w:t xml:space="preserve">(see </w:t>
      </w:r>
      <w:hyperlink w:history="1" r:id="rId10">
        <w:r w:rsidRPr="00435D63" w:rsidR="00F67FC5">
          <w:rPr>
            <w:rStyle w:val="Hyperlink"/>
            <w:sz w:val="21"/>
            <w:szCs w:val="21"/>
          </w:rPr>
          <w:t>http://www.bls.gov/news.release/ecec.nr0.htm</w:t>
        </w:r>
      </w:hyperlink>
      <w:r w:rsidRPr="00435D63" w:rsidR="00F67FC5">
        <w:rPr>
          <w:sz w:val="21"/>
          <w:szCs w:val="21"/>
        </w:rPr>
        <w:t>)) was added for benefits.</w:t>
      </w:r>
    </w:p>
    <w:p w:rsidRPr="00435D63" w:rsidR="00F67FC5" w:rsidP="00F67FC5" w:rsidRDefault="00F67FC5" w14:paraId="5A9B2817" w14:textId="77777777">
      <w:pPr>
        <w:tabs>
          <w:tab w:val="left" w:pos="360"/>
          <w:tab w:val="left" w:pos="720"/>
          <w:tab w:val="left" w:pos="1080"/>
        </w:tabs>
        <w:rPr>
          <w:sz w:val="21"/>
          <w:szCs w:val="21"/>
        </w:rPr>
      </w:pPr>
    </w:p>
    <w:p w:rsidRPr="00435D63" w:rsidR="00451ABE" w:rsidP="00F67FC5" w:rsidRDefault="00451ABE" w14:paraId="0D5DDBC4" w14:textId="66110D5E">
      <w:pPr>
        <w:tabs>
          <w:tab w:val="left" w:pos="360"/>
          <w:tab w:val="left" w:pos="720"/>
          <w:tab w:val="left" w:pos="1080"/>
        </w:tabs>
      </w:pPr>
      <w:r w:rsidRPr="00435D63">
        <w:t>To analyze and review the informatio</w:t>
      </w:r>
      <w:r w:rsidRPr="00435D63" w:rsidR="00CE0C28">
        <w:t>n required by 30 CFR 250, S</w:t>
      </w:r>
      <w:r w:rsidRPr="00435D63">
        <w:t xml:space="preserve">ubpart M, Unitization, we estimate the government will spend an average of 1 hour for each hour spent by respondents for a total of </w:t>
      </w:r>
      <w:r w:rsidRPr="00435D63" w:rsidR="00240DF7">
        <w:t>5,998</w:t>
      </w:r>
      <w:r w:rsidRPr="00435D63">
        <w:t xml:space="preserve"> </w:t>
      </w:r>
      <w:r w:rsidRPr="00435D63">
        <w:lastRenderedPageBreak/>
        <w:t>burden hours.  The average Federal cost is $</w:t>
      </w:r>
      <w:r w:rsidRPr="00435D63" w:rsidR="00240DF7">
        <w:t>85</w:t>
      </w:r>
      <w:r w:rsidRPr="00435D63">
        <w:t xml:space="preserve"> per hour.  </w:t>
      </w:r>
    </w:p>
    <w:p w:rsidRPr="00435D63" w:rsidR="00451ABE" w:rsidP="00E208F7" w:rsidRDefault="00451ABE" w14:paraId="64C4A6C6" w14:textId="77777777">
      <w:pPr>
        <w:tabs>
          <w:tab w:val="left" w:pos="-1080"/>
          <w:tab w:val="left" w:pos="-720"/>
          <w:tab w:val="left" w:pos="360"/>
          <w:tab w:val="left" w:pos="810"/>
        </w:tabs>
      </w:pPr>
    </w:p>
    <w:p w:rsidRPr="00055FDC" w:rsidR="00575958" w:rsidP="00E208F7" w:rsidRDefault="009959B9" w14:paraId="673ED916" w14:textId="560E16FB">
      <w:pPr>
        <w:tabs>
          <w:tab w:val="left" w:pos="-1080"/>
          <w:tab w:val="left" w:pos="-720"/>
          <w:tab w:val="left" w:pos="360"/>
          <w:tab w:val="left" w:pos="810"/>
        </w:tabs>
      </w:pPr>
      <w:r w:rsidRPr="00435D63">
        <w:t>Based on a cost factor of $</w:t>
      </w:r>
      <w:r w:rsidRPr="00435D63" w:rsidR="00240DF7">
        <w:t>85</w:t>
      </w:r>
      <w:r w:rsidRPr="00435D63">
        <w:t xml:space="preserve"> per hour, we estimate t</w:t>
      </w:r>
      <w:r w:rsidRPr="00435D63" w:rsidR="00575958">
        <w:t xml:space="preserve">he total </w:t>
      </w:r>
      <w:r w:rsidRPr="00435D63" w:rsidR="00BA794B">
        <w:t xml:space="preserve">gross </w:t>
      </w:r>
      <w:r w:rsidRPr="00435D63" w:rsidR="00575958">
        <w:t>annualized cost to the Government is $</w:t>
      </w:r>
      <w:r w:rsidRPr="00435D63" w:rsidR="00240DF7">
        <w:t>509,830</w:t>
      </w:r>
      <w:r w:rsidRPr="00435D63" w:rsidR="00240DF7">
        <w:t xml:space="preserve"> </w:t>
      </w:r>
      <w:r w:rsidRPr="00435D63" w:rsidR="00BA794B">
        <w:t>(</w:t>
      </w:r>
      <w:r w:rsidRPr="00435D63" w:rsidR="00240DF7">
        <w:t>5,998</w:t>
      </w:r>
      <w:r w:rsidRPr="00435D63" w:rsidR="00BA794B">
        <w:t xml:space="preserve"> hours x $</w:t>
      </w:r>
      <w:r w:rsidRPr="00435D63" w:rsidR="00240DF7">
        <w:t>85</w:t>
      </w:r>
      <w:r w:rsidRPr="00435D63" w:rsidR="00BA794B">
        <w:t xml:space="preserve"> = $</w:t>
      </w:r>
      <w:bookmarkStart w:name="_Hlk51330198" w:id="4"/>
      <w:r w:rsidRPr="00435D63" w:rsidR="00240DF7">
        <w:t>509,830</w:t>
      </w:r>
      <w:bookmarkEnd w:id="4"/>
      <w:r w:rsidRPr="00435D63" w:rsidR="00BA794B">
        <w:t>).</w:t>
      </w:r>
      <w:r w:rsidRPr="00055FDC" w:rsidR="00BA794B">
        <w:t xml:space="preserve">  </w:t>
      </w:r>
    </w:p>
    <w:p w:rsidRPr="00055FDC" w:rsidR="001D52A3" w:rsidP="00E208F7" w:rsidRDefault="001D52A3" w14:paraId="711B150E" w14:textId="77777777">
      <w:pPr>
        <w:tabs>
          <w:tab w:val="left" w:pos="-1080"/>
          <w:tab w:val="left" w:pos="-720"/>
          <w:tab w:val="left" w:pos="360"/>
          <w:tab w:val="left" w:pos="810"/>
        </w:tabs>
      </w:pPr>
    </w:p>
    <w:p w:rsidRPr="00055FDC" w:rsidR="00575958" w:rsidP="00E208F7" w:rsidRDefault="00575958" w14:paraId="3703A1CA" w14:textId="77777777">
      <w:pPr>
        <w:tabs>
          <w:tab w:val="left" w:pos="-1080"/>
          <w:tab w:val="left" w:pos="-720"/>
          <w:tab w:val="left" w:pos="360"/>
          <w:tab w:val="left" w:pos="810"/>
        </w:tabs>
      </w:pPr>
      <w:r w:rsidRPr="00055FDC">
        <w:rPr>
          <w:b/>
          <w:i/>
        </w:rPr>
        <w:t>15.</w:t>
      </w:r>
      <w:r w:rsidRPr="00055FDC">
        <w:rPr>
          <w:b/>
          <w:i/>
        </w:rPr>
        <w:tab/>
        <w:t>Explain the reasons for any program changes or adjustment</w:t>
      </w:r>
      <w:r w:rsidRPr="00055FDC" w:rsidR="00443253">
        <w:rPr>
          <w:b/>
          <w:i/>
        </w:rPr>
        <w:t xml:space="preserve"> in hour or cost burden</w:t>
      </w:r>
      <w:r w:rsidRPr="00055FDC">
        <w:rPr>
          <w:b/>
          <w:i/>
        </w:rPr>
        <w:t>s.</w:t>
      </w:r>
      <w:r w:rsidRPr="00055FDC">
        <w:t xml:space="preserve">  </w:t>
      </w:r>
    </w:p>
    <w:p w:rsidRPr="00055FDC" w:rsidR="00704D55" w:rsidP="00E208F7" w:rsidRDefault="00704D55" w14:paraId="216284D9" w14:textId="77777777">
      <w:pPr>
        <w:tabs>
          <w:tab w:val="left" w:pos="-1080"/>
          <w:tab w:val="left" w:pos="-720"/>
          <w:tab w:val="left" w:pos="360"/>
          <w:tab w:val="left" w:pos="810"/>
        </w:tabs>
      </w:pPr>
    </w:p>
    <w:p w:rsidRPr="00944D3A" w:rsidR="00575958" w:rsidP="00C3390F" w:rsidRDefault="00575958" w14:paraId="5B8F30BA" w14:textId="658D1375">
      <w:r w:rsidRPr="00944D3A">
        <w:t xml:space="preserve">The currently approved OMB inventory </w:t>
      </w:r>
      <w:r w:rsidRPr="00944D3A" w:rsidR="00AF41F5">
        <w:t>is</w:t>
      </w:r>
      <w:r w:rsidRPr="00944D3A">
        <w:t xml:space="preserve"> </w:t>
      </w:r>
      <w:r w:rsidR="00C3390F">
        <w:rPr>
          <w:szCs w:val="24"/>
        </w:rPr>
        <w:t>7,800</w:t>
      </w:r>
      <w:r w:rsidRPr="00944D3A" w:rsidR="00C3390F">
        <w:rPr>
          <w:szCs w:val="24"/>
        </w:rPr>
        <w:t xml:space="preserve"> </w:t>
      </w:r>
      <w:r w:rsidRPr="00944D3A">
        <w:t>burden hours</w:t>
      </w:r>
      <w:r w:rsidRPr="00944D3A" w:rsidR="009959B9">
        <w:t xml:space="preserve"> </w:t>
      </w:r>
      <w:r w:rsidRPr="00944D3A" w:rsidR="008D6BDA">
        <w:rPr>
          <w:szCs w:val="24"/>
        </w:rPr>
        <w:t xml:space="preserve">for </w:t>
      </w:r>
      <w:r w:rsidRPr="00944D3A">
        <w:rPr>
          <w:szCs w:val="24"/>
        </w:rPr>
        <w:t>this collection</w:t>
      </w:r>
      <w:r w:rsidRPr="00944D3A" w:rsidR="00972301">
        <w:rPr>
          <w:szCs w:val="24"/>
        </w:rPr>
        <w:t xml:space="preserve"> of information</w:t>
      </w:r>
      <w:r w:rsidRPr="00944D3A">
        <w:rPr>
          <w:szCs w:val="24"/>
        </w:rPr>
        <w:t>.  This submission requests</w:t>
      </w:r>
      <w:r w:rsidR="00BA2C3F">
        <w:rPr>
          <w:szCs w:val="24"/>
        </w:rPr>
        <w:t xml:space="preserve"> </w:t>
      </w:r>
      <w:r w:rsidR="00C3390F">
        <w:rPr>
          <w:szCs w:val="24"/>
        </w:rPr>
        <w:t>5,998</w:t>
      </w:r>
      <w:r w:rsidRPr="00944D3A">
        <w:rPr>
          <w:szCs w:val="24"/>
        </w:rPr>
        <w:t xml:space="preserve"> </w:t>
      </w:r>
      <w:r w:rsidRPr="00944D3A" w:rsidR="005A1823">
        <w:rPr>
          <w:szCs w:val="24"/>
        </w:rPr>
        <w:t>burden</w:t>
      </w:r>
      <w:r w:rsidRPr="00944D3A" w:rsidR="00972301">
        <w:rPr>
          <w:szCs w:val="24"/>
        </w:rPr>
        <w:t xml:space="preserve"> hours</w:t>
      </w:r>
      <w:r w:rsidRPr="00944D3A" w:rsidR="00C35149">
        <w:rPr>
          <w:szCs w:val="24"/>
        </w:rPr>
        <w:t xml:space="preserve">.  </w:t>
      </w:r>
      <w:r w:rsidRPr="00944D3A">
        <w:rPr>
          <w:szCs w:val="24"/>
        </w:rPr>
        <w:t xml:space="preserve">The adjustment </w:t>
      </w:r>
      <w:r w:rsidR="00C3390F">
        <w:t>decrease</w:t>
      </w:r>
      <w:r w:rsidRPr="00944D3A">
        <w:t xml:space="preserve"> of </w:t>
      </w:r>
      <w:r w:rsidR="00C3390F">
        <w:t>-1,802</w:t>
      </w:r>
      <w:r w:rsidRPr="00944D3A" w:rsidR="00BA2C3F">
        <w:t xml:space="preserve"> </w:t>
      </w:r>
      <w:r w:rsidRPr="00944D3A">
        <w:t>hours is due</w:t>
      </w:r>
      <w:r w:rsidR="00BA2C3F">
        <w:t xml:space="preserve"> to</w:t>
      </w:r>
      <w:r w:rsidRPr="00BA2C3F" w:rsidR="00BA2C3F">
        <w:t xml:space="preserve"> re-estimating the average number of annual responses</w:t>
      </w:r>
      <w:r w:rsidR="00C3390F">
        <w:t xml:space="preserve"> received by BSEE under §§ 250.</w:t>
      </w:r>
      <w:r w:rsidRPr="00C3390F" w:rsidR="00C3390F">
        <w:t xml:space="preserve">1301(a), </w:t>
      </w:r>
      <w:r w:rsidR="00C3390F">
        <w:t>250.</w:t>
      </w:r>
      <w:r w:rsidRPr="00C3390F" w:rsidR="00C3390F">
        <w:t>1303</w:t>
      </w:r>
      <w:r w:rsidR="00C3390F">
        <w:t xml:space="preserve">, and </w:t>
      </w:r>
      <w:r w:rsidRPr="00C3390F" w:rsidR="00C3390F">
        <w:t>250.1304.</w:t>
      </w:r>
      <w:bookmarkStart w:name="_GoBack" w:id="5"/>
      <w:bookmarkEnd w:id="5"/>
    </w:p>
    <w:p w:rsidRPr="00AD1919" w:rsidR="009959B9" w:rsidP="00E208F7" w:rsidRDefault="009959B9" w14:paraId="1F4D3CBE" w14:textId="77777777">
      <w:pPr>
        <w:tabs>
          <w:tab w:val="center" w:pos="4680"/>
        </w:tabs>
        <w:rPr>
          <w:highlight w:val="cyan"/>
        </w:rPr>
      </w:pPr>
    </w:p>
    <w:p w:rsidR="005A1823" w:rsidP="00E208F7" w:rsidRDefault="005A1823" w14:paraId="71201173" w14:textId="23ECD4ED">
      <w:pPr>
        <w:tabs>
          <w:tab w:val="left" w:pos="360"/>
          <w:tab w:val="left" w:pos="720"/>
          <w:tab w:val="left" w:pos="1080"/>
        </w:tabs>
        <w:rPr>
          <w:i/>
        </w:rPr>
      </w:pPr>
      <w:r w:rsidRPr="00944D3A">
        <w:t xml:space="preserve">The currently approved OMB non-hour cost burden </w:t>
      </w:r>
      <w:r w:rsidRPr="00944D3A" w:rsidR="00AF41F5">
        <w:t>is</w:t>
      </w:r>
      <w:r w:rsidRPr="00944D3A">
        <w:t xml:space="preserve"> $</w:t>
      </w:r>
      <w:r w:rsidRPr="00C3390F" w:rsidR="00C3390F">
        <w:t>195,757</w:t>
      </w:r>
      <w:r w:rsidRPr="00944D3A">
        <w:t>.  This submission requests $</w:t>
      </w:r>
      <w:r w:rsidR="00C3390F">
        <w:t>149,836</w:t>
      </w:r>
      <w:r w:rsidRPr="00944D3A">
        <w:t xml:space="preserve">.  </w:t>
      </w:r>
      <w:r w:rsidRPr="00936461">
        <w:t xml:space="preserve">The </w:t>
      </w:r>
      <w:r w:rsidRPr="00936461" w:rsidR="001264CA">
        <w:t xml:space="preserve">net amount results in a </w:t>
      </w:r>
      <w:r w:rsidR="00C3390F">
        <w:t>decrease</w:t>
      </w:r>
      <w:r w:rsidRPr="00944D3A" w:rsidR="00BA2C3F">
        <w:t xml:space="preserve"> </w:t>
      </w:r>
      <w:r w:rsidRPr="00944D3A">
        <w:t xml:space="preserve">of </w:t>
      </w:r>
      <w:r w:rsidR="00C3390F">
        <w:t>-</w:t>
      </w:r>
      <w:r w:rsidRPr="00944D3A">
        <w:t>$</w:t>
      </w:r>
      <w:r w:rsidR="00C3390F">
        <w:t>45,921</w:t>
      </w:r>
      <w:r w:rsidR="00936461">
        <w:t>.  This is due to</w:t>
      </w:r>
      <w:r w:rsidRPr="00944D3A">
        <w:t xml:space="preserve"> re-estimating the number of annual responses</w:t>
      </w:r>
      <w:r w:rsidR="00936461">
        <w:t xml:space="preserve"> received from industry</w:t>
      </w:r>
      <w:r w:rsidR="00C3390F">
        <w:t xml:space="preserve"> for the same sections listed above</w:t>
      </w:r>
      <w:r w:rsidRPr="00944D3A">
        <w:t>.</w:t>
      </w:r>
      <w:r w:rsidR="00936461">
        <w:t xml:space="preserve"> </w:t>
      </w:r>
      <w:r w:rsidRPr="00E753B7" w:rsidR="00E753B7">
        <w:t xml:space="preserve"> </w:t>
      </w:r>
    </w:p>
    <w:p w:rsidR="00575958" w:rsidP="00E208F7" w:rsidRDefault="00575958" w14:paraId="764A4D1A" w14:textId="77777777">
      <w:pPr>
        <w:tabs>
          <w:tab w:val="left" w:pos="-1080"/>
          <w:tab w:val="left" w:pos="-720"/>
          <w:tab w:val="left" w:pos="360"/>
          <w:tab w:val="left" w:pos="810"/>
        </w:tabs>
      </w:pPr>
    </w:p>
    <w:p w:rsidR="00575958" w:rsidP="00E208F7" w:rsidRDefault="00575958" w14:paraId="1B7CE70B" w14:textId="77777777">
      <w:pPr>
        <w:tabs>
          <w:tab w:val="left" w:pos="-1080"/>
          <w:tab w:val="left" w:pos="-720"/>
          <w:tab w:val="left" w:pos="360"/>
          <w:tab w:val="left" w:pos="810"/>
        </w:tabs>
      </w:pPr>
      <w:r w:rsidRPr="00600EEB">
        <w:rPr>
          <w:b/>
          <w:i/>
        </w:rPr>
        <w:t>16.</w:t>
      </w:r>
      <w:r w:rsidRPr="00600EEB">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p>
    <w:p w:rsidR="00575958" w:rsidP="00E208F7" w:rsidRDefault="00575958" w14:paraId="21B84992" w14:textId="77777777">
      <w:pPr>
        <w:tabs>
          <w:tab w:val="left" w:pos="-1080"/>
          <w:tab w:val="left" w:pos="-720"/>
          <w:tab w:val="left" w:pos="360"/>
          <w:tab w:val="left" w:pos="810"/>
        </w:tabs>
      </w:pPr>
    </w:p>
    <w:p w:rsidR="00575958" w:rsidP="00E208F7" w:rsidRDefault="00AD1919" w14:paraId="35EB1ED6" w14:textId="77777777">
      <w:pPr>
        <w:tabs>
          <w:tab w:val="left" w:pos="-1080"/>
          <w:tab w:val="left" w:pos="-720"/>
          <w:tab w:val="left" w:pos="360"/>
          <w:tab w:val="left" w:pos="810"/>
        </w:tabs>
      </w:pPr>
      <w:r>
        <w:t>BSEE</w:t>
      </w:r>
      <w:r w:rsidR="00575958">
        <w:t xml:space="preserve"> will not tabulate or publish the data.</w:t>
      </w:r>
    </w:p>
    <w:p w:rsidR="00575958" w:rsidP="00E208F7" w:rsidRDefault="00575958" w14:paraId="180AC572" w14:textId="77777777">
      <w:pPr>
        <w:tabs>
          <w:tab w:val="left" w:pos="-1080"/>
          <w:tab w:val="left" w:pos="-720"/>
          <w:tab w:val="left" w:pos="360"/>
          <w:tab w:val="left" w:pos="810"/>
        </w:tabs>
      </w:pPr>
    </w:p>
    <w:p w:rsidR="00575958" w:rsidP="00E208F7" w:rsidRDefault="00575958" w14:paraId="704567C0" w14:textId="77777777">
      <w:pPr>
        <w:tabs>
          <w:tab w:val="left" w:pos="-1080"/>
          <w:tab w:val="left" w:pos="-720"/>
          <w:tab w:val="left" w:pos="360"/>
          <w:tab w:val="left" w:pos="810"/>
        </w:tabs>
      </w:pPr>
      <w:r w:rsidRPr="00600EEB">
        <w:rPr>
          <w:b/>
          <w:i/>
        </w:rPr>
        <w:t>17.</w:t>
      </w:r>
      <w:r w:rsidRPr="00600EEB">
        <w:rPr>
          <w:b/>
          <w:i/>
        </w:rPr>
        <w:tab/>
        <w:t>If seeking approval to not display the expiration date for OMB approval of the information collection, explain the reasons that display would be inappropriate.</w:t>
      </w:r>
      <w:r>
        <w:t xml:space="preserve">  </w:t>
      </w:r>
    </w:p>
    <w:p w:rsidR="00575958" w:rsidP="00E208F7" w:rsidRDefault="00575958" w14:paraId="31AA1993" w14:textId="77777777">
      <w:pPr>
        <w:tabs>
          <w:tab w:val="left" w:pos="-1080"/>
          <w:tab w:val="left" w:pos="-720"/>
          <w:tab w:val="left" w:pos="360"/>
          <w:tab w:val="left" w:pos="810"/>
        </w:tabs>
      </w:pPr>
    </w:p>
    <w:p w:rsidR="00575958" w:rsidP="00E208F7" w:rsidRDefault="00AD1919" w14:paraId="65A3FABC" w14:textId="77777777">
      <w:pPr>
        <w:tabs>
          <w:tab w:val="left" w:pos="-1080"/>
          <w:tab w:val="left" w:pos="-720"/>
          <w:tab w:val="left" w:pos="360"/>
          <w:tab w:val="left" w:pos="810"/>
        </w:tabs>
      </w:pPr>
      <w:r>
        <w:t>BSEE</w:t>
      </w:r>
      <w:r w:rsidR="00337EFC">
        <w:t xml:space="preserve"> will display the OMB control number and approv</w:t>
      </w:r>
      <w:r w:rsidR="00543248">
        <w:t>ed</w:t>
      </w:r>
      <w:r w:rsidR="00337EFC">
        <w:t xml:space="preserve"> expiration date.  </w:t>
      </w:r>
    </w:p>
    <w:p w:rsidR="00337EFC" w:rsidP="00E208F7" w:rsidRDefault="00337EFC" w14:paraId="5ED6F26F" w14:textId="77777777">
      <w:pPr>
        <w:tabs>
          <w:tab w:val="left" w:pos="-1080"/>
          <w:tab w:val="left" w:pos="-720"/>
          <w:tab w:val="left" w:pos="360"/>
          <w:tab w:val="left" w:pos="810"/>
        </w:tabs>
      </w:pPr>
    </w:p>
    <w:p w:rsidR="00575958" w:rsidP="00E208F7" w:rsidRDefault="00575958" w14:paraId="771F7AFE" w14:textId="77777777">
      <w:pPr>
        <w:tabs>
          <w:tab w:val="left" w:pos="-1080"/>
          <w:tab w:val="left" w:pos="-720"/>
          <w:tab w:val="left" w:pos="360"/>
          <w:tab w:val="left" w:pos="810"/>
        </w:tabs>
      </w:pPr>
      <w:r w:rsidRPr="00600EEB">
        <w:rPr>
          <w:b/>
          <w:i/>
        </w:rPr>
        <w:t>18.</w:t>
      </w:r>
      <w:r w:rsidRPr="00600EEB">
        <w:rPr>
          <w:b/>
          <w:i/>
        </w:rPr>
        <w:tab/>
        <w:t>Explain each exception</w:t>
      </w:r>
      <w:r w:rsidR="006646E3">
        <w:rPr>
          <w:b/>
          <w:i/>
        </w:rPr>
        <w:t xml:space="preserve"> to the </w:t>
      </w:r>
      <w:r w:rsidR="00443253">
        <w:rPr>
          <w:b/>
          <w:i/>
        </w:rPr>
        <w:t xml:space="preserve">topics of the </w:t>
      </w:r>
      <w:r w:rsidR="006646E3">
        <w:rPr>
          <w:b/>
          <w:i/>
        </w:rPr>
        <w:t>certification statement</w:t>
      </w:r>
      <w:r w:rsidR="00443253">
        <w:rPr>
          <w:b/>
          <w:i/>
        </w:rPr>
        <w:t xml:space="preserve"> identified in</w:t>
      </w:r>
      <w:r w:rsidRPr="00600EEB">
        <w:rPr>
          <w:b/>
          <w:i/>
        </w:rPr>
        <w:t>, “Certification for Paperwork Reduction Act Submissions</w:t>
      </w:r>
      <w:r w:rsidR="006646E3">
        <w:rPr>
          <w:b/>
          <w:i/>
        </w:rPr>
        <w:t>.</w:t>
      </w:r>
      <w:r w:rsidRPr="00600EEB">
        <w:rPr>
          <w:b/>
          <w:i/>
        </w:rPr>
        <w:t>”</w:t>
      </w:r>
      <w:r>
        <w:t xml:space="preserve">  </w:t>
      </w:r>
    </w:p>
    <w:p w:rsidR="00575958" w:rsidP="00E208F7" w:rsidRDefault="00575958" w14:paraId="0DBE46FB" w14:textId="77777777">
      <w:pPr>
        <w:tabs>
          <w:tab w:val="left" w:pos="-1080"/>
          <w:tab w:val="left" w:pos="-720"/>
          <w:tab w:val="left" w:pos="360"/>
          <w:tab w:val="left" w:pos="810"/>
        </w:tabs>
      </w:pPr>
    </w:p>
    <w:p w:rsidR="00575958" w:rsidP="00E208F7" w:rsidRDefault="00575958" w14:paraId="57B5C374" w14:textId="77777777">
      <w:pPr>
        <w:tabs>
          <w:tab w:val="left" w:pos="-1080"/>
          <w:tab w:val="left" w:pos="-720"/>
          <w:tab w:val="left" w:pos="360"/>
          <w:tab w:val="left" w:pos="810"/>
        </w:tabs>
      </w:pPr>
      <w:r>
        <w:t>To the extent that the topics apply to this collection of information, we are not making any exceptions to the “Certification for Paperwork Reduction Act Submissions.”</w:t>
      </w:r>
    </w:p>
    <w:p w:rsidR="00575958" w:rsidP="00E208F7" w:rsidRDefault="00575958" w14:paraId="731822C9" w14:textId="77777777">
      <w:pPr>
        <w:tabs>
          <w:tab w:val="left" w:pos="-1080"/>
          <w:tab w:val="left" w:pos="-720"/>
          <w:tab w:val="left" w:pos="0"/>
          <w:tab w:val="left" w:pos="360"/>
          <w:tab w:val="left" w:pos="810"/>
          <w:tab w:val="left" w:pos="2160"/>
        </w:tabs>
        <w:jc w:val="center"/>
        <w:rPr>
          <w:b/>
        </w:rPr>
      </w:pPr>
    </w:p>
    <w:sectPr w:rsidR="00575958" w:rsidSect="000429BD">
      <w:footerReference w:type="default" r:id="rId11"/>
      <w:endnotePr>
        <w:numFmt w:val="decimal"/>
      </w:endnotePr>
      <w:pgSz w:w="12240" w:h="15840" w:code="1"/>
      <w:pgMar w:top="1008" w:right="1080" w:bottom="1152" w:left="1080" w:header="1440" w:footer="1008"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2BE0C" w14:textId="77777777" w:rsidR="00892BD4" w:rsidRDefault="00892BD4">
      <w:r>
        <w:separator/>
      </w:r>
    </w:p>
  </w:endnote>
  <w:endnote w:type="continuationSeparator" w:id="0">
    <w:p w14:paraId="4B6303F5" w14:textId="77777777" w:rsidR="00892BD4" w:rsidRDefault="0089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FB45" w14:textId="77777777" w:rsidR="00892BD4" w:rsidRDefault="00892BD4">
    <w:pPr>
      <w:spacing w:line="240" w:lineRule="exact"/>
    </w:pPr>
  </w:p>
  <w:p w14:paraId="6ED76393" w14:textId="6D67CC17" w:rsidR="00892BD4" w:rsidRDefault="00892BD4">
    <w:pPr>
      <w:framePr w:w="9361" w:wrap="notBeside" w:vAnchor="text" w:hAnchor="text" w:x="1" w:y="1"/>
      <w:jc w:val="center"/>
    </w:pPr>
    <w:r>
      <w:fldChar w:fldCharType="begin"/>
    </w:r>
    <w:r>
      <w:instrText xml:space="preserve">PAGE </w:instrText>
    </w:r>
    <w:r>
      <w:fldChar w:fldCharType="separate"/>
    </w:r>
    <w:r w:rsidR="00380A47">
      <w:rPr>
        <w:noProof/>
      </w:rPr>
      <w:t>3</w:t>
    </w:r>
    <w:r>
      <w:fldChar w:fldCharType="end"/>
    </w:r>
  </w:p>
  <w:p w14:paraId="5813F29D" w14:textId="77777777" w:rsidR="00892BD4" w:rsidRDefault="00892B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99750" w14:textId="77777777" w:rsidR="00892BD4" w:rsidRDefault="00892BD4">
      <w:r>
        <w:separator/>
      </w:r>
    </w:p>
  </w:footnote>
  <w:footnote w:type="continuationSeparator" w:id="0">
    <w:p w14:paraId="434DC4CF" w14:textId="77777777" w:rsidR="00892BD4" w:rsidRDefault="0089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275479F3"/>
    <w:multiLevelType w:val="singleLevel"/>
    <w:tmpl w:val="71C07156"/>
    <w:lvl w:ilvl="0">
      <w:start w:val="1"/>
      <w:numFmt w:val="upperLetter"/>
      <w:lvlText w:val="%1."/>
      <w:lvlJc w:val="left"/>
      <w:pPr>
        <w:tabs>
          <w:tab w:val="num" w:pos="360"/>
        </w:tabs>
        <w:ind w:left="360" w:hanging="360"/>
      </w:pPr>
      <w:rPr>
        <w:rFonts w:hint="default"/>
        <w:b/>
      </w:rPr>
    </w:lvl>
  </w:abstractNum>
  <w:abstractNum w:abstractNumId="2" w15:restartNumberingAfterBreak="0">
    <w:nsid w:val="31F540A2"/>
    <w:multiLevelType w:val="singleLevel"/>
    <w:tmpl w:val="7ACC5B08"/>
    <w:lvl w:ilvl="0">
      <w:start w:val="1"/>
      <w:numFmt w:val="decimal"/>
      <w:lvlText w:val="%1."/>
      <w:lvlJc w:val="left"/>
      <w:pPr>
        <w:tabs>
          <w:tab w:val="num" w:pos="720"/>
        </w:tabs>
        <w:ind w:left="720" w:hanging="360"/>
      </w:pPr>
      <w:rPr>
        <w:rFonts w:hint="default"/>
        <w:b/>
      </w:rPr>
    </w:lvl>
  </w:abstractNum>
  <w:abstractNum w:abstractNumId="3" w15:restartNumberingAfterBreak="0">
    <w:nsid w:val="671A1089"/>
    <w:multiLevelType w:val="singleLevel"/>
    <w:tmpl w:val="04090015"/>
    <w:lvl w:ilvl="0">
      <w:start w:val="1"/>
      <w:numFmt w:val="upperLetter"/>
      <w:lvlText w:val="%1."/>
      <w:lvlJc w:val="left"/>
      <w:pPr>
        <w:tabs>
          <w:tab w:val="num" w:pos="360"/>
        </w:tabs>
        <w:ind w:left="360" w:hanging="360"/>
      </w:pPr>
      <w:rPr>
        <w:rFonts w:hint="default"/>
        <w:u w:val="none"/>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9C"/>
    <w:rsid w:val="00000ABB"/>
    <w:rsid w:val="00011550"/>
    <w:rsid w:val="00015861"/>
    <w:rsid w:val="00024141"/>
    <w:rsid w:val="00024FDD"/>
    <w:rsid w:val="0002700D"/>
    <w:rsid w:val="00027D42"/>
    <w:rsid w:val="000371E6"/>
    <w:rsid w:val="0004137A"/>
    <w:rsid w:val="0004169F"/>
    <w:rsid w:val="000429BD"/>
    <w:rsid w:val="0004481D"/>
    <w:rsid w:val="00055FDC"/>
    <w:rsid w:val="00063A21"/>
    <w:rsid w:val="0006562D"/>
    <w:rsid w:val="000666EA"/>
    <w:rsid w:val="00071776"/>
    <w:rsid w:val="00072904"/>
    <w:rsid w:val="00082F28"/>
    <w:rsid w:val="00083D91"/>
    <w:rsid w:val="00090064"/>
    <w:rsid w:val="000969B1"/>
    <w:rsid w:val="000B43EF"/>
    <w:rsid w:val="000B6C3B"/>
    <w:rsid w:val="000C457E"/>
    <w:rsid w:val="000E489C"/>
    <w:rsid w:val="00100A91"/>
    <w:rsid w:val="00104BFB"/>
    <w:rsid w:val="00105AEC"/>
    <w:rsid w:val="00121DF2"/>
    <w:rsid w:val="001264CA"/>
    <w:rsid w:val="00127B14"/>
    <w:rsid w:val="00136C58"/>
    <w:rsid w:val="00141D80"/>
    <w:rsid w:val="00144540"/>
    <w:rsid w:val="001611CA"/>
    <w:rsid w:val="0016455F"/>
    <w:rsid w:val="001659F0"/>
    <w:rsid w:val="0016704E"/>
    <w:rsid w:val="001703F4"/>
    <w:rsid w:val="00170A7C"/>
    <w:rsid w:val="001833FB"/>
    <w:rsid w:val="001A1596"/>
    <w:rsid w:val="001B32EA"/>
    <w:rsid w:val="001D1366"/>
    <w:rsid w:val="001D52A3"/>
    <w:rsid w:val="001D551B"/>
    <w:rsid w:val="001F13C3"/>
    <w:rsid w:val="001F56DF"/>
    <w:rsid w:val="00212C0A"/>
    <w:rsid w:val="00216003"/>
    <w:rsid w:val="00233840"/>
    <w:rsid w:val="002344EA"/>
    <w:rsid w:val="00240DF7"/>
    <w:rsid w:val="00253FF3"/>
    <w:rsid w:val="00260E3B"/>
    <w:rsid w:val="00264726"/>
    <w:rsid w:val="00282E94"/>
    <w:rsid w:val="0028403E"/>
    <w:rsid w:val="002852F9"/>
    <w:rsid w:val="00290398"/>
    <w:rsid w:val="00297A6B"/>
    <w:rsid w:val="002D63D8"/>
    <w:rsid w:val="002D772E"/>
    <w:rsid w:val="002E49C9"/>
    <w:rsid w:val="00306C5F"/>
    <w:rsid w:val="003209E7"/>
    <w:rsid w:val="0033353A"/>
    <w:rsid w:val="003369BF"/>
    <w:rsid w:val="00337EFC"/>
    <w:rsid w:val="00356AF1"/>
    <w:rsid w:val="00361026"/>
    <w:rsid w:val="00361CB0"/>
    <w:rsid w:val="0037224D"/>
    <w:rsid w:val="003777FE"/>
    <w:rsid w:val="00380A47"/>
    <w:rsid w:val="00384613"/>
    <w:rsid w:val="003854DE"/>
    <w:rsid w:val="003A106E"/>
    <w:rsid w:val="003C04E3"/>
    <w:rsid w:val="003C45A9"/>
    <w:rsid w:val="003D6383"/>
    <w:rsid w:val="003E1C9D"/>
    <w:rsid w:val="003E2C86"/>
    <w:rsid w:val="003E6456"/>
    <w:rsid w:val="003F0459"/>
    <w:rsid w:val="003F5A4C"/>
    <w:rsid w:val="004223D5"/>
    <w:rsid w:val="00435D63"/>
    <w:rsid w:val="00443253"/>
    <w:rsid w:val="00451ABE"/>
    <w:rsid w:val="00467C74"/>
    <w:rsid w:val="004715B7"/>
    <w:rsid w:val="004968F5"/>
    <w:rsid w:val="004B36C5"/>
    <w:rsid w:val="004B545F"/>
    <w:rsid w:val="004B6867"/>
    <w:rsid w:val="004D0467"/>
    <w:rsid w:val="004E10A4"/>
    <w:rsid w:val="00514882"/>
    <w:rsid w:val="00516743"/>
    <w:rsid w:val="00543248"/>
    <w:rsid w:val="00552ED1"/>
    <w:rsid w:val="00565F0C"/>
    <w:rsid w:val="005704BF"/>
    <w:rsid w:val="0057282A"/>
    <w:rsid w:val="00575958"/>
    <w:rsid w:val="005938BC"/>
    <w:rsid w:val="00596022"/>
    <w:rsid w:val="005A1823"/>
    <w:rsid w:val="005B02D3"/>
    <w:rsid w:val="005B7336"/>
    <w:rsid w:val="005D0F3B"/>
    <w:rsid w:val="005D5CD4"/>
    <w:rsid w:val="005F603E"/>
    <w:rsid w:val="005F6F31"/>
    <w:rsid w:val="005F7E30"/>
    <w:rsid w:val="00610E7E"/>
    <w:rsid w:val="00614005"/>
    <w:rsid w:val="00620C79"/>
    <w:rsid w:val="00624308"/>
    <w:rsid w:val="006358B4"/>
    <w:rsid w:val="00643F1E"/>
    <w:rsid w:val="00655CFE"/>
    <w:rsid w:val="00661698"/>
    <w:rsid w:val="00662DEE"/>
    <w:rsid w:val="0066392D"/>
    <w:rsid w:val="006646E3"/>
    <w:rsid w:val="00666300"/>
    <w:rsid w:val="0068546D"/>
    <w:rsid w:val="006B55EB"/>
    <w:rsid w:val="006E0E6B"/>
    <w:rsid w:val="007047AA"/>
    <w:rsid w:val="00704D55"/>
    <w:rsid w:val="00725551"/>
    <w:rsid w:val="0074023A"/>
    <w:rsid w:val="00746A2A"/>
    <w:rsid w:val="00755140"/>
    <w:rsid w:val="00755543"/>
    <w:rsid w:val="00756930"/>
    <w:rsid w:val="0076594D"/>
    <w:rsid w:val="00771964"/>
    <w:rsid w:val="00790862"/>
    <w:rsid w:val="007C10D6"/>
    <w:rsid w:val="007C772F"/>
    <w:rsid w:val="007C7FDC"/>
    <w:rsid w:val="007D78FD"/>
    <w:rsid w:val="00807898"/>
    <w:rsid w:val="00813AD9"/>
    <w:rsid w:val="00814B8C"/>
    <w:rsid w:val="00821BCF"/>
    <w:rsid w:val="008273A5"/>
    <w:rsid w:val="008311FF"/>
    <w:rsid w:val="00846224"/>
    <w:rsid w:val="00850E1F"/>
    <w:rsid w:val="0085555B"/>
    <w:rsid w:val="0085649B"/>
    <w:rsid w:val="00865B49"/>
    <w:rsid w:val="008845F6"/>
    <w:rsid w:val="00885C0F"/>
    <w:rsid w:val="00892BD4"/>
    <w:rsid w:val="008A0A27"/>
    <w:rsid w:val="008A2DBF"/>
    <w:rsid w:val="008B6CB2"/>
    <w:rsid w:val="008C2208"/>
    <w:rsid w:val="008C2D3A"/>
    <w:rsid w:val="008C444A"/>
    <w:rsid w:val="008C5D69"/>
    <w:rsid w:val="008D69D8"/>
    <w:rsid w:val="008D6BDA"/>
    <w:rsid w:val="008E0154"/>
    <w:rsid w:val="008E796A"/>
    <w:rsid w:val="008F3723"/>
    <w:rsid w:val="00911C39"/>
    <w:rsid w:val="00922DA2"/>
    <w:rsid w:val="00924EBC"/>
    <w:rsid w:val="00936461"/>
    <w:rsid w:val="00944D3A"/>
    <w:rsid w:val="00954469"/>
    <w:rsid w:val="00957A8B"/>
    <w:rsid w:val="00967035"/>
    <w:rsid w:val="00972301"/>
    <w:rsid w:val="009747A1"/>
    <w:rsid w:val="009959B9"/>
    <w:rsid w:val="0099733D"/>
    <w:rsid w:val="009B1968"/>
    <w:rsid w:val="009B5EAE"/>
    <w:rsid w:val="009B74C9"/>
    <w:rsid w:val="009C17AD"/>
    <w:rsid w:val="009C400F"/>
    <w:rsid w:val="009C4CE1"/>
    <w:rsid w:val="009E2621"/>
    <w:rsid w:val="009F3D51"/>
    <w:rsid w:val="009F4A90"/>
    <w:rsid w:val="009F4DB5"/>
    <w:rsid w:val="00A00DE7"/>
    <w:rsid w:val="00A01B30"/>
    <w:rsid w:val="00A079DD"/>
    <w:rsid w:val="00A205DE"/>
    <w:rsid w:val="00A22279"/>
    <w:rsid w:val="00A24E3B"/>
    <w:rsid w:val="00A37251"/>
    <w:rsid w:val="00A41197"/>
    <w:rsid w:val="00A95B3B"/>
    <w:rsid w:val="00A966A9"/>
    <w:rsid w:val="00AA785B"/>
    <w:rsid w:val="00AB2DBE"/>
    <w:rsid w:val="00AD14E3"/>
    <w:rsid w:val="00AD1919"/>
    <w:rsid w:val="00AF41F5"/>
    <w:rsid w:val="00B0706B"/>
    <w:rsid w:val="00B20CB4"/>
    <w:rsid w:val="00B20F5E"/>
    <w:rsid w:val="00B2185D"/>
    <w:rsid w:val="00B34AD7"/>
    <w:rsid w:val="00B43DDD"/>
    <w:rsid w:val="00B5179C"/>
    <w:rsid w:val="00B53E30"/>
    <w:rsid w:val="00B754A2"/>
    <w:rsid w:val="00B76EE8"/>
    <w:rsid w:val="00B82EBF"/>
    <w:rsid w:val="00B97673"/>
    <w:rsid w:val="00BA2C3F"/>
    <w:rsid w:val="00BA55A5"/>
    <w:rsid w:val="00BA5AD1"/>
    <w:rsid w:val="00BA794B"/>
    <w:rsid w:val="00BD0251"/>
    <w:rsid w:val="00BD57F2"/>
    <w:rsid w:val="00BE34B0"/>
    <w:rsid w:val="00BF5EBE"/>
    <w:rsid w:val="00C0045F"/>
    <w:rsid w:val="00C015FC"/>
    <w:rsid w:val="00C145E2"/>
    <w:rsid w:val="00C3254B"/>
    <w:rsid w:val="00C333C0"/>
    <w:rsid w:val="00C3390F"/>
    <w:rsid w:val="00C35149"/>
    <w:rsid w:val="00C47741"/>
    <w:rsid w:val="00C57C79"/>
    <w:rsid w:val="00C63C57"/>
    <w:rsid w:val="00C6769F"/>
    <w:rsid w:val="00C727B4"/>
    <w:rsid w:val="00C808C2"/>
    <w:rsid w:val="00C86847"/>
    <w:rsid w:val="00CA6EE3"/>
    <w:rsid w:val="00CB3FAC"/>
    <w:rsid w:val="00CB7EE8"/>
    <w:rsid w:val="00CC0C5C"/>
    <w:rsid w:val="00CC2383"/>
    <w:rsid w:val="00CD323A"/>
    <w:rsid w:val="00CD79BF"/>
    <w:rsid w:val="00CE0C28"/>
    <w:rsid w:val="00CE2F67"/>
    <w:rsid w:val="00CE45A3"/>
    <w:rsid w:val="00D00C9A"/>
    <w:rsid w:val="00D01517"/>
    <w:rsid w:val="00D04222"/>
    <w:rsid w:val="00D05321"/>
    <w:rsid w:val="00D10836"/>
    <w:rsid w:val="00D1636F"/>
    <w:rsid w:val="00D2197A"/>
    <w:rsid w:val="00D2618C"/>
    <w:rsid w:val="00D342BA"/>
    <w:rsid w:val="00D35EF8"/>
    <w:rsid w:val="00D40257"/>
    <w:rsid w:val="00D53682"/>
    <w:rsid w:val="00D55A2C"/>
    <w:rsid w:val="00D620C8"/>
    <w:rsid w:val="00D6398D"/>
    <w:rsid w:val="00D80032"/>
    <w:rsid w:val="00D817AB"/>
    <w:rsid w:val="00D83C44"/>
    <w:rsid w:val="00D87C19"/>
    <w:rsid w:val="00DB61EC"/>
    <w:rsid w:val="00DE5ED8"/>
    <w:rsid w:val="00DF2040"/>
    <w:rsid w:val="00DF5FB8"/>
    <w:rsid w:val="00E13346"/>
    <w:rsid w:val="00E1423A"/>
    <w:rsid w:val="00E208F7"/>
    <w:rsid w:val="00E4094B"/>
    <w:rsid w:val="00E67792"/>
    <w:rsid w:val="00E727F1"/>
    <w:rsid w:val="00E753B7"/>
    <w:rsid w:val="00E8086B"/>
    <w:rsid w:val="00E80F50"/>
    <w:rsid w:val="00E82A99"/>
    <w:rsid w:val="00E93C94"/>
    <w:rsid w:val="00E96480"/>
    <w:rsid w:val="00EA0665"/>
    <w:rsid w:val="00ED7DE2"/>
    <w:rsid w:val="00EE503F"/>
    <w:rsid w:val="00EF5F66"/>
    <w:rsid w:val="00F15161"/>
    <w:rsid w:val="00F15E32"/>
    <w:rsid w:val="00F330E3"/>
    <w:rsid w:val="00F41D88"/>
    <w:rsid w:val="00F42859"/>
    <w:rsid w:val="00F439E2"/>
    <w:rsid w:val="00F62325"/>
    <w:rsid w:val="00F67FC5"/>
    <w:rsid w:val="00F75D59"/>
    <w:rsid w:val="00FA7485"/>
    <w:rsid w:val="00FB3AB6"/>
    <w:rsid w:val="00FC35DF"/>
    <w:rsid w:val="00FC6542"/>
    <w:rsid w:val="00FC69E0"/>
    <w:rsid w:val="00FD4CD7"/>
    <w:rsid w:val="00FF044A"/>
    <w:rsid w:val="00FF058F"/>
    <w:rsid w:val="00FF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D3D68"/>
  <w15:docId w15:val="{3AE372C2-3E42-476E-A99F-F755BA25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ED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Title">
    <w:name w:val="Title"/>
    <w:basedOn w:val="Normal"/>
    <w:qFormat/>
    <w:pPr>
      <w:widowControl/>
      <w:tabs>
        <w:tab w:val="left" w:pos="360"/>
        <w:tab w:val="left" w:pos="720"/>
      </w:tabs>
      <w:jc w:val="center"/>
    </w:pPr>
    <w:rPr>
      <w:b/>
    </w:rPr>
  </w:style>
  <w:style w:type="table" w:styleId="TableGrid">
    <w:name w:val="Table Grid"/>
    <w:basedOn w:val="TableNormal"/>
    <w:rsid w:val="009544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51ABE"/>
    <w:rPr>
      <w:color w:val="0000FF"/>
      <w:u w:val="single"/>
    </w:rPr>
  </w:style>
  <w:style w:type="paragraph" w:styleId="BalloonText">
    <w:name w:val="Balloon Text"/>
    <w:basedOn w:val="Normal"/>
    <w:semiHidden/>
    <w:rsid w:val="00850E1F"/>
    <w:rPr>
      <w:rFonts w:ascii="Tahoma" w:hAnsi="Tahoma" w:cs="Tahoma"/>
      <w:sz w:val="16"/>
      <w:szCs w:val="16"/>
    </w:rPr>
  </w:style>
  <w:style w:type="character" w:styleId="CommentReference">
    <w:name w:val="annotation reference"/>
    <w:basedOn w:val="DefaultParagraphFont"/>
    <w:semiHidden/>
    <w:rsid w:val="00297A6B"/>
    <w:rPr>
      <w:sz w:val="16"/>
      <w:szCs w:val="16"/>
    </w:rPr>
  </w:style>
  <w:style w:type="paragraph" w:styleId="CommentText">
    <w:name w:val="annotation text"/>
    <w:basedOn w:val="Normal"/>
    <w:semiHidden/>
    <w:rsid w:val="00297A6B"/>
    <w:rPr>
      <w:sz w:val="20"/>
    </w:rPr>
  </w:style>
  <w:style w:type="paragraph" w:styleId="CommentSubject">
    <w:name w:val="annotation subject"/>
    <w:basedOn w:val="CommentText"/>
    <w:next w:val="CommentText"/>
    <w:semiHidden/>
    <w:rsid w:val="00297A6B"/>
    <w:rPr>
      <w:b/>
      <w:bCs/>
    </w:rPr>
  </w:style>
  <w:style w:type="character" w:styleId="FollowedHyperlink">
    <w:name w:val="FollowedHyperlink"/>
    <w:basedOn w:val="DefaultParagraphFont"/>
    <w:rsid w:val="00CE0C28"/>
    <w:rPr>
      <w:color w:val="800080" w:themeColor="followedHyperlink"/>
      <w:u w:val="single"/>
    </w:rPr>
  </w:style>
  <w:style w:type="paragraph" w:styleId="ListParagraph">
    <w:name w:val="List Paragraph"/>
    <w:basedOn w:val="Normal"/>
    <w:uiPriority w:val="34"/>
    <w:qFormat/>
    <w:rsid w:val="00082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5396">
      <w:bodyDiv w:val="1"/>
      <w:marLeft w:val="0"/>
      <w:marRight w:val="0"/>
      <w:marTop w:val="0"/>
      <w:marBottom w:val="0"/>
      <w:divBdr>
        <w:top w:val="none" w:sz="0" w:space="0" w:color="auto"/>
        <w:left w:val="none" w:sz="0" w:space="0" w:color="auto"/>
        <w:bottom w:val="none" w:sz="0" w:space="0" w:color="auto"/>
        <w:right w:val="none" w:sz="0" w:space="0" w:color="auto"/>
      </w:divBdr>
    </w:div>
    <w:div w:id="426200425">
      <w:bodyDiv w:val="1"/>
      <w:marLeft w:val="0"/>
      <w:marRight w:val="0"/>
      <w:marTop w:val="0"/>
      <w:marBottom w:val="0"/>
      <w:divBdr>
        <w:top w:val="none" w:sz="0" w:space="0" w:color="auto"/>
        <w:left w:val="none" w:sz="0" w:space="0" w:color="auto"/>
        <w:bottom w:val="none" w:sz="0" w:space="0" w:color="auto"/>
        <w:right w:val="none" w:sz="0" w:space="0" w:color="auto"/>
      </w:divBdr>
    </w:div>
    <w:div w:id="657539195">
      <w:bodyDiv w:val="1"/>
      <w:marLeft w:val="0"/>
      <w:marRight w:val="0"/>
      <w:marTop w:val="0"/>
      <w:marBottom w:val="0"/>
      <w:divBdr>
        <w:top w:val="none" w:sz="0" w:space="0" w:color="auto"/>
        <w:left w:val="none" w:sz="0" w:space="0" w:color="auto"/>
        <w:bottom w:val="none" w:sz="0" w:space="0" w:color="auto"/>
        <w:right w:val="none" w:sz="0" w:space="0" w:color="auto"/>
      </w:divBdr>
    </w:div>
    <w:div w:id="727218921">
      <w:bodyDiv w:val="1"/>
      <w:marLeft w:val="0"/>
      <w:marRight w:val="0"/>
      <w:marTop w:val="0"/>
      <w:marBottom w:val="0"/>
      <w:divBdr>
        <w:top w:val="none" w:sz="0" w:space="0" w:color="auto"/>
        <w:left w:val="none" w:sz="0" w:space="0" w:color="auto"/>
        <w:bottom w:val="none" w:sz="0" w:space="0" w:color="auto"/>
        <w:right w:val="none" w:sz="0" w:space="0" w:color="auto"/>
      </w:divBdr>
    </w:div>
    <w:div w:id="732775054">
      <w:bodyDiv w:val="1"/>
      <w:marLeft w:val="0"/>
      <w:marRight w:val="0"/>
      <w:marTop w:val="0"/>
      <w:marBottom w:val="0"/>
      <w:divBdr>
        <w:top w:val="none" w:sz="0" w:space="0" w:color="auto"/>
        <w:left w:val="none" w:sz="0" w:space="0" w:color="auto"/>
        <w:bottom w:val="none" w:sz="0" w:space="0" w:color="auto"/>
        <w:right w:val="none" w:sz="0" w:space="0" w:color="auto"/>
      </w:divBdr>
    </w:div>
    <w:div w:id="1009604150">
      <w:bodyDiv w:val="1"/>
      <w:marLeft w:val="0"/>
      <w:marRight w:val="0"/>
      <w:marTop w:val="0"/>
      <w:marBottom w:val="0"/>
      <w:divBdr>
        <w:top w:val="none" w:sz="0" w:space="0" w:color="auto"/>
        <w:left w:val="none" w:sz="0" w:space="0" w:color="auto"/>
        <w:bottom w:val="none" w:sz="0" w:space="0" w:color="auto"/>
        <w:right w:val="none" w:sz="0" w:space="0" w:color="auto"/>
      </w:divBdr>
      <w:divsChild>
        <w:div w:id="230847397">
          <w:marLeft w:val="0"/>
          <w:marRight w:val="0"/>
          <w:marTop w:val="0"/>
          <w:marBottom w:val="0"/>
          <w:divBdr>
            <w:top w:val="none" w:sz="0" w:space="0" w:color="auto"/>
            <w:left w:val="none" w:sz="0" w:space="0" w:color="auto"/>
            <w:bottom w:val="none" w:sz="0" w:space="0" w:color="auto"/>
            <w:right w:val="none" w:sz="0" w:space="0" w:color="auto"/>
          </w:divBdr>
        </w:div>
        <w:div w:id="287131064">
          <w:marLeft w:val="0"/>
          <w:marRight w:val="0"/>
          <w:marTop w:val="0"/>
          <w:marBottom w:val="0"/>
          <w:divBdr>
            <w:top w:val="none" w:sz="0" w:space="0" w:color="auto"/>
            <w:left w:val="none" w:sz="0" w:space="0" w:color="auto"/>
            <w:bottom w:val="none" w:sz="0" w:space="0" w:color="auto"/>
            <w:right w:val="none" w:sz="0" w:space="0" w:color="auto"/>
          </w:divBdr>
        </w:div>
        <w:div w:id="966357989">
          <w:marLeft w:val="0"/>
          <w:marRight w:val="0"/>
          <w:marTop w:val="0"/>
          <w:marBottom w:val="0"/>
          <w:divBdr>
            <w:top w:val="none" w:sz="0" w:space="0" w:color="auto"/>
            <w:left w:val="none" w:sz="0" w:space="0" w:color="auto"/>
            <w:bottom w:val="none" w:sz="0" w:space="0" w:color="auto"/>
            <w:right w:val="none" w:sz="0" w:space="0" w:color="auto"/>
          </w:divBdr>
        </w:div>
        <w:div w:id="1259412118">
          <w:marLeft w:val="0"/>
          <w:marRight w:val="0"/>
          <w:marTop w:val="0"/>
          <w:marBottom w:val="0"/>
          <w:divBdr>
            <w:top w:val="none" w:sz="0" w:space="0" w:color="auto"/>
            <w:left w:val="none" w:sz="0" w:space="0" w:color="auto"/>
            <w:bottom w:val="none" w:sz="0" w:space="0" w:color="auto"/>
            <w:right w:val="none" w:sz="0" w:space="0" w:color="auto"/>
          </w:divBdr>
        </w:div>
        <w:div w:id="1488667038">
          <w:marLeft w:val="0"/>
          <w:marRight w:val="0"/>
          <w:marTop w:val="0"/>
          <w:marBottom w:val="0"/>
          <w:divBdr>
            <w:top w:val="none" w:sz="0" w:space="0" w:color="auto"/>
            <w:left w:val="none" w:sz="0" w:space="0" w:color="auto"/>
            <w:bottom w:val="none" w:sz="0" w:space="0" w:color="auto"/>
            <w:right w:val="none" w:sz="0" w:space="0" w:color="auto"/>
          </w:divBdr>
        </w:div>
        <w:div w:id="1596088851">
          <w:marLeft w:val="0"/>
          <w:marRight w:val="0"/>
          <w:marTop w:val="0"/>
          <w:marBottom w:val="0"/>
          <w:divBdr>
            <w:top w:val="none" w:sz="0" w:space="0" w:color="auto"/>
            <w:left w:val="none" w:sz="0" w:space="0" w:color="auto"/>
            <w:bottom w:val="none" w:sz="0" w:space="0" w:color="auto"/>
            <w:right w:val="none" w:sz="0" w:space="0" w:color="auto"/>
          </w:divBdr>
        </w:div>
      </w:divsChild>
    </w:div>
    <w:div w:id="16165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pe.org/en/industry/oil-and-gas-salary-surve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Isehrnfs01\orp\EXPLICIT\RegStanBR\INFORMATION%20COLLECTION\0015%20-%20M\eCFR%20as%20of%203-4-14.docx" TargetMode="External"/><Relationship Id="rId4" Type="http://schemas.openxmlformats.org/officeDocument/2006/relationships/webSettings" Target="webSettings.xml"/><Relationship Id="rId9" Type="http://schemas.openxmlformats.org/officeDocument/2006/relationships/hyperlink" Target="http://www.opm.gov/policy-data-oversight/pay-leave/salaries-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9</Pages>
  <Words>3811</Words>
  <Characters>22436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26195</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5963852</vt:i4>
      </vt:variant>
      <vt:variant>
        <vt:i4>6</vt:i4>
      </vt:variant>
      <vt:variant>
        <vt:i4>0</vt:i4>
      </vt:variant>
      <vt:variant>
        <vt:i4>5</vt:i4>
      </vt:variant>
      <vt:variant>
        <vt:lpwstr>http://www.opm.gov/oca/10tables/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Nikki NM</cp:lastModifiedBy>
  <cp:revision>24</cp:revision>
  <cp:lastPrinted>2011-08-16T15:38:00Z</cp:lastPrinted>
  <dcterms:created xsi:type="dcterms:W3CDTF">2020-06-09T14:36:00Z</dcterms:created>
  <dcterms:modified xsi:type="dcterms:W3CDTF">2020-09-18T19:14:00Z</dcterms:modified>
</cp:coreProperties>
</file>