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96C3F" w:rsidR="00421095" w:rsidP="00421095" w:rsidRDefault="00207226" w14:paraId="5AC31AEE" w14:textId="7777777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rPr>
          <w:b/>
          <w:bCs/>
        </w:rPr>
        <w:t xml:space="preserve">Part B. </w:t>
      </w:r>
      <w:r w:rsidRPr="00596C3F" w:rsidR="00421095">
        <w:rPr>
          <w:b/>
          <w:bCs/>
        </w:rPr>
        <w:t>Collection of Information Employing Statistical Methods</w:t>
      </w:r>
    </w:p>
    <w:p w:rsidRPr="00596C3F" w:rsidR="00421095" w:rsidP="00421095" w:rsidRDefault="00421095" w14:paraId="09ECFB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596C3F" w:rsidR="00F84901" w:rsidP="00F84901" w:rsidRDefault="00F84901" w14:paraId="637DD076" w14:textId="77777777">
      <w:pPr>
        <w:pStyle w:val="ListParagraph"/>
        <w:numPr>
          <w:ilvl w:val="0"/>
          <w:numId w:val="5"/>
        </w:numPr>
        <w:rPr>
          <w:b/>
          <w:u w:val="single"/>
        </w:rPr>
      </w:pPr>
      <w:r w:rsidRPr="00596C3F">
        <w:rPr>
          <w:b/>
          <w:u w:val="single"/>
        </w:rPr>
        <w:t>Universe and Respondent Selection</w:t>
      </w:r>
    </w:p>
    <w:p w:rsidRPr="00596C3F" w:rsidR="00F84901" w:rsidP="00F84901" w:rsidRDefault="00F84901" w14:paraId="6CB32691" w14:textId="77777777">
      <w:pPr>
        <w:pStyle w:val="SP-SglSpPara"/>
        <w:ind w:firstLine="0"/>
        <w:jc w:val="left"/>
        <w:rPr>
          <w:sz w:val="24"/>
          <w:szCs w:val="24"/>
        </w:rPr>
      </w:pPr>
    </w:p>
    <w:p w:rsidR="00F84901" w:rsidP="00F84901" w:rsidRDefault="00F84901" w14:paraId="2FDB7180" w14:textId="01E4722D">
      <w:pPr>
        <w:pStyle w:val="SP-SglSpPara"/>
        <w:ind w:firstLine="0"/>
        <w:jc w:val="left"/>
        <w:rPr>
          <w:sz w:val="24"/>
          <w:szCs w:val="24"/>
        </w:rPr>
      </w:pPr>
      <w:r w:rsidRPr="00596C3F">
        <w:rPr>
          <w:sz w:val="24"/>
          <w:szCs w:val="24"/>
        </w:rPr>
        <w:t xml:space="preserve">The target population for the </w:t>
      </w:r>
      <w:r w:rsidR="007D71DA">
        <w:rPr>
          <w:sz w:val="24"/>
          <w:szCs w:val="24"/>
        </w:rPr>
        <w:t>2020</w:t>
      </w:r>
      <w:r w:rsidRPr="00B478DB">
        <w:rPr>
          <w:sz w:val="24"/>
          <w:szCs w:val="24"/>
        </w:rPr>
        <w:t xml:space="preserve"> </w:t>
      </w:r>
      <w:r>
        <w:rPr>
          <w:sz w:val="24"/>
          <w:szCs w:val="24"/>
        </w:rPr>
        <w:t>Law Enforcement Management and Administrative Statistics</w:t>
      </w:r>
      <w:r w:rsidRPr="00B478DB">
        <w:rPr>
          <w:sz w:val="24"/>
          <w:szCs w:val="24"/>
        </w:rPr>
        <w:t xml:space="preserve"> (</w:t>
      </w:r>
      <w:r>
        <w:rPr>
          <w:sz w:val="24"/>
          <w:szCs w:val="24"/>
        </w:rPr>
        <w:t>LEMAS</w:t>
      </w:r>
      <w:r w:rsidRPr="00B478DB">
        <w:rPr>
          <w:sz w:val="24"/>
          <w:szCs w:val="24"/>
        </w:rPr>
        <w:t xml:space="preserve">) </w:t>
      </w:r>
      <w:r>
        <w:rPr>
          <w:sz w:val="24"/>
          <w:szCs w:val="24"/>
        </w:rPr>
        <w:t xml:space="preserve">survey </w:t>
      </w:r>
      <w:r w:rsidRPr="00596C3F">
        <w:rPr>
          <w:sz w:val="24"/>
          <w:szCs w:val="24"/>
        </w:rPr>
        <w:t xml:space="preserve">is all local </w:t>
      </w:r>
      <w:r w:rsidR="00E42BA9">
        <w:rPr>
          <w:sz w:val="24"/>
          <w:szCs w:val="24"/>
        </w:rPr>
        <w:t xml:space="preserve">and county </w:t>
      </w:r>
      <w:r w:rsidRPr="00596C3F">
        <w:rPr>
          <w:sz w:val="24"/>
          <w:szCs w:val="24"/>
        </w:rPr>
        <w:t>police, sheriff</w:t>
      </w:r>
      <w:r w:rsidR="002E5DAF">
        <w:rPr>
          <w:sz w:val="24"/>
          <w:szCs w:val="24"/>
        </w:rPr>
        <w:t>s’</w:t>
      </w:r>
      <w:r w:rsidR="00E42BA9">
        <w:rPr>
          <w:sz w:val="24"/>
          <w:szCs w:val="24"/>
        </w:rPr>
        <w:t xml:space="preserve"> </w:t>
      </w:r>
      <w:r w:rsidR="002E5DAF">
        <w:rPr>
          <w:sz w:val="24"/>
          <w:szCs w:val="24"/>
        </w:rPr>
        <w:t>offices</w:t>
      </w:r>
      <w:r w:rsidRPr="00596C3F">
        <w:rPr>
          <w:sz w:val="24"/>
          <w:szCs w:val="24"/>
        </w:rPr>
        <w:t xml:space="preserve">, and </w:t>
      </w:r>
      <w:r w:rsidR="00E42BA9">
        <w:rPr>
          <w:sz w:val="24"/>
          <w:szCs w:val="24"/>
        </w:rPr>
        <w:t xml:space="preserve">primary </w:t>
      </w:r>
      <w:r w:rsidRPr="00596C3F">
        <w:rPr>
          <w:sz w:val="24"/>
          <w:szCs w:val="24"/>
        </w:rPr>
        <w:t xml:space="preserve">state police agencies </w:t>
      </w:r>
      <w:r w:rsidR="00A50A7E">
        <w:rPr>
          <w:sz w:val="24"/>
          <w:szCs w:val="24"/>
        </w:rPr>
        <w:t xml:space="preserve">that employ the equivalent of </w:t>
      </w:r>
      <w:r w:rsidRPr="00596C3F">
        <w:rPr>
          <w:sz w:val="24"/>
          <w:szCs w:val="24"/>
        </w:rPr>
        <w:t>at least one full</w:t>
      </w:r>
      <w:r w:rsidR="00A50A7E">
        <w:rPr>
          <w:sz w:val="24"/>
          <w:szCs w:val="24"/>
        </w:rPr>
        <w:t>-</w:t>
      </w:r>
      <w:r w:rsidRPr="00596C3F">
        <w:rPr>
          <w:sz w:val="24"/>
          <w:szCs w:val="24"/>
        </w:rPr>
        <w:t>time sworn officer</w:t>
      </w:r>
      <w:r w:rsidR="00C54A43">
        <w:rPr>
          <w:sz w:val="24"/>
          <w:szCs w:val="24"/>
        </w:rPr>
        <w:t xml:space="preserve"> (FTE)</w:t>
      </w:r>
      <w:r w:rsidRPr="00596C3F">
        <w:rPr>
          <w:sz w:val="24"/>
          <w:szCs w:val="24"/>
        </w:rPr>
        <w:t>.</w:t>
      </w:r>
      <w:r w:rsidR="006F5F0F">
        <w:rPr>
          <w:rStyle w:val="FootnoteReference"/>
          <w:sz w:val="24"/>
          <w:szCs w:val="24"/>
        </w:rPr>
        <w:footnoteReference w:id="1"/>
      </w:r>
      <w:r w:rsidRPr="00596C3F">
        <w:rPr>
          <w:sz w:val="24"/>
          <w:szCs w:val="24"/>
        </w:rPr>
        <w:t xml:space="preserve"> </w:t>
      </w:r>
      <w:r w:rsidR="000573C0">
        <w:rPr>
          <w:sz w:val="24"/>
          <w:szCs w:val="24"/>
        </w:rPr>
        <w:t xml:space="preserve">The </w:t>
      </w:r>
      <w:r w:rsidR="007D71DA">
        <w:rPr>
          <w:sz w:val="24"/>
          <w:szCs w:val="24"/>
        </w:rPr>
        <w:t>2020</w:t>
      </w:r>
      <w:r w:rsidR="000573C0">
        <w:rPr>
          <w:sz w:val="24"/>
          <w:szCs w:val="24"/>
        </w:rPr>
        <w:t xml:space="preserve"> </w:t>
      </w:r>
      <w:r>
        <w:rPr>
          <w:sz w:val="24"/>
          <w:szCs w:val="24"/>
        </w:rPr>
        <w:t>LEMAS</w:t>
      </w:r>
      <w:r w:rsidRPr="00596C3F">
        <w:rPr>
          <w:sz w:val="24"/>
          <w:szCs w:val="24"/>
        </w:rPr>
        <w:t xml:space="preserve"> will use the </w:t>
      </w:r>
      <w:r w:rsidR="007D71DA">
        <w:rPr>
          <w:sz w:val="24"/>
          <w:szCs w:val="24"/>
        </w:rPr>
        <w:t>Law Enforcement Agency Roster (LEAR)</w:t>
      </w:r>
      <w:r w:rsidR="00C51B79">
        <w:rPr>
          <w:sz w:val="24"/>
          <w:szCs w:val="24"/>
        </w:rPr>
        <w:t xml:space="preserve">, </w:t>
      </w:r>
      <w:r w:rsidR="0004404C">
        <w:rPr>
          <w:sz w:val="24"/>
          <w:szCs w:val="24"/>
        </w:rPr>
        <w:t xml:space="preserve">a </w:t>
      </w:r>
      <w:r w:rsidR="00C53F09">
        <w:rPr>
          <w:sz w:val="24"/>
          <w:szCs w:val="24"/>
        </w:rPr>
        <w:t>list</w:t>
      </w:r>
      <w:r w:rsidR="00CA1E4A">
        <w:rPr>
          <w:sz w:val="24"/>
          <w:szCs w:val="24"/>
        </w:rPr>
        <w:t xml:space="preserve"> of all publicly funded law enforcement agencies operat</w:t>
      </w:r>
      <w:r w:rsidR="002E5DAF">
        <w:rPr>
          <w:sz w:val="24"/>
          <w:szCs w:val="24"/>
        </w:rPr>
        <w:t>ing</w:t>
      </w:r>
      <w:r w:rsidR="00CA1E4A">
        <w:rPr>
          <w:sz w:val="24"/>
          <w:szCs w:val="24"/>
        </w:rPr>
        <w:t xml:space="preserve"> in the United States. The LEAR </w:t>
      </w:r>
      <w:r w:rsidR="00AF619C">
        <w:rPr>
          <w:sz w:val="24"/>
          <w:szCs w:val="24"/>
        </w:rPr>
        <w:t xml:space="preserve">is </w:t>
      </w:r>
      <w:r w:rsidR="00CA1E4A">
        <w:rPr>
          <w:sz w:val="24"/>
          <w:szCs w:val="24"/>
        </w:rPr>
        <w:t>routinely updated to reflect the changing landscape of law enforcement agency (LEA) operation. Most recently</w:t>
      </w:r>
      <w:r w:rsidR="007D71DA">
        <w:rPr>
          <w:sz w:val="24"/>
          <w:szCs w:val="24"/>
        </w:rPr>
        <w:t xml:space="preserve">, </w:t>
      </w:r>
      <w:r w:rsidR="00CA1E4A">
        <w:rPr>
          <w:sz w:val="24"/>
          <w:szCs w:val="24"/>
        </w:rPr>
        <w:t>data from the</w:t>
      </w:r>
      <w:r w:rsidR="007D71DA">
        <w:rPr>
          <w:sz w:val="24"/>
          <w:szCs w:val="24"/>
        </w:rPr>
        <w:t xml:space="preserve"> 2018</w:t>
      </w:r>
      <w:r w:rsidR="00A30300">
        <w:rPr>
          <w:sz w:val="24"/>
          <w:szCs w:val="24"/>
        </w:rPr>
        <w:t xml:space="preserve"> Census of State and Local Law Enforcement Agencies (CSLLEA)</w:t>
      </w:r>
      <w:r w:rsidRPr="00596C3F">
        <w:rPr>
          <w:sz w:val="24"/>
          <w:szCs w:val="24"/>
        </w:rPr>
        <w:t xml:space="preserve"> </w:t>
      </w:r>
      <w:r w:rsidR="00AF619C">
        <w:rPr>
          <w:sz w:val="24"/>
          <w:szCs w:val="24"/>
        </w:rPr>
        <w:t>were</w:t>
      </w:r>
      <w:r w:rsidR="00CA1E4A">
        <w:rPr>
          <w:sz w:val="24"/>
          <w:szCs w:val="24"/>
        </w:rPr>
        <w:t xml:space="preserve"> merged into the LEAR to ensure that the LEAR contains the most accurate and timely data available</w:t>
      </w:r>
      <w:r w:rsidRPr="00596C3F">
        <w:rPr>
          <w:sz w:val="24"/>
          <w:szCs w:val="24"/>
        </w:rPr>
        <w:t xml:space="preserve">. </w:t>
      </w:r>
      <w:r w:rsidR="00513698">
        <w:rPr>
          <w:sz w:val="24"/>
          <w:szCs w:val="24"/>
        </w:rPr>
        <w:t>A sample of agencies will be drawn from the LEAR to serve as the sampling frame for the 2020 LEMAS.</w:t>
      </w:r>
    </w:p>
    <w:p w:rsidRPr="00596C3F" w:rsidR="00D365E4" w:rsidP="004630DD" w:rsidRDefault="00D365E4" w14:paraId="109E19D7" w14:textId="77777777"/>
    <w:p w:rsidRPr="00B502CB" w:rsidR="00F84901" w:rsidP="00F84901" w:rsidRDefault="00F84901" w14:paraId="1C51F485" w14:textId="77777777">
      <w:pPr>
        <w:rPr>
          <w:u w:val="single"/>
        </w:rPr>
      </w:pPr>
      <w:r w:rsidRPr="00B502CB">
        <w:rPr>
          <w:u w:val="single"/>
        </w:rPr>
        <w:t>Sampling Frame</w:t>
      </w:r>
    </w:p>
    <w:p w:rsidR="00FA4DAA" w:rsidP="00F84901" w:rsidRDefault="00072C4F" w14:paraId="029827EC" w14:textId="4E83E3BE">
      <w:r w:rsidRPr="00B502CB">
        <w:t>The LEAR</w:t>
      </w:r>
      <w:r w:rsidR="00E34189">
        <w:t xml:space="preserve"> </w:t>
      </w:r>
      <w:r w:rsidR="0004404C">
        <w:t xml:space="preserve">lists </w:t>
      </w:r>
      <w:r w:rsidR="00E34189">
        <w:t>all LEAs known to BJS. It includes all</w:t>
      </w:r>
      <w:r w:rsidRPr="00B502CB">
        <w:t xml:space="preserve"> general purpose (i.e., local/county/regional police departments, sheriffs’ offices, and the 49 primary state and highway patrol agencies) </w:t>
      </w:r>
      <w:r w:rsidR="009A5B88">
        <w:t xml:space="preserve">and special purpose LEAs </w:t>
      </w:r>
      <w:r w:rsidR="00676DC3">
        <w:t xml:space="preserve">(e.g., park police, transit, tribal, campus, and independent school districts) </w:t>
      </w:r>
      <w:r w:rsidRPr="00B502CB">
        <w:t>in the United States</w:t>
      </w:r>
      <w:r w:rsidR="0004404C">
        <w:t xml:space="preserve"> of which BJS is aware</w:t>
      </w:r>
      <w:r w:rsidRPr="00B502CB">
        <w:t xml:space="preserve">. </w:t>
      </w:r>
      <w:r w:rsidR="00705C30">
        <w:t>In 2016, the</w:t>
      </w:r>
      <w:r w:rsidR="004703D5">
        <w:t xml:space="preserve"> LEAR was used </w:t>
      </w:r>
      <w:r w:rsidR="00705C30">
        <w:t>as the universe</w:t>
      </w:r>
      <w:r w:rsidR="0081691A">
        <w:t xml:space="preserve"> from which the sample</w:t>
      </w:r>
      <w:r w:rsidR="004703D5">
        <w:t xml:space="preserve"> for the 2016 LEMAS</w:t>
      </w:r>
      <w:r w:rsidR="0081691A">
        <w:t xml:space="preserve"> was drawn</w:t>
      </w:r>
      <w:r w:rsidR="00705C30">
        <w:t xml:space="preserve">. </w:t>
      </w:r>
      <w:r w:rsidR="00AC0BE6">
        <w:t xml:space="preserve">To produce the LEMAS sampling frame, the LEAR is first filtered to relevant agencies. This removes cases that are out of service, special purpose, not publicly funded, provide law enforcement services under a contract with another agency, </w:t>
      </w:r>
      <w:r w:rsidR="00577E44">
        <w:t>or do not employ at least one FTE sworn officer</w:t>
      </w:r>
      <w:r w:rsidR="004703D5">
        <w:t>. The LEAR is continuously updated when new information is obtained on agencies though data collections or media announcements</w:t>
      </w:r>
      <w:r w:rsidR="00577E44">
        <w:t xml:space="preserve">. This update process is managed through the Agency Records </w:t>
      </w:r>
      <w:r w:rsidR="00FA4DAA">
        <w:t>Management</w:t>
      </w:r>
      <w:r w:rsidR="00577E44">
        <w:t xml:space="preserve"> System (ARMS), a </w:t>
      </w:r>
      <w:r w:rsidR="0004404C">
        <w:t>database</w:t>
      </w:r>
      <w:r w:rsidR="00577E44">
        <w:t xml:space="preserve"> where</w:t>
      </w:r>
      <w:r w:rsidR="0004404C">
        <w:t xml:space="preserve"> BJS manages agency information collected </w:t>
      </w:r>
      <w:r w:rsidR="00C53F09">
        <w:t>through LEMAS and CSLLEA administrations as well as from periodic reviews of state Peace Officer Standards and Training (POST) commissions or offices, state chief and sheriffs’ association lists, agency websites, and FBI Police Employee Data. In addition to including eligible agencies, ARMS includes agencies that are out of service, covered by other law enforcement agencies, fee for service, duplicate entries, were found to not engage in law enforcement, and do not have at least one full-time equivalent. This information is necessary to maintain due to the evolving nation of law enforcement in the U.S. The LEAR is a frame of eligible agencies that can be in the LEMAS</w:t>
      </w:r>
      <w:r w:rsidR="0004404C">
        <w:t>.</w:t>
      </w:r>
      <w:r w:rsidR="00577E44">
        <w:t xml:space="preserve"> </w:t>
      </w:r>
      <w:r w:rsidR="0004404C">
        <w:t>N</w:t>
      </w:r>
      <w:r w:rsidR="00577E44">
        <w:t>ew information is committed to the LEAR after proper vetting</w:t>
      </w:r>
      <w:r w:rsidR="004703D5">
        <w:t>. Data on eligibility, staffing</w:t>
      </w:r>
      <w:r w:rsidR="002E5DAF">
        <w:t>,</w:t>
      </w:r>
      <w:r w:rsidR="004703D5">
        <w:t xml:space="preserve"> and contact information </w:t>
      </w:r>
      <w:r w:rsidR="00FA4DAA">
        <w:t>from the</w:t>
      </w:r>
      <w:r w:rsidR="004703D5">
        <w:t xml:space="preserve"> most recent law enforcement </w:t>
      </w:r>
      <w:r w:rsidR="00FA4DAA">
        <w:t xml:space="preserve">data </w:t>
      </w:r>
      <w:r w:rsidR="004703D5">
        <w:t>collection, t</w:t>
      </w:r>
      <w:r w:rsidRPr="00B502CB">
        <w:t>he 2018 CSLLEA</w:t>
      </w:r>
      <w:r w:rsidR="004703D5">
        <w:t xml:space="preserve">, </w:t>
      </w:r>
      <w:r w:rsidR="00AF619C">
        <w:t>have</w:t>
      </w:r>
      <w:r w:rsidR="00FA4DAA">
        <w:t xml:space="preserve"> been pushed into the LEAR through ARMS</w:t>
      </w:r>
      <w:r w:rsidRPr="00B502CB">
        <w:t>.</w:t>
      </w:r>
      <w:r w:rsidR="004703D5">
        <w:t xml:space="preserve"> </w:t>
      </w:r>
    </w:p>
    <w:p w:rsidR="00FA4DAA" w:rsidP="00F84901" w:rsidRDefault="00FA4DAA" w14:paraId="1494FDD4" w14:textId="77777777"/>
    <w:p w:rsidR="000573C0" w:rsidP="00F84901" w:rsidRDefault="00FA4DAA" w14:paraId="0F1E5AA0" w14:textId="609A2D77">
      <w:r>
        <w:t xml:space="preserve">A majority of current case information </w:t>
      </w:r>
      <w:r w:rsidR="00461BB8">
        <w:t xml:space="preserve">for LEMAS-eligible agencies </w:t>
      </w:r>
      <w:r>
        <w:t>comes from the 2018 CSLLEA</w:t>
      </w:r>
      <w:r w:rsidR="00676DC3">
        <w:t>,</w:t>
      </w:r>
      <w:r>
        <w:t xml:space="preserve"> which achieved a 93% response rate. </w:t>
      </w:r>
      <w:r w:rsidR="00461BB8">
        <w:t xml:space="preserve">For </w:t>
      </w:r>
      <w:r w:rsidR="00CF45EA">
        <w:t xml:space="preserve">non-respondents to the </w:t>
      </w:r>
      <w:r w:rsidR="00461BB8">
        <w:t xml:space="preserve">2018 CSLLEA, additional information was used to establish in-service status, eligibility, and agency staffing size. </w:t>
      </w:r>
      <w:r w:rsidR="0004775D">
        <w:t>Additional data source</w:t>
      </w:r>
      <w:r w:rsidR="002E5DAF">
        <w:t>s</w:t>
      </w:r>
      <w:r w:rsidR="0004775D">
        <w:t xml:space="preserve"> integrated into the LEAR included: </w:t>
      </w:r>
      <w:r w:rsidR="000479B5">
        <w:t xml:space="preserve">the </w:t>
      </w:r>
      <w:r w:rsidR="004703D5">
        <w:t xml:space="preserve">2018 FBI’s Police Employee Data, </w:t>
      </w:r>
      <w:r w:rsidR="0004775D">
        <w:t xml:space="preserve">data from </w:t>
      </w:r>
      <w:r w:rsidR="004703D5">
        <w:t>state POST</w:t>
      </w:r>
      <w:r w:rsidR="0004775D">
        <w:t xml:space="preserve"> commissions or offices</w:t>
      </w:r>
      <w:r w:rsidR="004703D5">
        <w:t>, state chief and sheriff</w:t>
      </w:r>
      <w:r w:rsidR="00A71C78">
        <w:t>s</w:t>
      </w:r>
      <w:r w:rsidR="004703D5">
        <w:t>’ association lists</w:t>
      </w:r>
      <w:r w:rsidR="004C0E13">
        <w:t>,</w:t>
      </w:r>
      <w:r w:rsidR="004703D5">
        <w:t xml:space="preserve"> the </w:t>
      </w:r>
      <w:r w:rsidRPr="00B502CB" w:rsidR="00072C4F">
        <w:t>2016 LEMAS</w:t>
      </w:r>
      <w:r w:rsidR="004C0E13">
        <w:t>, and the 2008 and 2014 CSLLEA</w:t>
      </w:r>
      <w:r w:rsidRPr="00B502CB" w:rsidR="00072C4F">
        <w:t xml:space="preserve">. </w:t>
      </w:r>
      <w:r w:rsidRPr="00B502CB" w:rsidR="000573C0">
        <w:t xml:space="preserve">Information from </w:t>
      </w:r>
      <w:r w:rsidR="004703D5">
        <w:t xml:space="preserve">these </w:t>
      </w:r>
      <w:r w:rsidR="004703D5">
        <w:lastRenderedPageBreak/>
        <w:t>sources</w:t>
      </w:r>
      <w:r w:rsidRPr="00B502CB" w:rsidR="00A30300">
        <w:t xml:space="preserve"> </w:t>
      </w:r>
      <w:r w:rsidR="00AF619C">
        <w:t>was</w:t>
      </w:r>
      <w:r w:rsidRPr="00B502CB" w:rsidR="00AF619C">
        <w:t xml:space="preserve"> </w:t>
      </w:r>
      <w:r w:rsidRPr="00B502CB" w:rsidR="000573C0">
        <w:t>merged and vetted</w:t>
      </w:r>
      <w:r w:rsidRPr="00B502CB" w:rsidR="007D4974">
        <w:t>,</w:t>
      </w:r>
      <w:r w:rsidRPr="00B502CB" w:rsidR="000573C0">
        <w:t xml:space="preserve"> resulting in the most comprehensive</w:t>
      </w:r>
      <w:r w:rsidR="0004775D">
        <w:t xml:space="preserve"> and up-to-date</w:t>
      </w:r>
      <w:r w:rsidRPr="00B502CB" w:rsidR="000573C0">
        <w:t xml:space="preserve"> list of law enforcement agencies known.</w:t>
      </w:r>
      <w:r w:rsidR="000573C0">
        <w:t xml:space="preserve"> </w:t>
      </w:r>
    </w:p>
    <w:p w:rsidRPr="00B62B62" w:rsidR="00AE707C" w:rsidP="00F84901" w:rsidRDefault="00AE707C" w14:paraId="1A876A78" w14:textId="77777777"/>
    <w:p w:rsidRPr="00D534B2" w:rsidR="00F84901" w:rsidP="00F84901" w:rsidRDefault="00F84901" w14:paraId="580C35DD" w14:textId="77777777">
      <w:pPr>
        <w:rPr>
          <w:u w:val="single"/>
        </w:rPr>
      </w:pPr>
      <w:r w:rsidRPr="00D534B2">
        <w:rPr>
          <w:u w:val="single"/>
        </w:rPr>
        <w:t>LEMAS Sampling Designs and Response Rates</w:t>
      </w:r>
    </w:p>
    <w:p w:rsidRPr="00B62B62" w:rsidR="00F84901" w:rsidP="00F84901" w:rsidRDefault="00CF45EA" w14:paraId="677B48EF" w14:textId="49A39537">
      <w:r>
        <w:t xml:space="preserve">The LEMAS has been administered </w:t>
      </w:r>
      <w:r w:rsidR="00676DC3">
        <w:t xml:space="preserve">10 </w:t>
      </w:r>
      <w:r>
        <w:t xml:space="preserve">times </w:t>
      </w:r>
      <w:r w:rsidR="00676DC3">
        <w:t>from 1987 to 2016</w:t>
      </w:r>
      <w:r>
        <w:t>. This historical experience has led to the development of a well</w:t>
      </w:r>
      <w:r w:rsidR="00461C99">
        <w:t>-</w:t>
      </w:r>
      <w:r>
        <w:t>refined sampling strategy that facilities a LEMAS sample that is representative of the broader population of LEAs. The</w:t>
      </w:r>
      <w:r w:rsidRPr="00B62B62" w:rsidR="00F84901">
        <w:t xml:space="preserve"> LEMAS uses a stratified simple random sample design in which LEAs are stratified by agency type and agency size. Agency type has three categories: (1) local police, (2) </w:t>
      </w:r>
      <w:r w:rsidR="00696348">
        <w:t>s</w:t>
      </w:r>
      <w:r w:rsidRPr="00B62B62" w:rsidR="00F84901">
        <w:t xml:space="preserve">heriff’s offices, and (3) state police. To obtain a representative sample of all agency sizes, </w:t>
      </w:r>
      <w:r w:rsidR="000506C9">
        <w:t>agency type is further stratified by</w:t>
      </w:r>
      <w:r w:rsidRPr="00B62B62" w:rsidR="00F84901">
        <w:t xml:space="preserve"> agency size. Agency size is split into seven categories: (1) 1</w:t>
      </w:r>
      <w:r w:rsidR="00EE6CE9">
        <w:t>-1.5</w:t>
      </w:r>
      <w:r w:rsidRPr="00B62B62" w:rsidR="00F84901">
        <w:t xml:space="preserve"> </w:t>
      </w:r>
      <w:r w:rsidR="00C54A43">
        <w:t>FTE</w:t>
      </w:r>
      <w:r w:rsidRPr="00B62B62" w:rsidR="00F84901">
        <w:t>, (2) 2 – 4</w:t>
      </w:r>
      <w:r w:rsidR="00EE6CE9">
        <w:t>.5</w:t>
      </w:r>
      <w:r w:rsidRPr="00B62B62" w:rsidR="00F84901">
        <w:t xml:space="preserve"> </w:t>
      </w:r>
      <w:r w:rsidR="00C54A43">
        <w:t>FTEs</w:t>
      </w:r>
      <w:r w:rsidRPr="00B62B62" w:rsidR="00F84901">
        <w:t xml:space="preserve"> (3) 5 – 9</w:t>
      </w:r>
      <w:r w:rsidR="00EE6CE9">
        <w:t>.5</w:t>
      </w:r>
      <w:r w:rsidRPr="00B62B62" w:rsidR="00F84901">
        <w:t xml:space="preserve"> </w:t>
      </w:r>
      <w:r w:rsidR="00C54A43">
        <w:t>FTEs</w:t>
      </w:r>
      <w:r w:rsidRPr="00B62B62" w:rsidR="00F84901">
        <w:t>, (4) 10 – 24</w:t>
      </w:r>
      <w:r w:rsidR="00EE6CE9">
        <w:t>.5</w:t>
      </w:r>
      <w:r w:rsidRPr="00B62B62" w:rsidR="00F84901">
        <w:t xml:space="preserve"> </w:t>
      </w:r>
      <w:r w:rsidR="00C54A43">
        <w:t>FTEs</w:t>
      </w:r>
      <w:r w:rsidRPr="00B62B62" w:rsidR="00F84901">
        <w:t>, (5) 25 – 49</w:t>
      </w:r>
      <w:r w:rsidR="00EE6CE9">
        <w:t>.5</w:t>
      </w:r>
      <w:r w:rsidRPr="00B62B62" w:rsidR="00F84901">
        <w:t xml:space="preserve"> </w:t>
      </w:r>
      <w:r w:rsidR="00C54A43">
        <w:t>FTEs</w:t>
      </w:r>
      <w:r w:rsidRPr="00B62B62" w:rsidR="00F84901">
        <w:t>, (6) 50 – 99</w:t>
      </w:r>
      <w:r w:rsidR="00EE6CE9">
        <w:t>.5</w:t>
      </w:r>
      <w:r w:rsidRPr="00B62B62" w:rsidR="00F84901">
        <w:t xml:space="preserve"> </w:t>
      </w:r>
      <w:r w:rsidR="00C54A43">
        <w:t>FTEs</w:t>
      </w:r>
      <w:r w:rsidRPr="00B62B62" w:rsidR="00F84901">
        <w:t xml:space="preserve">, and (7) 100 or more </w:t>
      </w:r>
      <w:r w:rsidR="00C54A43">
        <w:t>FTEs</w:t>
      </w:r>
      <w:r w:rsidRPr="00B62B62" w:rsidR="00F84901">
        <w:t xml:space="preserve">. In the LEMAS, LEAs with 100 or more </w:t>
      </w:r>
      <w:r w:rsidR="00C54A43">
        <w:t>FTEs</w:t>
      </w:r>
      <w:r w:rsidRPr="00B62B62" w:rsidR="00C54A43">
        <w:t xml:space="preserve"> </w:t>
      </w:r>
      <w:r w:rsidRPr="00B62B62" w:rsidR="00F84901">
        <w:t>are sampled with certainty</w:t>
      </w:r>
      <w:r w:rsidR="00787BF0">
        <w:t xml:space="preserve"> making </w:t>
      </w:r>
      <w:r w:rsidRPr="00B62B62" w:rsidR="00F84901">
        <w:t xml:space="preserve">these agencies self-representing (SR). For agencies with less than 100 </w:t>
      </w:r>
      <w:r w:rsidR="00C54A43">
        <w:t xml:space="preserve">FTEs </w:t>
      </w:r>
      <w:r w:rsidR="00FE43C2">
        <w:t>(non-</w:t>
      </w:r>
      <w:r w:rsidR="00787BF0">
        <w:t>self-representing)</w:t>
      </w:r>
      <w:r w:rsidRPr="00B62B62" w:rsidR="00F84901">
        <w:t xml:space="preserve">, </w:t>
      </w:r>
      <w:r w:rsidR="00E07E3D">
        <w:t>past administration</w:t>
      </w:r>
      <w:r w:rsidR="00AF619C">
        <w:t>s</w:t>
      </w:r>
      <w:r w:rsidR="00E07E3D">
        <w:t xml:space="preserve"> of the</w:t>
      </w:r>
      <w:r w:rsidRPr="00B62B62" w:rsidR="00E07E3D">
        <w:t xml:space="preserve"> </w:t>
      </w:r>
      <w:r w:rsidRPr="00B62B62" w:rsidR="00F84901">
        <w:t xml:space="preserve">LEMAS </w:t>
      </w:r>
      <w:r w:rsidR="00E07E3D">
        <w:t>have</w:t>
      </w:r>
      <w:r w:rsidRPr="00B62B62" w:rsidR="00E07E3D">
        <w:t xml:space="preserve"> </w:t>
      </w:r>
      <w:r w:rsidRPr="00B62B62" w:rsidR="00F84901">
        <w:t xml:space="preserve">employed various allocation methods depending on the analytic goals of </w:t>
      </w:r>
      <w:r w:rsidR="00E07E3D">
        <w:t>that</w:t>
      </w:r>
      <w:r w:rsidRPr="00B62B62" w:rsidR="00E07E3D">
        <w:t xml:space="preserve"> </w:t>
      </w:r>
      <w:r w:rsidRPr="00B62B62" w:rsidR="00F84901">
        <w:t xml:space="preserve">particular </w:t>
      </w:r>
      <w:r w:rsidR="00E07E3D">
        <w:t>administration</w:t>
      </w:r>
      <w:r w:rsidRPr="00B62B62" w:rsidR="00F84901">
        <w:t>.</w:t>
      </w:r>
    </w:p>
    <w:p w:rsidR="005C1237" w:rsidP="00F84901" w:rsidRDefault="005C1237" w14:paraId="6AB555B6" w14:textId="0ADBA965"/>
    <w:p w:rsidR="00A30300" w:rsidP="0000409E" w:rsidRDefault="00F84901" w14:paraId="28AB9125" w14:textId="067E7D22">
      <w:r w:rsidRPr="00B62B62">
        <w:t>The LEMAS has traditionally experienced a high response rate</w:t>
      </w:r>
      <w:r w:rsidR="00E9651F">
        <w:t xml:space="preserve">; </w:t>
      </w:r>
      <w:r w:rsidRPr="00B62B62">
        <w:t xml:space="preserve">the </w:t>
      </w:r>
      <w:r w:rsidR="00B502CB">
        <w:t>2016</w:t>
      </w:r>
      <w:r w:rsidRPr="00B62B62">
        <w:t xml:space="preserve"> LEMAS had an overall response rate of </w:t>
      </w:r>
      <w:r w:rsidR="00B502CB">
        <w:t>80.1</w:t>
      </w:r>
      <w:r w:rsidR="00EE6CE9">
        <w:t xml:space="preserve"> </w:t>
      </w:r>
      <w:r w:rsidR="00696348">
        <w:t>percent</w:t>
      </w:r>
      <w:r w:rsidRPr="00B62B62">
        <w:t xml:space="preserve">. However, as seen in </w:t>
      </w:r>
      <w:r w:rsidRPr="00B62B62">
        <w:rPr>
          <w:b/>
          <w:bCs/>
        </w:rPr>
        <w:t>Table 1</w:t>
      </w:r>
      <w:r w:rsidRPr="00B62B62">
        <w:t xml:space="preserve">, the response rate varied by agency type and agency size. </w:t>
      </w:r>
      <w:r w:rsidR="0068628D">
        <w:t>As a result</w:t>
      </w:r>
      <w:r w:rsidRPr="00B62B62">
        <w:t>, we will assume a response rate that differs by agency type and size</w:t>
      </w:r>
      <w:r w:rsidR="00E9651F">
        <w:t>. L</w:t>
      </w:r>
      <w:r w:rsidRPr="00B62B62">
        <w:t xml:space="preserve">ower response rates </w:t>
      </w:r>
      <w:r w:rsidR="00E9651F">
        <w:t>are assumed for sheriffs and smaller agencies</w:t>
      </w:r>
      <w:r w:rsidRPr="00B62B62">
        <w:t xml:space="preserve">. </w:t>
      </w:r>
    </w:p>
    <w:p w:rsidRPr="0000409E" w:rsidR="0000409E" w:rsidP="0000409E" w:rsidRDefault="0000409E" w14:paraId="3D932A0A" w14:textId="77777777"/>
    <w:p w:rsidRPr="002E1515" w:rsidR="00F84901" w:rsidP="00156904" w:rsidRDefault="00F84901" w14:paraId="0505BCB5" w14:textId="03F00CED">
      <w:pPr>
        <w:keepNext/>
        <w:spacing w:after="200"/>
        <w:ind w:right="90"/>
        <w:rPr>
          <w:rFonts w:eastAsia="Calibri"/>
          <w:b/>
          <w:bCs/>
        </w:rPr>
      </w:pPr>
      <w:r w:rsidRPr="002E1515">
        <w:rPr>
          <w:rFonts w:eastAsia="Calibri"/>
          <w:b/>
          <w:bCs/>
        </w:rPr>
        <w:t xml:space="preserve">Table </w:t>
      </w:r>
      <w:r w:rsidRPr="002E1515">
        <w:rPr>
          <w:rFonts w:eastAsia="Calibri"/>
          <w:b/>
          <w:bCs/>
        </w:rPr>
        <w:fldChar w:fldCharType="begin"/>
      </w:r>
      <w:r w:rsidRPr="002E1515">
        <w:rPr>
          <w:rFonts w:eastAsia="Calibri"/>
          <w:b/>
          <w:bCs/>
        </w:rPr>
        <w:instrText xml:space="preserve"> SEQ Table \* ARABIC </w:instrText>
      </w:r>
      <w:r w:rsidRPr="002E1515">
        <w:rPr>
          <w:rFonts w:eastAsia="Calibri"/>
          <w:b/>
          <w:bCs/>
        </w:rPr>
        <w:fldChar w:fldCharType="separate"/>
      </w:r>
      <w:r w:rsidR="00F0381A">
        <w:rPr>
          <w:rFonts w:eastAsia="Calibri"/>
          <w:b/>
          <w:bCs/>
          <w:noProof/>
        </w:rPr>
        <w:t>1</w:t>
      </w:r>
      <w:r w:rsidRPr="002E1515">
        <w:rPr>
          <w:rFonts w:eastAsia="Calibri"/>
          <w:b/>
          <w:bCs/>
        </w:rPr>
        <w:fldChar w:fldCharType="end"/>
      </w:r>
      <w:r w:rsidRPr="002E1515">
        <w:rPr>
          <w:rFonts w:eastAsia="Calibri"/>
          <w:b/>
          <w:bCs/>
        </w:rPr>
        <w:t xml:space="preserve">: </w:t>
      </w:r>
      <w:r w:rsidR="00B502CB">
        <w:rPr>
          <w:rFonts w:eastAsia="Calibri"/>
          <w:b/>
          <w:bCs/>
        </w:rPr>
        <w:t>2016</w:t>
      </w:r>
      <w:r w:rsidRPr="002E1515">
        <w:rPr>
          <w:rFonts w:eastAsia="Calibri"/>
          <w:b/>
          <w:bCs/>
        </w:rPr>
        <w:t xml:space="preserve"> LEMA</w:t>
      </w:r>
      <w:r w:rsidR="0037297B">
        <w:rPr>
          <w:rFonts w:eastAsia="Calibri"/>
          <w:b/>
          <w:bCs/>
        </w:rPr>
        <w:t>S</w:t>
      </w:r>
      <w:r w:rsidR="00DD5DDC">
        <w:rPr>
          <w:rFonts w:eastAsia="Calibri"/>
          <w:b/>
          <w:bCs/>
        </w:rPr>
        <w:t xml:space="preserve"> survey r</w:t>
      </w:r>
      <w:r w:rsidRPr="002E1515">
        <w:rPr>
          <w:rFonts w:eastAsia="Calibri"/>
          <w:b/>
          <w:bCs/>
        </w:rPr>
        <w:t xml:space="preserve">esponse </w:t>
      </w:r>
      <w:r w:rsidR="00DD5DDC">
        <w:rPr>
          <w:rFonts w:eastAsia="Calibri"/>
          <w:b/>
          <w:bCs/>
        </w:rPr>
        <w:t>r</w:t>
      </w:r>
      <w:r w:rsidRPr="002E1515">
        <w:rPr>
          <w:rFonts w:eastAsia="Calibri"/>
          <w:b/>
          <w:bCs/>
        </w:rPr>
        <w:t>ates</w:t>
      </w:r>
      <w:r w:rsidR="0037297B">
        <w:rPr>
          <w:rFonts w:eastAsia="Calibri"/>
          <w:b/>
          <w:bCs/>
        </w:rPr>
        <w:t>,</w:t>
      </w:r>
      <w:r w:rsidR="00DD5DDC">
        <w:rPr>
          <w:rFonts w:eastAsia="Calibri"/>
          <w:b/>
          <w:bCs/>
        </w:rPr>
        <w:t xml:space="preserve"> by agency t</w:t>
      </w:r>
      <w:r w:rsidRPr="002E1515">
        <w:rPr>
          <w:rFonts w:eastAsia="Calibri"/>
          <w:b/>
          <w:bCs/>
        </w:rPr>
        <w:t xml:space="preserve">ype and </w:t>
      </w:r>
      <w:r w:rsidR="00DD5DDC">
        <w:rPr>
          <w:rFonts w:eastAsia="Calibri"/>
          <w:b/>
          <w:bCs/>
        </w:rPr>
        <w:t>s</w:t>
      </w:r>
      <w:r w:rsidRPr="002E1515">
        <w:rPr>
          <w:rFonts w:eastAsia="Calibri"/>
          <w:b/>
          <w:bCs/>
        </w:rPr>
        <w:t>ize</w:t>
      </w:r>
    </w:p>
    <w:tbl>
      <w:tblPr>
        <w:tblStyle w:val="TableGrid"/>
        <w:tblW w:w="0" w:type="auto"/>
        <w:tblLook w:val="04A0" w:firstRow="1" w:lastRow="0" w:firstColumn="1" w:lastColumn="0" w:noHBand="0" w:noVBand="1"/>
      </w:tblPr>
      <w:tblGrid>
        <w:gridCol w:w="1615"/>
        <w:gridCol w:w="1350"/>
        <w:gridCol w:w="990"/>
        <w:gridCol w:w="1170"/>
      </w:tblGrid>
      <w:tr w:rsidRPr="002E1515" w:rsidR="00F84901" w:rsidTr="00830786" w14:paraId="5EFDBB3A" w14:textId="77777777">
        <w:trPr>
          <w:tblHeader/>
        </w:trPr>
        <w:tc>
          <w:tcPr>
            <w:tcW w:w="1615" w:type="dxa"/>
            <w:shd w:val="clear" w:color="auto" w:fill="C6D9F1" w:themeFill="text2" w:themeFillTint="33"/>
          </w:tcPr>
          <w:p w:rsidRPr="002E1515" w:rsidR="00F84901" w:rsidP="00D534B2" w:rsidRDefault="00F84901" w14:paraId="48251796" w14:textId="77777777">
            <w:pPr>
              <w:jc w:val="center"/>
            </w:pPr>
            <w:r w:rsidRPr="002E1515">
              <w:t>Agency Type</w:t>
            </w:r>
          </w:p>
        </w:tc>
        <w:tc>
          <w:tcPr>
            <w:tcW w:w="1350" w:type="dxa"/>
            <w:shd w:val="clear" w:color="auto" w:fill="C6D9F1" w:themeFill="text2" w:themeFillTint="33"/>
          </w:tcPr>
          <w:p w:rsidRPr="002E1515" w:rsidR="00F84901" w:rsidP="00D534B2" w:rsidRDefault="0037297B" w14:paraId="5206B94C" w14:textId="77777777">
            <w:pPr>
              <w:jc w:val="center"/>
            </w:pPr>
            <w:r>
              <w:t>Agency Size</w:t>
            </w:r>
            <w:r w:rsidRPr="00D534B2">
              <w:rPr>
                <w:vertAlign w:val="superscript"/>
              </w:rPr>
              <w:t>a</w:t>
            </w:r>
          </w:p>
        </w:tc>
        <w:tc>
          <w:tcPr>
            <w:tcW w:w="990" w:type="dxa"/>
            <w:shd w:val="clear" w:color="auto" w:fill="C6D9F1" w:themeFill="text2" w:themeFillTint="33"/>
          </w:tcPr>
          <w:p w:rsidRPr="002E1515" w:rsidR="00F84901" w:rsidP="00D534B2" w:rsidRDefault="00F84901" w14:paraId="66FF7059" w14:textId="77777777">
            <w:pPr>
              <w:jc w:val="center"/>
            </w:pPr>
            <w:r w:rsidRPr="002E1515">
              <w:t>Sample Size</w:t>
            </w:r>
          </w:p>
        </w:tc>
        <w:tc>
          <w:tcPr>
            <w:tcW w:w="1170" w:type="dxa"/>
            <w:shd w:val="clear" w:color="auto" w:fill="C6D9F1" w:themeFill="text2" w:themeFillTint="33"/>
          </w:tcPr>
          <w:p w:rsidRPr="002E1515" w:rsidR="00F84901" w:rsidP="00D534B2" w:rsidRDefault="00F84901" w14:paraId="7085FB11" w14:textId="77777777">
            <w:pPr>
              <w:jc w:val="center"/>
            </w:pPr>
            <w:r w:rsidRPr="002E1515">
              <w:t>Response Rate</w:t>
            </w:r>
          </w:p>
        </w:tc>
      </w:tr>
      <w:tr w:rsidRPr="002E1515" w:rsidR="005C1237" w:rsidTr="00156904" w14:paraId="169FFB5D" w14:textId="77777777">
        <w:tc>
          <w:tcPr>
            <w:tcW w:w="1615" w:type="dxa"/>
            <w:vMerge w:val="restart"/>
          </w:tcPr>
          <w:p w:rsidRPr="002E1515" w:rsidR="005C1237" w:rsidP="005C1237" w:rsidRDefault="005C1237" w14:paraId="47048A3E" w14:textId="77777777">
            <w:r w:rsidRPr="002E1515">
              <w:t>Local Police</w:t>
            </w:r>
          </w:p>
        </w:tc>
        <w:tc>
          <w:tcPr>
            <w:tcW w:w="1350" w:type="dxa"/>
            <w:vAlign w:val="bottom"/>
          </w:tcPr>
          <w:p w:rsidRPr="002E1515" w:rsidR="005C1237" w:rsidP="005C1237" w:rsidRDefault="005C1237" w14:paraId="14385520" w14:textId="77777777">
            <w:r w:rsidRPr="002E1515">
              <w:t>100+</w:t>
            </w:r>
          </w:p>
        </w:tc>
        <w:tc>
          <w:tcPr>
            <w:tcW w:w="990" w:type="dxa"/>
            <w:vAlign w:val="bottom"/>
          </w:tcPr>
          <w:p w:rsidRPr="005C1237" w:rsidR="005C1237" w:rsidP="005C1237" w:rsidRDefault="005C1237" w14:paraId="502675FB" w14:textId="3C1BA204">
            <w:pPr>
              <w:jc w:val="right"/>
            </w:pPr>
            <w:r w:rsidRPr="005C1237">
              <w:rPr>
                <w:color w:val="000000"/>
              </w:rPr>
              <w:t>640</w:t>
            </w:r>
          </w:p>
        </w:tc>
        <w:tc>
          <w:tcPr>
            <w:tcW w:w="1170" w:type="dxa"/>
            <w:vAlign w:val="bottom"/>
          </w:tcPr>
          <w:p w:rsidRPr="005C1237" w:rsidR="005C1237" w:rsidP="005C1237" w:rsidRDefault="005C1237" w14:paraId="6E88F15A" w14:textId="50C612BD">
            <w:pPr>
              <w:jc w:val="right"/>
            </w:pPr>
            <w:r w:rsidRPr="005C1237">
              <w:rPr>
                <w:color w:val="000000"/>
              </w:rPr>
              <w:t>88.4</w:t>
            </w:r>
          </w:p>
        </w:tc>
      </w:tr>
      <w:tr w:rsidRPr="002E1515" w:rsidR="005C1237" w:rsidTr="00156904" w14:paraId="20402A75" w14:textId="77777777">
        <w:tc>
          <w:tcPr>
            <w:tcW w:w="1615" w:type="dxa"/>
            <w:vMerge/>
          </w:tcPr>
          <w:p w:rsidRPr="002E1515" w:rsidR="005C1237" w:rsidP="005C1237" w:rsidRDefault="005C1237" w14:paraId="127AE765" w14:textId="77777777"/>
        </w:tc>
        <w:tc>
          <w:tcPr>
            <w:tcW w:w="1350" w:type="dxa"/>
            <w:vAlign w:val="bottom"/>
          </w:tcPr>
          <w:p w:rsidRPr="002E1515" w:rsidR="005C1237" w:rsidP="005C1237" w:rsidRDefault="005C1237" w14:paraId="100BC18C" w14:textId="6080EB26">
            <w:r w:rsidRPr="002E1515">
              <w:t>50-99</w:t>
            </w:r>
            <w:r w:rsidR="00EE6CE9">
              <w:t>.5</w:t>
            </w:r>
          </w:p>
        </w:tc>
        <w:tc>
          <w:tcPr>
            <w:tcW w:w="990" w:type="dxa"/>
            <w:vAlign w:val="bottom"/>
          </w:tcPr>
          <w:p w:rsidRPr="005C1237" w:rsidR="005C1237" w:rsidP="005C1237" w:rsidRDefault="005C1237" w14:paraId="2E0CBFA6" w14:textId="0B233F82">
            <w:pPr>
              <w:jc w:val="right"/>
            </w:pPr>
            <w:r w:rsidRPr="005C1237">
              <w:rPr>
                <w:color w:val="000000"/>
              </w:rPr>
              <w:t>132</w:t>
            </w:r>
          </w:p>
        </w:tc>
        <w:tc>
          <w:tcPr>
            <w:tcW w:w="1170" w:type="dxa"/>
            <w:vAlign w:val="bottom"/>
          </w:tcPr>
          <w:p w:rsidRPr="005C1237" w:rsidR="005C1237" w:rsidP="005C1237" w:rsidRDefault="005C1237" w14:paraId="3A210817" w14:textId="59C9CBA1">
            <w:pPr>
              <w:jc w:val="right"/>
            </w:pPr>
            <w:r w:rsidRPr="005C1237">
              <w:rPr>
                <w:color w:val="000000"/>
              </w:rPr>
              <w:t>81.8</w:t>
            </w:r>
          </w:p>
        </w:tc>
      </w:tr>
      <w:tr w:rsidRPr="002E1515" w:rsidR="005C1237" w:rsidTr="00156904" w14:paraId="4734C533" w14:textId="77777777">
        <w:tc>
          <w:tcPr>
            <w:tcW w:w="1615" w:type="dxa"/>
            <w:vMerge/>
          </w:tcPr>
          <w:p w:rsidRPr="002E1515" w:rsidR="005C1237" w:rsidP="005C1237" w:rsidRDefault="005C1237" w14:paraId="58A984A6" w14:textId="77777777"/>
        </w:tc>
        <w:tc>
          <w:tcPr>
            <w:tcW w:w="1350" w:type="dxa"/>
            <w:vAlign w:val="bottom"/>
          </w:tcPr>
          <w:p w:rsidRPr="002E1515" w:rsidR="005C1237" w:rsidP="005C1237" w:rsidRDefault="005C1237" w14:paraId="7A52AC58" w14:textId="7C0FED05">
            <w:r w:rsidRPr="002E1515">
              <w:t>25-49</w:t>
            </w:r>
            <w:r w:rsidR="00EE6CE9">
              <w:t>.5</w:t>
            </w:r>
          </w:p>
        </w:tc>
        <w:tc>
          <w:tcPr>
            <w:tcW w:w="990" w:type="dxa"/>
            <w:vAlign w:val="bottom"/>
          </w:tcPr>
          <w:p w:rsidRPr="005C1237" w:rsidR="005C1237" w:rsidP="005C1237" w:rsidRDefault="005C1237" w14:paraId="50AA9637" w14:textId="62481FB6">
            <w:pPr>
              <w:jc w:val="right"/>
            </w:pPr>
            <w:r w:rsidRPr="005C1237">
              <w:rPr>
                <w:color w:val="000000"/>
              </w:rPr>
              <w:t>272</w:t>
            </w:r>
          </w:p>
        </w:tc>
        <w:tc>
          <w:tcPr>
            <w:tcW w:w="1170" w:type="dxa"/>
            <w:vAlign w:val="bottom"/>
          </w:tcPr>
          <w:p w:rsidRPr="005C1237" w:rsidR="005C1237" w:rsidP="005C1237" w:rsidRDefault="005C1237" w14:paraId="3B51ABB3" w14:textId="2D95B9B4">
            <w:pPr>
              <w:jc w:val="right"/>
            </w:pPr>
            <w:r w:rsidRPr="005C1237">
              <w:rPr>
                <w:color w:val="000000"/>
              </w:rPr>
              <w:t>85.3</w:t>
            </w:r>
          </w:p>
        </w:tc>
      </w:tr>
      <w:tr w:rsidRPr="002E1515" w:rsidR="005C1237" w:rsidTr="00156904" w14:paraId="524A76DB" w14:textId="77777777">
        <w:tc>
          <w:tcPr>
            <w:tcW w:w="1615" w:type="dxa"/>
            <w:vMerge/>
          </w:tcPr>
          <w:p w:rsidRPr="002E1515" w:rsidR="005C1237" w:rsidP="005C1237" w:rsidRDefault="005C1237" w14:paraId="4E7E00D4" w14:textId="77777777"/>
        </w:tc>
        <w:tc>
          <w:tcPr>
            <w:tcW w:w="1350" w:type="dxa"/>
            <w:vAlign w:val="bottom"/>
          </w:tcPr>
          <w:p w:rsidRPr="002E1515" w:rsidR="005C1237" w:rsidP="005C1237" w:rsidRDefault="005C1237" w14:paraId="52F2B3E9" w14:textId="768DABFE">
            <w:r w:rsidRPr="002E1515">
              <w:t>10-24</w:t>
            </w:r>
            <w:r w:rsidR="00EE6CE9">
              <w:t>.5</w:t>
            </w:r>
          </w:p>
        </w:tc>
        <w:tc>
          <w:tcPr>
            <w:tcW w:w="990" w:type="dxa"/>
            <w:vAlign w:val="bottom"/>
          </w:tcPr>
          <w:p w:rsidRPr="005C1237" w:rsidR="005C1237" w:rsidP="005C1237" w:rsidRDefault="005C1237" w14:paraId="43ECC4E4" w14:textId="03F57FE2">
            <w:pPr>
              <w:jc w:val="right"/>
            </w:pPr>
            <w:r w:rsidRPr="005C1237">
              <w:rPr>
                <w:color w:val="000000"/>
              </w:rPr>
              <w:t>542</w:t>
            </w:r>
          </w:p>
        </w:tc>
        <w:tc>
          <w:tcPr>
            <w:tcW w:w="1170" w:type="dxa"/>
            <w:vAlign w:val="bottom"/>
          </w:tcPr>
          <w:p w:rsidRPr="005C1237" w:rsidR="005C1237" w:rsidP="005C1237" w:rsidRDefault="005C1237" w14:paraId="6D4A3119" w14:textId="6401FC8A">
            <w:pPr>
              <w:jc w:val="right"/>
            </w:pPr>
            <w:r w:rsidRPr="005C1237">
              <w:rPr>
                <w:color w:val="000000"/>
              </w:rPr>
              <w:t>84.5</w:t>
            </w:r>
          </w:p>
        </w:tc>
      </w:tr>
      <w:tr w:rsidRPr="002E1515" w:rsidR="005C1237" w:rsidTr="00156904" w14:paraId="526588DD" w14:textId="77777777">
        <w:tc>
          <w:tcPr>
            <w:tcW w:w="1615" w:type="dxa"/>
            <w:vMerge/>
          </w:tcPr>
          <w:p w:rsidRPr="002E1515" w:rsidR="005C1237" w:rsidP="005C1237" w:rsidRDefault="005C1237" w14:paraId="0DBE8342" w14:textId="77777777"/>
        </w:tc>
        <w:tc>
          <w:tcPr>
            <w:tcW w:w="1350" w:type="dxa"/>
            <w:vAlign w:val="bottom"/>
          </w:tcPr>
          <w:p w:rsidRPr="002E1515" w:rsidR="005C1237" w:rsidP="005C1237" w:rsidRDefault="005C1237" w14:paraId="60BE2A54" w14:textId="50B1A212">
            <w:r w:rsidRPr="002E1515">
              <w:t>5-9</w:t>
            </w:r>
            <w:r w:rsidR="00EE6CE9">
              <w:t>.5</w:t>
            </w:r>
          </w:p>
        </w:tc>
        <w:tc>
          <w:tcPr>
            <w:tcW w:w="990" w:type="dxa"/>
            <w:vAlign w:val="bottom"/>
          </w:tcPr>
          <w:p w:rsidRPr="005C1237" w:rsidR="005C1237" w:rsidP="005C1237" w:rsidRDefault="005C1237" w14:paraId="7A6AD0EC" w14:textId="7C37B0C1">
            <w:pPr>
              <w:jc w:val="right"/>
            </w:pPr>
            <w:r w:rsidRPr="005C1237">
              <w:rPr>
                <w:color w:val="000000"/>
              </w:rPr>
              <w:t>504</w:t>
            </w:r>
          </w:p>
        </w:tc>
        <w:tc>
          <w:tcPr>
            <w:tcW w:w="1170" w:type="dxa"/>
            <w:vAlign w:val="bottom"/>
          </w:tcPr>
          <w:p w:rsidRPr="005C1237" w:rsidR="005C1237" w:rsidP="005C1237" w:rsidRDefault="005C1237" w14:paraId="6EDDE9F7" w14:textId="3B422548">
            <w:pPr>
              <w:jc w:val="right"/>
            </w:pPr>
            <w:r w:rsidRPr="005C1237">
              <w:rPr>
                <w:color w:val="000000"/>
              </w:rPr>
              <w:t>80.4</w:t>
            </w:r>
          </w:p>
        </w:tc>
      </w:tr>
      <w:tr w:rsidRPr="002E1515" w:rsidR="005C1237" w:rsidTr="00156904" w14:paraId="4AA6B98D" w14:textId="77777777">
        <w:tc>
          <w:tcPr>
            <w:tcW w:w="1615" w:type="dxa"/>
            <w:vMerge/>
          </w:tcPr>
          <w:p w:rsidRPr="002E1515" w:rsidR="005C1237" w:rsidP="005C1237" w:rsidRDefault="005C1237" w14:paraId="1C4061ED" w14:textId="77777777"/>
        </w:tc>
        <w:tc>
          <w:tcPr>
            <w:tcW w:w="1350" w:type="dxa"/>
            <w:vAlign w:val="bottom"/>
          </w:tcPr>
          <w:p w:rsidRPr="002E1515" w:rsidR="005C1237" w:rsidP="005C1237" w:rsidRDefault="005C1237" w14:paraId="6CF97A31" w14:textId="1F7867EF">
            <w:r w:rsidRPr="002E1515">
              <w:t>2-4</w:t>
            </w:r>
            <w:r w:rsidR="00EE6CE9">
              <w:t>.5</w:t>
            </w:r>
          </w:p>
        </w:tc>
        <w:tc>
          <w:tcPr>
            <w:tcW w:w="990" w:type="dxa"/>
            <w:vAlign w:val="bottom"/>
          </w:tcPr>
          <w:p w:rsidRPr="005C1237" w:rsidR="005C1237" w:rsidP="005C1237" w:rsidRDefault="005C1237" w14:paraId="39D19360" w14:textId="7F84CA08">
            <w:pPr>
              <w:jc w:val="right"/>
            </w:pPr>
            <w:r w:rsidRPr="005C1237">
              <w:rPr>
                <w:color w:val="000000"/>
              </w:rPr>
              <w:t>402</w:t>
            </w:r>
          </w:p>
        </w:tc>
        <w:tc>
          <w:tcPr>
            <w:tcW w:w="1170" w:type="dxa"/>
            <w:vAlign w:val="bottom"/>
          </w:tcPr>
          <w:p w:rsidRPr="005C1237" w:rsidR="005C1237" w:rsidP="005C1237" w:rsidRDefault="005C1237" w14:paraId="380FA12B" w14:textId="739D0B40">
            <w:pPr>
              <w:jc w:val="right"/>
            </w:pPr>
            <w:r w:rsidRPr="005C1237">
              <w:rPr>
                <w:color w:val="000000"/>
              </w:rPr>
              <w:t>72.4</w:t>
            </w:r>
          </w:p>
        </w:tc>
      </w:tr>
      <w:tr w:rsidRPr="002E1515" w:rsidR="005C1237" w:rsidTr="00156904" w14:paraId="403D03A6" w14:textId="77777777">
        <w:tc>
          <w:tcPr>
            <w:tcW w:w="1615" w:type="dxa"/>
            <w:vMerge/>
          </w:tcPr>
          <w:p w:rsidRPr="002E1515" w:rsidR="005C1237" w:rsidP="005C1237" w:rsidRDefault="005C1237" w14:paraId="79292246" w14:textId="77777777"/>
        </w:tc>
        <w:tc>
          <w:tcPr>
            <w:tcW w:w="1350" w:type="dxa"/>
            <w:vAlign w:val="bottom"/>
          </w:tcPr>
          <w:p w:rsidRPr="002E1515" w:rsidR="005C1237" w:rsidP="005C1237" w:rsidRDefault="005C1237" w14:paraId="3A14BF48" w14:textId="5D9B9DF2">
            <w:r w:rsidRPr="002E1515">
              <w:t>1</w:t>
            </w:r>
            <w:r w:rsidR="00EE6CE9">
              <w:t>-1.5</w:t>
            </w:r>
          </w:p>
        </w:tc>
        <w:tc>
          <w:tcPr>
            <w:tcW w:w="990" w:type="dxa"/>
            <w:vAlign w:val="bottom"/>
          </w:tcPr>
          <w:p w:rsidRPr="005C1237" w:rsidR="005C1237" w:rsidP="005C1237" w:rsidRDefault="005C1237" w14:paraId="48FAFDB4" w14:textId="244780BB">
            <w:pPr>
              <w:jc w:val="right"/>
            </w:pPr>
            <w:r w:rsidRPr="005C1237">
              <w:rPr>
                <w:color w:val="000000"/>
              </w:rPr>
              <w:t>148</w:t>
            </w:r>
          </w:p>
        </w:tc>
        <w:tc>
          <w:tcPr>
            <w:tcW w:w="1170" w:type="dxa"/>
            <w:vAlign w:val="bottom"/>
          </w:tcPr>
          <w:p w:rsidRPr="005C1237" w:rsidR="005C1237" w:rsidP="005C1237" w:rsidRDefault="005C1237" w14:paraId="5FE3C658" w14:textId="6AC59D1E">
            <w:pPr>
              <w:jc w:val="right"/>
            </w:pPr>
            <w:r w:rsidRPr="005C1237">
              <w:rPr>
                <w:color w:val="000000"/>
              </w:rPr>
              <w:t>64.0</w:t>
            </w:r>
          </w:p>
        </w:tc>
      </w:tr>
      <w:tr w:rsidRPr="002E1515" w:rsidR="00EE6CE9" w:rsidTr="00156904" w14:paraId="36DF18C0" w14:textId="77777777">
        <w:tc>
          <w:tcPr>
            <w:tcW w:w="1615" w:type="dxa"/>
            <w:vMerge w:val="restart"/>
          </w:tcPr>
          <w:p w:rsidRPr="002E1515" w:rsidR="00EE6CE9" w:rsidP="00EE6CE9" w:rsidRDefault="00EE6CE9" w14:paraId="7FC1BD6F" w14:textId="77777777">
            <w:r w:rsidRPr="002E1515">
              <w:t>Sheriff</w:t>
            </w:r>
            <w:r>
              <w:t>’s</w:t>
            </w:r>
            <w:r w:rsidRPr="002E1515">
              <w:t xml:space="preserve"> Office</w:t>
            </w:r>
          </w:p>
        </w:tc>
        <w:tc>
          <w:tcPr>
            <w:tcW w:w="1350" w:type="dxa"/>
            <w:vAlign w:val="bottom"/>
          </w:tcPr>
          <w:p w:rsidRPr="002E1515" w:rsidR="00EE6CE9" w:rsidP="00EE6CE9" w:rsidRDefault="00EE6CE9" w14:paraId="468D4C20" w14:textId="33C5FAC2">
            <w:r w:rsidRPr="002E1515">
              <w:t>100+</w:t>
            </w:r>
          </w:p>
        </w:tc>
        <w:tc>
          <w:tcPr>
            <w:tcW w:w="990" w:type="dxa"/>
            <w:vAlign w:val="bottom"/>
          </w:tcPr>
          <w:p w:rsidRPr="005C1237" w:rsidR="00EE6CE9" w:rsidP="00EE6CE9" w:rsidRDefault="00EE6CE9" w14:paraId="35AE4AC2" w14:textId="5E3AA07B">
            <w:pPr>
              <w:jc w:val="right"/>
            </w:pPr>
            <w:r w:rsidRPr="005C1237">
              <w:rPr>
                <w:color w:val="000000"/>
              </w:rPr>
              <w:t>358</w:t>
            </w:r>
          </w:p>
        </w:tc>
        <w:tc>
          <w:tcPr>
            <w:tcW w:w="1170" w:type="dxa"/>
            <w:vAlign w:val="bottom"/>
          </w:tcPr>
          <w:p w:rsidRPr="005C1237" w:rsidR="00EE6CE9" w:rsidP="00EE6CE9" w:rsidRDefault="00EE6CE9" w14:paraId="7A76B3DD" w14:textId="3A7613B2">
            <w:pPr>
              <w:jc w:val="right"/>
            </w:pPr>
            <w:r w:rsidRPr="005C1237">
              <w:rPr>
                <w:color w:val="000000"/>
              </w:rPr>
              <w:t>75.7</w:t>
            </w:r>
          </w:p>
        </w:tc>
      </w:tr>
      <w:tr w:rsidRPr="002E1515" w:rsidR="00EE6CE9" w:rsidTr="00156904" w14:paraId="3427DF01" w14:textId="77777777">
        <w:tc>
          <w:tcPr>
            <w:tcW w:w="1615" w:type="dxa"/>
            <w:vMerge/>
          </w:tcPr>
          <w:p w:rsidRPr="002E1515" w:rsidR="00EE6CE9" w:rsidP="00EE6CE9" w:rsidRDefault="00EE6CE9" w14:paraId="27C55425" w14:textId="77777777"/>
        </w:tc>
        <w:tc>
          <w:tcPr>
            <w:tcW w:w="1350" w:type="dxa"/>
            <w:vAlign w:val="bottom"/>
          </w:tcPr>
          <w:p w:rsidRPr="002E1515" w:rsidR="00EE6CE9" w:rsidP="00EE6CE9" w:rsidRDefault="00EE6CE9" w14:paraId="5839D37A" w14:textId="4D31AB0F">
            <w:r w:rsidRPr="002E1515">
              <w:t>50-99</w:t>
            </w:r>
            <w:r>
              <w:t>.5</w:t>
            </w:r>
          </w:p>
        </w:tc>
        <w:tc>
          <w:tcPr>
            <w:tcW w:w="990" w:type="dxa"/>
            <w:vAlign w:val="bottom"/>
          </w:tcPr>
          <w:p w:rsidRPr="005C1237" w:rsidR="00EE6CE9" w:rsidP="00EE6CE9" w:rsidRDefault="00EE6CE9" w14:paraId="3D72C676" w14:textId="0A2B66BA">
            <w:pPr>
              <w:jc w:val="right"/>
            </w:pPr>
            <w:r w:rsidRPr="005C1237">
              <w:rPr>
                <w:color w:val="000000"/>
              </w:rPr>
              <w:t>62</w:t>
            </w:r>
          </w:p>
        </w:tc>
        <w:tc>
          <w:tcPr>
            <w:tcW w:w="1170" w:type="dxa"/>
            <w:vAlign w:val="bottom"/>
          </w:tcPr>
          <w:p w:rsidRPr="005C1237" w:rsidR="00EE6CE9" w:rsidP="00EE6CE9" w:rsidRDefault="00EE6CE9" w14:paraId="77348038" w14:textId="5EDE66D6">
            <w:pPr>
              <w:jc w:val="right"/>
            </w:pPr>
            <w:r w:rsidRPr="005C1237">
              <w:rPr>
                <w:color w:val="000000"/>
              </w:rPr>
              <w:t>79.0</w:t>
            </w:r>
          </w:p>
        </w:tc>
      </w:tr>
      <w:tr w:rsidRPr="002E1515" w:rsidR="00EE6CE9" w:rsidTr="00156904" w14:paraId="6E5ADB0E" w14:textId="77777777">
        <w:tc>
          <w:tcPr>
            <w:tcW w:w="1615" w:type="dxa"/>
            <w:vMerge/>
          </w:tcPr>
          <w:p w:rsidRPr="002E1515" w:rsidR="00EE6CE9" w:rsidP="00EE6CE9" w:rsidRDefault="00EE6CE9" w14:paraId="78A2EA2C" w14:textId="77777777"/>
        </w:tc>
        <w:tc>
          <w:tcPr>
            <w:tcW w:w="1350" w:type="dxa"/>
            <w:vAlign w:val="bottom"/>
          </w:tcPr>
          <w:p w:rsidRPr="002E1515" w:rsidR="00EE6CE9" w:rsidP="00EE6CE9" w:rsidRDefault="00EE6CE9" w14:paraId="1CFE9EC3" w14:textId="0A237993">
            <w:r w:rsidRPr="002E1515">
              <w:t>25-49</w:t>
            </w:r>
            <w:r>
              <w:t>.5</w:t>
            </w:r>
          </w:p>
        </w:tc>
        <w:tc>
          <w:tcPr>
            <w:tcW w:w="990" w:type="dxa"/>
            <w:vAlign w:val="bottom"/>
          </w:tcPr>
          <w:p w:rsidRPr="005C1237" w:rsidR="00EE6CE9" w:rsidP="00EE6CE9" w:rsidRDefault="00EE6CE9" w14:paraId="6F1D4D38" w14:textId="3E10B175">
            <w:pPr>
              <w:jc w:val="right"/>
            </w:pPr>
            <w:r w:rsidRPr="005C1237">
              <w:rPr>
                <w:color w:val="000000"/>
              </w:rPr>
              <w:t>99</w:t>
            </w:r>
          </w:p>
        </w:tc>
        <w:tc>
          <w:tcPr>
            <w:tcW w:w="1170" w:type="dxa"/>
            <w:vAlign w:val="bottom"/>
          </w:tcPr>
          <w:p w:rsidRPr="005C1237" w:rsidR="00EE6CE9" w:rsidP="00EE6CE9" w:rsidRDefault="00EE6CE9" w14:paraId="522847E4" w14:textId="151BF96F">
            <w:pPr>
              <w:jc w:val="right"/>
            </w:pPr>
            <w:r w:rsidRPr="005C1237">
              <w:rPr>
                <w:color w:val="000000"/>
              </w:rPr>
              <w:t>79.8</w:t>
            </w:r>
          </w:p>
        </w:tc>
      </w:tr>
      <w:tr w:rsidRPr="002E1515" w:rsidR="00EE6CE9" w:rsidTr="00156904" w14:paraId="4C7A247F" w14:textId="77777777">
        <w:tc>
          <w:tcPr>
            <w:tcW w:w="1615" w:type="dxa"/>
            <w:vMerge/>
          </w:tcPr>
          <w:p w:rsidRPr="002E1515" w:rsidR="00EE6CE9" w:rsidP="00EE6CE9" w:rsidRDefault="00EE6CE9" w14:paraId="2E929123" w14:textId="77777777"/>
        </w:tc>
        <w:tc>
          <w:tcPr>
            <w:tcW w:w="1350" w:type="dxa"/>
            <w:vAlign w:val="bottom"/>
          </w:tcPr>
          <w:p w:rsidRPr="002E1515" w:rsidR="00EE6CE9" w:rsidP="00EE6CE9" w:rsidRDefault="00EE6CE9" w14:paraId="47D6B8AB" w14:textId="0DFBB713">
            <w:r w:rsidRPr="002E1515">
              <w:t>10-24</w:t>
            </w:r>
            <w:r>
              <w:t>.5</w:t>
            </w:r>
          </w:p>
        </w:tc>
        <w:tc>
          <w:tcPr>
            <w:tcW w:w="990" w:type="dxa"/>
            <w:vAlign w:val="bottom"/>
          </w:tcPr>
          <w:p w:rsidRPr="005C1237" w:rsidR="00EE6CE9" w:rsidP="00EE6CE9" w:rsidRDefault="00EE6CE9" w14:paraId="13774081" w14:textId="21749EB6">
            <w:pPr>
              <w:jc w:val="right"/>
            </w:pPr>
            <w:r w:rsidRPr="005C1237">
              <w:rPr>
                <w:color w:val="000000"/>
              </w:rPr>
              <w:t>159</w:t>
            </w:r>
          </w:p>
        </w:tc>
        <w:tc>
          <w:tcPr>
            <w:tcW w:w="1170" w:type="dxa"/>
            <w:vAlign w:val="bottom"/>
          </w:tcPr>
          <w:p w:rsidRPr="005C1237" w:rsidR="00EE6CE9" w:rsidP="00EE6CE9" w:rsidRDefault="00EE6CE9" w14:paraId="60F25A2C" w14:textId="6D3CDB0F">
            <w:pPr>
              <w:jc w:val="right"/>
            </w:pPr>
            <w:r w:rsidRPr="005C1237">
              <w:rPr>
                <w:color w:val="000000"/>
              </w:rPr>
              <w:t>66.7</w:t>
            </w:r>
          </w:p>
        </w:tc>
      </w:tr>
      <w:tr w:rsidRPr="002E1515" w:rsidR="00EE6CE9" w:rsidTr="00156904" w14:paraId="54C06D80" w14:textId="77777777">
        <w:tc>
          <w:tcPr>
            <w:tcW w:w="1615" w:type="dxa"/>
            <w:vMerge/>
          </w:tcPr>
          <w:p w:rsidRPr="002E1515" w:rsidR="00EE6CE9" w:rsidP="00EE6CE9" w:rsidRDefault="00EE6CE9" w14:paraId="04D7062A" w14:textId="77777777"/>
        </w:tc>
        <w:tc>
          <w:tcPr>
            <w:tcW w:w="1350" w:type="dxa"/>
            <w:vAlign w:val="bottom"/>
          </w:tcPr>
          <w:p w:rsidRPr="002E1515" w:rsidR="00EE6CE9" w:rsidP="00EE6CE9" w:rsidRDefault="00EE6CE9" w14:paraId="48142D8F" w14:textId="0CAB1000">
            <w:r w:rsidRPr="002E1515">
              <w:t>5-9</w:t>
            </w:r>
            <w:r>
              <w:t>.5</w:t>
            </w:r>
          </w:p>
        </w:tc>
        <w:tc>
          <w:tcPr>
            <w:tcW w:w="990" w:type="dxa"/>
            <w:vAlign w:val="bottom"/>
          </w:tcPr>
          <w:p w:rsidRPr="005C1237" w:rsidR="00EE6CE9" w:rsidP="00EE6CE9" w:rsidRDefault="00EE6CE9" w14:paraId="4924988C" w14:textId="11F9715B">
            <w:pPr>
              <w:jc w:val="right"/>
            </w:pPr>
            <w:r w:rsidRPr="005C1237">
              <w:rPr>
                <w:color w:val="000000"/>
              </w:rPr>
              <w:t>90</w:t>
            </w:r>
          </w:p>
        </w:tc>
        <w:tc>
          <w:tcPr>
            <w:tcW w:w="1170" w:type="dxa"/>
            <w:vAlign w:val="bottom"/>
          </w:tcPr>
          <w:p w:rsidRPr="005C1237" w:rsidR="00EE6CE9" w:rsidP="00EE6CE9" w:rsidRDefault="00EE6CE9" w14:paraId="1BFD0548" w14:textId="52ACB014">
            <w:pPr>
              <w:jc w:val="right"/>
            </w:pPr>
            <w:r w:rsidRPr="005C1237">
              <w:rPr>
                <w:color w:val="000000"/>
              </w:rPr>
              <w:t>76.7</w:t>
            </w:r>
          </w:p>
        </w:tc>
      </w:tr>
      <w:tr w:rsidRPr="002E1515" w:rsidR="00EE6CE9" w:rsidTr="00156904" w14:paraId="1419D054" w14:textId="77777777">
        <w:tc>
          <w:tcPr>
            <w:tcW w:w="1615" w:type="dxa"/>
            <w:vMerge/>
          </w:tcPr>
          <w:p w:rsidRPr="002E1515" w:rsidR="00EE6CE9" w:rsidP="00EE6CE9" w:rsidRDefault="00EE6CE9" w14:paraId="7535B93D" w14:textId="77777777"/>
        </w:tc>
        <w:tc>
          <w:tcPr>
            <w:tcW w:w="1350" w:type="dxa"/>
            <w:vAlign w:val="bottom"/>
          </w:tcPr>
          <w:p w:rsidRPr="002E1515" w:rsidR="00EE6CE9" w:rsidP="00EE6CE9" w:rsidRDefault="00EE6CE9" w14:paraId="29104F06" w14:textId="1991770A">
            <w:r w:rsidRPr="002E1515">
              <w:t>2-4</w:t>
            </w:r>
            <w:r>
              <w:t>.5</w:t>
            </w:r>
          </w:p>
        </w:tc>
        <w:tc>
          <w:tcPr>
            <w:tcW w:w="990" w:type="dxa"/>
            <w:vAlign w:val="bottom"/>
          </w:tcPr>
          <w:p w:rsidRPr="005C1237" w:rsidR="00EE6CE9" w:rsidP="00EE6CE9" w:rsidRDefault="00EE6CE9" w14:paraId="71B46860" w14:textId="297E5D3E">
            <w:pPr>
              <w:jc w:val="right"/>
            </w:pPr>
            <w:r w:rsidRPr="005C1237">
              <w:rPr>
                <w:color w:val="000000"/>
              </w:rPr>
              <w:t>38</w:t>
            </w:r>
          </w:p>
        </w:tc>
        <w:tc>
          <w:tcPr>
            <w:tcW w:w="1170" w:type="dxa"/>
            <w:vAlign w:val="bottom"/>
          </w:tcPr>
          <w:p w:rsidRPr="005C1237" w:rsidR="00EE6CE9" w:rsidP="00EE6CE9" w:rsidRDefault="00EE6CE9" w14:paraId="31152ADB" w14:textId="45EBE32E">
            <w:pPr>
              <w:jc w:val="right"/>
            </w:pPr>
            <w:r w:rsidRPr="005C1237">
              <w:rPr>
                <w:color w:val="000000"/>
              </w:rPr>
              <w:t>63.2</w:t>
            </w:r>
          </w:p>
        </w:tc>
      </w:tr>
      <w:tr w:rsidRPr="002E1515" w:rsidR="00EE6CE9" w:rsidTr="00156904" w14:paraId="0A0A3CD0" w14:textId="77777777">
        <w:tc>
          <w:tcPr>
            <w:tcW w:w="1615" w:type="dxa"/>
            <w:vMerge/>
          </w:tcPr>
          <w:p w:rsidRPr="002E1515" w:rsidR="00EE6CE9" w:rsidP="00EE6CE9" w:rsidRDefault="00EE6CE9" w14:paraId="3D59E5E8" w14:textId="77777777"/>
        </w:tc>
        <w:tc>
          <w:tcPr>
            <w:tcW w:w="1350" w:type="dxa"/>
            <w:vAlign w:val="bottom"/>
          </w:tcPr>
          <w:p w:rsidRPr="002E1515" w:rsidR="00EE6CE9" w:rsidP="00EE6CE9" w:rsidRDefault="00EE6CE9" w14:paraId="3CD5C262" w14:textId="7C908675">
            <w:r w:rsidRPr="002E1515">
              <w:t>1</w:t>
            </w:r>
            <w:r>
              <w:t>-1.5</w:t>
            </w:r>
          </w:p>
        </w:tc>
        <w:tc>
          <w:tcPr>
            <w:tcW w:w="990" w:type="dxa"/>
            <w:vAlign w:val="bottom"/>
          </w:tcPr>
          <w:p w:rsidRPr="005C1237" w:rsidR="00EE6CE9" w:rsidP="00EE6CE9" w:rsidRDefault="00EE6CE9" w14:paraId="6F8EFFEB" w14:textId="6FCBDB4D">
            <w:pPr>
              <w:jc w:val="right"/>
            </w:pPr>
            <w:r w:rsidRPr="005C1237">
              <w:rPr>
                <w:color w:val="000000"/>
              </w:rPr>
              <w:t>4</w:t>
            </w:r>
          </w:p>
        </w:tc>
        <w:tc>
          <w:tcPr>
            <w:tcW w:w="1170" w:type="dxa"/>
            <w:vAlign w:val="bottom"/>
          </w:tcPr>
          <w:p w:rsidRPr="005C1237" w:rsidR="00EE6CE9" w:rsidP="00EE6CE9" w:rsidRDefault="00EE6CE9" w14:paraId="5BFCBDCD" w14:textId="0577357B">
            <w:pPr>
              <w:jc w:val="right"/>
            </w:pPr>
            <w:r w:rsidRPr="005C1237">
              <w:rPr>
                <w:color w:val="000000"/>
              </w:rPr>
              <w:t>50.0</w:t>
            </w:r>
          </w:p>
        </w:tc>
      </w:tr>
      <w:tr w:rsidRPr="002E1515" w:rsidR="005C1237" w:rsidTr="00156904" w14:paraId="74C0D845" w14:textId="77777777">
        <w:tc>
          <w:tcPr>
            <w:tcW w:w="1615" w:type="dxa"/>
          </w:tcPr>
          <w:p w:rsidRPr="002E1515" w:rsidR="005C1237" w:rsidP="005C1237" w:rsidRDefault="005C1237" w14:paraId="45CBBB26" w14:textId="77777777">
            <w:r w:rsidRPr="002E1515">
              <w:t>State</w:t>
            </w:r>
          </w:p>
        </w:tc>
        <w:tc>
          <w:tcPr>
            <w:tcW w:w="1350" w:type="dxa"/>
          </w:tcPr>
          <w:p w:rsidRPr="002E1515" w:rsidR="005C1237" w:rsidP="005C1237" w:rsidRDefault="005C1237" w14:paraId="33D77480" w14:textId="77777777">
            <w:r w:rsidRPr="002E1515">
              <w:t>All</w:t>
            </w:r>
          </w:p>
        </w:tc>
        <w:tc>
          <w:tcPr>
            <w:tcW w:w="990" w:type="dxa"/>
            <w:vAlign w:val="bottom"/>
          </w:tcPr>
          <w:p w:rsidRPr="005C1237" w:rsidR="005C1237" w:rsidP="005C1237" w:rsidRDefault="005C1237" w14:paraId="6B9D2837" w14:textId="7AA9199F">
            <w:pPr>
              <w:jc w:val="right"/>
            </w:pPr>
            <w:r w:rsidRPr="005C1237">
              <w:rPr>
                <w:color w:val="000000"/>
              </w:rPr>
              <w:t>49</w:t>
            </w:r>
          </w:p>
        </w:tc>
        <w:tc>
          <w:tcPr>
            <w:tcW w:w="1170" w:type="dxa"/>
            <w:vAlign w:val="bottom"/>
          </w:tcPr>
          <w:p w:rsidRPr="005C1237" w:rsidR="005C1237" w:rsidP="005C1237" w:rsidRDefault="005C1237" w14:paraId="071CBE65" w14:textId="494B5406">
            <w:pPr>
              <w:jc w:val="right"/>
            </w:pPr>
            <w:r w:rsidRPr="005C1237">
              <w:rPr>
                <w:color w:val="000000"/>
              </w:rPr>
              <w:t>89.8</w:t>
            </w:r>
          </w:p>
        </w:tc>
      </w:tr>
    </w:tbl>
    <w:p w:rsidRPr="00D534B2" w:rsidR="00F84901" w:rsidP="00156904" w:rsidRDefault="0037297B" w14:paraId="2535B605" w14:textId="762480D6">
      <w:pPr>
        <w:pStyle w:val="SP-SglSpPara"/>
        <w:ind w:firstLine="0"/>
        <w:jc w:val="left"/>
        <w:rPr>
          <w:sz w:val="20"/>
        </w:rPr>
      </w:pPr>
      <w:r w:rsidRPr="00C06CDB">
        <w:rPr>
          <w:vertAlign w:val="superscript"/>
        </w:rPr>
        <w:t>a</w:t>
      </w:r>
      <w:r>
        <w:rPr>
          <w:vertAlign w:val="superscript"/>
        </w:rPr>
        <w:t xml:space="preserve"> </w:t>
      </w:r>
      <w:r w:rsidRPr="00D534B2">
        <w:rPr>
          <w:sz w:val="20"/>
        </w:rPr>
        <w:t xml:space="preserve">Number of </w:t>
      </w:r>
      <w:r w:rsidR="007D45D3">
        <w:rPr>
          <w:sz w:val="20"/>
        </w:rPr>
        <w:t>full-time</w:t>
      </w:r>
      <w:r w:rsidR="00EE6CE9">
        <w:rPr>
          <w:sz w:val="20"/>
        </w:rPr>
        <w:t xml:space="preserve"> equivalent</w:t>
      </w:r>
      <w:r w:rsidR="007D45D3">
        <w:rPr>
          <w:sz w:val="20"/>
        </w:rPr>
        <w:t xml:space="preserve"> sworn</w:t>
      </w:r>
      <w:r w:rsidRPr="00D534B2" w:rsidR="007D45D3">
        <w:rPr>
          <w:sz w:val="20"/>
        </w:rPr>
        <w:t xml:space="preserve"> </w:t>
      </w:r>
      <w:r w:rsidRPr="00D534B2">
        <w:rPr>
          <w:sz w:val="20"/>
        </w:rPr>
        <w:t>officers</w:t>
      </w:r>
      <w:r w:rsidR="007D45D3">
        <w:rPr>
          <w:sz w:val="20"/>
        </w:rPr>
        <w:t>.</w:t>
      </w:r>
    </w:p>
    <w:p w:rsidR="0000409E" w:rsidP="007D45D3" w:rsidRDefault="0000409E" w14:paraId="76FA676B" w14:textId="77777777">
      <w:bookmarkStart w:name="_Ref433185524" w:id="0"/>
    </w:p>
    <w:p w:rsidRPr="002E1515" w:rsidR="007D45D3" w:rsidP="007D45D3" w:rsidRDefault="007D45D3" w14:paraId="19E995A4" w14:textId="7E426CED">
      <w:r>
        <w:t>Past experience</w:t>
      </w:r>
      <w:r w:rsidR="00475BE7">
        <w:t xml:space="preserve"> with the administration of the</w:t>
      </w:r>
      <w:r>
        <w:t xml:space="preserve"> LEMAS</w:t>
      </w:r>
      <w:r w:rsidRPr="002E1515">
        <w:t xml:space="preserve"> suggest</w:t>
      </w:r>
      <w:r w:rsidR="00475BE7">
        <w:t>s</w:t>
      </w:r>
      <w:r w:rsidRPr="002E1515">
        <w:t xml:space="preserve"> that response rates will be lower among smaller agencies and </w:t>
      </w:r>
      <w:r w:rsidR="00475BE7">
        <w:t>sheriff’s offices</w:t>
      </w:r>
      <w:r w:rsidRPr="002E1515">
        <w:t xml:space="preserve">. </w:t>
      </w:r>
      <w:r>
        <w:t>L</w:t>
      </w:r>
      <w:r w:rsidRPr="002E1515">
        <w:t>ower response rate</w:t>
      </w:r>
      <w:r>
        <w:t>s</w:t>
      </w:r>
      <w:r w:rsidRPr="002E1515">
        <w:t xml:space="preserve"> </w:t>
      </w:r>
      <w:r>
        <w:t xml:space="preserve">and differential response rates are recognized </w:t>
      </w:r>
      <w:r w:rsidRPr="002E1515">
        <w:t xml:space="preserve">as potential </w:t>
      </w:r>
      <w:r w:rsidR="00475BE7">
        <w:t xml:space="preserve">threats to the reliability of </w:t>
      </w:r>
      <w:r>
        <w:t xml:space="preserve">the </w:t>
      </w:r>
      <w:r w:rsidR="007D71DA">
        <w:t>2020</w:t>
      </w:r>
      <w:r>
        <w:t xml:space="preserve"> LEMAS</w:t>
      </w:r>
      <w:r w:rsidR="00475BE7">
        <w:t>;</w:t>
      </w:r>
      <w:r w:rsidRPr="002E1515">
        <w:t xml:space="preserve"> </w:t>
      </w:r>
      <w:r w:rsidR="00475BE7">
        <w:t>several</w:t>
      </w:r>
      <w:r w:rsidRPr="002E1515" w:rsidR="00475BE7">
        <w:t xml:space="preserve"> </w:t>
      </w:r>
      <w:r>
        <w:t xml:space="preserve">steps </w:t>
      </w:r>
      <w:r w:rsidRPr="002E1515">
        <w:t xml:space="preserve">will </w:t>
      </w:r>
      <w:r>
        <w:lastRenderedPageBreak/>
        <w:t xml:space="preserve">be </w:t>
      </w:r>
      <w:r w:rsidRPr="002E1515">
        <w:t>take</w:t>
      </w:r>
      <w:r>
        <w:t>n</w:t>
      </w:r>
      <w:r w:rsidRPr="002E1515">
        <w:t xml:space="preserve"> to identify and </w:t>
      </w:r>
      <w:r w:rsidR="00AB307C">
        <w:t>correct</w:t>
      </w:r>
      <w:r w:rsidRPr="002E1515" w:rsidR="00AB307C">
        <w:t xml:space="preserve"> </w:t>
      </w:r>
      <w:r w:rsidRPr="002E1515">
        <w:t xml:space="preserve">any issues caused by </w:t>
      </w:r>
      <w:r>
        <w:t>such an occurrence</w:t>
      </w:r>
      <w:r w:rsidRPr="002E1515">
        <w:t>. First, test</w:t>
      </w:r>
      <w:r>
        <w:t>s</w:t>
      </w:r>
      <w:r w:rsidRPr="002E1515">
        <w:t xml:space="preserve"> for potential bias in response </w:t>
      </w:r>
      <w:r>
        <w:t xml:space="preserve">will be performed </w:t>
      </w:r>
      <w:r w:rsidRPr="002E1515">
        <w:t>by comparing agencies on known characteristics</w:t>
      </w:r>
      <w:r>
        <w:t>,</w:t>
      </w:r>
      <w:r w:rsidRPr="002E1515">
        <w:t xml:space="preserve"> including agency size, </w:t>
      </w:r>
      <w:r w:rsidR="00C53F09">
        <w:t xml:space="preserve">and </w:t>
      </w:r>
      <w:r w:rsidRPr="002E1515">
        <w:t xml:space="preserve">type. </w:t>
      </w:r>
      <w:bookmarkStart w:name="_GoBack" w:id="1"/>
      <w:bookmarkEnd w:id="1"/>
      <w:r w:rsidRPr="002E1515">
        <w:t xml:space="preserve">Second, the likelihood of potential bias </w:t>
      </w:r>
      <w:r>
        <w:t xml:space="preserve">will be reduced </w:t>
      </w:r>
      <w:r w:rsidRPr="002E1515">
        <w:t>through nonresponse adjustments</w:t>
      </w:r>
      <w:r w:rsidR="00475BE7">
        <w:t xml:space="preserve"> (</w:t>
      </w:r>
      <w:r w:rsidRPr="002E1515">
        <w:t xml:space="preserve">discussed </w:t>
      </w:r>
      <w:r w:rsidRPr="00D534B2">
        <w:t xml:space="preserve">in </w:t>
      </w:r>
      <w:r w:rsidR="00AB307C">
        <w:t>Section 3</w:t>
      </w:r>
      <w:r w:rsidR="00475BE7">
        <w:t>)</w:t>
      </w:r>
      <w:r>
        <w:t xml:space="preserve">. The goal of this survey is to have unbiased estimates that can be obtained with lower response rates with the proper adjustments. </w:t>
      </w:r>
      <w:r w:rsidRPr="002E1515">
        <w:rPr>
          <w:b/>
        </w:rPr>
        <w:t>Table 2</w:t>
      </w:r>
      <w:r>
        <w:t xml:space="preserve"> </w:t>
      </w:r>
      <w:r w:rsidRPr="00B62B62">
        <w:t xml:space="preserve">presents the assumed response rates for the </w:t>
      </w:r>
      <w:r w:rsidR="007D71DA">
        <w:t>2020</w:t>
      </w:r>
      <w:r>
        <w:t xml:space="preserve"> LEMAS</w:t>
      </w:r>
      <w:r w:rsidRPr="00B62B62">
        <w:t>.</w:t>
      </w:r>
    </w:p>
    <w:p w:rsidR="007D45D3" w:rsidP="00156904" w:rsidRDefault="007D45D3" w14:paraId="311E6F66" w14:textId="77777777">
      <w:pPr>
        <w:keepNext/>
        <w:keepLines/>
        <w:spacing w:after="200"/>
        <w:rPr>
          <w:rFonts w:eastAsia="Calibri"/>
          <w:b/>
          <w:bCs/>
        </w:rPr>
      </w:pPr>
    </w:p>
    <w:p w:rsidRPr="008A2D7A" w:rsidR="00F84901" w:rsidP="00D534B2" w:rsidRDefault="00F84901" w14:paraId="77A46615" w14:textId="4629E953">
      <w:pPr>
        <w:keepNext/>
        <w:keepLines/>
        <w:spacing w:after="200"/>
        <w:rPr>
          <w:rFonts w:eastAsia="Calibri"/>
          <w:b/>
          <w:bCs/>
          <w:i/>
          <w:iCs/>
          <w:color w:val="1F497D"/>
        </w:rPr>
      </w:pPr>
      <w:bookmarkStart w:name="_Ref442686135" w:id="2"/>
      <w:r w:rsidRPr="008A2D7A">
        <w:rPr>
          <w:rFonts w:eastAsia="Calibri"/>
          <w:b/>
          <w:bCs/>
        </w:rPr>
        <w:t xml:space="preserve">Table </w:t>
      </w:r>
      <w:r w:rsidRPr="008A2D7A">
        <w:rPr>
          <w:rFonts w:eastAsia="Calibri"/>
          <w:b/>
          <w:bCs/>
        </w:rPr>
        <w:fldChar w:fldCharType="begin"/>
      </w:r>
      <w:r w:rsidRPr="008A2D7A">
        <w:rPr>
          <w:rFonts w:eastAsia="Calibri"/>
          <w:b/>
          <w:bCs/>
        </w:rPr>
        <w:instrText xml:space="preserve"> SEQ Table \* ARABIC </w:instrText>
      </w:r>
      <w:r w:rsidRPr="008A2D7A">
        <w:rPr>
          <w:rFonts w:eastAsia="Calibri"/>
          <w:b/>
          <w:bCs/>
        </w:rPr>
        <w:fldChar w:fldCharType="separate"/>
      </w:r>
      <w:r w:rsidR="00F0381A">
        <w:rPr>
          <w:rFonts w:eastAsia="Calibri"/>
          <w:b/>
          <w:bCs/>
          <w:noProof/>
        </w:rPr>
        <w:t>2</w:t>
      </w:r>
      <w:r w:rsidRPr="008A2D7A">
        <w:rPr>
          <w:rFonts w:eastAsia="Calibri"/>
          <w:b/>
          <w:bCs/>
        </w:rPr>
        <w:fldChar w:fldCharType="end"/>
      </w:r>
      <w:bookmarkEnd w:id="0"/>
      <w:bookmarkEnd w:id="2"/>
      <w:r w:rsidR="00DD5DDC">
        <w:rPr>
          <w:rFonts w:eastAsia="Calibri"/>
          <w:b/>
          <w:bCs/>
        </w:rPr>
        <w:t>: Assumed r</w:t>
      </w:r>
      <w:r w:rsidRPr="008A2D7A">
        <w:rPr>
          <w:rFonts w:eastAsia="Calibri"/>
          <w:b/>
          <w:bCs/>
        </w:rPr>
        <w:t xml:space="preserve">esponse </w:t>
      </w:r>
      <w:r w:rsidR="00DD5DDC">
        <w:rPr>
          <w:rFonts w:eastAsia="Calibri"/>
          <w:b/>
          <w:bCs/>
        </w:rPr>
        <w:t>r</w:t>
      </w:r>
      <w:r w:rsidRPr="008A2D7A">
        <w:rPr>
          <w:rFonts w:eastAsia="Calibri"/>
          <w:b/>
          <w:bCs/>
        </w:rPr>
        <w:t>ates</w:t>
      </w:r>
      <w:r w:rsidR="007D45D3">
        <w:rPr>
          <w:rFonts w:eastAsia="Calibri"/>
          <w:b/>
          <w:bCs/>
        </w:rPr>
        <w:t xml:space="preserve"> for the </w:t>
      </w:r>
      <w:r w:rsidR="007D71DA">
        <w:rPr>
          <w:rFonts w:eastAsia="Calibri"/>
          <w:b/>
          <w:bCs/>
        </w:rPr>
        <w:t>2020</w:t>
      </w:r>
      <w:r w:rsidR="007D45D3">
        <w:rPr>
          <w:rFonts w:eastAsia="Calibri"/>
          <w:b/>
          <w:bCs/>
        </w:rPr>
        <w:t xml:space="preserve"> LEMAS</w:t>
      </w:r>
      <w:r w:rsidR="0037297B">
        <w:rPr>
          <w:rFonts w:eastAsia="Calibri"/>
          <w:b/>
          <w:bCs/>
        </w:rPr>
        <w:t>,</w:t>
      </w:r>
      <w:r w:rsidRPr="008A2D7A">
        <w:rPr>
          <w:rFonts w:eastAsia="Calibri"/>
          <w:b/>
          <w:bCs/>
        </w:rPr>
        <w:t xml:space="preserve"> by </w:t>
      </w:r>
      <w:r w:rsidR="00DD5DDC">
        <w:rPr>
          <w:rFonts w:eastAsia="Calibri"/>
          <w:b/>
          <w:bCs/>
        </w:rPr>
        <w:t>agency t</w:t>
      </w:r>
      <w:r w:rsidRPr="008A2D7A">
        <w:rPr>
          <w:rFonts w:eastAsia="Calibri"/>
          <w:b/>
          <w:bCs/>
        </w:rPr>
        <w:t xml:space="preserve">ype and </w:t>
      </w:r>
      <w:r w:rsidR="00DD5DDC">
        <w:rPr>
          <w:rFonts w:eastAsia="Calibri"/>
          <w:b/>
          <w:bCs/>
        </w:rPr>
        <w:t>self-representation s</w:t>
      </w:r>
      <w:r w:rsidR="0037297B">
        <w:rPr>
          <w:rFonts w:eastAsia="Calibri"/>
          <w:b/>
          <w:bCs/>
        </w:rPr>
        <w:t>tatus</w:t>
      </w:r>
    </w:p>
    <w:tbl>
      <w:tblPr>
        <w:tblStyle w:val="TableGrid1"/>
        <w:tblW w:w="0" w:type="auto"/>
        <w:tblLook w:val="04A0" w:firstRow="1" w:lastRow="0" w:firstColumn="1" w:lastColumn="0" w:noHBand="0" w:noVBand="1"/>
      </w:tblPr>
      <w:tblGrid>
        <w:gridCol w:w="3116"/>
        <w:gridCol w:w="3117"/>
        <w:gridCol w:w="3117"/>
      </w:tblGrid>
      <w:tr w:rsidRPr="008A2D7A" w:rsidR="00F84901" w:rsidTr="00830786" w14:paraId="17DF7890" w14:textId="77777777">
        <w:trPr>
          <w:tblHeader/>
        </w:trPr>
        <w:tc>
          <w:tcPr>
            <w:tcW w:w="3116" w:type="dxa"/>
            <w:shd w:val="clear" w:color="auto" w:fill="C6D9F1" w:themeFill="text2" w:themeFillTint="33"/>
          </w:tcPr>
          <w:p w:rsidRPr="008A2D7A" w:rsidR="00F84901" w:rsidP="00F84901" w:rsidRDefault="00F84901" w14:paraId="78ED1F26" w14:textId="77777777">
            <w:pPr>
              <w:keepNext/>
              <w:keepLines/>
            </w:pPr>
            <w:r w:rsidRPr="008A2D7A">
              <w:t>Agency Type</w:t>
            </w:r>
          </w:p>
        </w:tc>
        <w:tc>
          <w:tcPr>
            <w:tcW w:w="3117" w:type="dxa"/>
            <w:shd w:val="clear" w:color="auto" w:fill="C6D9F1" w:themeFill="text2" w:themeFillTint="33"/>
          </w:tcPr>
          <w:p w:rsidRPr="008A2D7A" w:rsidR="00F84901" w:rsidP="00D534B2" w:rsidRDefault="0037297B" w14:paraId="3BD0E7D2" w14:textId="301F8198">
            <w:pPr>
              <w:keepNext/>
              <w:keepLines/>
            </w:pPr>
            <w:r>
              <w:t>Self-</w:t>
            </w:r>
            <w:r w:rsidR="00D95EEE">
              <w:t>R</w:t>
            </w:r>
            <w:r>
              <w:t>epresentation Status</w:t>
            </w:r>
          </w:p>
        </w:tc>
        <w:tc>
          <w:tcPr>
            <w:tcW w:w="3117" w:type="dxa"/>
            <w:shd w:val="clear" w:color="auto" w:fill="C6D9F1" w:themeFill="text2" w:themeFillTint="33"/>
          </w:tcPr>
          <w:p w:rsidRPr="008A2D7A" w:rsidR="00F84901" w:rsidP="00F84901" w:rsidRDefault="00F84901" w14:paraId="585A363C" w14:textId="77777777">
            <w:pPr>
              <w:keepNext/>
              <w:keepLines/>
            </w:pPr>
            <w:r w:rsidRPr="008A2D7A">
              <w:t>Response Rate</w:t>
            </w:r>
          </w:p>
        </w:tc>
      </w:tr>
      <w:tr w:rsidRPr="008A2D7A" w:rsidR="00F84901" w:rsidTr="00F84901" w14:paraId="5678BD29" w14:textId="77777777">
        <w:tc>
          <w:tcPr>
            <w:tcW w:w="3116" w:type="dxa"/>
          </w:tcPr>
          <w:p w:rsidRPr="008A2D7A" w:rsidR="00F84901" w:rsidP="00F84901" w:rsidRDefault="00F84901" w14:paraId="7320DAD7" w14:textId="77777777">
            <w:pPr>
              <w:keepNext/>
              <w:keepLines/>
            </w:pPr>
            <w:r w:rsidRPr="008A2D7A">
              <w:t>Local Police</w:t>
            </w:r>
          </w:p>
        </w:tc>
        <w:tc>
          <w:tcPr>
            <w:tcW w:w="3117" w:type="dxa"/>
          </w:tcPr>
          <w:p w:rsidRPr="008A2D7A" w:rsidR="00F84901" w:rsidP="00F84901" w:rsidRDefault="00F84901" w14:paraId="4E786297" w14:textId="77777777">
            <w:pPr>
              <w:keepNext/>
              <w:keepLines/>
            </w:pPr>
            <w:r w:rsidRPr="008A2D7A">
              <w:t>Self-representing</w:t>
            </w:r>
          </w:p>
        </w:tc>
        <w:tc>
          <w:tcPr>
            <w:tcW w:w="3117" w:type="dxa"/>
          </w:tcPr>
          <w:p w:rsidRPr="008A2D7A" w:rsidR="00F84901" w:rsidP="00F84901" w:rsidRDefault="00F84901" w14:paraId="7B6B17B0" w14:textId="43BB6D6C">
            <w:pPr>
              <w:keepNext/>
              <w:keepLines/>
            </w:pPr>
            <w:r w:rsidRPr="008A2D7A">
              <w:t>9</w:t>
            </w:r>
            <w:r w:rsidR="009038D8">
              <w:t>0</w:t>
            </w:r>
            <w:r w:rsidRPr="008A2D7A">
              <w:t>%</w:t>
            </w:r>
          </w:p>
        </w:tc>
      </w:tr>
      <w:tr w:rsidRPr="008A2D7A" w:rsidR="00F84901" w:rsidTr="00F84901" w14:paraId="5C45AA32" w14:textId="77777777">
        <w:tc>
          <w:tcPr>
            <w:tcW w:w="3116" w:type="dxa"/>
          </w:tcPr>
          <w:p w:rsidRPr="008A2D7A" w:rsidR="00F84901" w:rsidP="00F84901" w:rsidRDefault="00F84901" w14:paraId="70FDC268" w14:textId="77777777">
            <w:pPr>
              <w:keepNext/>
              <w:keepLines/>
            </w:pPr>
          </w:p>
        </w:tc>
        <w:tc>
          <w:tcPr>
            <w:tcW w:w="3117" w:type="dxa"/>
          </w:tcPr>
          <w:p w:rsidRPr="008A2D7A" w:rsidR="00F84901" w:rsidP="0037297B" w:rsidRDefault="00F84901" w14:paraId="5217FAEE" w14:textId="77777777">
            <w:pPr>
              <w:keepNext/>
              <w:keepLines/>
              <w:rPr>
                <w:vertAlign w:val="superscript"/>
              </w:rPr>
            </w:pPr>
            <w:r w:rsidRPr="008A2D7A">
              <w:t>Non-self-representing</w:t>
            </w:r>
            <w:r w:rsidRPr="00D534B2" w:rsidR="0037297B">
              <w:rPr>
                <w:vertAlign w:val="superscript"/>
              </w:rPr>
              <w:t>a</w:t>
            </w:r>
          </w:p>
        </w:tc>
        <w:tc>
          <w:tcPr>
            <w:tcW w:w="3117" w:type="dxa"/>
          </w:tcPr>
          <w:p w:rsidRPr="008A2D7A" w:rsidR="00F84901" w:rsidP="00F84901" w:rsidRDefault="00F84901" w14:paraId="7D024CB5" w14:textId="0861B3D6">
            <w:pPr>
              <w:keepNext/>
              <w:keepLines/>
            </w:pPr>
            <w:r>
              <w:t>8</w:t>
            </w:r>
            <w:r w:rsidR="009038D8">
              <w:t>0</w:t>
            </w:r>
            <w:r w:rsidRPr="008A2D7A">
              <w:t>%</w:t>
            </w:r>
          </w:p>
        </w:tc>
      </w:tr>
      <w:tr w:rsidRPr="008A2D7A" w:rsidR="00F84901" w:rsidTr="00F84901" w14:paraId="58B95269" w14:textId="77777777">
        <w:tc>
          <w:tcPr>
            <w:tcW w:w="3116" w:type="dxa"/>
          </w:tcPr>
          <w:p w:rsidRPr="008A2D7A" w:rsidR="00F84901" w:rsidP="00F84901" w:rsidRDefault="00F84901" w14:paraId="779F3679" w14:textId="77777777">
            <w:pPr>
              <w:keepNext/>
              <w:keepLines/>
            </w:pPr>
            <w:r w:rsidRPr="008A2D7A">
              <w:t>Sheriff’s Office</w:t>
            </w:r>
          </w:p>
        </w:tc>
        <w:tc>
          <w:tcPr>
            <w:tcW w:w="3117" w:type="dxa"/>
          </w:tcPr>
          <w:p w:rsidRPr="008A2D7A" w:rsidR="00F84901" w:rsidP="00F84901" w:rsidRDefault="00F84901" w14:paraId="31F9B8E4" w14:textId="77777777">
            <w:pPr>
              <w:keepNext/>
              <w:keepLines/>
            </w:pPr>
            <w:r w:rsidRPr="008A2D7A">
              <w:t>Self-representing</w:t>
            </w:r>
          </w:p>
        </w:tc>
        <w:tc>
          <w:tcPr>
            <w:tcW w:w="3117" w:type="dxa"/>
          </w:tcPr>
          <w:p w:rsidRPr="00435C84" w:rsidR="00F84901" w:rsidP="00F84901" w:rsidRDefault="00F84901" w14:paraId="5436E343" w14:textId="273CC5ED">
            <w:pPr>
              <w:keepNext/>
              <w:keepLines/>
            </w:pPr>
            <w:r w:rsidRPr="00435C84">
              <w:t>8</w:t>
            </w:r>
            <w:r w:rsidRPr="00435C84" w:rsidR="009038D8">
              <w:t>0</w:t>
            </w:r>
            <w:r w:rsidRPr="00435C84">
              <w:t>%</w:t>
            </w:r>
          </w:p>
        </w:tc>
      </w:tr>
      <w:tr w:rsidRPr="008A2D7A" w:rsidR="00F84901" w:rsidTr="00F84901" w14:paraId="6894D314" w14:textId="77777777">
        <w:tc>
          <w:tcPr>
            <w:tcW w:w="3116" w:type="dxa"/>
          </w:tcPr>
          <w:p w:rsidRPr="008A2D7A" w:rsidR="00F84901" w:rsidP="00F84901" w:rsidRDefault="00F84901" w14:paraId="589B7483" w14:textId="77777777">
            <w:pPr>
              <w:keepNext/>
              <w:keepLines/>
            </w:pPr>
          </w:p>
        </w:tc>
        <w:tc>
          <w:tcPr>
            <w:tcW w:w="3117" w:type="dxa"/>
          </w:tcPr>
          <w:p w:rsidRPr="008A2D7A" w:rsidR="00F84901" w:rsidP="00F84901" w:rsidRDefault="00F84901" w14:paraId="5ED1B4C8" w14:textId="77777777">
            <w:pPr>
              <w:keepNext/>
              <w:keepLines/>
            </w:pPr>
            <w:r w:rsidRPr="008A2D7A">
              <w:t>Non-self-representing</w:t>
            </w:r>
            <w:r w:rsidRPr="00C06CDB" w:rsidR="0037297B">
              <w:rPr>
                <w:vertAlign w:val="superscript"/>
              </w:rPr>
              <w:t>a</w:t>
            </w:r>
          </w:p>
        </w:tc>
        <w:tc>
          <w:tcPr>
            <w:tcW w:w="3117" w:type="dxa"/>
          </w:tcPr>
          <w:p w:rsidRPr="00435C84" w:rsidR="00F84901" w:rsidP="00F84901" w:rsidRDefault="00F84901" w14:paraId="2E114BC7" w14:textId="77777777">
            <w:pPr>
              <w:keepNext/>
              <w:keepLines/>
            </w:pPr>
            <w:r w:rsidRPr="00435C84">
              <w:t>75%</w:t>
            </w:r>
          </w:p>
        </w:tc>
      </w:tr>
      <w:tr w:rsidRPr="008A2D7A" w:rsidR="00F84901" w:rsidTr="00156904" w14:paraId="4214E602" w14:textId="77777777">
        <w:tc>
          <w:tcPr>
            <w:tcW w:w="3116" w:type="dxa"/>
            <w:tcBorders>
              <w:bottom w:val="single" w:color="000000" w:sz="4" w:space="0"/>
            </w:tcBorders>
          </w:tcPr>
          <w:p w:rsidRPr="008A2D7A" w:rsidR="00F84901" w:rsidP="00F84901" w:rsidRDefault="00F84901" w14:paraId="3072928A" w14:textId="77777777">
            <w:pPr>
              <w:keepNext/>
              <w:keepLines/>
            </w:pPr>
            <w:r w:rsidRPr="008A2D7A">
              <w:t>State Police</w:t>
            </w:r>
          </w:p>
        </w:tc>
        <w:tc>
          <w:tcPr>
            <w:tcW w:w="3117" w:type="dxa"/>
            <w:tcBorders>
              <w:bottom w:val="single" w:color="000000" w:sz="4" w:space="0"/>
            </w:tcBorders>
          </w:tcPr>
          <w:p w:rsidRPr="008A2D7A" w:rsidR="00F84901" w:rsidP="00F84901" w:rsidRDefault="007D45D3" w14:paraId="366C7DAB" w14:textId="77777777">
            <w:pPr>
              <w:keepNext/>
              <w:keepLines/>
            </w:pPr>
            <w:r w:rsidRPr="008A2D7A">
              <w:t>Self-representing</w:t>
            </w:r>
          </w:p>
        </w:tc>
        <w:tc>
          <w:tcPr>
            <w:tcW w:w="3117" w:type="dxa"/>
          </w:tcPr>
          <w:p w:rsidRPr="00435C84" w:rsidR="00F84901" w:rsidP="00F84901" w:rsidRDefault="00F84901" w14:paraId="7B1DD22C" w14:textId="77777777">
            <w:pPr>
              <w:keepNext/>
              <w:keepLines/>
            </w:pPr>
            <w:r w:rsidRPr="00435C84">
              <w:t>90%</w:t>
            </w:r>
          </w:p>
        </w:tc>
      </w:tr>
      <w:tr w:rsidRPr="008A2D7A" w:rsidR="003147EB" w:rsidTr="00156904" w14:paraId="3105D01C" w14:textId="77777777">
        <w:tc>
          <w:tcPr>
            <w:tcW w:w="3116" w:type="dxa"/>
            <w:tcBorders>
              <w:right w:val="nil"/>
            </w:tcBorders>
          </w:tcPr>
          <w:p w:rsidRPr="008A2D7A" w:rsidR="003147EB" w:rsidP="00F84901" w:rsidRDefault="003147EB" w14:paraId="36C8B6AA" w14:textId="77777777">
            <w:pPr>
              <w:keepNext/>
              <w:keepLines/>
            </w:pPr>
            <w:r>
              <w:t>All agencies</w:t>
            </w:r>
          </w:p>
        </w:tc>
        <w:tc>
          <w:tcPr>
            <w:tcW w:w="3117" w:type="dxa"/>
            <w:tcBorders>
              <w:left w:val="nil"/>
            </w:tcBorders>
          </w:tcPr>
          <w:p w:rsidRPr="008A2D7A" w:rsidR="003147EB" w:rsidP="00F84901" w:rsidRDefault="003147EB" w14:paraId="4D146CBA" w14:textId="77777777">
            <w:pPr>
              <w:keepNext/>
              <w:keepLines/>
            </w:pPr>
          </w:p>
        </w:tc>
        <w:tc>
          <w:tcPr>
            <w:tcW w:w="3117" w:type="dxa"/>
          </w:tcPr>
          <w:p w:rsidRPr="00435C84" w:rsidR="003147EB" w:rsidP="00F84901" w:rsidRDefault="003147EB" w14:paraId="239BF4AA" w14:textId="6181DCE1">
            <w:pPr>
              <w:keepNext/>
              <w:keepLines/>
            </w:pPr>
            <w:r w:rsidRPr="00435C84">
              <w:t>8</w:t>
            </w:r>
            <w:r w:rsidRPr="00435C84" w:rsidR="00556135">
              <w:t>1</w:t>
            </w:r>
            <w:r w:rsidRPr="00435C84">
              <w:t>%</w:t>
            </w:r>
          </w:p>
        </w:tc>
      </w:tr>
    </w:tbl>
    <w:p w:rsidR="00F84901" w:rsidP="00F84901" w:rsidRDefault="0037297B" w14:paraId="470D9E69" w14:textId="68E2D9C2">
      <w:pPr>
        <w:rPr>
          <w:sz w:val="20"/>
          <w:szCs w:val="20"/>
        </w:rPr>
      </w:pPr>
      <w:r w:rsidRPr="00D534B2">
        <w:rPr>
          <w:sz w:val="20"/>
          <w:szCs w:val="20"/>
          <w:vertAlign w:val="superscript"/>
        </w:rPr>
        <w:t>a</w:t>
      </w:r>
      <w:r>
        <w:rPr>
          <w:sz w:val="20"/>
          <w:szCs w:val="20"/>
        </w:rPr>
        <w:t xml:space="preserve"> </w:t>
      </w:r>
      <w:r w:rsidRPr="00C06CDB">
        <w:rPr>
          <w:sz w:val="20"/>
          <w:szCs w:val="20"/>
        </w:rPr>
        <w:t xml:space="preserve">Non-self-representing agencies are comprised of agencies with less than 100 </w:t>
      </w:r>
      <w:r w:rsidR="00226164">
        <w:rPr>
          <w:sz w:val="20"/>
          <w:szCs w:val="20"/>
        </w:rPr>
        <w:t>FTE</w:t>
      </w:r>
      <w:r w:rsidR="0095719B">
        <w:rPr>
          <w:sz w:val="20"/>
          <w:szCs w:val="20"/>
        </w:rPr>
        <w:t>s</w:t>
      </w:r>
      <w:r w:rsidRPr="00C06CDB">
        <w:rPr>
          <w:sz w:val="20"/>
          <w:szCs w:val="20"/>
        </w:rPr>
        <w:t xml:space="preserve">. </w:t>
      </w:r>
    </w:p>
    <w:p w:rsidR="008534AF" w:rsidP="008534AF" w:rsidRDefault="008534AF" w14:paraId="67028ECC" w14:textId="77777777">
      <w:pPr>
        <w:autoSpaceDE w:val="0"/>
        <w:autoSpaceDN w:val="0"/>
        <w:adjustRightInd w:val="0"/>
        <w:rPr>
          <w:rFonts w:eastAsia="Calibri"/>
          <w:u w:val="single"/>
        </w:rPr>
      </w:pPr>
    </w:p>
    <w:p w:rsidRPr="00D534B2" w:rsidR="00F84901" w:rsidP="008534AF" w:rsidRDefault="00F84901" w14:paraId="7F56A638" w14:textId="77777777">
      <w:pPr>
        <w:autoSpaceDE w:val="0"/>
        <w:autoSpaceDN w:val="0"/>
        <w:adjustRightInd w:val="0"/>
        <w:rPr>
          <w:rFonts w:eastAsia="Calibri"/>
          <w:u w:val="single"/>
        </w:rPr>
      </w:pPr>
      <w:r w:rsidRPr="00D534B2">
        <w:rPr>
          <w:rFonts w:eastAsia="Calibri"/>
          <w:u w:val="single"/>
        </w:rPr>
        <w:t>Sample Allocation and Sample Size</w:t>
      </w:r>
    </w:p>
    <w:p w:rsidR="000A1127" w:rsidP="000A1127" w:rsidRDefault="000A1127" w14:paraId="3A33ADD4" w14:textId="1B2030C9">
      <w:pPr>
        <w:pStyle w:val="Default"/>
        <w:rPr>
          <w:rFonts w:ascii="Times New Roman" w:hAnsi="Times New Roman" w:cs="Times New Roman"/>
        </w:rPr>
      </w:pPr>
      <w:r>
        <w:rPr>
          <w:rFonts w:ascii="Times New Roman" w:hAnsi="Times New Roman" w:cs="Times New Roman"/>
        </w:rPr>
        <w:t xml:space="preserve">As was done in prior LEMAS surveys, the </w:t>
      </w:r>
      <w:r w:rsidR="007D71DA">
        <w:rPr>
          <w:rFonts w:ascii="Times New Roman" w:hAnsi="Times New Roman" w:cs="Times New Roman"/>
        </w:rPr>
        <w:t>2020</w:t>
      </w:r>
      <w:r>
        <w:rPr>
          <w:rFonts w:ascii="Times New Roman" w:hAnsi="Times New Roman" w:cs="Times New Roman"/>
        </w:rPr>
        <w:t xml:space="preserve"> LEMAS will </w:t>
      </w:r>
      <w:r w:rsidR="00D95EEE">
        <w:rPr>
          <w:rFonts w:ascii="Times New Roman" w:hAnsi="Times New Roman" w:cs="Times New Roman"/>
        </w:rPr>
        <w:t xml:space="preserve">include </w:t>
      </w:r>
      <w:r>
        <w:rPr>
          <w:rFonts w:ascii="Times New Roman" w:hAnsi="Times New Roman" w:cs="Times New Roman"/>
        </w:rPr>
        <w:t xml:space="preserve">all large law enforcement agencies with 100 or more full-time equivalent sworn officers; these SR agencies are found in cells </w:t>
      </w:r>
      <w:r w:rsidR="00A30300">
        <w:rPr>
          <w:rFonts w:ascii="Times New Roman" w:hAnsi="Times New Roman" w:cs="Times New Roman"/>
        </w:rPr>
        <w:t xml:space="preserve">numbered </w:t>
      </w:r>
      <w:r>
        <w:rPr>
          <w:rFonts w:ascii="Times New Roman" w:hAnsi="Times New Roman" w:cs="Times New Roman"/>
        </w:rPr>
        <w:t xml:space="preserve">7, 14 and 15 in </w:t>
      </w:r>
      <w:r w:rsidRPr="00156904">
        <w:rPr>
          <w:rFonts w:ascii="Times New Roman" w:hAnsi="Times New Roman" w:cs="Times New Roman"/>
          <w:b/>
        </w:rPr>
        <w:t>Table 3</w:t>
      </w:r>
      <w:r>
        <w:rPr>
          <w:rFonts w:ascii="Times New Roman" w:hAnsi="Times New Roman" w:cs="Times New Roman"/>
        </w:rPr>
        <w:t xml:space="preserve">. This ensures </w:t>
      </w:r>
      <w:r w:rsidR="00405393">
        <w:rPr>
          <w:rFonts w:ascii="Times New Roman" w:hAnsi="Times New Roman" w:cs="Times New Roman"/>
        </w:rPr>
        <w:t xml:space="preserve">the </w:t>
      </w:r>
      <w:r>
        <w:rPr>
          <w:rFonts w:ascii="Times New Roman" w:hAnsi="Times New Roman" w:cs="Times New Roman"/>
        </w:rPr>
        <w:t xml:space="preserve">ability to measure change overtime within a consistent set of large agencies. The </w:t>
      </w:r>
      <w:r w:rsidR="007D71DA">
        <w:rPr>
          <w:rFonts w:ascii="Times New Roman" w:hAnsi="Times New Roman" w:cs="Times New Roman"/>
        </w:rPr>
        <w:t>2020</w:t>
      </w:r>
      <w:r>
        <w:rPr>
          <w:rFonts w:ascii="Times New Roman" w:hAnsi="Times New Roman" w:cs="Times New Roman"/>
        </w:rPr>
        <w:t xml:space="preserve"> LEMAS will sample within the other cells in </w:t>
      </w:r>
      <w:r w:rsidRPr="00156904">
        <w:rPr>
          <w:rFonts w:ascii="Times New Roman" w:hAnsi="Times New Roman" w:cs="Times New Roman"/>
          <w:b/>
        </w:rPr>
        <w:t>Table 3</w:t>
      </w:r>
      <w:r w:rsidR="00A95CFB">
        <w:rPr>
          <w:rFonts w:ascii="Times New Roman" w:hAnsi="Times New Roman" w:cs="Times New Roman"/>
        </w:rPr>
        <w:t>; these are the non-self-</w:t>
      </w:r>
      <w:r>
        <w:rPr>
          <w:rFonts w:ascii="Times New Roman" w:hAnsi="Times New Roman" w:cs="Times New Roman"/>
        </w:rPr>
        <w:t xml:space="preserve">representing (NSR) agencies with less than 100 FTEs.  </w:t>
      </w:r>
    </w:p>
    <w:p w:rsidR="000A1127" w:rsidP="000A1127" w:rsidRDefault="000A1127" w14:paraId="6BA05EAD" w14:textId="77777777">
      <w:pPr>
        <w:pStyle w:val="Default"/>
        <w:rPr>
          <w:rFonts w:ascii="Times New Roman" w:hAnsi="Times New Roman" w:cs="Times New Roman"/>
        </w:rPr>
      </w:pPr>
    </w:p>
    <w:p w:rsidRPr="00D833C1" w:rsidR="000A1127" w:rsidP="00156904" w:rsidRDefault="000A1127" w14:paraId="025D09B0" w14:textId="62599B34">
      <w:pPr>
        <w:pStyle w:val="Default"/>
        <w:rPr>
          <w:rFonts w:ascii="Times New Roman" w:hAnsi="Times New Roman" w:cs="Times New Roman"/>
        </w:rPr>
      </w:pPr>
      <w:r w:rsidRPr="003253BD">
        <w:rPr>
          <w:rFonts w:ascii="Times New Roman" w:hAnsi="Times New Roman" w:cs="Times New Roman"/>
          <w:b/>
          <w:bCs/>
        </w:rPr>
        <w:t>T</w:t>
      </w:r>
      <w:r w:rsidRPr="00D833C1">
        <w:rPr>
          <w:rFonts w:ascii="Times New Roman" w:hAnsi="Times New Roman" w:cs="Times New Roman"/>
          <w:b/>
          <w:bCs/>
        </w:rPr>
        <w:t xml:space="preserve">able </w:t>
      </w:r>
      <w:r>
        <w:rPr>
          <w:rFonts w:ascii="Times New Roman" w:hAnsi="Times New Roman" w:cs="Times New Roman"/>
          <w:b/>
          <w:bCs/>
        </w:rPr>
        <w:t>3</w:t>
      </w:r>
      <w:r w:rsidRPr="00D833C1">
        <w:rPr>
          <w:rFonts w:ascii="Times New Roman" w:hAnsi="Times New Roman" w:cs="Times New Roman"/>
          <w:b/>
          <w:bCs/>
        </w:rPr>
        <w:t xml:space="preserve">: Sampling Strata for the </w:t>
      </w:r>
      <w:r w:rsidR="007D71DA">
        <w:rPr>
          <w:rFonts w:ascii="Times New Roman" w:hAnsi="Times New Roman" w:cs="Times New Roman"/>
          <w:b/>
          <w:bCs/>
        </w:rPr>
        <w:t>2020</w:t>
      </w:r>
      <w:r w:rsidR="00AA688D">
        <w:rPr>
          <w:rFonts w:ascii="Times New Roman" w:hAnsi="Times New Roman" w:cs="Times New Roman"/>
          <w:b/>
          <w:bCs/>
        </w:rPr>
        <w:t xml:space="preserve"> LEMAS</w:t>
      </w:r>
    </w:p>
    <w:p w:rsidR="000A1127" w:rsidRDefault="000A1127" w14:paraId="46495BB6" w14:textId="77777777">
      <w:pPr>
        <w:pStyle w:val="Default"/>
        <w:rPr>
          <w:rFonts w:ascii="Times New Roman" w:hAnsi="Times New Roman" w:cs="Times New Roman"/>
        </w:rPr>
      </w:pPr>
    </w:p>
    <w:tbl>
      <w:tblPr>
        <w:tblW w:w="6407" w:type="dxa"/>
        <w:tblInd w:w="-5" w:type="dxa"/>
        <w:tblLook w:val="04A0" w:firstRow="1" w:lastRow="0" w:firstColumn="1" w:lastColumn="0" w:noHBand="0" w:noVBand="1"/>
      </w:tblPr>
      <w:tblGrid>
        <w:gridCol w:w="3155"/>
        <w:gridCol w:w="1084"/>
        <w:gridCol w:w="1084"/>
        <w:gridCol w:w="1084"/>
      </w:tblGrid>
      <w:tr w:rsidRPr="00D833C1" w:rsidR="000A1127" w:rsidTr="00830786" w14:paraId="3454556C" w14:textId="77777777">
        <w:trPr>
          <w:trHeight w:val="302"/>
          <w:tblHeader/>
        </w:trPr>
        <w:tc>
          <w:tcPr>
            <w:tcW w:w="3155" w:type="dxa"/>
            <w:tcBorders>
              <w:top w:val="single" w:color="auto" w:sz="4" w:space="0"/>
              <w:left w:val="single" w:color="auto" w:sz="4" w:space="0"/>
              <w:bottom w:val="single" w:color="000000" w:sz="4" w:space="0"/>
              <w:right w:val="single" w:color="auto" w:sz="4" w:space="0"/>
            </w:tcBorders>
            <w:vAlign w:val="center"/>
            <w:hideMark/>
          </w:tcPr>
          <w:p w:rsidRPr="00B6441D" w:rsidR="000A1127" w:rsidRDefault="000A1127" w14:paraId="0750267F" w14:textId="77777777">
            <w:pPr>
              <w:jc w:val="center"/>
              <w:rPr>
                <w:bCs/>
              </w:rPr>
            </w:pPr>
            <w:r w:rsidRPr="00B6441D">
              <w:rPr>
                <w:bCs/>
              </w:rPr>
              <w:t>Agency Size Categories</w:t>
            </w:r>
          </w:p>
        </w:tc>
        <w:tc>
          <w:tcPr>
            <w:tcW w:w="1084" w:type="dxa"/>
            <w:tcBorders>
              <w:top w:val="single" w:color="auto" w:sz="4" w:space="0"/>
              <w:left w:val="nil"/>
              <w:bottom w:val="single" w:color="auto" w:sz="4" w:space="0"/>
              <w:right w:val="single" w:color="auto" w:sz="4" w:space="0"/>
            </w:tcBorders>
            <w:shd w:val="clear" w:color="auto" w:fill="auto"/>
            <w:vAlign w:val="bottom"/>
            <w:hideMark/>
          </w:tcPr>
          <w:p w:rsidRPr="00B6441D" w:rsidR="000A1127" w:rsidRDefault="000A1127" w14:paraId="28E1844B" w14:textId="77777777">
            <w:pPr>
              <w:jc w:val="center"/>
              <w:rPr>
                <w:bCs/>
              </w:rPr>
            </w:pPr>
            <w:r w:rsidRPr="00B6441D">
              <w:rPr>
                <w:bCs/>
              </w:rPr>
              <w:t>Local Police</w:t>
            </w:r>
          </w:p>
        </w:tc>
        <w:tc>
          <w:tcPr>
            <w:tcW w:w="1084" w:type="dxa"/>
            <w:tcBorders>
              <w:top w:val="single" w:color="auto" w:sz="4" w:space="0"/>
              <w:left w:val="nil"/>
              <w:bottom w:val="single" w:color="auto" w:sz="4" w:space="0"/>
              <w:right w:val="single" w:color="auto" w:sz="4" w:space="0"/>
            </w:tcBorders>
            <w:shd w:val="clear" w:color="auto" w:fill="auto"/>
            <w:vAlign w:val="bottom"/>
            <w:hideMark/>
          </w:tcPr>
          <w:p w:rsidRPr="00B6441D" w:rsidR="000A1127" w:rsidRDefault="000A1127" w14:paraId="6E9D06E3" w14:textId="77777777">
            <w:pPr>
              <w:jc w:val="center"/>
              <w:rPr>
                <w:bCs/>
              </w:rPr>
            </w:pPr>
            <w:r w:rsidRPr="00B6441D">
              <w:rPr>
                <w:bCs/>
              </w:rPr>
              <w:t>Sheriff Offices</w:t>
            </w:r>
          </w:p>
        </w:tc>
        <w:tc>
          <w:tcPr>
            <w:tcW w:w="1084" w:type="dxa"/>
            <w:tcBorders>
              <w:top w:val="single" w:color="auto" w:sz="4" w:space="0"/>
              <w:left w:val="nil"/>
              <w:bottom w:val="single" w:color="auto" w:sz="4" w:space="0"/>
              <w:right w:val="single" w:color="auto" w:sz="4" w:space="0"/>
            </w:tcBorders>
          </w:tcPr>
          <w:p w:rsidRPr="00B6441D" w:rsidR="000A1127" w:rsidRDefault="000A1127" w14:paraId="191E23E9" w14:textId="77777777">
            <w:pPr>
              <w:jc w:val="center"/>
              <w:rPr>
                <w:bCs/>
              </w:rPr>
            </w:pPr>
            <w:r w:rsidRPr="00B6441D">
              <w:rPr>
                <w:bCs/>
              </w:rPr>
              <w:t>State Police</w:t>
            </w:r>
          </w:p>
        </w:tc>
      </w:tr>
      <w:tr w:rsidRPr="00D833C1" w:rsidR="000A1127" w:rsidTr="00156904" w14:paraId="199C9255" w14:textId="77777777">
        <w:trPr>
          <w:trHeight w:val="151"/>
        </w:trPr>
        <w:tc>
          <w:tcPr>
            <w:tcW w:w="3155" w:type="dxa"/>
            <w:tcBorders>
              <w:top w:val="nil"/>
              <w:left w:val="single" w:color="auto" w:sz="4" w:space="0"/>
              <w:bottom w:val="single" w:color="auto" w:sz="4" w:space="0"/>
              <w:right w:val="single" w:color="auto" w:sz="4" w:space="0"/>
            </w:tcBorders>
            <w:shd w:val="clear" w:color="auto" w:fill="auto"/>
            <w:vAlign w:val="center"/>
            <w:hideMark/>
          </w:tcPr>
          <w:p w:rsidRPr="00B6441D" w:rsidR="000A1127" w:rsidP="009F5C3A" w:rsidRDefault="000A1127" w14:paraId="225DD76B" w14:textId="77777777">
            <w:pPr>
              <w:jc w:val="right"/>
              <w:rPr>
                <w:bCs/>
                <w:color w:val="000000"/>
              </w:rPr>
            </w:pPr>
            <w:r w:rsidRPr="00B6441D">
              <w:rPr>
                <w:bCs/>
                <w:color w:val="000000"/>
              </w:rPr>
              <w:t>One FTE Sworn Personnel</w:t>
            </w:r>
          </w:p>
        </w:tc>
        <w:tc>
          <w:tcPr>
            <w:tcW w:w="1084" w:type="dxa"/>
            <w:tcBorders>
              <w:top w:val="nil"/>
              <w:left w:val="nil"/>
              <w:bottom w:val="single" w:color="auto" w:sz="4" w:space="0"/>
              <w:right w:val="single" w:color="auto" w:sz="4" w:space="0"/>
            </w:tcBorders>
            <w:shd w:val="clear" w:color="auto" w:fill="auto"/>
            <w:noWrap/>
            <w:vAlign w:val="bottom"/>
            <w:hideMark/>
          </w:tcPr>
          <w:p w:rsidRPr="00B6441D" w:rsidR="000A1127" w:rsidP="009F5C3A" w:rsidRDefault="000A1127" w14:paraId="051DECC8" w14:textId="77777777">
            <w:pPr>
              <w:jc w:val="center"/>
              <w:rPr>
                <w:bCs/>
              </w:rPr>
            </w:pPr>
            <w:r w:rsidRPr="00B6441D">
              <w:rPr>
                <w:bCs/>
              </w:rPr>
              <w:t>1</w:t>
            </w:r>
          </w:p>
        </w:tc>
        <w:tc>
          <w:tcPr>
            <w:tcW w:w="1084" w:type="dxa"/>
            <w:tcBorders>
              <w:top w:val="nil"/>
              <w:left w:val="nil"/>
              <w:bottom w:val="single" w:color="auto" w:sz="4" w:space="0"/>
              <w:right w:val="single" w:color="auto" w:sz="4" w:space="0"/>
            </w:tcBorders>
            <w:shd w:val="clear" w:color="auto" w:fill="auto"/>
            <w:noWrap/>
            <w:vAlign w:val="bottom"/>
            <w:hideMark/>
          </w:tcPr>
          <w:p w:rsidRPr="00B6441D" w:rsidR="000A1127" w:rsidP="009F5C3A" w:rsidRDefault="000A1127" w14:paraId="68115E04" w14:textId="77777777">
            <w:pPr>
              <w:jc w:val="center"/>
              <w:rPr>
                <w:bCs/>
              </w:rPr>
            </w:pPr>
            <w:r w:rsidRPr="00B6441D">
              <w:rPr>
                <w:bCs/>
              </w:rPr>
              <w:t>8</w:t>
            </w:r>
          </w:p>
        </w:tc>
        <w:tc>
          <w:tcPr>
            <w:tcW w:w="1084" w:type="dxa"/>
            <w:vMerge w:val="restart"/>
            <w:tcBorders>
              <w:top w:val="single" w:color="auto" w:sz="4" w:space="0"/>
              <w:left w:val="nil"/>
              <w:right w:val="single" w:color="auto" w:sz="4" w:space="0"/>
            </w:tcBorders>
            <w:shd w:val="clear" w:color="auto" w:fill="808080" w:themeFill="background1" w:themeFillShade="80"/>
          </w:tcPr>
          <w:p w:rsidRPr="00B6441D" w:rsidR="000A1127" w:rsidP="009F5C3A" w:rsidRDefault="000A1127" w14:paraId="7D50A37B" w14:textId="77777777">
            <w:pPr>
              <w:jc w:val="center"/>
              <w:rPr>
                <w:bCs/>
              </w:rPr>
            </w:pPr>
          </w:p>
        </w:tc>
      </w:tr>
      <w:tr w:rsidRPr="00D833C1" w:rsidR="000A1127" w:rsidTr="00156904" w14:paraId="3D7DB450" w14:textId="77777777">
        <w:trPr>
          <w:trHeight w:val="151"/>
        </w:trPr>
        <w:tc>
          <w:tcPr>
            <w:tcW w:w="3155" w:type="dxa"/>
            <w:tcBorders>
              <w:top w:val="nil"/>
              <w:left w:val="single" w:color="auto" w:sz="4" w:space="0"/>
              <w:bottom w:val="single" w:color="auto" w:sz="4" w:space="0"/>
              <w:right w:val="single" w:color="auto" w:sz="4" w:space="0"/>
            </w:tcBorders>
            <w:shd w:val="clear" w:color="auto" w:fill="auto"/>
            <w:vAlign w:val="center"/>
            <w:hideMark/>
          </w:tcPr>
          <w:p w:rsidRPr="00B6441D" w:rsidR="000A1127" w:rsidP="009F5C3A" w:rsidRDefault="000A1127" w14:paraId="26A6890B" w14:textId="217AA9B2">
            <w:pPr>
              <w:jc w:val="right"/>
              <w:rPr>
                <w:bCs/>
                <w:color w:val="000000"/>
              </w:rPr>
            </w:pPr>
            <w:r w:rsidRPr="00B6441D">
              <w:rPr>
                <w:bCs/>
                <w:color w:val="000000"/>
              </w:rPr>
              <w:t>2 to 4</w:t>
            </w:r>
            <w:r w:rsidR="0080504C">
              <w:rPr>
                <w:bCs/>
                <w:color w:val="000000"/>
              </w:rPr>
              <w:t>.5</w:t>
            </w:r>
            <w:r w:rsidRPr="00B6441D">
              <w:rPr>
                <w:bCs/>
                <w:color w:val="000000"/>
              </w:rPr>
              <w:t xml:space="preserve"> FTE</w:t>
            </w:r>
          </w:p>
        </w:tc>
        <w:tc>
          <w:tcPr>
            <w:tcW w:w="1084" w:type="dxa"/>
            <w:tcBorders>
              <w:top w:val="nil"/>
              <w:left w:val="nil"/>
              <w:bottom w:val="single" w:color="auto" w:sz="4" w:space="0"/>
              <w:right w:val="single" w:color="auto" w:sz="4" w:space="0"/>
            </w:tcBorders>
            <w:shd w:val="clear" w:color="auto" w:fill="auto"/>
            <w:noWrap/>
            <w:vAlign w:val="bottom"/>
            <w:hideMark/>
          </w:tcPr>
          <w:p w:rsidRPr="00B6441D" w:rsidR="000A1127" w:rsidP="009F5C3A" w:rsidRDefault="000A1127" w14:paraId="5DE42D62" w14:textId="77777777">
            <w:pPr>
              <w:jc w:val="center"/>
              <w:rPr>
                <w:bCs/>
              </w:rPr>
            </w:pPr>
            <w:r w:rsidRPr="00B6441D">
              <w:rPr>
                <w:bCs/>
              </w:rPr>
              <w:t>2</w:t>
            </w:r>
          </w:p>
        </w:tc>
        <w:tc>
          <w:tcPr>
            <w:tcW w:w="1084" w:type="dxa"/>
            <w:tcBorders>
              <w:top w:val="nil"/>
              <w:left w:val="nil"/>
              <w:bottom w:val="single" w:color="auto" w:sz="4" w:space="0"/>
              <w:right w:val="single" w:color="auto" w:sz="4" w:space="0"/>
            </w:tcBorders>
            <w:shd w:val="clear" w:color="auto" w:fill="auto"/>
            <w:noWrap/>
            <w:vAlign w:val="bottom"/>
            <w:hideMark/>
          </w:tcPr>
          <w:p w:rsidRPr="00B6441D" w:rsidR="000A1127" w:rsidP="009F5C3A" w:rsidRDefault="000A1127" w14:paraId="15ADDFE5" w14:textId="77777777">
            <w:pPr>
              <w:jc w:val="center"/>
              <w:rPr>
                <w:bCs/>
              </w:rPr>
            </w:pPr>
            <w:r w:rsidRPr="00B6441D">
              <w:rPr>
                <w:bCs/>
              </w:rPr>
              <w:t>9</w:t>
            </w:r>
          </w:p>
        </w:tc>
        <w:tc>
          <w:tcPr>
            <w:tcW w:w="1084" w:type="dxa"/>
            <w:vMerge/>
            <w:tcBorders>
              <w:left w:val="nil"/>
              <w:right w:val="single" w:color="auto" w:sz="4" w:space="0"/>
            </w:tcBorders>
            <w:shd w:val="clear" w:color="auto" w:fill="808080" w:themeFill="background1" w:themeFillShade="80"/>
          </w:tcPr>
          <w:p w:rsidRPr="00B6441D" w:rsidR="000A1127" w:rsidP="009F5C3A" w:rsidRDefault="000A1127" w14:paraId="4A731F1F" w14:textId="77777777">
            <w:pPr>
              <w:jc w:val="center"/>
              <w:rPr>
                <w:bCs/>
              </w:rPr>
            </w:pPr>
          </w:p>
        </w:tc>
      </w:tr>
      <w:tr w:rsidRPr="00D833C1" w:rsidR="000A1127" w:rsidTr="00156904" w14:paraId="237FA84B" w14:textId="77777777">
        <w:trPr>
          <w:trHeight w:val="151"/>
        </w:trPr>
        <w:tc>
          <w:tcPr>
            <w:tcW w:w="3155" w:type="dxa"/>
            <w:tcBorders>
              <w:top w:val="nil"/>
              <w:left w:val="single" w:color="auto" w:sz="4" w:space="0"/>
              <w:bottom w:val="single" w:color="auto" w:sz="4" w:space="0"/>
              <w:right w:val="single" w:color="auto" w:sz="4" w:space="0"/>
            </w:tcBorders>
            <w:shd w:val="clear" w:color="auto" w:fill="auto"/>
            <w:vAlign w:val="center"/>
            <w:hideMark/>
          </w:tcPr>
          <w:p w:rsidRPr="00B6441D" w:rsidR="000A1127" w:rsidP="009F5C3A" w:rsidRDefault="000A1127" w14:paraId="1A7B48EA" w14:textId="4AFA3094">
            <w:pPr>
              <w:jc w:val="right"/>
              <w:rPr>
                <w:bCs/>
                <w:color w:val="000000"/>
              </w:rPr>
            </w:pPr>
            <w:r w:rsidRPr="00B6441D">
              <w:rPr>
                <w:bCs/>
                <w:color w:val="000000"/>
              </w:rPr>
              <w:t>5 to 9</w:t>
            </w:r>
            <w:r w:rsidR="0080504C">
              <w:rPr>
                <w:bCs/>
                <w:color w:val="000000"/>
              </w:rPr>
              <w:t>.5</w:t>
            </w:r>
            <w:r w:rsidRPr="00B6441D">
              <w:rPr>
                <w:bCs/>
                <w:color w:val="000000"/>
              </w:rPr>
              <w:t xml:space="preserve"> FTE</w:t>
            </w:r>
          </w:p>
        </w:tc>
        <w:tc>
          <w:tcPr>
            <w:tcW w:w="1084" w:type="dxa"/>
            <w:tcBorders>
              <w:top w:val="nil"/>
              <w:left w:val="nil"/>
              <w:bottom w:val="single" w:color="auto" w:sz="4" w:space="0"/>
              <w:right w:val="single" w:color="auto" w:sz="4" w:space="0"/>
            </w:tcBorders>
            <w:shd w:val="clear" w:color="auto" w:fill="auto"/>
            <w:noWrap/>
            <w:vAlign w:val="bottom"/>
            <w:hideMark/>
          </w:tcPr>
          <w:p w:rsidRPr="00B6441D" w:rsidR="000A1127" w:rsidP="009F5C3A" w:rsidRDefault="000A1127" w14:paraId="06A90969" w14:textId="77777777">
            <w:pPr>
              <w:jc w:val="center"/>
              <w:rPr>
                <w:bCs/>
              </w:rPr>
            </w:pPr>
            <w:r w:rsidRPr="00B6441D">
              <w:rPr>
                <w:bCs/>
              </w:rPr>
              <w:t>3</w:t>
            </w:r>
          </w:p>
        </w:tc>
        <w:tc>
          <w:tcPr>
            <w:tcW w:w="1084" w:type="dxa"/>
            <w:tcBorders>
              <w:top w:val="nil"/>
              <w:left w:val="nil"/>
              <w:bottom w:val="single" w:color="auto" w:sz="4" w:space="0"/>
              <w:right w:val="single" w:color="auto" w:sz="4" w:space="0"/>
            </w:tcBorders>
            <w:shd w:val="clear" w:color="auto" w:fill="auto"/>
            <w:noWrap/>
            <w:vAlign w:val="bottom"/>
            <w:hideMark/>
          </w:tcPr>
          <w:p w:rsidRPr="00B6441D" w:rsidR="000A1127" w:rsidP="009F5C3A" w:rsidRDefault="000A1127" w14:paraId="1DDAB0CD" w14:textId="77777777">
            <w:pPr>
              <w:jc w:val="center"/>
              <w:rPr>
                <w:bCs/>
              </w:rPr>
            </w:pPr>
            <w:r w:rsidRPr="00B6441D">
              <w:rPr>
                <w:bCs/>
              </w:rPr>
              <w:t>10</w:t>
            </w:r>
          </w:p>
        </w:tc>
        <w:tc>
          <w:tcPr>
            <w:tcW w:w="1084" w:type="dxa"/>
            <w:vMerge/>
            <w:tcBorders>
              <w:left w:val="nil"/>
              <w:right w:val="single" w:color="auto" w:sz="4" w:space="0"/>
            </w:tcBorders>
            <w:shd w:val="clear" w:color="auto" w:fill="808080" w:themeFill="background1" w:themeFillShade="80"/>
          </w:tcPr>
          <w:p w:rsidRPr="00B6441D" w:rsidR="000A1127" w:rsidP="009F5C3A" w:rsidRDefault="000A1127" w14:paraId="69BD7007" w14:textId="77777777">
            <w:pPr>
              <w:jc w:val="center"/>
              <w:rPr>
                <w:bCs/>
              </w:rPr>
            </w:pPr>
          </w:p>
        </w:tc>
      </w:tr>
      <w:tr w:rsidRPr="00D833C1" w:rsidR="000A1127" w:rsidTr="00156904" w14:paraId="1D017C3E" w14:textId="77777777">
        <w:trPr>
          <w:trHeight w:val="151"/>
        </w:trPr>
        <w:tc>
          <w:tcPr>
            <w:tcW w:w="3155" w:type="dxa"/>
            <w:tcBorders>
              <w:top w:val="nil"/>
              <w:left w:val="single" w:color="auto" w:sz="4" w:space="0"/>
              <w:bottom w:val="single" w:color="auto" w:sz="4" w:space="0"/>
              <w:right w:val="single" w:color="auto" w:sz="4" w:space="0"/>
            </w:tcBorders>
            <w:shd w:val="clear" w:color="auto" w:fill="auto"/>
            <w:vAlign w:val="center"/>
            <w:hideMark/>
          </w:tcPr>
          <w:p w:rsidRPr="00B6441D" w:rsidR="000A1127" w:rsidP="009F5C3A" w:rsidRDefault="000A1127" w14:paraId="7368005D" w14:textId="09E2B80C">
            <w:pPr>
              <w:jc w:val="right"/>
              <w:rPr>
                <w:bCs/>
                <w:color w:val="000000"/>
              </w:rPr>
            </w:pPr>
            <w:r w:rsidRPr="00B6441D">
              <w:rPr>
                <w:bCs/>
                <w:color w:val="000000"/>
              </w:rPr>
              <w:t>10 to 24</w:t>
            </w:r>
            <w:r w:rsidR="0080504C">
              <w:rPr>
                <w:bCs/>
                <w:color w:val="000000"/>
              </w:rPr>
              <w:t>.5</w:t>
            </w:r>
            <w:r w:rsidRPr="00B6441D">
              <w:rPr>
                <w:bCs/>
                <w:color w:val="000000"/>
              </w:rPr>
              <w:t xml:space="preserve"> FTE</w:t>
            </w:r>
          </w:p>
        </w:tc>
        <w:tc>
          <w:tcPr>
            <w:tcW w:w="1084" w:type="dxa"/>
            <w:tcBorders>
              <w:top w:val="nil"/>
              <w:left w:val="nil"/>
              <w:bottom w:val="single" w:color="auto" w:sz="4" w:space="0"/>
              <w:right w:val="single" w:color="auto" w:sz="4" w:space="0"/>
            </w:tcBorders>
            <w:shd w:val="clear" w:color="auto" w:fill="auto"/>
            <w:noWrap/>
            <w:vAlign w:val="bottom"/>
            <w:hideMark/>
          </w:tcPr>
          <w:p w:rsidRPr="00B6441D" w:rsidR="000A1127" w:rsidP="009F5C3A" w:rsidRDefault="000A1127" w14:paraId="77E2D5AF" w14:textId="77777777">
            <w:pPr>
              <w:jc w:val="center"/>
              <w:rPr>
                <w:bCs/>
              </w:rPr>
            </w:pPr>
            <w:r w:rsidRPr="00B6441D">
              <w:rPr>
                <w:bCs/>
              </w:rPr>
              <w:t>4</w:t>
            </w:r>
          </w:p>
        </w:tc>
        <w:tc>
          <w:tcPr>
            <w:tcW w:w="1084" w:type="dxa"/>
            <w:tcBorders>
              <w:top w:val="nil"/>
              <w:left w:val="nil"/>
              <w:bottom w:val="single" w:color="auto" w:sz="4" w:space="0"/>
              <w:right w:val="single" w:color="auto" w:sz="4" w:space="0"/>
            </w:tcBorders>
            <w:shd w:val="clear" w:color="auto" w:fill="auto"/>
            <w:noWrap/>
            <w:vAlign w:val="bottom"/>
            <w:hideMark/>
          </w:tcPr>
          <w:p w:rsidRPr="00B6441D" w:rsidR="000A1127" w:rsidP="009F5C3A" w:rsidRDefault="000A1127" w14:paraId="542C9BF9" w14:textId="77777777">
            <w:pPr>
              <w:jc w:val="center"/>
              <w:rPr>
                <w:bCs/>
              </w:rPr>
            </w:pPr>
            <w:r w:rsidRPr="00B6441D">
              <w:rPr>
                <w:bCs/>
              </w:rPr>
              <w:t>11</w:t>
            </w:r>
          </w:p>
        </w:tc>
        <w:tc>
          <w:tcPr>
            <w:tcW w:w="1084" w:type="dxa"/>
            <w:vMerge/>
            <w:tcBorders>
              <w:left w:val="nil"/>
              <w:right w:val="single" w:color="auto" w:sz="4" w:space="0"/>
            </w:tcBorders>
            <w:shd w:val="clear" w:color="auto" w:fill="808080" w:themeFill="background1" w:themeFillShade="80"/>
          </w:tcPr>
          <w:p w:rsidRPr="00B6441D" w:rsidR="000A1127" w:rsidP="009F5C3A" w:rsidRDefault="000A1127" w14:paraId="4E6893F8" w14:textId="77777777">
            <w:pPr>
              <w:jc w:val="center"/>
              <w:rPr>
                <w:bCs/>
              </w:rPr>
            </w:pPr>
          </w:p>
        </w:tc>
      </w:tr>
      <w:tr w:rsidRPr="00D833C1" w:rsidR="000A1127" w:rsidTr="00156904" w14:paraId="73EBD7A7" w14:textId="77777777">
        <w:trPr>
          <w:trHeight w:val="151"/>
        </w:trPr>
        <w:tc>
          <w:tcPr>
            <w:tcW w:w="3155" w:type="dxa"/>
            <w:tcBorders>
              <w:top w:val="nil"/>
              <w:left w:val="single" w:color="auto" w:sz="4" w:space="0"/>
              <w:bottom w:val="single" w:color="auto" w:sz="4" w:space="0"/>
              <w:right w:val="single" w:color="auto" w:sz="4" w:space="0"/>
            </w:tcBorders>
            <w:shd w:val="clear" w:color="auto" w:fill="auto"/>
            <w:vAlign w:val="center"/>
            <w:hideMark/>
          </w:tcPr>
          <w:p w:rsidRPr="00B6441D" w:rsidR="000A1127" w:rsidP="009F5C3A" w:rsidRDefault="000A1127" w14:paraId="5D08269F" w14:textId="7DC229A0">
            <w:pPr>
              <w:jc w:val="right"/>
              <w:rPr>
                <w:bCs/>
                <w:color w:val="000000"/>
              </w:rPr>
            </w:pPr>
            <w:r w:rsidRPr="00B6441D">
              <w:rPr>
                <w:bCs/>
                <w:color w:val="000000"/>
              </w:rPr>
              <w:t>25 to 49</w:t>
            </w:r>
            <w:r w:rsidR="0080504C">
              <w:rPr>
                <w:bCs/>
                <w:color w:val="000000"/>
              </w:rPr>
              <w:t>.5</w:t>
            </w:r>
            <w:r w:rsidRPr="00B6441D">
              <w:rPr>
                <w:bCs/>
                <w:color w:val="000000"/>
              </w:rPr>
              <w:t xml:space="preserve"> FTE</w:t>
            </w:r>
          </w:p>
        </w:tc>
        <w:tc>
          <w:tcPr>
            <w:tcW w:w="1084" w:type="dxa"/>
            <w:tcBorders>
              <w:top w:val="nil"/>
              <w:left w:val="nil"/>
              <w:bottom w:val="single" w:color="auto" w:sz="4" w:space="0"/>
              <w:right w:val="single" w:color="auto" w:sz="4" w:space="0"/>
            </w:tcBorders>
            <w:shd w:val="clear" w:color="auto" w:fill="auto"/>
            <w:noWrap/>
            <w:vAlign w:val="bottom"/>
            <w:hideMark/>
          </w:tcPr>
          <w:p w:rsidRPr="00B6441D" w:rsidR="000A1127" w:rsidP="009F5C3A" w:rsidRDefault="000A1127" w14:paraId="1CBE8246" w14:textId="77777777">
            <w:pPr>
              <w:jc w:val="center"/>
              <w:rPr>
                <w:bCs/>
              </w:rPr>
            </w:pPr>
            <w:r w:rsidRPr="00B6441D">
              <w:rPr>
                <w:bCs/>
              </w:rPr>
              <w:t>5</w:t>
            </w:r>
          </w:p>
        </w:tc>
        <w:tc>
          <w:tcPr>
            <w:tcW w:w="1084" w:type="dxa"/>
            <w:tcBorders>
              <w:top w:val="nil"/>
              <w:left w:val="nil"/>
              <w:bottom w:val="single" w:color="auto" w:sz="4" w:space="0"/>
              <w:right w:val="single" w:color="auto" w:sz="4" w:space="0"/>
            </w:tcBorders>
            <w:shd w:val="clear" w:color="auto" w:fill="auto"/>
            <w:noWrap/>
            <w:vAlign w:val="bottom"/>
            <w:hideMark/>
          </w:tcPr>
          <w:p w:rsidRPr="00B6441D" w:rsidR="000A1127" w:rsidP="009F5C3A" w:rsidRDefault="000A1127" w14:paraId="5398691B" w14:textId="77777777">
            <w:pPr>
              <w:jc w:val="center"/>
              <w:rPr>
                <w:bCs/>
              </w:rPr>
            </w:pPr>
            <w:r w:rsidRPr="00B6441D">
              <w:rPr>
                <w:bCs/>
              </w:rPr>
              <w:t>12</w:t>
            </w:r>
          </w:p>
        </w:tc>
        <w:tc>
          <w:tcPr>
            <w:tcW w:w="1084" w:type="dxa"/>
            <w:vMerge/>
            <w:tcBorders>
              <w:left w:val="nil"/>
              <w:right w:val="single" w:color="auto" w:sz="4" w:space="0"/>
            </w:tcBorders>
            <w:shd w:val="clear" w:color="auto" w:fill="808080" w:themeFill="background1" w:themeFillShade="80"/>
          </w:tcPr>
          <w:p w:rsidRPr="00B6441D" w:rsidR="000A1127" w:rsidP="009F5C3A" w:rsidRDefault="000A1127" w14:paraId="19051B0F" w14:textId="77777777">
            <w:pPr>
              <w:jc w:val="center"/>
              <w:rPr>
                <w:bCs/>
              </w:rPr>
            </w:pPr>
          </w:p>
        </w:tc>
      </w:tr>
      <w:tr w:rsidRPr="00D833C1" w:rsidR="000A1127" w:rsidTr="00156904" w14:paraId="50F6545B" w14:textId="77777777">
        <w:trPr>
          <w:trHeight w:val="151"/>
        </w:trPr>
        <w:tc>
          <w:tcPr>
            <w:tcW w:w="3155" w:type="dxa"/>
            <w:tcBorders>
              <w:top w:val="nil"/>
              <w:left w:val="single" w:color="auto" w:sz="4" w:space="0"/>
              <w:bottom w:val="single" w:color="auto" w:sz="4" w:space="0"/>
              <w:right w:val="single" w:color="auto" w:sz="4" w:space="0"/>
            </w:tcBorders>
            <w:shd w:val="clear" w:color="auto" w:fill="auto"/>
            <w:vAlign w:val="center"/>
            <w:hideMark/>
          </w:tcPr>
          <w:p w:rsidRPr="00B6441D" w:rsidR="000A1127" w:rsidP="009F5C3A" w:rsidRDefault="009E218E" w14:paraId="39BD0D44" w14:textId="491750CB">
            <w:pPr>
              <w:jc w:val="right"/>
              <w:rPr>
                <w:bCs/>
                <w:color w:val="000000"/>
              </w:rPr>
            </w:pPr>
            <w:r>
              <w:rPr>
                <w:bCs/>
                <w:color w:val="000000"/>
              </w:rPr>
              <w:t>50</w:t>
            </w:r>
            <w:r w:rsidRPr="00B6441D" w:rsidR="000A1127">
              <w:rPr>
                <w:bCs/>
                <w:color w:val="000000"/>
              </w:rPr>
              <w:t xml:space="preserve"> to 99</w:t>
            </w:r>
            <w:r w:rsidR="0080504C">
              <w:rPr>
                <w:bCs/>
                <w:color w:val="000000"/>
              </w:rPr>
              <w:t>.5</w:t>
            </w:r>
            <w:r w:rsidRPr="00B6441D" w:rsidR="000A1127">
              <w:rPr>
                <w:bCs/>
                <w:color w:val="000000"/>
              </w:rPr>
              <w:t xml:space="preserve"> FTE</w:t>
            </w:r>
          </w:p>
        </w:tc>
        <w:tc>
          <w:tcPr>
            <w:tcW w:w="1084" w:type="dxa"/>
            <w:tcBorders>
              <w:top w:val="nil"/>
              <w:left w:val="nil"/>
              <w:bottom w:val="single" w:color="auto" w:sz="4" w:space="0"/>
              <w:right w:val="single" w:color="auto" w:sz="4" w:space="0"/>
            </w:tcBorders>
            <w:shd w:val="clear" w:color="auto" w:fill="auto"/>
            <w:noWrap/>
            <w:vAlign w:val="bottom"/>
            <w:hideMark/>
          </w:tcPr>
          <w:p w:rsidRPr="00B6441D" w:rsidR="000A1127" w:rsidP="009F5C3A" w:rsidRDefault="000A1127" w14:paraId="24B2BD40" w14:textId="77777777">
            <w:pPr>
              <w:jc w:val="center"/>
              <w:rPr>
                <w:bCs/>
              </w:rPr>
            </w:pPr>
            <w:r w:rsidRPr="00B6441D">
              <w:rPr>
                <w:bCs/>
              </w:rPr>
              <w:t>6</w:t>
            </w:r>
          </w:p>
        </w:tc>
        <w:tc>
          <w:tcPr>
            <w:tcW w:w="1084" w:type="dxa"/>
            <w:tcBorders>
              <w:top w:val="nil"/>
              <w:left w:val="nil"/>
              <w:bottom w:val="single" w:color="auto" w:sz="4" w:space="0"/>
              <w:right w:val="single" w:color="auto" w:sz="4" w:space="0"/>
            </w:tcBorders>
            <w:shd w:val="clear" w:color="auto" w:fill="auto"/>
            <w:noWrap/>
            <w:vAlign w:val="bottom"/>
            <w:hideMark/>
          </w:tcPr>
          <w:p w:rsidRPr="00B6441D" w:rsidR="000A1127" w:rsidP="009F5C3A" w:rsidRDefault="000A1127" w14:paraId="78130807" w14:textId="77777777">
            <w:pPr>
              <w:jc w:val="center"/>
              <w:rPr>
                <w:bCs/>
              </w:rPr>
            </w:pPr>
            <w:r w:rsidRPr="00B6441D">
              <w:rPr>
                <w:bCs/>
              </w:rPr>
              <w:t>13</w:t>
            </w:r>
          </w:p>
        </w:tc>
        <w:tc>
          <w:tcPr>
            <w:tcW w:w="1084" w:type="dxa"/>
            <w:vMerge/>
            <w:tcBorders>
              <w:left w:val="nil"/>
              <w:bottom w:val="single" w:color="auto" w:sz="4" w:space="0"/>
              <w:right w:val="single" w:color="auto" w:sz="4" w:space="0"/>
            </w:tcBorders>
            <w:shd w:val="clear" w:color="auto" w:fill="808080" w:themeFill="background1" w:themeFillShade="80"/>
          </w:tcPr>
          <w:p w:rsidRPr="00B6441D" w:rsidR="000A1127" w:rsidP="009F5C3A" w:rsidRDefault="000A1127" w14:paraId="0D27F533" w14:textId="77777777">
            <w:pPr>
              <w:jc w:val="center"/>
              <w:rPr>
                <w:bCs/>
              </w:rPr>
            </w:pPr>
          </w:p>
        </w:tc>
      </w:tr>
      <w:tr w:rsidRPr="00D833C1" w:rsidR="000A1127" w:rsidTr="00156904" w14:paraId="71B8A28B" w14:textId="77777777">
        <w:trPr>
          <w:trHeight w:val="151"/>
        </w:trPr>
        <w:tc>
          <w:tcPr>
            <w:tcW w:w="3155" w:type="dxa"/>
            <w:tcBorders>
              <w:top w:val="nil"/>
              <w:left w:val="single" w:color="auto" w:sz="4" w:space="0"/>
              <w:bottom w:val="single" w:color="auto" w:sz="4" w:space="0"/>
              <w:right w:val="single" w:color="auto" w:sz="4" w:space="0"/>
            </w:tcBorders>
            <w:shd w:val="clear" w:color="auto" w:fill="auto"/>
            <w:vAlign w:val="center"/>
            <w:hideMark/>
          </w:tcPr>
          <w:p w:rsidRPr="00B6441D" w:rsidR="000A1127" w:rsidP="009F5C3A" w:rsidRDefault="000A1127" w14:paraId="150F150E" w14:textId="77777777">
            <w:pPr>
              <w:jc w:val="right"/>
              <w:rPr>
                <w:bCs/>
                <w:color w:val="000000"/>
              </w:rPr>
            </w:pPr>
            <w:r w:rsidRPr="00B6441D">
              <w:rPr>
                <w:bCs/>
                <w:color w:val="000000"/>
              </w:rPr>
              <w:t>100 or More FTE</w:t>
            </w:r>
          </w:p>
        </w:tc>
        <w:tc>
          <w:tcPr>
            <w:tcW w:w="1084" w:type="dxa"/>
            <w:tcBorders>
              <w:top w:val="single" w:color="auto" w:sz="4" w:space="0"/>
              <w:left w:val="nil"/>
              <w:bottom w:val="single" w:color="auto" w:sz="4" w:space="0"/>
              <w:right w:val="single" w:color="auto" w:sz="4" w:space="0"/>
            </w:tcBorders>
            <w:shd w:val="clear" w:color="auto" w:fill="EEECE1" w:themeFill="background2"/>
            <w:noWrap/>
            <w:vAlign w:val="bottom"/>
            <w:hideMark/>
          </w:tcPr>
          <w:p w:rsidRPr="00B6441D" w:rsidR="000A1127" w:rsidP="009F5C3A" w:rsidRDefault="000A1127" w14:paraId="7EA7866F" w14:textId="77777777">
            <w:pPr>
              <w:jc w:val="center"/>
              <w:rPr>
                <w:bCs/>
              </w:rPr>
            </w:pPr>
            <w:r w:rsidRPr="00B6441D">
              <w:rPr>
                <w:bCs/>
              </w:rPr>
              <w:t>7</w:t>
            </w:r>
          </w:p>
        </w:tc>
        <w:tc>
          <w:tcPr>
            <w:tcW w:w="1084" w:type="dxa"/>
            <w:tcBorders>
              <w:top w:val="single" w:color="auto" w:sz="4" w:space="0"/>
              <w:left w:val="nil"/>
              <w:bottom w:val="single" w:color="auto" w:sz="4" w:space="0"/>
              <w:right w:val="single" w:color="auto" w:sz="4" w:space="0"/>
            </w:tcBorders>
            <w:shd w:val="clear" w:color="auto" w:fill="EEECE1" w:themeFill="background2"/>
            <w:noWrap/>
            <w:vAlign w:val="bottom"/>
            <w:hideMark/>
          </w:tcPr>
          <w:p w:rsidRPr="00B6441D" w:rsidR="000A1127" w:rsidP="009F5C3A" w:rsidRDefault="000A1127" w14:paraId="7BDD540B" w14:textId="77777777">
            <w:pPr>
              <w:jc w:val="center"/>
              <w:rPr>
                <w:bCs/>
              </w:rPr>
            </w:pPr>
            <w:r w:rsidRPr="00B6441D">
              <w:rPr>
                <w:bCs/>
              </w:rPr>
              <w:t>14</w:t>
            </w:r>
          </w:p>
        </w:tc>
        <w:tc>
          <w:tcPr>
            <w:tcW w:w="1084" w:type="dxa"/>
            <w:tcBorders>
              <w:top w:val="single" w:color="auto" w:sz="4" w:space="0"/>
              <w:left w:val="nil"/>
              <w:bottom w:val="single" w:color="auto" w:sz="4" w:space="0"/>
              <w:right w:val="single" w:color="auto" w:sz="4" w:space="0"/>
            </w:tcBorders>
            <w:shd w:val="clear" w:color="auto" w:fill="EEECE1" w:themeFill="background2"/>
          </w:tcPr>
          <w:p w:rsidRPr="00B6441D" w:rsidR="000A1127" w:rsidP="009F5C3A" w:rsidRDefault="000A1127" w14:paraId="74EE36C9" w14:textId="77777777">
            <w:pPr>
              <w:jc w:val="center"/>
              <w:rPr>
                <w:bCs/>
              </w:rPr>
            </w:pPr>
            <w:r w:rsidRPr="00B6441D">
              <w:rPr>
                <w:bCs/>
              </w:rPr>
              <w:t>15</w:t>
            </w:r>
          </w:p>
        </w:tc>
      </w:tr>
    </w:tbl>
    <w:p w:rsidR="000A1127" w:rsidP="000A1127" w:rsidRDefault="000A1127" w14:paraId="5340B37E" w14:textId="77777777">
      <w:pPr>
        <w:pStyle w:val="Default"/>
        <w:rPr>
          <w:rFonts w:ascii="Times New Roman" w:hAnsi="Times New Roman" w:cs="Times New Roman"/>
        </w:rPr>
      </w:pPr>
      <w:r>
        <w:rPr>
          <w:rFonts w:ascii="Times New Roman" w:hAnsi="Times New Roman" w:cs="Times New Roman"/>
        </w:rPr>
        <w:t xml:space="preserve"> </w:t>
      </w:r>
    </w:p>
    <w:p w:rsidR="000A1127" w:rsidP="000A1127" w:rsidRDefault="000A1127" w14:paraId="7432D27F" w14:textId="12082AB4">
      <w:pPr>
        <w:pStyle w:val="Default"/>
        <w:rPr>
          <w:rFonts w:ascii="Times New Roman" w:hAnsi="Times New Roman" w:cs="Times New Roman"/>
        </w:rPr>
      </w:pPr>
      <w:r>
        <w:rPr>
          <w:rFonts w:ascii="Times New Roman" w:hAnsi="Times New Roman" w:cs="Times New Roman"/>
        </w:rPr>
        <w:t>The NSR agencies have traditionally been subdivided into six strata based on the number of FTE. T</w:t>
      </w:r>
      <w:r w:rsidRPr="00EB419B">
        <w:rPr>
          <w:rFonts w:ascii="Times New Roman" w:hAnsi="Times New Roman" w:cs="Times New Roman"/>
        </w:rPr>
        <w:t>he</w:t>
      </w:r>
      <w:r>
        <w:rPr>
          <w:rFonts w:ascii="Times New Roman" w:hAnsi="Times New Roman" w:cs="Times New Roman"/>
        </w:rPr>
        <w:t>se groupings</w:t>
      </w:r>
      <w:r w:rsidRPr="00EB419B">
        <w:rPr>
          <w:rFonts w:ascii="Times New Roman" w:hAnsi="Times New Roman" w:cs="Times New Roman"/>
        </w:rPr>
        <w:t xml:space="preserve"> have been used historically by BJS for reporting key characteris</w:t>
      </w:r>
      <w:r>
        <w:rPr>
          <w:rFonts w:ascii="Times New Roman" w:hAnsi="Times New Roman" w:cs="Times New Roman"/>
        </w:rPr>
        <w:t>tics of officers and agencies. T</w:t>
      </w:r>
      <w:r w:rsidRPr="00EB419B">
        <w:rPr>
          <w:rFonts w:ascii="Times New Roman" w:hAnsi="Times New Roman" w:cs="Times New Roman"/>
        </w:rPr>
        <w:t>hey also serve as a stratification factor since independent samples would be drawn from each</w:t>
      </w:r>
      <w:r>
        <w:rPr>
          <w:rFonts w:ascii="Times New Roman" w:hAnsi="Times New Roman" w:cs="Times New Roman"/>
        </w:rPr>
        <w:t xml:space="preserve"> agency-type-by-size stratum.  Such stratification</w:t>
      </w:r>
      <w:r w:rsidRPr="00EB419B">
        <w:rPr>
          <w:rFonts w:ascii="Times New Roman" w:hAnsi="Times New Roman" w:cs="Times New Roman"/>
        </w:rPr>
        <w:t xml:space="preserve"> will increase the statistical precision of estimates at both officer and agency levels</w:t>
      </w:r>
      <w:r>
        <w:rPr>
          <w:rFonts w:ascii="Times New Roman" w:hAnsi="Times New Roman" w:cs="Times New Roman"/>
        </w:rPr>
        <w:t>. The size cut points have been used in prior LEMAS sampling designs</w:t>
      </w:r>
      <w:r w:rsidR="00405393">
        <w:rPr>
          <w:rFonts w:ascii="Times New Roman" w:hAnsi="Times New Roman" w:cs="Times New Roman"/>
        </w:rPr>
        <w:t xml:space="preserve">; these cut points are </w:t>
      </w:r>
      <w:r>
        <w:rPr>
          <w:rFonts w:ascii="Times New Roman" w:hAnsi="Times New Roman" w:cs="Times New Roman"/>
        </w:rPr>
        <w:t xml:space="preserve">retained </w:t>
      </w:r>
      <w:r w:rsidR="00405393">
        <w:rPr>
          <w:rFonts w:ascii="Times New Roman" w:hAnsi="Times New Roman" w:cs="Times New Roman"/>
        </w:rPr>
        <w:t>in the 2020 LEMAS for</w:t>
      </w:r>
      <w:r>
        <w:rPr>
          <w:rFonts w:ascii="Times New Roman" w:hAnsi="Times New Roman" w:cs="Times New Roman"/>
        </w:rPr>
        <w:t xml:space="preserve"> consistency between </w:t>
      </w:r>
      <w:r w:rsidR="00405393">
        <w:rPr>
          <w:rFonts w:ascii="Times New Roman" w:hAnsi="Times New Roman" w:cs="Times New Roman"/>
        </w:rPr>
        <w:t>current and past data collections</w:t>
      </w:r>
      <w:r>
        <w:rPr>
          <w:rFonts w:ascii="Times New Roman" w:hAnsi="Times New Roman" w:cs="Times New Roman"/>
        </w:rPr>
        <w:t xml:space="preserve">.  </w:t>
      </w:r>
    </w:p>
    <w:p w:rsidR="000A1127" w:rsidP="00F84901" w:rsidRDefault="000A1127" w14:paraId="5CC2374A" w14:textId="77777777">
      <w:pPr>
        <w:pStyle w:val="SP-SglSpPara"/>
        <w:ind w:firstLine="0"/>
        <w:jc w:val="left"/>
        <w:rPr>
          <w:sz w:val="24"/>
          <w:szCs w:val="24"/>
        </w:rPr>
      </w:pPr>
    </w:p>
    <w:p w:rsidR="00047767" w:rsidP="00F84901" w:rsidRDefault="00F84901" w14:paraId="21CFF41E" w14:textId="693E58E5">
      <w:pPr>
        <w:pStyle w:val="SP-SglSpPara"/>
        <w:ind w:firstLine="0"/>
        <w:jc w:val="left"/>
        <w:rPr>
          <w:sz w:val="24"/>
          <w:szCs w:val="24"/>
        </w:rPr>
      </w:pPr>
      <w:r>
        <w:rPr>
          <w:sz w:val="24"/>
          <w:szCs w:val="24"/>
        </w:rPr>
        <w:lastRenderedPageBreak/>
        <w:t xml:space="preserve">The </w:t>
      </w:r>
      <w:r w:rsidR="007D71DA">
        <w:rPr>
          <w:sz w:val="24"/>
          <w:szCs w:val="24"/>
        </w:rPr>
        <w:t>2020</w:t>
      </w:r>
      <w:r w:rsidR="00FE69CD">
        <w:rPr>
          <w:sz w:val="24"/>
          <w:szCs w:val="24"/>
        </w:rPr>
        <w:t xml:space="preserve"> </w:t>
      </w:r>
      <w:r>
        <w:rPr>
          <w:sz w:val="24"/>
          <w:szCs w:val="24"/>
        </w:rPr>
        <w:t xml:space="preserve">LEMAS survey </w:t>
      </w:r>
      <w:r w:rsidR="00FE69CD">
        <w:rPr>
          <w:sz w:val="24"/>
          <w:szCs w:val="24"/>
        </w:rPr>
        <w:t>address</w:t>
      </w:r>
      <w:r w:rsidR="000C4C24">
        <w:rPr>
          <w:sz w:val="24"/>
          <w:szCs w:val="24"/>
        </w:rPr>
        <w:t>es</w:t>
      </w:r>
      <w:r w:rsidR="00FE69CD">
        <w:rPr>
          <w:sz w:val="24"/>
          <w:szCs w:val="24"/>
        </w:rPr>
        <w:t xml:space="preserve"> </w:t>
      </w:r>
      <w:r>
        <w:rPr>
          <w:sz w:val="24"/>
          <w:szCs w:val="24"/>
        </w:rPr>
        <w:t>a wide</w:t>
      </w:r>
      <w:r w:rsidR="00FE69CD">
        <w:rPr>
          <w:sz w:val="24"/>
          <w:szCs w:val="24"/>
        </w:rPr>
        <w:t xml:space="preserve"> </w:t>
      </w:r>
      <w:r>
        <w:rPr>
          <w:sz w:val="24"/>
          <w:szCs w:val="24"/>
        </w:rPr>
        <w:t xml:space="preserve">array of topics. </w:t>
      </w:r>
      <w:r w:rsidR="00F8259C">
        <w:rPr>
          <w:sz w:val="24"/>
          <w:szCs w:val="24"/>
        </w:rPr>
        <w:t>S</w:t>
      </w:r>
      <w:r>
        <w:rPr>
          <w:sz w:val="24"/>
          <w:szCs w:val="24"/>
        </w:rPr>
        <w:t>ix</w:t>
      </w:r>
      <w:r w:rsidRPr="00707135">
        <w:rPr>
          <w:sz w:val="24"/>
          <w:szCs w:val="24"/>
        </w:rPr>
        <w:t xml:space="preserve"> </w:t>
      </w:r>
      <w:r w:rsidR="00047767">
        <w:rPr>
          <w:sz w:val="24"/>
          <w:szCs w:val="24"/>
        </w:rPr>
        <w:t xml:space="preserve">statistics </w:t>
      </w:r>
      <w:r w:rsidR="00F8259C">
        <w:rPr>
          <w:sz w:val="24"/>
          <w:szCs w:val="24"/>
        </w:rPr>
        <w:t xml:space="preserve">have been identified as appropriate </w:t>
      </w:r>
      <w:r w:rsidR="00047767">
        <w:rPr>
          <w:sz w:val="24"/>
          <w:szCs w:val="24"/>
        </w:rPr>
        <w:t xml:space="preserve">to consider: </w:t>
      </w:r>
    </w:p>
    <w:p w:rsidR="00047767" w:rsidP="00F84901" w:rsidRDefault="00047767" w14:paraId="41D4DB65" w14:textId="77777777">
      <w:pPr>
        <w:pStyle w:val="SP-SglSpPara"/>
        <w:ind w:firstLine="0"/>
        <w:jc w:val="left"/>
        <w:rPr>
          <w:sz w:val="24"/>
          <w:szCs w:val="24"/>
        </w:rPr>
      </w:pPr>
    </w:p>
    <w:p w:rsidRPr="00D534B2" w:rsidR="00594C83" w:rsidP="00D534B2" w:rsidRDefault="000C4C24" w14:paraId="1DF189E2" w14:textId="13E06E69">
      <w:pPr>
        <w:pStyle w:val="ListParagraph"/>
        <w:numPr>
          <w:ilvl w:val="0"/>
          <w:numId w:val="25"/>
        </w:numPr>
        <w:rPr>
          <w:b/>
        </w:rPr>
      </w:pPr>
      <w:r>
        <w:t>A</w:t>
      </w:r>
      <w:r w:rsidRPr="00594C83" w:rsidR="00F84901">
        <w:t>gency</w:t>
      </w:r>
      <w:r w:rsidR="00594C83">
        <w:t>-</w:t>
      </w:r>
      <w:r w:rsidRPr="00594C83" w:rsidR="00F84901">
        <w:t>level statistics—</w:t>
      </w:r>
      <w:r>
        <w:t xml:space="preserve"> (1) </w:t>
      </w:r>
      <w:r w:rsidRPr="00594C83" w:rsidR="00F84901">
        <w:t xml:space="preserve">average annual operating budget, </w:t>
      </w:r>
      <w:r>
        <w:t xml:space="preserve">(2) </w:t>
      </w:r>
      <w:r w:rsidRPr="00594C83" w:rsidR="00F84901">
        <w:t>percent of agencies using body-worn cameras</w:t>
      </w:r>
      <w:r w:rsidR="00594C83">
        <w:t xml:space="preserve"> (BWC)</w:t>
      </w:r>
      <w:r w:rsidRPr="00594C83" w:rsidR="00F84901">
        <w:t>, and</w:t>
      </w:r>
      <w:r>
        <w:t xml:space="preserve"> (3)</w:t>
      </w:r>
      <w:r w:rsidRPr="00594C83" w:rsidR="00F84901">
        <w:t xml:space="preserve"> percent of agencies with </w:t>
      </w:r>
      <w:r w:rsidR="00413C62">
        <w:t>community policing in their mission statement</w:t>
      </w:r>
    </w:p>
    <w:p w:rsidRPr="00D534B2" w:rsidR="00594C83" w:rsidP="00D534B2" w:rsidRDefault="000C4C24" w14:paraId="564374EC" w14:textId="59D25F8F">
      <w:pPr>
        <w:pStyle w:val="ListParagraph"/>
        <w:numPr>
          <w:ilvl w:val="0"/>
          <w:numId w:val="25"/>
        </w:numPr>
        <w:rPr>
          <w:b/>
        </w:rPr>
      </w:pPr>
      <w:r>
        <w:t>P</w:t>
      </w:r>
      <w:r w:rsidRPr="00594C83" w:rsidR="00F84901">
        <w:t>ersonnel</w:t>
      </w:r>
      <w:r w:rsidR="00594C83">
        <w:t>-</w:t>
      </w:r>
      <w:r w:rsidRPr="00594C83" w:rsidR="00F84901">
        <w:t>level statistics</w:t>
      </w:r>
      <w:r w:rsidRPr="00594C83" w:rsidR="00594C83">
        <w:t>—</w:t>
      </w:r>
      <w:r>
        <w:t xml:space="preserve"> (4) </w:t>
      </w:r>
      <w:r w:rsidR="006D1FAA">
        <w:t xml:space="preserve">number of full-time sworn officers (FTS), </w:t>
      </w:r>
      <w:r>
        <w:t xml:space="preserve">(5) </w:t>
      </w:r>
      <w:r w:rsidRPr="00594C83" w:rsidR="00F84901">
        <w:t xml:space="preserve">number of full-time </w:t>
      </w:r>
      <w:r w:rsidR="00413C62">
        <w:t>non-sworn</w:t>
      </w:r>
      <w:r w:rsidRPr="00594C83" w:rsidR="00F84901">
        <w:t xml:space="preserve"> </w:t>
      </w:r>
      <w:r w:rsidR="00594C83">
        <w:t>(FT</w:t>
      </w:r>
      <w:r w:rsidR="00413C62">
        <w:t>N</w:t>
      </w:r>
      <w:r w:rsidR="00594C83">
        <w:t>S) officers</w:t>
      </w:r>
      <w:r w:rsidR="006D1FAA">
        <w:t>,</w:t>
      </w:r>
      <w:r w:rsidR="00594C83">
        <w:t xml:space="preserve"> </w:t>
      </w:r>
      <w:r w:rsidRPr="00594C83" w:rsidR="00F84901">
        <w:t>and</w:t>
      </w:r>
      <w:r>
        <w:t xml:space="preserve"> (6)</w:t>
      </w:r>
      <w:r w:rsidRPr="00594C83" w:rsidR="00F84901">
        <w:t xml:space="preserve"> percent of sworn </w:t>
      </w:r>
      <w:r w:rsidR="00594C83">
        <w:t xml:space="preserve">officers </w:t>
      </w:r>
      <w:r w:rsidRPr="00594C83" w:rsidR="00F84901">
        <w:t xml:space="preserve">that are </w:t>
      </w:r>
      <w:r w:rsidR="00413C62">
        <w:t>female</w:t>
      </w:r>
    </w:p>
    <w:p w:rsidR="00594C83" w:rsidP="00D534B2" w:rsidRDefault="00594C83" w14:paraId="74E9690F" w14:textId="77777777"/>
    <w:p w:rsidR="00F84901" w:rsidP="00D534B2" w:rsidRDefault="008A6C4F" w14:paraId="397050CC" w14:textId="17E5279B">
      <w:r>
        <w:t>H</w:t>
      </w:r>
      <w:r w:rsidRPr="00594C83" w:rsidR="00F84901">
        <w:t xml:space="preserve">istoric data from the </w:t>
      </w:r>
      <w:r w:rsidR="00B502CB">
        <w:t>2016</w:t>
      </w:r>
      <w:r w:rsidRPr="00594C83" w:rsidR="00F84901">
        <w:t xml:space="preserve"> LEMAS </w:t>
      </w:r>
      <w:r w:rsidR="00662CA2">
        <w:t>were</w:t>
      </w:r>
      <w:r w:rsidR="00594C83">
        <w:t xml:space="preserve"> </w:t>
      </w:r>
      <w:r w:rsidRPr="00594C83" w:rsidR="00F84901">
        <w:t>used to estimate the mean</w:t>
      </w:r>
      <w:r>
        <w:t>, variance,</w:t>
      </w:r>
      <w:r w:rsidRPr="00594C83" w:rsidR="00F84901">
        <w:t xml:space="preserve"> and standard deviation </w:t>
      </w:r>
      <w:r>
        <w:t xml:space="preserve">of the six statistics </w:t>
      </w:r>
      <w:r w:rsidRPr="00594C83" w:rsidR="00F84901">
        <w:t xml:space="preserve">in each stratum (see </w:t>
      </w:r>
      <w:r w:rsidRPr="00594C83" w:rsidR="00F84901">
        <w:rPr>
          <w:b/>
        </w:rPr>
        <w:t xml:space="preserve">Table </w:t>
      </w:r>
      <w:r w:rsidR="00F84BA4">
        <w:rPr>
          <w:b/>
        </w:rPr>
        <w:t>4</w:t>
      </w:r>
      <w:r w:rsidRPr="00594C83" w:rsidR="00F84901">
        <w:t xml:space="preserve"> and </w:t>
      </w:r>
      <w:r w:rsidRPr="00594C83" w:rsidR="00F84901">
        <w:rPr>
          <w:b/>
        </w:rPr>
        <w:t xml:space="preserve">Table </w:t>
      </w:r>
      <w:r w:rsidR="00F84BA4">
        <w:rPr>
          <w:b/>
        </w:rPr>
        <w:t>5</w:t>
      </w:r>
      <w:r w:rsidR="00544989">
        <w:t>)</w:t>
      </w:r>
      <w:r w:rsidRPr="00594C83" w:rsidR="00F84901">
        <w:t xml:space="preserve">. </w:t>
      </w:r>
    </w:p>
    <w:p w:rsidRPr="00594C83" w:rsidR="00B502CB" w:rsidP="00D534B2" w:rsidRDefault="00B502CB" w14:paraId="3F51C319" w14:textId="77777777">
      <w:pPr>
        <w:rPr>
          <w:b/>
        </w:rPr>
      </w:pPr>
    </w:p>
    <w:p w:rsidRPr="00D13A9F" w:rsidR="00F84901" w:rsidP="00D534B2" w:rsidRDefault="00F84901" w14:paraId="1E1E01B7" w14:textId="47519CC3">
      <w:pPr>
        <w:pStyle w:val="Caption"/>
        <w:keepNext/>
        <w:ind w:left="-720"/>
        <w:rPr>
          <w:rFonts w:ascii="Times New Roman" w:hAnsi="Times New Roman" w:eastAsia="Calibri" w:cs="Times New Roman"/>
          <w:b/>
          <w:bCs/>
          <w:i w:val="0"/>
          <w:iCs w:val="0"/>
          <w:color w:val="auto"/>
          <w:sz w:val="24"/>
          <w:szCs w:val="24"/>
        </w:rPr>
      </w:pPr>
      <w:r w:rsidRPr="00D13A9F">
        <w:rPr>
          <w:rFonts w:ascii="Times New Roman" w:hAnsi="Times New Roman" w:eastAsia="Calibri" w:cs="Times New Roman"/>
          <w:b/>
          <w:bCs/>
          <w:i w:val="0"/>
          <w:iCs w:val="0"/>
          <w:color w:val="auto"/>
          <w:sz w:val="24"/>
          <w:szCs w:val="24"/>
        </w:rPr>
        <w:t xml:space="preserve">Table </w:t>
      </w:r>
      <w:r w:rsidR="00F84BA4">
        <w:rPr>
          <w:rFonts w:ascii="Times New Roman" w:hAnsi="Times New Roman" w:eastAsia="Calibri" w:cs="Times New Roman"/>
          <w:b/>
          <w:bCs/>
          <w:i w:val="0"/>
          <w:iCs w:val="0"/>
          <w:color w:val="auto"/>
          <w:sz w:val="24"/>
          <w:szCs w:val="24"/>
        </w:rPr>
        <w:t>4</w:t>
      </w:r>
      <w:r w:rsidRPr="00D13A9F">
        <w:rPr>
          <w:rFonts w:ascii="Times New Roman" w:hAnsi="Times New Roman" w:eastAsia="Calibri" w:cs="Times New Roman"/>
          <w:b/>
          <w:bCs/>
          <w:i w:val="0"/>
          <w:iCs w:val="0"/>
          <w:color w:val="auto"/>
          <w:sz w:val="24"/>
          <w:szCs w:val="24"/>
        </w:rPr>
        <w:t xml:space="preserve">: </w:t>
      </w:r>
      <w:r>
        <w:rPr>
          <w:rFonts w:ascii="Times New Roman" w:hAnsi="Times New Roman" w:eastAsia="Calibri" w:cs="Times New Roman"/>
          <w:b/>
          <w:bCs/>
          <w:i w:val="0"/>
          <w:iCs w:val="0"/>
          <w:color w:val="auto"/>
          <w:sz w:val="24"/>
          <w:szCs w:val="24"/>
        </w:rPr>
        <w:t xml:space="preserve">Estimates of </w:t>
      </w:r>
      <w:r w:rsidR="00DD5DDC">
        <w:rPr>
          <w:rFonts w:ascii="Times New Roman" w:hAnsi="Times New Roman" w:eastAsia="Calibri" w:cs="Times New Roman"/>
          <w:b/>
          <w:bCs/>
          <w:i w:val="0"/>
          <w:iCs w:val="0"/>
          <w:color w:val="auto"/>
          <w:sz w:val="24"/>
          <w:szCs w:val="24"/>
        </w:rPr>
        <w:t>m</w:t>
      </w:r>
      <w:r>
        <w:rPr>
          <w:rFonts w:ascii="Times New Roman" w:hAnsi="Times New Roman" w:eastAsia="Calibri" w:cs="Times New Roman"/>
          <w:b/>
          <w:bCs/>
          <w:i w:val="0"/>
          <w:iCs w:val="0"/>
          <w:color w:val="auto"/>
          <w:sz w:val="24"/>
          <w:szCs w:val="24"/>
        </w:rPr>
        <w:t>eans/</w:t>
      </w:r>
      <w:r w:rsidR="00DD5DDC">
        <w:rPr>
          <w:rFonts w:ascii="Times New Roman" w:hAnsi="Times New Roman" w:eastAsia="Calibri" w:cs="Times New Roman"/>
          <w:b/>
          <w:bCs/>
          <w:i w:val="0"/>
          <w:iCs w:val="0"/>
          <w:color w:val="auto"/>
          <w:sz w:val="24"/>
          <w:szCs w:val="24"/>
        </w:rPr>
        <w:t>p</w:t>
      </w:r>
      <w:r w:rsidR="007D45D3">
        <w:rPr>
          <w:rFonts w:ascii="Times New Roman" w:hAnsi="Times New Roman" w:eastAsia="Calibri" w:cs="Times New Roman"/>
          <w:b/>
          <w:bCs/>
          <w:i w:val="0"/>
          <w:iCs w:val="0"/>
          <w:color w:val="auto"/>
          <w:sz w:val="24"/>
          <w:szCs w:val="24"/>
        </w:rPr>
        <w:t>ercent</w:t>
      </w:r>
      <w:r w:rsidR="0033314C">
        <w:rPr>
          <w:rFonts w:ascii="Times New Roman" w:hAnsi="Times New Roman" w:eastAsia="Calibri" w:cs="Times New Roman"/>
          <w:b/>
          <w:bCs/>
          <w:i w:val="0"/>
          <w:iCs w:val="0"/>
          <w:color w:val="auto"/>
          <w:sz w:val="24"/>
          <w:szCs w:val="24"/>
        </w:rPr>
        <w:t>age</w:t>
      </w:r>
      <w:r w:rsidR="007D45D3">
        <w:rPr>
          <w:rFonts w:ascii="Times New Roman" w:hAnsi="Times New Roman" w:eastAsia="Calibri" w:cs="Times New Roman"/>
          <w:b/>
          <w:bCs/>
          <w:i w:val="0"/>
          <w:iCs w:val="0"/>
          <w:color w:val="auto"/>
          <w:sz w:val="24"/>
          <w:szCs w:val="24"/>
        </w:rPr>
        <w:t>s</w:t>
      </w:r>
      <w:r w:rsidRPr="00D13A9F" w:rsidR="007D45D3">
        <w:rPr>
          <w:rFonts w:ascii="Times New Roman" w:hAnsi="Times New Roman" w:eastAsia="Calibri" w:cs="Times New Roman"/>
          <w:b/>
          <w:bCs/>
          <w:i w:val="0"/>
          <w:iCs w:val="0"/>
          <w:color w:val="auto"/>
          <w:sz w:val="24"/>
          <w:szCs w:val="24"/>
        </w:rPr>
        <w:t xml:space="preserve"> </w:t>
      </w:r>
      <w:r w:rsidRPr="00D13A9F">
        <w:rPr>
          <w:rFonts w:ascii="Times New Roman" w:hAnsi="Times New Roman" w:eastAsia="Calibri" w:cs="Times New Roman"/>
          <w:b/>
          <w:bCs/>
          <w:i w:val="0"/>
          <w:iCs w:val="0"/>
          <w:color w:val="auto"/>
          <w:sz w:val="24"/>
          <w:szCs w:val="24"/>
        </w:rPr>
        <w:t xml:space="preserve">of </w:t>
      </w:r>
      <w:r w:rsidR="00DD5DDC">
        <w:rPr>
          <w:rFonts w:ascii="Times New Roman" w:hAnsi="Times New Roman" w:eastAsia="Calibri" w:cs="Times New Roman"/>
          <w:b/>
          <w:bCs/>
          <w:i w:val="0"/>
          <w:iCs w:val="0"/>
          <w:color w:val="auto"/>
          <w:sz w:val="24"/>
          <w:szCs w:val="24"/>
        </w:rPr>
        <w:t>s</w:t>
      </w:r>
      <w:r w:rsidR="00594C83">
        <w:rPr>
          <w:rFonts w:ascii="Times New Roman" w:hAnsi="Times New Roman" w:eastAsia="Calibri" w:cs="Times New Roman"/>
          <w:b/>
          <w:bCs/>
          <w:i w:val="0"/>
          <w:iCs w:val="0"/>
          <w:color w:val="auto"/>
          <w:sz w:val="24"/>
          <w:szCs w:val="24"/>
        </w:rPr>
        <w:t xml:space="preserve">elected </w:t>
      </w:r>
      <w:r w:rsidR="00DD5DDC">
        <w:rPr>
          <w:rFonts w:ascii="Times New Roman" w:hAnsi="Times New Roman" w:eastAsia="Calibri" w:cs="Times New Roman"/>
          <w:b/>
          <w:bCs/>
          <w:i w:val="0"/>
          <w:iCs w:val="0"/>
          <w:color w:val="auto"/>
          <w:sz w:val="24"/>
          <w:szCs w:val="24"/>
        </w:rPr>
        <w:t>s</w:t>
      </w:r>
      <w:r w:rsidR="00594C83">
        <w:rPr>
          <w:rFonts w:ascii="Times New Roman" w:hAnsi="Times New Roman" w:eastAsia="Calibri" w:cs="Times New Roman"/>
          <w:b/>
          <w:bCs/>
          <w:i w:val="0"/>
          <w:iCs w:val="0"/>
          <w:color w:val="auto"/>
          <w:sz w:val="24"/>
          <w:szCs w:val="24"/>
        </w:rPr>
        <w:t>tatistics</w:t>
      </w:r>
      <w:r w:rsidR="007D45D3">
        <w:rPr>
          <w:rFonts w:ascii="Times New Roman" w:hAnsi="Times New Roman" w:eastAsia="Calibri" w:cs="Times New Roman"/>
          <w:b/>
          <w:bCs/>
          <w:i w:val="0"/>
          <w:iCs w:val="0"/>
          <w:color w:val="auto"/>
          <w:sz w:val="24"/>
          <w:szCs w:val="24"/>
        </w:rPr>
        <w:t xml:space="preserve">, by </w:t>
      </w:r>
      <w:r w:rsidR="00DD5DDC">
        <w:rPr>
          <w:rFonts w:ascii="Times New Roman" w:hAnsi="Times New Roman" w:eastAsia="Calibri" w:cs="Times New Roman"/>
          <w:b/>
          <w:bCs/>
          <w:i w:val="0"/>
          <w:iCs w:val="0"/>
          <w:color w:val="auto"/>
          <w:sz w:val="24"/>
          <w:szCs w:val="24"/>
        </w:rPr>
        <w:t>s</w:t>
      </w:r>
      <w:r w:rsidR="007D45D3">
        <w:rPr>
          <w:rFonts w:ascii="Times New Roman" w:hAnsi="Times New Roman" w:eastAsia="Calibri" w:cs="Times New Roman"/>
          <w:b/>
          <w:bCs/>
          <w:i w:val="0"/>
          <w:iCs w:val="0"/>
          <w:color w:val="auto"/>
          <w:sz w:val="24"/>
          <w:szCs w:val="24"/>
        </w:rPr>
        <w:t xml:space="preserve">tratum, </w:t>
      </w:r>
      <w:r w:rsidR="00B502CB">
        <w:rPr>
          <w:rFonts w:ascii="Times New Roman" w:hAnsi="Times New Roman" w:eastAsia="Calibri" w:cs="Times New Roman"/>
          <w:b/>
          <w:bCs/>
          <w:i w:val="0"/>
          <w:iCs w:val="0"/>
          <w:color w:val="auto"/>
          <w:sz w:val="24"/>
          <w:szCs w:val="24"/>
        </w:rPr>
        <w:t>2016</w:t>
      </w:r>
      <w:r w:rsidRPr="00D13A9F">
        <w:rPr>
          <w:rFonts w:ascii="Times New Roman" w:hAnsi="Times New Roman" w:eastAsia="Calibri" w:cs="Times New Roman"/>
          <w:b/>
          <w:bCs/>
          <w:i w:val="0"/>
          <w:iCs w:val="0"/>
          <w:color w:val="auto"/>
          <w:sz w:val="24"/>
          <w:szCs w:val="24"/>
        </w:rPr>
        <w:t xml:space="preserve"> LEMAS</w:t>
      </w:r>
    </w:p>
    <w:tbl>
      <w:tblPr>
        <w:tblStyle w:val="TableGrid"/>
        <w:tblW w:w="10743" w:type="dxa"/>
        <w:jc w:val="center"/>
        <w:tblLayout w:type="fixed"/>
        <w:tblLook w:val="04A0" w:firstRow="1" w:lastRow="0" w:firstColumn="1" w:lastColumn="0" w:noHBand="0" w:noVBand="1"/>
      </w:tblPr>
      <w:tblGrid>
        <w:gridCol w:w="1705"/>
        <w:gridCol w:w="1350"/>
        <w:gridCol w:w="1620"/>
        <w:gridCol w:w="990"/>
        <w:gridCol w:w="1440"/>
        <w:gridCol w:w="1170"/>
        <w:gridCol w:w="1260"/>
        <w:gridCol w:w="1208"/>
      </w:tblGrid>
      <w:tr w:rsidRPr="002E1515" w:rsidR="00672455" w:rsidTr="00830786" w14:paraId="5F65314C" w14:textId="77777777">
        <w:trPr>
          <w:tblHeader/>
          <w:jc w:val="center"/>
        </w:trPr>
        <w:tc>
          <w:tcPr>
            <w:tcW w:w="1705" w:type="dxa"/>
            <w:shd w:val="clear" w:color="auto" w:fill="C6D9F1" w:themeFill="text2" w:themeFillTint="33"/>
            <w:vAlign w:val="bottom"/>
          </w:tcPr>
          <w:p w:rsidRPr="002E1515" w:rsidR="007D45D3" w:rsidP="00C87BA8" w:rsidRDefault="007D45D3" w14:paraId="003478EA" w14:textId="77777777">
            <w:pPr>
              <w:jc w:val="center"/>
            </w:pPr>
            <w:r w:rsidRPr="002E1515">
              <w:t>Agency Type</w:t>
            </w:r>
          </w:p>
        </w:tc>
        <w:tc>
          <w:tcPr>
            <w:tcW w:w="1350" w:type="dxa"/>
            <w:shd w:val="clear" w:color="auto" w:fill="C6D9F1" w:themeFill="text2" w:themeFillTint="33"/>
            <w:vAlign w:val="bottom"/>
          </w:tcPr>
          <w:p w:rsidRPr="002E1515" w:rsidR="007D45D3" w:rsidP="00570489" w:rsidRDefault="007D45D3" w14:paraId="780F5BA8" w14:textId="77777777">
            <w:pPr>
              <w:jc w:val="center"/>
            </w:pPr>
            <w:r>
              <w:t>Agency Size</w:t>
            </w:r>
            <w:r w:rsidRPr="00D534B2">
              <w:rPr>
                <w:vertAlign w:val="superscript"/>
              </w:rPr>
              <w:t>a</w:t>
            </w:r>
          </w:p>
        </w:tc>
        <w:tc>
          <w:tcPr>
            <w:tcW w:w="1620" w:type="dxa"/>
            <w:shd w:val="clear" w:color="auto" w:fill="C6D9F1" w:themeFill="text2" w:themeFillTint="33"/>
            <w:vAlign w:val="bottom"/>
          </w:tcPr>
          <w:p w:rsidR="007D45D3" w:rsidP="00D534B2" w:rsidRDefault="007D45D3" w14:paraId="003C3426" w14:textId="0D33B9A5">
            <w:pPr>
              <w:jc w:val="center"/>
            </w:pPr>
            <w:r>
              <w:t>Budget</w:t>
            </w:r>
            <w:r w:rsidR="00CF12FE">
              <w:t xml:space="preserve"> ($1,000s)</w:t>
            </w:r>
          </w:p>
        </w:tc>
        <w:tc>
          <w:tcPr>
            <w:tcW w:w="990" w:type="dxa"/>
            <w:shd w:val="clear" w:color="auto" w:fill="C6D9F1" w:themeFill="text2" w:themeFillTint="33"/>
            <w:vAlign w:val="bottom"/>
          </w:tcPr>
          <w:p w:rsidR="007D45D3" w:rsidP="00D534B2" w:rsidRDefault="007D45D3" w14:paraId="20A937E6" w14:textId="0447516F">
            <w:pPr>
              <w:jc w:val="center"/>
            </w:pPr>
            <w:r>
              <w:t>BWC Usage</w:t>
            </w:r>
            <w:r w:rsidR="00F66958">
              <w:t xml:space="preserve"> (%)</w:t>
            </w:r>
          </w:p>
        </w:tc>
        <w:tc>
          <w:tcPr>
            <w:tcW w:w="1440" w:type="dxa"/>
            <w:shd w:val="clear" w:color="auto" w:fill="C6D9F1" w:themeFill="text2" w:themeFillTint="33"/>
            <w:vAlign w:val="bottom"/>
          </w:tcPr>
          <w:p w:rsidR="007D45D3" w:rsidP="00D534B2" w:rsidRDefault="007D45D3" w14:paraId="16D23ED6" w14:textId="2882C76F">
            <w:pPr>
              <w:jc w:val="center"/>
            </w:pPr>
            <w:r>
              <w:t>Community Policing</w:t>
            </w:r>
            <w:r w:rsidR="00F66958">
              <w:t xml:space="preserve"> (%)</w:t>
            </w:r>
          </w:p>
        </w:tc>
        <w:tc>
          <w:tcPr>
            <w:tcW w:w="1170" w:type="dxa"/>
            <w:shd w:val="clear" w:color="auto" w:fill="C6D9F1" w:themeFill="text2" w:themeFillTint="33"/>
          </w:tcPr>
          <w:p w:rsidR="007D45D3" w:rsidRDefault="007D45D3" w14:paraId="1AC15629" w14:textId="77777777">
            <w:pPr>
              <w:jc w:val="center"/>
            </w:pPr>
            <w:r>
              <w:t>Number FTS Officers</w:t>
            </w:r>
          </w:p>
        </w:tc>
        <w:tc>
          <w:tcPr>
            <w:tcW w:w="1260" w:type="dxa"/>
            <w:shd w:val="clear" w:color="auto" w:fill="C6D9F1" w:themeFill="text2" w:themeFillTint="33"/>
            <w:vAlign w:val="bottom"/>
          </w:tcPr>
          <w:p w:rsidR="007D45D3" w:rsidRDefault="007D45D3" w14:paraId="06132223" w14:textId="1C78D014">
            <w:pPr>
              <w:jc w:val="center"/>
            </w:pPr>
            <w:r>
              <w:t>Number FTNS Staff</w:t>
            </w:r>
          </w:p>
        </w:tc>
        <w:tc>
          <w:tcPr>
            <w:tcW w:w="1208" w:type="dxa"/>
            <w:shd w:val="clear" w:color="auto" w:fill="C6D9F1" w:themeFill="text2" w:themeFillTint="33"/>
            <w:vAlign w:val="bottom"/>
          </w:tcPr>
          <w:p w:rsidR="007D45D3" w:rsidP="00D534B2" w:rsidRDefault="007D45D3" w14:paraId="271157E2" w14:textId="6DF8C5F7">
            <w:pPr>
              <w:jc w:val="center"/>
            </w:pPr>
            <w:r>
              <w:t>Female Officers</w:t>
            </w:r>
            <w:r w:rsidR="00F66958">
              <w:t xml:space="preserve"> (%)</w:t>
            </w:r>
          </w:p>
        </w:tc>
      </w:tr>
      <w:tr w:rsidRPr="002E1515" w:rsidR="00CF12FE" w:rsidTr="00156904" w14:paraId="75704AE4" w14:textId="77777777">
        <w:trPr>
          <w:trHeight w:val="288"/>
          <w:jc w:val="center"/>
        </w:trPr>
        <w:tc>
          <w:tcPr>
            <w:tcW w:w="1705" w:type="dxa"/>
            <w:vMerge w:val="restart"/>
          </w:tcPr>
          <w:p w:rsidRPr="002E1515" w:rsidR="00CF12FE" w:rsidP="00CF12FE" w:rsidRDefault="00CF12FE" w14:paraId="4821134A" w14:textId="77777777">
            <w:r w:rsidRPr="002E1515">
              <w:t>Local Police</w:t>
            </w:r>
          </w:p>
        </w:tc>
        <w:tc>
          <w:tcPr>
            <w:tcW w:w="1350" w:type="dxa"/>
            <w:vAlign w:val="bottom"/>
          </w:tcPr>
          <w:p w:rsidRPr="002E1515" w:rsidR="00CF12FE" w:rsidP="00CF12FE" w:rsidRDefault="00CF12FE" w14:paraId="37EDE031" w14:textId="0A7881A5">
            <w:pPr>
              <w:jc w:val="right"/>
            </w:pPr>
            <w:r w:rsidRPr="002E1515">
              <w:t>100+</w:t>
            </w:r>
          </w:p>
        </w:tc>
        <w:tc>
          <w:tcPr>
            <w:tcW w:w="1620" w:type="dxa"/>
          </w:tcPr>
          <w:p w:rsidRPr="00F03B37" w:rsidR="00CF12FE" w:rsidP="00CF12FE" w:rsidRDefault="00CF12FE" w14:paraId="3BBE7744" w14:textId="66296205">
            <w:pPr>
              <w:jc w:val="right"/>
            </w:pPr>
            <w:r>
              <w:t>74,711</w:t>
            </w:r>
          </w:p>
        </w:tc>
        <w:tc>
          <w:tcPr>
            <w:tcW w:w="990" w:type="dxa"/>
          </w:tcPr>
          <w:p w:rsidRPr="00F03B37" w:rsidR="00CF12FE" w:rsidP="00CF12FE" w:rsidRDefault="00CF12FE" w14:paraId="14F23FC7" w14:textId="5CA243EA">
            <w:pPr>
              <w:jc w:val="right"/>
            </w:pPr>
            <w:r>
              <w:t>44.6</w:t>
            </w:r>
          </w:p>
        </w:tc>
        <w:tc>
          <w:tcPr>
            <w:tcW w:w="1440" w:type="dxa"/>
          </w:tcPr>
          <w:p w:rsidRPr="00F03B37" w:rsidR="00CF12FE" w:rsidP="00CF12FE" w:rsidRDefault="00CF12FE" w14:paraId="2C856121" w14:textId="581449A3">
            <w:pPr>
              <w:jc w:val="right"/>
            </w:pPr>
            <w:r>
              <w:t>89.6</w:t>
            </w:r>
          </w:p>
        </w:tc>
        <w:tc>
          <w:tcPr>
            <w:tcW w:w="1170" w:type="dxa"/>
          </w:tcPr>
          <w:p w:rsidRPr="00F03B37" w:rsidR="00CF12FE" w:rsidP="00CF12FE" w:rsidRDefault="00CF12FE" w14:paraId="13EBEC6F" w14:textId="1D59E60E">
            <w:pPr>
              <w:jc w:val="right"/>
            </w:pPr>
            <w:r>
              <w:t>462.4</w:t>
            </w:r>
          </w:p>
        </w:tc>
        <w:tc>
          <w:tcPr>
            <w:tcW w:w="1260" w:type="dxa"/>
          </w:tcPr>
          <w:p w:rsidRPr="00F03B37" w:rsidR="00CF12FE" w:rsidP="00CF12FE" w:rsidRDefault="00CF12FE" w14:paraId="5CDA0FB3" w14:textId="1CDB79E2">
            <w:pPr>
              <w:jc w:val="right"/>
            </w:pPr>
            <w:r>
              <w:t>137.1</w:t>
            </w:r>
          </w:p>
        </w:tc>
        <w:tc>
          <w:tcPr>
            <w:tcW w:w="1208" w:type="dxa"/>
          </w:tcPr>
          <w:p w:rsidRPr="00F03B37" w:rsidR="00CF12FE" w:rsidP="00CF12FE" w:rsidRDefault="00CF12FE" w14:paraId="34993AC4" w14:textId="2ADFA1EE">
            <w:pPr>
              <w:tabs>
                <w:tab w:val="right" w:pos="1088"/>
              </w:tabs>
              <w:jc w:val="right"/>
            </w:pPr>
            <w:r>
              <w:t>11.7</w:t>
            </w:r>
          </w:p>
        </w:tc>
      </w:tr>
      <w:tr w:rsidRPr="002E1515" w:rsidR="00CF12FE" w:rsidTr="00156904" w14:paraId="5A97A840" w14:textId="77777777">
        <w:trPr>
          <w:trHeight w:val="233"/>
          <w:jc w:val="center"/>
        </w:trPr>
        <w:tc>
          <w:tcPr>
            <w:tcW w:w="1705" w:type="dxa"/>
            <w:vMerge/>
          </w:tcPr>
          <w:p w:rsidRPr="002E1515" w:rsidR="00CF12FE" w:rsidP="00CF12FE" w:rsidRDefault="00CF12FE" w14:paraId="6FF5F6ED" w14:textId="77777777"/>
        </w:tc>
        <w:tc>
          <w:tcPr>
            <w:tcW w:w="1350" w:type="dxa"/>
            <w:vAlign w:val="bottom"/>
          </w:tcPr>
          <w:p w:rsidRPr="002E1515" w:rsidR="00CF12FE" w:rsidP="00CF12FE" w:rsidRDefault="00CF12FE" w14:paraId="4A0EC3BB" w14:textId="4C123BBB">
            <w:pPr>
              <w:jc w:val="right"/>
            </w:pPr>
            <w:r w:rsidRPr="002E1515">
              <w:t>50-99</w:t>
            </w:r>
            <w:r>
              <w:t>.5</w:t>
            </w:r>
          </w:p>
        </w:tc>
        <w:tc>
          <w:tcPr>
            <w:tcW w:w="1620" w:type="dxa"/>
          </w:tcPr>
          <w:p w:rsidRPr="00F03B37" w:rsidR="00CF12FE" w:rsidP="00CF12FE" w:rsidRDefault="00CF12FE" w14:paraId="3377AA7C" w14:textId="6053DE3B">
            <w:pPr>
              <w:jc w:val="right"/>
            </w:pPr>
            <w:r>
              <w:t>11,001</w:t>
            </w:r>
          </w:p>
        </w:tc>
        <w:tc>
          <w:tcPr>
            <w:tcW w:w="990" w:type="dxa"/>
          </w:tcPr>
          <w:p w:rsidRPr="00F03B37" w:rsidR="00CF12FE" w:rsidP="00CF12FE" w:rsidRDefault="00CF12FE" w14:paraId="10D430D0" w14:textId="0C81752C">
            <w:pPr>
              <w:jc w:val="right"/>
            </w:pPr>
            <w:r>
              <w:t>45.2</w:t>
            </w:r>
          </w:p>
        </w:tc>
        <w:tc>
          <w:tcPr>
            <w:tcW w:w="1440" w:type="dxa"/>
          </w:tcPr>
          <w:p w:rsidRPr="00F03B37" w:rsidR="00CF12FE" w:rsidP="00CF12FE" w:rsidRDefault="00CF12FE" w14:paraId="37616644" w14:textId="5D78D680">
            <w:pPr>
              <w:jc w:val="right"/>
            </w:pPr>
            <w:r>
              <w:t>90.0</w:t>
            </w:r>
          </w:p>
        </w:tc>
        <w:tc>
          <w:tcPr>
            <w:tcW w:w="1170" w:type="dxa"/>
          </w:tcPr>
          <w:p w:rsidRPr="00F03B37" w:rsidR="00CF12FE" w:rsidP="00CF12FE" w:rsidRDefault="00CF12FE" w14:paraId="2E9D1C37" w14:textId="7FC9CB35">
            <w:pPr>
              <w:jc w:val="right"/>
            </w:pPr>
            <w:r>
              <w:t>68.0</w:t>
            </w:r>
          </w:p>
        </w:tc>
        <w:tc>
          <w:tcPr>
            <w:tcW w:w="1260" w:type="dxa"/>
          </w:tcPr>
          <w:p w:rsidRPr="00F03B37" w:rsidR="00CF12FE" w:rsidP="00CF12FE" w:rsidRDefault="00CF12FE" w14:paraId="5C5037D4" w14:textId="7B85A0DE">
            <w:pPr>
              <w:jc w:val="right"/>
            </w:pPr>
            <w:r>
              <w:t>19.3</w:t>
            </w:r>
          </w:p>
        </w:tc>
        <w:tc>
          <w:tcPr>
            <w:tcW w:w="1208" w:type="dxa"/>
          </w:tcPr>
          <w:p w:rsidRPr="00F03B37" w:rsidR="00CF12FE" w:rsidP="00CF12FE" w:rsidRDefault="00CF12FE" w14:paraId="0C7AB5A8" w14:textId="50796526">
            <w:pPr>
              <w:tabs>
                <w:tab w:val="right" w:pos="1111"/>
              </w:tabs>
              <w:jc w:val="right"/>
            </w:pPr>
            <w:r>
              <w:t>8.8</w:t>
            </w:r>
          </w:p>
        </w:tc>
      </w:tr>
      <w:tr w:rsidRPr="002E1515" w:rsidR="00CF12FE" w:rsidTr="00156904" w14:paraId="180CFB42" w14:textId="77777777">
        <w:trPr>
          <w:trHeight w:val="288"/>
          <w:jc w:val="center"/>
        </w:trPr>
        <w:tc>
          <w:tcPr>
            <w:tcW w:w="1705" w:type="dxa"/>
            <w:vMerge/>
          </w:tcPr>
          <w:p w:rsidRPr="002E1515" w:rsidR="00CF12FE" w:rsidP="00CF12FE" w:rsidRDefault="00CF12FE" w14:paraId="071E7E43" w14:textId="77777777"/>
        </w:tc>
        <w:tc>
          <w:tcPr>
            <w:tcW w:w="1350" w:type="dxa"/>
            <w:vAlign w:val="bottom"/>
          </w:tcPr>
          <w:p w:rsidRPr="002E1515" w:rsidR="00CF12FE" w:rsidP="00CF12FE" w:rsidRDefault="00CF12FE" w14:paraId="37DE901B" w14:textId="728A55E3">
            <w:pPr>
              <w:jc w:val="right"/>
            </w:pPr>
            <w:r w:rsidRPr="002E1515">
              <w:t>25-49</w:t>
            </w:r>
            <w:r>
              <w:t>.5</w:t>
            </w:r>
          </w:p>
        </w:tc>
        <w:tc>
          <w:tcPr>
            <w:tcW w:w="1620" w:type="dxa"/>
          </w:tcPr>
          <w:p w:rsidRPr="00F03B37" w:rsidR="00CF12FE" w:rsidP="00CF12FE" w:rsidRDefault="00CF12FE" w14:paraId="704B2563" w14:textId="5C2A506C">
            <w:pPr>
              <w:jc w:val="right"/>
            </w:pPr>
            <w:r>
              <w:t>4,993</w:t>
            </w:r>
          </w:p>
        </w:tc>
        <w:tc>
          <w:tcPr>
            <w:tcW w:w="990" w:type="dxa"/>
          </w:tcPr>
          <w:p w:rsidRPr="00F03B37" w:rsidR="00CF12FE" w:rsidP="00CF12FE" w:rsidRDefault="00CF12FE" w14:paraId="0DE62F0B" w14:textId="5E5C3578">
            <w:pPr>
              <w:jc w:val="right"/>
            </w:pPr>
            <w:r>
              <w:t>29.3</w:t>
            </w:r>
          </w:p>
        </w:tc>
        <w:tc>
          <w:tcPr>
            <w:tcW w:w="1440" w:type="dxa"/>
          </w:tcPr>
          <w:p w:rsidRPr="00F03B37" w:rsidR="00CF12FE" w:rsidP="00CF12FE" w:rsidRDefault="00CF12FE" w14:paraId="52A77803" w14:textId="127C2E90">
            <w:pPr>
              <w:jc w:val="right"/>
            </w:pPr>
            <w:r>
              <w:t>86.9</w:t>
            </w:r>
          </w:p>
        </w:tc>
        <w:tc>
          <w:tcPr>
            <w:tcW w:w="1170" w:type="dxa"/>
          </w:tcPr>
          <w:p w:rsidRPr="00F03B37" w:rsidR="00CF12FE" w:rsidP="00CF12FE" w:rsidRDefault="00CF12FE" w14:paraId="7DB3DBB6" w14:textId="4113085A">
            <w:pPr>
              <w:jc w:val="right"/>
            </w:pPr>
            <w:r>
              <w:t>34.5</w:t>
            </w:r>
          </w:p>
        </w:tc>
        <w:tc>
          <w:tcPr>
            <w:tcW w:w="1260" w:type="dxa"/>
          </w:tcPr>
          <w:p w:rsidRPr="00F03B37" w:rsidR="00CF12FE" w:rsidP="00CF12FE" w:rsidRDefault="00CF12FE" w14:paraId="7800C009" w14:textId="12344DD3">
            <w:pPr>
              <w:jc w:val="right"/>
            </w:pPr>
            <w:r>
              <w:t>8.5</w:t>
            </w:r>
          </w:p>
        </w:tc>
        <w:tc>
          <w:tcPr>
            <w:tcW w:w="1208" w:type="dxa"/>
          </w:tcPr>
          <w:p w:rsidRPr="00F03B37" w:rsidR="00CF12FE" w:rsidP="00CF12FE" w:rsidRDefault="00CF12FE" w14:paraId="4FD42144" w14:textId="7B9A450E">
            <w:pPr>
              <w:tabs>
                <w:tab w:val="right" w:pos="1111"/>
              </w:tabs>
              <w:jc w:val="right"/>
            </w:pPr>
            <w:r>
              <w:t>9.2</w:t>
            </w:r>
          </w:p>
        </w:tc>
      </w:tr>
      <w:tr w:rsidRPr="002E1515" w:rsidR="00CF12FE" w:rsidTr="00156904" w14:paraId="0677B6BA" w14:textId="77777777">
        <w:trPr>
          <w:trHeight w:val="288"/>
          <w:jc w:val="center"/>
        </w:trPr>
        <w:tc>
          <w:tcPr>
            <w:tcW w:w="1705" w:type="dxa"/>
            <w:vMerge/>
          </w:tcPr>
          <w:p w:rsidRPr="002E1515" w:rsidR="00CF12FE" w:rsidP="00CF12FE" w:rsidRDefault="00CF12FE" w14:paraId="450FC661" w14:textId="77777777"/>
        </w:tc>
        <w:tc>
          <w:tcPr>
            <w:tcW w:w="1350" w:type="dxa"/>
            <w:vAlign w:val="bottom"/>
          </w:tcPr>
          <w:p w:rsidRPr="002E1515" w:rsidR="00CF12FE" w:rsidP="00CF12FE" w:rsidRDefault="00CF12FE" w14:paraId="093A41F2" w14:textId="400DE751">
            <w:pPr>
              <w:jc w:val="right"/>
            </w:pPr>
            <w:r w:rsidRPr="002E1515">
              <w:t>10-24</w:t>
            </w:r>
            <w:r>
              <w:t>.5</w:t>
            </w:r>
          </w:p>
        </w:tc>
        <w:tc>
          <w:tcPr>
            <w:tcW w:w="1620" w:type="dxa"/>
          </w:tcPr>
          <w:p w:rsidRPr="00F03B37" w:rsidR="00CF12FE" w:rsidP="00CF12FE" w:rsidRDefault="00CF12FE" w14:paraId="1B009810" w14:textId="68582D22">
            <w:pPr>
              <w:jc w:val="right"/>
            </w:pPr>
            <w:r>
              <w:t>1,722</w:t>
            </w:r>
          </w:p>
        </w:tc>
        <w:tc>
          <w:tcPr>
            <w:tcW w:w="990" w:type="dxa"/>
          </w:tcPr>
          <w:p w:rsidRPr="00F03B37" w:rsidR="00CF12FE" w:rsidP="00CF12FE" w:rsidRDefault="00CF12FE" w14:paraId="00D66BAB" w14:textId="19C865B8">
            <w:pPr>
              <w:jc w:val="right"/>
            </w:pPr>
            <w:r>
              <w:t>42.3</w:t>
            </w:r>
          </w:p>
        </w:tc>
        <w:tc>
          <w:tcPr>
            <w:tcW w:w="1440" w:type="dxa"/>
          </w:tcPr>
          <w:p w:rsidRPr="00F03B37" w:rsidR="00CF12FE" w:rsidP="00CF12FE" w:rsidRDefault="00CF12FE" w14:paraId="3CED2808" w14:textId="37F2FAB1">
            <w:pPr>
              <w:jc w:val="right"/>
            </w:pPr>
            <w:r>
              <w:t>85.1</w:t>
            </w:r>
          </w:p>
        </w:tc>
        <w:tc>
          <w:tcPr>
            <w:tcW w:w="1170" w:type="dxa"/>
          </w:tcPr>
          <w:p w:rsidRPr="00F03B37" w:rsidR="00CF12FE" w:rsidP="00CF12FE" w:rsidRDefault="00CF12FE" w14:paraId="71259B7D" w14:textId="7F8830A3">
            <w:pPr>
              <w:jc w:val="right"/>
            </w:pPr>
            <w:r>
              <w:t>14.0</w:t>
            </w:r>
          </w:p>
        </w:tc>
        <w:tc>
          <w:tcPr>
            <w:tcW w:w="1260" w:type="dxa"/>
          </w:tcPr>
          <w:p w:rsidRPr="00F03B37" w:rsidR="00CF12FE" w:rsidP="00CF12FE" w:rsidRDefault="00CF12FE" w14:paraId="4ACAF4E2" w14:textId="26BEE357">
            <w:pPr>
              <w:jc w:val="right"/>
            </w:pPr>
            <w:r>
              <w:t>3.1</w:t>
            </w:r>
          </w:p>
        </w:tc>
        <w:tc>
          <w:tcPr>
            <w:tcW w:w="1208" w:type="dxa"/>
          </w:tcPr>
          <w:p w:rsidRPr="00F03B37" w:rsidR="00CF12FE" w:rsidP="00CF12FE" w:rsidRDefault="00CF12FE" w14:paraId="67216049" w14:textId="0424397B">
            <w:pPr>
              <w:tabs>
                <w:tab w:val="right" w:pos="1111"/>
              </w:tabs>
              <w:jc w:val="right"/>
            </w:pPr>
            <w:r>
              <w:t>8.1</w:t>
            </w:r>
          </w:p>
        </w:tc>
      </w:tr>
      <w:tr w:rsidRPr="002E1515" w:rsidR="00CF12FE" w:rsidTr="00156904" w14:paraId="169E3E3F" w14:textId="77777777">
        <w:trPr>
          <w:trHeight w:val="288"/>
          <w:jc w:val="center"/>
        </w:trPr>
        <w:tc>
          <w:tcPr>
            <w:tcW w:w="1705" w:type="dxa"/>
            <w:vMerge/>
          </w:tcPr>
          <w:p w:rsidRPr="002E1515" w:rsidR="00CF12FE" w:rsidP="00CF12FE" w:rsidRDefault="00CF12FE" w14:paraId="39A9A7C1" w14:textId="77777777"/>
        </w:tc>
        <w:tc>
          <w:tcPr>
            <w:tcW w:w="1350" w:type="dxa"/>
            <w:vAlign w:val="bottom"/>
          </w:tcPr>
          <w:p w:rsidRPr="002E1515" w:rsidR="00CF12FE" w:rsidP="00CF12FE" w:rsidRDefault="00CF12FE" w14:paraId="3C957B11" w14:textId="706FE005">
            <w:pPr>
              <w:jc w:val="right"/>
            </w:pPr>
            <w:r w:rsidRPr="002E1515">
              <w:t>5-9</w:t>
            </w:r>
            <w:r>
              <w:t>.5</w:t>
            </w:r>
          </w:p>
        </w:tc>
        <w:tc>
          <w:tcPr>
            <w:tcW w:w="1620" w:type="dxa"/>
          </w:tcPr>
          <w:p w:rsidRPr="00F03B37" w:rsidR="00CF12FE" w:rsidP="00CF12FE" w:rsidRDefault="00CF12FE" w14:paraId="4D9F20DA" w14:textId="7CBDD1FC">
            <w:pPr>
              <w:jc w:val="right"/>
            </w:pPr>
            <w:r>
              <w:t>519</w:t>
            </w:r>
          </w:p>
        </w:tc>
        <w:tc>
          <w:tcPr>
            <w:tcW w:w="990" w:type="dxa"/>
          </w:tcPr>
          <w:p w:rsidRPr="00F03B37" w:rsidR="00CF12FE" w:rsidP="00CF12FE" w:rsidRDefault="00CF12FE" w14:paraId="6CBC37B0" w14:textId="192DBA7E">
            <w:pPr>
              <w:jc w:val="right"/>
            </w:pPr>
            <w:r>
              <w:t>49.2</w:t>
            </w:r>
          </w:p>
        </w:tc>
        <w:tc>
          <w:tcPr>
            <w:tcW w:w="1440" w:type="dxa"/>
          </w:tcPr>
          <w:p w:rsidRPr="00F03B37" w:rsidR="00CF12FE" w:rsidP="00CF12FE" w:rsidRDefault="00CF12FE" w14:paraId="0BB15BBE" w14:textId="0A5836B0">
            <w:pPr>
              <w:jc w:val="right"/>
            </w:pPr>
            <w:r>
              <w:t>84.2</w:t>
            </w:r>
          </w:p>
        </w:tc>
        <w:tc>
          <w:tcPr>
            <w:tcW w:w="1170" w:type="dxa"/>
          </w:tcPr>
          <w:p w:rsidRPr="00F03B37" w:rsidR="00CF12FE" w:rsidP="00CF12FE" w:rsidRDefault="00CF12FE" w14:paraId="2E1944CB" w14:textId="7536B947">
            <w:pPr>
              <w:jc w:val="right"/>
            </w:pPr>
            <w:r>
              <w:t>5.3</w:t>
            </w:r>
          </w:p>
        </w:tc>
        <w:tc>
          <w:tcPr>
            <w:tcW w:w="1260" w:type="dxa"/>
          </w:tcPr>
          <w:p w:rsidRPr="00F03B37" w:rsidR="00CF12FE" w:rsidP="00CF12FE" w:rsidRDefault="00CF12FE" w14:paraId="1A70DF23" w14:textId="4F6ED39A">
            <w:pPr>
              <w:jc w:val="right"/>
            </w:pPr>
            <w:r>
              <w:t>0.6</w:t>
            </w:r>
          </w:p>
        </w:tc>
        <w:tc>
          <w:tcPr>
            <w:tcW w:w="1208" w:type="dxa"/>
          </w:tcPr>
          <w:p w:rsidRPr="00F03B37" w:rsidR="00CF12FE" w:rsidP="00CF12FE" w:rsidRDefault="00CF12FE" w14:paraId="772D0ED0" w14:textId="69B889B1">
            <w:pPr>
              <w:tabs>
                <w:tab w:val="right" w:pos="1111"/>
              </w:tabs>
              <w:jc w:val="right"/>
            </w:pPr>
            <w:r>
              <w:t>6.1</w:t>
            </w:r>
          </w:p>
        </w:tc>
      </w:tr>
      <w:tr w:rsidRPr="002E1515" w:rsidR="00CF12FE" w:rsidTr="00156904" w14:paraId="65824708" w14:textId="77777777">
        <w:trPr>
          <w:trHeight w:val="288"/>
          <w:jc w:val="center"/>
        </w:trPr>
        <w:tc>
          <w:tcPr>
            <w:tcW w:w="1705" w:type="dxa"/>
            <w:vMerge/>
          </w:tcPr>
          <w:p w:rsidRPr="002E1515" w:rsidR="00CF12FE" w:rsidP="00CF12FE" w:rsidRDefault="00CF12FE" w14:paraId="4FC6B3F4" w14:textId="77777777"/>
        </w:tc>
        <w:tc>
          <w:tcPr>
            <w:tcW w:w="1350" w:type="dxa"/>
            <w:vAlign w:val="bottom"/>
          </w:tcPr>
          <w:p w:rsidRPr="002E1515" w:rsidR="00CF12FE" w:rsidP="00CF12FE" w:rsidRDefault="00CF12FE" w14:paraId="14F272E8" w14:textId="0EF2189B">
            <w:pPr>
              <w:jc w:val="right"/>
            </w:pPr>
            <w:r w:rsidRPr="002E1515">
              <w:t>2-4</w:t>
            </w:r>
            <w:r>
              <w:t>.5</w:t>
            </w:r>
          </w:p>
        </w:tc>
        <w:tc>
          <w:tcPr>
            <w:tcW w:w="1620" w:type="dxa"/>
          </w:tcPr>
          <w:p w:rsidRPr="00F03B37" w:rsidR="00CF12FE" w:rsidP="00CF12FE" w:rsidRDefault="00CF12FE" w14:paraId="342EEAE6" w14:textId="678747D4">
            <w:pPr>
              <w:jc w:val="right"/>
            </w:pPr>
            <w:r>
              <w:t>179</w:t>
            </w:r>
          </w:p>
        </w:tc>
        <w:tc>
          <w:tcPr>
            <w:tcW w:w="990" w:type="dxa"/>
          </w:tcPr>
          <w:p w:rsidRPr="00F03B37" w:rsidR="00CF12FE" w:rsidP="00CF12FE" w:rsidRDefault="00CF12FE" w14:paraId="06F65160" w14:textId="4BDB8BDF">
            <w:pPr>
              <w:jc w:val="right"/>
            </w:pPr>
            <w:r>
              <w:t>47.6</w:t>
            </w:r>
          </w:p>
        </w:tc>
        <w:tc>
          <w:tcPr>
            <w:tcW w:w="1440" w:type="dxa"/>
          </w:tcPr>
          <w:p w:rsidRPr="00F03B37" w:rsidR="00CF12FE" w:rsidP="00CF12FE" w:rsidRDefault="00CF12FE" w14:paraId="329C7EDB" w14:textId="4091CD84">
            <w:pPr>
              <w:jc w:val="right"/>
            </w:pPr>
            <w:r>
              <w:t>80.3</w:t>
            </w:r>
          </w:p>
        </w:tc>
        <w:tc>
          <w:tcPr>
            <w:tcW w:w="1170" w:type="dxa"/>
          </w:tcPr>
          <w:p w:rsidRPr="00F03B37" w:rsidR="00CF12FE" w:rsidP="00CF12FE" w:rsidRDefault="00CF12FE" w14:paraId="38BB6D21" w14:textId="3486232F">
            <w:pPr>
              <w:jc w:val="right"/>
            </w:pPr>
            <w:r>
              <w:t>2.1</w:t>
            </w:r>
          </w:p>
        </w:tc>
        <w:tc>
          <w:tcPr>
            <w:tcW w:w="1260" w:type="dxa"/>
          </w:tcPr>
          <w:p w:rsidRPr="00F03B37" w:rsidR="00CF12FE" w:rsidP="00CF12FE" w:rsidRDefault="00CF12FE" w14:paraId="09564F1A" w14:textId="1900A0F0">
            <w:pPr>
              <w:jc w:val="right"/>
            </w:pPr>
            <w:r>
              <w:t>0.2</w:t>
            </w:r>
          </w:p>
        </w:tc>
        <w:tc>
          <w:tcPr>
            <w:tcW w:w="1208" w:type="dxa"/>
          </w:tcPr>
          <w:p w:rsidRPr="00F03B37" w:rsidR="00CF12FE" w:rsidP="00CF12FE" w:rsidRDefault="00CF12FE" w14:paraId="4F255031" w14:textId="482AC904">
            <w:pPr>
              <w:tabs>
                <w:tab w:val="right" w:pos="1111"/>
              </w:tabs>
              <w:jc w:val="right"/>
            </w:pPr>
            <w:r>
              <w:t>5.0</w:t>
            </w:r>
          </w:p>
        </w:tc>
      </w:tr>
      <w:tr w:rsidRPr="002E1515" w:rsidR="00CF12FE" w:rsidTr="00156904" w14:paraId="3C8F43FC" w14:textId="77777777">
        <w:trPr>
          <w:trHeight w:val="288"/>
          <w:jc w:val="center"/>
        </w:trPr>
        <w:tc>
          <w:tcPr>
            <w:tcW w:w="1705" w:type="dxa"/>
            <w:vMerge/>
          </w:tcPr>
          <w:p w:rsidRPr="002E1515" w:rsidR="00CF12FE" w:rsidP="00CF12FE" w:rsidRDefault="00CF12FE" w14:paraId="51EBF8F0" w14:textId="77777777"/>
        </w:tc>
        <w:tc>
          <w:tcPr>
            <w:tcW w:w="1350" w:type="dxa"/>
            <w:vAlign w:val="bottom"/>
          </w:tcPr>
          <w:p w:rsidRPr="002E1515" w:rsidR="00CF12FE" w:rsidP="00CF12FE" w:rsidRDefault="00CF12FE" w14:paraId="64B9F2C4" w14:textId="78A69E4A">
            <w:pPr>
              <w:jc w:val="right"/>
            </w:pPr>
            <w:r w:rsidRPr="002E1515">
              <w:t>1</w:t>
            </w:r>
            <w:r>
              <w:t>-1.5</w:t>
            </w:r>
          </w:p>
        </w:tc>
        <w:tc>
          <w:tcPr>
            <w:tcW w:w="1620" w:type="dxa"/>
          </w:tcPr>
          <w:p w:rsidRPr="00F03B37" w:rsidR="00CF12FE" w:rsidP="00CF12FE" w:rsidRDefault="00CF12FE" w14:paraId="4CA33267" w14:textId="2C6E7047">
            <w:pPr>
              <w:jc w:val="right"/>
            </w:pPr>
            <w:r>
              <w:t>68</w:t>
            </w:r>
          </w:p>
        </w:tc>
        <w:tc>
          <w:tcPr>
            <w:tcW w:w="990" w:type="dxa"/>
          </w:tcPr>
          <w:p w:rsidRPr="00F03B37" w:rsidR="00CF12FE" w:rsidP="00CF12FE" w:rsidRDefault="00CF12FE" w14:paraId="2BD17428" w14:textId="23D614C2">
            <w:pPr>
              <w:jc w:val="right"/>
            </w:pPr>
            <w:r>
              <w:t>38.1</w:t>
            </w:r>
          </w:p>
        </w:tc>
        <w:tc>
          <w:tcPr>
            <w:tcW w:w="1440" w:type="dxa"/>
          </w:tcPr>
          <w:p w:rsidRPr="00F03B37" w:rsidR="00CF12FE" w:rsidP="00CF12FE" w:rsidRDefault="00CF12FE" w14:paraId="1D61FB19" w14:textId="66E71C75">
            <w:pPr>
              <w:jc w:val="right"/>
            </w:pPr>
            <w:r>
              <w:t>66.4</w:t>
            </w:r>
          </w:p>
        </w:tc>
        <w:tc>
          <w:tcPr>
            <w:tcW w:w="1170" w:type="dxa"/>
          </w:tcPr>
          <w:p w:rsidRPr="00F03B37" w:rsidR="00CF12FE" w:rsidP="00CF12FE" w:rsidRDefault="00CF12FE" w14:paraId="52EABC62" w14:textId="4B3BA75E">
            <w:pPr>
              <w:jc w:val="right"/>
            </w:pPr>
            <w:r>
              <w:t>0.8</w:t>
            </w:r>
          </w:p>
        </w:tc>
        <w:tc>
          <w:tcPr>
            <w:tcW w:w="1260" w:type="dxa"/>
          </w:tcPr>
          <w:p w:rsidRPr="00F03B37" w:rsidR="00CF12FE" w:rsidP="00CF12FE" w:rsidRDefault="00CF12FE" w14:paraId="1249CE53" w14:textId="4A90AC72">
            <w:pPr>
              <w:jc w:val="right"/>
            </w:pPr>
            <w:r>
              <w:t>0.1</w:t>
            </w:r>
          </w:p>
        </w:tc>
        <w:tc>
          <w:tcPr>
            <w:tcW w:w="1208" w:type="dxa"/>
          </w:tcPr>
          <w:p w:rsidRPr="00F03B37" w:rsidR="00CF12FE" w:rsidP="00CF12FE" w:rsidRDefault="00CF12FE" w14:paraId="347D0E02" w14:textId="2B346F73">
            <w:pPr>
              <w:tabs>
                <w:tab w:val="right" w:pos="1178"/>
              </w:tabs>
              <w:jc w:val="right"/>
            </w:pPr>
            <w:r>
              <w:t>4.6</w:t>
            </w:r>
          </w:p>
        </w:tc>
      </w:tr>
      <w:tr w:rsidRPr="002E1515" w:rsidR="00CF12FE" w:rsidTr="00156904" w14:paraId="7A00128A" w14:textId="77777777">
        <w:trPr>
          <w:trHeight w:val="288"/>
          <w:jc w:val="center"/>
        </w:trPr>
        <w:tc>
          <w:tcPr>
            <w:tcW w:w="1705" w:type="dxa"/>
            <w:vMerge w:val="restart"/>
          </w:tcPr>
          <w:p w:rsidRPr="002E1515" w:rsidR="00CF12FE" w:rsidP="00CF12FE" w:rsidRDefault="00CF12FE" w14:paraId="5F2FEB8B" w14:textId="77777777">
            <w:r w:rsidRPr="002E1515">
              <w:t>Sheriff Office</w:t>
            </w:r>
          </w:p>
        </w:tc>
        <w:tc>
          <w:tcPr>
            <w:tcW w:w="1350" w:type="dxa"/>
            <w:vAlign w:val="bottom"/>
          </w:tcPr>
          <w:p w:rsidRPr="002E1515" w:rsidR="00CF12FE" w:rsidP="00CF12FE" w:rsidRDefault="00CF12FE" w14:paraId="4C6C1AE6" w14:textId="2B136EA0">
            <w:pPr>
              <w:jc w:val="right"/>
            </w:pPr>
            <w:r w:rsidRPr="002E1515">
              <w:t>100+</w:t>
            </w:r>
          </w:p>
        </w:tc>
        <w:tc>
          <w:tcPr>
            <w:tcW w:w="1620" w:type="dxa"/>
          </w:tcPr>
          <w:p w:rsidRPr="00F03B37" w:rsidR="00CF12FE" w:rsidP="00CF12FE" w:rsidRDefault="00CF12FE" w14:paraId="6A50B681" w14:textId="15A4670C">
            <w:pPr>
              <w:jc w:val="right"/>
            </w:pPr>
            <w:r>
              <w:t>85,949</w:t>
            </w:r>
          </w:p>
        </w:tc>
        <w:tc>
          <w:tcPr>
            <w:tcW w:w="990" w:type="dxa"/>
          </w:tcPr>
          <w:p w:rsidRPr="00F03B37" w:rsidR="00CF12FE" w:rsidP="00CF12FE" w:rsidRDefault="00CF12FE" w14:paraId="3576619C" w14:textId="5F11E9C9">
            <w:pPr>
              <w:jc w:val="right"/>
            </w:pPr>
            <w:r>
              <w:t>33.7</w:t>
            </w:r>
          </w:p>
        </w:tc>
        <w:tc>
          <w:tcPr>
            <w:tcW w:w="1440" w:type="dxa"/>
          </w:tcPr>
          <w:p w:rsidRPr="00F03B37" w:rsidR="00CF12FE" w:rsidP="00CF12FE" w:rsidRDefault="00CF12FE" w14:paraId="198B62FC" w14:textId="4D42A739">
            <w:pPr>
              <w:jc w:val="right"/>
            </w:pPr>
            <w:r>
              <w:t>73.4</w:t>
            </w:r>
          </w:p>
        </w:tc>
        <w:tc>
          <w:tcPr>
            <w:tcW w:w="1170" w:type="dxa"/>
          </w:tcPr>
          <w:p w:rsidRPr="00F03B37" w:rsidR="00CF12FE" w:rsidP="00CF12FE" w:rsidRDefault="00CF12FE" w14:paraId="136111B3" w14:textId="1116226E">
            <w:pPr>
              <w:jc w:val="right"/>
            </w:pPr>
            <w:r>
              <w:t>337.6</w:t>
            </w:r>
          </w:p>
        </w:tc>
        <w:tc>
          <w:tcPr>
            <w:tcW w:w="1260" w:type="dxa"/>
          </w:tcPr>
          <w:p w:rsidRPr="00F03B37" w:rsidR="00CF12FE" w:rsidP="00CF12FE" w:rsidRDefault="00CF12FE" w14:paraId="0DF0C3B1" w14:textId="19339EF2">
            <w:pPr>
              <w:jc w:val="right"/>
            </w:pPr>
            <w:r>
              <w:t>247.8</w:t>
            </w:r>
          </w:p>
        </w:tc>
        <w:tc>
          <w:tcPr>
            <w:tcW w:w="1208" w:type="dxa"/>
          </w:tcPr>
          <w:p w:rsidRPr="00F03B37" w:rsidR="00CF12FE" w:rsidP="00CF12FE" w:rsidRDefault="00CF12FE" w14:paraId="68901199" w14:textId="6C655A3E">
            <w:pPr>
              <w:tabs>
                <w:tab w:val="right" w:pos="1111"/>
              </w:tabs>
              <w:jc w:val="right"/>
            </w:pPr>
            <w:r>
              <w:t>13.9</w:t>
            </w:r>
          </w:p>
        </w:tc>
      </w:tr>
      <w:tr w:rsidRPr="002E1515" w:rsidR="00CF12FE" w:rsidTr="00156904" w14:paraId="0DD00B02" w14:textId="77777777">
        <w:trPr>
          <w:trHeight w:val="288"/>
          <w:jc w:val="center"/>
        </w:trPr>
        <w:tc>
          <w:tcPr>
            <w:tcW w:w="1705" w:type="dxa"/>
            <w:vMerge/>
          </w:tcPr>
          <w:p w:rsidRPr="002E1515" w:rsidR="00CF12FE" w:rsidP="00CF12FE" w:rsidRDefault="00CF12FE" w14:paraId="6FD430EA" w14:textId="77777777"/>
        </w:tc>
        <w:tc>
          <w:tcPr>
            <w:tcW w:w="1350" w:type="dxa"/>
            <w:vAlign w:val="bottom"/>
          </w:tcPr>
          <w:p w:rsidRPr="002E1515" w:rsidR="00CF12FE" w:rsidP="00CF12FE" w:rsidRDefault="00CF12FE" w14:paraId="3A6579B8" w14:textId="2387BFC7">
            <w:pPr>
              <w:jc w:val="right"/>
            </w:pPr>
            <w:r w:rsidRPr="002E1515">
              <w:t>50-99</w:t>
            </w:r>
            <w:r>
              <w:t>.5</w:t>
            </w:r>
          </w:p>
        </w:tc>
        <w:tc>
          <w:tcPr>
            <w:tcW w:w="1620" w:type="dxa"/>
          </w:tcPr>
          <w:p w:rsidRPr="00F03B37" w:rsidR="00CF12FE" w:rsidP="00CF12FE" w:rsidRDefault="00CF12FE" w14:paraId="61FB534B" w14:textId="0743DC6F">
            <w:pPr>
              <w:jc w:val="right"/>
            </w:pPr>
            <w:r>
              <w:t>13,286</w:t>
            </w:r>
          </w:p>
        </w:tc>
        <w:tc>
          <w:tcPr>
            <w:tcW w:w="990" w:type="dxa"/>
          </w:tcPr>
          <w:p w:rsidRPr="00F03B37" w:rsidR="00CF12FE" w:rsidP="00CF12FE" w:rsidRDefault="00CF12FE" w14:paraId="01B76115" w14:textId="516C54FB">
            <w:pPr>
              <w:jc w:val="right"/>
            </w:pPr>
            <w:r>
              <w:t>30.7</w:t>
            </w:r>
          </w:p>
        </w:tc>
        <w:tc>
          <w:tcPr>
            <w:tcW w:w="1440" w:type="dxa"/>
          </w:tcPr>
          <w:p w:rsidRPr="00F03B37" w:rsidR="00CF12FE" w:rsidP="00CF12FE" w:rsidRDefault="00CF12FE" w14:paraId="73140744" w14:textId="4405060A">
            <w:pPr>
              <w:jc w:val="right"/>
            </w:pPr>
            <w:r>
              <w:t>74.4</w:t>
            </w:r>
          </w:p>
        </w:tc>
        <w:tc>
          <w:tcPr>
            <w:tcW w:w="1170" w:type="dxa"/>
          </w:tcPr>
          <w:p w:rsidRPr="00F03B37" w:rsidR="00CF12FE" w:rsidP="00CF12FE" w:rsidRDefault="00CF12FE" w14:paraId="6267B516" w14:textId="0FC573D8">
            <w:pPr>
              <w:jc w:val="right"/>
            </w:pPr>
            <w:r>
              <w:t>64.5</w:t>
            </w:r>
          </w:p>
        </w:tc>
        <w:tc>
          <w:tcPr>
            <w:tcW w:w="1260" w:type="dxa"/>
          </w:tcPr>
          <w:p w:rsidRPr="00F03B37" w:rsidR="00CF12FE" w:rsidP="00CF12FE" w:rsidRDefault="00CF12FE" w14:paraId="3F9B07CD" w14:textId="24F9E084">
            <w:pPr>
              <w:jc w:val="right"/>
            </w:pPr>
            <w:r>
              <w:t>44.2</w:t>
            </w:r>
          </w:p>
        </w:tc>
        <w:tc>
          <w:tcPr>
            <w:tcW w:w="1208" w:type="dxa"/>
          </w:tcPr>
          <w:p w:rsidRPr="00F03B37" w:rsidR="00CF12FE" w:rsidP="00CF12FE" w:rsidRDefault="00CF12FE" w14:paraId="39871226" w14:textId="2126E087">
            <w:pPr>
              <w:tabs>
                <w:tab w:val="right" w:pos="1111"/>
              </w:tabs>
              <w:jc w:val="right"/>
            </w:pPr>
            <w:r>
              <w:t>11.6</w:t>
            </w:r>
          </w:p>
        </w:tc>
      </w:tr>
      <w:tr w:rsidRPr="002E1515" w:rsidR="00CF12FE" w:rsidTr="00156904" w14:paraId="67D0705E" w14:textId="77777777">
        <w:trPr>
          <w:trHeight w:val="288"/>
          <w:jc w:val="center"/>
        </w:trPr>
        <w:tc>
          <w:tcPr>
            <w:tcW w:w="1705" w:type="dxa"/>
            <w:vMerge/>
          </w:tcPr>
          <w:p w:rsidRPr="002E1515" w:rsidR="00CF12FE" w:rsidP="00CF12FE" w:rsidRDefault="00CF12FE" w14:paraId="0142FEFB" w14:textId="77777777"/>
        </w:tc>
        <w:tc>
          <w:tcPr>
            <w:tcW w:w="1350" w:type="dxa"/>
            <w:vAlign w:val="bottom"/>
          </w:tcPr>
          <w:p w:rsidRPr="002E1515" w:rsidR="00CF12FE" w:rsidP="00CF12FE" w:rsidRDefault="00CF12FE" w14:paraId="023C9FF4" w14:textId="29D4EBFE">
            <w:pPr>
              <w:jc w:val="right"/>
            </w:pPr>
            <w:r w:rsidRPr="002E1515">
              <w:t>25-49</w:t>
            </w:r>
            <w:r>
              <w:t>.5</w:t>
            </w:r>
          </w:p>
        </w:tc>
        <w:tc>
          <w:tcPr>
            <w:tcW w:w="1620" w:type="dxa"/>
          </w:tcPr>
          <w:p w:rsidRPr="00F03B37" w:rsidR="00CF12FE" w:rsidP="00CF12FE" w:rsidRDefault="00CF12FE" w14:paraId="6AD11307" w14:textId="6B8053D6">
            <w:pPr>
              <w:jc w:val="right"/>
            </w:pPr>
            <w:r>
              <w:t>5,776</w:t>
            </w:r>
          </w:p>
        </w:tc>
        <w:tc>
          <w:tcPr>
            <w:tcW w:w="990" w:type="dxa"/>
          </w:tcPr>
          <w:p w:rsidRPr="00F03B37" w:rsidR="00CF12FE" w:rsidP="00CF12FE" w:rsidRDefault="00CF12FE" w14:paraId="71D3F281" w14:textId="351D2CCF">
            <w:pPr>
              <w:jc w:val="right"/>
            </w:pPr>
            <w:r>
              <w:t>42.3</w:t>
            </w:r>
          </w:p>
        </w:tc>
        <w:tc>
          <w:tcPr>
            <w:tcW w:w="1440" w:type="dxa"/>
          </w:tcPr>
          <w:p w:rsidRPr="00F03B37" w:rsidR="00CF12FE" w:rsidP="00CF12FE" w:rsidRDefault="00CF12FE" w14:paraId="6B0B333A" w14:textId="3B4CC29D">
            <w:pPr>
              <w:jc w:val="right"/>
            </w:pPr>
            <w:r>
              <w:t>69.9</w:t>
            </w:r>
          </w:p>
        </w:tc>
        <w:tc>
          <w:tcPr>
            <w:tcW w:w="1170" w:type="dxa"/>
          </w:tcPr>
          <w:p w:rsidRPr="00F03B37" w:rsidR="00CF12FE" w:rsidP="00CF12FE" w:rsidRDefault="00CF12FE" w14:paraId="27B9155C" w14:textId="0AD2CA78">
            <w:pPr>
              <w:jc w:val="right"/>
            </w:pPr>
            <w:r>
              <w:t>31.9</w:t>
            </w:r>
          </w:p>
        </w:tc>
        <w:tc>
          <w:tcPr>
            <w:tcW w:w="1260" w:type="dxa"/>
          </w:tcPr>
          <w:p w:rsidRPr="00F03B37" w:rsidR="00CF12FE" w:rsidP="00CF12FE" w:rsidRDefault="00CF12FE" w14:paraId="02752372" w14:textId="53AE115E">
            <w:pPr>
              <w:jc w:val="right"/>
            </w:pPr>
            <w:r>
              <w:t>25.0</w:t>
            </w:r>
          </w:p>
        </w:tc>
        <w:tc>
          <w:tcPr>
            <w:tcW w:w="1208" w:type="dxa"/>
          </w:tcPr>
          <w:p w:rsidRPr="00F03B37" w:rsidR="00CF12FE" w:rsidP="00CF12FE" w:rsidRDefault="00CF12FE" w14:paraId="62DD88A8" w14:textId="57DD30B1">
            <w:pPr>
              <w:tabs>
                <w:tab w:val="right" w:pos="1111"/>
              </w:tabs>
              <w:jc w:val="right"/>
            </w:pPr>
            <w:r>
              <w:t>8.1</w:t>
            </w:r>
          </w:p>
        </w:tc>
      </w:tr>
      <w:tr w:rsidRPr="002E1515" w:rsidR="00CF12FE" w:rsidTr="00156904" w14:paraId="7F87AFE8" w14:textId="77777777">
        <w:trPr>
          <w:trHeight w:val="288"/>
          <w:jc w:val="center"/>
        </w:trPr>
        <w:tc>
          <w:tcPr>
            <w:tcW w:w="1705" w:type="dxa"/>
            <w:vMerge/>
          </w:tcPr>
          <w:p w:rsidRPr="002E1515" w:rsidR="00CF12FE" w:rsidP="00CF12FE" w:rsidRDefault="00CF12FE" w14:paraId="4273C71A" w14:textId="77777777"/>
        </w:tc>
        <w:tc>
          <w:tcPr>
            <w:tcW w:w="1350" w:type="dxa"/>
            <w:vAlign w:val="bottom"/>
          </w:tcPr>
          <w:p w:rsidRPr="002E1515" w:rsidR="00CF12FE" w:rsidP="00CF12FE" w:rsidRDefault="00CF12FE" w14:paraId="6EA9FB12" w14:textId="686E39AD">
            <w:pPr>
              <w:jc w:val="right"/>
            </w:pPr>
            <w:r w:rsidRPr="002E1515">
              <w:t>10-24</w:t>
            </w:r>
            <w:r>
              <w:t>.5</w:t>
            </w:r>
          </w:p>
        </w:tc>
        <w:tc>
          <w:tcPr>
            <w:tcW w:w="1620" w:type="dxa"/>
          </w:tcPr>
          <w:p w:rsidRPr="00F03B37" w:rsidR="00CF12FE" w:rsidP="00CF12FE" w:rsidRDefault="00CF12FE" w14:paraId="0A11DE73" w14:textId="5BA1E591">
            <w:pPr>
              <w:jc w:val="right"/>
            </w:pPr>
            <w:r>
              <w:t>2,310</w:t>
            </w:r>
          </w:p>
        </w:tc>
        <w:tc>
          <w:tcPr>
            <w:tcW w:w="990" w:type="dxa"/>
          </w:tcPr>
          <w:p w:rsidRPr="00F03B37" w:rsidR="00CF12FE" w:rsidP="00CF12FE" w:rsidRDefault="00CF12FE" w14:paraId="6A8F8D75" w14:textId="6CF0E1C3">
            <w:pPr>
              <w:jc w:val="right"/>
            </w:pPr>
            <w:r>
              <w:t>44.0</w:t>
            </w:r>
          </w:p>
        </w:tc>
        <w:tc>
          <w:tcPr>
            <w:tcW w:w="1440" w:type="dxa"/>
          </w:tcPr>
          <w:p w:rsidRPr="00F03B37" w:rsidR="00CF12FE" w:rsidP="00CF12FE" w:rsidRDefault="00CF12FE" w14:paraId="2032BDBD" w14:textId="7011D9DE">
            <w:pPr>
              <w:jc w:val="right"/>
            </w:pPr>
            <w:r>
              <w:t>61.4</w:t>
            </w:r>
          </w:p>
        </w:tc>
        <w:tc>
          <w:tcPr>
            <w:tcW w:w="1170" w:type="dxa"/>
          </w:tcPr>
          <w:p w:rsidRPr="00F03B37" w:rsidR="00CF12FE" w:rsidP="00CF12FE" w:rsidRDefault="00CF12FE" w14:paraId="55A5B547" w14:textId="77E0065E">
            <w:pPr>
              <w:jc w:val="right"/>
            </w:pPr>
            <w:r>
              <w:t>14.6</w:t>
            </w:r>
          </w:p>
        </w:tc>
        <w:tc>
          <w:tcPr>
            <w:tcW w:w="1260" w:type="dxa"/>
          </w:tcPr>
          <w:p w:rsidRPr="00F03B37" w:rsidR="00CF12FE" w:rsidP="00CF12FE" w:rsidRDefault="00CF12FE" w14:paraId="512858C8" w14:textId="68613391">
            <w:pPr>
              <w:jc w:val="right"/>
            </w:pPr>
            <w:r>
              <w:t>9.3</w:t>
            </w:r>
          </w:p>
        </w:tc>
        <w:tc>
          <w:tcPr>
            <w:tcW w:w="1208" w:type="dxa"/>
          </w:tcPr>
          <w:p w:rsidRPr="00F03B37" w:rsidR="00CF12FE" w:rsidP="00CF12FE" w:rsidRDefault="00CF12FE" w14:paraId="13E2D164" w14:textId="74041F69">
            <w:pPr>
              <w:tabs>
                <w:tab w:val="right" w:pos="1111"/>
              </w:tabs>
              <w:jc w:val="right"/>
            </w:pPr>
            <w:r>
              <w:t>6.0</w:t>
            </w:r>
          </w:p>
        </w:tc>
      </w:tr>
      <w:tr w:rsidRPr="002E1515" w:rsidR="00CF12FE" w:rsidTr="00156904" w14:paraId="376B66C9" w14:textId="77777777">
        <w:trPr>
          <w:jc w:val="center"/>
        </w:trPr>
        <w:tc>
          <w:tcPr>
            <w:tcW w:w="1705" w:type="dxa"/>
            <w:vMerge/>
          </w:tcPr>
          <w:p w:rsidRPr="002E1515" w:rsidR="00CF12FE" w:rsidP="00CF12FE" w:rsidRDefault="00CF12FE" w14:paraId="13745B88" w14:textId="77777777"/>
        </w:tc>
        <w:tc>
          <w:tcPr>
            <w:tcW w:w="1350" w:type="dxa"/>
            <w:vAlign w:val="bottom"/>
          </w:tcPr>
          <w:p w:rsidRPr="002E1515" w:rsidR="00CF12FE" w:rsidP="00CF12FE" w:rsidRDefault="00CF12FE" w14:paraId="71E83ACF" w14:textId="67A789D9">
            <w:pPr>
              <w:jc w:val="right"/>
            </w:pPr>
            <w:r w:rsidRPr="002E1515">
              <w:t>5-9</w:t>
            </w:r>
            <w:r>
              <w:t>.5</w:t>
            </w:r>
          </w:p>
        </w:tc>
        <w:tc>
          <w:tcPr>
            <w:tcW w:w="1620" w:type="dxa"/>
          </w:tcPr>
          <w:p w:rsidRPr="00F03B37" w:rsidR="00CF12FE" w:rsidP="00CF12FE" w:rsidRDefault="00CF12FE" w14:paraId="7524FF32" w14:textId="5D35E1E6">
            <w:pPr>
              <w:jc w:val="right"/>
            </w:pPr>
            <w:r>
              <w:t>996</w:t>
            </w:r>
          </w:p>
        </w:tc>
        <w:tc>
          <w:tcPr>
            <w:tcW w:w="990" w:type="dxa"/>
          </w:tcPr>
          <w:p w:rsidRPr="00F03B37" w:rsidR="00CF12FE" w:rsidP="00CF12FE" w:rsidRDefault="00CF12FE" w14:paraId="275F25DD" w14:textId="77281DFA">
            <w:pPr>
              <w:jc w:val="right"/>
            </w:pPr>
            <w:r>
              <w:t>43.2</w:t>
            </w:r>
          </w:p>
        </w:tc>
        <w:tc>
          <w:tcPr>
            <w:tcW w:w="1440" w:type="dxa"/>
          </w:tcPr>
          <w:p w:rsidRPr="00F03B37" w:rsidR="00CF12FE" w:rsidP="00CF12FE" w:rsidRDefault="00CF12FE" w14:paraId="083C5D24" w14:textId="5912EF76">
            <w:pPr>
              <w:jc w:val="right"/>
            </w:pPr>
            <w:r>
              <w:t>61.2</w:t>
            </w:r>
          </w:p>
        </w:tc>
        <w:tc>
          <w:tcPr>
            <w:tcW w:w="1170" w:type="dxa"/>
          </w:tcPr>
          <w:p w:rsidRPr="00F03B37" w:rsidR="00CF12FE" w:rsidP="00CF12FE" w:rsidRDefault="00CF12FE" w14:paraId="0ECDD6FE" w14:textId="46797495">
            <w:pPr>
              <w:jc w:val="right"/>
            </w:pPr>
            <w:r>
              <w:t>6.5</w:t>
            </w:r>
          </w:p>
        </w:tc>
        <w:tc>
          <w:tcPr>
            <w:tcW w:w="1260" w:type="dxa"/>
          </w:tcPr>
          <w:p w:rsidRPr="00F03B37" w:rsidR="00CF12FE" w:rsidP="00CF12FE" w:rsidRDefault="00CF12FE" w14:paraId="09BD887F" w14:textId="3C7A557D">
            <w:pPr>
              <w:jc w:val="right"/>
            </w:pPr>
            <w:r>
              <w:t>4.9</w:t>
            </w:r>
          </w:p>
        </w:tc>
        <w:tc>
          <w:tcPr>
            <w:tcW w:w="1208" w:type="dxa"/>
          </w:tcPr>
          <w:p w:rsidRPr="00F03B37" w:rsidR="00CF12FE" w:rsidP="00CF12FE" w:rsidRDefault="00CF12FE" w14:paraId="472A28C8" w14:textId="3C2E82B0">
            <w:pPr>
              <w:tabs>
                <w:tab w:val="right" w:pos="1111"/>
              </w:tabs>
              <w:jc w:val="right"/>
            </w:pPr>
            <w:r>
              <w:t>6.4</w:t>
            </w:r>
          </w:p>
        </w:tc>
      </w:tr>
      <w:tr w:rsidRPr="002E1515" w:rsidR="00CF12FE" w:rsidTr="00156904" w14:paraId="0469C207" w14:textId="77777777">
        <w:trPr>
          <w:jc w:val="center"/>
        </w:trPr>
        <w:tc>
          <w:tcPr>
            <w:tcW w:w="1705" w:type="dxa"/>
            <w:vMerge/>
          </w:tcPr>
          <w:p w:rsidRPr="002E1515" w:rsidR="00CF12FE" w:rsidP="00CF12FE" w:rsidRDefault="00CF12FE" w14:paraId="2E52F69A" w14:textId="77777777"/>
        </w:tc>
        <w:tc>
          <w:tcPr>
            <w:tcW w:w="1350" w:type="dxa"/>
            <w:vAlign w:val="bottom"/>
          </w:tcPr>
          <w:p w:rsidRPr="002E1515" w:rsidR="00CF12FE" w:rsidP="00CF12FE" w:rsidRDefault="00CF12FE" w14:paraId="3FCB33A8" w14:textId="2160282B">
            <w:pPr>
              <w:jc w:val="right"/>
            </w:pPr>
            <w:r w:rsidRPr="002E1515">
              <w:t>2-4</w:t>
            </w:r>
            <w:r>
              <w:t>.5</w:t>
            </w:r>
          </w:p>
        </w:tc>
        <w:tc>
          <w:tcPr>
            <w:tcW w:w="1620" w:type="dxa"/>
          </w:tcPr>
          <w:p w:rsidRPr="00F03B37" w:rsidR="00CF12FE" w:rsidP="00CF12FE" w:rsidRDefault="00CF12FE" w14:paraId="71899955" w14:textId="5F587174">
            <w:pPr>
              <w:jc w:val="right"/>
            </w:pPr>
            <w:r>
              <w:t>431</w:t>
            </w:r>
          </w:p>
        </w:tc>
        <w:tc>
          <w:tcPr>
            <w:tcW w:w="990" w:type="dxa"/>
          </w:tcPr>
          <w:p w:rsidRPr="00F03B37" w:rsidR="00CF12FE" w:rsidP="00CF12FE" w:rsidRDefault="00CF12FE" w14:paraId="46CC41E6" w14:textId="5F054EF9">
            <w:pPr>
              <w:jc w:val="right"/>
            </w:pPr>
            <w:r>
              <w:t>29.9</w:t>
            </w:r>
          </w:p>
        </w:tc>
        <w:tc>
          <w:tcPr>
            <w:tcW w:w="1440" w:type="dxa"/>
          </w:tcPr>
          <w:p w:rsidRPr="00F03B37" w:rsidR="00CF12FE" w:rsidP="00CF12FE" w:rsidRDefault="00CF12FE" w14:paraId="2508DD50" w14:textId="69B38C82">
            <w:pPr>
              <w:jc w:val="right"/>
            </w:pPr>
            <w:r>
              <w:t>71.1</w:t>
            </w:r>
          </w:p>
        </w:tc>
        <w:tc>
          <w:tcPr>
            <w:tcW w:w="1170" w:type="dxa"/>
          </w:tcPr>
          <w:p w:rsidRPr="00F03B37" w:rsidR="00CF12FE" w:rsidP="00CF12FE" w:rsidRDefault="00CF12FE" w14:paraId="601F07D9" w14:textId="28224034">
            <w:pPr>
              <w:jc w:val="right"/>
            </w:pPr>
            <w:r>
              <w:t>3.0</w:t>
            </w:r>
          </w:p>
        </w:tc>
        <w:tc>
          <w:tcPr>
            <w:tcW w:w="1260" w:type="dxa"/>
          </w:tcPr>
          <w:p w:rsidRPr="00F03B37" w:rsidR="00CF12FE" w:rsidP="00CF12FE" w:rsidRDefault="00CF12FE" w14:paraId="217CFC1B" w14:textId="4505D0B9">
            <w:pPr>
              <w:jc w:val="right"/>
            </w:pPr>
            <w:r>
              <w:t>1.4</w:t>
            </w:r>
          </w:p>
        </w:tc>
        <w:tc>
          <w:tcPr>
            <w:tcW w:w="1208" w:type="dxa"/>
          </w:tcPr>
          <w:p w:rsidRPr="00F03B37" w:rsidR="00CF12FE" w:rsidP="00CF12FE" w:rsidRDefault="00CF12FE" w14:paraId="52E05D57" w14:textId="0B252E24">
            <w:pPr>
              <w:tabs>
                <w:tab w:val="right" w:pos="1111"/>
              </w:tabs>
              <w:jc w:val="right"/>
            </w:pPr>
            <w:r>
              <w:t>7.7</w:t>
            </w:r>
          </w:p>
        </w:tc>
      </w:tr>
      <w:tr w:rsidRPr="002E1515" w:rsidR="00CF12FE" w:rsidTr="00156904" w14:paraId="0BC74143" w14:textId="77777777">
        <w:trPr>
          <w:jc w:val="center"/>
        </w:trPr>
        <w:tc>
          <w:tcPr>
            <w:tcW w:w="1705" w:type="dxa"/>
            <w:vMerge/>
          </w:tcPr>
          <w:p w:rsidRPr="002E1515" w:rsidR="00CF12FE" w:rsidP="00CF12FE" w:rsidRDefault="00CF12FE" w14:paraId="68453DD7" w14:textId="77777777"/>
        </w:tc>
        <w:tc>
          <w:tcPr>
            <w:tcW w:w="1350" w:type="dxa"/>
            <w:vAlign w:val="bottom"/>
          </w:tcPr>
          <w:p w:rsidRPr="002E1515" w:rsidR="00CF12FE" w:rsidP="00CF12FE" w:rsidRDefault="00CF12FE" w14:paraId="43623CE5" w14:textId="00F1C767">
            <w:pPr>
              <w:jc w:val="right"/>
            </w:pPr>
            <w:r w:rsidRPr="002E1515">
              <w:t>1</w:t>
            </w:r>
            <w:r>
              <w:t>-1.5</w:t>
            </w:r>
          </w:p>
        </w:tc>
        <w:tc>
          <w:tcPr>
            <w:tcW w:w="1620" w:type="dxa"/>
          </w:tcPr>
          <w:p w:rsidRPr="00F03B37" w:rsidR="00CF12FE" w:rsidP="00CF12FE" w:rsidRDefault="00CF12FE" w14:paraId="2AC6E43A" w14:textId="2C67C1E4">
            <w:pPr>
              <w:jc w:val="right"/>
            </w:pPr>
            <w:r>
              <w:t>94</w:t>
            </w:r>
          </w:p>
        </w:tc>
        <w:tc>
          <w:tcPr>
            <w:tcW w:w="990" w:type="dxa"/>
          </w:tcPr>
          <w:p w:rsidRPr="00F03B37" w:rsidR="00CF12FE" w:rsidP="00CF12FE" w:rsidRDefault="00CF12FE" w14:paraId="2B2E400A" w14:textId="2386251E">
            <w:pPr>
              <w:jc w:val="right"/>
            </w:pPr>
            <w:r>
              <w:t>0.0</w:t>
            </w:r>
          </w:p>
        </w:tc>
        <w:tc>
          <w:tcPr>
            <w:tcW w:w="1440" w:type="dxa"/>
          </w:tcPr>
          <w:p w:rsidRPr="00F03B37" w:rsidR="00CF12FE" w:rsidP="00CF12FE" w:rsidRDefault="00CF12FE" w14:paraId="285B979A" w14:textId="6C4AA8D7">
            <w:pPr>
              <w:jc w:val="right"/>
            </w:pPr>
            <w:r>
              <w:t>42.2</w:t>
            </w:r>
          </w:p>
        </w:tc>
        <w:tc>
          <w:tcPr>
            <w:tcW w:w="1170" w:type="dxa"/>
          </w:tcPr>
          <w:p w:rsidRPr="00F03B37" w:rsidR="00CF12FE" w:rsidP="00CF12FE" w:rsidRDefault="00CF12FE" w14:paraId="5CD3ABDC" w14:textId="073C421C">
            <w:pPr>
              <w:jc w:val="right"/>
            </w:pPr>
            <w:r>
              <w:t>1.0</w:t>
            </w:r>
          </w:p>
        </w:tc>
        <w:tc>
          <w:tcPr>
            <w:tcW w:w="1260" w:type="dxa"/>
          </w:tcPr>
          <w:p w:rsidRPr="00F03B37" w:rsidR="00CF12FE" w:rsidP="00CF12FE" w:rsidRDefault="00CF12FE" w14:paraId="3F750A9D" w14:textId="2DC0E558">
            <w:pPr>
              <w:jc w:val="right"/>
            </w:pPr>
            <w:r>
              <w:t>0.0</w:t>
            </w:r>
          </w:p>
        </w:tc>
        <w:tc>
          <w:tcPr>
            <w:tcW w:w="1208" w:type="dxa"/>
          </w:tcPr>
          <w:p w:rsidRPr="00156904" w:rsidR="00CF12FE" w:rsidP="00CF12FE" w:rsidRDefault="00CF12FE" w14:paraId="0824EDE6" w14:textId="5C2B2B25">
            <w:pPr>
              <w:tabs>
                <w:tab w:val="right" w:pos="1111"/>
              </w:tabs>
              <w:jc w:val="right"/>
            </w:pPr>
            <w:r>
              <w:t>0.0</w:t>
            </w:r>
          </w:p>
        </w:tc>
      </w:tr>
      <w:tr w:rsidRPr="002E1515" w:rsidR="00CF12FE" w:rsidTr="00830786" w14:paraId="4A62BEFE" w14:textId="77777777">
        <w:trPr>
          <w:jc w:val="center"/>
        </w:trPr>
        <w:tc>
          <w:tcPr>
            <w:tcW w:w="1705" w:type="dxa"/>
          </w:tcPr>
          <w:p w:rsidRPr="002E1515" w:rsidR="00CF12FE" w:rsidP="00CF12FE" w:rsidRDefault="00CF12FE" w14:paraId="761F5D5C" w14:textId="77777777">
            <w:r w:rsidRPr="002E1515">
              <w:t>State</w:t>
            </w:r>
            <w:r>
              <w:t xml:space="preserve"> Police</w:t>
            </w:r>
          </w:p>
        </w:tc>
        <w:tc>
          <w:tcPr>
            <w:tcW w:w="1350" w:type="dxa"/>
            <w:vAlign w:val="center"/>
          </w:tcPr>
          <w:p w:rsidRPr="002E1515" w:rsidR="00CF12FE" w:rsidP="00CF12FE" w:rsidRDefault="00CF12FE" w14:paraId="2C4D9134" w14:textId="77777777">
            <w:pPr>
              <w:jc w:val="right"/>
            </w:pPr>
            <w:r w:rsidRPr="002E1515">
              <w:t>All</w:t>
            </w:r>
          </w:p>
        </w:tc>
        <w:tc>
          <w:tcPr>
            <w:tcW w:w="1620" w:type="dxa"/>
          </w:tcPr>
          <w:p w:rsidRPr="00F03B37" w:rsidR="00CF12FE" w:rsidP="00CF12FE" w:rsidRDefault="00CF12FE" w14:paraId="36C83841" w14:textId="7F2323E6">
            <w:pPr>
              <w:jc w:val="right"/>
            </w:pPr>
            <w:r>
              <w:t>242,407</w:t>
            </w:r>
          </w:p>
        </w:tc>
        <w:tc>
          <w:tcPr>
            <w:tcW w:w="990" w:type="dxa"/>
          </w:tcPr>
          <w:p w:rsidRPr="00F03B37" w:rsidR="00CF12FE" w:rsidP="00CF12FE" w:rsidRDefault="00CF12FE" w14:paraId="3A22F094" w14:textId="02251942">
            <w:pPr>
              <w:jc w:val="right"/>
            </w:pPr>
            <w:r>
              <w:t>13.6</w:t>
            </w:r>
          </w:p>
        </w:tc>
        <w:tc>
          <w:tcPr>
            <w:tcW w:w="1440" w:type="dxa"/>
          </w:tcPr>
          <w:p w:rsidRPr="00F03B37" w:rsidR="00CF12FE" w:rsidP="00CF12FE" w:rsidRDefault="00CF12FE" w14:paraId="697424DF" w14:textId="64469F43">
            <w:pPr>
              <w:jc w:val="right"/>
            </w:pPr>
            <w:r>
              <w:t>45.5</w:t>
            </w:r>
          </w:p>
        </w:tc>
        <w:tc>
          <w:tcPr>
            <w:tcW w:w="1170" w:type="dxa"/>
          </w:tcPr>
          <w:p w:rsidRPr="00F03B37" w:rsidR="00CF12FE" w:rsidP="00CF12FE" w:rsidRDefault="00CF12FE" w14:paraId="27B76750" w14:textId="0458C695">
            <w:pPr>
              <w:jc w:val="right"/>
            </w:pPr>
            <w:r>
              <w:t>1,217.2</w:t>
            </w:r>
          </w:p>
        </w:tc>
        <w:tc>
          <w:tcPr>
            <w:tcW w:w="1260" w:type="dxa"/>
          </w:tcPr>
          <w:p w:rsidRPr="00F03B37" w:rsidR="00CF12FE" w:rsidP="00CF12FE" w:rsidRDefault="00CF12FE" w14:paraId="42033BE8" w14:textId="5CC6E232">
            <w:pPr>
              <w:jc w:val="right"/>
            </w:pPr>
            <w:r>
              <w:t>626.9</w:t>
            </w:r>
          </w:p>
        </w:tc>
        <w:tc>
          <w:tcPr>
            <w:tcW w:w="1208" w:type="dxa"/>
          </w:tcPr>
          <w:p w:rsidRPr="00F03B37" w:rsidR="00CF12FE" w:rsidP="00CF12FE" w:rsidRDefault="00CF12FE" w14:paraId="111E16F0" w14:textId="54E08E7A">
            <w:pPr>
              <w:tabs>
                <w:tab w:val="right" w:pos="1111"/>
              </w:tabs>
              <w:jc w:val="right"/>
            </w:pPr>
            <w:r>
              <w:t>6.2</w:t>
            </w:r>
          </w:p>
        </w:tc>
      </w:tr>
    </w:tbl>
    <w:p w:rsidRPr="00C06CDB" w:rsidR="0037297B" w:rsidP="00CE367C" w:rsidRDefault="0037297B" w14:paraId="4945ECE4" w14:textId="5AA5891E">
      <w:pPr>
        <w:pStyle w:val="SP-SglSpPara"/>
        <w:tabs>
          <w:tab w:val="clear" w:pos="576"/>
          <w:tab w:val="left" w:pos="-540"/>
        </w:tabs>
        <w:ind w:left="-630" w:right="-720" w:firstLine="0"/>
        <w:jc w:val="left"/>
        <w:rPr>
          <w:sz w:val="20"/>
        </w:rPr>
      </w:pPr>
      <w:r w:rsidRPr="00C06CDB">
        <w:rPr>
          <w:vertAlign w:val="superscript"/>
        </w:rPr>
        <w:t>a</w:t>
      </w:r>
      <w:r>
        <w:rPr>
          <w:vertAlign w:val="superscript"/>
        </w:rPr>
        <w:t xml:space="preserve"> </w:t>
      </w:r>
      <w:r w:rsidRPr="00C06CDB">
        <w:rPr>
          <w:sz w:val="20"/>
        </w:rPr>
        <w:t xml:space="preserve">Number of </w:t>
      </w:r>
      <w:r w:rsidR="00855D09">
        <w:rPr>
          <w:sz w:val="20"/>
        </w:rPr>
        <w:t xml:space="preserve">full-time </w:t>
      </w:r>
      <w:r w:rsidR="00DC5B8E">
        <w:rPr>
          <w:sz w:val="20"/>
        </w:rPr>
        <w:t xml:space="preserve">equivalent </w:t>
      </w:r>
      <w:r w:rsidR="00855D09">
        <w:rPr>
          <w:sz w:val="20"/>
        </w:rPr>
        <w:t>sworn officers.</w:t>
      </w:r>
    </w:p>
    <w:p w:rsidR="007A3AED" w:rsidP="00C5649E" w:rsidRDefault="007A3AED" w14:paraId="30D2B359" w14:textId="77777777">
      <w:pPr>
        <w:pStyle w:val="SP-SglSpPara"/>
        <w:tabs>
          <w:tab w:val="clear" w:pos="576"/>
          <w:tab w:val="left" w:pos="-540"/>
        </w:tabs>
        <w:ind w:left="-540" w:right="-720" w:hanging="180"/>
        <w:jc w:val="left"/>
        <w:rPr>
          <w:rFonts w:eastAsia="Calibri"/>
        </w:rPr>
      </w:pPr>
    </w:p>
    <w:p w:rsidRPr="00360A4F" w:rsidR="00F84901" w:rsidP="00D534B2" w:rsidRDefault="00F84901" w14:paraId="1E371B73" w14:textId="65F62997">
      <w:pPr>
        <w:pStyle w:val="Caption"/>
        <w:keepNext/>
        <w:ind w:left="-720"/>
        <w:rPr>
          <w:rFonts w:ascii="Times New Roman" w:hAnsi="Times New Roman" w:eastAsia="Calibri" w:cs="Times New Roman"/>
          <w:b/>
          <w:bCs/>
          <w:i w:val="0"/>
          <w:iCs w:val="0"/>
          <w:color w:val="auto"/>
          <w:sz w:val="24"/>
          <w:szCs w:val="24"/>
        </w:rPr>
      </w:pPr>
      <w:r w:rsidRPr="00360A4F">
        <w:rPr>
          <w:rFonts w:ascii="Times New Roman" w:hAnsi="Times New Roman" w:eastAsia="Calibri" w:cs="Times New Roman"/>
          <w:b/>
          <w:bCs/>
          <w:i w:val="0"/>
          <w:iCs w:val="0"/>
          <w:color w:val="auto"/>
          <w:sz w:val="24"/>
          <w:szCs w:val="24"/>
        </w:rPr>
        <w:t xml:space="preserve">Table </w:t>
      </w:r>
      <w:r w:rsidR="00F84BA4">
        <w:rPr>
          <w:rFonts w:ascii="Times New Roman" w:hAnsi="Times New Roman" w:eastAsia="Calibri" w:cs="Times New Roman"/>
          <w:b/>
          <w:bCs/>
          <w:i w:val="0"/>
          <w:iCs w:val="0"/>
          <w:color w:val="auto"/>
          <w:sz w:val="24"/>
          <w:szCs w:val="24"/>
        </w:rPr>
        <w:t>5</w:t>
      </w:r>
      <w:r w:rsidRPr="00360A4F">
        <w:rPr>
          <w:rFonts w:ascii="Times New Roman" w:hAnsi="Times New Roman" w:eastAsia="Calibri" w:cs="Times New Roman"/>
          <w:b/>
          <w:bCs/>
          <w:i w:val="0"/>
          <w:iCs w:val="0"/>
          <w:color w:val="auto"/>
          <w:sz w:val="24"/>
          <w:szCs w:val="24"/>
        </w:rPr>
        <w:t xml:space="preserve">: Estimates of </w:t>
      </w:r>
      <w:r w:rsidR="00DD5DDC">
        <w:rPr>
          <w:rFonts w:ascii="Times New Roman" w:hAnsi="Times New Roman" w:eastAsia="Calibri" w:cs="Times New Roman"/>
          <w:b/>
          <w:bCs/>
          <w:i w:val="0"/>
          <w:iCs w:val="0"/>
          <w:color w:val="auto"/>
          <w:sz w:val="24"/>
          <w:szCs w:val="24"/>
        </w:rPr>
        <w:t>standard d</w:t>
      </w:r>
      <w:r w:rsidRPr="00360A4F">
        <w:rPr>
          <w:rFonts w:ascii="Times New Roman" w:hAnsi="Times New Roman" w:eastAsia="Calibri" w:cs="Times New Roman"/>
          <w:b/>
          <w:bCs/>
          <w:i w:val="0"/>
          <w:iCs w:val="0"/>
          <w:color w:val="auto"/>
          <w:sz w:val="24"/>
          <w:szCs w:val="24"/>
        </w:rPr>
        <w:t xml:space="preserve">eviations of </w:t>
      </w:r>
      <w:r w:rsidR="00DD5DDC">
        <w:rPr>
          <w:rFonts w:ascii="Times New Roman" w:hAnsi="Times New Roman" w:eastAsia="Calibri" w:cs="Times New Roman"/>
          <w:b/>
          <w:bCs/>
          <w:i w:val="0"/>
          <w:iCs w:val="0"/>
          <w:color w:val="auto"/>
          <w:sz w:val="24"/>
          <w:szCs w:val="24"/>
        </w:rPr>
        <w:t>s</w:t>
      </w:r>
      <w:r w:rsidR="00594C83">
        <w:rPr>
          <w:rFonts w:ascii="Times New Roman" w:hAnsi="Times New Roman" w:eastAsia="Calibri" w:cs="Times New Roman"/>
          <w:b/>
          <w:bCs/>
          <w:i w:val="0"/>
          <w:iCs w:val="0"/>
          <w:color w:val="auto"/>
          <w:sz w:val="24"/>
          <w:szCs w:val="24"/>
        </w:rPr>
        <w:t xml:space="preserve">elected </w:t>
      </w:r>
      <w:r w:rsidR="00DD5DDC">
        <w:rPr>
          <w:rFonts w:ascii="Times New Roman" w:hAnsi="Times New Roman" w:eastAsia="Calibri" w:cs="Times New Roman"/>
          <w:b/>
          <w:bCs/>
          <w:i w:val="0"/>
          <w:iCs w:val="0"/>
          <w:color w:val="auto"/>
          <w:sz w:val="24"/>
          <w:szCs w:val="24"/>
        </w:rPr>
        <w:t>s</w:t>
      </w:r>
      <w:r w:rsidR="00594C83">
        <w:rPr>
          <w:rFonts w:ascii="Times New Roman" w:hAnsi="Times New Roman" w:eastAsia="Calibri" w:cs="Times New Roman"/>
          <w:b/>
          <w:bCs/>
          <w:i w:val="0"/>
          <w:iCs w:val="0"/>
          <w:color w:val="auto"/>
          <w:sz w:val="24"/>
          <w:szCs w:val="24"/>
        </w:rPr>
        <w:t>tatist</w:t>
      </w:r>
      <w:r w:rsidR="007A3AED">
        <w:rPr>
          <w:rFonts w:ascii="Times New Roman" w:hAnsi="Times New Roman" w:eastAsia="Calibri" w:cs="Times New Roman"/>
          <w:b/>
          <w:bCs/>
          <w:i w:val="0"/>
          <w:iCs w:val="0"/>
          <w:color w:val="auto"/>
          <w:sz w:val="24"/>
          <w:szCs w:val="24"/>
        </w:rPr>
        <w:t>i</w:t>
      </w:r>
      <w:r w:rsidR="00594C83">
        <w:rPr>
          <w:rFonts w:ascii="Times New Roman" w:hAnsi="Times New Roman" w:eastAsia="Calibri" w:cs="Times New Roman"/>
          <w:b/>
          <w:bCs/>
          <w:i w:val="0"/>
          <w:iCs w:val="0"/>
          <w:color w:val="auto"/>
          <w:sz w:val="24"/>
          <w:szCs w:val="24"/>
        </w:rPr>
        <w:t>cs</w:t>
      </w:r>
      <w:r w:rsidR="007D45D3">
        <w:rPr>
          <w:rFonts w:ascii="Times New Roman" w:hAnsi="Times New Roman" w:eastAsia="Calibri" w:cs="Times New Roman"/>
          <w:b/>
          <w:bCs/>
          <w:i w:val="0"/>
          <w:iCs w:val="0"/>
          <w:color w:val="auto"/>
          <w:sz w:val="24"/>
          <w:szCs w:val="24"/>
        </w:rPr>
        <w:t xml:space="preserve">, by </w:t>
      </w:r>
      <w:r w:rsidR="00DD5DDC">
        <w:rPr>
          <w:rFonts w:ascii="Times New Roman" w:hAnsi="Times New Roman" w:eastAsia="Calibri" w:cs="Times New Roman"/>
          <w:b/>
          <w:bCs/>
          <w:i w:val="0"/>
          <w:iCs w:val="0"/>
          <w:color w:val="auto"/>
          <w:sz w:val="24"/>
          <w:szCs w:val="24"/>
        </w:rPr>
        <w:t>s</w:t>
      </w:r>
      <w:r w:rsidR="007D45D3">
        <w:rPr>
          <w:rFonts w:ascii="Times New Roman" w:hAnsi="Times New Roman" w:eastAsia="Calibri" w:cs="Times New Roman"/>
          <w:b/>
          <w:bCs/>
          <w:i w:val="0"/>
          <w:iCs w:val="0"/>
          <w:color w:val="auto"/>
          <w:sz w:val="24"/>
          <w:szCs w:val="24"/>
        </w:rPr>
        <w:t>tratum,</w:t>
      </w:r>
      <w:r w:rsidR="00594C83">
        <w:rPr>
          <w:rFonts w:ascii="Times New Roman" w:hAnsi="Times New Roman" w:eastAsia="Calibri" w:cs="Times New Roman"/>
          <w:b/>
          <w:bCs/>
          <w:i w:val="0"/>
          <w:iCs w:val="0"/>
          <w:color w:val="auto"/>
          <w:sz w:val="24"/>
          <w:szCs w:val="24"/>
        </w:rPr>
        <w:t xml:space="preserve"> </w:t>
      </w:r>
      <w:r w:rsidR="00B502CB">
        <w:rPr>
          <w:rFonts w:ascii="Times New Roman" w:hAnsi="Times New Roman" w:eastAsia="Calibri" w:cs="Times New Roman"/>
          <w:b/>
          <w:bCs/>
          <w:i w:val="0"/>
          <w:iCs w:val="0"/>
          <w:color w:val="auto"/>
          <w:sz w:val="24"/>
          <w:szCs w:val="24"/>
        </w:rPr>
        <w:t>2016</w:t>
      </w:r>
      <w:r w:rsidRPr="00360A4F">
        <w:rPr>
          <w:rFonts w:ascii="Times New Roman" w:hAnsi="Times New Roman" w:eastAsia="Calibri" w:cs="Times New Roman"/>
          <w:b/>
          <w:bCs/>
          <w:i w:val="0"/>
          <w:iCs w:val="0"/>
          <w:color w:val="auto"/>
          <w:sz w:val="24"/>
          <w:szCs w:val="24"/>
        </w:rPr>
        <w:t xml:space="preserve"> LEMAS</w:t>
      </w:r>
    </w:p>
    <w:tbl>
      <w:tblPr>
        <w:tblStyle w:val="TableGrid"/>
        <w:tblW w:w="10743" w:type="dxa"/>
        <w:jc w:val="center"/>
        <w:tblLayout w:type="fixed"/>
        <w:tblLook w:val="04A0" w:firstRow="1" w:lastRow="0" w:firstColumn="1" w:lastColumn="0" w:noHBand="0" w:noVBand="1"/>
      </w:tblPr>
      <w:tblGrid>
        <w:gridCol w:w="1705"/>
        <w:gridCol w:w="1350"/>
        <w:gridCol w:w="1620"/>
        <w:gridCol w:w="990"/>
        <w:gridCol w:w="1440"/>
        <w:gridCol w:w="1170"/>
        <w:gridCol w:w="1260"/>
        <w:gridCol w:w="1208"/>
      </w:tblGrid>
      <w:tr w:rsidRPr="002E1515" w:rsidR="00672455" w:rsidTr="00830786" w14:paraId="6F1FCCF6" w14:textId="77777777">
        <w:trPr>
          <w:tblHeader/>
          <w:jc w:val="center"/>
        </w:trPr>
        <w:tc>
          <w:tcPr>
            <w:tcW w:w="1705" w:type="dxa"/>
            <w:shd w:val="clear" w:color="auto" w:fill="C6D9F1" w:themeFill="text2" w:themeFillTint="33"/>
            <w:vAlign w:val="bottom"/>
          </w:tcPr>
          <w:p w:rsidRPr="002E1515" w:rsidR="007D45D3" w:rsidP="00560FBB" w:rsidRDefault="007D45D3" w14:paraId="4324D482" w14:textId="77777777">
            <w:pPr>
              <w:jc w:val="center"/>
            </w:pPr>
            <w:r w:rsidRPr="002E1515">
              <w:t>Agency Type</w:t>
            </w:r>
          </w:p>
        </w:tc>
        <w:tc>
          <w:tcPr>
            <w:tcW w:w="1350" w:type="dxa"/>
            <w:shd w:val="clear" w:color="auto" w:fill="C6D9F1" w:themeFill="text2" w:themeFillTint="33"/>
            <w:vAlign w:val="bottom"/>
          </w:tcPr>
          <w:p w:rsidRPr="002E1515" w:rsidR="007D45D3" w:rsidP="00560FBB" w:rsidRDefault="007D45D3" w14:paraId="76F94EDF" w14:textId="77777777">
            <w:pPr>
              <w:jc w:val="center"/>
            </w:pPr>
            <w:r>
              <w:t>Agency Size</w:t>
            </w:r>
            <w:r w:rsidRPr="00D534B2">
              <w:rPr>
                <w:vertAlign w:val="superscript"/>
              </w:rPr>
              <w:t>a</w:t>
            </w:r>
          </w:p>
        </w:tc>
        <w:tc>
          <w:tcPr>
            <w:tcW w:w="1620" w:type="dxa"/>
            <w:shd w:val="clear" w:color="auto" w:fill="C6D9F1" w:themeFill="text2" w:themeFillTint="33"/>
            <w:vAlign w:val="bottom"/>
          </w:tcPr>
          <w:p w:rsidR="007D45D3" w:rsidP="00560FBB" w:rsidRDefault="007D45D3" w14:paraId="5553C46F" w14:textId="54056EC8">
            <w:pPr>
              <w:jc w:val="center"/>
            </w:pPr>
            <w:r>
              <w:t>Budget</w:t>
            </w:r>
            <w:r w:rsidR="00CF12FE">
              <w:t xml:space="preserve"> ($1,000s)</w:t>
            </w:r>
          </w:p>
        </w:tc>
        <w:tc>
          <w:tcPr>
            <w:tcW w:w="990" w:type="dxa"/>
            <w:shd w:val="clear" w:color="auto" w:fill="C6D9F1" w:themeFill="text2" w:themeFillTint="33"/>
            <w:vAlign w:val="bottom"/>
          </w:tcPr>
          <w:p w:rsidR="007D45D3" w:rsidP="00560FBB" w:rsidRDefault="007D45D3" w14:paraId="09A3C73F" w14:textId="2AC5DB9F">
            <w:pPr>
              <w:jc w:val="center"/>
            </w:pPr>
            <w:r>
              <w:t>BWC Usage</w:t>
            </w:r>
            <w:r w:rsidR="00F66958">
              <w:t xml:space="preserve"> (%)</w:t>
            </w:r>
          </w:p>
        </w:tc>
        <w:tc>
          <w:tcPr>
            <w:tcW w:w="1440" w:type="dxa"/>
            <w:shd w:val="clear" w:color="auto" w:fill="C6D9F1" w:themeFill="text2" w:themeFillTint="33"/>
            <w:vAlign w:val="bottom"/>
          </w:tcPr>
          <w:p w:rsidR="007D45D3" w:rsidP="00560FBB" w:rsidRDefault="007D45D3" w14:paraId="6B1F6518" w14:textId="1DB48CF1">
            <w:pPr>
              <w:jc w:val="center"/>
            </w:pPr>
            <w:r>
              <w:t>Community Policing</w:t>
            </w:r>
            <w:r w:rsidR="00F66958">
              <w:t xml:space="preserve"> (%)</w:t>
            </w:r>
          </w:p>
        </w:tc>
        <w:tc>
          <w:tcPr>
            <w:tcW w:w="1170" w:type="dxa"/>
            <w:shd w:val="clear" w:color="auto" w:fill="C6D9F1" w:themeFill="text2" w:themeFillTint="33"/>
          </w:tcPr>
          <w:p w:rsidR="007D45D3" w:rsidP="00560FBB" w:rsidRDefault="007D45D3" w14:paraId="2E76462D" w14:textId="77777777">
            <w:pPr>
              <w:jc w:val="center"/>
            </w:pPr>
            <w:r>
              <w:t>Number FTS Officers</w:t>
            </w:r>
          </w:p>
        </w:tc>
        <w:tc>
          <w:tcPr>
            <w:tcW w:w="1260" w:type="dxa"/>
            <w:shd w:val="clear" w:color="auto" w:fill="C6D9F1" w:themeFill="text2" w:themeFillTint="33"/>
            <w:vAlign w:val="bottom"/>
          </w:tcPr>
          <w:p w:rsidR="007D45D3" w:rsidRDefault="007D45D3" w14:paraId="0A6EFAF3" w14:textId="3081A677">
            <w:pPr>
              <w:jc w:val="center"/>
            </w:pPr>
            <w:r>
              <w:t>Number FTNS Staff</w:t>
            </w:r>
          </w:p>
        </w:tc>
        <w:tc>
          <w:tcPr>
            <w:tcW w:w="1208" w:type="dxa"/>
            <w:shd w:val="clear" w:color="auto" w:fill="C6D9F1" w:themeFill="text2" w:themeFillTint="33"/>
            <w:vAlign w:val="bottom"/>
          </w:tcPr>
          <w:p w:rsidR="007D45D3" w:rsidP="00560FBB" w:rsidRDefault="007D45D3" w14:paraId="5E9E0482" w14:textId="6EBF2797">
            <w:pPr>
              <w:jc w:val="center"/>
            </w:pPr>
            <w:r>
              <w:t>Female Officers</w:t>
            </w:r>
            <w:r w:rsidR="00F66958">
              <w:t xml:space="preserve"> (%)</w:t>
            </w:r>
          </w:p>
        </w:tc>
      </w:tr>
      <w:tr w:rsidRPr="002E1515" w:rsidR="00CF12FE" w:rsidTr="00830786" w14:paraId="68457C8B" w14:textId="77777777">
        <w:trPr>
          <w:trHeight w:val="107"/>
          <w:jc w:val="center"/>
        </w:trPr>
        <w:tc>
          <w:tcPr>
            <w:tcW w:w="1705" w:type="dxa"/>
            <w:vMerge w:val="restart"/>
          </w:tcPr>
          <w:p w:rsidRPr="002E1515" w:rsidR="00CF12FE" w:rsidP="00CF12FE" w:rsidRDefault="00CF12FE" w14:paraId="3206DC20" w14:textId="77777777">
            <w:r w:rsidRPr="002E1515">
              <w:t>Local Police</w:t>
            </w:r>
          </w:p>
        </w:tc>
        <w:tc>
          <w:tcPr>
            <w:tcW w:w="1350" w:type="dxa"/>
            <w:vAlign w:val="bottom"/>
          </w:tcPr>
          <w:p w:rsidRPr="002E1515" w:rsidR="00CF12FE" w:rsidP="00CF12FE" w:rsidRDefault="00CF12FE" w14:paraId="4C377AAF" w14:textId="567B5C5C">
            <w:pPr>
              <w:jc w:val="right"/>
            </w:pPr>
            <w:r w:rsidRPr="002E1515">
              <w:t>100+</w:t>
            </w:r>
          </w:p>
        </w:tc>
        <w:tc>
          <w:tcPr>
            <w:tcW w:w="1620" w:type="dxa"/>
          </w:tcPr>
          <w:p w:rsidRPr="002E1515" w:rsidR="00CF12FE" w:rsidP="00CF12FE" w:rsidRDefault="00CF12FE" w14:paraId="076A7B39" w14:textId="31E6DEA0">
            <w:pPr>
              <w:jc w:val="right"/>
            </w:pPr>
            <w:r w:rsidRPr="003321DD">
              <w:t>266,716</w:t>
            </w:r>
          </w:p>
        </w:tc>
        <w:tc>
          <w:tcPr>
            <w:tcW w:w="990" w:type="dxa"/>
          </w:tcPr>
          <w:p w:rsidRPr="00BC4E11" w:rsidR="00CF12FE" w:rsidP="00CF12FE" w:rsidRDefault="00CF12FE" w14:paraId="1B05DF8C" w14:textId="00F764FD">
            <w:pPr>
              <w:jc w:val="right"/>
            </w:pPr>
            <w:r w:rsidRPr="003321DD">
              <w:t>49.7</w:t>
            </w:r>
          </w:p>
        </w:tc>
        <w:tc>
          <w:tcPr>
            <w:tcW w:w="1440" w:type="dxa"/>
          </w:tcPr>
          <w:p w:rsidRPr="002E1515" w:rsidR="00CF12FE" w:rsidP="00CF12FE" w:rsidRDefault="00CF12FE" w14:paraId="4B5DCD48" w14:textId="2DE9EE9D">
            <w:pPr>
              <w:jc w:val="right"/>
            </w:pPr>
            <w:r w:rsidRPr="003321DD">
              <w:t>30.5</w:t>
            </w:r>
          </w:p>
        </w:tc>
        <w:tc>
          <w:tcPr>
            <w:tcW w:w="1170" w:type="dxa"/>
          </w:tcPr>
          <w:p w:rsidRPr="00E8403D" w:rsidR="00CF12FE" w:rsidP="00CF12FE" w:rsidRDefault="00CF12FE" w14:paraId="689931AC" w14:textId="0273D96D">
            <w:pPr>
              <w:jc w:val="right"/>
            </w:pPr>
            <w:r w:rsidRPr="003321DD">
              <w:t>1,738.4</w:t>
            </w:r>
          </w:p>
        </w:tc>
        <w:tc>
          <w:tcPr>
            <w:tcW w:w="1260" w:type="dxa"/>
          </w:tcPr>
          <w:p w:rsidRPr="00BC4E11" w:rsidR="00CF12FE" w:rsidP="00CF12FE" w:rsidRDefault="00CF12FE" w14:paraId="5813909D" w14:textId="3168E827">
            <w:pPr>
              <w:jc w:val="right"/>
            </w:pPr>
            <w:r w:rsidRPr="003321DD">
              <w:t>679.6</w:t>
            </w:r>
          </w:p>
        </w:tc>
        <w:tc>
          <w:tcPr>
            <w:tcW w:w="1208" w:type="dxa"/>
          </w:tcPr>
          <w:p w:rsidRPr="002E1515" w:rsidR="00CF12FE" w:rsidP="00CF12FE" w:rsidRDefault="00CF12FE" w14:paraId="019FBDEA" w14:textId="209EEF2F">
            <w:pPr>
              <w:jc w:val="right"/>
            </w:pPr>
            <w:r w:rsidRPr="003321DD">
              <w:t>5.3</w:t>
            </w:r>
          </w:p>
        </w:tc>
      </w:tr>
      <w:tr w:rsidRPr="002E1515" w:rsidR="00CF12FE" w:rsidTr="00156904" w14:paraId="424C4F04" w14:textId="77777777">
        <w:trPr>
          <w:jc w:val="center"/>
        </w:trPr>
        <w:tc>
          <w:tcPr>
            <w:tcW w:w="1705" w:type="dxa"/>
            <w:vMerge/>
          </w:tcPr>
          <w:p w:rsidRPr="002E1515" w:rsidR="00CF12FE" w:rsidP="00CF12FE" w:rsidRDefault="00CF12FE" w14:paraId="4CC7C5BA" w14:textId="77777777"/>
        </w:tc>
        <w:tc>
          <w:tcPr>
            <w:tcW w:w="1350" w:type="dxa"/>
            <w:vAlign w:val="bottom"/>
          </w:tcPr>
          <w:p w:rsidRPr="002E1515" w:rsidR="00CF12FE" w:rsidP="00CF12FE" w:rsidRDefault="00CF12FE" w14:paraId="26F93EB9" w14:textId="55931A20">
            <w:pPr>
              <w:jc w:val="right"/>
            </w:pPr>
            <w:r w:rsidRPr="002E1515">
              <w:t>50-99</w:t>
            </w:r>
            <w:r>
              <w:t>.5</w:t>
            </w:r>
          </w:p>
        </w:tc>
        <w:tc>
          <w:tcPr>
            <w:tcW w:w="1620" w:type="dxa"/>
          </w:tcPr>
          <w:p w:rsidRPr="002E1515" w:rsidR="00CF12FE" w:rsidP="00CF12FE" w:rsidRDefault="00CF12FE" w14:paraId="42E803FE" w14:textId="0C4AAA18">
            <w:pPr>
              <w:jc w:val="right"/>
            </w:pPr>
            <w:r w:rsidRPr="003321DD">
              <w:t>5,622</w:t>
            </w:r>
          </w:p>
        </w:tc>
        <w:tc>
          <w:tcPr>
            <w:tcW w:w="990" w:type="dxa"/>
          </w:tcPr>
          <w:p w:rsidRPr="00BC4E11" w:rsidR="00CF12FE" w:rsidP="00CF12FE" w:rsidRDefault="00CF12FE" w14:paraId="59EDF75F" w14:textId="276C058B">
            <w:pPr>
              <w:jc w:val="right"/>
            </w:pPr>
            <w:r w:rsidRPr="003321DD">
              <w:t>49.8</w:t>
            </w:r>
          </w:p>
        </w:tc>
        <w:tc>
          <w:tcPr>
            <w:tcW w:w="1440" w:type="dxa"/>
          </w:tcPr>
          <w:p w:rsidRPr="002E1515" w:rsidR="00CF12FE" w:rsidP="00CF12FE" w:rsidRDefault="00CF12FE" w14:paraId="1937D806" w14:textId="761D64C5">
            <w:pPr>
              <w:jc w:val="right"/>
            </w:pPr>
            <w:r w:rsidRPr="003321DD">
              <w:t>30.0</w:t>
            </w:r>
          </w:p>
        </w:tc>
        <w:tc>
          <w:tcPr>
            <w:tcW w:w="1170" w:type="dxa"/>
          </w:tcPr>
          <w:p w:rsidRPr="00E8403D" w:rsidR="00CF12FE" w:rsidP="00CF12FE" w:rsidRDefault="00CF12FE" w14:paraId="0E670FDC" w14:textId="60AFD5C2">
            <w:pPr>
              <w:jc w:val="right"/>
            </w:pPr>
            <w:r w:rsidRPr="003321DD">
              <w:t>14.2</w:t>
            </w:r>
          </w:p>
        </w:tc>
        <w:tc>
          <w:tcPr>
            <w:tcW w:w="1260" w:type="dxa"/>
          </w:tcPr>
          <w:p w:rsidRPr="00BC4E11" w:rsidR="00CF12FE" w:rsidP="00CF12FE" w:rsidRDefault="00CF12FE" w14:paraId="22D82ECF" w14:textId="54A86332">
            <w:pPr>
              <w:jc w:val="right"/>
            </w:pPr>
            <w:r w:rsidRPr="003321DD">
              <w:t>15.0</w:t>
            </w:r>
          </w:p>
        </w:tc>
        <w:tc>
          <w:tcPr>
            <w:tcW w:w="1208" w:type="dxa"/>
          </w:tcPr>
          <w:p w:rsidRPr="002E1515" w:rsidR="00CF12FE" w:rsidP="00CF12FE" w:rsidRDefault="00CF12FE" w14:paraId="5A888467" w14:textId="5AF24855">
            <w:pPr>
              <w:jc w:val="right"/>
            </w:pPr>
            <w:r w:rsidRPr="003321DD">
              <w:t>5.0</w:t>
            </w:r>
          </w:p>
        </w:tc>
      </w:tr>
      <w:tr w:rsidRPr="002E1515" w:rsidR="00CF12FE" w:rsidTr="00156904" w14:paraId="498C9A72" w14:textId="77777777">
        <w:trPr>
          <w:jc w:val="center"/>
        </w:trPr>
        <w:tc>
          <w:tcPr>
            <w:tcW w:w="1705" w:type="dxa"/>
            <w:vMerge/>
          </w:tcPr>
          <w:p w:rsidRPr="002E1515" w:rsidR="00CF12FE" w:rsidP="00CF12FE" w:rsidRDefault="00CF12FE" w14:paraId="04802001" w14:textId="77777777"/>
        </w:tc>
        <w:tc>
          <w:tcPr>
            <w:tcW w:w="1350" w:type="dxa"/>
            <w:vAlign w:val="bottom"/>
          </w:tcPr>
          <w:p w:rsidRPr="002E1515" w:rsidR="00CF12FE" w:rsidP="00CF12FE" w:rsidRDefault="00CF12FE" w14:paraId="425867C8" w14:textId="075E27BA">
            <w:pPr>
              <w:jc w:val="right"/>
            </w:pPr>
            <w:r w:rsidRPr="002E1515">
              <w:t>25-49</w:t>
            </w:r>
            <w:r>
              <w:t>.5</w:t>
            </w:r>
          </w:p>
        </w:tc>
        <w:tc>
          <w:tcPr>
            <w:tcW w:w="1620" w:type="dxa"/>
          </w:tcPr>
          <w:p w:rsidRPr="002E1515" w:rsidR="00CF12FE" w:rsidP="00CF12FE" w:rsidRDefault="00CF12FE" w14:paraId="54923DF2" w14:textId="1BCDD68C">
            <w:pPr>
              <w:jc w:val="right"/>
            </w:pPr>
            <w:r w:rsidRPr="003321DD">
              <w:t>2,265</w:t>
            </w:r>
          </w:p>
        </w:tc>
        <w:tc>
          <w:tcPr>
            <w:tcW w:w="990" w:type="dxa"/>
          </w:tcPr>
          <w:p w:rsidRPr="00BC4E11" w:rsidR="00CF12FE" w:rsidP="00CF12FE" w:rsidRDefault="00CF12FE" w14:paraId="095F4209" w14:textId="42AC8164">
            <w:pPr>
              <w:jc w:val="right"/>
            </w:pPr>
            <w:r w:rsidRPr="003321DD">
              <w:t>45.5</w:t>
            </w:r>
          </w:p>
        </w:tc>
        <w:tc>
          <w:tcPr>
            <w:tcW w:w="1440" w:type="dxa"/>
          </w:tcPr>
          <w:p w:rsidRPr="002E1515" w:rsidR="00CF12FE" w:rsidP="00CF12FE" w:rsidRDefault="00CF12FE" w14:paraId="267513EF" w14:textId="6EECAC92">
            <w:pPr>
              <w:jc w:val="right"/>
            </w:pPr>
            <w:r w:rsidRPr="003321DD">
              <w:t>33.7</w:t>
            </w:r>
          </w:p>
        </w:tc>
        <w:tc>
          <w:tcPr>
            <w:tcW w:w="1170" w:type="dxa"/>
          </w:tcPr>
          <w:p w:rsidRPr="00E8403D" w:rsidR="00CF12FE" w:rsidP="00CF12FE" w:rsidRDefault="00CF12FE" w14:paraId="748A884B" w14:textId="08A555AD">
            <w:pPr>
              <w:jc w:val="right"/>
            </w:pPr>
            <w:r w:rsidRPr="003321DD">
              <w:t>7.3</w:t>
            </w:r>
          </w:p>
        </w:tc>
        <w:tc>
          <w:tcPr>
            <w:tcW w:w="1260" w:type="dxa"/>
          </w:tcPr>
          <w:p w:rsidRPr="00BC4E11" w:rsidR="00CF12FE" w:rsidP="00CF12FE" w:rsidRDefault="00CF12FE" w14:paraId="019BA899" w14:textId="49D49268">
            <w:pPr>
              <w:jc w:val="right"/>
            </w:pPr>
            <w:r w:rsidRPr="003321DD">
              <w:t>5.9</w:t>
            </w:r>
          </w:p>
        </w:tc>
        <w:tc>
          <w:tcPr>
            <w:tcW w:w="1208" w:type="dxa"/>
          </w:tcPr>
          <w:p w:rsidRPr="002E1515" w:rsidR="00CF12FE" w:rsidP="00CF12FE" w:rsidRDefault="00CF12FE" w14:paraId="4B9FB918" w14:textId="7B018156">
            <w:pPr>
              <w:jc w:val="right"/>
            </w:pPr>
            <w:r w:rsidRPr="003321DD">
              <w:t>6.4</w:t>
            </w:r>
          </w:p>
        </w:tc>
      </w:tr>
      <w:tr w:rsidRPr="002E1515" w:rsidR="00CF12FE" w:rsidTr="00156904" w14:paraId="5CF29D5F" w14:textId="77777777">
        <w:trPr>
          <w:jc w:val="center"/>
        </w:trPr>
        <w:tc>
          <w:tcPr>
            <w:tcW w:w="1705" w:type="dxa"/>
            <w:vMerge/>
          </w:tcPr>
          <w:p w:rsidRPr="002E1515" w:rsidR="00CF12FE" w:rsidP="00CF12FE" w:rsidRDefault="00CF12FE" w14:paraId="320DECB8" w14:textId="77777777"/>
        </w:tc>
        <w:tc>
          <w:tcPr>
            <w:tcW w:w="1350" w:type="dxa"/>
            <w:vAlign w:val="bottom"/>
          </w:tcPr>
          <w:p w:rsidRPr="002E1515" w:rsidR="00CF12FE" w:rsidP="00CF12FE" w:rsidRDefault="00CF12FE" w14:paraId="5B3F187F" w14:textId="4226C5D7">
            <w:pPr>
              <w:jc w:val="right"/>
            </w:pPr>
            <w:r w:rsidRPr="002E1515">
              <w:t>10-24</w:t>
            </w:r>
            <w:r>
              <w:t>.5</w:t>
            </w:r>
          </w:p>
        </w:tc>
        <w:tc>
          <w:tcPr>
            <w:tcW w:w="1620" w:type="dxa"/>
          </w:tcPr>
          <w:p w:rsidRPr="002E1515" w:rsidR="00CF12FE" w:rsidP="00CF12FE" w:rsidRDefault="00CF12FE" w14:paraId="1E9BAF2F" w14:textId="03CBAD1E">
            <w:pPr>
              <w:jc w:val="right"/>
            </w:pPr>
            <w:r w:rsidRPr="003321DD">
              <w:t>1,053</w:t>
            </w:r>
          </w:p>
        </w:tc>
        <w:tc>
          <w:tcPr>
            <w:tcW w:w="990" w:type="dxa"/>
          </w:tcPr>
          <w:p w:rsidRPr="00BC4E11" w:rsidR="00CF12FE" w:rsidP="00CF12FE" w:rsidRDefault="00CF12FE" w14:paraId="559C58E4" w14:textId="37BD0887">
            <w:pPr>
              <w:jc w:val="right"/>
            </w:pPr>
            <w:r w:rsidRPr="003321DD">
              <w:t>49.4</w:t>
            </w:r>
          </w:p>
        </w:tc>
        <w:tc>
          <w:tcPr>
            <w:tcW w:w="1440" w:type="dxa"/>
          </w:tcPr>
          <w:p w:rsidRPr="002E1515" w:rsidR="00CF12FE" w:rsidP="00CF12FE" w:rsidRDefault="00CF12FE" w14:paraId="6A0B1338" w14:textId="69FCF876">
            <w:pPr>
              <w:jc w:val="right"/>
            </w:pPr>
            <w:r w:rsidRPr="003321DD">
              <w:t>35.6</w:t>
            </w:r>
          </w:p>
        </w:tc>
        <w:tc>
          <w:tcPr>
            <w:tcW w:w="1170" w:type="dxa"/>
          </w:tcPr>
          <w:p w:rsidRPr="00E8403D" w:rsidR="00CF12FE" w:rsidP="00CF12FE" w:rsidRDefault="00CF12FE" w14:paraId="45ED36DE" w14:textId="28D4A368">
            <w:pPr>
              <w:jc w:val="right"/>
            </w:pPr>
            <w:r w:rsidRPr="003321DD">
              <w:t>5.1</w:t>
            </w:r>
          </w:p>
        </w:tc>
        <w:tc>
          <w:tcPr>
            <w:tcW w:w="1260" w:type="dxa"/>
          </w:tcPr>
          <w:p w:rsidRPr="00BC4E11" w:rsidR="00CF12FE" w:rsidP="00CF12FE" w:rsidRDefault="00CF12FE" w14:paraId="385EAF3A" w14:textId="008D8CC6">
            <w:pPr>
              <w:jc w:val="right"/>
            </w:pPr>
            <w:r w:rsidRPr="003321DD">
              <w:t>3.2</w:t>
            </w:r>
          </w:p>
        </w:tc>
        <w:tc>
          <w:tcPr>
            <w:tcW w:w="1208" w:type="dxa"/>
          </w:tcPr>
          <w:p w:rsidRPr="002E1515" w:rsidR="00CF12FE" w:rsidP="00CF12FE" w:rsidRDefault="00CF12FE" w14:paraId="23750FFA" w14:textId="515E400D">
            <w:pPr>
              <w:jc w:val="right"/>
            </w:pPr>
            <w:r w:rsidRPr="003321DD">
              <w:t>10.3</w:t>
            </w:r>
          </w:p>
        </w:tc>
      </w:tr>
      <w:tr w:rsidRPr="002E1515" w:rsidR="00CF12FE" w:rsidTr="00156904" w14:paraId="691A0F42" w14:textId="77777777">
        <w:trPr>
          <w:jc w:val="center"/>
        </w:trPr>
        <w:tc>
          <w:tcPr>
            <w:tcW w:w="1705" w:type="dxa"/>
            <w:vMerge/>
          </w:tcPr>
          <w:p w:rsidRPr="002E1515" w:rsidR="00CF12FE" w:rsidP="00CF12FE" w:rsidRDefault="00CF12FE" w14:paraId="628C1E26" w14:textId="77777777"/>
        </w:tc>
        <w:tc>
          <w:tcPr>
            <w:tcW w:w="1350" w:type="dxa"/>
            <w:vAlign w:val="bottom"/>
          </w:tcPr>
          <w:p w:rsidRPr="002E1515" w:rsidR="00CF12FE" w:rsidP="00CF12FE" w:rsidRDefault="00CF12FE" w14:paraId="346D9370" w14:textId="64809694">
            <w:pPr>
              <w:jc w:val="right"/>
            </w:pPr>
            <w:r w:rsidRPr="002E1515">
              <w:t>5-9</w:t>
            </w:r>
            <w:r>
              <w:t>.5</w:t>
            </w:r>
          </w:p>
        </w:tc>
        <w:tc>
          <w:tcPr>
            <w:tcW w:w="1620" w:type="dxa"/>
          </w:tcPr>
          <w:p w:rsidRPr="002E1515" w:rsidR="00CF12FE" w:rsidP="00CF12FE" w:rsidRDefault="00CF12FE" w14:paraId="6ABDFE49" w14:textId="27CC0E70">
            <w:pPr>
              <w:jc w:val="right"/>
            </w:pPr>
            <w:r w:rsidRPr="003321DD">
              <w:t>276</w:t>
            </w:r>
          </w:p>
        </w:tc>
        <w:tc>
          <w:tcPr>
            <w:tcW w:w="990" w:type="dxa"/>
          </w:tcPr>
          <w:p w:rsidRPr="00BC4E11" w:rsidR="00CF12FE" w:rsidP="00CF12FE" w:rsidRDefault="00CF12FE" w14:paraId="15D1251E" w14:textId="5A52AA37">
            <w:pPr>
              <w:jc w:val="right"/>
            </w:pPr>
            <w:r w:rsidRPr="003321DD">
              <w:t>50.0</w:t>
            </w:r>
          </w:p>
        </w:tc>
        <w:tc>
          <w:tcPr>
            <w:tcW w:w="1440" w:type="dxa"/>
          </w:tcPr>
          <w:p w:rsidRPr="002E1515" w:rsidR="00CF12FE" w:rsidP="00CF12FE" w:rsidRDefault="00CF12FE" w14:paraId="1389A746" w14:textId="3058DD6B">
            <w:pPr>
              <w:jc w:val="right"/>
            </w:pPr>
            <w:r w:rsidRPr="003321DD">
              <w:t>36.5</w:t>
            </w:r>
          </w:p>
        </w:tc>
        <w:tc>
          <w:tcPr>
            <w:tcW w:w="1170" w:type="dxa"/>
          </w:tcPr>
          <w:p w:rsidRPr="00E8403D" w:rsidR="00CF12FE" w:rsidP="00CF12FE" w:rsidRDefault="00CF12FE" w14:paraId="22E2E4D3" w14:textId="5C3318C0">
            <w:pPr>
              <w:jc w:val="right"/>
            </w:pPr>
            <w:r w:rsidRPr="003321DD">
              <w:t>2.0</w:t>
            </w:r>
          </w:p>
        </w:tc>
        <w:tc>
          <w:tcPr>
            <w:tcW w:w="1260" w:type="dxa"/>
          </w:tcPr>
          <w:p w:rsidRPr="00BC4E11" w:rsidR="00CF12FE" w:rsidP="00CF12FE" w:rsidRDefault="00CF12FE" w14:paraId="7571358F" w14:textId="2F497783">
            <w:pPr>
              <w:jc w:val="right"/>
            </w:pPr>
            <w:r w:rsidRPr="003321DD">
              <w:t>1.3</w:t>
            </w:r>
          </w:p>
        </w:tc>
        <w:tc>
          <w:tcPr>
            <w:tcW w:w="1208" w:type="dxa"/>
          </w:tcPr>
          <w:p w:rsidRPr="002E1515" w:rsidR="00CF12FE" w:rsidP="00CF12FE" w:rsidRDefault="00CF12FE" w14:paraId="1320B706" w14:textId="307A9670">
            <w:pPr>
              <w:jc w:val="right"/>
            </w:pPr>
            <w:r w:rsidRPr="003321DD">
              <w:t>11.2</w:t>
            </w:r>
          </w:p>
        </w:tc>
      </w:tr>
      <w:tr w:rsidRPr="002E1515" w:rsidR="00CF12FE" w:rsidTr="00156904" w14:paraId="2F84A87B" w14:textId="77777777">
        <w:trPr>
          <w:jc w:val="center"/>
        </w:trPr>
        <w:tc>
          <w:tcPr>
            <w:tcW w:w="1705" w:type="dxa"/>
            <w:vMerge/>
          </w:tcPr>
          <w:p w:rsidRPr="002E1515" w:rsidR="00CF12FE" w:rsidP="00CF12FE" w:rsidRDefault="00CF12FE" w14:paraId="27C84C04" w14:textId="77777777"/>
        </w:tc>
        <w:tc>
          <w:tcPr>
            <w:tcW w:w="1350" w:type="dxa"/>
            <w:vAlign w:val="bottom"/>
          </w:tcPr>
          <w:p w:rsidRPr="002E1515" w:rsidR="00CF12FE" w:rsidP="00CF12FE" w:rsidRDefault="00CF12FE" w14:paraId="4A1904A7" w14:textId="341DA4ED">
            <w:pPr>
              <w:jc w:val="right"/>
            </w:pPr>
            <w:r w:rsidRPr="002E1515">
              <w:t>2-4</w:t>
            </w:r>
            <w:r>
              <w:t>.5</w:t>
            </w:r>
          </w:p>
        </w:tc>
        <w:tc>
          <w:tcPr>
            <w:tcW w:w="1620" w:type="dxa"/>
          </w:tcPr>
          <w:p w:rsidRPr="002E1515" w:rsidR="00CF12FE" w:rsidP="00CF12FE" w:rsidRDefault="00CF12FE" w14:paraId="3CD45448" w14:textId="69EA02DA">
            <w:pPr>
              <w:jc w:val="right"/>
            </w:pPr>
            <w:r w:rsidRPr="003321DD">
              <w:t>116</w:t>
            </w:r>
          </w:p>
        </w:tc>
        <w:tc>
          <w:tcPr>
            <w:tcW w:w="990" w:type="dxa"/>
          </w:tcPr>
          <w:p w:rsidRPr="00BC4E11" w:rsidR="00CF12FE" w:rsidP="00CF12FE" w:rsidRDefault="00CF12FE" w14:paraId="38B2314A" w14:textId="517C5FED">
            <w:pPr>
              <w:jc w:val="right"/>
            </w:pPr>
            <w:r w:rsidRPr="003321DD">
              <w:t>49.9</w:t>
            </w:r>
          </w:p>
        </w:tc>
        <w:tc>
          <w:tcPr>
            <w:tcW w:w="1440" w:type="dxa"/>
          </w:tcPr>
          <w:p w:rsidRPr="002E1515" w:rsidR="00CF12FE" w:rsidP="00CF12FE" w:rsidRDefault="00CF12FE" w14:paraId="2719A346" w14:textId="2B78F52B">
            <w:pPr>
              <w:jc w:val="right"/>
            </w:pPr>
            <w:r w:rsidRPr="003321DD">
              <w:t>39.7</w:t>
            </w:r>
          </w:p>
        </w:tc>
        <w:tc>
          <w:tcPr>
            <w:tcW w:w="1170" w:type="dxa"/>
          </w:tcPr>
          <w:p w:rsidRPr="00E8403D" w:rsidR="00CF12FE" w:rsidP="00CF12FE" w:rsidRDefault="00CF12FE" w14:paraId="1D998189" w14:textId="5A6245F1">
            <w:pPr>
              <w:jc w:val="right"/>
            </w:pPr>
            <w:r w:rsidRPr="003321DD">
              <w:t>1.1</w:t>
            </w:r>
          </w:p>
        </w:tc>
        <w:tc>
          <w:tcPr>
            <w:tcW w:w="1260" w:type="dxa"/>
          </w:tcPr>
          <w:p w:rsidRPr="00BC4E11" w:rsidR="00CF12FE" w:rsidP="00CF12FE" w:rsidRDefault="00CF12FE" w14:paraId="250B14BA" w14:textId="072207CB">
            <w:pPr>
              <w:jc w:val="right"/>
            </w:pPr>
            <w:r w:rsidRPr="003321DD">
              <w:t>0.7</w:t>
            </w:r>
          </w:p>
        </w:tc>
        <w:tc>
          <w:tcPr>
            <w:tcW w:w="1208" w:type="dxa"/>
          </w:tcPr>
          <w:p w:rsidRPr="002E1515" w:rsidR="00CF12FE" w:rsidP="00CF12FE" w:rsidRDefault="00CF12FE" w14:paraId="3526E0A3" w14:textId="3F91B709">
            <w:pPr>
              <w:jc w:val="right"/>
            </w:pPr>
            <w:r w:rsidRPr="003321DD">
              <w:t>16.8</w:t>
            </w:r>
          </w:p>
        </w:tc>
      </w:tr>
      <w:tr w:rsidRPr="002E1515" w:rsidR="00CF12FE" w:rsidTr="00156904" w14:paraId="59D55B8E" w14:textId="77777777">
        <w:trPr>
          <w:jc w:val="center"/>
        </w:trPr>
        <w:tc>
          <w:tcPr>
            <w:tcW w:w="1705" w:type="dxa"/>
            <w:vMerge/>
          </w:tcPr>
          <w:p w:rsidRPr="002E1515" w:rsidR="00CF12FE" w:rsidP="00CF12FE" w:rsidRDefault="00CF12FE" w14:paraId="0F40334E" w14:textId="77777777"/>
        </w:tc>
        <w:tc>
          <w:tcPr>
            <w:tcW w:w="1350" w:type="dxa"/>
            <w:vAlign w:val="bottom"/>
          </w:tcPr>
          <w:p w:rsidRPr="002E1515" w:rsidR="00CF12FE" w:rsidP="00CF12FE" w:rsidRDefault="00CF12FE" w14:paraId="2CFCE8CA" w14:textId="704CE6EB">
            <w:pPr>
              <w:jc w:val="right"/>
            </w:pPr>
            <w:r w:rsidRPr="002E1515">
              <w:t>1</w:t>
            </w:r>
            <w:r>
              <w:t>-1.5</w:t>
            </w:r>
          </w:p>
        </w:tc>
        <w:tc>
          <w:tcPr>
            <w:tcW w:w="1620" w:type="dxa"/>
          </w:tcPr>
          <w:p w:rsidRPr="002E1515" w:rsidR="00CF12FE" w:rsidP="00CF12FE" w:rsidRDefault="00CF12FE" w14:paraId="7D7B62B9" w14:textId="5427A843">
            <w:pPr>
              <w:jc w:val="right"/>
            </w:pPr>
            <w:r w:rsidRPr="003321DD">
              <w:t>44</w:t>
            </w:r>
          </w:p>
        </w:tc>
        <w:tc>
          <w:tcPr>
            <w:tcW w:w="990" w:type="dxa"/>
          </w:tcPr>
          <w:p w:rsidRPr="00BC4E11" w:rsidR="00CF12FE" w:rsidP="00CF12FE" w:rsidRDefault="00CF12FE" w14:paraId="01874F24" w14:textId="106F03EF">
            <w:pPr>
              <w:jc w:val="right"/>
            </w:pPr>
            <w:r w:rsidRPr="003321DD">
              <w:t>48.6</w:t>
            </w:r>
          </w:p>
        </w:tc>
        <w:tc>
          <w:tcPr>
            <w:tcW w:w="1440" w:type="dxa"/>
          </w:tcPr>
          <w:p w:rsidRPr="002E1515" w:rsidR="00CF12FE" w:rsidP="00CF12FE" w:rsidRDefault="00CF12FE" w14:paraId="3EF3DC57" w14:textId="0DF6A964">
            <w:pPr>
              <w:jc w:val="right"/>
            </w:pPr>
            <w:r w:rsidRPr="003321DD">
              <w:t>47.2</w:t>
            </w:r>
          </w:p>
        </w:tc>
        <w:tc>
          <w:tcPr>
            <w:tcW w:w="1170" w:type="dxa"/>
          </w:tcPr>
          <w:p w:rsidRPr="00E8403D" w:rsidR="00CF12FE" w:rsidP="00CF12FE" w:rsidRDefault="00CF12FE" w14:paraId="2C58BB4B" w14:textId="4ACD1255">
            <w:pPr>
              <w:jc w:val="right"/>
            </w:pPr>
            <w:r w:rsidRPr="003321DD">
              <w:t>0.4</w:t>
            </w:r>
          </w:p>
        </w:tc>
        <w:tc>
          <w:tcPr>
            <w:tcW w:w="1260" w:type="dxa"/>
          </w:tcPr>
          <w:p w:rsidR="00CF12FE" w:rsidP="00CF12FE" w:rsidRDefault="00CF12FE" w14:paraId="6315E856" w14:textId="384518C7">
            <w:pPr>
              <w:jc w:val="right"/>
            </w:pPr>
            <w:r w:rsidRPr="003321DD">
              <w:t>0.4</w:t>
            </w:r>
          </w:p>
        </w:tc>
        <w:tc>
          <w:tcPr>
            <w:tcW w:w="1208" w:type="dxa"/>
          </w:tcPr>
          <w:p w:rsidRPr="002E1515" w:rsidR="00CF12FE" w:rsidP="00CF12FE" w:rsidRDefault="00CF12FE" w14:paraId="5A7F1F01" w14:textId="4DD45239">
            <w:pPr>
              <w:jc w:val="right"/>
            </w:pPr>
            <w:r w:rsidRPr="003321DD">
              <w:t>20.7</w:t>
            </w:r>
          </w:p>
        </w:tc>
      </w:tr>
      <w:tr w:rsidRPr="002E1515" w:rsidR="00CF12FE" w:rsidTr="00156904" w14:paraId="461A485F" w14:textId="77777777">
        <w:trPr>
          <w:jc w:val="center"/>
        </w:trPr>
        <w:tc>
          <w:tcPr>
            <w:tcW w:w="1705" w:type="dxa"/>
            <w:vMerge w:val="restart"/>
          </w:tcPr>
          <w:p w:rsidRPr="002E1515" w:rsidR="00CF12FE" w:rsidP="00CF12FE" w:rsidRDefault="00CF12FE" w14:paraId="69262988" w14:textId="77777777">
            <w:r w:rsidRPr="002E1515">
              <w:lastRenderedPageBreak/>
              <w:t>Sheriff</w:t>
            </w:r>
            <w:r>
              <w:t>’s</w:t>
            </w:r>
            <w:r w:rsidRPr="002E1515">
              <w:t xml:space="preserve"> Office</w:t>
            </w:r>
          </w:p>
        </w:tc>
        <w:tc>
          <w:tcPr>
            <w:tcW w:w="1350" w:type="dxa"/>
            <w:vAlign w:val="bottom"/>
          </w:tcPr>
          <w:p w:rsidRPr="002E1515" w:rsidR="00CF12FE" w:rsidP="00CF12FE" w:rsidRDefault="00CF12FE" w14:paraId="7814232A" w14:textId="5143C8DF">
            <w:pPr>
              <w:jc w:val="right"/>
            </w:pPr>
            <w:r w:rsidRPr="002E1515">
              <w:t>100+</w:t>
            </w:r>
          </w:p>
        </w:tc>
        <w:tc>
          <w:tcPr>
            <w:tcW w:w="1620" w:type="dxa"/>
          </w:tcPr>
          <w:p w:rsidRPr="002E1515" w:rsidR="00CF12FE" w:rsidP="00CF12FE" w:rsidRDefault="00CF12FE" w14:paraId="3795FD84" w14:textId="65633CEE">
            <w:pPr>
              <w:jc w:val="right"/>
            </w:pPr>
            <w:r w:rsidRPr="003321DD">
              <w:t>222,910</w:t>
            </w:r>
          </w:p>
        </w:tc>
        <w:tc>
          <w:tcPr>
            <w:tcW w:w="990" w:type="dxa"/>
          </w:tcPr>
          <w:p w:rsidRPr="00BC4E11" w:rsidR="00CF12FE" w:rsidP="00CF12FE" w:rsidRDefault="00CF12FE" w14:paraId="102B8327" w14:textId="2B2569B4">
            <w:pPr>
              <w:jc w:val="right"/>
            </w:pPr>
            <w:r w:rsidRPr="003321DD">
              <w:t>47.3</w:t>
            </w:r>
          </w:p>
        </w:tc>
        <w:tc>
          <w:tcPr>
            <w:tcW w:w="1440" w:type="dxa"/>
          </w:tcPr>
          <w:p w:rsidRPr="002E1515" w:rsidR="00CF12FE" w:rsidP="00CF12FE" w:rsidRDefault="00CF12FE" w14:paraId="70532C9B" w14:textId="5554DFCD">
            <w:pPr>
              <w:jc w:val="right"/>
            </w:pPr>
            <w:r w:rsidRPr="003321DD">
              <w:t>44.2</w:t>
            </w:r>
          </w:p>
        </w:tc>
        <w:tc>
          <w:tcPr>
            <w:tcW w:w="1170" w:type="dxa"/>
          </w:tcPr>
          <w:p w:rsidRPr="00E8403D" w:rsidR="00CF12FE" w:rsidP="00CF12FE" w:rsidRDefault="00CF12FE" w14:paraId="41E3346A" w14:textId="341AAB44">
            <w:pPr>
              <w:jc w:val="right"/>
            </w:pPr>
            <w:r w:rsidRPr="003321DD">
              <w:t>653.2</w:t>
            </w:r>
          </w:p>
        </w:tc>
        <w:tc>
          <w:tcPr>
            <w:tcW w:w="1260" w:type="dxa"/>
          </w:tcPr>
          <w:p w:rsidRPr="00BC4E11" w:rsidR="00CF12FE" w:rsidP="00CF12FE" w:rsidRDefault="00CF12FE" w14:paraId="445E94F5" w14:textId="7E2929D7">
            <w:pPr>
              <w:jc w:val="right"/>
            </w:pPr>
            <w:r w:rsidRPr="003321DD">
              <w:t>604.0</w:t>
            </w:r>
          </w:p>
        </w:tc>
        <w:tc>
          <w:tcPr>
            <w:tcW w:w="1208" w:type="dxa"/>
          </w:tcPr>
          <w:p w:rsidRPr="002E1515" w:rsidR="00CF12FE" w:rsidP="00CF12FE" w:rsidRDefault="00CF12FE" w14:paraId="7B855BA8" w14:textId="0C370AA7">
            <w:pPr>
              <w:jc w:val="right"/>
            </w:pPr>
            <w:r w:rsidRPr="003321DD">
              <w:t>7.9</w:t>
            </w:r>
          </w:p>
        </w:tc>
      </w:tr>
      <w:tr w:rsidRPr="002E1515" w:rsidR="00CF12FE" w:rsidTr="00156904" w14:paraId="65B9A8C9" w14:textId="77777777">
        <w:trPr>
          <w:jc w:val="center"/>
        </w:trPr>
        <w:tc>
          <w:tcPr>
            <w:tcW w:w="1705" w:type="dxa"/>
            <w:vMerge/>
          </w:tcPr>
          <w:p w:rsidRPr="002E1515" w:rsidR="00CF12FE" w:rsidP="00CF12FE" w:rsidRDefault="00CF12FE" w14:paraId="79574697" w14:textId="77777777"/>
        </w:tc>
        <w:tc>
          <w:tcPr>
            <w:tcW w:w="1350" w:type="dxa"/>
            <w:vAlign w:val="bottom"/>
          </w:tcPr>
          <w:p w:rsidRPr="002E1515" w:rsidR="00CF12FE" w:rsidP="00CF12FE" w:rsidRDefault="00CF12FE" w14:paraId="243C0625" w14:textId="307DE476">
            <w:pPr>
              <w:jc w:val="right"/>
            </w:pPr>
            <w:r w:rsidRPr="002E1515">
              <w:t>50-99</w:t>
            </w:r>
            <w:r>
              <w:t>.5</w:t>
            </w:r>
          </w:p>
        </w:tc>
        <w:tc>
          <w:tcPr>
            <w:tcW w:w="1620" w:type="dxa"/>
          </w:tcPr>
          <w:p w:rsidRPr="002E1515" w:rsidR="00CF12FE" w:rsidP="00CF12FE" w:rsidRDefault="00CF12FE" w14:paraId="2DC47383" w14:textId="36A071B9">
            <w:pPr>
              <w:jc w:val="right"/>
            </w:pPr>
            <w:r w:rsidRPr="003321DD">
              <w:t>8,281</w:t>
            </w:r>
          </w:p>
        </w:tc>
        <w:tc>
          <w:tcPr>
            <w:tcW w:w="990" w:type="dxa"/>
          </w:tcPr>
          <w:p w:rsidRPr="00BC4E11" w:rsidR="00CF12FE" w:rsidP="00CF12FE" w:rsidRDefault="00CF12FE" w14:paraId="649039A9" w14:textId="4437A3DE">
            <w:pPr>
              <w:jc w:val="right"/>
            </w:pPr>
            <w:r w:rsidRPr="003321DD">
              <w:t>46.1</w:t>
            </w:r>
          </w:p>
        </w:tc>
        <w:tc>
          <w:tcPr>
            <w:tcW w:w="1440" w:type="dxa"/>
          </w:tcPr>
          <w:p w:rsidRPr="002E1515" w:rsidR="00CF12FE" w:rsidP="00CF12FE" w:rsidRDefault="00CF12FE" w14:paraId="0C00F6C4" w14:textId="25965770">
            <w:pPr>
              <w:jc w:val="right"/>
            </w:pPr>
            <w:r w:rsidRPr="003321DD">
              <w:t>43.6</w:t>
            </w:r>
          </w:p>
        </w:tc>
        <w:tc>
          <w:tcPr>
            <w:tcW w:w="1170" w:type="dxa"/>
          </w:tcPr>
          <w:p w:rsidRPr="00E8403D" w:rsidR="00CF12FE" w:rsidP="00CF12FE" w:rsidRDefault="00CF12FE" w14:paraId="1C078609" w14:textId="13A52AB9">
            <w:pPr>
              <w:jc w:val="right"/>
            </w:pPr>
            <w:r w:rsidRPr="003321DD">
              <w:t>13.0</w:t>
            </w:r>
          </w:p>
        </w:tc>
        <w:tc>
          <w:tcPr>
            <w:tcW w:w="1260" w:type="dxa"/>
          </w:tcPr>
          <w:p w:rsidRPr="00BC4E11" w:rsidR="00CF12FE" w:rsidP="00CF12FE" w:rsidRDefault="00CF12FE" w14:paraId="67ADD006" w14:textId="4264B62D">
            <w:pPr>
              <w:jc w:val="right"/>
            </w:pPr>
            <w:r w:rsidRPr="003321DD">
              <w:t>48.7</w:t>
            </w:r>
          </w:p>
        </w:tc>
        <w:tc>
          <w:tcPr>
            <w:tcW w:w="1208" w:type="dxa"/>
          </w:tcPr>
          <w:p w:rsidRPr="002E1515" w:rsidR="00CF12FE" w:rsidP="00CF12FE" w:rsidRDefault="00CF12FE" w14:paraId="12125E55" w14:textId="2CADB451">
            <w:pPr>
              <w:jc w:val="right"/>
            </w:pPr>
            <w:r w:rsidRPr="003321DD">
              <w:t>7.6</w:t>
            </w:r>
          </w:p>
        </w:tc>
      </w:tr>
      <w:tr w:rsidRPr="002E1515" w:rsidR="00CF12FE" w:rsidTr="00156904" w14:paraId="7D62440F" w14:textId="77777777">
        <w:trPr>
          <w:jc w:val="center"/>
        </w:trPr>
        <w:tc>
          <w:tcPr>
            <w:tcW w:w="1705" w:type="dxa"/>
            <w:vMerge/>
          </w:tcPr>
          <w:p w:rsidRPr="002E1515" w:rsidR="00CF12FE" w:rsidP="00CF12FE" w:rsidRDefault="00CF12FE" w14:paraId="1E8D12EB" w14:textId="77777777"/>
        </w:tc>
        <w:tc>
          <w:tcPr>
            <w:tcW w:w="1350" w:type="dxa"/>
            <w:vAlign w:val="bottom"/>
          </w:tcPr>
          <w:p w:rsidRPr="002E1515" w:rsidR="00CF12FE" w:rsidP="00CF12FE" w:rsidRDefault="00CF12FE" w14:paraId="251B8A6E" w14:textId="68B24759">
            <w:pPr>
              <w:jc w:val="right"/>
            </w:pPr>
            <w:r w:rsidRPr="002E1515">
              <w:t>25-49</w:t>
            </w:r>
            <w:r>
              <w:t>.5</w:t>
            </w:r>
          </w:p>
        </w:tc>
        <w:tc>
          <w:tcPr>
            <w:tcW w:w="1620" w:type="dxa"/>
          </w:tcPr>
          <w:p w:rsidRPr="002E1515" w:rsidR="00CF12FE" w:rsidP="00CF12FE" w:rsidRDefault="00CF12FE" w14:paraId="2C9A5542" w14:textId="1EEB4458">
            <w:pPr>
              <w:jc w:val="right"/>
            </w:pPr>
            <w:r w:rsidRPr="003321DD">
              <w:t>4,283</w:t>
            </w:r>
          </w:p>
        </w:tc>
        <w:tc>
          <w:tcPr>
            <w:tcW w:w="990" w:type="dxa"/>
          </w:tcPr>
          <w:p w:rsidRPr="00BC4E11" w:rsidR="00CF12FE" w:rsidP="00CF12FE" w:rsidRDefault="00CF12FE" w14:paraId="37C5A0C4" w14:textId="42A9B14B">
            <w:pPr>
              <w:jc w:val="right"/>
            </w:pPr>
            <w:r w:rsidRPr="003321DD">
              <w:t>49.4</w:t>
            </w:r>
          </w:p>
        </w:tc>
        <w:tc>
          <w:tcPr>
            <w:tcW w:w="1440" w:type="dxa"/>
          </w:tcPr>
          <w:p w:rsidRPr="002E1515" w:rsidR="00CF12FE" w:rsidP="00CF12FE" w:rsidRDefault="00CF12FE" w14:paraId="33B5463C" w14:textId="03037579">
            <w:pPr>
              <w:jc w:val="right"/>
            </w:pPr>
            <w:r w:rsidRPr="003321DD">
              <w:t>45.9</w:t>
            </w:r>
          </w:p>
        </w:tc>
        <w:tc>
          <w:tcPr>
            <w:tcW w:w="1170" w:type="dxa"/>
          </w:tcPr>
          <w:p w:rsidRPr="00E8403D" w:rsidR="00CF12FE" w:rsidP="00CF12FE" w:rsidRDefault="00CF12FE" w14:paraId="4C544D21" w14:textId="36BE53A9">
            <w:pPr>
              <w:jc w:val="right"/>
            </w:pPr>
            <w:r w:rsidRPr="003321DD">
              <w:t>7.0</w:t>
            </w:r>
          </w:p>
        </w:tc>
        <w:tc>
          <w:tcPr>
            <w:tcW w:w="1260" w:type="dxa"/>
          </w:tcPr>
          <w:p w:rsidRPr="00BC4E11" w:rsidR="00CF12FE" w:rsidP="00CF12FE" w:rsidRDefault="00CF12FE" w14:paraId="591FC2F4" w14:textId="3E9C56C9">
            <w:pPr>
              <w:jc w:val="right"/>
            </w:pPr>
            <w:r w:rsidRPr="003321DD">
              <w:t>22.0</w:t>
            </w:r>
          </w:p>
        </w:tc>
        <w:tc>
          <w:tcPr>
            <w:tcW w:w="1208" w:type="dxa"/>
          </w:tcPr>
          <w:p w:rsidRPr="002E1515" w:rsidR="00CF12FE" w:rsidP="00CF12FE" w:rsidRDefault="00CF12FE" w14:paraId="3286EDEC" w14:textId="0EBA2614">
            <w:pPr>
              <w:jc w:val="right"/>
            </w:pPr>
            <w:r w:rsidRPr="003321DD">
              <w:t>6.6</w:t>
            </w:r>
          </w:p>
        </w:tc>
      </w:tr>
      <w:tr w:rsidRPr="002E1515" w:rsidR="00CF12FE" w:rsidTr="00156904" w14:paraId="4D353DFB" w14:textId="77777777">
        <w:trPr>
          <w:jc w:val="center"/>
        </w:trPr>
        <w:tc>
          <w:tcPr>
            <w:tcW w:w="1705" w:type="dxa"/>
            <w:vMerge/>
          </w:tcPr>
          <w:p w:rsidRPr="002E1515" w:rsidR="00CF12FE" w:rsidP="00CF12FE" w:rsidRDefault="00CF12FE" w14:paraId="3DD9DEAC" w14:textId="77777777"/>
        </w:tc>
        <w:tc>
          <w:tcPr>
            <w:tcW w:w="1350" w:type="dxa"/>
            <w:vAlign w:val="bottom"/>
          </w:tcPr>
          <w:p w:rsidRPr="002E1515" w:rsidR="00CF12FE" w:rsidP="00CF12FE" w:rsidRDefault="00CF12FE" w14:paraId="6A4043A0" w14:textId="1A682249">
            <w:pPr>
              <w:jc w:val="right"/>
            </w:pPr>
            <w:r w:rsidRPr="002E1515">
              <w:t>10-24</w:t>
            </w:r>
            <w:r>
              <w:t>.5</w:t>
            </w:r>
          </w:p>
        </w:tc>
        <w:tc>
          <w:tcPr>
            <w:tcW w:w="1620" w:type="dxa"/>
          </w:tcPr>
          <w:p w:rsidRPr="002E1515" w:rsidR="00CF12FE" w:rsidP="00CF12FE" w:rsidRDefault="00CF12FE" w14:paraId="3E6F347B" w14:textId="16538491">
            <w:pPr>
              <w:jc w:val="right"/>
            </w:pPr>
            <w:r w:rsidRPr="003321DD">
              <w:t>1,716</w:t>
            </w:r>
          </w:p>
        </w:tc>
        <w:tc>
          <w:tcPr>
            <w:tcW w:w="990" w:type="dxa"/>
          </w:tcPr>
          <w:p w:rsidRPr="00BC4E11" w:rsidR="00CF12FE" w:rsidP="00CF12FE" w:rsidRDefault="00CF12FE" w14:paraId="4B3D26FA" w14:textId="1D11641A">
            <w:pPr>
              <w:jc w:val="right"/>
            </w:pPr>
            <w:r w:rsidRPr="003321DD">
              <w:t>49.6</w:t>
            </w:r>
          </w:p>
        </w:tc>
        <w:tc>
          <w:tcPr>
            <w:tcW w:w="1440" w:type="dxa"/>
          </w:tcPr>
          <w:p w:rsidRPr="002E1515" w:rsidR="00CF12FE" w:rsidP="00CF12FE" w:rsidRDefault="00CF12FE" w14:paraId="040D2BED" w14:textId="3F3A007A">
            <w:pPr>
              <w:jc w:val="right"/>
            </w:pPr>
            <w:r w:rsidRPr="003321DD">
              <w:t>48.7</w:t>
            </w:r>
          </w:p>
        </w:tc>
        <w:tc>
          <w:tcPr>
            <w:tcW w:w="1170" w:type="dxa"/>
          </w:tcPr>
          <w:p w:rsidRPr="00E8403D" w:rsidR="00CF12FE" w:rsidP="00CF12FE" w:rsidRDefault="00CF12FE" w14:paraId="085AD42E" w14:textId="2F3129A7">
            <w:pPr>
              <w:jc w:val="right"/>
            </w:pPr>
            <w:r w:rsidRPr="003321DD">
              <w:t>4.5</w:t>
            </w:r>
          </w:p>
        </w:tc>
        <w:tc>
          <w:tcPr>
            <w:tcW w:w="1260" w:type="dxa"/>
          </w:tcPr>
          <w:p w:rsidRPr="00BC4E11" w:rsidR="00CF12FE" w:rsidP="00CF12FE" w:rsidRDefault="00CF12FE" w14:paraId="1F8A9B37" w14:textId="0C17C3A3">
            <w:pPr>
              <w:jc w:val="right"/>
            </w:pPr>
            <w:r w:rsidRPr="003321DD">
              <w:t>8.5</w:t>
            </w:r>
          </w:p>
        </w:tc>
        <w:tc>
          <w:tcPr>
            <w:tcW w:w="1208" w:type="dxa"/>
          </w:tcPr>
          <w:p w:rsidRPr="002E1515" w:rsidR="00CF12FE" w:rsidP="00CF12FE" w:rsidRDefault="00CF12FE" w14:paraId="237150CB" w14:textId="06B90123">
            <w:pPr>
              <w:jc w:val="right"/>
            </w:pPr>
            <w:r w:rsidRPr="003321DD">
              <w:t>7.9</w:t>
            </w:r>
          </w:p>
        </w:tc>
      </w:tr>
      <w:tr w:rsidRPr="002E1515" w:rsidR="00CF12FE" w:rsidTr="00156904" w14:paraId="78DDD811" w14:textId="77777777">
        <w:trPr>
          <w:jc w:val="center"/>
        </w:trPr>
        <w:tc>
          <w:tcPr>
            <w:tcW w:w="1705" w:type="dxa"/>
            <w:vMerge/>
          </w:tcPr>
          <w:p w:rsidRPr="002E1515" w:rsidR="00CF12FE" w:rsidP="00CF12FE" w:rsidRDefault="00CF12FE" w14:paraId="0E97B5E8" w14:textId="77777777"/>
        </w:tc>
        <w:tc>
          <w:tcPr>
            <w:tcW w:w="1350" w:type="dxa"/>
            <w:vAlign w:val="bottom"/>
          </w:tcPr>
          <w:p w:rsidRPr="002E1515" w:rsidR="00CF12FE" w:rsidP="00CF12FE" w:rsidRDefault="00CF12FE" w14:paraId="6D2A3216" w14:textId="27F81526">
            <w:pPr>
              <w:jc w:val="right"/>
            </w:pPr>
            <w:r w:rsidRPr="002E1515">
              <w:t>5-9</w:t>
            </w:r>
            <w:r>
              <w:t>.5</w:t>
            </w:r>
          </w:p>
        </w:tc>
        <w:tc>
          <w:tcPr>
            <w:tcW w:w="1620" w:type="dxa"/>
          </w:tcPr>
          <w:p w:rsidRPr="002E1515" w:rsidR="00CF12FE" w:rsidP="00CF12FE" w:rsidRDefault="00CF12FE" w14:paraId="06D067AA" w14:textId="026D42AF">
            <w:pPr>
              <w:jc w:val="right"/>
            </w:pPr>
            <w:r w:rsidRPr="003321DD">
              <w:t>612</w:t>
            </w:r>
          </w:p>
        </w:tc>
        <w:tc>
          <w:tcPr>
            <w:tcW w:w="990" w:type="dxa"/>
          </w:tcPr>
          <w:p w:rsidRPr="00BC4E11" w:rsidR="00CF12FE" w:rsidP="00CF12FE" w:rsidRDefault="00CF12FE" w14:paraId="04258701" w14:textId="34A3D212">
            <w:pPr>
              <w:jc w:val="right"/>
            </w:pPr>
            <w:r w:rsidRPr="003321DD">
              <w:t>49.5</w:t>
            </w:r>
          </w:p>
        </w:tc>
        <w:tc>
          <w:tcPr>
            <w:tcW w:w="1440" w:type="dxa"/>
          </w:tcPr>
          <w:p w:rsidRPr="002E1515" w:rsidR="00CF12FE" w:rsidP="00CF12FE" w:rsidRDefault="00CF12FE" w14:paraId="2EB8E537" w14:textId="0BBED39D">
            <w:pPr>
              <w:jc w:val="right"/>
            </w:pPr>
            <w:r w:rsidRPr="003321DD">
              <w:t>48.7</w:t>
            </w:r>
          </w:p>
        </w:tc>
        <w:tc>
          <w:tcPr>
            <w:tcW w:w="1170" w:type="dxa"/>
          </w:tcPr>
          <w:p w:rsidRPr="00E8403D" w:rsidR="00CF12FE" w:rsidP="00CF12FE" w:rsidRDefault="00CF12FE" w14:paraId="063E3D22" w14:textId="32C8D4B3">
            <w:pPr>
              <w:jc w:val="right"/>
            </w:pPr>
            <w:r w:rsidRPr="003321DD">
              <w:t>1.6</w:t>
            </w:r>
          </w:p>
        </w:tc>
        <w:tc>
          <w:tcPr>
            <w:tcW w:w="1260" w:type="dxa"/>
          </w:tcPr>
          <w:p w:rsidRPr="00BC4E11" w:rsidR="00CF12FE" w:rsidP="00CF12FE" w:rsidRDefault="00CF12FE" w14:paraId="1CBC0623" w14:textId="5D94A660">
            <w:pPr>
              <w:jc w:val="right"/>
            </w:pPr>
            <w:r w:rsidRPr="003321DD">
              <w:t>4.8</w:t>
            </w:r>
          </w:p>
        </w:tc>
        <w:tc>
          <w:tcPr>
            <w:tcW w:w="1208" w:type="dxa"/>
          </w:tcPr>
          <w:p w:rsidRPr="002E1515" w:rsidR="00CF12FE" w:rsidP="00CF12FE" w:rsidRDefault="00CF12FE" w14:paraId="74443CCF" w14:textId="2ABF986D">
            <w:pPr>
              <w:jc w:val="right"/>
            </w:pPr>
            <w:r w:rsidRPr="003321DD">
              <w:t>9.6</w:t>
            </w:r>
          </w:p>
        </w:tc>
      </w:tr>
      <w:tr w:rsidRPr="002E1515" w:rsidR="00CF12FE" w:rsidTr="00156904" w14:paraId="1FFE3F5C" w14:textId="77777777">
        <w:trPr>
          <w:jc w:val="center"/>
        </w:trPr>
        <w:tc>
          <w:tcPr>
            <w:tcW w:w="1705" w:type="dxa"/>
            <w:vMerge/>
          </w:tcPr>
          <w:p w:rsidRPr="002E1515" w:rsidR="00CF12FE" w:rsidP="00CF12FE" w:rsidRDefault="00CF12FE" w14:paraId="71B70294" w14:textId="77777777"/>
        </w:tc>
        <w:tc>
          <w:tcPr>
            <w:tcW w:w="1350" w:type="dxa"/>
            <w:vAlign w:val="bottom"/>
          </w:tcPr>
          <w:p w:rsidRPr="002E1515" w:rsidR="00CF12FE" w:rsidP="00CF12FE" w:rsidRDefault="00CF12FE" w14:paraId="14EAD218" w14:textId="73502958">
            <w:pPr>
              <w:jc w:val="right"/>
            </w:pPr>
            <w:r w:rsidRPr="002E1515">
              <w:t>2-4</w:t>
            </w:r>
            <w:r>
              <w:t>.5</w:t>
            </w:r>
          </w:p>
        </w:tc>
        <w:tc>
          <w:tcPr>
            <w:tcW w:w="1620" w:type="dxa"/>
          </w:tcPr>
          <w:p w:rsidRPr="002E1515" w:rsidR="00CF12FE" w:rsidP="00CF12FE" w:rsidRDefault="00CF12FE" w14:paraId="0F8A8C9B" w14:textId="1347687D">
            <w:pPr>
              <w:jc w:val="right"/>
            </w:pPr>
            <w:r w:rsidRPr="003321DD">
              <w:t>267</w:t>
            </w:r>
          </w:p>
        </w:tc>
        <w:tc>
          <w:tcPr>
            <w:tcW w:w="990" w:type="dxa"/>
          </w:tcPr>
          <w:p w:rsidRPr="00BC4E11" w:rsidR="00CF12FE" w:rsidP="00CF12FE" w:rsidRDefault="00CF12FE" w14:paraId="5140DE64" w14:textId="3580438D">
            <w:pPr>
              <w:jc w:val="right"/>
            </w:pPr>
            <w:r w:rsidRPr="003321DD">
              <w:t>45.8</w:t>
            </w:r>
          </w:p>
        </w:tc>
        <w:tc>
          <w:tcPr>
            <w:tcW w:w="1440" w:type="dxa"/>
          </w:tcPr>
          <w:p w:rsidRPr="002E1515" w:rsidR="00CF12FE" w:rsidP="00CF12FE" w:rsidRDefault="00CF12FE" w14:paraId="40A07221" w14:textId="14AC3E49">
            <w:pPr>
              <w:jc w:val="right"/>
            </w:pPr>
            <w:r w:rsidRPr="003321DD">
              <w:t>45.3</w:t>
            </w:r>
          </w:p>
        </w:tc>
        <w:tc>
          <w:tcPr>
            <w:tcW w:w="1170" w:type="dxa"/>
          </w:tcPr>
          <w:p w:rsidRPr="00E8403D" w:rsidR="00CF12FE" w:rsidP="00CF12FE" w:rsidRDefault="00CF12FE" w14:paraId="6647209F" w14:textId="2EDE23A1">
            <w:pPr>
              <w:jc w:val="right"/>
            </w:pPr>
            <w:r w:rsidRPr="003321DD">
              <w:t>0.9</w:t>
            </w:r>
          </w:p>
        </w:tc>
        <w:tc>
          <w:tcPr>
            <w:tcW w:w="1260" w:type="dxa"/>
          </w:tcPr>
          <w:p w:rsidRPr="00BC4E11" w:rsidR="00CF12FE" w:rsidP="00CF12FE" w:rsidRDefault="00CF12FE" w14:paraId="51BB5C49" w14:textId="1B09984E">
            <w:pPr>
              <w:jc w:val="right"/>
            </w:pPr>
            <w:r w:rsidRPr="003321DD">
              <w:t>1.8</w:t>
            </w:r>
          </w:p>
        </w:tc>
        <w:tc>
          <w:tcPr>
            <w:tcW w:w="1208" w:type="dxa"/>
          </w:tcPr>
          <w:p w:rsidRPr="002E1515" w:rsidR="00CF12FE" w:rsidP="00CF12FE" w:rsidRDefault="00CF12FE" w14:paraId="1BD04546" w14:textId="5A24A062">
            <w:pPr>
              <w:jc w:val="right"/>
            </w:pPr>
            <w:r w:rsidRPr="003321DD">
              <w:t>15.9</w:t>
            </w:r>
          </w:p>
        </w:tc>
      </w:tr>
      <w:tr w:rsidRPr="002E1515" w:rsidR="00CF12FE" w:rsidTr="00156904" w14:paraId="6741DAF2" w14:textId="77777777">
        <w:trPr>
          <w:jc w:val="center"/>
        </w:trPr>
        <w:tc>
          <w:tcPr>
            <w:tcW w:w="1705" w:type="dxa"/>
            <w:vMerge/>
          </w:tcPr>
          <w:p w:rsidRPr="002E1515" w:rsidR="00CF12FE" w:rsidP="00CF12FE" w:rsidRDefault="00CF12FE" w14:paraId="77D17759" w14:textId="77777777"/>
        </w:tc>
        <w:tc>
          <w:tcPr>
            <w:tcW w:w="1350" w:type="dxa"/>
            <w:vAlign w:val="bottom"/>
          </w:tcPr>
          <w:p w:rsidRPr="002E1515" w:rsidR="00CF12FE" w:rsidP="00CF12FE" w:rsidRDefault="00CF12FE" w14:paraId="39DC83C0" w14:textId="654F0D4D">
            <w:pPr>
              <w:jc w:val="right"/>
            </w:pPr>
            <w:r w:rsidRPr="002E1515">
              <w:t>1</w:t>
            </w:r>
            <w:r>
              <w:t>-1.5</w:t>
            </w:r>
          </w:p>
        </w:tc>
        <w:tc>
          <w:tcPr>
            <w:tcW w:w="1620" w:type="dxa"/>
          </w:tcPr>
          <w:p w:rsidRPr="002E1515" w:rsidR="00CF12FE" w:rsidP="00CF12FE" w:rsidRDefault="00CF12FE" w14:paraId="5BB71E50" w14:textId="4A29A458">
            <w:pPr>
              <w:jc w:val="right"/>
            </w:pPr>
            <w:r w:rsidRPr="003321DD">
              <w:t>12</w:t>
            </w:r>
          </w:p>
        </w:tc>
        <w:tc>
          <w:tcPr>
            <w:tcW w:w="990" w:type="dxa"/>
          </w:tcPr>
          <w:p w:rsidRPr="00BC4E11" w:rsidR="00CF12FE" w:rsidP="00CF12FE" w:rsidRDefault="00CF12FE" w14:paraId="1B12BA6E" w14:textId="3A92AE84">
            <w:pPr>
              <w:jc w:val="right"/>
            </w:pPr>
            <w:r w:rsidRPr="003321DD">
              <w:t>0.0</w:t>
            </w:r>
          </w:p>
        </w:tc>
        <w:tc>
          <w:tcPr>
            <w:tcW w:w="1440" w:type="dxa"/>
          </w:tcPr>
          <w:p w:rsidRPr="002E1515" w:rsidR="00CF12FE" w:rsidP="00CF12FE" w:rsidRDefault="00CF12FE" w14:paraId="3886DFDC" w14:textId="283DE308">
            <w:pPr>
              <w:jc w:val="right"/>
            </w:pPr>
            <w:r w:rsidRPr="003321DD">
              <w:t>49.4</w:t>
            </w:r>
          </w:p>
        </w:tc>
        <w:tc>
          <w:tcPr>
            <w:tcW w:w="1170" w:type="dxa"/>
          </w:tcPr>
          <w:p w:rsidRPr="00E8403D" w:rsidR="00CF12FE" w:rsidP="00CF12FE" w:rsidRDefault="00CF12FE" w14:paraId="2946C2DB" w14:textId="693B8504">
            <w:pPr>
              <w:jc w:val="right"/>
            </w:pPr>
            <w:r w:rsidRPr="003321DD">
              <w:t>0.0</w:t>
            </w:r>
          </w:p>
        </w:tc>
        <w:tc>
          <w:tcPr>
            <w:tcW w:w="1260" w:type="dxa"/>
          </w:tcPr>
          <w:p w:rsidRPr="00BC4E11" w:rsidR="00CF12FE" w:rsidP="00CF12FE" w:rsidRDefault="00CF12FE" w14:paraId="1AAE0D6C" w14:textId="2B6AE5DD">
            <w:pPr>
              <w:jc w:val="right"/>
            </w:pPr>
            <w:r w:rsidRPr="003321DD">
              <w:t>0.0</w:t>
            </w:r>
          </w:p>
        </w:tc>
        <w:tc>
          <w:tcPr>
            <w:tcW w:w="1208" w:type="dxa"/>
          </w:tcPr>
          <w:p w:rsidRPr="002E1515" w:rsidR="00CF12FE" w:rsidP="00CF12FE" w:rsidRDefault="00CF12FE" w14:paraId="2245B51D" w14:textId="3F0108FB">
            <w:pPr>
              <w:jc w:val="right"/>
            </w:pPr>
            <w:r w:rsidRPr="003321DD">
              <w:t>0.0</w:t>
            </w:r>
          </w:p>
        </w:tc>
      </w:tr>
      <w:tr w:rsidRPr="002E1515" w:rsidR="00CF12FE" w:rsidTr="00830786" w14:paraId="63533175" w14:textId="77777777">
        <w:trPr>
          <w:jc w:val="center"/>
        </w:trPr>
        <w:tc>
          <w:tcPr>
            <w:tcW w:w="1705" w:type="dxa"/>
          </w:tcPr>
          <w:p w:rsidRPr="002E1515" w:rsidR="00CF12FE" w:rsidP="00CF12FE" w:rsidRDefault="00CF12FE" w14:paraId="647965B5" w14:textId="77777777">
            <w:r w:rsidRPr="002E1515">
              <w:t>State</w:t>
            </w:r>
            <w:r>
              <w:t xml:space="preserve"> Police</w:t>
            </w:r>
          </w:p>
        </w:tc>
        <w:tc>
          <w:tcPr>
            <w:tcW w:w="1350" w:type="dxa"/>
            <w:vAlign w:val="center"/>
          </w:tcPr>
          <w:p w:rsidRPr="002E1515" w:rsidR="00CF12FE" w:rsidP="00CF12FE" w:rsidRDefault="00CF12FE" w14:paraId="203FAAE5" w14:textId="77777777">
            <w:pPr>
              <w:jc w:val="right"/>
            </w:pPr>
            <w:r w:rsidRPr="002E1515">
              <w:t>All</w:t>
            </w:r>
          </w:p>
        </w:tc>
        <w:tc>
          <w:tcPr>
            <w:tcW w:w="1620" w:type="dxa"/>
          </w:tcPr>
          <w:p w:rsidRPr="002E1515" w:rsidR="00CF12FE" w:rsidP="00CF12FE" w:rsidRDefault="00CF12FE" w14:paraId="458BDA60" w14:textId="25C259C8">
            <w:pPr>
              <w:jc w:val="right"/>
            </w:pPr>
            <w:r w:rsidRPr="003321DD">
              <w:t>245,320</w:t>
            </w:r>
          </w:p>
        </w:tc>
        <w:tc>
          <w:tcPr>
            <w:tcW w:w="990" w:type="dxa"/>
          </w:tcPr>
          <w:p w:rsidRPr="00BC4E11" w:rsidR="00CF12FE" w:rsidP="00CF12FE" w:rsidRDefault="00CF12FE" w14:paraId="21455DC8" w14:textId="2BFB03E8">
            <w:pPr>
              <w:jc w:val="right"/>
            </w:pPr>
            <w:r w:rsidRPr="003321DD">
              <w:t>34.3</w:t>
            </w:r>
          </w:p>
        </w:tc>
        <w:tc>
          <w:tcPr>
            <w:tcW w:w="1440" w:type="dxa"/>
          </w:tcPr>
          <w:p w:rsidRPr="002E1515" w:rsidR="00CF12FE" w:rsidP="00CF12FE" w:rsidRDefault="00CF12FE" w14:paraId="7D2B9160" w14:textId="57D1A23D">
            <w:pPr>
              <w:jc w:val="right"/>
            </w:pPr>
            <w:r w:rsidRPr="003321DD">
              <w:t>49.8</w:t>
            </w:r>
          </w:p>
        </w:tc>
        <w:tc>
          <w:tcPr>
            <w:tcW w:w="1170" w:type="dxa"/>
          </w:tcPr>
          <w:p w:rsidRPr="00E8403D" w:rsidR="00CF12FE" w:rsidP="00CF12FE" w:rsidRDefault="00CF12FE" w14:paraId="0B751A45" w14:textId="2049D887">
            <w:pPr>
              <w:jc w:val="right"/>
            </w:pPr>
            <w:r w:rsidRPr="003321DD">
              <w:t>1,335.3</w:t>
            </w:r>
          </w:p>
        </w:tc>
        <w:tc>
          <w:tcPr>
            <w:tcW w:w="1260" w:type="dxa"/>
          </w:tcPr>
          <w:p w:rsidRPr="00BC4E11" w:rsidR="00CF12FE" w:rsidP="00CF12FE" w:rsidRDefault="00CF12FE" w14:paraId="267D8F6D" w14:textId="4C0468C4">
            <w:pPr>
              <w:jc w:val="right"/>
            </w:pPr>
            <w:r w:rsidRPr="003321DD">
              <w:t>854.4</w:t>
            </w:r>
          </w:p>
        </w:tc>
        <w:tc>
          <w:tcPr>
            <w:tcW w:w="1208" w:type="dxa"/>
          </w:tcPr>
          <w:p w:rsidRPr="002E1515" w:rsidR="00CF12FE" w:rsidP="00CF12FE" w:rsidRDefault="00CF12FE" w14:paraId="39F41194" w14:textId="60340A1B">
            <w:pPr>
              <w:jc w:val="right"/>
            </w:pPr>
            <w:r w:rsidRPr="003321DD">
              <w:t>2.7</w:t>
            </w:r>
          </w:p>
        </w:tc>
      </w:tr>
    </w:tbl>
    <w:p w:rsidRPr="00C06CDB" w:rsidR="00EC6C2C" w:rsidP="00D534B2" w:rsidRDefault="00EC6C2C" w14:paraId="099D356A" w14:textId="238B0B31">
      <w:pPr>
        <w:pStyle w:val="SP-SglSpPara"/>
        <w:tabs>
          <w:tab w:val="clear" w:pos="576"/>
          <w:tab w:val="left" w:pos="-540"/>
        </w:tabs>
        <w:ind w:left="-540" w:right="-720" w:hanging="180"/>
        <w:jc w:val="left"/>
        <w:rPr>
          <w:sz w:val="20"/>
        </w:rPr>
      </w:pPr>
      <w:r w:rsidRPr="00C06CDB">
        <w:rPr>
          <w:vertAlign w:val="superscript"/>
        </w:rPr>
        <w:t>a</w:t>
      </w:r>
      <w:r>
        <w:rPr>
          <w:vertAlign w:val="superscript"/>
        </w:rPr>
        <w:t xml:space="preserve"> </w:t>
      </w:r>
      <w:r w:rsidRPr="00C06CDB">
        <w:rPr>
          <w:sz w:val="20"/>
        </w:rPr>
        <w:t xml:space="preserve">Number of </w:t>
      </w:r>
      <w:r w:rsidR="000A1127">
        <w:rPr>
          <w:sz w:val="20"/>
        </w:rPr>
        <w:t>full-time</w:t>
      </w:r>
      <w:r w:rsidR="00DC5B8E">
        <w:rPr>
          <w:sz w:val="20"/>
        </w:rPr>
        <w:t xml:space="preserve"> equivalent</w:t>
      </w:r>
      <w:r w:rsidR="000A1127">
        <w:rPr>
          <w:sz w:val="20"/>
        </w:rPr>
        <w:t xml:space="preserve"> sworn</w:t>
      </w:r>
      <w:r w:rsidRPr="00C06CDB" w:rsidR="000A1127">
        <w:rPr>
          <w:sz w:val="20"/>
        </w:rPr>
        <w:t xml:space="preserve"> </w:t>
      </w:r>
      <w:r w:rsidRPr="00C06CDB">
        <w:rPr>
          <w:sz w:val="20"/>
        </w:rPr>
        <w:t>officers</w:t>
      </w:r>
      <w:r w:rsidR="000A1127">
        <w:rPr>
          <w:sz w:val="20"/>
        </w:rPr>
        <w:t>.</w:t>
      </w:r>
    </w:p>
    <w:p w:rsidR="00B502CB" w:rsidP="00D534B2" w:rsidRDefault="00B502CB" w14:paraId="0C7F69E4" w14:textId="2A5D6340">
      <w:pPr>
        <w:pStyle w:val="SP-SglSpPara"/>
        <w:tabs>
          <w:tab w:val="clear" w:pos="576"/>
          <w:tab w:val="left" w:pos="-540"/>
        </w:tabs>
        <w:ind w:left="-540" w:right="-720" w:hanging="180"/>
        <w:jc w:val="left"/>
        <w:rPr>
          <w:sz w:val="20"/>
          <w:vertAlign w:val="superscript"/>
        </w:rPr>
      </w:pPr>
    </w:p>
    <w:p w:rsidR="00D13D97" w:rsidP="00D13D97" w:rsidRDefault="002750E4" w14:paraId="5D603AC1" w14:textId="0F5B9416">
      <w:r w:rsidRPr="002750E4">
        <w:t>To optimize the sampling allocation, multiple objectives of estimation have been considered. We considered several allocation methods including proportional to number of agencies</w:t>
      </w:r>
      <w:r>
        <w:t xml:space="preserve"> (Number of Agencies)</w:t>
      </w:r>
      <w:r w:rsidRPr="002750E4">
        <w:t>, proportional to number of FTE</w:t>
      </w:r>
      <w:r>
        <w:t xml:space="preserve"> (Percent FTE)</w:t>
      </w:r>
      <w:r w:rsidRPr="002750E4">
        <w:t>, and proportional to square root of FTE</w:t>
      </w:r>
      <w:r>
        <w:t xml:space="preserve"> (Percent Square Root FTE)</w:t>
      </w:r>
      <w:r w:rsidRPr="002750E4">
        <w:t xml:space="preserve">. We compared the allocations by evaluating the precision of estimates from each of the allocations. </w:t>
      </w:r>
      <w:r w:rsidRPr="00594C83" w:rsidR="00D13D97">
        <w:t xml:space="preserve">Using the </w:t>
      </w:r>
      <w:r w:rsidR="00D13D97">
        <w:t>LEAR</w:t>
      </w:r>
      <w:r w:rsidRPr="00594C83" w:rsidR="00D13D97">
        <w:t xml:space="preserve">, frame counts for each stratum are included in </w:t>
      </w:r>
      <w:r w:rsidRPr="00594C83" w:rsidR="00D13D97">
        <w:rPr>
          <w:b/>
        </w:rPr>
        <w:t xml:space="preserve">Table </w:t>
      </w:r>
      <w:r w:rsidR="00D13D97">
        <w:rPr>
          <w:b/>
        </w:rPr>
        <w:t xml:space="preserve">6 </w:t>
      </w:r>
      <w:r w:rsidR="00D13D97">
        <w:t xml:space="preserve">as well as the distribution of agencies, </w:t>
      </w:r>
      <w:r>
        <w:t>FTE</w:t>
      </w:r>
      <w:r w:rsidR="00D13D97">
        <w:t xml:space="preserve">, and square root of </w:t>
      </w:r>
      <w:r>
        <w:t>FTE</w:t>
      </w:r>
      <w:r w:rsidRPr="00672455" w:rsidR="00D13D97">
        <w:rPr>
          <w:b/>
        </w:rPr>
        <w:t xml:space="preserve">. </w:t>
      </w:r>
    </w:p>
    <w:p w:rsidRPr="00D534B2" w:rsidR="00D13D97" w:rsidP="00D534B2" w:rsidRDefault="00D13D97" w14:paraId="5BB56684" w14:textId="77777777">
      <w:pPr>
        <w:pStyle w:val="SP-SglSpPara"/>
        <w:tabs>
          <w:tab w:val="clear" w:pos="576"/>
          <w:tab w:val="left" w:pos="-540"/>
        </w:tabs>
        <w:ind w:left="-540" w:right="-720" w:hanging="180"/>
        <w:jc w:val="left"/>
        <w:rPr>
          <w:sz w:val="20"/>
          <w:vertAlign w:val="superscript"/>
        </w:rPr>
      </w:pPr>
    </w:p>
    <w:p w:rsidRPr="00DA6CF1" w:rsidR="00F84901" w:rsidP="00990A93" w:rsidRDefault="00F84901" w14:paraId="03E948E6" w14:textId="76A8A87F">
      <w:pPr>
        <w:pStyle w:val="Caption"/>
        <w:keepNext/>
        <w:rPr>
          <w:rFonts w:ascii="Times New Roman" w:hAnsi="Times New Roman" w:eastAsia="Calibri" w:cs="Times New Roman"/>
          <w:b/>
          <w:bCs/>
          <w:i w:val="0"/>
          <w:iCs w:val="0"/>
          <w:color w:val="auto"/>
          <w:sz w:val="24"/>
          <w:szCs w:val="24"/>
        </w:rPr>
      </w:pPr>
      <w:r w:rsidRPr="00DA6CF1">
        <w:rPr>
          <w:rFonts w:ascii="Times New Roman" w:hAnsi="Times New Roman" w:eastAsia="Calibri" w:cs="Times New Roman"/>
          <w:b/>
          <w:bCs/>
          <w:i w:val="0"/>
          <w:iCs w:val="0"/>
          <w:color w:val="auto"/>
          <w:sz w:val="24"/>
          <w:szCs w:val="24"/>
        </w:rPr>
        <w:t xml:space="preserve">Table </w:t>
      </w:r>
      <w:r w:rsidR="00F84BA4">
        <w:rPr>
          <w:rFonts w:ascii="Times New Roman" w:hAnsi="Times New Roman" w:eastAsia="Calibri" w:cs="Times New Roman"/>
          <w:b/>
          <w:bCs/>
          <w:i w:val="0"/>
          <w:iCs w:val="0"/>
          <w:color w:val="auto"/>
          <w:sz w:val="24"/>
          <w:szCs w:val="24"/>
        </w:rPr>
        <w:t>6</w:t>
      </w:r>
      <w:r w:rsidRPr="00DA6CF1">
        <w:rPr>
          <w:rFonts w:ascii="Times New Roman" w:hAnsi="Times New Roman" w:eastAsia="Calibri" w:cs="Times New Roman"/>
          <w:b/>
          <w:bCs/>
          <w:i w:val="0"/>
          <w:iCs w:val="0"/>
          <w:color w:val="auto"/>
          <w:sz w:val="24"/>
          <w:szCs w:val="24"/>
        </w:rPr>
        <w:t xml:space="preserve">: </w:t>
      </w:r>
      <w:r w:rsidR="00696402">
        <w:rPr>
          <w:rFonts w:ascii="Times New Roman" w:hAnsi="Times New Roman" w:eastAsia="Calibri" w:cs="Times New Roman"/>
          <w:b/>
          <w:bCs/>
          <w:i w:val="0"/>
          <w:iCs w:val="0"/>
          <w:color w:val="auto"/>
          <w:sz w:val="24"/>
          <w:szCs w:val="24"/>
        </w:rPr>
        <w:t xml:space="preserve">Distribution of agencies </w:t>
      </w:r>
      <w:r w:rsidR="007A3AED">
        <w:rPr>
          <w:rFonts w:ascii="Times New Roman" w:hAnsi="Times New Roman" w:eastAsia="Calibri" w:cs="Times New Roman"/>
          <w:b/>
          <w:bCs/>
          <w:i w:val="0"/>
          <w:iCs w:val="0"/>
          <w:color w:val="auto"/>
          <w:sz w:val="24"/>
          <w:szCs w:val="24"/>
        </w:rPr>
        <w:t>by</w:t>
      </w:r>
      <w:r w:rsidRPr="00DA6CF1">
        <w:rPr>
          <w:rFonts w:ascii="Times New Roman" w:hAnsi="Times New Roman" w:eastAsia="Calibri" w:cs="Times New Roman"/>
          <w:b/>
          <w:bCs/>
          <w:i w:val="0"/>
          <w:iCs w:val="0"/>
          <w:color w:val="auto"/>
          <w:sz w:val="24"/>
          <w:szCs w:val="24"/>
        </w:rPr>
        <w:t xml:space="preserve"> </w:t>
      </w:r>
      <w:r w:rsidR="00990A93">
        <w:rPr>
          <w:rFonts w:ascii="Times New Roman" w:hAnsi="Times New Roman" w:eastAsia="Calibri" w:cs="Times New Roman"/>
          <w:b/>
          <w:bCs/>
          <w:i w:val="0"/>
          <w:iCs w:val="0"/>
          <w:color w:val="auto"/>
          <w:sz w:val="24"/>
          <w:szCs w:val="24"/>
        </w:rPr>
        <w:t>s</w:t>
      </w:r>
      <w:r w:rsidRPr="00DA6CF1">
        <w:rPr>
          <w:rFonts w:ascii="Times New Roman" w:hAnsi="Times New Roman" w:eastAsia="Calibri" w:cs="Times New Roman"/>
          <w:b/>
          <w:bCs/>
          <w:i w:val="0"/>
          <w:iCs w:val="0"/>
          <w:color w:val="auto"/>
          <w:sz w:val="24"/>
          <w:szCs w:val="24"/>
        </w:rPr>
        <w:t>tratum</w:t>
      </w:r>
      <w:r w:rsidR="00990A93">
        <w:rPr>
          <w:rFonts w:ascii="Times New Roman" w:hAnsi="Times New Roman" w:eastAsia="Calibri" w:cs="Times New Roman"/>
          <w:b/>
          <w:bCs/>
          <w:i w:val="0"/>
          <w:iCs w:val="0"/>
          <w:color w:val="auto"/>
          <w:sz w:val="24"/>
          <w:szCs w:val="24"/>
        </w:rPr>
        <w:t xml:space="preserve"> based on sample allocation</w:t>
      </w:r>
      <w:r w:rsidR="000A1127">
        <w:rPr>
          <w:rFonts w:ascii="Times New Roman" w:hAnsi="Times New Roman" w:eastAsia="Calibri" w:cs="Times New Roman"/>
          <w:b/>
          <w:bCs/>
          <w:i w:val="0"/>
          <w:iCs w:val="0"/>
          <w:color w:val="auto"/>
          <w:sz w:val="24"/>
          <w:szCs w:val="24"/>
        </w:rPr>
        <w:t xml:space="preserve">, </w:t>
      </w:r>
      <w:r w:rsidR="00B502CB">
        <w:rPr>
          <w:rFonts w:ascii="Times New Roman" w:hAnsi="Times New Roman" w:eastAsia="Calibri" w:cs="Times New Roman"/>
          <w:b/>
          <w:bCs/>
          <w:i w:val="0"/>
          <w:iCs w:val="0"/>
          <w:color w:val="auto"/>
          <w:sz w:val="24"/>
          <w:szCs w:val="24"/>
        </w:rPr>
        <w:t>LEAR</w:t>
      </w:r>
    </w:p>
    <w:tbl>
      <w:tblPr>
        <w:tblStyle w:val="TableGrid"/>
        <w:tblW w:w="9720" w:type="dxa"/>
        <w:tblInd w:w="-5" w:type="dxa"/>
        <w:tblLayout w:type="fixed"/>
        <w:tblCellMar>
          <w:left w:w="115" w:type="dxa"/>
          <w:right w:w="115" w:type="dxa"/>
        </w:tblCellMar>
        <w:tblLook w:val="04A0" w:firstRow="1" w:lastRow="0" w:firstColumn="1" w:lastColumn="0" w:noHBand="0" w:noVBand="1"/>
      </w:tblPr>
      <w:tblGrid>
        <w:gridCol w:w="1710"/>
        <w:gridCol w:w="1253"/>
        <w:gridCol w:w="1758"/>
        <w:gridCol w:w="1579"/>
        <w:gridCol w:w="1620"/>
        <w:gridCol w:w="1800"/>
      </w:tblGrid>
      <w:tr w:rsidR="00BB3221" w:rsidTr="00830786" w14:paraId="03AAC15A" w14:textId="77777777">
        <w:trPr>
          <w:tblHeader/>
        </w:trPr>
        <w:tc>
          <w:tcPr>
            <w:tcW w:w="1710" w:type="dxa"/>
            <w:shd w:val="clear" w:color="auto" w:fill="C6D9F1" w:themeFill="text2" w:themeFillTint="33"/>
          </w:tcPr>
          <w:p w:rsidRPr="002E1515" w:rsidR="00BB3221" w:rsidP="00F84901" w:rsidRDefault="00BB3221" w14:paraId="279E422C" w14:textId="77777777">
            <w:pPr>
              <w:jc w:val="center"/>
            </w:pPr>
            <w:r w:rsidRPr="002E1515">
              <w:t>Agency Type</w:t>
            </w:r>
          </w:p>
        </w:tc>
        <w:tc>
          <w:tcPr>
            <w:tcW w:w="1253" w:type="dxa"/>
            <w:shd w:val="clear" w:color="auto" w:fill="C6D9F1" w:themeFill="text2" w:themeFillTint="33"/>
          </w:tcPr>
          <w:p w:rsidRPr="00714F0E" w:rsidR="00BB3221" w:rsidP="00C87BA8" w:rsidRDefault="00BB3221" w14:paraId="7D5D68AC" w14:textId="77777777">
            <w:pPr>
              <w:jc w:val="center"/>
              <w:rPr>
                <w:vertAlign w:val="superscript"/>
              </w:rPr>
            </w:pPr>
            <w:r>
              <w:t>Agency Size</w:t>
            </w:r>
            <w:r>
              <w:rPr>
                <w:vertAlign w:val="superscript"/>
              </w:rPr>
              <w:t>a</w:t>
            </w:r>
          </w:p>
        </w:tc>
        <w:tc>
          <w:tcPr>
            <w:tcW w:w="1758" w:type="dxa"/>
            <w:shd w:val="clear" w:color="auto" w:fill="C6D9F1" w:themeFill="text2" w:themeFillTint="33"/>
          </w:tcPr>
          <w:p w:rsidR="00BB3221" w:rsidP="00F84901" w:rsidRDefault="00BB3221" w14:paraId="038594C3" w14:textId="77777777">
            <w:pPr>
              <w:jc w:val="center"/>
            </w:pPr>
            <w:r>
              <w:t>Number of Agencies</w:t>
            </w:r>
          </w:p>
        </w:tc>
        <w:tc>
          <w:tcPr>
            <w:tcW w:w="1579" w:type="dxa"/>
            <w:shd w:val="clear" w:color="auto" w:fill="C6D9F1" w:themeFill="text2" w:themeFillTint="33"/>
          </w:tcPr>
          <w:p w:rsidR="00BB3221" w:rsidP="00F84901" w:rsidRDefault="00BB3221" w14:paraId="36A89D23" w14:textId="77777777">
            <w:pPr>
              <w:jc w:val="center"/>
            </w:pPr>
            <w:r>
              <w:t>Percent Agencies</w:t>
            </w:r>
          </w:p>
        </w:tc>
        <w:tc>
          <w:tcPr>
            <w:tcW w:w="1620" w:type="dxa"/>
            <w:shd w:val="clear" w:color="auto" w:fill="C6D9F1" w:themeFill="text2" w:themeFillTint="33"/>
          </w:tcPr>
          <w:p w:rsidR="00BB3221" w:rsidP="00F84901" w:rsidRDefault="00BB3221" w14:paraId="7DA10634" w14:textId="55E17CB5">
            <w:pPr>
              <w:jc w:val="center"/>
            </w:pPr>
            <w:r>
              <w:t xml:space="preserve">Percent </w:t>
            </w:r>
            <w:r w:rsidR="00226164">
              <w:t>FTE</w:t>
            </w:r>
          </w:p>
        </w:tc>
        <w:tc>
          <w:tcPr>
            <w:tcW w:w="1800" w:type="dxa"/>
            <w:shd w:val="clear" w:color="auto" w:fill="C6D9F1" w:themeFill="text2" w:themeFillTint="33"/>
          </w:tcPr>
          <w:p w:rsidR="00BB3221" w:rsidP="00F84901" w:rsidRDefault="00BB3221" w14:paraId="2577E577" w14:textId="467A0C7C">
            <w:pPr>
              <w:jc w:val="center"/>
            </w:pPr>
            <w:r>
              <w:t xml:space="preserve">Percent Square Root </w:t>
            </w:r>
            <w:r w:rsidR="00226164">
              <w:t>FTE</w:t>
            </w:r>
          </w:p>
        </w:tc>
      </w:tr>
      <w:tr w:rsidRPr="002E1515" w:rsidR="00CF12FE" w:rsidTr="00156904" w14:paraId="15FF2A6A" w14:textId="77777777">
        <w:tc>
          <w:tcPr>
            <w:tcW w:w="1710" w:type="dxa"/>
            <w:vMerge w:val="restart"/>
          </w:tcPr>
          <w:p w:rsidRPr="002E1515" w:rsidR="00CF12FE" w:rsidP="00CF12FE" w:rsidRDefault="00CF12FE" w14:paraId="48C8593C" w14:textId="77777777">
            <w:r w:rsidRPr="002E1515">
              <w:t>Local Police</w:t>
            </w:r>
          </w:p>
        </w:tc>
        <w:tc>
          <w:tcPr>
            <w:tcW w:w="1253" w:type="dxa"/>
            <w:vAlign w:val="bottom"/>
          </w:tcPr>
          <w:p w:rsidRPr="002E1515" w:rsidR="00CF12FE" w:rsidP="00CF12FE" w:rsidRDefault="00CF12FE" w14:paraId="49142DD6" w14:textId="77777777">
            <w:pPr>
              <w:jc w:val="right"/>
            </w:pPr>
            <w:r w:rsidRPr="002E1515">
              <w:t>100+</w:t>
            </w:r>
          </w:p>
        </w:tc>
        <w:tc>
          <w:tcPr>
            <w:tcW w:w="1758" w:type="dxa"/>
          </w:tcPr>
          <w:p w:rsidRPr="002E1515" w:rsidR="00CF12FE" w:rsidP="00CF12FE" w:rsidRDefault="00CF12FE" w14:paraId="262F38D2" w14:textId="19682188">
            <w:pPr>
              <w:jc w:val="right"/>
            </w:pPr>
            <w:r w:rsidRPr="00F646CB">
              <w:t>669</w:t>
            </w:r>
          </w:p>
        </w:tc>
        <w:tc>
          <w:tcPr>
            <w:tcW w:w="1579" w:type="dxa"/>
          </w:tcPr>
          <w:p w:rsidR="00CF12FE" w:rsidP="00CF12FE" w:rsidRDefault="00CF12FE" w14:paraId="7CA38E1A" w14:textId="4ADB2E48">
            <w:pPr>
              <w:jc w:val="right"/>
            </w:pPr>
            <w:r w:rsidRPr="00F646CB">
              <w:t>4.5</w:t>
            </w:r>
          </w:p>
        </w:tc>
        <w:tc>
          <w:tcPr>
            <w:tcW w:w="1620" w:type="dxa"/>
          </w:tcPr>
          <w:p w:rsidR="00CF12FE" w:rsidP="00CF12FE" w:rsidRDefault="00CF12FE" w14:paraId="298F7608" w14:textId="558B4BC2">
            <w:pPr>
              <w:jc w:val="right"/>
            </w:pPr>
            <w:r w:rsidRPr="00F646CB">
              <w:t>38.7</w:t>
            </w:r>
          </w:p>
        </w:tc>
        <w:tc>
          <w:tcPr>
            <w:tcW w:w="1800" w:type="dxa"/>
          </w:tcPr>
          <w:p w:rsidR="00CF12FE" w:rsidP="00CF12FE" w:rsidRDefault="00CF12FE" w14:paraId="7FAFCAAC" w14:textId="5BE635E1">
            <w:pPr>
              <w:jc w:val="right"/>
            </w:pPr>
            <w:r w:rsidRPr="00F646CB">
              <w:t>20.4</w:t>
            </w:r>
          </w:p>
        </w:tc>
      </w:tr>
      <w:tr w:rsidRPr="002E1515" w:rsidR="00CF12FE" w:rsidTr="00156904" w14:paraId="2F408C1F" w14:textId="77777777">
        <w:tc>
          <w:tcPr>
            <w:tcW w:w="1710" w:type="dxa"/>
            <w:vMerge/>
          </w:tcPr>
          <w:p w:rsidRPr="002E1515" w:rsidR="00CF12FE" w:rsidP="00CF12FE" w:rsidRDefault="00CF12FE" w14:paraId="790AD6C8" w14:textId="77777777"/>
        </w:tc>
        <w:tc>
          <w:tcPr>
            <w:tcW w:w="1253" w:type="dxa"/>
            <w:vAlign w:val="bottom"/>
          </w:tcPr>
          <w:p w:rsidRPr="002E1515" w:rsidR="00CF12FE" w:rsidP="00CF12FE" w:rsidRDefault="00CF12FE" w14:paraId="2FDEB24A" w14:textId="2F33F2AE">
            <w:pPr>
              <w:jc w:val="right"/>
            </w:pPr>
            <w:r w:rsidRPr="002E1515">
              <w:t>50-99</w:t>
            </w:r>
            <w:r>
              <w:t>.5</w:t>
            </w:r>
          </w:p>
        </w:tc>
        <w:tc>
          <w:tcPr>
            <w:tcW w:w="1758" w:type="dxa"/>
          </w:tcPr>
          <w:p w:rsidRPr="002E1515" w:rsidR="00CF12FE" w:rsidP="00CF12FE" w:rsidRDefault="00CF12FE" w14:paraId="0D6A8FA3" w14:textId="29ADE1DD">
            <w:pPr>
              <w:jc w:val="right"/>
            </w:pPr>
            <w:r w:rsidRPr="00F646CB">
              <w:t>841</w:t>
            </w:r>
          </w:p>
        </w:tc>
        <w:tc>
          <w:tcPr>
            <w:tcW w:w="1579" w:type="dxa"/>
          </w:tcPr>
          <w:p w:rsidR="00CF12FE" w:rsidP="00CF12FE" w:rsidRDefault="00CF12FE" w14:paraId="4C151005" w14:textId="0EBEAF0F">
            <w:pPr>
              <w:jc w:val="right"/>
            </w:pPr>
            <w:r w:rsidRPr="00F646CB">
              <w:t>5.6</w:t>
            </w:r>
          </w:p>
        </w:tc>
        <w:tc>
          <w:tcPr>
            <w:tcW w:w="1620" w:type="dxa"/>
          </w:tcPr>
          <w:p w:rsidR="00CF12FE" w:rsidP="00CF12FE" w:rsidRDefault="00CF12FE" w14:paraId="5F14654F" w14:textId="444E88C6">
            <w:pPr>
              <w:jc w:val="right"/>
            </w:pPr>
            <w:r w:rsidRPr="00F646CB">
              <w:t>7.8</w:t>
            </w:r>
          </w:p>
        </w:tc>
        <w:tc>
          <w:tcPr>
            <w:tcW w:w="1800" w:type="dxa"/>
          </w:tcPr>
          <w:p w:rsidR="00CF12FE" w:rsidP="00CF12FE" w:rsidRDefault="00CF12FE" w14:paraId="2C7F6B35" w14:textId="13E1E1DC">
            <w:pPr>
              <w:jc w:val="right"/>
            </w:pPr>
            <w:r w:rsidRPr="00F646CB">
              <w:t>9.2</w:t>
            </w:r>
          </w:p>
        </w:tc>
      </w:tr>
      <w:tr w:rsidRPr="002E1515" w:rsidR="00CF12FE" w:rsidTr="00156904" w14:paraId="3886A1E5" w14:textId="77777777">
        <w:tc>
          <w:tcPr>
            <w:tcW w:w="1710" w:type="dxa"/>
            <w:vMerge/>
          </w:tcPr>
          <w:p w:rsidRPr="002E1515" w:rsidR="00CF12FE" w:rsidP="00CF12FE" w:rsidRDefault="00CF12FE" w14:paraId="5A4C601F" w14:textId="77777777"/>
        </w:tc>
        <w:tc>
          <w:tcPr>
            <w:tcW w:w="1253" w:type="dxa"/>
            <w:vAlign w:val="bottom"/>
          </w:tcPr>
          <w:p w:rsidRPr="002E1515" w:rsidR="00CF12FE" w:rsidP="00CF12FE" w:rsidRDefault="00CF12FE" w14:paraId="3F105D74" w14:textId="36836304">
            <w:pPr>
              <w:jc w:val="right"/>
            </w:pPr>
            <w:r w:rsidRPr="002E1515">
              <w:t>25-49</w:t>
            </w:r>
            <w:r>
              <w:t>.5</w:t>
            </w:r>
          </w:p>
        </w:tc>
        <w:tc>
          <w:tcPr>
            <w:tcW w:w="1758" w:type="dxa"/>
          </w:tcPr>
          <w:p w:rsidRPr="002E1515" w:rsidR="00CF12FE" w:rsidP="00CF12FE" w:rsidRDefault="00CF12FE" w14:paraId="71DDFCF6" w14:textId="5BA264CD">
            <w:pPr>
              <w:jc w:val="right"/>
            </w:pPr>
            <w:r w:rsidRPr="00F646CB">
              <w:t>1659</w:t>
            </w:r>
          </w:p>
        </w:tc>
        <w:tc>
          <w:tcPr>
            <w:tcW w:w="1579" w:type="dxa"/>
          </w:tcPr>
          <w:p w:rsidR="00CF12FE" w:rsidP="00CF12FE" w:rsidRDefault="00CF12FE" w14:paraId="6C3E50B1" w14:textId="0001E8F0">
            <w:pPr>
              <w:jc w:val="right"/>
            </w:pPr>
            <w:r w:rsidRPr="00F646CB">
              <w:t>11.1</w:t>
            </w:r>
          </w:p>
        </w:tc>
        <w:tc>
          <w:tcPr>
            <w:tcW w:w="1620" w:type="dxa"/>
          </w:tcPr>
          <w:p w:rsidR="00CF12FE" w:rsidP="00CF12FE" w:rsidRDefault="00CF12FE" w14:paraId="2DAA82B9" w14:textId="6451F835">
            <w:pPr>
              <w:jc w:val="right"/>
            </w:pPr>
            <w:r w:rsidRPr="00F646CB">
              <w:t>7.8</w:t>
            </w:r>
          </w:p>
        </w:tc>
        <w:tc>
          <w:tcPr>
            <w:tcW w:w="1800" w:type="dxa"/>
          </w:tcPr>
          <w:p w:rsidR="00CF12FE" w:rsidP="00CF12FE" w:rsidRDefault="00CF12FE" w14:paraId="0165C6C2" w14:textId="37ABEBDD">
            <w:pPr>
              <w:jc w:val="right"/>
            </w:pPr>
            <w:r w:rsidRPr="00F646CB">
              <w:t>9.1</w:t>
            </w:r>
          </w:p>
        </w:tc>
      </w:tr>
      <w:tr w:rsidRPr="002E1515" w:rsidR="00CF12FE" w:rsidTr="00156904" w14:paraId="37E72E62" w14:textId="77777777">
        <w:tc>
          <w:tcPr>
            <w:tcW w:w="1710" w:type="dxa"/>
            <w:vMerge/>
          </w:tcPr>
          <w:p w:rsidRPr="002E1515" w:rsidR="00CF12FE" w:rsidP="00CF12FE" w:rsidRDefault="00CF12FE" w14:paraId="1FFDA87C" w14:textId="77777777"/>
        </w:tc>
        <w:tc>
          <w:tcPr>
            <w:tcW w:w="1253" w:type="dxa"/>
            <w:vAlign w:val="bottom"/>
          </w:tcPr>
          <w:p w:rsidRPr="002E1515" w:rsidR="00CF12FE" w:rsidP="00CF12FE" w:rsidRDefault="00CF12FE" w14:paraId="61355744" w14:textId="184C90EC">
            <w:pPr>
              <w:jc w:val="right"/>
            </w:pPr>
            <w:r w:rsidRPr="002E1515">
              <w:t>10-24</w:t>
            </w:r>
            <w:r>
              <w:t>.5</w:t>
            </w:r>
          </w:p>
        </w:tc>
        <w:tc>
          <w:tcPr>
            <w:tcW w:w="1758" w:type="dxa"/>
          </w:tcPr>
          <w:p w:rsidRPr="002E1515" w:rsidR="00CF12FE" w:rsidP="00CF12FE" w:rsidRDefault="00CF12FE" w14:paraId="5661AAB6" w14:textId="5984401F">
            <w:pPr>
              <w:jc w:val="right"/>
            </w:pPr>
            <w:r w:rsidRPr="00F646CB">
              <w:t>3269</w:t>
            </w:r>
          </w:p>
        </w:tc>
        <w:tc>
          <w:tcPr>
            <w:tcW w:w="1579" w:type="dxa"/>
          </w:tcPr>
          <w:p w:rsidR="00CF12FE" w:rsidP="00CF12FE" w:rsidRDefault="00CF12FE" w14:paraId="7BDEEE3E" w14:textId="419CC000">
            <w:pPr>
              <w:jc w:val="right"/>
            </w:pPr>
            <w:r w:rsidRPr="00F646CB">
              <w:t>21.8</w:t>
            </w:r>
          </w:p>
        </w:tc>
        <w:tc>
          <w:tcPr>
            <w:tcW w:w="1620" w:type="dxa"/>
          </w:tcPr>
          <w:p w:rsidR="00CF12FE" w:rsidP="00CF12FE" w:rsidRDefault="00CF12FE" w14:paraId="3266B078" w14:textId="357E9891">
            <w:pPr>
              <w:jc w:val="right"/>
            </w:pPr>
            <w:r w:rsidRPr="00F646CB">
              <w:t>7.0</w:t>
            </w:r>
          </w:p>
        </w:tc>
        <w:tc>
          <w:tcPr>
            <w:tcW w:w="1800" w:type="dxa"/>
          </w:tcPr>
          <w:p w:rsidR="00CF12FE" w:rsidP="00CF12FE" w:rsidRDefault="00CF12FE" w14:paraId="288CAD75" w14:textId="54AFC0FA">
            <w:pPr>
              <w:jc w:val="right"/>
            </w:pPr>
            <w:r w:rsidRPr="00F646CB">
              <w:t>8.7</w:t>
            </w:r>
          </w:p>
        </w:tc>
      </w:tr>
      <w:tr w:rsidRPr="002E1515" w:rsidR="00CF12FE" w:rsidTr="00156904" w14:paraId="55A057ED" w14:textId="77777777">
        <w:tc>
          <w:tcPr>
            <w:tcW w:w="1710" w:type="dxa"/>
            <w:vMerge/>
          </w:tcPr>
          <w:p w:rsidRPr="002E1515" w:rsidR="00CF12FE" w:rsidP="00CF12FE" w:rsidRDefault="00CF12FE" w14:paraId="3AEB2704" w14:textId="77777777"/>
        </w:tc>
        <w:tc>
          <w:tcPr>
            <w:tcW w:w="1253" w:type="dxa"/>
            <w:vAlign w:val="bottom"/>
          </w:tcPr>
          <w:p w:rsidRPr="002E1515" w:rsidR="00CF12FE" w:rsidP="00CF12FE" w:rsidRDefault="00CF12FE" w14:paraId="6A448DE1" w14:textId="286CE711">
            <w:pPr>
              <w:jc w:val="right"/>
            </w:pPr>
            <w:r w:rsidRPr="002E1515">
              <w:t>5-9</w:t>
            </w:r>
            <w:r>
              <w:t>.5</w:t>
            </w:r>
          </w:p>
        </w:tc>
        <w:tc>
          <w:tcPr>
            <w:tcW w:w="1758" w:type="dxa"/>
          </w:tcPr>
          <w:p w:rsidRPr="002E1515" w:rsidR="00CF12FE" w:rsidP="00CF12FE" w:rsidRDefault="00CF12FE" w14:paraId="6303F13D" w14:textId="758B098A">
            <w:pPr>
              <w:jc w:val="right"/>
            </w:pPr>
            <w:r w:rsidRPr="00F646CB">
              <w:t>2870</w:t>
            </w:r>
          </w:p>
        </w:tc>
        <w:tc>
          <w:tcPr>
            <w:tcW w:w="1579" w:type="dxa"/>
          </w:tcPr>
          <w:p w:rsidR="00CF12FE" w:rsidP="00CF12FE" w:rsidRDefault="00CF12FE" w14:paraId="294A9EB5" w14:textId="71F9E15A">
            <w:pPr>
              <w:jc w:val="right"/>
            </w:pPr>
            <w:r w:rsidRPr="00F646CB">
              <w:t>19.1</w:t>
            </w:r>
          </w:p>
        </w:tc>
        <w:tc>
          <w:tcPr>
            <w:tcW w:w="1620" w:type="dxa"/>
          </w:tcPr>
          <w:p w:rsidR="00CF12FE" w:rsidP="00CF12FE" w:rsidRDefault="00CF12FE" w14:paraId="2EB74EA9" w14:textId="1A471B08">
            <w:pPr>
              <w:jc w:val="right"/>
            </w:pPr>
            <w:r w:rsidRPr="00F646CB">
              <w:t>2.7</w:t>
            </w:r>
          </w:p>
        </w:tc>
        <w:tc>
          <w:tcPr>
            <w:tcW w:w="1800" w:type="dxa"/>
          </w:tcPr>
          <w:p w:rsidR="00CF12FE" w:rsidP="00CF12FE" w:rsidRDefault="00CF12FE" w14:paraId="4951791E" w14:textId="34E4B396">
            <w:pPr>
              <w:jc w:val="right"/>
            </w:pPr>
            <w:r w:rsidRPr="00F646CB">
              <w:t>5.4</w:t>
            </w:r>
          </w:p>
        </w:tc>
      </w:tr>
      <w:tr w:rsidRPr="002E1515" w:rsidR="00CF12FE" w:rsidTr="00156904" w14:paraId="4A2E2858" w14:textId="77777777">
        <w:tc>
          <w:tcPr>
            <w:tcW w:w="1710" w:type="dxa"/>
            <w:vMerge/>
          </w:tcPr>
          <w:p w:rsidRPr="002E1515" w:rsidR="00CF12FE" w:rsidP="00CF12FE" w:rsidRDefault="00CF12FE" w14:paraId="035A0BBF" w14:textId="77777777"/>
        </w:tc>
        <w:tc>
          <w:tcPr>
            <w:tcW w:w="1253" w:type="dxa"/>
            <w:vAlign w:val="bottom"/>
          </w:tcPr>
          <w:p w:rsidRPr="002E1515" w:rsidR="00CF12FE" w:rsidP="00CF12FE" w:rsidRDefault="00CF12FE" w14:paraId="30816066" w14:textId="33B97070">
            <w:pPr>
              <w:jc w:val="right"/>
            </w:pPr>
            <w:r w:rsidRPr="002E1515">
              <w:t>2-4</w:t>
            </w:r>
            <w:r>
              <w:t>.5</w:t>
            </w:r>
          </w:p>
        </w:tc>
        <w:tc>
          <w:tcPr>
            <w:tcW w:w="1758" w:type="dxa"/>
          </w:tcPr>
          <w:p w:rsidRPr="002E1515" w:rsidR="00CF12FE" w:rsidP="00CF12FE" w:rsidRDefault="00CF12FE" w14:paraId="6E5C03DE" w14:textId="44CA4561">
            <w:pPr>
              <w:jc w:val="right"/>
            </w:pPr>
            <w:r w:rsidRPr="00F646CB">
              <w:t>1972</w:t>
            </w:r>
          </w:p>
        </w:tc>
        <w:tc>
          <w:tcPr>
            <w:tcW w:w="1579" w:type="dxa"/>
          </w:tcPr>
          <w:p w:rsidR="00CF12FE" w:rsidP="00CF12FE" w:rsidRDefault="00CF12FE" w14:paraId="5B0D3B2E" w14:textId="1ED46372">
            <w:pPr>
              <w:jc w:val="right"/>
            </w:pPr>
            <w:r w:rsidRPr="00F646CB">
              <w:t>13.2</w:t>
            </w:r>
          </w:p>
        </w:tc>
        <w:tc>
          <w:tcPr>
            <w:tcW w:w="1620" w:type="dxa"/>
          </w:tcPr>
          <w:p w:rsidR="00CF12FE" w:rsidP="00CF12FE" w:rsidRDefault="00CF12FE" w14:paraId="25A44455" w14:textId="54F7D1A6">
            <w:pPr>
              <w:jc w:val="right"/>
            </w:pPr>
            <w:r w:rsidRPr="00F646CB">
              <w:t>0.9</w:t>
            </w:r>
          </w:p>
        </w:tc>
        <w:tc>
          <w:tcPr>
            <w:tcW w:w="1800" w:type="dxa"/>
          </w:tcPr>
          <w:p w:rsidR="00CF12FE" w:rsidP="00CF12FE" w:rsidRDefault="00CF12FE" w14:paraId="29DE2495" w14:textId="4232A0DA">
            <w:pPr>
              <w:jc w:val="right"/>
            </w:pPr>
            <w:r w:rsidRPr="00F646CB">
              <w:t>3.0</w:t>
            </w:r>
          </w:p>
        </w:tc>
      </w:tr>
      <w:tr w:rsidRPr="002E1515" w:rsidR="00CF12FE" w:rsidTr="00156904" w14:paraId="29C47B32" w14:textId="77777777">
        <w:tc>
          <w:tcPr>
            <w:tcW w:w="1710" w:type="dxa"/>
            <w:vMerge/>
          </w:tcPr>
          <w:p w:rsidRPr="002E1515" w:rsidR="00CF12FE" w:rsidP="00CF12FE" w:rsidRDefault="00CF12FE" w14:paraId="67CE84FE" w14:textId="77777777"/>
        </w:tc>
        <w:tc>
          <w:tcPr>
            <w:tcW w:w="1253" w:type="dxa"/>
            <w:vAlign w:val="bottom"/>
          </w:tcPr>
          <w:p w:rsidRPr="002E1515" w:rsidR="00CF12FE" w:rsidP="00CF12FE" w:rsidRDefault="00CF12FE" w14:paraId="78D0F9FC" w14:textId="61182384">
            <w:pPr>
              <w:jc w:val="right"/>
            </w:pPr>
            <w:r w:rsidRPr="002E1515">
              <w:t>1</w:t>
            </w:r>
            <w:r>
              <w:t>-1.5</w:t>
            </w:r>
          </w:p>
        </w:tc>
        <w:tc>
          <w:tcPr>
            <w:tcW w:w="1758" w:type="dxa"/>
          </w:tcPr>
          <w:p w:rsidRPr="002E1515" w:rsidR="00CF12FE" w:rsidP="00CF12FE" w:rsidRDefault="00CF12FE" w14:paraId="0413201A" w14:textId="2B5192FA">
            <w:pPr>
              <w:jc w:val="right"/>
            </w:pPr>
            <w:r w:rsidRPr="00F646CB">
              <w:t>612</w:t>
            </w:r>
          </w:p>
        </w:tc>
        <w:tc>
          <w:tcPr>
            <w:tcW w:w="1579" w:type="dxa"/>
          </w:tcPr>
          <w:p w:rsidR="00CF12FE" w:rsidP="00CF12FE" w:rsidRDefault="00CF12FE" w14:paraId="6CC33A1E" w14:textId="73805B1B">
            <w:pPr>
              <w:jc w:val="right"/>
            </w:pPr>
            <w:r w:rsidRPr="00F646CB">
              <w:t>4.1</w:t>
            </w:r>
          </w:p>
        </w:tc>
        <w:tc>
          <w:tcPr>
            <w:tcW w:w="1620" w:type="dxa"/>
          </w:tcPr>
          <w:p w:rsidR="00CF12FE" w:rsidP="00CF12FE" w:rsidRDefault="00CF12FE" w14:paraId="18998557" w14:textId="1E34164B">
            <w:pPr>
              <w:jc w:val="right"/>
            </w:pPr>
            <w:r w:rsidRPr="00F646CB">
              <w:t>0.1</w:t>
            </w:r>
          </w:p>
        </w:tc>
        <w:tc>
          <w:tcPr>
            <w:tcW w:w="1800" w:type="dxa"/>
          </w:tcPr>
          <w:p w:rsidR="00CF12FE" w:rsidP="00CF12FE" w:rsidRDefault="00CF12FE" w14:paraId="549D1892" w14:textId="4F47FBE9">
            <w:pPr>
              <w:jc w:val="right"/>
            </w:pPr>
            <w:r w:rsidRPr="00F646CB">
              <w:t>1.0</w:t>
            </w:r>
          </w:p>
        </w:tc>
      </w:tr>
      <w:tr w:rsidRPr="002E1515" w:rsidR="00CF12FE" w:rsidTr="00156904" w14:paraId="6BCD0353" w14:textId="77777777">
        <w:tc>
          <w:tcPr>
            <w:tcW w:w="1710" w:type="dxa"/>
            <w:vMerge w:val="restart"/>
          </w:tcPr>
          <w:p w:rsidRPr="002E1515" w:rsidR="00CF12FE" w:rsidP="00CF12FE" w:rsidRDefault="00CF12FE" w14:paraId="71B7050D" w14:textId="77777777">
            <w:r w:rsidRPr="002E1515">
              <w:t>Sheriff</w:t>
            </w:r>
            <w:r>
              <w:t>’s</w:t>
            </w:r>
            <w:r w:rsidRPr="002E1515">
              <w:t xml:space="preserve"> Office</w:t>
            </w:r>
          </w:p>
        </w:tc>
        <w:tc>
          <w:tcPr>
            <w:tcW w:w="1253" w:type="dxa"/>
            <w:vAlign w:val="bottom"/>
          </w:tcPr>
          <w:p w:rsidRPr="002E1515" w:rsidR="00CF12FE" w:rsidP="00CF12FE" w:rsidRDefault="00CF12FE" w14:paraId="1549C667" w14:textId="3F54FB5C">
            <w:pPr>
              <w:jc w:val="right"/>
            </w:pPr>
            <w:r w:rsidRPr="002E1515">
              <w:t>100+</w:t>
            </w:r>
          </w:p>
        </w:tc>
        <w:tc>
          <w:tcPr>
            <w:tcW w:w="1758" w:type="dxa"/>
          </w:tcPr>
          <w:p w:rsidRPr="002E1515" w:rsidR="00CF12FE" w:rsidP="00CF12FE" w:rsidRDefault="00CF12FE" w14:paraId="4A4D0880" w14:textId="1797EA1F">
            <w:pPr>
              <w:jc w:val="right"/>
            </w:pPr>
            <w:r w:rsidRPr="00F646CB">
              <w:t>409</w:t>
            </w:r>
          </w:p>
        </w:tc>
        <w:tc>
          <w:tcPr>
            <w:tcW w:w="1579" w:type="dxa"/>
          </w:tcPr>
          <w:p w:rsidR="00CF12FE" w:rsidP="00CF12FE" w:rsidRDefault="00CF12FE" w14:paraId="084C015A" w14:textId="39FD5DE3">
            <w:pPr>
              <w:jc w:val="right"/>
            </w:pPr>
            <w:r w:rsidRPr="00F646CB">
              <w:t>2.7</w:t>
            </w:r>
          </w:p>
        </w:tc>
        <w:tc>
          <w:tcPr>
            <w:tcW w:w="1620" w:type="dxa"/>
          </w:tcPr>
          <w:p w:rsidR="00CF12FE" w:rsidP="00CF12FE" w:rsidRDefault="00CF12FE" w14:paraId="66DC8DEB" w14:textId="480790E6">
            <w:pPr>
              <w:jc w:val="right"/>
            </w:pPr>
            <w:r w:rsidRPr="00F646CB">
              <w:t>17.5</w:t>
            </w:r>
          </w:p>
        </w:tc>
        <w:tc>
          <w:tcPr>
            <w:tcW w:w="1800" w:type="dxa"/>
          </w:tcPr>
          <w:p w:rsidR="00CF12FE" w:rsidP="00CF12FE" w:rsidRDefault="00CF12FE" w14:paraId="363D615D" w14:textId="654EB3AD">
            <w:pPr>
              <w:jc w:val="right"/>
            </w:pPr>
            <w:r w:rsidRPr="00F646CB">
              <w:t>13.7</w:t>
            </w:r>
          </w:p>
        </w:tc>
      </w:tr>
      <w:tr w:rsidRPr="002E1515" w:rsidR="00CF12FE" w:rsidTr="00156904" w14:paraId="1AF5DE61" w14:textId="77777777">
        <w:tc>
          <w:tcPr>
            <w:tcW w:w="1710" w:type="dxa"/>
            <w:vMerge/>
          </w:tcPr>
          <w:p w:rsidRPr="002E1515" w:rsidR="00CF12FE" w:rsidP="00CF12FE" w:rsidRDefault="00CF12FE" w14:paraId="33057F7D" w14:textId="77777777"/>
        </w:tc>
        <w:tc>
          <w:tcPr>
            <w:tcW w:w="1253" w:type="dxa"/>
            <w:vAlign w:val="bottom"/>
          </w:tcPr>
          <w:p w:rsidRPr="002E1515" w:rsidR="00CF12FE" w:rsidP="00CF12FE" w:rsidRDefault="00CF12FE" w14:paraId="74F8AD75" w14:textId="3A3BCF90">
            <w:pPr>
              <w:jc w:val="right"/>
            </w:pPr>
            <w:r w:rsidRPr="002E1515">
              <w:t>50-99</w:t>
            </w:r>
            <w:r>
              <w:t>.5</w:t>
            </w:r>
          </w:p>
        </w:tc>
        <w:tc>
          <w:tcPr>
            <w:tcW w:w="1758" w:type="dxa"/>
          </w:tcPr>
          <w:p w:rsidRPr="002E1515" w:rsidR="00CF12FE" w:rsidP="00CF12FE" w:rsidRDefault="00CF12FE" w14:paraId="0323538C" w14:textId="174FD1CF">
            <w:pPr>
              <w:jc w:val="right"/>
            </w:pPr>
            <w:r w:rsidRPr="00F646CB">
              <w:t>393</w:t>
            </w:r>
          </w:p>
        </w:tc>
        <w:tc>
          <w:tcPr>
            <w:tcW w:w="1579" w:type="dxa"/>
          </w:tcPr>
          <w:p w:rsidR="00CF12FE" w:rsidP="00CF12FE" w:rsidRDefault="00CF12FE" w14:paraId="7D48E704" w14:textId="6C30C37E">
            <w:pPr>
              <w:jc w:val="right"/>
            </w:pPr>
            <w:r w:rsidRPr="00F646CB">
              <w:t>2.6</w:t>
            </w:r>
          </w:p>
        </w:tc>
        <w:tc>
          <w:tcPr>
            <w:tcW w:w="1620" w:type="dxa"/>
          </w:tcPr>
          <w:p w:rsidR="00CF12FE" w:rsidP="00CF12FE" w:rsidRDefault="00CF12FE" w14:paraId="70D37765" w14:textId="25C8BC0D">
            <w:pPr>
              <w:jc w:val="right"/>
            </w:pPr>
            <w:r w:rsidRPr="00F646CB">
              <w:t>3.7</w:t>
            </w:r>
          </w:p>
        </w:tc>
        <w:tc>
          <w:tcPr>
            <w:tcW w:w="1800" w:type="dxa"/>
          </w:tcPr>
          <w:p w:rsidR="00CF12FE" w:rsidP="00CF12FE" w:rsidRDefault="00CF12FE" w14:paraId="7B9840AB" w14:textId="20E2FB31">
            <w:pPr>
              <w:jc w:val="right"/>
            </w:pPr>
            <w:r w:rsidRPr="00F646CB">
              <w:t>6.3</w:t>
            </w:r>
          </w:p>
        </w:tc>
      </w:tr>
      <w:tr w:rsidRPr="002E1515" w:rsidR="00CF12FE" w:rsidTr="00156904" w14:paraId="4052615E" w14:textId="77777777">
        <w:tc>
          <w:tcPr>
            <w:tcW w:w="1710" w:type="dxa"/>
            <w:vMerge/>
          </w:tcPr>
          <w:p w:rsidRPr="002E1515" w:rsidR="00CF12FE" w:rsidP="00CF12FE" w:rsidRDefault="00CF12FE" w14:paraId="6560E542" w14:textId="77777777"/>
        </w:tc>
        <w:tc>
          <w:tcPr>
            <w:tcW w:w="1253" w:type="dxa"/>
            <w:vAlign w:val="bottom"/>
          </w:tcPr>
          <w:p w:rsidRPr="002E1515" w:rsidR="00CF12FE" w:rsidP="00CF12FE" w:rsidRDefault="00CF12FE" w14:paraId="514813C1" w14:textId="661E366A">
            <w:pPr>
              <w:jc w:val="right"/>
            </w:pPr>
            <w:r w:rsidRPr="002E1515">
              <w:t>25-49</w:t>
            </w:r>
            <w:r>
              <w:t>.5</w:t>
            </w:r>
          </w:p>
        </w:tc>
        <w:tc>
          <w:tcPr>
            <w:tcW w:w="1758" w:type="dxa"/>
          </w:tcPr>
          <w:p w:rsidRPr="002E1515" w:rsidR="00CF12FE" w:rsidP="00CF12FE" w:rsidRDefault="00CF12FE" w14:paraId="552AB9D7" w14:textId="3ECB50AE">
            <w:pPr>
              <w:jc w:val="right"/>
            </w:pPr>
            <w:r w:rsidRPr="00F646CB">
              <w:t>645</w:t>
            </w:r>
          </w:p>
        </w:tc>
        <w:tc>
          <w:tcPr>
            <w:tcW w:w="1579" w:type="dxa"/>
          </w:tcPr>
          <w:p w:rsidR="00CF12FE" w:rsidP="00CF12FE" w:rsidRDefault="00CF12FE" w14:paraId="63284811" w14:textId="18E300CD">
            <w:pPr>
              <w:jc w:val="right"/>
            </w:pPr>
            <w:r w:rsidRPr="00F646CB">
              <w:t>4.3</w:t>
            </w:r>
          </w:p>
        </w:tc>
        <w:tc>
          <w:tcPr>
            <w:tcW w:w="1620" w:type="dxa"/>
          </w:tcPr>
          <w:p w:rsidR="00CF12FE" w:rsidP="00CF12FE" w:rsidRDefault="00CF12FE" w14:paraId="1B61A1A6" w14:textId="57A266ED">
            <w:pPr>
              <w:jc w:val="right"/>
            </w:pPr>
            <w:r w:rsidRPr="00F646CB">
              <w:t>3.0</w:t>
            </w:r>
          </w:p>
        </w:tc>
        <w:tc>
          <w:tcPr>
            <w:tcW w:w="1800" w:type="dxa"/>
          </w:tcPr>
          <w:p w:rsidR="00CF12FE" w:rsidP="00CF12FE" w:rsidRDefault="00CF12FE" w14:paraId="0B831F3F" w14:textId="0C53839E">
            <w:pPr>
              <w:jc w:val="right"/>
            </w:pPr>
            <w:r w:rsidRPr="00F646CB">
              <w:t>5.7</w:t>
            </w:r>
          </w:p>
        </w:tc>
      </w:tr>
      <w:tr w:rsidRPr="002E1515" w:rsidR="00CF12FE" w:rsidTr="00156904" w14:paraId="1B78BB14" w14:textId="77777777">
        <w:tc>
          <w:tcPr>
            <w:tcW w:w="1710" w:type="dxa"/>
            <w:vMerge/>
          </w:tcPr>
          <w:p w:rsidRPr="002E1515" w:rsidR="00CF12FE" w:rsidP="00CF12FE" w:rsidRDefault="00CF12FE" w14:paraId="336E36CE" w14:textId="77777777"/>
        </w:tc>
        <w:tc>
          <w:tcPr>
            <w:tcW w:w="1253" w:type="dxa"/>
            <w:vAlign w:val="bottom"/>
          </w:tcPr>
          <w:p w:rsidRPr="002E1515" w:rsidR="00CF12FE" w:rsidP="00CF12FE" w:rsidRDefault="00CF12FE" w14:paraId="263946A4" w14:textId="301A679C">
            <w:pPr>
              <w:jc w:val="right"/>
            </w:pPr>
            <w:r w:rsidRPr="002E1515">
              <w:t>10-24</w:t>
            </w:r>
            <w:r>
              <w:t>.5</w:t>
            </w:r>
          </w:p>
        </w:tc>
        <w:tc>
          <w:tcPr>
            <w:tcW w:w="1758" w:type="dxa"/>
          </w:tcPr>
          <w:p w:rsidRPr="002E1515" w:rsidR="00CF12FE" w:rsidP="00CF12FE" w:rsidRDefault="00CF12FE" w14:paraId="7E57D831" w14:textId="7AECFEFD">
            <w:pPr>
              <w:jc w:val="right"/>
            </w:pPr>
            <w:r w:rsidRPr="00F646CB">
              <w:t>947</w:t>
            </w:r>
          </w:p>
        </w:tc>
        <w:tc>
          <w:tcPr>
            <w:tcW w:w="1579" w:type="dxa"/>
          </w:tcPr>
          <w:p w:rsidR="00CF12FE" w:rsidP="00CF12FE" w:rsidRDefault="00CF12FE" w14:paraId="0B0DCF1C" w14:textId="70FF31C2">
            <w:pPr>
              <w:jc w:val="right"/>
            </w:pPr>
            <w:r w:rsidRPr="00F646CB">
              <w:t>6.3</w:t>
            </w:r>
          </w:p>
        </w:tc>
        <w:tc>
          <w:tcPr>
            <w:tcW w:w="1620" w:type="dxa"/>
          </w:tcPr>
          <w:p w:rsidR="00CF12FE" w:rsidP="00CF12FE" w:rsidRDefault="00CF12FE" w14:paraId="2BCF09AA" w14:textId="0924D771">
            <w:pPr>
              <w:jc w:val="right"/>
            </w:pPr>
            <w:r w:rsidRPr="00F646CB">
              <w:t>2.1</w:t>
            </w:r>
          </w:p>
        </w:tc>
        <w:tc>
          <w:tcPr>
            <w:tcW w:w="1800" w:type="dxa"/>
          </w:tcPr>
          <w:p w:rsidR="00CF12FE" w:rsidP="00CF12FE" w:rsidRDefault="00CF12FE" w14:paraId="40B283D8" w14:textId="6569B62E">
            <w:pPr>
              <w:jc w:val="right"/>
            </w:pPr>
            <w:r w:rsidRPr="00F646CB">
              <w:t>4.7</w:t>
            </w:r>
          </w:p>
        </w:tc>
      </w:tr>
      <w:tr w:rsidRPr="002E1515" w:rsidR="00CF12FE" w:rsidTr="00156904" w14:paraId="16571AC3" w14:textId="77777777">
        <w:tc>
          <w:tcPr>
            <w:tcW w:w="1710" w:type="dxa"/>
            <w:vMerge/>
          </w:tcPr>
          <w:p w:rsidRPr="002E1515" w:rsidR="00CF12FE" w:rsidP="00CF12FE" w:rsidRDefault="00CF12FE" w14:paraId="01ADBE4B" w14:textId="77777777"/>
        </w:tc>
        <w:tc>
          <w:tcPr>
            <w:tcW w:w="1253" w:type="dxa"/>
            <w:vAlign w:val="bottom"/>
          </w:tcPr>
          <w:p w:rsidRPr="002E1515" w:rsidR="00CF12FE" w:rsidP="00CF12FE" w:rsidRDefault="00CF12FE" w14:paraId="0169F66D" w14:textId="0005A31E">
            <w:pPr>
              <w:jc w:val="right"/>
            </w:pPr>
            <w:r w:rsidRPr="002E1515">
              <w:t>5-9</w:t>
            </w:r>
            <w:r>
              <w:t>.5</w:t>
            </w:r>
          </w:p>
        </w:tc>
        <w:tc>
          <w:tcPr>
            <w:tcW w:w="1758" w:type="dxa"/>
          </w:tcPr>
          <w:p w:rsidRPr="002E1515" w:rsidR="00CF12FE" w:rsidP="00CF12FE" w:rsidRDefault="00CF12FE" w14:paraId="591F6966" w14:textId="237F0264">
            <w:pPr>
              <w:jc w:val="right"/>
            </w:pPr>
            <w:r w:rsidRPr="00F646CB">
              <w:t>473</w:t>
            </w:r>
          </w:p>
        </w:tc>
        <w:tc>
          <w:tcPr>
            <w:tcW w:w="1579" w:type="dxa"/>
          </w:tcPr>
          <w:p w:rsidR="00CF12FE" w:rsidP="00CF12FE" w:rsidRDefault="00CF12FE" w14:paraId="251B4890" w14:textId="5A8B7D95">
            <w:pPr>
              <w:jc w:val="right"/>
            </w:pPr>
            <w:r w:rsidRPr="00F646CB">
              <w:t>3.2</w:t>
            </w:r>
          </w:p>
        </w:tc>
        <w:tc>
          <w:tcPr>
            <w:tcW w:w="1620" w:type="dxa"/>
          </w:tcPr>
          <w:p w:rsidR="00CF12FE" w:rsidP="00CF12FE" w:rsidRDefault="00CF12FE" w14:paraId="22BB933B" w14:textId="345DB35E">
            <w:pPr>
              <w:jc w:val="right"/>
            </w:pPr>
            <w:r w:rsidRPr="00F646CB">
              <w:t>0.5</w:t>
            </w:r>
          </w:p>
        </w:tc>
        <w:tc>
          <w:tcPr>
            <w:tcW w:w="1800" w:type="dxa"/>
          </w:tcPr>
          <w:p w:rsidR="00CF12FE" w:rsidP="00CF12FE" w:rsidRDefault="00CF12FE" w14:paraId="110C0CE3" w14:textId="09B6E8C1">
            <w:pPr>
              <w:jc w:val="right"/>
            </w:pPr>
            <w:r w:rsidRPr="00F646CB">
              <w:t>2.2</w:t>
            </w:r>
          </w:p>
        </w:tc>
      </w:tr>
      <w:tr w:rsidRPr="002E1515" w:rsidR="00CF12FE" w:rsidTr="00156904" w14:paraId="519AF774" w14:textId="77777777">
        <w:tc>
          <w:tcPr>
            <w:tcW w:w="1710" w:type="dxa"/>
            <w:vMerge/>
          </w:tcPr>
          <w:p w:rsidRPr="002E1515" w:rsidR="00CF12FE" w:rsidP="00CF12FE" w:rsidRDefault="00CF12FE" w14:paraId="26AA6A75" w14:textId="77777777"/>
        </w:tc>
        <w:tc>
          <w:tcPr>
            <w:tcW w:w="1253" w:type="dxa"/>
            <w:vAlign w:val="bottom"/>
          </w:tcPr>
          <w:p w:rsidRPr="002E1515" w:rsidR="00CF12FE" w:rsidP="00CF12FE" w:rsidRDefault="00CF12FE" w14:paraId="72C2C625" w14:textId="734F6866">
            <w:pPr>
              <w:jc w:val="right"/>
            </w:pPr>
            <w:r w:rsidRPr="002E1515">
              <w:t>2-4</w:t>
            </w:r>
            <w:r>
              <w:t>.5</w:t>
            </w:r>
          </w:p>
        </w:tc>
        <w:tc>
          <w:tcPr>
            <w:tcW w:w="1758" w:type="dxa"/>
          </w:tcPr>
          <w:p w:rsidRPr="002E1515" w:rsidR="00CF12FE" w:rsidP="00CF12FE" w:rsidRDefault="00CF12FE" w14:paraId="353869C3" w14:textId="490BF227">
            <w:pPr>
              <w:jc w:val="right"/>
            </w:pPr>
            <w:r w:rsidRPr="00F646CB">
              <w:t>166</w:t>
            </w:r>
          </w:p>
        </w:tc>
        <w:tc>
          <w:tcPr>
            <w:tcW w:w="1579" w:type="dxa"/>
          </w:tcPr>
          <w:p w:rsidR="00CF12FE" w:rsidP="00CF12FE" w:rsidRDefault="00CF12FE" w14:paraId="503E1C1B" w14:textId="6A55AB4A">
            <w:pPr>
              <w:jc w:val="right"/>
            </w:pPr>
            <w:r w:rsidRPr="00F646CB">
              <w:t>1.1</w:t>
            </w:r>
          </w:p>
        </w:tc>
        <w:tc>
          <w:tcPr>
            <w:tcW w:w="1620" w:type="dxa"/>
          </w:tcPr>
          <w:p w:rsidR="00CF12FE" w:rsidP="00CF12FE" w:rsidRDefault="00CF12FE" w14:paraId="79C90F79" w14:textId="73993003">
            <w:pPr>
              <w:jc w:val="right"/>
            </w:pPr>
            <w:r w:rsidRPr="00F646CB">
              <w:t>0.1</w:t>
            </w:r>
          </w:p>
        </w:tc>
        <w:tc>
          <w:tcPr>
            <w:tcW w:w="1800" w:type="dxa"/>
          </w:tcPr>
          <w:p w:rsidR="00CF12FE" w:rsidP="00CF12FE" w:rsidRDefault="00CF12FE" w14:paraId="316382BA" w14:textId="56D3E623">
            <w:pPr>
              <w:jc w:val="right"/>
            </w:pPr>
            <w:r w:rsidRPr="00F646CB">
              <w:t>0.9</w:t>
            </w:r>
          </w:p>
        </w:tc>
      </w:tr>
      <w:tr w:rsidRPr="002E1515" w:rsidR="00CF12FE" w:rsidTr="00156904" w14:paraId="379205DE" w14:textId="77777777">
        <w:tc>
          <w:tcPr>
            <w:tcW w:w="1710" w:type="dxa"/>
            <w:vMerge/>
          </w:tcPr>
          <w:p w:rsidRPr="002E1515" w:rsidR="00CF12FE" w:rsidP="00CF12FE" w:rsidRDefault="00CF12FE" w14:paraId="41140DD5" w14:textId="77777777"/>
        </w:tc>
        <w:tc>
          <w:tcPr>
            <w:tcW w:w="1253" w:type="dxa"/>
            <w:vAlign w:val="bottom"/>
          </w:tcPr>
          <w:p w:rsidRPr="002E1515" w:rsidR="00CF12FE" w:rsidP="00CF12FE" w:rsidRDefault="00CF12FE" w14:paraId="39638569" w14:textId="4864FB3B">
            <w:pPr>
              <w:jc w:val="right"/>
            </w:pPr>
            <w:r w:rsidRPr="002E1515">
              <w:t>1</w:t>
            </w:r>
            <w:r>
              <w:t>-1.5</w:t>
            </w:r>
          </w:p>
        </w:tc>
        <w:tc>
          <w:tcPr>
            <w:tcW w:w="1758" w:type="dxa"/>
          </w:tcPr>
          <w:p w:rsidRPr="002E1515" w:rsidR="00CF12FE" w:rsidP="00CF12FE" w:rsidRDefault="00CF12FE" w14:paraId="3A01EF9A" w14:textId="1A30C115">
            <w:pPr>
              <w:jc w:val="right"/>
            </w:pPr>
            <w:r w:rsidRPr="00F646CB">
              <w:t>19</w:t>
            </w:r>
          </w:p>
        </w:tc>
        <w:tc>
          <w:tcPr>
            <w:tcW w:w="1579" w:type="dxa"/>
          </w:tcPr>
          <w:p w:rsidR="00CF12FE" w:rsidP="00CF12FE" w:rsidRDefault="00CF12FE" w14:paraId="7751B458" w14:textId="5B6BF97A">
            <w:pPr>
              <w:jc w:val="right"/>
            </w:pPr>
            <w:r w:rsidRPr="00F646CB">
              <w:t>0.1</w:t>
            </w:r>
          </w:p>
        </w:tc>
        <w:tc>
          <w:tcPr>
            <w:tcW w:w="1620" w:type="dxa"/>
          </w:tcPr>
          <w:p w:rsidR="00CF12FE" w:rsidP="00CF12FE" w:rsidRDefault="00CF12FE" w14:paraId="1480862A" w14:textId="584E95A9">
            <w:pPr>
              <w:jc w:val="right"/>
            </w:pPr>
            <w:r w:rsidRPr="00F646CB">
              <w:t>0.0</w:t>
            </w:r>
          </w:p>
        </w:tc>
        <w:tc>
          <w:tcPr>
            <w:tcW w:w="1800" w:type="dxa"/>
          </w:tcPr>
          <w:p w:rsidR="00CF12FE" w:rsidP="00CF12FE" w:rsidRDefault="00CF12FE" w14:paraId="21A7A5D8" w14:textId="59D05427">
            <w:pPr>
              <w:jc w:val="right"/>
            </w:pPr>
            <w:r w:rsidRPr="00F646CB">
              <w:t>0.2</w:t>
            </w:r>
          </w:p>
        </w:tc>
      </w:tr>
      <w:tr w:rsidRPr="002E1515" w:rsidR="00CF12FE" w:rsidTr="00156904" w14:paraId="2582C177" w14:textId="77777777">
        <w:tc>
          <w:tcPr>
            <w:tcW w:w="1710" w:type="dxa"/>
          </w:tcPr>
          <w:p w:rsidRPr="002E1515" w:rsidR="00CF12FE" w:rsidP="00CF12FE" w:rsidRDefault="00CF12FE" w14:paraId="77F7EA8A" w14:textId="77777777">
            <w:r w:rsidRPr="002E1515">
              <w:t>State</w:t>
            </w:r>
            <w:r>
              <w:t xml:space="preserve"> Police</w:t>
            </w:r>
          </w:p>
        </w:tc>
        <w:tc>
          <w:tcPr>
            <w:tcW w:w="1253" w:type="dxa"/>
          </w:tcPr>
          <w:p w:rsidRPr="002E1515" w:rsidR="00CF12FE" w:rsidP="00CF12FE" w:rsidRDefault="00CF12FE" w14:paraId="7CEDA89D" w14:textId="77777777">
            <w:pPr>
              <w:jc w:val="right"/>
            </w:pPr>
            <w:r w:rsidRPr="002E1515">
              <w:t>All</w:t>
            </w:r>
          </w:p>
        </w:tc>
        <w:tc>
          <w:tcPr>
            <w:tcW w:w="1758" w:type="dxa"/>
          </w:tcPr>
          <w:p w:rsidRPr="002E1515" w:rsidR="00CF12FE" w:rsidP="00CF12FE" w:rsidRDefault="00CF12FE" w14:paraId="446A923C" w14:textId="28393B41">
            <w:pPr>
              <w:jc w:val="right"/>
            </w:pPr>
            <w:r w:rsidRPr="00F646CB">
              <w:t>49</w:t>
            </w:r>
          </w:p>
        </w:tc>
        <w:tc>
          <w:tcPr>
            <w:tcW w:w="1579" w:type="dxa"/>
          </w:tcPr>
          <w:p w:rsidR="00CF12FE" w:rsidP="00CF12FE" w:rsidRDefault="00CF12FE" w14:paraId="4778E3BC" w14:textId="36A2F359">
            <w:pPr>
              <w:jc w:val="right"/>
            </w:pPr>
            <w:r w:rsidRPr="00F646CB">
              <w:t>0.3</w:t>
            </w:r>
          </w:p>
        </w:tc>
        <w:tc>
          <w:tcPr>
            <w:tcW w:w="1620" w:type="dxa"/>
          </w:tcPr>
          <w:p w:rsidR="00CF12FE" w:rsidP="00CF12FE" w:rsidRDefault="00CF12FE" w14:paraId="03C57845" w14:textId="245E62CB">
            <w:pPr>
              <w:jc w:val="right"/>
            </w:pPr>
            <w:r w:rsidRPr="00F646CB">
              <w:t>8.2</w:t>
            </w:r>
          </w:p>
        </w:tc>
        <w:tc>
          <w:tcPr>
            <w:tcW w:w="1800" w:type="dxa"/>
          </w:tcPr>
          <w:p w:rsidR="00CF12FE" w:rsidP="00CF12FE" w:rsidRDefault="00CF12FE" w14:paraId="49A3A1CB" w14:textId="5400C7D5">
            <w:pPr>
              <w:jc w:val="right"/>
            </w:pPr>
            <w:r w:rsidRPr="00F646CB">
              <w:t>9.4</w:t>
            </w:r>
          </w:p>
        </w:tc>
      </w:tr>
    </w:tbl>
    <w:p w:rsidRPr="00C06CDB" w:rsidR="00EC6C2C" w:rsidP="00990A93" w:rsidRDefault="00EC6C2C" w14:paraId="2444A81B" w14:textId="533DDDFE">
      <w:pPr>
        <w:pStyle w:val="SP-SglSpPara"/>
        <w:tabs>
          <w:tab w:val="clear" w:pos="576"/>
        </w:tabs>
        <w:ind w:right="-720" w:firstLine="0"/>
        <w:jc w:val="left"/>
        <w:rPr>
          <w:sz w:val="20"/>
        </w:rPr>
      </w:pPr>
      <w:r w:rsidRPr="00C06CDB">
        <w:rPr>
          <w:vertAlign w:val="superscript"/>
        </w:rPr>
        <w:t>a</w:t>
      </w:r>
      <w:r>
        <w:rPr>
          <w:vertAlign w:val="superscript"/>
        </w:rPr>
        <w:t xml:space="preserve"> </w:t>
      </w:r>
      <w:r w:rsidRPr="00C06CDB">
        <w:rPr>
          <w:sz w:val="20"/>
        </w:rPr>
        <w:t xml:space="preserve">Number of </w:t>
      </w:r>
      <w:r w:rsidR="000A1127">
        <w:rPr>
          <w:sz w:val="20"/>
        </w:rPr>
        <w:t>full-time equivalent officer</w:t>
      </w:r>
      <w:r w:rsidR="0056033F">
        <w:rPr>
          <w:sz w:val="20"/>
        </w:rPr>
        <w:t>s</w:t>
      </w:r>
      <w:r w:rsidR="000A1127">
        <w:rPr>
          <w:sz w:val="20"/>
        </w:rPr>
        <w:t>.</w:t>
      </w:r>
    </w:p>
    <w:p w:rsidR="00F84BA4" w:rsidP="00F84901" w:rsidRDefault="00F84BA4" w14:paraId="78F1DE49" w14:textId="77777777">
      <w:pPr>
        <w:pStyle w:val="SP-SglSpPara"/>
        <w:ind w:firstLine="0"/>
        <w:jc w:val="left"/>
        <w:rPr>
          <w:sz w:val="24"/>
          <w:szCs w:val="24"/>
        </w:rPr>
      </w:pPr>
    </w:p>
    <w:p w:rsidR="00F84901" w:rsidP="00F84901" w:rsidRDefault="00ED6A98" w14:paraId="71E9857C" w14:textId="48190EC9">
      <w:pPr>
        <w:pStyle w:val="SP-SglSpPara"/>
        <w:ind w:firstLine="0"/>
        <w:jc w:val="left"/>
        <w:rPr>
          <w:sz w:val="24"/>
          <w:szCs w:val="24"/>
        </w:rPr>
      </w:pPr>
      <w:r>
        <w:rPr>
          <w:sz w:val="24"/>
          <w:szCs w:val="24"/>
        </w:rPr>
        <w:t>The sample allocation for the three methods is calculated under the constraint that each stratum must have a respondent size of at least 2 agencies</w:t>
      </w:r>
      <w:r w:rsidR="00CF5047">
        <w:rPr>
          <w:sz w:val="24"/>
          <w:szCs w:val="24"/>
        </w:rPr>
        <w:t xml:space="preserve"> and is only applied to the </w:t>
      </w:r>
      <w:r w:rsidR="00E77256">
        <w:rPr>
          <w:sz w:val="24"/>
          <w:szCs w:val="24"/>
        </w:rPr>
        <w:t xml:space="preserve">NSR </w:t>
      </w:r>
      <w:r w:rsidR="00CF5047">
        <w:rPr>
          <w:sz w:val="24"/>
          <w:szCs w:val="24"/>
        </w:rPr>
        <w:t xml:space="preserve">strata. </w:t>
      </w:r>
      <w:r w:rsidRPr="00156904" w:rsidR="00F84BA4">
        <w:rPr>
          <w:b/>
          <w:sz w:val="24"/>
          <w:szCs w:val="24"/>
        </w:rPr>
        <w:t xml:space="preserve">Table </w:t>
      </w:r>
      <w:r w:rsidR="00F84BA4">
        <w:rPr>
          <w:b/>
          <w:sz w:val="24"/>
          <w:szCs w:val="24"/>
        </w:rPr>
        <w:t>7</w:t>
      </w:r>
      <w:r w:rsidR="00F84BA4">
        <w:rPr>
          <w:sz w:val="24"/>
          <w:szCs w:val="24"/>
        </w:rPr>
        <w:t xml:space="preserve"> shows </w:t>
      </w:r>
      <w:r w:rsidR="00DC5B8E">
        <w:rPr>
          <w:sz w:val="24"/>
          <w:szCs w:val="24"/>
        </w:rPr>
        <w:t>the number of expected responses with a sample size of 3,500 and assuming</w:t>
      </w:r>
      <w:r w:rsidR="00F84BA4">
        <w:rPr>
          <w:sz w:val="24"/>
          <w:szCs w:val="24"/>
        </w:rPr>
        <w:t xml:space="preserve"> the</w:t>
      </w:r>
      <w:r w:rsidR="009F6AAB">
        <w:rPr>
          <w:sz w:val="24"/>
          <w:szCs w:val="24"/>
        </w:rPr>
        <w:t xml:space="preserve"> response rates from </w:t>
      </w:r>
      <w:r w:rsidRPr="00156904" w:rsidR="00CC4A2E">
        <w:rPr>
          <w:b/>
          <w:sz w:val="24"/>
          <w:szCs w:val="24"/>
        </w:rPr>
        <w:t>Table 2</w:t>
      </w:r>
      <w:r w:rsidR="009F6AAB">
        <w:rPr>
          <w:sz w:val="24"/>
          <w:szCs w:val="24"/>
        </w:rPr>
        <w:t>.</w:t>
      </w:r>
      <w:r w:rsidR="001802FC">
        <w:rPr>
          <w:sz w:val="24"/>
          <w:szCs w:val="24"/>
        </w:rPr>
        <w:t xml:space="preserve"> </w:t>
      </w:r>
    </w:p>
    <w:p w:rsidR="00F84901" w:rsidP="00F84901" w:rsidRDefault="00F84901" w14:paraId="26B2E6B3" w14:textId="77777777">
      <w:pPr>
        <w:pStyle w:val="SP-SglSpPara"/>
        <w:ind w:firstLine="0"/>
        <w:jc w:val="left"/>
        <w:rPr>
          <w:sz w:val="24"/>
          <w:szCs w:val="24"/>
        </w:rPr>
      </w:pPr>
    </w:p>
    <w:p w:rsidRPr="00362173" w:rsidR="00F84901" w:rsidP="00975C81" w:rsidRDefault="00F84901" w14:paraId="38493639" w14:textId="0458FD8E">
      <w:pPr>
        <w:pStyle w:val="Caption"/>
        <w:keepNext/>
        <w:ind w:right="-270"/>
        <w:rPr>
          <w:rFonts w:ascii="Times New Roman" w:hAnsi="Times New Roman" w:eastAsia="Calibri" w:cs="Times New Roman"/>
          <w:b/>
          <w:bCs/>
          <w:i w:val="0"/>
          <w:iCs w:val="0"/>
          <w:color w:val="auto"/>
          <w:sz w:val="24"/>
          <w:szCs w:val="24"/>
        </w:rPr>
      </w:pPr>
      <w:bookmarkStart w:name="_Ref442686079" w:id="3"/>
      <w:r w:rsidRPr="00362173">
        <w:rPr>
          <w:rFonts w:ascii="Times New Roman" w:hAnsi="Times New Roman" w:eastAsia="Calibri" w:cs="Times New Roman"/>
          <w:b/>
          <w:bCs/>
          <w:i w:val="0"/>
          <w:iCs w:val="0"/>
          <w:color w:val="auto"/>
          <w:sz w:val="24"/>
          <w:szCs w:val="24"/>
        </w:rPr>
        <w:lastRenderedPageBreak/>
        <w:t xml:space="preserve">Table </w:t>
      </w:r>
      <w:bookmarkEnd w:id="3"/>
      <w:r w:rsidR="00F84BA4">
        <w:rPr>
          <w:rFonts w:ascii="Times New Roman" w:hAnsi="Times New Roman" w:eastAsia="Calibri" w:cs="Times New Roman"/>
          <w:b/>
          <w:bCs/>
          <w:i w:val="0"/>
          <w:iCs w:val="0"/>
          <w:color w:val="auto"/>
          <w:sz w:val="24"/>
          <w:szCs w:val="24"/>
        </w:rPr>
        <w:t>7</w:t>
      </w:r>
      <w:r w:rsidRPr="00362173">
        <w:rPr>
          <w:rFonts w:ascii="Times New Roman" w:hAnsi="Times New Roman" w:eastAsia="Calibri" w:cs="Times New Roman"/>
          <w:b/>
          <w:bCs/>
          <w:i w:val="0"/>
          <w:iCs w:val="0"/>
          <w:color w:val="auto"/>
          <w:sz w:val="24"/>
          <w:szCs w:val="24"/>
        </w:rPr>
        <w:t xml:space="preserve">: </w:t>
      </w:r>
      <w:r w:rsidR="00975C81">
        <w:rPr>
          <w:rFonts w:ascii="Times New Roman" w:hAnsi="Times New Roman" w:eastAsia="Calibri" w:cs="Times New Roman"/>
          <w:b/>
          <w:bCs/>
          <w:i w:val="0"/>
          <w:iCs w:val="0"/>
          <w:color w:val="auto"/>
          <w:sz w:val="24"/>
          <w:szCs w:val="24"/>
        </w:rPr>
        <w:t xml:space="preserve">Estimated final response </w:t>
      </w:r>
      <w:r w:rsidR="00990A93">
        <w:rPr>
          <w:rFonts w:ascii="Times New Roman" w:hAnsi="Times New Roman" w:eastAsia="Calibri" w:cs="Times New Roman"/>
          <w:b/>
          <w:bCs/>
          <w:i w:val="0"/>
          <w:iCs w:val="0"/>
          <w:color w:val="auto"/>
          <w:sz w:val="24"/>
          <w:szCs w:val="24"/>
        </w:rPr>
        <w:t>size by stratum based on allocation method</w:t>
      </w:r>
      <w:r w:rsidR="00F84BA4">
        <w:rPr>
          <w:rFonts w:ascii="Times New Roman" w:hAnsi="Times New Roman" w:eastAsia="Calibri" w:cs="Times New Roman"/>
          <w:b/>
          <w:bCs/>
          <w:i w:val="0"/>
          <w:iCs w:val="0"/>
          <w:color w:val="auto"/>
          <w:sz w:val="24"/>
          <w:szCs w:val="24"/>
        </w:rPr>
        <w:t xml:space="preserve">, </w:t>
      </w:r>
      <w:r w:rsidR="00B502CB">
        <w:rPr>
          <w:rFonts w:ascii="Times New Roman" w:hAnsi="Times New Roman" w:eastAsia="Calibri" w:cs="Times New Roman"/>
          <w:b/>
          <w:bCs/>
          <w:i w:val="0"/>
          <w:iCs w:val="0"/>
          <w:color w:val="auto"/>
          <w:sz w:val="24"/>
          <w:szCs w:val="24"/>
        </w:rPr>
        <w:t>LEAR</w:t>
      </w:r>
    </w:p>
    <w:tbl>
      <w:tblPr>
        <w:tblStyle w:val="TableGrid"/>
        <w:tblW w:w="9175" w:type="dxa"/>
        <w:tblLook w:val="04A0" w:firstRow="1" w:lastRow="0" w:firstColumn="1" w:lastColumn="0" w:noHBand="0" w:noVBand="1"/>
      </w:tblPr>
      <w:tblGrid>
        <w:gridCol w:w="1885"/>
        <w:gridCol w:w="1890"/>
        <w:gridCol w:w="2070"/>
        <w:gridCol w:w="1530"/>
        <w:gridCol w:w="1800"/>
      </w:tblGrid>
      <w:tr w:rsidRPr="00A95CFB" w:rsidR="00CF5047" w:rsidTr="00830786" w14:paraId="5C69EE8D" w14:textId="77777777">
        <w:trPr>
          <w:tblHeader/>
        </w:trPr>
        <w:tc>
          <w:tcPr>
            <w:tcW w:w="1885" w:type="dxa"/>
            <w:shd w:val="clear" w:color="auto" w:fill="C6D9F1" w:themeFill="text2" w:themeFillTint="33"/>
          </w:tcPr>
          <w:p w:rsidRPr="00156904" w:rsidR="00CF5047" w:rsidP="00CF5047" w:rsidRDefault="00CF5047" w14:paraId="6BB1F056" w14:textId="77777777">
            <w:pPr>
              <w:pStyle w:val="SP-SglSpPara"/>
              <w:ind w:firstLine="0"/>
              <w:jc w:val="center"/>
              <w:rPr>
                <w:sz w:val="24"/>
                <w:szCs w:val="24"/>
              </w:rPr>
            </w:pPr>
            <w:r w:rsidRPr="00156904">
              <w:rPr>
                <w:sz w:val="24"/>
                <w:szCs w:val="24"/>
              </w:rPr>
              <w:t>Agency Type</w:t>
            </w:r>
          </w:p>
        </w:tc>
        <w:tc>
          <w:tcPr>
            <w:tcW w:w="1890" w:type="dxa"/>
            <w:shd w:val="clear" w:color="auto" w:fill="C6D9F1" w:themeFill="text2" w:themeFillTint="33"/>
          </w:tcPr>
          <w:p w:rsidRPr="00156904" w:rsidR="00CF5047" w:rsidP="00CF5047" w:rsidRDefault="00CF5047" w14:paraId="245E05F6" w14:textId="77777777">
            <w:pPr>
              <w:pStyle w:val="SP-SglSpPara"/>
              <w:ind w:firstLine="0"/>
              <w:jc w:val="center"/>
              <w:rPr>
                <w:sz w:val="24"/>
                <w:szCs w:val="24"/>
              </w:rPr>
            </w:pPr>
            <w:r w:rsidRPr="00156904">
              <w:rPr>
                <w:sz w:val="24"/>
                <w:szCs w:val="24"/>
              </w:rPr>
              <w:t>Agency Size</w:t>
            </w:r>
            <w:r w:rsidRPr="00156904">
              <w:rPr>
                <w:sz w:val="24"/>
                <w:szCs w:val="24"/>
                <w:vertAlign w:val="superscript"/>
              </w:rPr>
              <w:t>a</w:t>
            </w:r>
          </w:p>
        </w:tc>
        <w:tc>
          <w:tcPr>
            <w:tcW w:w="2070" w:type="dxa"/>
            <w:shd w:val="clear" w:color="auto" w:fill="C6D9F1" w:themeFill="text2" w:themeFillTint="33"/>
          </w:tcPr>
          <w:p w:rsidRPr="00156904" w:rsidR="00CF5047" w:rsidP="00CF5047" w:rsidRDefault="00CF5047" w14:paraId="46176570" w14:textId="77777777">
            <w:pPr>
              <w:pStyle w:val="SP-SglSpPara"/>
              <w:ind w:firstLine="0"/>
              <w:jc w:val="center"/>
              <w:rPr>
                <w:sz w:val="24"/>
                <w:szCs w:val="24"/>
              </w:rPr>
            </w:pPr>
            <w:r w:rsidRPr="00156904">
              <w:rPr>
                <w:sz w:val="24"/>
                <w:szCs w:val="24"/>
              </w:rPr>
              <w:t>Percent Agencies</w:t>
            </w:r>
          </w:p>
        </w:tc>
        <w:tc>
          <w:tcPr>
            <w:tcW w:w="1530" w:type="dxa"/>
            <w:shd w:val="clear" w:color="auto" w:fill="C6D9F1" w:themeFill="text2" w:themeFillTint="33"/>
          </w:tcPr>
          <w:p w:rsidRPr="00156904" w:rsidR="00CF5047" w:rsidP="00CF5047" w:rsidRDefault="00CF5047" w14:paraId="0A9B66F0" w14:textId="7F8FAC74">
            <w:pPr>
              <w:pStyle w:val="SP-SglSpPara"/>
              <w:ind w:firstLine="0"/>
              <w:jc w:val="center"/>
              <w:rPr>
                <w:sz w:val="24"/>
                <w:szCs w:val="24"/>
              </w:rPr>
            </w:pPr>
            <w:r w:rsidRPr="00156904">
              <w:rPr>
                <w:sz w:val="24"/>
                <w:szCs w:val="24"/>
              </w:rPr>
              <w:t xml:space="preserve">Percent </w:t>
            </w:r>
            <w:r w:rsidRPr="00156904" w:rsidR="00226164">
              <w:rPr>
                <w:sz w:val="24"/>
                <w:szCs w:val="24"/>
              </w:rPr>
              <w:t>FTE</w:t>
            </w:r>
          </w:p>
        </w:tc>
        <w:tc>
          <w:tcPr>
            <w:tcW w:w="1800" w:type="dxa"/>
            <w:shd w:val="clear" w:color="auto" w:fill="C6D9F1" w:themeFill="text2" w:themeFillTint="33"/>
          </w:tcPr>
          <w:p w:rsidRPr="00A95CFB" w:rsidR="00CF5047" w:rsidP="00CF5047" w:rsidRDefault="00CF5047" w14:paraId="06C8B239" w14:textId="45D7CCA9">
            <w:pPr>
              <w:pStyle w:val="SP-SglSpPara"/>
              <w:ind w:firstLine="0"/>
              <w:jc w:val="center"/>
              <w:rPr>
                <w:sz w:val="24"/>
                <w:szCs w:val="24"/>
              </w:rPr>
            </w:pPr>
            <w:r w:rsidRPr="00156904">
              <w:rPr>
                <w:sz w:val="24"/>
                <w:szCs w:val="24"/>
              </w:rPr>
              <w:t xml:space="preserve">Percent Square Root </w:t>
            </w:r>
            <w:r w:rsidRPr="00156904" w:rsidR="00226164">
              <w:rPr>
                <w:sz w:val="24"/>
                <w:szCs w:val="24"/>
              </w:rPr>
              <w:t>FTE</w:t>
            </w:r>
          </w:p>
        </w:tc>
      </w:tr>
      <w:tr w:rsidRPr="00A95CFB" w:rsidR="00CF12FE" w:rsidTr="00156904" w14:paraId="311FB1F7" w14:textId="77777777">
        <w:tc>
          <w:tcPr>
            <w:tcW w:w="1885" w:type="dxa"/>
            <w:vMerge w:val="restart"/>
          </w:tcPr>
          <w:p w:rsidRPr="00A95CFB" w:rsidR="00CF12FE" w:rsidP="00CF12FE" w:rsidRDefault="00CF12FE" w14:paraId="66F179C0" w14:textId="77777777">
            <w:pPr>
              <w:pStyle w:val="SP-SglSpPara"/>
              <w:ind w:firstLine="0"/>
              <w:jc w:val="right"/>
              <w:rPr>
                <w:sz w:val="24"/>
                <w:szCs w:val="24"/>
              </w:rPr>
            </w:pPr>
            <w:r w:rsidRPr="00156904">
              <w:rPr>
                <w:sz w:val="24"/>
                <w:szCs w:val="24"/>
              </w:rPr>
              <w:t>Local Police</w:t>
            </w:r>
          </w:p>
        </w:tc>
        <w:tc>
          <w:tcPr>
            <w:tcW w:w="1890" w:type="dxa"/>
            <w:vAlign w:val="bottom"/>
          </w:tcPr>
          <w:p w:rsidRPr="00A95CFB" w:rsidR="00CF12FE" w:rsidP="00CF12FE" w:rsidRDefault="00CF12FE" w14:paraId="58D8B57B" w14:textId="6503DD77">
            <w:pPr>
              <w:pStyle w:val="SP-SglSpPara"/>
              <w:ind w:firstLine="0"/>
              <w:jc w:val="right"/>
              <w:rPr>
                <w:sz w:val="24"/>
                <w:szCs w:val="24"/>
              </w:rPr>
            </w:pPr>
            <w:r w:rsidRPr="002E1515">
              <w:t>100+</w:t>
            </w:r>
          </w:p>
        </w:tc>
        <w:tc>
          <w:tcPr>
            <w:tcW w:w="2070" w:type="dxa"/>
          </w:tcPr>
          <w:p w:rsidRPr="00A95CFB" w:rsidR="00CF12FE" w:rsidP="00CF12FE" w:rsidRDefault="00CF12FE" w14:paraId="0CB71DC2" w14:textId="24AE1E23">
            <w:pPr>
              <w:pStyle w:val="SP-SglSpPara"/>
              <w:ind w:firstLine="0"/>
              <w:jc w:val="right"/>
              <w:rPr>
                <w:sz w:val="24"/>
                <w:szCs w:val="24"/>
              </w:rPr>
            </w:pPr>
            <w:r w:rsidRPr="004F6A7E">
              <w:t>602</w:t>
            </w:r>
          </w:p>
        </w:tc>
        <w:tc>
          <w:tcPr>
            <w:tcW w:w="1530" w:type="dxa"/>
          </w:tcPr>
          <w:p w:rsidRPr="00A95CFB" w:rsidR="00CF12FE" w:rsidP="00CF12FE" w:rsidRDefault="00CF12FE" w14:paraId="67FD486E" w14:textId="583AC09F">
            <w:pPr>
              <w:pStyle w:val="SP-SglSpPara"/>
              <w:ind w:firstLine="0"/>
              <w:jc w:val="right"/>
              <w:rPr>
                <w:sz w:val="24"/>
                <w:szCs w:val="24"/>
              </w:rPr>
            </w:pPr>
            <w:r w:rsidRPr="004F6A7E">
              <w:t>602</w:t>
            </w:r>
          </w:p>
        </w:tc>
        <w:tc>
          <w:tcPr>
            <w:tcW w:w="1800" w:type="dxa"/>
          </w:tcPr>
          <w:p w:rsidRPr="00A95CFB" w:rsidR="00CF12FE" w:rsidP="00CF12FE" w:rsidRDefault="00CF12FE" w14:paraId="7AD0A390" w14:textId="5310500F">
            <w:pPr>
              <w:pStyle w:val="SP-SglSpPara"/>
              <w:ind w:firstLine="0"/>
              <w:jc w:val="right"/>
              <w:rPr>
                <w:sz w:val="24"/>
                <w:szCs w:val="24"/>
              </w:rPr>
            </w:pPr>
            <w:r w:rsidRPr="004F6A7E">
              <w:t>602</w:t>
            </w:r>
          </w:p>
        </w:tc>
      </w:tr>
      <w:tr w:rsidRPr="00A95CFB" w:rsidR="00CF12FE" w:rsidTr="00156904" w14:paraId="5705B947" w14:textId="77777777">
        <w:tc>
          <w:tcPr>
            <w:tcW w:w="1885" w:type="dxa"/>
            <w:vMerge/>
          </w:tcPr>
          <w:p w:rsidRPr="00A95CFB" w:rsidR="00CF12FE" w:rsidP="00CF12FE" w:rsidRDefault="00CF12FE" w14:paraId="27FB24E0" w14:textId="77777777">
            <w:pPr>
              <w:pStyle w:val="SP-SglSpPara"/>
              <w:ind w:firstLine="0"/>
              <w:jc w:val="right"/>
              <w:rPr>
                <w:sz w:val="24"/>
                <w:szCs w:val="24"/>
              </w:rPr>
            </w:pPr>
          </w:p>
        </w:tc>
        <w:tc>
          <w:tcPr>
            <w:tcW w:w="1890" w:type="dxa"/>
            <w:vAlign w:val="bottom"/>
          </w:tcPr>
          <w:p w:rsidRPr="00A95CFB" w:rsidR="00CF12FE" w:rsidP="00CF12FE" w:rsidRDefault="00CF12FE" w14:paraId="68C27E8A" w14:textId="605416DD">
            <w:pPr>
              <w:pStyle w:val="SP-SglSpPara"/>
              <w:ind w:firstLine="0"/>
              <w:jc w:val="right"/>
              <w:rPr>
                <w:sz w:val="24"/>
                <w:szCs w:val="24"/>
              </w:rPr>
            </w:pPr>
            <w:r w:rsidRPr="002E1515">
              <w:t>50-99</w:t>
            </w:r>
            <w:r>
              <w:t>.5</w:t>
            </w:r>
          </w:p>
        </w:tc>
        <w:tc>
          <w:tcPr>
            <w:tcW w:w="2070" w:type="dxa"/>
          </w:tcPr>
          <w:p w:rsidRPr="00A95CFB" w:rsidR="00CF12FE" w:rsidP="00CF12FE" w:rsidRDefault="00CF12FE" w14:paraId="087D53D2" w14:textId="21FA789B">
            <w:pPr>
              <w:pStyle w:val="SP-SglSpPara"/>
              <w:ind w:firstLine="0"/>
              <w:jc w:val="right"/>
              <w:rPr>
                <w:sz w:val="24"/>
                <w:szCs w:val="24"/>
              </w:rPr>
            </w:pPr>
            <w:r w:rsidRPr="004F6A7E">
              <w:t>115</w:t>
            </w:r>
          </w:p>
        </w:tc>
        <w:tc>
          <w:tcPr>
            <w:tcW w:w="1530" w:type="dxa"/>
          </w:tcPr>
          <w:p w:rsidRPr="00A95CFB" w:rsidR="00CF12FE" w:rsidP="00CF12FE" w:rsidRDefault="00CF12FE" w14:paraId="4B05510B" w14:textId="70049AE4">
            <w:pPr>
              <w:pStyle w:val="SP-SglSpPara"/>
              <w:ind w:firstLine="0"/>
              <w:jc w:val="right"/>
              <w:rPr>
                <w:sz w:val="24"/>
                <w:szCs w:val="24"/>
              </w:rPr>
            </w:pPr>
            <w:r w:rsidRPr="004F6A7E">
              <w:t>416</w:t>
            </w:r>
          </w:p>
        </w:tc>
        <w:tc>
          <w:tcPr>
            <w:tcW w:w="1800" w:type="dxa"/>
          </w:tcPr>
          <w:p w:rsidRPr="00A95CFB" w:rsidR="00CF12FE" w:rsidP="00CF12FE" w:rsidRDefault="00CF12FE" w14:paraId="2602DDDA" w14:textId="3982DD6E">
            <w:pPr>
              <w:pStyle w:val="SP-SglSpPara"/>
              <w:ind w:firstLine="0"/>
              <w:jc w:val="right"/>
              <w:rPr>
                <w:sz w:val="24"/>
                <w:szCs w:val="24"/>
              </w:rPr>
            </w:pPr>
            <w:r w:rsidRPr="004F6A7E">
              <w:t>308</w:t>
            </w:r>
          </w:p>
        </w:tc>
      </w:tr>
      <w:tr w:rsidRPr="00A95CFB" w:rsidR="00CF12FE" w:rsidTr="00156904" w14:paraId="6C048C6A" w14:textId="77777777">
        <w:tc>
          <w:tcPr>
            <w:tcW w:w="1885" w:type="dxa"/>
            <w:vMerge/>
          </w:tcPr>
          <w:p w:rsidRPr="00A95CFB" w:rsidR="00CF12FE" w:rsidP="00CF12FE" w:rsidRDefault="00CF12FE" w14:paraId="11A1C4C5" w14:textId="77777777">
            <w:pPr>
              <w:pStyle w:val="SP-SglSpPara"/>
              <w:ind w:firstLine="0"/>
              <w:jc w:val="right"/>
              <w:rPr>
                <w:sz w:val="24"/>
                <w:szCs w:val="24"/>
              </w:rPr>
            </w:pPr>
          </w:p>
        </w:tc>
        <w:tc>
          <w:tcPr>
            <w:tcW w:w="1890" w:type="dxa"/>
            <w:vAlign w:val="bottom"/>
          </w:tcPr>
          <w:p w:rsidRPr="00A95CFB" w:rsidR="00CF12FE" w:rsidP="00CF12FE" w:rsidRDefault="00CF12FE" w14:paraId="0606633B" w14:textId="14FE0710">
            <w:pPr>
              <w:pStyle w:val="SP-SglSpPara"/>
              <w:ind w:firstLine="0"/>
              <w:jc w:val="right"/>
              <w:rPr>
                <w:sz w:val="24"/>
                <w:szCs w:val="24"/>
              </w:rPr>
            </w:pPr>
            <w:r w:rsidRPr="002E1515">
              <w:t>25-49</w:t>
            </w:r>
            <w:r>
              <w:t>.5</w:t>
            </w:r>
          </w:p>
        </w:tc>
        <w:tc>
          <w:tcPr>
            <w:tcW w:w="2070" w:type="dxa"/>
          </w:tcPr>
          <w:p w:rsidRPr="00A95CFB" w:rsidR="00CF12FE" w:rsidP="00CF12FE" w:rsidRDefault="00CF12FE" w14:paraId="3E19819C" w14:textId="78F21DC7">
            <w:pPr>
              <w:pStyle w:val="SP-SglSpPara"/>
              <w:ind w:firstLine="0"/>
              <w:jc w:val="right"/>
              <w:rPr>
                <w:sz w:val="24"/>
                <w:szCs w:val="24"/>
              </w:rPr>
            </w:pPr>
            <w:r w:rsidRPr="004F6A7E">
              <w:t>227</w:t>
            </w:r>
          </w:p>
        </w:tc>
        <w:tc>
          <w:tcPr>
            <w:tcW w:w="1530" w:type="dxa"/>
          </w:tcPr>
          <w:p w:rsidRPr="00A95CFB" w:rsidR="00CF12FE" w:rsidP="00CF12FE" w:rsidRDefault="00CF12FE" w14:paraId="738E19D5" w14:textId="2BD4FA79">
            <w:pPr>
              <w:pStyle w:val="SP-SglSpPara"/>
              <w:ind w:firstLine="0"/>
              <w:jc w:val="right"/>
              <w:rPr>
                <w:sz w:val="24"/>
                <w:szCs w:val="24"/>
              </w:rPr>
            </w:pPr>
            <w:r w:rsidRPr="004F6A7E">
              <w:t>414</w:t>
            </w:r>
          </w:p>
        </w:tc>
        <w:tc>
          <w:tcPr>
            <w:tcW w:w="1800" w:type="dxa"/>
          </w:tcPr>
          <w:p w:rsidRPr="00A95CFB" w:rsidR="00CF12FE" w:rsidP="00CF12FE" w:rsidRDefault="00CF12FE" w14:paraId="2D81EA41" w14:textId="3A36EB44">
            <w:pPr>
              <w:pStyle w:val="SP-SglSpPara"/>
              <w:ind w:firstLine="0"/>
              <w:jc w:val="right"/>
              <w:rPr>
                <w:sz w:val="24"/>
                <w:szCs w:val="24"/>
              </w:rPr>
            </w:pPr>
            <w:r w:rsidRPr="004F6A7E">
              <w:t>307</w:t>
            </w:r>
          </w:p>
        </w:tc>
      </w:tr>
      <w:tr w:rsidRPr="00A95CFB" w:rsidR="00CF12FE" w:rsidTr="00156904" w14:paraId="761DA9B2" w14:textId="77777777">
        <w:tc>
          <w:tcPr>
            <w:tcW w:w="1885" w:type="dxa"/>
            <w:vMerge/>
          </w:tcPr>
          <w:p w:rsidRPr="00A95CFB" w:rsidR="00CF12FE" w:rsidP="00CF12FE" w:rsidRDefault="00CF12FE" w14:paraId="058B9F52" w14:textId="77777777">
            <w:pPr>
              <w:pStyle w:val="SP-SglSpPara"/>
              <w:ind w:firstLine="0"/>
              <w:jc w:val="right"/>
              <w:rPr>
                <w:sz w:val="24"/>
                <w:szCs w:val="24"/>
              </w:rPr>
            </w:pPr>
          </w:p>
        </w:tc>
        <w:tc>
          <w:tcPr>
            <w:tcW w:w="1890" w:type="dxa"/>
            <w:vAlign w:val="bottom"/>
          </w:tcPr>
          <w:p w:rsidRPr="00A95CFB" w:rsidR="00CF12FE" w:rsidP="00CF12FE" w:rsidRDefault="00CF12FE" w14:paraId="586BB3FA" w14:textId="70619E11">
            <w:pPr>
              <w:pStyle w:val="SP-SglSpPara"/>
              <w:ind w:firstLine="0"/>
              <w:jc w:val="right"/>
              <w:rPr>
                <w:sz w:val="24"/>
                <w:szCs w:val="24"/>
              </w:rPr>
            </w:pPr>
            <w:r w:rsidRPr="002E1515">
              <w:t>10-24</w:t>
            </w:r>
            <w:r>
              <w:t>.5</w:t>
            </w:r>
          </w:p>
        </w:tc>
        <w:tc>
          <w:tcPr>
            <w:tcW w:w="2070" w:type="dxa"/>
          </w:tcPr>
          <w:p w:rsidRPr="00A95CFB" w:rsidR="00CF12FE" w:rsidP="00CF12FE" w:rsidRDefault="00CF12FE" w14:paraId="36E45796" w14:textId="73B689DF">
            <w:pPr>
              <w:pStyle w:val="SP-SglSpPara"/>
              <w:ind w:firstLine="0"/>
              <w:jc w:val="right"/>
              <w:rPr>
                <w:sz w:val="24"/>
                <w:szCs w:val="24"/>
              </w:rPr>
            </w:pPr>
            <w:r w:rsidRPr="004F6A7E">
              <w:t>448</w:t>
            </w:r>
          </w:p>
        </w:tc>
        <w:tc>
          <w:tcPr>
            <w:tcW w:w="1530" w:type="dxa"/>
          </w:tcPr>
          <w:p w:rsidRPr="00A95CFB" w:rsidR="00CF12FE" w:rsidP="00CF12FE" w:rsidRDefault="00CF12FE" w14:paraId="7100E031" w14:textId="32CC056B">
            <w:pPr>
              <w:pStyle w:val="SP-SglSpPara"/>
              <w:ind w:firstLine="0"/>
              <w:jc w:val="right"/>
              <w:rPr>
                <w:sz w:val="24"/>
                <w:szCs w:val="24"/>
              </w:rPr>
            </w:pPr>
            <w:r w:rsidRPr="004F6A7E">
              <w:t>371</w:t>
            </w:r>
          </w:p>
        </w:tc>
        <w:tc>
          <w:tcPr>
            <w:tcW w:w="1800" w:type="dxa"/>
          </w:tcPr>
          <w:p w:rsidRPr="00A95CFB" w:rsidR="00CF12FE" w:rsidP="00CF12FE" w:rsidRDefault="00CF12FE" w14:paraId="49A5BBAD" w14:textId="7A7AC5A4">
            <w:pPr>
              <w:pStyle w:val="SP-SglSpPara"/>
              <w:ind w:firstLine="0"/>
              <w:jc w:val="right"/>
              <w:rPr>
                <w:sz w:val="24"/>
                <w:szCs w:val="24"/>
              </w:rPr>
            </w:pPr>
            <w:r w:rsidRPr="004F6A7E">
              <w:t>290</w:t>
            </w:r>
          </w:p>
        </w:tc>
      </w:tr>
      <w:tr w:rsidRPr="00A95CFB" w:rsidR="00CF12FE" w:rsidTr="00156904" w14:paraId="205EACAA" w14:textId="77777777">
        <w:tc>
          <w:tcPr>
            <w:tcW w:w="1885" w:type="dxa"/>
            <w:vMerge/>
          </w:tcPr>
          <w:p w:rsidRPr="00A95CFB" w:rsidR="00CF12FE" w:rsidP="00CF12FE" w:rsidRDefault="00CF12FE" w14:paraId="6B04074D" w14:textId="77777777">
            <w:pPr>
              <w:pStyle w:val="SP-SglSpPara"/>
              <w:ind w:firstLine="0"/>
              <w:jc w:val="right"/>
              <w:rPr>
                <w:sz w:val="24"/>
                <w:szCs w:val="24"/>
              </w:rPr>
            </w:pPr>
          </w:p>
        </w:tc>
        <w:tc>
          <w:tcPr>
            <w:tcW w:w="1890" w:type="dxa"/>
            <w:vAlign w:val="bottom"/>
          </w:tcPr>
          <w:p w:rsidRPr="00A95CFB" w:rsidR="00CF12FE" w:rsidP="00CF12FE" w:rsidRDefault="00CF12FE" w14:paraId="1498F5B5" w14:textId="6BF9E749">
            <w:pPr>
              <w:pStyle w:val="SP-SglSpPara"/>
              <w:ind w:firstLine="0"/>
              <w:jc w:val="right"/>
              <w:rPr>
                <w:sz w:val="24"/>
                <w:szCs w:val="24"/>
              </w:rPr>
            </w:pPr>
            <w:r w:rsidRPr="002E1515">
              <w:t>5-9</w:t>
            </w:r>
            <w:r>
              <w:t>.5</w:t>
            </w:r>
          </w:p>
        </w:tc>
        <w:tc>
          <w:tcPr>
            <w:tcW w:w="2070" w:type="dxa"/>
          </w:tcPr>
          <w:p w:rsidRPr="00A95CFB" w:rsidR="00CF12FE" w:rsidP="00CF12FE" w:rsidRDefault="00CF12FE" w14:paraId="4B16E769" w14:textId="52A45368">
            <w:pPr>
              <w:pStyle w:val="SP-SglSpPara"/>
              <w:ind w:firstLine="0"/>
              <w:jc w:val="right"/>
              <w:rPr>
                <w:sz w:val="24"/>
                <w:szCs w:val="24"/>
              </w:rPr>
            </w:pPr>
            <w:r w:rsidRPr="004F6A7E">
              <w:t>393</w:t>
            </w:r>
          </w:p>
        </w:tc>
        <w:tc>
          <w:tcPr>
            <w:tcW w:w="1530" w:type="dxa"/>
          </w:tcPr>
          <w:p w:rsidRPr="00A95CFB" w:rsidR="00CF12FE" w:rsidP="00CF12FE" w:rsidRDefault="00CF12FE" w14:paraId="48B88BFF" w14:textId="511C2274">
            <w:pPr>
              <w:pStyle w:val="SP-SglSpPara"/>
              <w:ind w:firstLine="0"/>
              <w:jc w:val="right"/>
              <w:rPr>
                <w:sz w:val="24"/>
                <w:szCs w:val="24"/>
              </w:rPr>
            </w:pPr>
            <w:r w:rsidRPr="004F6A7E">
              <w:t>146</w:t>
            </w:r>
          </w:p>
        </w:tc>
        <w:tc>
          <w:tcPr>
            <w:tcW w:w="1800" w:type="dxa"/>
          </w:tcPr>
          <w:p w:rsidRPr="00A95CFB" w:rsidR="00CF12FE" w:rsidP="00CF12FE" w:rsidRDefault="00CF12FE" w14:paraId="6ADFA235" w14:textId="478D4869">
            <w:pPr>
              <w:pStyle w:val="SP-SglSpPara"/>
              <w:ind w:firstLine="0"/>
              <w:jc w:val="right"/>
              <w:rPr>
                <w:sz w:val="24"/>
                <w:szCs w:val="24"/>
              </w:rPr>
            </w:pPr>
            <w:r w:rsidRPr="004F6A7E">
              <w:t>182</w:t>
            </w:r>
          </w:p>
        </w:tc>
      </w:tr>
      <w:tr w:rsidRPr="00A95CFB" w:rsidR="00CF12FE" w:rsidTr="00156904" w14:paraId="36751799" w14:textId="77777777">
        <w:tc>
          <w:tcPr>
            <w:tcW w:w="1885" w:type="dxa"/>
            <w:vMerge/>
          </w:tcPr>
          <w:p w:rsidRPr="00A95CFB" w:rsidR="00CF12FE" w:rsidP="00CF12FE" w:rsidRDefault="00CF12FE" w14:paraId="6B12AE54" w14:textId="77777777">
            <w:pPr>
              <w:pStyle w:val="SP-SglSpPara"/>
              <w:ind w:firstLine="0"/>
              <w:jc w:val="right"/>
              <w:rPr>
                <w:sz w:val="24"/>
                <w:szCs w:val="24"/>
              </w:rPr>
            </w:pPr>
          </w:p>
        </w:tc>
        <w:tc>
          <w:tcPr>
            <w:tcW w:w="1890" w:type="dxa"/>
            <w:vAlign w:val="bottom"/>
          </w:tcPr>
          <w:p w:rsidRPr="00A95CFB" w:rsidR="00CF12FE" w:rsidP="00CF12FE" w:rsidRDefault="00CF12FE" w14:paraId="46B6ABAD" w14:textId="6D2AD81F">
            <w:pPr>
              <w:pStyle w:val="SP-SglSpPara"/>
              <w:ind w:firstLine="0"/>
              <w:jc w:val="right"/>
              <w:rPr>
                <w:sz w:val="24"/>
                <w:szCs w:val="24"/>
              </w:rPr>
            </w:pPr>
            <w:r w:rsidRPr="002E1515">
              <w:t>2-4</w:t>
            </w:r>
            <w:r>
              <w:t>.5</w:t>
            </w:r>
          </w:p>
        </w:tc>
        <w:tc>
          <w:tcPr>
            <w:tcW w:w="2070" w:type="dxa"/>
          </w:tcPr>
          <w:p w:rsidRPr="00A95CFB" w:rsidR="00CF12FE" w:rsidP="00CF12FE" w:rsidRDefault="00CF12FE" w14:paraId="68E4D9B2" w14:textId="6812CF58">
            <w:pPr>
              <w:pStyle w:val="SP-SglSpPara"/>
              <w:ind w:firstLine="0"/>
              <w:jc w:val="right"/>
              <w:rPr>
                <w:sz w:val="24"/>
                <w:szCs w:val="24"/>
              </w:rPr>
            </w:pPr>
            <w:r w:rsidRPr="004F6A7E">
              <w:t>270</w:t>
            </w:r>
          </w:p>
        </w:tc>
        <w:tc>
          <w:tcPr>
            <w:tcW w:w="1530" w:type="dxa"/>
          </w:tcPr>
          <w:p w:rsidRPr="00A95CFB" w:rsidR="00CF12FE" w:rsidP="00CF12FE" w:rsidRDefault="00CF12FE" w14:paraId="2E80774E" w14:textId="5F34D8D7">
            <w:pPr>
              <w:pStyle w:val="SP-SglSpPara"/>
              <w:ind w:firstLine="0"/>
              <w:jc w:val="right"/>
              <w:rPr>
                <w:sz w:val="24"/>
                <w:szCs w:val="24"/>
              </w:rPr>
            </w:pPr>
            <w:r w:rsidRPr="004F6A7E">
              <w:t>46</w:t>
            </w:r>
          </w:p>
        </w:tc>
        <w:tc>
          <w:tcPr>
            <w:tcW w:w="1800" w:type="dxa"/>
          </w:tcPr>
          <w:p w:rsidRPr="00A95CFB" w:rsidR="00CF12FE" w:rsidP="00CF12FE" w:rsidRDefault="00CF12FE" w14:paraId="116DA58F" w14:textId="177BF58C">
            <w:pPr>
              <w:pStyle w:val="SP-SglSpPara"/>
              <w:ind w:firstLine="0"/>
              <w:jc w:val="right"/>
              <w:rPr>
                <w:sz w:val="24"/>
                <w:szCs w:val="24"/>
              </w:rPr>
            </w:pPr>
            <w:r w:rsidRPr="004F6A7E">
              <w:t>102</w:t>
            </w:r>
          </w:p>
        </w:tc>
      </w:tr>
      <w:tr w:rsidRPr="00A95CFB" w:rsidR="00CF12FE" w:rsidTr="00156904" w14:paraId="37732F8C" w14:textId="77777777">
        <w:tc>
          <w:tcPr>
            <w:tcW w:w="1885" w:type="dxa"/>
            <w:vMerge/>
          </w:tcPr>
          <w:p w:rsidRPr="00A95CFB" w:rsidR="00CF12FE" w:rsidP="00CF12FE" w:rsidRDefault="00CF12FE" w14:paraId="45170859" w14:textId="77777777">
            <w:pPr>
              <w:pStyle w:val="SP-SglSpPara"/>
              <w:ind w:firstLine="0"/>
              <w:jc w:val="right"/>
              <w:rPr>
                <w:sz w:val="24"/>
                <w:szCs w:val="24"/>
              </w:rPr>
            </w:pPr>
          </w:p>
        </w:tc>
        <w:tc>
          <w:tcPr>
            <w:tcW w:w="1890" w:type="dxa"/>
            <w:vAlign w:val="bottom"/>
          </w:tcPr>
          <w:p w:rsidRPr="00A95CFB" w:rsidR="00CF12FE" w:rsidP="00CF12FE" w:rsidRDefault="00CF12FE" w14:paraId="1FA807EA" w14:textId="1FB2202A">
            <w:pPr>
              <w:pStyle w:val="SP-SglSpPara"/>
              <w:ind w:firstLine="0"/>
              <w:jc w:val="right"/>
              <w:rPr>
                <w:sz w:val="24"/>
                <w:szCs w:val="24"/>
              </w:rPr>
            </w:pPr>
            <w:r w:rsidRPr="002E1515">
              <w:t>1</w:t>
            </w:r>
            <w:r>
              <w:t>-1.5</w:t>
            </w:r>
          </w:p>
        </w:tc>
        <w:tc>
          <w:tcPr>
            <w:tcW w:w="2070" w:type="dxa"/>
          </w:tcPr>
          <w:p w:rsidRPr="00A95CFB" w:rsidR="00CF12FE" w:rsidP="00CF12FE" w:rsidRDefault="00CF12FE" w14:paraId="0C445DB9" w14:textId="3436353C">
            <w:pPr>
              <w:pStyle w:val="SP-SglSpPara"/>
              <w:ind w:firstLine="0"/>
              <w:jc w:val="right"/>
              <w:rPr>
                <w:sz w:val="24"/>
                <w:szCs w:val="24"/>
              </w:rPr>
            </w:pPr>
            <w:r w:rsidRPr="004F6A7E">
              <w:t>84</w:t>
            </w:r>
          </w:p>
        </w:tc>
        <w:tc>
          <w:tcPr>
            <w:tcW w:w="1530" w:type="dxa"/>
          </w:tcPr>
          <w:p w:rsidRPr="00A95CFB" w:rsidR="00CF12FE" w:rsidP="00CF12FE" w:rsidRDefault="00CF12FE" w14:paraId="35CC4126" w14:textId="3EFC9365">
            <w:pPr>
              <w:pStyle w:val="SP-SglSpPara"/>
              <w:ind w:firstLine="0"/>
              <w:jc w:val="right"/>
              <w:rPr>
                <w:sz w:val="24"/>
                <w:szCs w:val="24"/>
              </w:rPr>
            </w:pPr>
            <w:r w:rsidRPr="004F6A7E">
              <w:t>6</w:t>
            </w:r>
          </w:p>
        </w:tc>
        <w:tc>
          <w:tcPr>
            <w:tcW w:w="1800" w:type="dxa"/>
          </w:tcPr>
          <w:p w:rsidRPr="00A95CFB" w:rsidR="00CF12FE" w:rsidP="00CF12FE" w:rsidRDefault="00CF12FE" w14:paraId="77EC1875" w14:textId="360B8442">
            <w:pPr>
              <w:pStyle w:val="SP-SglSpPara"/>
              <w:ind w:firstLine="0"/>
              <w:jc w:val="right"/>
              <w:rPr>
                <w:sz w:val="24"/>
                <w:szCs w:val="24"/>
              </w:rPr>
            </w:pPr>
            <w:r w:rsidRPr="004F6A7E">
              <w:t>34</w:t>
            </w:r>
          </w:p>
        </w:tc>
      </w:tr>
      <w:tr w:rsidRPr="00A95CFB" w:rsidR="00CF12FE" w:rsidTr="00156904" w14:paraId="0BED0C5E" w14:textId="77777777">
        <w:tc>
          <w:tcPr>
            <w:tcW w:w="1885" w:type="dxa"/>
            <w:vMerge w:val="restart"/>
          </w:tcPr>
          <w:p w:rsidRPr="00A95CFB" w:rsidR="00CF12FE" w:rsidP="00CF12FE" w:rsidRDefault="00CF12FE" w14:paraId="58F3EF31" w14:textId="77777777">
            <w:pPr>
              <w:pStyle w:val="SP-SglSpPara"/>
              <w:ind w:firstLine="0"/>
              <w:jc w:val="right"/>
              <w:rPr>
                <w:sz w:val="24"/>
                <w:szCs w:val="24"/>
              </w:rPr>
            </w:pPr>
            <w:r w:rsidRPr="00156904">
              <w:rPr>
                <w:sz w:val="24"/>
                <w:szCs w:val="24"/>
              </w:rPr>
              <w:t>Sheriff’s Office</w:t>
            </w:r>
          </w:p>
        </w:tc>
        <w:tc>
          <w:tcPr>
            <w:tcW w:w="1890" w:type="dxa"/>
            <w:vAlign w:val="bottom"/>
          </w:tcPr>
          <w:p w:rsidRPr="00A95CFB" w:rsidR="00CF12FE" w:rsidP="00CF12FE" w:rsidRDefault="00CF12FE" w14:paraId="212C02C5" w14:textId="0F88AB53">
            <w:pPr>
              <w:pStyle w:val="SP-SglSpPara"/>
              <w:ind w:firstLine="0"/>
              <w:jc w:val="right"/>
              <w:rPr>
                <w:sz w:val="24"/>
                <w:szCs w:val="24"/>
              </w:rPr>
            </w:pPr>
            <w:r w:rsidRPr="002E1515">
              <w:t>100+</w:t>
            </w:r>
          </w:p>
        </w:tc>
        <w:tc>
          <w:tcPr>
            <w:tcW w:w="2070" w:type="dxa"/>
          </w:tcPr>
          <w:p w:rsidRPr="00A95CFB" w:rsidR="00CF12FE" w:rsidP="00CF12FE" w:rsidRDefault="00CF12FE" w14:paraId="3072FC7C" w14:textId="3EE16641">
            <w:pPr>
              <w:pStyle w:val="SP-SglSpPara"/>
              <w:ind w:firstLine="0"/>
              <w:jc w:val="right"/>
              <w:rPr>
                <w:sz w:val="24"/>
                <w:szCs w:val="24"/>
              </w:rPr>
            </w:pPr>
            <w:r w:rsidRPr="004F6A7E">
              <w:t>327</w:t>
            </w:r>
          </w:p>
        </w:tc>
        <w:tc>
          <w:tcPr>
            <w:tcW w:w="1530" w:type="dxa"/>
          </w:tcPr>
          <w:p w:rsidRPr="00A95CFB" w:rsidR="00CF12FE" w:rsidP="00CF12FE" w:rsidRDefault="00CF12FE" w14:paraId="464CEE5F" w14:textId="2A8ECCA5">
            <w:pPr>
              <w:pStyle w:val="SP-SglSpPara"/>
              <w:ind w:firstLine="0"/>
              <w:jc w:val="right"/>
              <w:rPr>
                <w:sz w:val="24"/>
                <w:szCs w:val="24"/>
              </w:rPr>
            </w:pPr>
            <w:r w:rsidRPr="004F6A7E">
              <w:t>327</w:t>
            </w:r>
          </w:p>
        </w:tc>
        <w:tc>
          <w:tcPr>
            <w:tcW w:w="1800" w:type="dxa"/>
          </w:tcPr>
          <w:p w:rsidRPr="00A95CFB" w:rsidR="00CF12FE" w:rsidP="00CF12FE" w:rsidRDefault="00CF12FE" w14:paraId="10619DBD" w14:textId="16CA986B">
            <w:pPr>
              <w:pStyle w:val="SP-SglSpPara"/>
              <w:ind w:firstLine="0"/>
              <w:jc w:val="right"/>
              <w:rPr>
                <w:sz w:val="24"/>
                <w:szCs w:val="24"/>
              </w:rPr>
            </w:pPr>
            <w:r w:rsidRPr="004F6A7E">
              <w:t>327</w:t>
            </w:r>
          </w:p>
        </w:tc>
      </w:tr>
      <w:tr w:rsidRPr="00A95CFB" w:rsidR="00CF12FE" w:rsidTr="00156904" w14:paraId="69752CF2" w14:textId="77777777">
        <w:tc>
          <w:tcPr>
            <w:tcW w:w="1885" w:type="dxa"/>
            <w:vMerge/>
          </w:tcPr>
          <w:p w:rsidRPr="00A95CFB" w:rsidR="00CF12FE" w:rsidP="00CF12FE" w:rsidRDefault="00CF12FE" w14:paraId="2000282D" w14:textId="77777777">
            <w:pPr>
              <w:pStyle w:val="SP-SglSpPara"/>
              <w:ind w:firstLine="0"/>
              <w:jc w:val="right"/>
              <w:rPr>
                <w:sz w:val="24"/>
                <w:szCs w:val="24"/>
              </w:rPr>
            </w:pPr>
          </w:p>
        </w:tc>
        <w:tc>
          <w:tcPr>
            <w:tcW w:w="1890" w:type="dxa"/>
            <w:vAlign w:val="bottom"/>
          </w:tcPr>
          <w:p w:rsidRPr="00A95CFB" w:rsidR="00CF12FE" w:rsidP="00CF12FE" w:rsidRDefault="00CF12FE" w14:paraId="4111F866" w14:textId="09214E3F">
            <w:pPr>
              <w:pStyle w:val="SP-SglSpPara"/>
              <w:ind w:firstLine="0"/>
              <w:jc w:val="right"/>
              <w:rPr>
                <w:sz w:val="24"/>
                <w:szCs w:val="24"/>
              </w:rPr>
            </w:pPr>
            <w:r w:rsidRPr="002E1515">
              <w:t>50-99</w:t>
            </w:r>
            <w:r>
              <w:t>.5</w:t>
            </w:r>
          </w:p>
        </w:tc>
        <w:tc>
          <w:tcPr>
            <w:tcW w:w="2070" w:type="dxa"/>
          </w:tcPr>
          <w:p w:rsidRPr="00A95CFB" w:rsidR="00CF12FE" w:rsidP="00CF12FE" w:rsidRDefault="00CF12FE" w14:paraId="697347C7" w14:textId="1731D237">
            <w:pPr>
              <w:pStyle w:val="SP-SglSpPara"/>
              <w:ind w:firstLine="0"/>
              <w:jc w:val="right"/>
              <w:rPr>
                <w:sz w:val="24"/>
                <w:szCs w:val="24"/>
              </w:rPr>
            </w:pPr>
            <w:r w:rsidRPr="004F6A7E">
              <w:t>50</w:t>
            </w:r>
          </w:p>
        </w:tc>
        <w:tc>
          <w:tcPr>
            <w:tcW w:w="1530" w:type="dxa"/>
          </w:tcPr>
          <w:p w:rsidRPr="00A95CFB" w:rsidR="00CF12FE" w:rsidP="00CF12FE" w:rsidRDefault="00CF12FE" w14:paraId="06959E9F" w14:textId="3A823F59">
            <w:pPr>
              <w:pStyle w:val="SP-SglSpPara"/>
              <w:ind w:firstLine="0"/>
              <w:jc w:val="right"/>
              <w:rPr>
                <w:sz w:val="24"/>
                <w:szCs w:val="24"/>
              </w:rPr>
            </w:pPr>
            <w:r w:rsidRPr="004F6A7E">
              <w:t>184</w:t>
            </w:r>
          </w:p>
        </w:tc>
        <w:tc>
          <w:tcPr>
            <w:tcW w:w="1800" w:type="dxa"/>
          </w:tcPr>
          <w:p w:rsidRPr="00A95CFB" w:rsidR="00CF12FE" w:rsidP="00CF12FE" w:rsidRDefault="00CF12FE" w14:paraId="34F300DF" w14:textId="6F805C09">
            <w:pPr>
              <w:pStyle w:val="SP-SglSpPara"/>
              <w:ind w:firstLine="0"/>
              <w:jc w:val="right"/>
              <w:rPr>
                <w:sz w:val="24"/>
                <w:szCs w:val="24"/>
              </w:rPr>
            </w:pPr>
            <w:r w:rsidRPr="004F6A7E">
              <w:t>198</w:t>
            </w:r>
          </w:p>
        </w:tc>
      </w:tr>
      <w:tr w:rsidRPr="00A95CFB" w:rsidR="00CF12FE" w:rsidTr="00156904" w14:paraId="4CE4DA27" w14:textId="77777777">
        <w:tc>
          <w:tcPr>
            <w:tcW w:w="1885" w:type="dxa"/>
            <w:vMerge/>
          </w:tcPr>
          <w:p w:rsidRPr="00A95CFB" w:rsidR="00CF12FE" w:rsidP="00CF12FE" w:rsidRDefault="00CF12FE" w14:paraId="4F4A3A1F" w14:textId="77777777">
            <w:pPr>
              <w:pStyle w:val="SP-SglSpPara"/>
              <w:ind w:firstLine="0"/>
              <w:jc w:val="right"/>
              <w:rPr>
                <w:sz w:val="24"/>
                <w:szCs w:val="24"/>
              </w:rPr>
            </w:pPr>
          </w:p>
        </w:tc>
        <w:tc>
          <w:tcPr>
            <w:tcW w:w="1890" w:type="dxa"/>
            <w:vAlign w:val="bottom"/>
          </w:tcPr>
          <w:p w:rsidRPr="00A95CFB" w:rsidR="00CF12FE" w:rsidP="00CF12FE" w:rsidRDefault="00CF12FE" w14:paraId="6DA49AEA" w14:textId="5DC3781D">
            <w:pPr>
              <w:pStyle w:val="SP-SglSpPara"/>
              <w:ind w:firstLine="0"/>
              <w:jc w:val="right"/>
              <w:rPr>
                <w:sz w:val="24"/>
                <w:szCs w:val="24"/>
              </w:rPr>
            </w:pPr>
            <w:r w:rsidRPr="002E1515">
              <w:t>25-49</w:t>
            </w:r>
            <w:r>
              <w:t>.5</w:t>
            </w:r>
          </w:p>
        </w:tc>
        <w:tc>
          <w:tcPr>
            <w:tcW w:w="2070" w:type="dxa"/>
          </w:tcPr>
          <w:p w:rsidRPr="00A95CFB" w:rsidR="00CF12FE" w:rsidP="00CF12FE" w:rsidRDefault="00CF12FE" w14:paraId="5ED7F32D" w14:textId="010969B2">
            <w:pPr>
              <w:pStyle w:val="SP-SglSpPara"/>
              <w:ind w:firstLine="0"/>
              <w:jc w:val="right"/>
              <w:rPr>
                <w:sz w:val="24"/>
                <w:szCs w:val="24"/>
              </w:rPr>
            </w:pPr>
            <w:r w:rsidRPr="004F6A7E">
              <w:t>82</w:t>
            </w:r>
          </w:p>
        </w:tc>
        <w:tc>
          <w:tcPr>
            <w:tcW w:w="1530" w:type="dxa"/>
          </w:tcPr>
          <w:p w:rsidRPr="00A95CFB" w:rsidR="00CF12FE" w:rsidP="00CF12FE" w:rsidRDefault="00CF12FE" w14:paraId="1D98DC0B" w14:textId="69EA6EDD">
            <w:pPr>
              <w:pStyle w:val="SP-SglSpPara"/>
              <w:ind w:firstLine="0"/>
              <w:jc w:val="right"/>
              <w:rPr>
                <w:sz w:val="24"/>
                <w:szCs w:val="24"/>
              </w:rPr>
            </w:pPr>
            <w:r w:rsidRPr="004F6A7E">
              <w:t>152</w:t>
            </w:r>
          </w:p>
        </w:tc>
        <w:tc>
          <w:tcPr>
            <w:tcW w:w="1800" w:type="dxa"/>
          </w:tcPr>
          <w:p w:rsidRPr="00A95CFB" w:rsidR="00CF12FE" w:rsidP="00CF12FE" w:rsidRDefault="00CF12FE" w14:paraId="0C3E4B8B" w14:textId="1CFA865E">
            <w:pPr>
              <w:pStyle w:val="SP-SglSpPara"/>
              <w:ind w:firstLine="0"/>
              <w:jc w:val="right"/>
              <w:rPr>
                <w:sz w:val="24"/>
                <w:szCs w:val="24"/>
              </w:rPr>
            </w:pPr>
            <w:r w:rsidRPr="004F6A7E">
              <w:t>180</w:t>
            </w:r>
          </w:p>
        </w:tc>
      </w:tr>
      <w:tr w:rsidRPr="00A95CFB" w:rsidR="00CF12FE" w:rsidTr="00156904" w14:paraId="2E62EA8A" w14:textId="77777777">
        <w:tc>
          <w:tcPr>
            <w:tcW w:w="1885" w:type="dxa"/>
            <w:vMerge/>
          </w:tcPr>
          <w:p w:rsidRPr="00A95CFB" w:rsidR="00CF12FE" w:rsidP="00CF12FE" w:rsidRDefault="00CF12FE" w14:paraId="0291EF07" w14:textId="77777777">
            <w:pPr>
              <w:pStyle w:val="SP-SglSpPara"/>
              <w:ind w:firstLine="0"/>
              <w:jc w:val="right"/>
              <w:rPr>
                <w:sz w:val="24"/>
                <w:szCs w:val="24"/>
              </w:rPr>
            </w:pPr>
          </w:p>
        </w:tc>
        <w:tc>
          <w:tcPr>
            <w:tcW w:w="1890" w:type="dxa"/>
            <w:vAlign w:val="bottom"/>
          </w:tcPr>
          <w:p w:rsidRPr="00A95CFB" w:rsidR="00CF12FE" w:rsidP="00CF12FE" w:rsidRDefault="00CF12FE" w14:paraId="338B7F63" w14:textId="2EE3D757">
            <w:pPr>
              <w:pStyle w:val="SP-SglSpPara"/>
              <w:ind w:firstLine="0"/>
              <w:jc w:val="right"/>
              <w:rPr>
                <w:sz w:val="24"/>
                <w:szCs w:val="24"/>
              </w:rPr>
            </w:pPr>
            <w:r w:rsidRPr="002E1515">
              <w:t>10-24</w:t>
            </w:r>
            <w:r>
              <w:t>.5</w:t>
            </w:r>
          </w:p>
        </w:tc>
        <w:tc>
          <w:tcPr>
            <w:tcW w:w="2070" w:type="dxa"/>
          </w:tcPr>
          <w:p w:rsidRPr="00A95CFB" w:rsidR="00CF12FE" w:rsidP="00CF12FE" w:rsidRDefault="00CF12FE" w14:paraId="09A2DA61" w14:textId="1EC13681">
            <w:pPr>
              <w:pStyle w:val="SP-SglSpPara"/>
              <w:ind w:firstLine="0"/>
              <w:jc w:val="right"/>
              <w:rPr>
                <w:sz w:val="24"/>
                <w:szCs w:val="24"/>
              </w:rPr>
            </w:pPr>
            <w:r w:rsidRPr="004F6A7E">
              <w:t>122</w:t>
            </w:r>
          </w:p>
        </w:tc>
        <w:tc>
          <w:tcPr>
            <w:tcW w:w="1530" w:type="dxa"/>
          </w:tcPr>
          <w:p w:rsidRPr="00A95CFB" w:rsidR="00CF12FE" w:rsidP="00CF12FE" w:rsidRDefault="00CF12FE" w14:paraId="47A06473" w14:textId="4E190B46">
            <w:pPr>
              <w:pStyle w:val="SP-SglSpPara"/>
              <w:ind w:firstLine="0"/>
              <w:jc w:val="right"/>
              <w:rPr>
                <w:sz w:val="24"/>
                <w:szCs w:val="24"/>
              </w:rPr>
            </w:pPr>
            <w:r w:rsidRPr="004F6A7E">
              <w:t>104</w:t>
            </w:r>
          </w:p>
        </w:tc>
        <w:tc>
          <w:tcPr>
            <w:tcW w:w="1800" w:type="dxa"/>
          </w:tcPr>
          <w:p w:rsidRPr="00A95CFB" w:rsidR="00CF12FE" w:rsidP="00CF12FE" w:rsidRDefault="00CF12FE" w14:paraId="6F3A65DE" w14:textId="6DABE214">
            <w:pPr>
              <w:pStyle w:val="SP-SglSpPara"/>
              <w:ind w:firstLine="0"/>
              <w:jc w:val="right"/>
              <w:rPr>
                <w:sz w:val="24"/>
                <w:szCs w:val="24"/>
              </w:rPr>
            </w:pPr>
            <w:r w:rsidRPr="004F6A7E">
              <w:t>149</w:t>
            </w:r>
          </w:p>
        </w:tc>
      </w:tr>
      <w:tr w:rsidRPr="00A95CFB" w:rsidR="00CF12FE" w:rsidTr="00156904" w14:paraId="628C1D0C" w14:textId="77777777">
        <w:tc>
          <w:tcPr>
            <w:tcW w:w="1885" w:type="dxa"/>
            <w:vMerge/>
          </w:tcPr>
          <w:p w:rsidRPr="00A95CFB" w:rsidR="00CF12FE" w:rsidP="00CF12FE" w:rsidRDefault="00CF12FE" w14:paraId="23CC7166" w14:textId="77777777">
            <w:pPr>
              <w:pStyle w:val="SP-SglSpPara"/>
              <w:ind w:firstLine="0"/>
              <w:jc w:val="right"/>
              <w:rPr>
                <w:sz w:val="24"/>
                <w:szCs w:val="24"/>
              </w:rPr>
            </w:pPr>
          </w:p>
        </w:tc>
        <w:tc>
          <w:tcPr>
            <w:tcW w:w="1890" w:type="dxa"/>
            <w:vAlign w:val="bottom"/>
          </w:tcPr>
          <w:p w:rsidRPr="00A95CFB" w:rsidR="00CF12FE" w:rsidP="00CF12FE" w:rsidRDefault="00CF12FE" w14:paraId="7527118B" w14:textId="75C8E02C">
            <w:pPr>
              <w:pStyle w:val="SP-SglSpPara"/>
              <w:ind w:firstLine="0"/>
              <w:jc w:val="right"/>
              <w:rPr>
                <w:sz w:val="24"/>
                <w:szCs w:val="24"/>
              </w:rPr>
            </w:pPr>
            <w:r w:rsidRPr="002E1515">
              <w:t>5-9</w:t>
            </w:r>
            <w:r>
              <w:t>.5</w:t>
            </w:r>
          </w:p>
        </w:tc>
        <w:tc>
          <w:tcPr>
            <w:tcW w:w="2070" w:type="dxa"/>
          </w:tcPr>
          <w:p w:rsidRPr="00A95CFB" w:rsidR="00CF12FE" w:rsidP="00CF12FE" w:rsidRDefault="00CF12FE" w14:paraId="76D90A3D" w14:textId="70491A52">
            <w:pPr>
              <w:pStyle w:val="SP-SglSpPara"/>
              <w:ind w:firstLine="0"/>
              <w:jc w:val="right"/>
              <w:rPr>
                <w:sz w:val="24"/>
                <w:szCs w:val="24"/>
              </w:rPr>
            </w:pPr>
            <w:r w:rsidRPr="004F6A7E">
              <w:t>61</w:t>
            </w:r>
          </w:p>
        </w:tc>
        <w:tc>
          <w:tcPr>
            <w:tcW w:w="1530" w:type="dxa"/>
          </w:tcPr>
          <w:p w:rsidRPr="00A95CFB" w:rsidR="00CF12FE" w:rsidP="00CF12FE" w:rsidRDefault="00CF12FE" w14:paraId="7F6AB307" w14:textId="3901315A">
            <w:pPr>
              <w:pStyle w:val="SP-SglSpPara"/>
              <w:ind w:firstLine="0"/>
              <w:jc w:val="right"/>
              <w:rPr>
                <w:sz w:val="24"/>
                <w:szCs w:val="24"/>
              </w:rPr>
            </w:pPr>
            <w:r w:rsidRPr="004F6A7E">
              <w:t>23</w:t>
            </w:r>
          </w:p>
        </w:tc>
        <w:tc>
          <w:tcPr>
            <w:tcW w:w="1800" w:type="dxa"/>
          </w:tcPr>
          <w:p w:rsidRPr="00A95CFB" w:rsidR="00CF12FE" w:rsidP="00CF12FE" w:rsidRDefault="00CF12FE" w14:paraId="3B6310E6" w14:textId="0EB86EC3">
            <w:pPr>
              <w:pStyle w:val="SP-SglSpPara"/>
              <w:ind w:firstLine="0"/>
              <w:jc w:val="right"/>
              <w:rPr>
                <w:sz w:val="24"/>
                <w:szCs w:val="24"/>
              </w:rPr>
            </w:pPr>
            <w:r w:rsidRPr="004F6A7E">
              <w:t>70</w:t>
            </w:r>
          </w:p>
        </w:tc>
      </w:tr>
      <w:tr w:rsidRPr="00A95CFB" w:rsidR="00CF12FE" w:rsidTr="00156904" w14:paraId="1969D227" w14:textId="77777777">
        <w:tc>
          <w:tcPr>
            <w:tcW w:w="1885" w:type="dxa"/>
            <w:vMerge/>
          </w:tcPr>
          <w:p w:rsidRPr="00A95CFB" w:rsidR="00CF12FE" w:rsidP="00CF12FE" w:rsidRDefault="00CF12FE" w14:paraId="344338DD" w14:textId="77777777">
            <w:pPr>
              <w:pStyle w:val="SP-SglSpPara"/>
              <w:ind w:firstLine="0"/>
              <w:jc w:val="right"/>
              <w:rPr>
                <w:sz w:val="24"/>
                <w:szCs w:val="24"/>
              </w:rPr>
            </w:pPr>
          </w:p>
        </w:tc>
        <w:tc>
          <w:tcPr>
            <w:tcW w:w="1890" w:type="dxa"/>
            <w:vAlign w:val="bottom"/>
          </w:tcPr>
          <w:p w:rsidRPr="00A95CFB" w:rsidR="00CF12FE" w:rsidP="00CF12FE" w:rsidRDefault="00CF12FE" w14:paraId="11E95885" w14:textId="364CE156">
            <w:pPr>
              <w:pStyle w:val="SP-SglSpPara"/>
              <w:ind w:firstLine="0"/>
              <w:jc w:val="right"/>
              <w:rPr>
                <w:sz w:val="24"/>
                <w:szCs w:val="24"/>
              </w:rPr>
            </w:pPr>
            <w:r w:rsidRPr="002E1515">
              <w:t>2-4</w:t>
            </w:r>
            <w:r>
              <w:t>.5</w:t>
            </w:r>
          </w:p>
        </w:tc>
        <w:tc>
          <w:tcPr>
            <w:tcW w:w="2070" w:type="dxa"/>
          </w:tcPr>
          <w:p w:rsidRPr="00A95CFB" w:rsidR="00CF12FE" w:rsidP="00CF12FE" w:rsidRDefault="00CF12FE" w14:paraId="3FF59ED0" w14:textId="7FC9E7C7">
            <w:pPr>
              <w:pStyle w:val="SP-SglSpPara"/>
              <w:ind w:firstLine="0"/>
              <w:jc w:val="right"/>
              <w:rPr>
                <w:sz w:val="24"/>
                <w:szCs w:val="24"/>
              </w:rPr>
            </w:pPr>
            <w:r w:rsidRPr="004F6A7E">
              <w:t>21</w:t>
            </w:r>
          </w:p>
        </w:tc>
        <w:tc>
          <w:tcPr>
            <w:tcW w:w="1530" w:type="dxa"/>
          </w:tcPr>
          <w:p w:rsidRPr="00A95CFB" w:rsidR="00CF12FE" w:rsidP="00CF12FE" w:rsidRDefault="00CF12FE" w14:paraId="4CDA69C1" w14:textId="14D42CE7">
            <w:pPr>
              <w:pStyle w:val="SP-SglSpPara"/>
              <w:ind w:firstLine="0"/>
              <w:jc w:val="right"/>
              <w:rPr>
                <w:sz w:val="24"/>
                <w:szCs w:val="24"/>
              </w:rPr>
            </w:pPr>
            <w:r w:rsidRPr="004F6A7E">
              <w:t>4</w:t>
            </w:r>
          </w:p>
        </w:tc>
        <w:tc>
          <w:tcPr>
            <w:tcW w:w="1800" w:type="dxa"/>
          </w:tcPr>
          <w:p w:rsidRPr="00A95CFB" w:rsidR="00CF12FE" w:rsidP="00CF12FE" w:rsidRDefault="00CF12FE" w14:paraId="7217E2EF" w14:textId="53E0B350">
            <w:pPr>
              <w:pStyle w:val="SP-SglSpPara"/>
              <w:ind w:firstLine="0"/>
              <w:jc w:val="right"/>
              <w:rPr>
                <w:sz w:val="24"/>
                <w:szCs w:val="24"/>
              </w:rPr>
            </w:pPr>
            <w:r w:rsidRPr="004F6A7E">
              <w:t>28</w:t>
            </w:r>
          </w:p>
        </w:tc>
      </w:tr>
      <w:tr w:rsidRPr="00A95CFB" w:rsidR="00CF12FE" w:rsidTr="00156904" w14:paraId="7C872571" w14:textId="77777777">
        <w:tc>
          <w:tcPr>
            <w:tcW w:w="1885" w:type="dxa"/>
            <w:vMerge/>
          </w:tcPr>
          <w:p w:rsidRPr="00A95CFB" w:rsidR="00CF12FE" w:rsidP="00CF12FE" w:rsidRDefault="00CF12FE" w14:paraId="0BAFE83B" w14:textId="77777777">
            <w:pPr>
              <w:pStyle w:val="SP-SglSpPara"/>
              <w:ind w:firstLine="0"/>
              <w:jc w:val="right"/>
              <w:rPr>
                <w:sz w:val="24"/>
                <w:szCs w:val="24"/>
              </w:rPr>
            </w:pPr>
          </w:p>
        </w:tc>
        <w:tc>
          <w:tcPr>
            <w:tcW w:w="1890" w:type="dxa"/>
            <w:vAlign w:val="bottom"/>
          </w:tcPr>
          <w:p w:rsidRPr="00A95CFB" w:rsidR="00CF12FE" w:rsidP="00CF12FE" w:rsidRDefault="00CF12FE" w14:paraId="766CCC8A" w14:textId="3E6D62B4">
            <w:pPr>
              <w:pStyle w:val="SP-SglSpPara"/>
              <w:ind w:firstLine="0"/>
              <w:jc w:val="right"/>
              <w:rPr>
                <w:sz w:val="24"/>
                <w:szCs w:val="24"/>
              </w:rPr>
            </w:pPr>
            <w:r w:rsidRPr="002E1515">
              <w:t>1</w:t>
            </w:r>
            <w:r>
              <w:t>-1.5</w:t>
            </w:r>
          </w:p>
        </w:tc>
        <w:tc>
          <w:tcPr>
            <w:tcW w:w="2070" w:type="dxa"/>
          </w:tcPr>
          <w:p w:rsidRPr="00A95CFB" w:rsidR="00CF12FE" w:rsidP="00CF12FE" w:rsidRDefault="00CF12FE" w14:paraId="46EFB14F" w14:textId="6F253D3E">
            <w:pPr>
              <w:pStyle w:val="SP-SglSpPara"/>
              <w:ind w:firstLine="0"/>
              <w:jc w:val="right"/>
              <w:rPr>
                <w:sz w:val="24"/>
                <w:szCs w:val="24"/>
              </w:rPr>
            </w:pPr>
            <w:r w:rsidRPr="004F6A7E">
              <w:t>2</w:t>
            </w:r>
          </w:p>
        </w:tc>
        <w:tc>
          <w:tcPr>
            <w:tcW w:w="1530" w:type="dxa"/>
          </w:tcPr>
          <w:p w:rsidRPr="00A95CFB" w:rsidR="00CF12FE" w:rsidP="00CF12FE" w:rsidRDefault="00CF12FE" w14:paraId="7472022E" w14:textId="05B481A2">
            <w:pPr>
              <w:pStyle w:val="SP-SglSpPara"/>
              <w:ind w:firstLine="0"/>
              <w:jc w:val="right"/>
              <w:rPr>
                <w:sz w:val="24"/>
                <w:szCs w:val="24"/>
              </w:rPr>
            </w:pPr>
            <w:r w:rsidRPr="004F6A7E">
              <w:t>2</w:t>
            </w:r>
          </w:p>
        </w:tc>
        <w:tc>
          <w:tcPr>
            <w:tcW w:w="1800" w:type="dxa"/>
          </w:tcPr>
          <w:p w:rsidRPr="00A95CFB" w:rsidR="00CF12FE" w:rsidP="00CF12FE" w:rsidRDefault="00CF12FE" w14:paraId="54CAA0C9" w14:textId="710DC084">
            <w:pPr>
              <w:pStyle w:val="SP-SglSpPara"/>
              <w:ind w:firstLine="0"/>
              <w:jc w:val="right"/>
              <w:rPr>
                <w:sz w:val="24"/>
                <w:szCs w:val="24"/>
              </w:rPr>
            </w:pPr>
            <w:r w:rsidRPr="004F6A7E">
              <w:t>6</w:t>
            </w:r>
          </w:p>
        </w:tc>
      </w:tr>
      <w:tr w:rsidRPr="00A95CFB" w:rsidR="00CF12FE" w:rsidTr="00156904" w14:paraId="2662FE6B" w14:textId="77777777">
        <w:tc>
          <w:tcPr>
            <w:tcW w:w="1885" w:type="dxa"/>
          </w:tcPr>
          <w:p w:rsidRPr="00A95CFB" w:rsidR="00CF12FE" w:rsidP="00CF12FE" w:rsidRDefault="00CF12FE" w14:paraId="67B46BDD" w14:textId="77777777">
            <w:pPr>
              <w:pStyle w:val="SP-SglSpPara"/>
              <w:ind w:firstLine="0"/>
              <w:jc w:val="right"/>
              <w:rPr>
                <w:sz w:val="24"/>
                <w:szCs w:val="24"/>
              </w:rPr>
            </w:pPr>
            <w:r w:rsidRPr="00156904">
              <w:rPr>
                <w:sz w:val="24"/>
                <w:szCs w:val="24"/>
              </w:rPr>
              <w:t>State Police</w:t>
            </w:r>
          </w:p>
        </w:tc>
        <w:tc>
          <w:tcPr>
            <w:tcW w:w="1890" w:type="dxa"/>
          </w:tcPr>
          <w:p w:rsidRPr="00A95CFB" w:rsidR="00CF12FE" w:rsidP="00CF12FE" w:rsidRDefault="00CF12FE" w14:paraId="0F9AFB65" w14:textId="77777777">
            <w:pPr>
              <w:pStyle w:val="SP-SglSpPara"/>
              <w:ind w:firstLine="0"/>
              <w:jc w:val="right"/>
              <w:rPr>
                <w:sz w:val="24"/>
                <w:szCs w:val="24"/>
              </w:rPr>
            </w:pPr>
            <w:r w:rsidRPr="00156904">
              <w:rPr>
                <w:sz w:val="24"/>
                <w:szCs w:val="24"/>
              </w:rPr>
              <w:t>All</w:t>
            </w:r>
          </w:p>
        </w:tc>
        <w:tc>
          <w:tcPr>
            <w:tcW w:w="2070" w:type="dxa"/>
          </w:tcPr>
          <w:p w:rsidRPr="00A95CFB" w:rsidR="00CF12FE" w:rsidP="00CF12FE" w:rsidRDefault="00CF12FE" w14:paraId="47AAF9B4" w14:textId="7C09915D">
            <w:pPr>
              <w:pStyle w:val="SP-SglSpPara"/>
              <w:ind w:firstLine="0"/>
              <w:jc w:val="right"/>
              <w:rPr>
                <w:sz w:val="24"/>
                <w:szCs w:val="24"/>
              </w:rPr>
            </w:pPr>
            <w:r w:rsidRPr="004F6A7E">
              <w:t>44</w:t>
            </w:r>
          </w:p>
        </w:tc>
        <w:tc>
          <w:tcPr>
            <w:tcW w:w="1530" w:type="dxa"/>
          </w:tcPr>
          <w:p w:rsidRPr="00A95CFB" w:rsidR="00CF12FE" w:rsidP="00CF12FE" w:rsidRDefault="00CF12FE" w14:paraId="053A4815" w14:textId="1613C6F0">
            <w:pPr>
              <w:pStyle w:val="SP-SglSpPara"/>
              <w:ind w:firstLine="0"/>
              <w:jc w:val="right"/>
              <w:rPr>
                <w:sz w:val="24"/>
                <w:szCs w:val="24"/>
              </w:rPr>
            </w:pPr>
            <w:r w:rsidRPr="004F6A7E">
              <w:t>44</w:t>
            </w:r>
          </w:p>
        </w:tc>
        <w:tc>
          <w:tcPr>
            <w:tcW w:w="1800" w:type="dxa"/>
          </w:tcPr>
          <w:p w:rsidRPr="00A95CFB" w:rsidR="00CF12FE" w:rsidP="00CF12FE" w:rsidRDefault="00CF12FE" w14:paraId="27EC115E" w14:textId="605C858E">
            <w:pPr>
              <w:pStyle w:val="SP-SglSpPara"/>
              <w:ind w:firstLine="0"/>
              <w:jc w:val="right"/>
              <w:rPr>
                <w:sz w:val="24"/>
                <w:szCs w:val="24"/>
              </w:rPr>
            </w:pPr>
            <w:r w:rsidRPr="004F6A7E">
              <w:t>44</w:t>
            </w:r>
          </w:p>
        </w:tc>
      </w:tr>
    </w:tbl>
    <w:p w:rsidRPr="00C06CDB" w:rsidR="00CC4A2E" w:rsidP="00CC4A2E" w:rsidRDefault="00CC4A2E" w14:paraId="3EC71C59" w14:textId="77777777">
      <w:pPr>
        <w:pStyle w:val="SP-SglSpPara"/>
        <w:tabs>
          <w:tab w:val="clear" w:pos="576"/>
          <w:tab w:val="left" w:pos="90"/>
        </w:tabs>
        <w:ind w:right="-720" w:firstLine="0"/>
        <w:jc w:val="left"/>
        <w:rPr>
          <w:sz w:val="20"/>
        </w:rPr>
      </w:pPr>
      <w:r w:rsidRPr="00C06CDB">
        <w:rPr>
          <w:vertAlign w:val="superscript"/>
        </w:rPr>
        <w:t>a</w:t>
      </w:r>
      <w:r>
        <w:rPr>
          <w:vertAlign w:val="superscript"/>
        </w:rPr>
        <w:t xml:space="preserve"> </w:t>
      </w:r>
      <w:r w:rsidRPr="00C06CDB">
        <w:rPr>
          <w:sz w:val="20"/>
        </w:rPr>
        <w:t xml:space="preserve">Number of </w:t>
      </w:r>
      <w:r>
        <w:rPr>
          <w:sz w:val="20"/>
        </w:rPr>
        <w:t>full-time equivalent officers.</w:t>
      </w:r>
    </w:p>
    <w:p w:rsidR="00B502CB" w:rsidP="00F84BA4" w:rsidRDefault="00B502CB" w14:paraId="39E4042C" w14:textId="77777777">
      <w:pPr>
        <w:pStyle w:val="SP-SglSpPara"/>
        <w:ind w:firstLine="0"/>
        <w:jc w:val="left"/>
        <w:rPr>
          <w:sz w:val="24"/>
          <w:szCs w:val="24"/>
        </w:rPr>
      </w:pPr>
    </w:p>
    <w:p w:rsidR="00F84BA4" w:rsidP="00F84BA4" w:rsidRDefault="00F84BA4" w14:paraId="77975520" w14:textId="45C4DA7A">
      <w:pPr>
        <w:pStyle w:val="SP-SglSpPara"/>
        <w:ind w:firstLine="0"/>
        <w:jc w:val="left"/>
        <w:rPr>
          <w:sz w:val="24"/>
          <w:szCs w:val="24"/>
        </w:rPr>
      </w:pPr>
      <w:r>
        <w:rPr>
          <w:sz w:val="24"/>
          <w:szCs w:val="24"/>
        </w:rPr>
        <w:t>To compare the allocations, the relative standard error (RSE) is computed for each estimate</w:t>
      </w:r>
      <w:r w:rsidR="0048164F">
        <w:rPr>
          <w:sz w:val="24"/>
          <w:szCs w:val="24"/>
        </w:rPr>
        <w:t xml:space="preserve">. </w:t>
      </w:r>
      <w:r w:rsidRPr="001802FC">
        <w:rPr>
          <w:sz w:val="24"/>
          <w:szCs w:val="24"/>
        </w:rPr>
        <w:t>RSE is the ratio of a measure and its standard error</w:t>
      </w:r>
      <w:r>
        <w:rPr>
          <w:sz w:val="24"/>
          <w:szCs w:val="24"/>
        </w:rPr>
        <w:t xml:space="preserve"> (</w:t>
      </w:r>
      <w:r w:rsidRPr="00156904">
        <w:rPr>
          <w:b/>
          <w:sz w:val="24"/>
          <w:szCs w:val="24"/>
        </w:rPr>
        <w:t>Table 8</w:t>
      </w:r>
      <w:r>
        <w:rPr>
          <w:sz w:val="24"/>
          <w:szCs w:val="24"/>
        </w:rPr>
        <w:t>)</w:t>
      </w:r>
      <w:r w:rsidRPr="001802FC">
        <w:rPr>
          <w:sz w:val="24"/>
          <w:szCs w:val="24"/>
        </w:rPr>
        <w:t xml:space="preserve">. RSE is a standardized measure of precision regardless of estimate value. </w:t>
      </w:r>
      <w:r>
        <w:rPr>
          <w:sz w:val="24"/>
          <w:szCs w:val="24"/>
        </w:rPr>
        <w:t>While none of the allocations is best for all measures, the allocation proportional to the number of agencies is chosen</w:t>
      </w:r>
      <w:r w:rsidR="00E77256">
        <w:rPr>
          <w:sz w:val="24"/>
          <w:szCs w:val="24"/>
        </w:rPr>
        <w:t>,</w:t>
      </w:r>
      <w:r>
        <w:rPr>
          <w:sz w:val="24"/>
          <w:szCs w:val="24"/>
        </w:rPr>
        <w:t xml:space="preserve"> as it is the best when there are the largest differences – namely for percent female officers and body worn camera usage.</w:t>
      </w:r>
    </w:p>
    <w:p w:rsidRPr="009D445A" w:rsidR="00F84BA4" w:rsidP="00F84901" w:rsidRDefault="00F84BA4" w14:paraId="03A9A1D1" w14:textId="77777777">
      <w:pPr>
        <w:pStyle w:val="SP-SglSpPara"/>
        <w:ind w:firstLine="0"/>
        <w:jc w:val="left"/>
        <w:rPr>
          <w:rFonts w:eastAsia="Calibri"/>
          <w:b/>
          <w:bCs/>
          <w:sz w:val="24"/>
          <w:szCs w:val="24"/>
        </w:rPr>
      </w:pPr>
    </w:p>
    <w:p w:rsidRPr="009D445A" w:rsidR="009D445A" w:rsidP="009D445A" w:rsidRDefault="009D445A" w14:paraId="1DB185B3" w14:textId="6190C6F4">
      <w:pPr>
        <w:pStyle w:val="Caption"/>
        <w:keepNext/>
        <w:rPr>
          <w:rFonts w:ascii="Times New Roman" w:hAnsi="Times New Roman" w:eastAsia="Calibri" w:cs="Times New Roman"/>
          <w:b/>
          <w:bCs/>
          <w:i w:val="0"/>
          <w:iCs w:val="0"/>
          <w:color w:val="auto"/>
          <w:sz w:val="24"/>
          <w:szCs w:val="24"/>
        </w:rPr>
      </w:pPr>
      <w:r w:rsidRPr="009D445A">
        <w:rPr>
          <w:rFonts w:ascii="Times New Roman" w:hAnsi="Times New Roman" w:eastAsia="Calibri" w:cs="Times New Roman"/>
          <w:b/>
          <w:bCs/>
          <w:i w:val="0"/>
          <w:iCs w:val="0"/>
          <w:color w:val="auto"/>
          <w:sz w:val="24"/>
          <w:szCs w:val="24"/>
        </w:rPr>
        <w:t xml:space="preserve">Table </w:t>
      </w:r>
      <w:r w:rsidR="00F84BA4">
        <w:rPr>
          <w:rFonts w:ascii="Times New Roman" w:hAnsi="Times New Roman" w:eastAsia="Calibri" w:cs="Times New Roman"/>
          <w:b/>
          <w:bCs/>
          <w:i w:val="0"/>
          <w:iCs w:val="0"/>
          <w:color w:val="auto"/>
          <w:sz w:val="24"/>
          <w:szCs w:val="24"/>
        </w:rPr>
        <w:t>8</w:t>
      </w:r>
      <w:r w:rsidRPr="009D445A">
        <w:rPr>
          <w:rFonts w:ascii="Times New Roman" w:hAnsi="Times New Roman" w:eastAsia="Calibri" w:cs="Times New Roman"/>
          <w:b/>
          <w:bCs/>
          <w:i w:val="0"/>
          <w:iCs w:val="0"/>
          <w:color w:val="auto"/>
          <w:sz w:val="24"/>
          <w:szCs w:val="24"/>
        </w:rPr>
        <w:t>: RSE of estimates for each sample allocation</w:t>
      </w:r>
      <w:r w:rsidR="00F84BA4">
        <w:rPr>
          <w:rFonts w:ascii="Times New Roman" w:hAnsi="Times New Roman" w:eastAsia="Calibri" w:cs="Times New Roman"/>
          <w:b/>
          <w:bCs/>
          <w:i w:val="0"/>
          <w:iCs w:val="0"/>
          <w:color w:val="auto"/>
          <w:sz w:val="24"/>
          <w:szCs w:val="24"/>
        </w:rPr>
        <w:t xml:space="preserve">, </w:t>
      </w:r>
      <w:r w:rsidR="007D71DA">
        <w:rPr>
          <w:rFonts w:ascii="Times New Roman" w:hAnsi="Times New Roman" w:eastAsia="Calibri" w:cs="Times New Roman"/>
          <w:b/>
          <w:bCs/>
          <w:i w:val="0"/>
          <w:iCs w:val="0"/>
          <w:color w:val="auto"/>
          <w:sz w:val="24"/>
          <w:szCs w:val="24"/>
        </w:rPr>
        <w:t>2020</w:t>
      </w:r>
      <w:r w:rsidR="00F84BA4">
        <w:rPr>
          <w:rFonts w:ascii="Times New Roman" w:hAnsi="Times New Roman" w:eastAsia="Calibri" w:cs="Times New Roman"/>
          <w:b/>
          <w:bCs/>
          <w:i w:val="0"/>
          <w:iCs w:val="0"/>
          <w:color w:val="auto"/>
          <w:sz w:val="24"/>
          <w:szCs w:val="24"/>
        </w:rPr>
        <w:t xml:space="preserve"> LEMAS</w:t>
      </w:r>
    </w:p>
    <w:tbl>
      <w:tblPr>
        <w:tblStyle w:val="TableGrid"/>
        <w:tblW w:w="9715" w:type="dxa"/>
        <w:tblLayout w:type="fixed"/>
        <w:tblLook w:val="04A0" w:firstRow="1" w:lastRow="0" w:firstColumn="1" w:lastColumn="0" w:noHBand="0" w:noVBand="1"/>
      </w:tblPr>
      <w:tblGrid>
        <w:gridCol w:w="1975"/>
        <w:gridCol w:w="1260"/>
        <w:gridCol w:w="1072"/>
        <w:gridCol w:w="1538"/>
        <w:gridCol w:w="1350"/>
        <w:gridCol w:w="1350"/>
        <w:gridCol w:w="1170"/>
      </w:tblGrid>
      <w:tr w:rsidRPr="002E1515" w:rsidR="00C502B5" w:rsidTr="00830786" w14:paraId="62CD3E40" w14:textId="77777777">
        <w:trPr>
          <w:tblHeader/>
        </w:trPr>
        <w:tc>
          <w:tcPr>
            <w:tcW w:w="1975" w:type="dxa"/>
            <w:shd w:val="clear" w:color="auto" w:fill="C6D9F1" w:themeFill="text2" w:themeFillTint="33"/>
            <w:vAlign w:val="center"/>
          </w:tcPr>
          <w:p w:rsidR="00C502B5" w:rsidP="00226164" w:rsidRDefault="00C502B5" w14:paraId="3E62F566" w14:textId="77777777">
            <w:pPr>
              <w:jc w:val="center"/>
            </w:pPr>
            <w:r>
              <w:t>Allocation</w:t>
            </w:r>
          </w:p>
        </w:tc>
        <w:tc>
          <w:tcPr>
            <w:tcW w:w="1260" w:type="dxa"/>
            <w:shd w:val="clear" w:color="auto" w:fill="C6D9F1" w:themeFill="text2" w:themeFillTint="33"/>
            <w:vAlign w:val="center"/>
          </w:tcPr>
          <w:p w:rsidR="00C502B5" w:rsidP="009D445A" w:rsidRDefault="00C502B5" w14:paraId="756D2DEE" w14:textId="77777777">
            <w:pPr>
              <w:jc w:val="center"/>
            </w:pPr>
            <w:r>
              <w:t>Budget</w:t>
            </w:r>
          </w:p>
        </w:tc>
        <w:tc>
          <w:tcPr>
            <w:tcW w:w="1072" w:type="dxa"/>
            <w:shd w:val="clear" w:color="auto" w:fill="C6D9F1" w:themeFill="text2" w:themeFillTint="33"/>
            <w:vAlign w:val="center"/>
          </w:tcPr>
          <w:p w:rsidR="00C502B5" w:rsidP="00226164" w:rsidRDefault="00C502B5" w14:paraId="78880888" w14:textId="77777777">
            <w:pPr>
              <w:jc w:val="center"/>
            </w:pPr>
            <w:r>
              <w:t>BWC Usage</w:t>
            </w:r>
          </w:p>
        </w:tc>
        <w:tc>
          <w:tcPr>
            <w:tcW w:w="1538" w:type="dxa"/>
            <w:shd w:val="clear" w:color="auto" w:fill="C6D9F1" w:themeFill="text2" w:themeFillTint="33"/>
            <w:vAlign w:val="center"/>
          </w:tcPr>
          <w:p w:rsidR="00C502B5" w:rsidP="00226164" w:rsidRDefault="00C502B5" w14:paraId="15BC3A07" w14:textId="77777777">
            <w:pPr>
              <w:jc w:val="center"/>
            </w:pPr>
            <w:r>
              <w:t>Community Policing</w:t>
            </w:r>
          </w:p>
        </w:tc>
        <w:tc>
          <w:tcPr>
            <w:tcW w:w="1350" w:type="dxa"/>
            <w:shd w:val="clear" w:color="auto" w:fill="C6D9F1" w:themeFill="text2" w:themeFillTint="33"/>
          </w:tcPr>
          <w:p w:rsidR="00C502B5" w:rsidP="00226164" w:rsidRDefault="00C502B5" w14:paraId="710AD251" w14:textId="77777777">
            <w:pPr>
              <w:jc w:val="center"/>
            </w:pPr>
            <w:r>
              <w:t>Number FTS Officers</w:t>
            </w:r>
          </w:p>
        </w:tc>
        <w:tc>
          <w:tcPr>
            <w:tcW w:w="1350" w:type="dxa"/>
            <w:shd w:val="clear" w:color="auto" w:fill="C6D9F1" w:themeFill="text2" w:themeFillTint="33"/>
            <w:vAlign w:val="center"/>
          </w:tcPr>
          <w:p w:rsidR="00C502B5" w:rsidP="00226164" w:rsidRDefault="00C502B5" w14:paraId="47335AF9" w14:textId="77777777">
            <w:pPr>
              <w:jc w:val="center"/>
            </w:pPr>
            <w:r>
              <w:t>Number FTNS Officers</w:t>
            </w:r>
          </w:p>
        </w:tc>
        <w:tc>
          <w:tcPr>
            <w:tcW w:w="1170" w:type="dxa"/>
            <w:shd w:val="clear" w:color="auto" w:fill="C6D9F1" w:themeFill="text2" w:themeFillTint="33"/>
            <w:vAlign w:val="center"/>
          </w:tcPr>
          <w:p w:rsidR="00C502B5" w:rsidP="00226164" w:rsidRDefault="00C502B5" w14:paraId="1835CB84" w14:textId="77777777">
            <w:pPr>
              <w:jc w:val="center"/>
            </w:pPr>
            <w:r>
              <w:t>Female Officers</w:t>
            </w:r>
          </w:p>
        </w:tc>
      </w:tr>
      <w:tr w:rsidRPr="002E1515" w:rsidR="007A3ACF" w:rsidTr="00156904" w14:paraId="3A9B9397" w14:textId="77777777">
        <w:trPr>
          <w:trHeight w:val="107"/>
        </w:trPr>
        <w:tc>
          <w:tcPr>
            <w:tcW w:w="1975" w:type="dxa"/>
            <w:vAlign w:val="bottom"/>
          </w:tcPr>
          <w:p w:rsidRPr="002E1515" w:rsidR="007A3ACF" w:rsidP="007A3ACF" w:rsidRDefault="007A3ACF" w14:paraId="76D9F909" w14:textId="77777777">
            <w:pPr>
              <w:jc w:val="right"/>
            </w:pPr>
            <w:r>
              <w:t>Agencies</w:t>
            </w:r>
            <w:r w:rsidRPr="00BC4E11">
              <w:t xml:space="preserve"> </w:t>
            </w:r>
          </w:p>
        </w:tc>
        <w:tc>
          <w:tcPr>
            <w:tcW w:w="1260" w:type="dxa"/>
          </w:tcPr>
          <w:p w:rsidRPr="00E8403D" w:rsidR="007A3ACF" w:rsidP="002D7FAA" w:rsidRDefault="007A3ACF" w14:paraId="2333BBAB" w14:textId="6B786F3F">
            <w:pPr>
              <w:tabs>
                <w:tab w:val="right" w:pos="1062"/>
              </w:tabs>
              <w:jc w:val="right"/>
            </w:pPr>
            <w:r w:rsidRPr="003515A4">
              <w:t>2.51</w:t>
            </w:r>
            <w:r>
              <w:t>%</w:t>
            </w:r>
          </w:p>
        </w:tc>
        <w:tc>
          <w:tcPr>
            <w:tcW w:w="1072" w:type="dxa"/>
          </w:tcPr>
          <w:p w:rsidRPr="00BC4E11" w:rsidR="007A3ACF" w:rsidP="002524E3" w:rsidRDefault="007A3ACF" w14:paraId="12B34A18" w14:textId="6262E4D4">
            <w:pPr>
              <w:jc w:val="right"/>
            </w:pPr>
            <w:r w:rsidRPr="003515A4">
              <w:t>2.30</w:t>
            </w:r>
            <w:r>
              <w:t>%</w:t>
            </w:r>
          </w:p>
        </w:tc>
        <w:tc>
          <w:tcPr>
            <w:tcW w:w="1538" w:type="dxa"/>
          </w:tcPr>
          <w:p w:rsidRPr="002E1515" w:rsidR="007A3ACF" w:rsidRDefault="007A3ACF" w14:paraId="032E2C53" w14:textId="6D565CF1">
            <w:pPr>
              <w:jc w:val="right"/>
            </w:pPr>
            <w:r w:rsidRPr="003515A4">
              <w:t>0.97</w:t>
            </w:r>
            <w:r>
              <w:t>%</w:t>
            </w:r>
          </w:p>
        </w:tc>
        <w:tc>
          <w:tcPr>
            <w:tcW w:w="1350" w:type="dxa"/>
          </w:tcPr>
          <w:p w:rsidR="007A3ACF" w:rsidRDefault="007A3ACF" w14:paraId="1D672912" w14:textId="7A84F91D">
            <w:pPr>
              <w:jc w:val="right"/>
            </w:pPr>
            <w:r w:rsidRPr="003515A4">
              <w:t>2.24</w:t>
            </w:r>
            <w:r>
              <w:t>%</w:t>
            </w:r>
          </w:p>
        </w:tc>
        <w:tc>
          <w:tcPr>
            <w:tcW w:w="1350" w:type="dxa"/>
          </w:tcPr>
          <w:p w:rsidRPr="00BC4E11" w:rsidR="007A3ACF" w:rsidRDefault="007A3ACF" w14:paraId="199F64DF" w14:textId="7C1640F9">
            <w:pPr>
              <w:jc w:val="right"/>
            </w:pPr>
            <w:r w:rsidRPr="003515A4">
              <w:t>2.99</w:t>
            </w:r>
            <w:r>
              <w:t>%</w:t>
            </w:r>
          </w:p>
        </w:tc>
        <w:tc>
          <w:tcPr>
            <w:tcW w:w="1170" w:type="dxa"/>
          </w:tcPr>
          <w:p w:rsidRPr="002E1515" w:rsidR="007A3ACF" w:rsidRDefault="007A3ACF" w14:paraId="12ED7483" w14:textId="78E009FB">
            <w:pPr>
              <w:jc w:val="right"/>
            </w:pPr>
            <w:r w:rsidRPr="003515A4">
              <w:t>3.00</w:t>
            </w:r>
            <w:r>
              <w:t>%</w:t>
            </w:r>
          </w:p>
        </w:tc>
      </w:tr>
      <w:tr w:rsidRPr="002E1515" w:rsidR="007A3ACF" w:rsidTr="00156904" w14:paraId="05069138" w14:textId="77777777">
        <w:tc>
          <w:tcPr>
            <w:tcW w:w="1975" w:type="dxa"/>
          </w:tcPr>
          <w:p w:rsidRPr="002E1515" w:rsidR="007A3ACF" w:rsidP="007A3ACF" w:rsidRDefault="007A3ACF" w14:paraId="7D79E510" w14:textId="1CCAD09B">
            <w:pPr>
              <w:jc w:val="right"/>
            </w:pPr>
            <w:r>
              <w:t>FTE</w:t>
            </w:r>
          </w:p>
        </w:tc>
        <w:tc>
          <w:tcPr>
            <w:tcW w:w="1260" w:type="dxa"/>
          </w:tcPr>
          <w:p w:rsidRPr="00E8403D" w:rsidR="007A3ACF" w:rsidP="002D7FAA" w:rsidRDefault="007A3ACF" w14:paraId="48559584" w14:textId="454C87BC">
            <w:pPr>
              <w:tabs>
                <w:tab w:val="right" w:pos="1062"/>
              </w:tabs>
              <w:jc w:val="right"/>
            </w:pPr>
            <w:r w:rsidRPr="003515A4">
              <w:t>2.47</w:t>
            </w:r>
            <w:r>
              <w:t>%</w:t>
            </w:r>
          </w:p>
        </w:tc>
        <w:tc>
          <w:tcPr>
            <w:tcW w:w="1072" w:type="dxa"/>
          </w:tcPr>
          <w:p w:rsidRPr="00BC4E11" w:rsidR="007A3ACF" w:rsidP="002524E3" w:rsidRDefault="007A3ACF" w14:paraId="1655C8CA" w14:textId="41414051">
            <w:pPr>
              <w:jc w:val="right"/>
            </w:pPr>
            <w:r w:rsidRPr="003515A4">
              <w:t>3.94</w:t>
            </w:r>
            <w:r>
              <w:t>%</w:t>
            </w:r>
          </w:p>
        </w:tc>
        <w:tc>
          <w:tcPr>
            <w:tcW w:w="1538" w:type="dxa"/>
          </w:tcPr>
          <w:p w:rsidRPr="002E1515" w:rsidR="007A3ACF" w:rsidRDefault="007A3ACF" w14:paraId="7404AD12" w14:textId="53FA6949">
            <w:pPr>
              <w:jc w:val="right"/>
            </w:pPr>
            <w:r w:rsidRPr="003515A4">
              <w:t>1.74</w:t>
            </w:r>
            <w:r>
              <w:t>%</w:t>
            </w:r>
          </w:p>
        </w:tc>
        <w:tc>
          <w:tcPr>
            <w:tcW w:w="1350" w:type="dxa"/>
          </w:tcPr>
          <w:p w:rsidR="007A3ACF" w:rsidRDefault="007A3ACF" w14:paraId="72707483" w14:textId="23017565">
            <w:pPr>
              <w:jc w:val="right"/>
            </w:pPr>
            <w:r w:rsidRPr="003515A4">
              <w:t>2.23</w:t>
            </w:r>
            <w:r>
              <w:t>%</w:t>
            </w:r>
          </w:p>
        </w:tc>
        <w:tc>
          <w:tcPr>
            <w:tcW w:w="1350" w:type="dxa"/>
          </w:tcPr>
          <w:p w:rsidRPr="00BC4E11" w:rsidR="007A3ACF" w:rsidRDefault="007A3ACF" w14:paraId="5F32B1DC" w14:textId="732E9F1F">
            <w:pPr>
              <w:jc w:val="right"/>
            </w:pPr>
            <w:r w:rsidRPr="003515A4">
              <w:t>2.86</w:t>
            </w:r>
            <w:r>
              <w:t>%</w:t>
            </w:r>
          </w:p>
        </w:tc>
        <w:tc>
          <w:tcPr>
            <w:tcW w:w="1170" w:type="dxa"/>
          </w:tcPr>
          <w:p w:rsidRPr="002E1515" w:rsidR="007A3ACF" w:rsidRDefault="007A3ACF" w14:paraId="36DE30E5" w14:textId="15CF457A">
            <w:pPr>
              <w:jc w:val="right"/>
            </w:pPr>
            <w:r w:rsidRPr="003515A4">
              <w:t>7.00</w:t>
            </w:r>
            <w:r>
              <w:t>%</w:t>
            </w:r>
          </w:p>
        </w:tc>
      </w:tr>
      <w:tr w:rsidRPr="002E1515" w:rsidR="007A3ACF" w:rsidTr="00156904" w14:paraId="103F6D05" w14:textId="77777777">
        <w:tc>
          <w:tcPr>
            <w:tcW w:w="1975" w:type="dxa"/>
          </w:tcPr>
          <w:p w:rsidRPr="002E1515" w:rsidR="007A3ACF" w:rsidP="007A3ACF" w:rsidRDefault="007A3ACF" w14:paraId="67FDC485" w14:textId="2BB18009">
            <w:pPr>
              <w:jc w:val="right"/>
            </w:pPr>
            <w:r>
              <w:t>Square Root FTE</w:t>
            </w:r>
            <w:r w:rsidRPr="00BC4E11">
              <w:t xml:space="preserve"> </w:t>
            </w:r>
          </w:p>
        </w:tc>
        <w:tc>
          <w:tcPr>
            <w:tcW w:w="1260" w:type="dxa"/>
          </w:tcPr>
          <w:p w:rsidRPr="00E8403D" w:rsidR="007A3ACF" w:rsidP="002D7FAA" w:rsidRDefault="007A3ACF" w14:paraId="0D68FE7B" w14:textId="45761224">
            <w:pPr>
              <w:tabs>
                <w:tab w:val="right" w:pos="1062"/>
              </w:tabs>
              <w:jc w:val="right"/>
            </w:pPr>
            <w:r w:rsidRPr="003515A4">
              <w:t>2.47</w:t>
            </w:r>
            <w:r>
              <w:t>%</w:t>
            </w:r>
          </w:p>
        </w:tc>
        <w:tc>
          <w:tcPr>
            <w:tcW w:w="1072" w:type="dxa"/>
          </w:tcPr>
          <w:p w:rsidRPr="00BC4E11" w:rsidR="007A3ACF" w:rsidP="002524E3" w:rsidRDefault="007A3ACF" w14:paraId="0FF77832" w14:textId="38EC00CD">
            <w:pPr>
              <w:jc w:val="right"/>
            </w:pPr>
            <w:r w:rsidRPr="003515A4">
              <w:t>2.94</w:t>
            </w:r>
            <w:r>
              <w:t>%</w:t>
            </w:r>
          </w:p>
        </w:tc>
        <w:tc>
          <w:tcPr>
            <w:tcW w:w="1538" w:type="dxa"/>
          </w:tcPr>
          <w:p w:rsidRPr="002E1515" w:rsidR="007A3ACF" w:rsidRDefault="007A3ACF" w14:paraId="23CAE2E5" w14:textId="5972F6BE">
            <w:pPr>
              <w:jc w:val="right"/>
            </w:pPr>
            <w:r w:rsidRPr="003515A4">
              <w:t>1.21</w:t>
            </w:r>
            <w:r>
              <w:t>%</w:t>
            </w:r>
          </w:p>
        </w:tc>
        <w:tc>
          <w:tcPr>
            <w:tcW w:w="1350" w:type="dxa"/>
          </w:tcPr>
          <w:p w:rsidR="007A3ACF" w:rsidRDefault="007A3ACF" w14:paraId="396F1EAB" w14:textId="774063A9">
            <w:pPr>
              <w:jc w:val="right"/>
            </w:pPr>
            <w:r w:rsidRPr="003515A4">
              <w:t>2.23</w:t>
            </w:r>
            <w:r>
              <w:t>%</w:t>
            </w:r>
          </w:p>
        </w:tc>
        <w:tc>
          <w:tcPr>
            <w:tcW w:w="1350" w:type="dxa"/>
          </w:tcPr>
          <w:p w:rsidRPr="00BC4E11" w:rsidR="007A3ACF" w:rsidRDefault="007A3ACF" w14:paraId="76F857CA" w14:textId="2D887E0A">
            <w:pPr>
              <w:jc w:val="right"/>
            </w:pPr>
            <w:r w:rsidRPr="003515A4">
              <w:t>2.86</w:t>
            </w:r>
            <w:r>
              <w:t>%</w:t>
            </w:r>
          </w:p>
        </w:tc>
        <w:tc>
          <w:tcPr>
            <w:tcW w:w="1170" w:type="dxa"/>
          </w:tcPr>
          <w:p w:rsidRPr="002E1515" w:rsidR="007A3ACF" w:rsidRDefault="007A3ACF" w14:paraId="304CE023" w14:textId="7948BAC8">
            <w:pPr>
              <w:jc w:val="right"/>
            </w:pPr>
            <w:r w:rsidRPr="003515A4">
              <w:t>4.41</w:t>
            </w:r>
            <w:r>
              <w:t>%</w:t>
            </w:r>
          </w:p>
        </w:tc>
      </w:tr>
    </w:tbl>
    <w:p w:rsidR="001A42C3" w:rsidRDefault="001A42C3" w14:paraId="6C46052C" w14:textId="77777777">
      <w:pPr>
        <w:spacing w:after="200" w:line="276" w:lineRule="auto"/>
        <w:rPr>
          <w:rFonts w:eastAsia="Calibri"/>
          <w:b/>
          <w:bCs/>
        </w:rPr>
      </w:pPr>
    </w:p>
    <w:p w:rsidR="002364B9" w:rsidP="00156904" w:rsidRDefault="00F84BA4" w14:paraId="55415734" w14:textId="2BFE46C0">
      <w:pPr>
        <w:pStyle w:val="SP-SglSpPara"/>
        <w:ind w:firstLine="0"/>
        <w:jc w:val="left"/>
      </w:pPr>
      <w:r w:rsidRPr="00156904">
        <w:rPr>
          <w:sz w:val="24"/>
          <w:szCs w:val="24"/>
        </w:rPr>
        <w:t xml:space="preserve">The sample size allocation obtained through the </w:t>
      </w:r>
      <w:r w:rsidRPr="00156904" w:rsidR="003D38C8">
        <w:rPr>
          <w:sz w:val="24"/>
          <w:szCs w:val="24"/>
        </w:rPr>
        <w:t xml:space="preserve">proportional number of agencies </w:t>
      </w:r>
      <w:r w:rsidRPr="00156904">
        <w:rPr>
          <w:sz w:val="24"/>
          <w:szCs w:val="24"/>
        </w:rPr>
        <w:t xml:space="preserve">is presented in </w:t>
      </w:r>
      <w:r w:rsidRPr="00156904">
        <w:rPr>
          <w:b/>
          <w:sz w:val="24"/>
          <w:szCs w:val="24"/>
        </w:rPr>
        <w:t>Table 9</w:t>
      </w:r>
      <w:r w:rsidRPr="00156904">
        <w:rPr>
          <w:sz w:val="24"/>
          <w:szCs w:val="24"/>
        </w:rPr>
        <w:t xml:space="preserve">. Based on the response rate assumptions, the design calls for a sample size of </w:t>
      </w:r>
      <w:r w:rsidR="00FD6A27">
        <w:rPr>
          <w:sz w:val="24"/>
          <w:szCs w:val="24"/>
        </w:rPr>
        <w:t>3,500</w:t>
      </w:r>
      <w:r w:rsidRPr="00156904">
        <w:rPr>
          <w:sz w:val="24"/>
          <w:szCs w:val="24"/>
        </w:rPr>
        <w:t xml:space="preserve"> with </w:t>
      </w:r>
      <w:r w:rsidRPr="002925F3" w:rsidR="00556135">
        <w:rPr>
          <w:sz w:val="24"/>
          <w:szCs w:val="24"/>
        </w:rPr>
        <w:t>2,8</w:t>
      </w:r>
      <w:r w:rsidRPr="002925F3" w:rsidR="00360EF3">
        <w:rPr>
          <w:sz w:val="24"/>
          <w:szCs w:val="24"/>
        </w:rPr>
        <w:t>48</w:t>
      </w:r>
      <w:r w:rsidRPr="0020485B">
        <w:rPr>
          <w:sz w:val="24"/>
          <w:szCs w:val="24"/>
        </w:rPr>
        <w:t xml:space="preserve"> complete</w:t>
      </w:r>
      <w:r w:rsidRPr="00156904">
        <w:rPr>
          <w:sz w:val="24"/>
          <w:szCs w:val="24"/>
        </w:rPr>
        <w:t xml:space="preserve"> questionnaires expected. </w:t>
      </w:r>
    </w:p>
    <w:p w:rsidRPr="00156904" w:rsidR="00E77256" w:rsidP="00156904" w:rsidRDefault="00E77256" w14:paraId="46BB4739" w14:textId="77777777">
      <w:pPr>
        <w:pStyle w:val="SP-SglSpPara"/>
        <w:ind w:firstLine="0"/>
        <w:jc w:val="left"/>
      </w:pPr>
    </w:p>
    <w:p w:rsidRPr="004D5CEA" w:rsidR="00F84901" w:rsidP="00D534B2" w:rsidRDefault="00F84901" w14:paraId="63ED02C3" w14:textId="0937F1E5">
      <w:pPr>
        <w:pStyle w:val="Caption"/>
        <w:keepNext/>
        <w:rPr>
          <w:rFonts w:ascii="Times New Roman" w:hAnsi="Times New Roman" w:eastAsia="Calibri" w:cs="Times New Roman"/>
          <w:b/>
          <w:bCs/>
          <w:i w:val="0"/>
          <w:iCs w:val="0"/>
          <w:color w:val="auto"/>
          <w:sz w:val="24"/>
          <w:szCs w:val="24"/>
        </w:rPr>
      </w:pPr>
      <w:r w:rsidRPr="004D5CEA">
        <w:rPr>
          <w:rFonts w:ascii="Times New Roman" w:hAnsi="Times New Roman" w:eastAsia="Calibri" w:cs="Times New Roman"/>
          <w:b/>
          <w:bCs/>
          <w:i w:val="0"/>
          <w:iCs w:val="0"/>
          <w:color w:val="auto"/>
          <w:sz w:val="24"/>
          <w:szCs w:val="24"/>
        </w:rPr>
        <w:t xml:space="preserve">Table </w:t>
      </w:r>
      <w:r w:rsidR="00F84BA4">
        <w:rPr>
          <w:rFonts w:ascii="Times New Roman" w:hAnsi="Times New Roman" w:eastAsia="Calibri" w:cs="Times New Roman"/>
          <w:b/>
          <w:bCs/>
          <w:i w:val="0"/>
          <w:iCs w:val="0"/>
          <w:color w:val="auto"/>
          <w:sz w:val="24"/>
          <w:szCs w:val="24"/>
        </w:rPr>
        <w:t>9</w:t>
      </w:r>
      <w:r w:rsidR="00975C81">
        <w:rPr>
          <w:rFonts w:ascii="Times New Roman" w:hAnsi="Times New Roman" w:eastAsia="Calibri" w:cs="Times New Roman"/>
          <w:b/>
          <w:bCs/>
          <w:i w:val="0"/>
          <w:iCs w:val="0"/>
          <w:color w:val="auto"/>
          <w:sz w:val="24"/>
          <w:szCs w:val="24"/>
        </w:rPr>
        <w:t>: Sample size a</w:t>
      </w:r>
      <w:r w:rsidRPr="004D5CEA">
        <w:rPr>
          <w:rFonts w:ascii="Times New Roman" w:hAnsi="Times New Roman" w:eastAsia="Calibri" w:cs="Times New Roman"/>
          <w:b/>
          <w:bCs/>
          <w:i w:val="0"/>
          <w:iCs w:val="0"/>
          <w:color w:val="auto"/>
          <w:sz w:val="24"/>
          <w:szCs w:val="24"/>
        </w:rPr>
        <w:t>llocation</w:t>
      </w:r>
      <w:r w:rsidR="00975C81">
        <w:rPr>
          <w:rFonts w:ascii="Times New Roman" w:hAnsi="Times New Roman" w:eastAsia="Calibri" w:cs="Times New Roman"/>
          <w:b/>
          <w:bCs/>
          <w:i w:val="0"/>
          <w:iCs w:val="0"/>
          <w:color w:val="auto"/>
          <w:sz w:val="24"/>
          <w:szCs w:val="24"/>
        </w:rPr>
        <w:t xml:space="preserve"> based on the proportion to number of agencies by s</w:t>
      </w:r>
      <w:r w:rsidRPr="004D5CEA">
        <w:rPr>
          <w:rFonts w:ascii="Times New Roman" w:hAnsi="Times New Roman" w:eastAsia="Calibri" w:cs="Times New Roman"/>
          <w:b/>
          <w:bCs/>
          <w:i w:val="0"/>
          <w:iCs w:val="0"/>
          <w:color w:val="auto"/>
          <w:sz w:val="24"/>
          <w:szCs w:val="24"/>
        </w:rPr>
        <w:t>tratum</w:t>
      </w:r>
      <w:r w:rsidR="003D38C8">
        <w:rPr>
          <w:rFonts w:ascii="Times New Roman" w:hAnsi="Times New Roman" w:eastAsia="Calibri" w:cs="Times New Roman"/>
          <w:b/>
          <w:bCs/>
          <w:i w:val="0"/>
          <w:iCs w:val="0"/>
          <w:color w:val="auto"/>
          <w:sz w:val="24"/>
          <w:szCs w:val="24"/>
        </w:rPr>
        <w:t xml:space="preserve">, </w:t>
      </w:r>
      <w:r w:rsidR="007D71DA">
        <w:rPr>
          <w:rFonts w:ascii="Times New Roman" w:hAnsi="Times New Roman" w:eastAsia="Calibri" w:cs="Times New Roman"/>
          <w:b/>
          <w:bCs/>
          <w:i w:val="0"/>
          <w:iCs w:val="0"/>
          <w:color w:val="auto"/>
          <w:sz w:val="24"/>
          <w:szCs w:val="24"/>
        </w:rPr>
        <w:t>2020</w:t>
      </w:r>
      <w:r w:rsidR="003D38C8">
        <w:rPr>
          <w:rFonts w:ascii="Times New Roman" w:hAnsi="Times New Roman" w:eastAsia="Calibri" w:cs="Times New Roman"/>
          <w:b/>
          <w:bCs/>
          <w:i w:val="0"/>
          <w:iCs w:val="0"/>
          <w:color w:val="auto"/>
          <w:sz w:val="24"/>
          <w:szCs w:val="24"/>
        </w:rPr>
        <w:t xml:space="preserve"> LEMAS</w:t>
      </w:r>
    </w:p>
    <w:tbl>
      <w:tblPr>
        <w:tblStyle w:val="TableGrid"/>
        <w:tblW w:w="9445" w:type="dxa"/>
        <w:tblLayout w:type="fixed"/>
        <w:tblLook w:val="04A0" w:firstRow="1" w:lastRow="0" w:firstColumn="1" w:lastColumn="0" w:noHBand="0" w:noVBand="1"/>
      </w:tblPr>
      <w:tblGrid>
        <w:gridCol w:w="2643"/>
        <w:gridCol w:w="2109"/>
        <w:gridCol w:w="2358"/>
        <w:gridCol w:w="2335"/>
      </w:tblGrid>
      <w:tr w:rsidR="00F84901" w:rsidTr="00830786" w14:paraId="1296A922" w14:textId="77777777">
        <w:trPr>
          <w:tblHeader/>
        </w:trPr>
        <w:tc>
          <w:tcPr>
            <w:tcW w:w="2643" w:type="dxa"/>
            <w:shd w:val="clear" w:color="auto" w:fill="C6D9F1" w:themeFill="text2" w:themeFillTint="33"/>
            <w:vAlign w:val="bottom"/>
          </w:tcPr>
          <w:p w:rsidRPr="002E1515" w:rsidR="00F84901" w:rsidP="00C87BA8" w:rsidRDefault="00F84901" w14:paraId="168FE688" w14:textId="77777777">
            <w:pPr>
              <w:jc w:val="center"/>
            </w:pPr>
            <w:r w:rsidRPr="002E1515">
              <w:t>Agency Type</w:t>
            </w:r>
          </w:p>
        </w:tc>
        <w:tc>
          <w:tcPr>
            <w:tcW w:w="2109" w:type="dxa"/>
            <w:shd w:val="clear" w:color="auto" w:fill="C6D9F1" w:themeFill="text2" w:themeFillTint="33"/>
            <w:vAlign w:val="bottom"/>
          </w:tcPr>
          <w:p w:rsidRPr="002E1515" w:rsidR="00F84901" w:rsidP="00570489" w:rsidRDefault="00EC6C2C" w14:paraId="298BB444" w14:textId="77777777">
            <w:pPr>
              <w:jc w:val="center"/>
            </w:pPr>
            <w:r>
              <w:t>Agency Size</w:t>
            </w:r>
            <w:r w:rsidRPr="00D534B2">
              <w:rPr>
                <w:vertAlign w:val="superscript"/>
              </w:rPr>
              <w:t>a</w:t>
            </w:r>
          </w:p>
        </w:tc>
        <w:tc>
          <w:tcPr>
            <w:tcW w:w="2358" w:type="dxa"/>
            <w:shd w:val="clear" w:color="auto" w:fill="C6D9F1" w:themeFill="text2" w:themeFillTint="33"/>
            <w:vAlign w:val="bottom"/>
          </w:tcPr>
          <w:p w:rsidR="00F84901" w:rsidP="00D534B2" w:rsidRDefault="00F84901" w14:paraId="6F8F6BC4" w14:textId="77777777">
            <w:pPr>
              <w:jc w:val="center"/>
            </w:pPr>
            <w:r>
              <w:t>Sample Size</w:t>
            </w:r>
          </w:p>
        </w:tc>
        <w:tc>
          <w:tcPr>
            <w:tcW w:w="2335" w:type="dxa"/>
            <w:shd w:val="clear" w:color="auto" w:fill="C6D9F1" w:themeFill="text2" w:themeFillTint="33"/>
            <w:vAlign w:val="bottom"/>
          </w:tcPr>
          <w:p w:rsidR="00F84901" w:rsidP="00D534B2" w:rsidRDefault="00F84901" w14:paraId="6C2640F3" w14:textId="77777777">
            <w:pPr>
              <w:jc w:val="center"/>
            </w:pPr>
            <w:r>
              <w:t>Expected Respondents</w:t>
            </w:r>
          </w:p>
        </w:tc>
      </w:tr>
      <w:tr w:rsidRPr="002E1515" w:rsidR="00CF12FE" w:rsidTr="00156904" w14:paraId="421456EF" w14:textId="77777777">
        <w:tc>
          <w:tcPr>
            <w:tcW w:w="2643" w:type="dxa"/>
            <w:vMerge w:val="restart"/>
          </w:tcPr>
          <w:p w:rsidRPr="002E1515" w:rsidR="00CF12FE" w:rsidP="00CF12FE" w:rsidRDefault="00CF12FE" w14:paraId="38E344C2" w14:textId="77777777">
            <w:r w:rsidRPr="002E1515">
              <w:t>Local Police</w:t>
            </w:r>
          </w:p>
        </w:tc>
        <w:tc>
          <w:tcPr>
            <w:tcW w:w="2109" w:type="dxa"/>
            <w:vAlign w:val="bottom"/>
          </w:tcPr>
          <w:p w:rsidRPr="002E1515" w:rsidR="00CF12FE" w:rsidP="00CF12FE" w:rsidRDefault="00CF12FE" w14:paraId="01D1A44A" w14:textId="54ECF1B7">
            <w:pPr>
              <w:jc w:val="right"/>
            </w:pPr>
            <w:r w:rsidRPr="002E1515">
              <w:t>100+</w:t>
            </w:r>
          </w:p>
        </w:tc>
        <w:tc>
          <w:tcPr>
            <w:tcW w:w="2358" w:type="dxa"/>
          </w:tcPr>
          <w:p w:rsidRPr="002E1515" w:rsidR="00CF12FE" w:rsidP="00CF12FE" w:rsidRDefault="00CF12FE" w14:paraId="62986E3E" w14:textId="04BBE1F9">
            <w:pPr>
              <w:jc w:val="right"/>
            </w:pPr>
            <w:r w:rsidRPr="001634B4">
              <w:t>669</w:t>
            </w:r>
          </w:p>
        </w:tc>
        <w:tc>
          <w:tcPr>
            <w:tcW w:w="2335" w:type="dxa"/>
          </w:tcPr>
          <w:p w:rsidRPr="00282BC3" w:rsidR="00CF12FE" w:rsidP="00CF12FE" w:rsidRDefault="00CF12FE" w14:paraId="0CCA25AF" w14:textId="36D8B864">
            <w:pPr>
              <w:jc w:val="right"/>
            </w:pPr>
            <w:r w:rsidRPr="001634B4">
              <w:t>602</w:t>
            </w:r>
          </w:p>
        </w:tc>
      </w:tr>
      <w:tr w:rsidRPr="002E1515" w:rsidR="00CF12FE" w:rsidTr="00156904" w14:paraId="5B2BBEED" w14:textId="77777777">
        <w:tc>
          <w:tcPr>
            <w:tcW w:w="2643" w:type="dxa"/>
            <w:vMerge/>
          </w:tcPr>
          <w:p w:rsidRPr="002E1515" w:rsidR="00CF12FE" w:rsidP="00CF12FE" w:rsidRDefault="00CF12FE" w14:paraId="2157D6AF" w14:textId="77777777"/>
        </w:tc>
        <w:tc>
          <w:tcPr>
            <w:tcW w:w="2109" w:type="dxa"/>
            <w:vAlign w:val="bottom"/>
          </w:tcPr>
          <w:p w:rsidRPr="002E1515" w:rsidR="00CF12FE" w:rsidP="00CF12FE" w:rsidRDefault="00CF12FE" w14:paraId="41D3B278" w14:textId="2101DBA4">
            <w:pPr>
              <w:jc w:val="right"/>
            </w:pPr>
            <w:r w:rsidRPr="002E1515">
              <w:t>50-99</w:t>
            </w:r>
            <w:r>
              <w:t>.5</w:t>
            </w:r>
          </w:p>
        </w:tc>
        <w:tc>
          <w:tcPr>
            <w:tcW w:w="2358" w:type="dxa"/>
          </w:tcPr>
          <w:p w:rsidRPr="002E1515" w:rsidR="00CF12FE" w:rsidP="00CF12FE" w:rsidRDefault="00CF12FE" w14:paraId="71727697" w14:textId="3326B13E">
            <w:pPr>
              <w:jc w:val="right"/>
            </w:pPr>
            <w:r w:rsidRPr="001634B4">
              <w:t>144</w:t>
            </w:r>
          </w:p>
        </w:tc>
        <w:tc>
          <w:tcPr>
            <w:tcW w:w="2335" w:type="dxa"/>
          </w:tcPr>
          <w:p w:rsidRPr="00282BC3" w:rsidR="00CF12FE" w:rsidP="00CF12FE" w:rsidRDefault="00CF12FE" w14:paraId="4F3C6642" w14:textId="6E6A53FD">
            <w:pPr>
              <w:jc w:val="right"/>
            </w:pPr>
            <w:r w:rsidRPr="001634B4">
              <w:t>115</w:t>
            </w:r>
          </w:p>
        </w:tc>
      </w:tr>
      <w:tr w:rsidRPr="002E1515" w:rsidR="00CF12FE" w:rsidTr="00156904" w14:paraId="62EE2D95" w14:textId="77777777">
        <w:tc>
          <w:tcPr>
            <w:tcW w:w="2643" w:type="dxa"/>
            <w:vMerge/>
          </w:tcPr>
          <w:p w:rsidRPr="002E1515" w:rsidR="00CF12FE" w:rsidP="00CF12FE" w:rsidRDefault="00CF12FE" w14:paraId="384878D8" w14:textId="77777777"/>
        </w:tc>
        <w:tc>
          <w:tcPr>
            <w:tcW w:w="2109" w:type="dxa"/>
            <w:vAlign w:val="bottom"/>
          </w:tcPr>
          <w:p w:rsidRPr="002E1515" w:rsidR="00CF12FE" w:rsidP="00CF12FE" w:rsidRDefault="00CF12FE" w14:paraId="4F50BBC7" w14:textId="5F53D41B">
            <w:pPr>
              <w:jc w:val="right"/>
            </w:pPr>
            <w:r w:rsidRPr="002E1515">
              <w:t>25-49</w:t>
            </w:r>
            <w:r>
              <w:t>.5</w:t>
            </w:r>
          </w:p>
        </w:tc>
        <w:tc>
          <w:tcPr>
            <w:tcW w:w="2358" w:type="dxa"/>
          </w:tcPr>
          <w:p w:rsidRPr="002E1515" w:rsidR="00CF12FE" w:rsidP="00CF12FE" w:rsidRDefault="00CF12FE" w14:paraId="67409BCE" w14:textId="00250128">
            <w:pPr>
              <w:jc w:val="right"/>
            </w:pPr>
            <w:r w:rsidRPr="001634B4">
              <w:t>284</w:t>
            </w:r>
          </w:p>
        </w:tc>
        <w:tc>
          <w:tcPr>
            <w:tcW w:w="2335" w:type="dxa"/>
          </w:tcPr>
          <w:p w:rsidRPr="00282BC3" w:rsidR="00CF12FE" w:rsidP="00CF12FE" w:rsidRDefault="00CF12FE" w14:paraId="34A617DC" w14:textId="26AA12E8">
            <w:pPr>
              <w:jc w:val="right"/>
            </w:pPr>
            <w:r w:rsidRPr="001634B4">
              <w:t>227</w:t>
            </w:r>
          </w:p>
        </w:tc>
      </w:tr>
      <w:tr w:rsidRPr="002E1515" w:rsidR="00CF12FE" w:rsidTr="00156904" w14:paraId="68A97980" w14:textId="77777777">
        <w:tc>
          <w:tcPr>
            <w:tcW w:w="2643" w:type="dxa"/>
            <w:vMerge/>
          </w:tcPr>
          <w:p w:rsidRPr="002E1515" w:rsidR="00CF12FE" w:rsidP="00CF12FE" w:rsidRDefault="00CF12FE" w14:paraId="6657A516" w14:textId="77777777"/>
        </w:tc>
        <w:tc>
          <w:tcPr>
            <w:tcW w:w="2109" w:type="dxa"/>
            <w:vAlign w:val="bottom"/>
          </w:tcPr>
          <w:p w:rsidRPr="002E1515" w:rsidR="00CF12FE" w:rsidP="00CF12FE" w:rsidRDefault="00CF12FE" w14:paraId="4B6535C7" w14:textId="2DFCEC1F">
            <w:pPr>
              <w:jc w:val="right"/>
            </w:pPr>
            <w:r w:rsidRPr="002E1515">
              <w:t>10-24</w:t>
            </w:r>
            <w:r>
              <w:t>.5</w:t>
            </w:r>
          </w:p>
        </w:tc>
        <w:tc>
          <w:tcPr>
            <w:tcW w:w="2358" w:type="dxa"/>
          </w:tcPr>
          <w:p w:rsidRPr="002E1515" w:rsidR="00CF12FE" w:rsidP="00CF12FE" w:rsidRDefault="00CF12FE" w14:paraId="04CCE5A5" w14:textId="65A40AAC">
            <w:pPr>
              <w:jc w:val="right"/>
            </w:pPr>
            <w:r w:rsidRPr="001634B4">
              <w:t>560</w:t>
            </w:r>
          </w:p>
        </w:tc>
        <w:tc>
          <w:tcPr>
            <w:tcW w:w="2335" w:type="dxa"/>
          </w:tcPr>
          <w:p w:rsidRPr="00282BC3" w:rsidR="00CF12FE" w:rsidP="00CF12FE" w:rsidRDefault="00CF12FE" w14:paraId="43928FF5" w14:textId="613A6025">
            <w:pPr>
              <w:jc w:val="right"/>
            </w:pPr>
            <w:r w:rsidRPr="001634B4">
              <w:t>448</w:t>
            </w:r>
          </w:p>
        </w:tc>
      </w:tr>
      <w:tr w:rsidRPr="002E1515" w:rsidR="00CF12FE" w:rsidTr="00156904" w14:paraId="2CCD92E3" w14:textId="77777777">
        <w:tc>
          <w:tcPr>
            <w:tcW w:w="2643" w:type="dxa"/>
            <w:vMerge/>
          </w:tcPr>
          <w:p w:rsidRPr="002E1515" w:rsidR="00CF12FE" w:rsidP="00CF12FE" w:rsidRDefault="00CF12FE" w14:paraId="48A718FD" w14:textId="77777777"/>
        </w:tc>
        <w:tc>
          <w:tcPr>
            <w:tcW w:w="2109" w:type="dxa"/>
            <w:vAlign w:val="bottom"/>
          </w:tcPr>
          <w:p w:rsidRPr="002E1515" w:rsidR="00CF12FE" w:rsidP="00CF12FE" w:rsidRDefault="00CF12FE" w14:paraId="4D76748E" w14:textId="5AFB32B5">
            <w:pPr>
              <w:jc w:val="right"/>
            </w:pPr>
            <w:r w:rsidRPr="002E1515">
              <w:t>5-9</w:t>
            </w:r>
            <w:r>
              <w:t>.5</w:t>
            </w:r>
          </w:p>
        </w:tc>
        <w:tc>
          <w:tcPr>
            <w:tcW w:w="2358" w:type="dxa"/>
          </w:tcPr>
          <w:p w:rsidRPr="002E1515" w:rsidR="00CF12FE" w:rsidP="00CF12FE" w:rsidRDefault="00CF12FE" w14:paraId="546252D6" w14:textId="1787485B">
            <w:pPr>
              <w:jc w:val="right"/>
            </w:pPr>
            <w:r w:rsidRPr="001634B4">
              <w:t>491</w:t>
            </w:r>
          </w:p>
        </w:tc>
        <w:tc>
          <w:tcPr>
            <w:tcW w:w="2335" w:type="dxa"/>
          </w:tcPr>
          <w:p w:rsidRPr="00282BC3" w:rsidR="00CF12FE" w:rsidP="00CF12FE" w:rsidRDefault="00CF12FE" w14:paraId="5B10C11E" w14:textId="3BEF8787">
            <w:pPr>
              <w:jc w:val="right"/>
            </w:pPr>
            <w:r w:rsidRPr="001634B4">
              <w:t>393</w:t>
            </w:r>
          </w:p>
        </w:tc>
      </w:tr>
      <w:tr w:rsidRPr="002E1515" w:rsidR="00CF12FE" w:rsidTr="00156904" w14:paraId="40E26B95" w14:textId="77777777">
        <w:tc>
          <w:tcPr>
            <w:tcW w:w="2643" w:type="dxa"/>
            <w:vMerge/>
          </w:tcPr>
          <w:p w:rsidRPr="002E1515" w:rsidR="00CF12FE" w:rsidP="00CF12FE" w:rsidRDefault="00CF12FE" w14:paraId="6588D306" w14:textId="77777777"/>
        </w:tc>
        <w:tc>
          <w:tcPr>
            <w:tcW w:w="2109" w:type="dxa"/>
            <w:vAlign w:val="bottom"/>
          </w:tcPr>
          <w:p w:rsidRPr="002E1515" w:rsidR="00CF12FE" w:rsidP="00CF12FE" w:rsidRDefault="00CF12FE" w14:paraId="4D146EBC" w14:textId="71D53499">
            <w:pPr>
              <w:jc w:val="right"/>
            </w:pPr>
            <w:r w:rsidRPr="002E1515">
              <w:t>2-4</w:t>
            </w:r>
            <w:r>
              <w:t>.5</w:t>
            </w:r>
          </w:p>
        </w:tc>
        <w:tc>
          <w:tcPr>
            <w:tcW w:w="2358" w:type="dxa"/>
          </w:tcPr>
          <w:p w:rsidRPr="002E1515" w:rsidR="00CF12FE" w:rsidP="00CF12FE" w:rsidRDefault="00CF12FE" w14:paraId="23E90F2B" w14:textId="6F2F0FEB">
            <w:pPr>
              <w:jc w:val="right"/>
            </w:pPr>
            <w:r w:rsidRPr="001634B4">
              <w:t>338</w:t>
            </w:r>
          </w:p>
        </w:tc>
        <w:tc>
          <w:tcPr>
            <w:tcW w:w="2335" w:type="dxa"/>
          </w:tcPr>
          <w:p w:rsidRPr="00282BC3" w:rsidR="00CF12FE" w:rsidP="00CF12FE" w:rsidRDefault="00CF12FE" w14:paraId="3EF7BB8A" w14:textId="7B82AE51">
            <w:pPr>
              <w:jc w:val="right"/>
            </w:pPr>
            <w:r w:rsidRPr="001634B4">
              <w:t>270</w:t>
            </w:r>
          </w:p>
        </w:tc>
      </w:tr>
      <w:tr w:rsidRPr="002E1515" w:rsidR="00CF12FE" w:rsidTr="00156904" w14:paraId="57E93BBE" w14:textId="77777777">
        <w:tc>
          <w:tcPr>
            <w:tcW w:w="2643" w:type="dxa"/>
            <w:vMerge/>
          </w:tcPr>
          <w:p w:rsidRPr="002E1515" w:rsidR="00CF12FE" w:rsidP="00CF12FE" w:rsidRDefault="00CF12FE" w14:paraId="494613C9" w14:textId="77777777"/>
        </w:tc>
        <w:tc>
          <w:tcPr>
            <w:tcW w:w="2109" w:type="dxa"/>
            <w:vAlign w:val="bottom"/>
          </w:tcPr>
          <w:p w:rsidRPr="002E1515" w:rsidR="00CF12FE" w:rsidP="00CF12FE" w:rsidRDefault="00CF12FE" w14:paraId="2071EC00" w14:textId="1B4FD289">
            <w:pPr>
              <w:jc w:val="right"/>
            </w:pPr>
            <w:r w:rsidRPr="002E1515">
              <w:t>1</w:t>
            </w:r>
            <w:r>
              <w:t>-1.5</w:t>
            </w:r>
          </w:p>
        </w:tc>
        <w:tc>
          <w:tcPr>
            <w:tcW w:w="2358" w:type="dxa"/>
          </w:tcPr>
          <w:p w:rsidRPr="002E1515" w:rsidR="00CF12FE" w:rsidP="00CF12FE" w:rsidRDefault="00CF12FE" w14:paraId="4D7777A4" w14:textId="5F6654AE">
            <w:pPr>
              <w:jc w:val="right"/>
            </w:pPr>
            <w:r w:rsidRPr="001634B4">
              <w:t>105</w:t>
            </w:r>
          </w:p>
        </w:tc>
        <w:tc>
          <w:tcPr>
            <w:tcW w:w="2335" w:type="dxa"/>
          </w:tcPr>
          <w:p w:rsidRPr="00282BC3" w:rsidR="00CF12FE" w:rsidP="00CF12FE" w:rsidRDefault="00CF12FE" w14:paraId="7B35BEE4" w14:textId="73CB8FC5">
            <w:pPr>
              <w:jc w:val="right"/>
            </w:pPr>
            <w:r w:rsidRPr="001634B4">
              <w:t>84</w:t>
            </w:r>
          </w:p>
        </w:tc>
      </w:tr>
      <w:tr w:rsidRPr="002E1515" w:rsidR="00CF12FE" w:rsidTr="00156904" w14:paraId="5A1147C5" w14:textId="77777777">
        <w:tc>
          <w:tcPr>
            <w:tcW w:w="2643" w:type="dxa"/>
            <w:vMerge w:val="restart"/>
          </w:tcPr>
          <w:p w:rsidRPr="002E1515" w:rsidR="00CF12FE" w:rsidP="00CF12FE" w:rsidRDefault="00CF12FE" w14:paraId="29A5DF3C" w14:textId="77777777">
            <w:r w:rsidRPr="002E1515">
              <w:t>Sheriff</w:t>
            </w:r>
            <w:r>
              <w:t>’s</w:t>
            </w:r>
            <w:r w:rsidRPr="002E1515">
              <w:t xml:space="preserve"> Office</w:t>
            </w:r>
          </w:p>
        </w:tc>
        <w:tc>
          <w:tcPr>
            <w:tcW w:w="2109" w:type="dxa"/>
            <w:vAlign w:val="bottom"/>
          </w:tcPr>
          <w:p w:rsidRPr="002E1515" w:rsidR="00CF12FE" w:rsidP="00CF12FE" w:rsidRDefault="00CF12FE" w14:paraId="5B71DA43" w14:textId="604C9C79">
            <w:pPr>
              <w:jc w:val="right"/>
            </w:pPr>
            <w:r w:rsidRPr="002E1515">
              <w:t>100+</w:t>
            </w:r>
          </w:p>
        </w:tc>
        <w:tc>
          <w:tcPr>
            <w:tcW w:w="2358" w:type="dxa"/>
          </w:tcPr>
          <w:p w:rsidRPr="002E1515" w:rsidR="00CF12FE" w:rsidP="00CF12FE" w:rsidRDefault="00CF12FE" w14:paraId="39CF1189" w14:textId="63575C5E">
            <w:pPr>
              <w:jc w:val="right"/>
            </w:pPr>
            <w:r w:rsidRPr="001634B4">
              <w:t>409</w:t>
            </w:r>
          </w:p>
        </w:tc>
        <w:tc>
          <w:tcPr>
            <w:tcW w:w="2335" w:type="dxa"/>
          </w:tcPr>
          <w:p w:rsidRPr="00282BC3" w:rsidR="00CF12FE" w:rsidP="00CF12FE" w:rsidRDefault="00CF12FE" w14:paraId="57E07C66" w14:textId="297F8041">
            <w:pPr>
              <w:jc w:val="right"/>
            </w:pPr>
            <w:r w:rsidRPr="001634B4">
              <w:t>327</w:t>
            </w:r>
          </w:p>
        </w:tc>
      </w:tr>
      <w:tr w:rsidRPr="002E1515" w:rsidR="00CF12FE" w:rsidTr="00156904" w14:paraId="46F94FF2" w14:textId="77777777">
        <w:tc>
          <w:tcPr>
            <w:tcW w:w="2643" w:type="dxa"/>
            <w:vMerge/>
          </w:tcPr>
          <w:p w:rsidRPr="002E1515" w:rsidR="00CF12FE" w:rsidP="00CF12FE" w:rsidRDefault="00CF12FE" w14:paraId="63FB2DED" w14:textId="77777777"/>
        </w:tc>
        <w:tc>
          <w:tcPr>
            <w:tcW w:w="2109" w:type="dxa"/>
            <w:vAlign w:val="bottom"/>
          </w:tcPr>
          <w:p w:rsidRPr="002E1515" w:rsidR="00CF12FE" w:rsidP="00CF12FE" w:rsidRDefault="00CF12FE" w14:paraId="361DC360" w14:textId="761BAB77">
            <w:pPr>
              <w:jc w:val="right"/>
            </w:pPr>
            <w:r w:rsidRPr="002E1515">
              <w:t>50-99</w:t>
            </w:r>
            <w:r>
              <w:t>.5</w:t>
            </w:r>
          </w:p>
        </w:tc>
        <w:tc>
          <w:tcPr>
            <w:tcW w:w="2358" w:type="dxa"/>
          </w:tcPr>
          <w:p w:rsidRPr="002E1515" w:rsidR="00CF12FE" w:rsidP="00CF12FE" w:rsidRDefault="00CF12FE" w14:paraId="2EDD1165" w14:textId="1B680BFE">
            <w:pPr>
              <w:jc w:val="right"/>
            </w:pPr>
            <w:r w:rsidRPr="001634B4">
              <w:t>67</w:t>
            </w:r>
          </w:p>
        </w:tc>
        <w:tc>
          <w:tcPr>
            <w:tcW w:w="2335" w:type="dxa"/>
          </w:tcPr>
          <w:p w:rsidRPr="00282BC3" w:rsidR="00CF12FE" w:rsidP="00CF12FE" w:rsidRDefault="00CF12FE" w14:paraId="71F10929" w14:textId="01A0C29A">
            <w:pPr>
              <w:jc w:val="right"/>
            </w:pPr>
            <w:r w:rsidRPr="001634B4">
              <w:t>50</w:t>
            </w:r>
          </w:p>
        </w:tc>
      </w:tr>
      <w:tr w:rsidRPr="002E1515" w:rsidR="00CF12FE" w:rsidTr="00156904" w14:paraId="0C04198C" w14:textId="77777777">
        <w:tc>
          <w:tcPr>
            <w:tcW w:w="2643" w:type="dxa"/>
            <w:vMerge/>
          </w:tcPr>
          <w:p w:rsidRPr="002E1515" w:rsidR="00CF12FE" w:rsidP="00CF12FE" w:rsidRDefault="00CF12FE" w14:paraId="657CE009" w14:textId="77777777"/>
        </w:tc>
        <w:tc>
          <w:tcPr>
            <w:tcW w:w="2109" w:type="dxa"/>
            <w:vAlign w:val="bottom"/>
          </w:tcPr>
          <w:p w:rsidRPr="002E1515" w:rsidR="00CF12FE" w:rsidP="00CF12FE" w:rsidRDefault="00CF12FE" w14:paraId="02ABB368" w14:textId="1E8DE872">
            <w:pPr>
              <w:jc w:val="right"/>
            </w:pPr>
            <w:r w:rsidRPr="002E1515">
              <w:t>25-49</w:t>
            </w:r>
            <w:r>
              <w:t>.5</w:t>
            </w:r>
          </w:p>
        </w:tc>
        <w:tc>
          <w:tcPr>
            <w:tcW w:w="2358" w:type="dxa"/>
          </w:tcPr>
          <w:p w:rsidRPr="002E1515" w:rsidR="00CF12FE" w:rsidP="00CF12FE" w:rsidRDefault="00CF12FE" w14:paraId="100E531C" w14:textId="0F5651AF">
            <w:pPr>
              <w:jc w:val="right"/>
            </w:pPr>
            <w:r w:rsidRPr="001634B4">
              <w:t>110</w:t>
            </w:r>
          </w:p>
        </w:tc>
        <w:tc>
          <w:tcPr>
            <w:tcW w:w="2335" w:type="dxa"/>
          </w:tcPr>
          <w:p w:rsidRPr="00282BC3" w:rsidR="00CF12FE" w:rsidP="00CF12FE" w:rsidRDefault="00CF12FE" w14:paraId="109700BD" w14:textId="7D8861D7">
            <w:pPr>
              <w:jc w:val="right"/>
            </w:pPr>
            <w:r w:rsidRPr="001634B4">
              <w:t>82</w:t>
            </w:r>
          </w:p>
        </w:tc>
      </w:tr>
      <w:tr w:rsidRPr="002E1515" w:rsidR="00CF12FE" w:rsidTr="00156904" w14:paraId="3FD7082D" w14:textId="77777777">
        <w:tc>
          <w:tcPr>
            <w:tcW w:w="2643" w:type="dxa"/>
            <w:vMerge/>
          </w:tcPr>
          <w:p w:rsidRPr="002E1515" w:rsidR="00CF12FE" w:rsidP="00CF12FE" w:rsidRDefault="00CF12FE" w14:paraId="1454BCE5" w14:textId="77777777"/>
        </w:tc>
        <w:tc>
          <w:tcPr>
            <w:tcW w:w="2109" w:type="dxa"/>
            <w:vAlign w:val="bottom"/>
          </w:tcPr>
          <w:p w:rsidRPr="002E1515" w:rsidR="00CF12FE" w:rsidP="00CF12FE" w:rsidRDefault="00CF12FE" w14:paraId="11DF570A" w14:textId="451B2CC3">
            <w:pPr>
              <w:jc w:val="right"/>
            </w:pPr>
            <w:r w:rsidRPr="002E1515">
              <w:t>10-24</w:t>
            </w:r>
            <w:r>
              <w:t>.5</w:t>
            </w:r>
          </w:p>
        </w:tc>
        <w:tc>
          <w:tcPr>
            <w:tcW w:w="2358" w:type="dxa"/>
          </w:tcPr>
          <w:p w:rsidRPr="002E1515" w:rsidR="00CF12FE" w:rsidP="00CF12FE" w:rsidRDefault="00CF12FE" w14:paraId="401AD6CD" w14:textId="741E7471">
            <w:pPr>
              <w:jc w:val="right"/>
            </w:pPr>
            <w:r w:rsidRPr="001634B4">
              <w:t>162</w:t>
            </w:r>
          </w:p>
        </w:tc>
        <w:tc>
          <w:tcPr>
            <w:tcW w:w="2335" w:type="dxa"/>
          </w:tcPr>
          <w:p w:rsidRPr="00282BC3" w:rsidR="00CF12FE" w:rsidP="00CF12FE" w:rsidRDefault="00CF12FE" w14:paraId="60AF4AD7" w14:textId="4F661AE5">
            <w:pPr>
              <w:jc w:val="right"/>
            </w:pPr>
            <w:r w:rsidRPr="001634B4">
              <w:t>122</w:t>
            </w:r>
          </w:p>
        </w:tc>
      </w:tr>
      <w:tr w:rsidRPr="002E1515" w:rsidR="00CF12FE" w:rsidTr="00156904" w14:paraId="6ED814C8" w14:textId="77777777">
        <w:tc>
          <w:tcPr>
            <w:tcW w:w="2643" w:type="dxa"/>
            <w:vMerge/>
          </w:tcPr>
          <w:p w:rsidRPr="002E1515" w:rsidR="00CF12FE" w:rsidP="00CF12FE" w:rsidRDefault="00CF12FE" w14:paraId="376179AB" w14:textId="77777777"/>
        </w:tc>
        <w:tc>
          <w:tcPr>
            <w:tcW w:w="2109" w:type="dxa"/>
            <w:vAlign w:val="bottom"/>
          </w:tcPr>
          <w:p w:rsidRPr="002E1515" w:rsidR="00CF12FE" w:rsidP="00CF12FE" w:rsidRDefault="00CF12FE" w14:paraId="31856E5D" w14:textId="3E911C64">
            <w:pPr>
              <w:jc w:val="right"/>
            </w:pPr>
            <w:r w:rsidRPr="002E1515">
              <w:t>5-9</w:t>
            </w:r>
            <w:r>
              <w:t>.5</w:t>
            </w:r>
          </w:p>
        </w:tc>
        <w:tc>
          <w:tcPr>
            <w:tcW w:w="2358" w:type="dxa"/>
          </w:tcPr>
          <w:p w:rsidRPr="002E1515" w:rsidR="00CF12FE" w:rsidP="00CF12FE" w:rsidRDefault="00CF12FE" w14:paraId="66E7A612" w14:textId="1B22A92C">
            <w:pPr>
              <w:jc w:val="right"/>
            </w:pPr>
            <w:r w:rsidRPr="001634B4">
              <w:t>81</w:t>
            </w:r>
          </w:p>
        </w:tc>
        <w:tc>
          <w:tcPr>
            <w:tcW w:w="2335" w:type="dxa"/>
          </w:tcPr>
          <w:p w:rsidRPr="00282BC3" w:rsidR="00CF12FE" w:rsidP="00CF12FE" w:rsidRDefault="00CF12FE" w14:paraId="5FDAFAE5" w14:textId="1BC0B8A1">
            <w:pPr>
              <w:jc w:val="right"/>
            </w:pPr>
            <w:r w:rsidRPr="001634B4">
              <w:t>61</w:t>
            </w:r>
          </w:p>
        </w:tc>
      </w:tr>
      <w:tr w:rsidRPr="002E1515" w:rsidR="00CF12FE" w:rsidTr="00156904" w14:paraId="34C6A8D9" w14:textId="77777777">
        <w:tc>
          <w:tcPr>
            <w:tcW w:w="2643" w:type="dxa"/>
            <w:vMerge/>
          </w:tcPr>
          <w:p w:rsidRPr="002E1515" w:rsidR="00CF12FE" w:rsidP="00CF12FE" w:rsidRDefault="00CF12FE" w14:paraId="72A22494" w14:textId="77777777"/>
        </w:tc>
        <w:tc>
          <w:tcPr>
            <w:tcW w:w="2109" w:type="dxa"/>
            <w:vAlign w:val="bottom"/>
          </w:tcPr>
          <w:p w:rsidRPr="002E1515" w:rsidR="00CF12FE" w:rsidP="00CF12FE" w:rsidRDefault="00CF12FE" w14:paraId="51623F92" w14:textId="5FFB0337">
            <w:pPr>
              <w:jc w:val="right"/>
            </w:pPr>
            <w:r w:rsidRPr="002E1515">
              <w:t>2-4</w:t>
            </w:r>
            <w:r>
              <w:t>.5</w:t>
            </w:r>
          </w:p>
        </w:tc>
        <w:tc>
          <w:tcPr>
            <w:tcW w:w="2358" w:type="dxa"/>
          </w:tcPr>
          <w:p w:rsidRPr="002E1515" w:rsidR="00CF12FE" w:rsidP="00CF12FE" w:rsidRDefault="00CF12FE" w14:paraId="412D9CFB" w14:textId="4B77C271">
            <w:pPr>
              <w:jc w:val="right"/>
            </w:pPr>
            <w:r w:rsidRPr="001634B4">
              <w:t>28</w:t>
            </w:r>
          </w:p>
        </w:tc>
        <w:tc>
          <w:tcPr>
            <w:tcW w:w="2335" w:type="dxa"/>
          </w:tcPr>
          <w:p w:rsidRPr="00282BC3" w:rsidR="00CF12FE" w:rsidP="00CF12FE" w:rsidRDefault="00CF12FE" w14:paraId="0DEC13F7" w14:textId="4C6B4D9B">
            <w:pPr>
              <w:jc w:val="right"/>
            </w:pPr>
            <w:r w:rsidRPr="001634B4">
              <w:t>21</w:t>
            </w:r>
          </w:p>
        </w:tc>
      </w:tr>
      <w:tr w:rsidRPr="002E1515" w:rsidR="00CF12FE" w:rsidTr="00156904" w14:paraId="3B2A74C9" w14:textId="77777777">
        <w:tc>
          <w:tcPr>
            <w:tcW w:w="2643" w:type="dxa"/>
            <w:vMerge/>
          </w:tcPr>
          <w:p w:rsidRPr="002E1515" w:rsidR="00CF12FE" w:rsidP="00CF12FE" w:rsidRDefault="00CF12FE" w14:paraId="44485690" w14:textId="77777777"/>
        </w:tc>
        <w:tc>
          <w:tcPr>
            <w:tcW w:w="2109" w:type="dxa"/>
            <w:vAlign w:val="bottom"/>
          </w:tcPr>
          <w:p w:rsidRPr="002E1515" w:rsidR="00CF12FE" w:rsidP="00CF12FE" w:rsidRDefault="00CF12FE" w14:paraId="262DA1F7" w14:textId="3BB73B7C">
            <w:pPr>
              <w:jc w:val="right"/>
            </w:pPr>
            <w:r w:rsidRPr="002E1515">
              <w:t>1</w:t>
            </w:r>
            <w:r>
              <w:t>-1.5</w:t>
            </w:r>
          </w:p>
        </w:tc>
        <w:tc>
          <w:tcPr>
            <w:tcW w:w="2358" w:type="dxa"/>
          </w:tcPr>
          <w:p w:rsidRPr="002E1515" w:rsidR="00CF12FE" w:rsidP="00CF12FE" w:rsidRDefault="00CF12FE" w14:paraId="3FAB376E" w14:textId="4B8D0402">
            <w:pPr>
              <w:jc w:val="right"/>
            </w:pPr>
            <w:r w:rsidRPr="001634B4">
              <w:t>3</w:t>
            </w:r>
          </w:p>
        </w:tc>
        <w:tc>
          <w:tcPr>
            <w:tcW w:w="2335" w:type="dxa"/>
          </w:tcPr>
          <w:p w:rsidRPr="00282BC3" w:rsidR="00CF12FE" w:rsidP="00CF12FE" w:rsidRDefault="00CF12FE" w14:paraId="267A415E" w14:textId="7BDF8C40">
            <w:pPr>
              <w:jc w:val="right"/>
            </w:pPr>
            <w:r w:rsidRPr="001634B4">
              <w:t>2</w:t>
            </w:r>
          </w:p>
        </w:tc>
      </w:tr>
      <w:tr w:rsidRPr="002E1515" w:rsidR="00CF12FE" w:rsidTr="00830786" w14:paraId="1B39DC73" w14:textId="77777777">
        <w:tc>
          <w:tcPr>
            <w:tcW w:w="2643" w:type="dxa"/>
          </w:tcPr>
          <w:p w:rsidRPr="002E1515" w:rsidR="00CF12FE" w:rsidP="00CF12FE" w:rsidRDefault="00CF12FE" w14:paraId="66CF215A" w14:textId="77777777">
            <w:r w:rsidRPr="002E1515">
              <w:t>State</w:t>
            </w:r>
            <w:r>
              <w:t xml:space="preserve"> Police</w:t>
            </w:r>
          </w:p>
        </w:tc>
        <w:tc>
          <w:tcPr>
            <w:tcW w:w="2109" w:type="dxa"/>
          </w:tcPr>
          <w:p w:rsidRPr="002E1515" w:rsidR="00CF12FE" w:rsidP="00CF12FE" w:rsidRDefault="00CF12FE" w14:paraId="333F6DD6" w14:textId="7F71CA1A">
            <w:pPr>
              <w:jc w:val="right"/>
            </w:pPr>
            <w:r w:rsidRPr="00156904">
              <w:t>All</w:t>
            </w:r>
          </w:p>
        </w:tc>
        <w:tc>
          <w:tcPr>
            <w:tcW w:w="2358" w:type="dxa"/>
          </w:tcPr>
          <w:p w:rsidRPr="002E1515" w:rsidR="00CF12FE" w:rsidP="00CF12FE" w:rsidRDefault="00CF12FE" w14:paraId="2365730D" w14:textId="4A14770C">
            <w:pPr>
              <w:jc w:val="right"/>
            </w:pPr>
            <w:r w:rsidRPr="001634B4">
              <w:t>49</w:t>
            </w:r>
          </w:p>
        </w:tc>
        <w:tc>
          <w:tcPr>
            <w:tcW w:w="2335" w:type="dxa"/>
          </w:tcPr>
          <w:p w:rsidRPr="00282BC3" w:rsidR="00CF12FE" w:rsidP="00CF12FE" w:rsidRDefault="00CF12FE" w14:paraId="05FB7811" w14:textId="0E27F4AF">
            <w:pPr>
              <w:jc w:val="right"/>
            </w:pPr>
            <w:r w:rsidRPr="001634B4">
              <w:t>44</w:t>
            </w:r>
          </w:p>
        </w:tc>
      </w:tr>
      <w:tr w:rsidRPr="004D5CEA" w:rsidR="00CF12FE" w:rsidTr="00CF45EA" w14:paraId="2059F8B3" w14:textId="77777777">
        <w:tc>
          <w:tcPr>
            <w:tcW w:w="4752" w:type="dxa"/>
            <w:gridSpan w:val="2"/>
          </w:tcPr>
          <w:p w:rsidRPr="00D534B2" w:rsidR="00CF12FE" w:rsidP="00CF12FE" w:rsidRDefault="00CF12FE" w14:paraId="24A8A300" w14:textId="08E1B7E1">
            <w:r w:rsidRPr="00830786">
              <w:rPr>
                <w:b/>
                <w:bCs/>
              </w:rPr>
              <w:t>Total</w:t>
            </w:r>
          </w:p>
        </w:tc>
        <w:tc>
          <w:tcPr>
            <w:tcW w:w="2358" w:type="dxa"/>
          </w:tcPr>
          <w:p w:rsidRPr="00830786" w:rsidR="00CF12FE" w:rsidP="00CF12FE" w:rsidRDefault="00CF12FE" w14:paraId="7481F6D6" w14:textId="2DE29193">
            <w:pPr>
              <w:jc w:val="right"/>
              <w:rPr>
                <w:b/>
                <w:bCs/>
              </w:rPr>
            </w:pPr>
            <w:r w:rsidRPr="00830786">
              <w:rPr>
                <w:b/>
                <w:bCs/>
              </w:rPr>
              <w:t>3500</w:t>
            </w:r>
          </w:p>
        </w:tc>
        <w:tc>
          <w:tcPr>
            <w:tcW w:w="2335" w:type="dxa"/>
          </w:tcPr>
          <w:p w:rsidRPr="00830786" w:rsidR="00CF12FE" w:rsidP="00CF12FE" w:rsidRDefault="00CF12FE" w14:paraId="38E766A7" w14:textId="67F7907D">
            <w:pPr>
              <w:jc w:val="right"/>
              <w:rPr>
                <w:b/>
                <w:bCs/>
              </w:rPr>
            </w:pPr>
            <w:r w:rsidRPr="00830786">
              <w:rPr>
                <w:b/>
                <w:bCs/>
              </w:rPr>
              <w:t>2848</w:t>
            </w:r>
          </w:p>
        </w:tc>
      </w:tr>
    </w:tbl>
    <w:p w:rsidRPr="00C06CDB" w:rsidR="00EC6C2C" w:rsidP="00EC6C2C" w:rsidRDefault="00EC6C2C" w14:paraId="36A6B150" w14:textId="72511BDD">
      <w:pPr>
        <w:pStyle w:val="SP-SglSpPara"/>
        <w:tabs>
          <w:tab w:val="clear" w:pos="576"/>
          <w:tab w:val="left" w:pos="-540"/>
        </w:tabs>
        <w:ind w:left="-540" w:right="-720" w:firstLine="540"/>
        <w:jc w:val="left"/>
        <w:rPr>
          <w:sz w:val="20"/>
        </w:rPr>
      </w:pPr>
      <w:r w:rsidRPr="00C06CDB">
        <w:rPr>
          <w:vertAlign w:val="superscript"/>
        </w:rPr>
        <w:t>a</w:t>
      </w:r>
      <w:r>
        <w:rPr>
          <w:vertAlign w:val="superscript"/>
        </w:rPr>
        <w:t xml:space="preserve"> </w:t>
      </w:r>
      <w:r w:rsidRPr="00C06CDB">
        <w:rPr>
          <w:sz w:val="20"/>
        </w:rPr>
        <w:t xml:space="preserve">Number of </w:t>
      </w:r>
      <w:r w:rsidR="00990A93">
        <w:rPr>
          <w:sz w:val="20"/>
        </w:rPr>
        <w:t xml:space="preserve">full-time equivalent officers. </w:t>
      </w:r>
    </w:p>
    <w:p w:rsidR="00DD5DDC" w:rsidP="00F84901" w:rsidRDefault="00DD5DDC" w14:paraId="574F0A0B" w14:textId="77777777">
      <w:pPr>
        <w:pStyle w:val="SP-SglSpPara"/>
        <w:ind w:firstLine="0"/>
        <w:jc w:val="left"/>
        <w:rPr>
          <w:sz w:val="24"/>
          <w:szCs w:val="24"/>
          <w:u w:val="single"/>
        </w:rPr>
      </w:pPr>
    </w:p>
    <w:p w:rsidRPr="00D534B2" w:rsidR="00F84901" w:rsidP="00F84901" w:rsidRDefault="00F84901" w14:paraId="27F50FB8" w14:textId="77777777">
      <w:pPr>
        <w:pStyle w:val="SP-SglSpPara"/>
        <w:ind w:firstLine="0"/>
        <w:jc w:val="left"/>
        <w:rPr>
          <w:sz w:val="24"/>
          <w:szCs w:val="24"/>
          <w:u w:val="single"/>
        </w:rPr>
      </w:pPr>
      <w:r w:rsidRPr="00D534B2">
        <w:rPr>
          <w:sz w:val="24"/>
          <w:szCs w:val="24"/>
          <w:u w:val="single"/>
        </w:rPr>
        <w:t>Sampling Error</w:t>
      </w:r>
    </w:p>
    <w:p w:rsidR="00F84901" w:rsidP="00F84901" w:rsidRDefault="00140980" w14:paraId="7F68BF03" w14:textId="2CA6DB48">
      <w:pPr>
        <w:pStyle w:val="SP-SglSpPara"/>
        <w:ind w:firstLine="0"/>
        <w:rPr>
          <w:sz w:val="24"/>
          <w:szCs w:val="24"/>
        </w:rPr>
      </w:pPr>
      <w:r>
        <w:rPr>
          <w:sz w:val="24"/>
          <w:szCs w:val="24"/>
        </w:rPr>
        <w:t>Although t</w:t>
      </w:r>
      <w:r w:rsidR="00F84901">
        <w:rPr>
          <w:sz w:val="24"/>
          <w:szCs w:val="24"/>
        </w:rPr>
        <w:t xml:space="preserve">he allocation of sample size </w:t>
      </w:r>
      <w:r>
        <w:rPr>
          <w:sz w:val="24"/>
          <w:szCs w:val="24"/>
        </w:rPr>
        <w:t xml:space="preserve">will be </w:t>
      </w:r>
      <w:r w:rsidR="00F84901">
        <w:rPr>
          <w:sz w:val="24"/>
          <w:szCs w:val="24"/>
        </w:rPr>
        <w:t xml:space="preserve">made with consideration for the </w:t>
      </w:r>
      <w:r>
        <w:rPr>
          <w:sz w:val="24"/>
          <w:szCs w:val="24"/>
        </w:rPr>
        <w:t xml:space="preserve">overall national </w:t>
      </w:r>
      <w:r w:rsidR="00F84901">
        <w:rPr>
          <w:sz w:val="24"/>
          <w:szCs w:val="24"/>
        </w:rPr>
        <w:t>estimates</w:t>
      </w:r>
      <w:r>
        <w:rPr>
          <w:sz w:val="24"/>
          <w:szCs w:val="24"/>
        </w:rPr>
        <w:t xml:space="preserve">, it </w:t>
      </w:r>
      <w:r w:rsidR="00F84901">
        <w:rPr>
          <w:sz w:val="24"/>
          <w:szCs w:val="24"/>
        </w:rPr>
        <w:t xml:space="preserve">is not the only domain of interest. </w:t>
      </w:r>
      <w:r>
        <w:rPr>
          <w:sz w:val="24"/>
          <w:szCs w:val="24"/>
        </w:rPr>
        <w:t xml:space="preserve">Other </w:t>
      </w:r>
      <w:r w:rsidRPr="00456A59" w:rsidR="00F84901">
        <w:rPr>
          <w:sz w:val="24"/>
          <w:szCs w:val="24"/>
        </w:rPr>
        <w:t xml:space="preserve">domains of interest </w:t>
      </w:r>
      <w:r>
        <w:rPr>
          <w:sz w:val="24"/>
          <w:szCs w:val="24"/>
        </w:rPr>
        <w:t>include</w:t>
      </w:r>
      <w:r w:rsidR="00990A93">
        <w:rPr>
          <w:sz w:val="24"/>
          <w:szCs w:val="24"/>
        </w:rPr>
        <w:t>:</w:t>
      </w:r>
    </w:p>
    <w:p w:rsidRPr="00456A59" w:rsidR="00140980" w:rsidP="00F84901" w:rsidRDefault="00140980" w14:paraId="7074C6A1" w14:textId="77777777">
      <w:pPr>
        <w:pStyle w:val="SP-SglSpPara"/>
        <w:ind w:firstLine="0"/>
        <w:rPr>
          <w:sz w:val="24"/>
          <w:szCs w:val="24"/>
        </w:rPr>
      </w:pPr>
    </w:p>
    <w:p w:rsidRPr="00456A59" w:rsidR="00F84901" w:rsidP="00F84901" w:rsidRDefault="00F84901" w14:paraId="4AF50819" w14:textId="77777777">
      <w:pPr>
        <w:pStyle w:val="SP-SglSpPara"/>
        <w:rPr>
          <w:sz w:val="24"/>
          <w:szCs w:val="24"/>
        </w:rPr>
      </w:pPr>
      <w:r w:rsidRPr="00456A59">
        <w:rPr>
          <w:sz w:val="24"/>
          <w:szCs w:val="24"/>
        </w:rPr>
        <w:t>•</w:t>
      </w:r>
      <w:r w:rsidRPr="00456A59">
        <w:rPr>
          <w:sz w:val="24"/>
          <w:szCs w:val="24"/>
        </w:rPr>
        <w:tab/>
        <w:t>Local police departments – all sizes</w:t>
      </w:r>
    </w:p>
    <w:p w:rsidRPr="00456A59" w:rsidR="00F84901" w:rsidP="00F84901" w:rsidRDefault="00F84901" w14:paraId="3544796E" w14:textId="77777777">
      <w:pPr>
        <w:pStyle w:val="SP-SglSpPara"/>
        <w:rPr>
          <w:sz w:val="24"/>
          <w:szCs w:val="24"/>
        </w:rPr>
      </w:pPr>
      <w:r w:rsidRPr="00456A59">
        <w:rPr>
          <w:sz w:val="24"/>
          <w:szCs w:val="24"/>
        </w:rPr>
        <w:t>•</w:t>
      </w:r>
      <w:r w:rsidRPr="00456A59">
        <w:rPr>
          <w:sz w:val="24"/>
          <w:szCs w:val="24"/>
        </w:rPr>
        <w:tab/>
        <w:t>Sheriff</w:t>
      </w:r>
      <w:r w:rsidR="00140980">
        <w:rPr>
          <w:sz w:val="24"/>
          <w:szCs w:val="24"/>
        </w:rPr>
        <w:t>’s</w:t>
      </w:r>
      <w:r w:rsidRPr="00456A59">
        <w:rPr>
          <w:sz w:val="24"/>
          <w:szCs w:val="24"/>
        </w:rPr>
        <w:t xml:space="preserve"> offices – all sizes</w:t>
      </w:r>
    </w:p>
    <w:p w:rsidRPr="00456A59" w:rsidR="00F84901" w:rsidP="00F84901" w:rsidRDefault="00F84901" w14:paraId="1EF33C57" w14:textId="77777777">
      <w:pPr>
        <w:pStyle w:val="SP-SglSpPara"/>
        <w:rPr>
          <w:sz w:val="24"/>
          <w:szCs w:val="24"/>
        </w:rPr>
      </w:pPr>
      <w:r w:rsidRPr="00456A59">
        <w:rPr>
          <w:sz w:val="24"/>
          <w:szCs w:val="24"/>
        </w:rPr>
        <w:t>•</w:t>
      </w:r>
      <w:r w:rsidRPr="00456A59">
        <w:rPr>
          <w:sz w:val="24"/>
          <w:szCs w:val="24"/>
        </w:rPr>
        <w:tab/>
        <w:t>State</w:t>
      </w:r>
      <w:r w:rsidR="00140980">
        <w:rPr>
          <w:sz w:val="24"/>
          <w:szCs w:val="24"/>
        </w:rPr>
        <w:t xml:space="preserve"> police departments </w:t>
      </w:r>
      <w:r w:rsidRPr="00456A59">
        <w:rPr>
          <w:sz w:val="24"/>
          <w:szCs w:val="24"/>
        </w:rPr>
        <w:t>– all sizes</w:t>
      </w:r>
    </w:p>
    <w:p w:rsidRPr="00456A59" w:rsidR="00F84901" w:rsidP="00F84901" w:rsidRDefault="00F84901" w14:paraId="745EA51A" w14:textId="77777777">
      <w:pPr>
        <w:pStyle w:val="SP-SglSpPara"/>
        <w:rPr>
          <w:sz w:val="24"/>
          <w:szCs w:val="24"/>
        </w:rPr>
      </w:pPr>
      <w:r w:rsidRPr="00456A59">
        <w:rPr>
          <w:sz w:val="24"/>
          <w:szCs w:val="24"/>
        </w:rPr>
        <w:t>•</w:t>
      </w:r>
      <w:r w:rsidRPr="00456A59">
        <w:rPr>
          <w:sz w:val="24"/>
          <w:szCs w:val="24"/>
        </w:rPr>
        <w:tab/>
        <w:t xml:space="preserve">Local police </w:t>
      </w:r>
      <w:r w:rsidR="00140980">
        <w:rPr>
          <w:sz w:val="24"/>
          <w:szCs w:val="24"/>
        </w:rPr>
        <w:t xml:space="preserve">departments </w:t>
      </w:r>
      <w:r w:rsidRPr="00456A59">
        <w:rPr>
          <w:sz w:val="24"/>
          <w:szCs w:val="24"/>
        </w:rPr>
        <w:t>– non-self-representing</w:t>
      </w:r>
    </w:p>
    <w:p w:rsidR="00F84901" w:rsidP="00F84901" w:rsidRDefault="00F84901" w14:paraId="6DF0CBEE" w14:textId="77777777">
      <w:pPr>
        <w:pStyle w:val="SP-SglSpPara"/>
        <w:ind w:firstLine="0"/>
        <w:jc w:val="left"/>
        <w:rPr>
          <w:sz w:val="24"/>
          <w:szCs w:val="24"/>
        </w:rPr>
      </w:pPr>
      <w:r>
        <w:rPr>
          <w:sz w:val="24"/>
          <w:szCs w:val="24"/>
        </w:rPr>
        <w:tab/>
      </w:r>
      <w:r w:rsidRPr="00456A59">
        <w:rPr>
          <w:sz w:val="24"/>
          <w:szCs w:val="24"/>
        </w:rPr>
        <w:t>•</w:t>
      </w:r>
      <w:r w:rsidRPr="00456A59">
        <w:rPr>
          <w:sz w:val="24"/>
          <w:szCs w:val="24"/>
        </w:rPr>
        <w:tab/>
        <w:t>Sheriff</w:t>
      </w:r>
      <w:r w:rsidR="00140980">
        <w:rPr>
          <w:sz w:val="24"/>
          <w:szCs w:val="24"/>
        </w:rPr>
        <w:t>’s</w:t>
      </w:r>
      <w:r w:rsidRPr="00456A59">
        <w:rPr>
          <w:sz w:val="24"/>
          <w:szCs w:val="24"/>
        </w:rPr>
        <w:t xml:space="preserve"> offices – non-self-representing</w:t>
      </w:r>
      <w:r>
        <w:rPr>
          <w:sz w:val="24"/>
          <w:szCs w:val="24"/>
        </w:rPr>
        <w:t xml:space="preserve"> </w:t>
      </w:r>
    </w:p>
    <w:p w:rsidR="00F84901" w:rsidP="00F84901" w:rsidRDefault="00F84901" w14:paraId="49CC6278" w14:textId="77777777">
      <w:pPr>
        <w:pStyle w:val="SP-SglSpPara"/>
        <w:ind w:firstLine="0"/>
        <w:jc w:val="left"/>
        <w:rPr>
          <w:sz w:val="24"/>
          <w:szCs w:val="24"/>
        </w:rPr>
      </w:pPr>
    </w:p>
    <w:p w:rsidRPr="00D47113" w:rsidR="00F84901" w:rsidP="002D7FAA" w:rsidRDefault="00F84901" w14:paraId="40EA7CEC" w14:textId="6B4280FD">
      <w:pPr>
        <w:pStyle w:val="SP-SglSpPara"/>
        <w:spacing w:line="240" w:lineRule="auto"/>
        <w:ind w:firstLine="0"/>
        <w:jc w:val="left"/>
        <w:rPr>
          <w:sz w:val="24"/>
          <w:szCs w:val="24"/>
        </w:rPr>
      </w:pPr>
      <w:r>
        <w:rPr>
          <w:sz w:val="24"/>
          <w:szCs w:val="24"/>
        </w:rPr>
        <w:t xml:space="preserve">The </w:t>
      </w:r>
      <w:r w:rsidR="00975C81">
        <w:rPr>
          <w:sz w:val="24"/>
          <w:szCs w:val="24"/>
        </w:rPr>
        <w:t>estimate</w:t>
      </w:r>
      <w:r w:rsidR="00975AEF">
        <w:rPr>
          <w:sz w:val="24"/>
          <w:szCs w:val="24"/>
        </w:rPr>
        <w:t>d</w:t>
      </w:r>
      <w:r w:rsidR="00975C81">
        <w:rPr>
          <w:sz w:val="24"/>
          <w:szCs w:val="24"/>
        </w:rPr>
        <w:t xml:space="preserve"> </w:t>
      </w:r>
      <w:r>
        <w:rPr>
          <w:sz w:val="24"/>
          <w:szCs w:val="24"/>
        </w:rPr>
        <w:t>RSEs for each domain are presented in</w:t>
      </w:r>
      <w:r w:rsidR="00E00C63">
        <w:rPr>
          <w:sz w:val="24"/>
          <w:szCs w:val="24"/>
        </w:rPr>
        <w:t xml:space="preserve"> </w:t>
      </w:r>
      <w:r w:rsidRPr="00156904" w:rsidR="00E00C63">
        <w:rPr>
          <w:b/>
          <w:sz w:val="24"/>
          <w:szCs w:val="24"/>
        </w:rPr>
        <w:t>Table 10</w:t>
      </w:r>
      <w:r>
        <w:rPr>
          <w:sz w:val="24"/>
          <w:szCs w:val="24"/>
        </w:rPr>
        <w:t xml:space="preserve">. The domain with the highest RSEs is the state agencies domain. </w:t>
      </w:r>
      <w:r w:rsidR="00140980">
        <w:rPr>
          <w:sz w:val="24"/>
          <w:szCs w:val="24"/>
        </w:rPr>
        <w:t xml:space="preserve">Since all agencies in </w:t>
      </w:r>
      <w:r>
        <w:rPr>
          <w:sz w:val="24"/>
          <w:szCs w:val="24"/>
        </w:rPr>
        <w:t xml:space="preserve">this group </w:t>
      </w:r>
      <w:r w:rsidR="00140980">
        <w:rPr>
          <w:sz w:val="24"/>
          <w:szCs w:val="24"/>
        </w:rPr>
        <w:t xml:space="preserve">are sampled with certainty, </w:t>
      </w:r>
      <w:r>
        <w:rPr>
          <w:sz w:val="24"/>
          <w:szCs w:val="24"/>
        </w:rPr>
        <w:t xml:space="preserve">no allocation could improve </w:t>
      </w:r>
      <w:r w:rsidR="00140980">
        <w:rPr>
          <w:sz w:val="24"/>
          <w:szCs w:val="24"/>
        </w:rPr>
        <w:t xml:space="preserve">the RSEs for </w:t>
      </w:r>
      <w:r>
        <w:rPr>
          <w:sz w:val="24"/>
          <w:szCs w:val="24"/>
        </w:rPr>
        <w:t xml:space="preserve">this domain. Because the prevalence of </w:t>
      </w:r>
      <w:r w:rsidR="00CE6E77">
        <w:rPr>
          <w:sz w:val="24"/>
          <w:szCs w:val="24"/>
        </w:rPr>
        <w:t>female</w:t>
      </w:r>
      <w:r>
        <w:rPr>
          <w:sz w:val="24"/>
          <w:szCs w:val="24"/>
        </w:rPr>
        <w:t xml:space="preserve"> officers is lower than the other proportions of interest, the </w:t>
      </w:r>
      <w:r w:rsidR="003C6818">
        <w:rPr>
          <w:sz w:val="24"/>
          <w:szCs w:val="24"/>
        </w:rPr>
        <w:t xml:space="preserve">associated </w:t>
      </w:r>
      <w:r>
        <w:rPr>
          <w:sz w:val="24"/>
          <w:szCs w:val="24"/>
        </w:rPr>
        <w:t xml:space="preserve">RSE is higher </w:t>
      </w:r>
      <w:r w:rsidR="00140980">
        <w:rPr>
          <w:sz w:val="24"/>
          <w:szCs w:val="24"/>
        </w:rPr>
        <w:t xml:space="preserve">than those for the other selected </w:t>
      </w:r>
      <w:r w:rsidR="003C6818">
        <w:rPr>
          <w:sz w:val="24"/>
          <w:szCs w:val="24"/>
        </w:rPr>
        <w:t>statistics</w:t>
      </w:r>
      <w:r>
        <w:rPr>
          <w:sz w:val="24"/>
          <w:szCs w:val="24"/>
        </w:rPr>
        <w:t>.</w:t>
      </w:r>
    </w:p>
    <w:p w:rsidR="002750E4" w:rsidP="00830786" w:rsidRDefault="002750E4" w14:paraId="69CD0D22" w14:textId="77777777">
      <w:pPr>
        <w:keepNext/>
        <w:keepLines/>
        <w:rPr>
          <w:rFonts w:eastAsia="Calibri"/>
          <w:b/>
          <w:bCs/>
          <w:iCs/>
        </w:rPr>
      </w:pPr>
      <w:bookmarkStart w:name="_Ref442689473" w:id="4"/>
    </w:p>
    <w:p w:rsidR="002750E4" w:rsidRDefault="002750E4" w14:paraId="41B09CC2" w14:textId="77777777">
      <w:pPr>
        <w:spacing w:after="200" w:line="276" w:lineRule="auto"/>
        <w:rPr>
          <w:rFonts w:eastAsia="Calibri"/>
          <w:b/>
          <w:bCs/>
          <w:iCs/>
        </w:rPr>
      </w:pPr>
      <w:r>
        <w:rPr>
          <w:rFonts w:eastAsia="Calibri"/>
          <w:b/>
          <w:bCs/>
          <w:iCs/>
        </w:rPr>
        <w:br w:type="page"/>
      </w:r>
    </w:p>
    <w:p w:rsidR="00F84901" w:rsidP="00830786" w:rsidRDefault="00F84901" w14:paraId="1FF58558" w14:textId="6C598783">
      <w:pPr>
        <w:keepNext/>
        <w:keepLines/>
        <w:rPr>
          <w:rFonts w:eastAsia="Calibri"/>
          <w:b/>
          <w:bCs/>
          <w:iCs/>
        </w:rPr>
      </w:pPr>
      <w:r w:rsidRPr="00C5649E">
        <w:rPr>
          <w:rFonts w:eastAsia="Calibri"/>
          <w:b/>
          <w:bCs/>
          <w:iCs/>
        </w:rPr>
        <w:lastRenderedPageBreak/>
        <w:t xml:space="preserve">Table </w:t>
      </w:r>
      <w:r w:rsidR="00E00C63">
        <w:rPr>
          <w:rFonts w:eastAsia="Calibri"/>
          <w:b/>
          <w:bCs/>
          <w:iCs/>
        </w:rPr>
        <w:t>10</w:t>
      </w:r>
      <w:bookmarkEnd w:id="4"/>
      <w:r w:rsidRPr="00C5649E">
        <w:rPr>
          <w:rFonts w:eastAsia="Calibri"/>
          <w:b/>
          <w:bCs/>
          <w:iCs/>
        </w:rPr>
        <w:t>: RSEs</w:t>
      </w:r>
      <w:r w:rsidR="00DD5DDC">
        <w:rPr>
          <w:rFonts w:eastAsia="Calibri"/>
          <w:b/>
          <w:bCs/>
          <w:iCs/>
        </w:rPr>
        <w:t>, by s</w:t>
      </w:r>
      <w:r w:rsidRPr="00C5649E" w:rsidR="003C6818">
        <w:rPr>
          <w:rFonts w:eastAsia="Calibri"/>
          <w:b/>
          <w:bCs/>
          <w:iCs/>
        </w:rPr>
        <w:t xml:space="preserve">elected </w:t>
      </w:r>
      <w:r w:rsidR="00DD5DDC">
        <w:rPr>
          <w:rFonts w:eastAsia="Calibri"/>
          <w:b/>
          <w:bCs/>
          <w:iCs/>
        </w:rPr>
        <w:t>s</w:t>
      </w:r>
      <w:r w:rsidRPr="00C5649E" w:rsidR="003C6818">
        <w:rPr>
          <w:rFonts w:eastAsia="Calibri"/>
          <w:b/>
          <w:bCs/>
          <w:iCs/>
        </w:rPr>
        <w:t xml:space="preserve">tatistic and </w:t>
      </w:r>
      <w:r w:rsidR="00DD5DDC">
        <w:rPr>
          <w:rFonts w:eastAsia="Calibri"/>
          <w:b/>
          <w:bCs/>
          <w:iCs/>
        </w:rPr>
        <w:t>d</w:t>
      </w:r>
      <w:r w:rsidRPr="00C5649E">
        <w:rPr>
          <w:rFonts w:eastAsia="Calibri"/>
          <w:b/>
          <w:bCs/>
          <w:iCs/>
        </w:rPr>
        <w:t>omain</w:t>
      </w:r>
      <w:r w:rsidR="009F5C3A">
        <w:rPr>
          <w:rFonts w:eastAsia="Calibri"/>
          <w:b/>
          <w:bCs/>
          <w:iCs/>
        </w:rPr>
        <w:t xml:space="preserve">, </w:t>
      </w:r>
      <w:r w:rsidR="007D71DA">
        <w:rPr>
          <w:rFonts w:eastAsia="Calibri"/>
          <w:b/>
          <w:bCs/>
          <w:iCs/>
        </w:rPr>
        <w:t>2020</w:t>
      </w:r>
      <w:r w:rsidR="009F5C3A">
        <w:rPr>
          <w:rFonts w:eastAsia="Calibri"/>
          <w:b/>
          <w:bCs/>
          <w:iCs/>
        </w:rPr>
        <w:t xml:space="preserve"> LEMAS</w:t>
      </w:r>
    </w:p>
    <w:p w:rsidRPr="00C5649E" w:rsidR="00975C81" w:rsidP="00830786" w:rsidRDefault="00975C81" w14:paraId="2CC9DF23" w14:textId="77777777">
      <w:pPr>
        <w:keepNext/>
        <w:keepLines/>
        <w:rPr>
          <w:rFonts w:eastAsia="Calibri"/>
          <w:b/>
          <w:bCs/>
          <w:iCs/>
        </w:rPr>
      </w:pPr>
    </w:p>
    <w:tbl>
      <w:tblPr>
        <w:tblStyle w:val="TableGrid"/>
        <w:tblW w:w="0" w:type="auto"/>
        <w:tblLayout w:type="fixed"/>
        <w:tblLook w:val="04A0" w:firstRow="1" w:lastRow="0" w:firstColumn="1" w:lastColumn="0" w:noHBand="0" w:noVBand="1"/>
      </w:tblPr>
      <w:tblGrid>
        <w:gridCol w:w="1435"/>
        <w:gridCol w:w="1194"/>
        <w:gridCol w:w="1302"/>
        <w:gridCol w:w="1302"/>
        <w:gridCol w:w="1302"/>
        <w:gridCol w:w="1302"/>
        <w:gridCol w:w="1513"/>
      </w:tblGrid>
      <w:tr w:rsidR="009F5C3A" w:rsidTr="00830786" w14:paraId="3A004E4D" w14:textId="77777777">
        <w:trPr>
          <w:tblHeader/>
        </w:trPr>
        <w:tc>
          <w:tcPr>
            <w:tcW w:w="1435" w:type="dxa"/>
            <w:shd w:val="clear" w:color="auto" w:fill="C6D9F1" w:themeFill="text2" w:themeFillTint="33"/>
            <w:vAlign w:val="bottom"/>
          </w:tcPr>
          <w:p w:rsidRPr="00D534B2" w:rsidR="009F5C3A" w:rsidP="00830786" w:rsidRDefault="009F5C3A" w14:paraId="29093F9C" w14:textId="77777777">
            <w:pPr>
              <w:pStyle w:val="SP-SglSpPara"/>
              <w:ind w:firstLine="0"/>
              <w:jc w:val="center"/>
              <w:rPr>
                <w:sz w:val="24"/>
                <w:szCs w:val="24"/>
              </w:rPr>
            </w:pPr>
            <w:r w:rsidRPr="00D534B2">
              <w:rPr>
                <w:bCs/>
              </w:rPr>
              <w:t>Domain</w:t>
            </w:r>
          </w:p>
        </w:tc>
        <w:tc>
          <w:tcPr>
            <w:tcW w:w="1194" w:type="dxa"/>
            <w:shd w:val="clear" w:color="auto" w:fill="C6D9F1" w:themeFill="text2" w:themeFillTint="33"/>
            <w:vAlign w:val="bottom"/>
          </w:tcPr>
          <w:p w:rsidRPr="00D534B2" w:rsidR="009F5C3A" w:rsidP="00830786" w:rsidRDefault="009F5C3A" w14:paraId="62DA17D1" w14:textId="77777777">
            <w:pPr>
              <w:pStyle w:val="SP-SglSpPara"/>
              <w:ind w:firstLine="0"/>
              <w:jc w:val="center"/>
              <w:rPr>
                <w:sz w:val="24"/>
                <w:szCs w:val="24"/>
              </w:rPr>
            </w:pPr>
            <w:r>
              <w:t>Budget</w:t>
            </w:r>
          </w:p>
        </w:tc>
        <w:tc>
          <w:tcPr>
            <w:tcW w:w="1302" w:type="dxa"/>
            <w:shd w:val="clear" w:color="auto" w:fill="C6D9F1" w:themeFill="text2" w:themeFillTint="33"/>
            <w:vAlign w:val="bottom"/>
          </w:tcPr>
          <w:p w:rsidRPr="00D534B2" w:rsidR="009F5C3A" w:rsidP="00830786" w:rsidRDefault="009F5C3A" w14:paraId="63D08617" w14:textId="77777777">
            <w:pPr>
              <w:pStyle w:val="SP-SglSpPara"/>
              <w:ind w:firstLine="0"/>
              <w:jc w:val="center"/>
              <w:rPr>
                <w:sz w:val="24"/>
                <w:szCs w:val="24"/>
              </w:rPr>
            </w:pPr>
            <w:r>
              <w:t>BWC Usage</w:t>
            </w:r>
          </w:p>
        </w:tc>
        <w:tc>
          <w:tcPr>
            <w:tcW w:w="1302" w:type="dxa"/>
            <w:shd w:val="clear" w:color="auto" w:fill="C6D9F1" w:themeFill="text2" w:themeFillTint="33"/>
            <w:vAlign w:val="bottom"/>
          </w:tcPr>
          <w:p w:rsidRPr="00D534B2" w:rsidR="009F5C3A" w:rsidP="00830786" w:rsidRDefault="009F5C3A" w14:paraId="51B5000A" w14:textId="77777777">
            <w:pPr>
              <w:pStyle w:val="SP-SglSpPara"/>
              <w:ind w:firstLine="0"/>
              <w:jc w:val="center"/>
              <w:rPr>
                <w:sz w:val="24"/>
                <w:szCs w:val="24"/>
              </w:rPr>
            </w:pPr>
            <w:r>
              <w:t>Community Policing</w:t>
            </w:r>
          </w:p>
        </w:tc>
        <w:tc>
          <w:tcPr>
            <w:tcW w:w="1302" w:type="dxa"/>
            <w:shd w:val="clear" w:color="auto" w:fill="C6D9F1" w:themeFill="text2" w:themeFillTint="33"/>
          </w:tcPr>
          <w:p w:rsidR="009F5C3A" w:rsidP="00830786" w:rsidRDefault="009F5C3A" w14:paraId="27CF57C0" w14:textId="77777777">
            <w:pPr>
              <w:pStyle w:val="SP-SglSpPara"/>
              <w:ind w:firstLine="0"/>
              <w:jc w:val="center"/>
            </w:pPr>
            <w:r>
              <w:t>Number of FTS Officers</w:t>
            </w:r>
          </w:p>
        </w:tc>
        <w:tc>
          <w:tcPr>
            <w:tcW w:w="1302" w:type="dxa"/>
            <w:shd w:val="clear" w:color="auto" w:fill="C6D9F1" w:themeFill="text2" w:themeFillTint="33"/>
            <w:vAlign w:val="bottom"/>
          </w:tcPr>
          <w:p w:rsidRPr="00D534B2" w:rsidR="009F5C3A" w:rsidP="00830786" w:rsidRDefault="009F5C3A" w14:paraId="58662B9A" w14:textId="3AFB76ED">
            <w:pPr>
              <w:pStyle w:val="SP-SglSpPara"/>
              <w:ind w:firstLine="0"/>
              <w:jc w:val="center"/>
              <w:rPr>
                <w:sz w:val="24"/>
                <w:szCs w:val="24"/>
              </w:rPr>
            </w:pPr>
            <w:r>
              <w:t>Number FTNS Staff</w:t>
            </w:r>
          </w:p>
        </w:tc>
        <w:tc>
          <w:tcPr>
            <w:tcW w:w="1513" w:type="dxa"/>
            <w:shd w:val="clear" w:color="auto" w:fill="C6D9F1" w:themeFill="text2" w:themeFillTint="33"/>
            <w:vAlign w:val="bottom"/>
          </w:tcPr>
          <w:p w:rsidRPr="00D534B2" w:rsidR="009F5C3A" w:rsidP="00830786" w:rsidRDefault="009F5C3A" w14:paraId="62A39E64" w14:textId="77777777">
            <w:pPr>
              <w:pStyle w:val="SP-SglSpPara"/>
              <w:ind w:firstLine="0"/>
              <w:jc w:val="center"/>
              <w:rPr>
                <w:sz w:val="24"/>
                <w:szCs w:val="24"/>
              </w:rPr>
            </w:pPr>
            <w:r>
              <w:t>Female Officers</w:t>
            </w:r>
          </w:p>
        </w:tc>
      </w:tr>
      <w:tr w:rsidR="007A3ACF" w:rsidTr="009F5C3A" w14:paraId="42BBFE6A" w14:textId="77777777">
        <w:tc>
          <w:tcPr>
            <w:tcW w:w="1435" w:type="dxa"/>
          </w:tcPr>
          <w:p w:rsidR="007A3ACF" w:rsidP="007A3ACF" w:rsidRDefault="007A3ACF" w14:paraId="38C8AFFF" w14:textId="77777777">
            <w:pPr>
              <w:pStyle w:val="SP-SglSpPara"/>
              <w:ind w:firstLine="0"/>
              <w:jc w:val="left"/>
              <w:rPr>
                <w:sz w:val="24"/>
                <w:szCs w:val="24"/>
              </w:rPr>
            </w:pPr>
            <w:r>
              <w:t>National</w:t>
            </w:r>
          </w:p>
        </w:tc>
        <w:tc>
          <w:tcPr>
            <w:tcW w:w="1194" w:type="dxa"/>
          </w:tcPr>
          <w:p w:rsidRPr="00A560AA" w:rsidR="007A3ACF" w:rsidP="007A3ACF" w:rsidRDefault="007A3ACF" w14:paraId="0614A32E" w14:textId="435DFA7B">
            <w:pPr>
              <w:pStyle w:val="SP-SglSpPara"/>
              <w:ind w:firstLine="0"/>
              <w:jc w:val="right"/>
              <w:rPr>
                <w:sz w:val="24"/>
                <w:szCs w:val="24"/>
              </w:rPr>
            </w:pPr>
            <w:r w:rsidRPr="0057144A">
              <w:t>2.51</w:t>
            </w:r>
            <w:r>
              <w:t>%</w:t>
            </w:r>
          </w:p>
        </w:tc>
        <w:tc>
          <w:tcPr>
            <w:tcW w:w="1302" w:type="dxa"/>
          </w:tcPr>
          <w:p w:rsidRPr="00A560AA" w:rsidR="007A3ACF" w:rsidP="007A3ACF" w:rsidRDefault="007A3ACF" w14:paraId="60C4D182" w14:textId="64EE4AD8">
            <w:pPr>
              <w:pStyle w:val="SP-SglSpPara"/>
              <w:ind w:firstLine="0"/>
              <w:jc w:val="right"/>
              <w:rPr>
                <w:sz w:val="24"/>
                <w:szCs w:val="24"/>
              </w:rPr>
            </w:pPr>
            <w:r w:rsidRPr="0057144A">
              <w:t>2.30</w:t>
            </w:r>
            <w:r>
              <w:t>%</w:t>
            </w:r>
          </w:p>
        </w:tc>
        <w:tc>
          <w:tcPr>
            <w:tcW w:w="1302" w:type="dxa"/>
          </w:tcPr>
          <w:p w:rsidRPr="00A560AA" w:rsidR="007A3ACF" w:rsidP="007A3ACF" w:rsidRDefault="007A3ACF" w14:paraId="79A65219" w14:textId="1492A33A">
            <w:pPr>
              <w:pStyle w:val="SP-SglSpPara"/>
              <w:ind w:firstLine="0"/>
              <w:jc w:val="right"/>
              <w:rPr>
                <w:sz w:val="24"/>
                <w:szCs w:val="24"/>
              </w:rPr>
            </w:pPr>
            <w:r w:rsidRPr="0057144A">
              <w:t>0.97</w:t>
            </w:r>
            <w:r>
              <w:t>%</w:t>
            </w:r>
          </w:p>
        </w:tc>
        <w:tc>
          <w:tcPr>
            <w:tcW w:w="1302" w:type="dxa"/>
          </w:tcPr>
          <w:p w:rsidR="007A3ACF" w:rsidP="007A3ACF" w:rsidRDefault="007A3ACF" w14:paraId="7CA87C2B" w14:textId="23D68B71">
            <w:pPr>
              <w:pStyle w:val="SP-SglSpPara"/>
              <w:ind w:firstLine="0"/>
              <w:jc w:val="right"/>
            </w:pPr>
            <w:r w:rsidRPr="0057144A">
              <w:t>2.24</w:t>
            </w:r>
            <w:r>
              <w:t>%</w:t>
            </w:r>
          </w:p>
        </w:tc>
        <w:tc>
          <w:tcPr>
            <w:tcW w:w="1302" w:type="dxa"/>
          </w:tcPr>
          <w:p w:rsidRPr="00A560AA" w:rsidR="007A3ACF" w:rsidP="007A3ACF" w:rsidRDefault="007A3ACF" w14:paraId="66B07DD2" w14:textId="192B1C66">
            <w:pPr>
              <w:pStyle w:val="SP-SglSpPara"/>
              <w:ind w:firstLine="0"/>
              <w:jc w:val="right"/>
              <w:rPr>
                <w:sz w:val="24"/>
                <w:szCs w:val="24"/>
              </w:rPr>
            </w:pPr>
            <w:r w:rsidRPr="0057144A">
              <w:t>2.99</w:t>
            </w:r>
            <w:r>
              <w:t>%</w:t>
            </w:r>
          </w:p>
        </w:tc>
        <w:tc>
          <w:tcPr>
            <w:tcW w:w="1513" w:type="dxa"/>
          </w:tcPr>
          <w:p w:rsidRPr="00A560AA" w:rsidR="007A3ACF" w:rsidP="007A3ACF" w:rsidRDefault="007A3ACF" w14:paraId="1BD7D967" w14:textId="15CB7FFF">
            <w:pPr>
              <w:pStyle w:val="SP-SglSpPara"/>
              <w:ind w:firstLine="0"/>
              <w:jc w:val="right"/>
              <w:rPr>
                <w:sz w:val="24"/>
                <w:szCs w:val="24"/>
              </w:rPr>
            </w:pPr>
            <w:r w:rsidRPr="0057144A">
              <w:t>3.00</w:t>
            </w:r>
            <w:r>
              <w:t>%</w:t>
            </w:r>
          </w:p>
        </w:tc>
      </w:tr>
      <w:tr w:rsidR="007A3ACF" w:rsidTr="009F5C3A" w14:paraId="3099FBDB" w14:textId="77777777">
        <w:tc>
          <w:tcPr>
            <w:tcW w:w="1435" w:type="dxa"/>
          </w:tcPr>
          <w:p w:rsidR="007A3ACF" w:rsidP="007A3ACF" w:rsidRDefault="007A3ACF" w14:paraId="411BF29D" w14:textId="77777777">
            <w:pPr>
              <w:pStyle w:val="SP-SglSpPara"/>
              <w:ind w:firstLine="0"/>
              <w:jc w:val="left"/>
              <w:rPr>
                <w:sz w:val="24"/>
                <w:szCs w:val="24"/>
              </w:rPr>
            </w:pPr>
            <w:r>
              <w:t>Local Police</w:t>
            </w:r>
          </w:p>
        </w:tc>
        <w:tc>
          <w:tcPr>
            <w:tcW w:w="1194" w:type="dxa"/>
          </w:tcPr>
          <w:p w:rsidRPr="00A560AA" w:rsidR="007A3ACF" w:rsidP="007A3ACF" w:rsidRDefault="007A3ACF" w14:paraId="68373D29" w14:textId="263D5E8E">
            <w:pPr>
              <w:pStyle w:val="SP-SglSpPara"/>
              <w:ind w:firstLine="0"/>
              <w:jc w:val="right"/>
              <w:rPr>
                <w:sz w:val="24"/>
                <w:szCs w:val="24"/>
              </w:rPr>
            </w:pPr>
            <w:r w:rsidRPr="0057144A">
              <w:t>3.14</w:t>
            </w:r>
            <w:r>
              <w:t>%</w:t>
            </w:r>
          </w:p>
        </w:tc>
        <w:tc>
          <w:tcPr>
            <w:tcW w:w="1302" w:type="dxa"/>
          </w:tcPr>
          <w:p w:rsidRPr="00A560AA" w:rsidR="007A3ACF" w:rsidP="007A3ACF" w:rsidRDefault="007A3ACF" w14:paraId="2A323CB7" w14:textId="78F06C77">
            <w:pPr>
              <w:pStyle w:val="SP-SglSpPara"/>
              <w:ind w:firstLine="0"/>
              <w:jc w:val="right"/>
              <w:rPr>
                <w:sz w:val="24"/>
                <w:szCs w:val="24"/>
              </w:rPr>
            </w:pPr>
            <w:r w:rsidRPr="0057144A">
              <w:t>2.55</w:t>
            </w:r>
            <w:r>
              <w:t>%</w:t>
            </w:r>
          </w:p>
        </w:tc>
        <w:tc>
          <w:tcPr>
            <w:tcW w:w="1302" w:type="dxa"/>
          </w:tcPr>
          <w:p w:rsidRPr="00A560AA" w:rsidR="007A3ACF" w:rsidP="007A3ACF" w:rsidRDefault="007A3ACF" w14:paraId="645004C1" w14:textId="0D92CD90">
            <w:pPr>
              <w:pStyle w:val="SP-SglSpPara"/>
              <w:ind w:firstLine="0"/>
              <w:jc w:val="right"/>
              <w:rPr>
                <w:sz w:val="24"/>
                <w:szCs w:val="24"/>
              </w:rPr>
            </w:pPr>
            <w:r w:rsidRPr="0057144A">
              <w:t>0.98</w:t>
            </w:r>
            <w:r>
              <w:t>%</w:t>
            </w:r>
          </w:p>
        </w:tc>
        <w:tc>
          <w:tcPr>
            <w:tcW w:w="1302" w:type="dxa"/>
          </w:tcPr>
          <w:p w:rsidR="007A3ACF" w:rsidP="007A3ACF" w:rsidRDefault="007A3ACF" w14:paraId="6CD35CDE" w14:textId="0A79EEE9">
            <w:pPr>
              <w:pStyle w:val="SP-SglSpPara"/>
              <w:ind w:firstLine="0"/>
              <w:jc w:val="right"/>
            </w:pPr>
            <w:r w:rsidRPr="0057144A">
              <w:t>3.08</w:t>
            </w:r>
            <w:r>
              <w:t>%</w:t>
            </w:r>
          </w:p>
        </w:tc>
        <w:tc>
          <w:tcPr>
            <w:tcW w:w="1302" w:type="dxa"/>
          </w:tcPr>
          <w:p w:rsidRPr="00A560AA" w:rsidR="007A3ACF" w:rsidP="007A3ACF" w:rsidRDefault="007A3ACF" w14:paraId="039E9B0D" w14:textId="5E888C51">
            <w:pPr>
              <w:pStyle w:val="SP-SglSpPara"/>
              <w:ind w:firstLine="0"/>
              <w:jc w:val="right"/>
              <w:rPr>
                <w:sz w:val="24"/>
                <w:szCs w:val="24"/>
              </w:rPr>
            </w:pPr>
            <w:r w:rsidRPr="0057144A">
              <w:t>4.48</w:t>
            </w:r>
            <w:r>
              <w:t>%</w:t>
            </w:r>
          </w:p>
        </w:tc>
        <w:tc>
          <w:tcPr>
            <w:tcW w:w="1513" w:type="dxa"/>
          </w:tcPr>
          <w:p w:rsidRPr="00A560AA" w:rsidR="007A3ACF" w:rsidP="007A3ACF" w:rsidRDefault="007A3ACF" w14:paraId="76AEF27F" w14:textId="2A2D561F">
            <w:pPr>
              <w:pStyle w:val="SP-SglSpPara"/>
              <w:ind w:firstLine="0"/>
              <w:jc w:val="right"/>
              <w:rPr>
                <w:sz w:val="24"/>
                <w:szCs w:val="24"/>
              </w:rPr>
            </w:pPr>
            <w:r w:rsidRPr="0057144A">
              <w:t>3.66</w:t>
            </w:r>
            <w:r>
              <w:t>%</w:t>
            </w:r>
          </w:p>
        </w:tc>
      </w:tr>
      <w:tr w:rsidR="007A3ACF" w:rsidTr="009F5C3A" w14:paraId="58C9EF4F" w14:textId="77777777">
        <w:tc>
          <w:tcPr>
            <w:tcW w:w="1435" w:type="dxa"/>
          </w:tcPr>
          <w:p w:rsidR="007A3ACF" w:rsidP="007A3ACF" w:rsidRDefault="007A3ACF" w14:paraId="1E5FD501" w14:textId="77777777">
            <w:pPr>
              <w:pStyle w:val="SP-SglSpPara"/>
              <w:ind w:firstLine="0"/>
              <w:jc w:val="left"/>
              <w:rPr>
                <w:sz w:val="24"/>
                <w:szCs w:val="24"/>
              </w:rPr>
            </w:pPr>
            <w:r>
              <w:t>Sheriff’s Office</w:t>
            </w:r>
          </w:p>
        </w:tc>
        <w:tc>
          <w:tcPr>
            <w:tcW w:w="1194" w:type="dxa"/>
          </w:tcPr>
          <w:p w:rsidRPr="00A560AA" w:rsidR="007A3ACF" w:rsidP="007A3ACF" w:rsidRDefault="007A3ACF" w14:paraId="5D7B5609" w14:textId="497EDE91">
            <w:pPr>
              <w:pStyle w:val="SP-SglSpPara"/>
              <w:ind w:firstLine="0"/>
              <w:jc w:val="right"/>
              <w:rPr>
                <w:sz w:val="24"/>
                <w:szCs w:val="24"/>
              </w:rPr>
            </w:pPr>
            <w:r w:rsidRPr="0057144A">
              <w:t>4.95</w:t>
            </w:r>
            <w:r>
              <w:t>%</w:t>
            </w:r>
          </w:p>
        </w:tc>
        <w:tc>
          <w:tcPr>
            <w:tcW w:w="1302" w:type="dxa"/>
          </w:tcPr>
          <w:p w:rsidRPr="00A560AA" w:rsidR="007A3ACF" w:rsidP="007A3ACF" w:rsidRDefault="007A3ACF" w14:paraId="5FA08CD5" w14:textId="176FFF8B">
            <w:pPr>
              <w:pStyle w:val="SP-SglSpPara"/>
              <w:ind w:firstLine="0"/>
              <w:jc w:val="right"/>
              <w:rPr>
                <w:sz w:val="24"/>
                <w:szCs w:val="24"/>
              </w:rPr>
            </w:pPr>
            <w:r w:rsidRPr="0057144A">
              <w:t>5.45</w:t>
            </w:r>
            <w:r>
              <w:t>%</w:t>
            </w:r>
          </w:p>
        </w:tc>
        <w:tc>
          <w:tcPr>
            <w:tcW w:w="1302" w:type="dxa"/>
          </w:tcPr>
          <w:p w:rsidRPr="00A560AA" w:rsidR="007A3ACF" w:rsidP="007A3ACF" w:rsidRDefault="007A3ACF" w14:paraId="2D47A0FF" w14:textId="4AAA40F4">
            <w:pPr>
              <w:pStyle w:val="SP-SglSpPara"/>
              <w:ind w:firstLine="0"/>
              <w:jc w:val="right"/>
              <w:rPr>
                <w:sz w:val="24"/>
                <w:szCs w:val="24"/>
              </w:rPr>
            </w:pPr>
            <w:r w:rsidRPr="0057144A">
              <w:t>3.10</w:t>
            </w:r>
            <w:r>
              <w:t>%</w:t>
            </w:r>
          </w:p>
        </w:tc>
        <w:tc>
          <w:tcPr>
            <w:tcW w:w="1302" w:type="dxa"/>
          </w:tcPr>
          <w:p w:rsidR="007A3ACF" w:rsidP="007A3ACF" w:rsidRDefault="007A3ACF" w14:paraId="2FF81368" w14:textId="6167D19D">
            <w:pPr>
              <w:pStyle w:val="SP-SglSpPara"/>
              <w:ind w:firstLine="0"/>
              <w:jc w:val="right"/>
            </w:pPr>
            <w:r w:rsidRPr="0057144A">
              <w:t>3.31</w:t>
            </w:r>
            <w:r>
              <w:t>%</w:t>
            </w:r>
          </w:p>
        </w:tc>
        <w:tc>
          <w:tcPr>
            <w:tcW w:w="1302" w:type="dxa"/>
          </w:tcPr>
          <w:p w:rsidRPr="00A560AA" w:rsidR="007A3ACF" w:rsidP="007A3ACF" w:rsidRDefault="007A3ACF" w14:paraId="5B0D3C2B" w14:textId="7046BB8A">
            <w:pPr>
              <w:pStyle w:val="SP-SglSpPara"/>
              <w:ind w:firstLine="0"/>
              <w:jc w:val="right"/>
              <w:rPr>
                <w:sz w:val="24"/>
                <w:szCs w:val="24"/>
              </w:rPr>
            </w:pPr>
            <w:r w:rsidRPr="0057144A">
              <w:t>4.66</w:t>
            </w:r>
            <w:r>
              <w:t>%</w:t>
            </w:r>
          </w:p>
        </w:tc>
        <w:tc>
          <w:tcPr>
            <w:tcW w:w="1513" w:type="dxa"/>
          </w:tcPr>
          <w:p w:rsidRPr="00A560AA" w:rsidR="007A3ACF" w:rsidP="007A3ACF" w:rsidRDefault="007A3ACF" w14:paraId="25CA3116" w14:textId="567A8F56">
            <w:pPr>
              <w:pStyle w:val="SP-SglSpPara"/>
              <w:ind w:firstLine="0"/>
              <w:jc w:val="right"/>
              <w:rPr>
                <w:sz w:val="24"/>
                <w:szCs w:val="24"/>
              </w:rPr>
            </w:pPr>
            <w:r w:rsidRPr="0057144A">
              <w:t>4.53</w:t>
            </w:r>
            <w:r>
              <w:t>%</w:t>
            </w:r>
          </w:p>
        </w:tc>
      </w:tr>
      <w:tr w:rsidR="007A3ACF" w:rsidTr="009F5C3A" w14:paraId="67EF03E2" w14:textId="77777777">
        <w:tc>
          <w:tcPr>
            <w:tcW w:w="1435" w:type="dxa"/>
          </w:tcPr>
          <w:p w:rsidR="007A3ACF" w:rsidP="007A3ACF" w:rsidRDefault="007A3ACF" w14:paraId="55EE8D21" w14:textId="77777777">
            <w:pPr>
              <w:pStyle w:val="SP-SglSpPara"/>
              <w:ind w:firstLine="0"/>
              <w:jc w:val="left"/>
              <w:rPr>
                <w:sz w:val="24"/>
                <w:szCs w:val="24"/>
              </w:rPr>
            </w:pPr>
            <w:r>
              <w:t>State Police</w:t>
            </w:r>
          </w:p>
        </w:tc>
        <w:tc>
          <w:tcPr>
            <w:tcW w:w="1194" w:type="dxa"/>
          </w:tcPr>
          <w:p w:rsidRPr="00A560AA" w:rsidR="007A3ACF" w:rsidP="007A3ACF" w:rsidRDefault="007A3ACF" w14:paraId="3BA90640" w14:textId="59DFF4CE">
            <w:pPr>
              <w:pStyle w:val="SP-SglSpPara"/>
              <w:ind w:firstLine="0"/>
              <w:jc w:val="right"/>
              <w:rPr>
                <w:sz w:val="24"/>
                <w:szCs w:val="24"/>
              </w:rPr>
            </w:pPr>
            <w:r w:rsidRPr="0057144A">
              <w:t>4.87</w:t>
            </w:r>
            <w:r>
              <w:t>%</w:t>
            </w:r>
          </w:p>
        </w:tc>
        <w:tc>
          <w:tcPr>
            <w:tcW w:w="1302" w:type="dxa"/>
          </w:tcPr>
          <w:p w:rsidRPr="00A560AA" w:rsidR="007A3ACF" w:rsidP="007A3ACF" w:rsidRDefault="007A3ACF" w14:paraId="5E61A83B" w14:textId="6EEDE101">
            <w:pPr>
              <w:pStyle w:val="SP-SglSpPara"/>
              <w:ind w:firstLine="0"/>
              <w:jc w:val="right"/>
              <w:rPr>
                <w:sz w:val="24"/>
                <w:szCs w:val="24"/>
              </w:rPr>
            </w:pPr>
            <w:r w:rsidRPr="0057144A">
              <w:t>12.12</w:t>
            </w:r>
            <w:r>
              <w:t>%</w:t>
            </w:r>
          </w:p>
        </w:tc>
        <w:tc>
          <w:tcPr>
            <w:tcW w:w="1302" w:type="dxa"/>
          </w:tcPr>
          <w:p w:rsidRPr="00A560AA" w:rsidR="007A3ACF" w:rsidP="007A3ACF" w:rsidRDefault="007A3ACF" w14:paraId="637FB73F" w14:textId="769BA402">
            <w:pPr>
              <w:pStyle w:val="SP-SglSpPara"/>
              <w:ind w:firstLine="0"/>
              <w:jc w:val="right"/>
              <w:rPr>
                <w:sz w:val="24"/>
                <w:szCs w:val="24"/>
              </w:rPr>
            </w:pPr>
            <w:r w:rsidRPr="0057144A">
              <w:t>5.28</w:t>
            </w:r>
            <w:r>
              <w:t>%</w:t>
            </w:r>
          </w:p>
        </w:tc>
        <w:tc>
          <w:tcPr>
            <w:tcW w:w="1302" w:type="dxa"/>
          </w:tcPr>
          <w:p w:rsidR="007A3ACF" w:rsidP="007A3ACF" w:rsidRDefault="007A3ACF" w14:paraId="35A5E798" w14:textId="4DF66C60">
            <w:pPr>
              <w:pStyle w:val="SP-SglSpPara"/>
              <w:ind w:firstLine="0"/>
              <w:jc w:val="right"/>
            </w:pPr>
            <w:r w:rsidRPr="0057144A">
              <w:t>5.28</w:t>
            </w:r>
            <w:r>
              <w:t>%</w:t>
            </w:r>
          </w:p>
        </w:tc>
        <w:tc>
          <w:tcPr>
            <w:tcW w:w="1302" w:type="dxa"/>
          </w:tcPr>
          <w:p w:rsidRPr="00A560AA" w:rsidR="007A3ACF" w:rsidP="007A3ACF" w:rsidRDefault="007A3ACF" w14:paraId="38B287CA" w14:textId="37F7ECF9">
            <w:pPr>
              <w:pStyle w:val="SP-SglSpPara"/>
              <w:ind w:firstLine="0"/>
              <w:jc w:val="right"/>
              <w:rPr>
                <w:sz w:val="24"/>
                <w:szCs w:val="24"/>
              </w:rPr>
            </w:pPr>
            <w:r w:rsidRPr="0057144A">
              <w:t>6.56</w:t>
            </w:r>
            <w:r>
              <w:t>%</w:t>
            </w:r>
          </w:p>
        </w:tc>
        <w:tc>
          <w:tcPr>
            <w:tcW w:w="1513" w:type="dxa"/>
          </w:tcPr>
          <w:p w:rsidRPr="00A560AA" w:rsidR="007A3ACF" w:rsidP="007A3ACF" w:rsidRDefault="007A3ACF" w14:paraId="3410147E" w14:textId="79C5D908">
            <w:pPr>
              <w:pStyle w:val="SP-SglSpPara"/>
              <w:ind w:firstLine="0"/>
              <w:jc w:val="right"/>
              <w:rPr>
                <w:sz w:val="24"/>
                <w:szCs w:val="24"/>
              </w:rPr>
            </w:pPr>
            <w:r w:rsidRPr="0057144A">
              <w:t>2.07</w:t>
            </w:r>
            <w:r>
              <w:t>%</w:t>
            </w:r>
          </w:p>
        </w:tc>
      </w:tr>
      <w:tr w:rsidR="007A3ACF" w:rsidTr="009F5C3A" w14:paraId="404A28A4" w14:textId="77777777">
        <w:tc>
          <w:tcPr>
            <w:tcW w:w="1435" w:type="dxa"/>
          </w:tcPr>
          <w:p w:rsidR="007A3ACF" w:rsidP="007A3ACF" w:rsidRDefault="007A3ACF" w14:paraId="5774D456" w14:textId="77777777">
            <w:pPr>
              <w:pStyle w:val="SP-SglSpPara"/>
              <w:ind w:firstLine="0"/>
              <w:jc w:val="left"/>
              <w:rPr>
                <w:sz w:val="24"/>
                <w:szCs w:val="24"/>
              </w:rPr>
            </w:pPr>
            <w:r>
              <w:t>Non-Self-Representing</w:t>
            </w:r>
          </w:p>
        </w:tc>
        <w:tc>
          <w:tcPr>
            <w:tcW w:w="1194" w:type="dxa"/>
          </w:tcPr>
          <w:p w:rsidRPr="00A560AA" w:rsidR="007A3ACF" w:rsidP="007A3ACF" w:rsidRDefault="007A3ACF" w14:paraId="3802BBE9" w14:textId="1ECDF221">
            <w:pPr>
              <w:pStyle w:val="SP-SglSpPara"/>
              <w:ind w:firstLine="0"/>
              <w:jc w:val="right"/>
              <w:rPr>
                <w:sz w:val="24"/>
                <w:szCs w:val="24"/>
              </w:rPr>
            </w:pPr>
            <w:r w:rsidRPr="0057144A">
              <w:t>1.99</w:t>
            </w:r>
            <w:r>
              <w:t>%</w:t>
            </w:r>
          </w:p>
        </w:tc>
        <w:tc>
          <w:tcPr>
            <w:tcW w:w="1302" w:type="dxa"/>
          </w:tcPr>
          <w:p w:rsidRPr="00A560AA" w:rsidR="007A3ACF" w:rsidP="007A3ACF" w:rsidRDefault="007A3ACF" w14:paraId="5BEFBD39" w14:textId="5A42A44E">
            <w:pPr>
              <w:pStyle w:val="SP-SglSpPara"/>
              <w:ind w:firstLine="0"/>
              <w:jc w:val="right"/>
              <w:rPr>
                <w:sz w:val="24"/>
                <w:szCs w:val="24"/>
              </w:rPr>
            </w:pPr>
            <w:r w:rsidRPr="0057144A">
              <w:t>2.48</w:t>
            </w:r>
            <w:r>
              <w:t>%</w:t>
            </w:r>
          </w:p>
        </w:tc>
        <w:tc>
          <w:tcPr>
            <w:tcW w:w="1302" w:type="dxa"/>
          </w:tcPr>
          <w:p w:rsidRPr="00A560AA" w:rsidR="007A3ACF" w:rsidP="007A3ACF" w:rsidRDefault="007A3ACF" w14:paraId="173B1CE9" w14:textId="052852CA">
            <w:pPr>
              <w:pStyle w:val="SP-SglSpPara"/>
              <w:ind w:firstLine="0"/>
              <w:jc w:val="right"/>
              <w:rPr>
                <w:sz w:val="24"/>
                <w:szCs w:val="24"/>
              </w:rPr>
            </w:pPr>
            <w:r w:rsidRPr="0057144A">
              <w:t>1.04</w:t>
            </w:r>
            <w:r>
              <w:t>%</w:t>
            </w:r>
          </w:p>
        </w:tc>
        <w:tc>
          <w:tcPr>
            <w:tcW w:w="1302" w:type="dxa"/>
          </w:tcPr>
          <w:p w:rsidR="007A3ACF" w:rsidP="007A3ACF" w:rsidRDefault="007A3ACF" w14:paraId="51D0CB05" w14:textId="5B89CF8C">
            <w:pPr>
              <w:pStyle w:val="SP-SglSpPara"/>
              <w:ind w:firstLine="0"/>
              <w:jc w:val="right"/>
            </w:pPr>
            <w:r w:rsidRPr="0057144A">
              <w:t>0.72</w:t>
            </w:r>
            <w:r>
              <w:t>%</w:t>
            </w:r>
          </w:p>
        </w:tc>
        <w:tc>
          <w:tcPr>
            <w:tcW w:w="1302" w:type="dxa"/>
          </w:tcPr>
          <w:p w:rsidRPr="00A560AA" w:rsidR="007A3ACF" w:rsidP="007A3ACF" w:rsidRDefault="007A3ACF" w14:paraId="52095762" w14:textId="0BE45933">
            <w:pPr>
              <w:pStyle w:val="SP-SglSpPara"/>
              <w:ind w:firstLine="0"/>
              <w:jc w:val="right"/>
              <w:rPr>
                <w:sz w:val="24"/>
                <w:szCs w:val="24"/>
              </w:rPr>
            </w:pPr>
            <w:r w:rsidRPr="0057144A">
              <w:t>3.77</w:t>
            </w:r>
            <w:r>
              <w:t>%</w:t>
            </w:r>
          </w:p>
        </w:tc>
        <w:tc>
          <w:tcPr>
            <w:tcW w:w="1513" w:type="dxa"/>
          </w:tcPr>
          <w:p w:rsidRPr="00A560AA" w:rsidR="007A3ACF" w:rsidP="007A3ACF" w:rsidRDefault="007A3ACF" w14:paraId="4B6A18E7" w14:textId="4B34BD61">
            <w:pPr>
              <w:pStyle w:val="SP-SglSpPara"/>
              <w:ind w:firstLine="0"/>
              <w:jc w:val="right"/>
              <w:rPr>
                <w:sz w:val="24"/>
                <w:szCs w:val="24"/>
              </w:rPr>
            </w:pPr>
            <w:r w:rsidRPr="0057144A">
              <w:t>3.42</w:t>
            </w:r>
            <w:r>
              <w:t>%</w:t>
            </w:r>
          </w:p>
        </w:tc>
      </w:tr>
      <w:tr w:rsidR="007A3ACF" w:rsidTr="009F5C3A" w14:paraId="13C3BC87" w14:textId="77777777">
        <w:tc>
          <w:tcPr>
            <w:tcW w:w="1435" w:type="dxa"/>
          </w:tcPr>
          <w:p w:rsidR="007A3ACF" w:rsidP="007A3ACF" w:rsidRDefault="007A3ACF" w14:paraId="7805E36E" w14:textId="77777777">
            <w:pPr>
              <w:pStyle w:val="SP-SglSpPara"/>
              <w:ind w:firstLine="0"/>
              <w:jc w:val="left"/>
              <w:rPr>
                <w:sz w:val="24"/>
                <w:szCs w:val="24"/>
              </w:rPr>
            </w:pPr>
            <w:r>
              <w:t>Self-Representing</w:t>
            </w:r>
          </w:p>
        </w:tc>
        <w:tc>
          <w:tcPr>
            <w:tcW w:w="1194" w:type="dxa"/>
          </w:tcPr>
          <w:p w:rsidRPr="00A560AA" w:rsidR="007A3ACF" w:rsidP="007A3ACF" w:rsidRDefault="007A3ACF" w14:paraId="14F2FA96" w14:textId="01B20372">
            <w:pPr>
              <w:pStyle w:val="SP-SglSpPara"/>
              <w:ind w:firstLine="0"/>
              <w:jc w:val="right"/>
              <w:rPr>
                <w:sz w:val="24"/>
                <w:szCs w:val="24"/>
              </w:rPr>
            </w:pPr>
            <w:r w:rsidRPr="0057144A">
              <w:t>3.38</w:t>
            </w:r>
            <w:r>
              <w:t>%</w:t>
            </w:r>
          </w:p>
        </w:tc>
        <w:tc>
          <w:tcPr>
            <w:tcW w:w="1302" w:type="dxa"/>
          </w:tcPr>
          <w:p w:rsidRPr="00A560AA" w:rsidR="007A3ACF" w:rsidP="007A3ACF" w:rsidRDefault="007A3ACF" w14:paraId="4883F747" w14:textId="5CD494B6">
            <w:pPr>
              <w:pStyle w:val="SP-SglSpPara"/>
              <w:ind w:firstLine="0"/>
              <w:jc w:val="right"/>
              <w:rPr>
                <w:sz w:val="24"/>
                <w:szCs w:val="24"/>
              </w:rPr>
            </w:pPr>
            <w:r w:rsidRPr="0057144A">
              <w:t>1.46</w:t>
            </w:r>
            <w:r>
              <w:t>%</w:t>
            </w:r>
          </w:p>
        </w:tc>
        <w:tc>
          <w:tcPr>
            <w:tcW w:w="1302" w:type="dxa"/>
          </w:tcPr>
          <w:p w:rsidRPr="00A560AA" w:rsidR="007A3ACF" w:rsidP="007A3ACF" w:rsidRDefault="007A3ACF" w14:paraId="09B22DC5" w14:textId="2EB8D219">
            <w:pPr>
              <w:pStyle w:val="SP-SglSpPara"/>
              <w:ind w:firstLine="0"/>
              <w:jc w:val="right"/>
              <w:rPr>
                <w:sz w:val="24"/>
                <w:szCs w:val="24"/>
              </w:rPr>
            </w:pPr>
            <w:r w:rsidRPr="0057144A">
              <w:t>0.58</w:t>
            </w:r>
            <w:r>
              <w:t>%</w:t>
            </w:r>
          </w:p>
        </w:tc>
        <w:tc>
          <w:tcPr>
            <w:tcW w:w="1302" w:type="dxa"/>
          </w:tcPr>
          <w:p w:rsidR="007A3ACF" w:rsidP="007A3ACF" w:rsidRDefault="007A3ACF" w14:paraId="1392A347" w14:textId="3541FCAD">
            <w:pPr>
              <w:pStyle w:val="SP-SglSpPara"/>
              <w:ind w:firstLine="0"/>
              <w:jc w:val="right"/>
            </w:pPr>
            <w:r w:rsidRPr="0057144A">
              <w:t>3.29</w:t>
            </w:r>
            <w:r>
              <w:t>%</w:t>
            </w:r>
          </w:p>
        </w:tc>
        <w:tc>
          <w:tcPr>
            <w:tcW w:w="1302" w:type="dxa"/>
          </w:tcPr>
          <w:p w:rsidRPr="00A560AA" w:rsidR="007A3ACF" w:rsidP="007A3ACF" w:rsidRDefault="007A3ACF" w14:paraId="7B8EA3EB" w14:textId="45735BFF">
            <w:pPr>
              <w:pStyle w:val="SP-SglSpPara"/>
              <w:ind w:firstLine="0"/>
              <w:jc w:val="right"/>
              <w:rPr>
                <w:sz w:val="24"/>
                <w:szCs w:val="24"/>
              </w:rPr>
            </w:pPr>
            <w:r w:rsidRPr="0057144A">
              <w:t>3.89</w:t>
            </w:r>
            <w:r>
              <w:t>%</w:t>
            </w:r>
          </w:p>
        </w:tc>
        <w:tc>
          <w:tcPr>
            <w:tcW w:w="1513" w:type="dxa"/>
          </w:tcPr>
          <w:p w:rsidRPr="00A560AA" w:rsidR="007A3ACF" w:rsidP="007A3ACF" w:rsidRDefault="007A3ACF" w14:paraId="2A33795D" w14:textId="2996686E">
            <w:pPr>
              <w:pStyle w:val="SP-SglSpPara"/>
              <w:ind w:firstLine="0"/>
              <w:jc w:val="right"/>
              <w:rPr>
                <w:sz w:val="24"/>
                <w:szCs w:val="24"/>
              </w:rPr>
            </w:pPr>
            <w:r w:rsidRPr="0057144A">
              <w:t>0.67</w:t>
            </w:r>
            <w:r>
              <w:t>%</w:t>
            </w:r>
          </w:p>
        </w:tc>
      </w:tr>
      <w:tr w:rsidR="007A3ACF" w:rsidTr="009F5C3A" w14:paraId="5D00587D" w14:textId="77777777">
        <w:tc>
          <w:tcPr>
            <w:tcW w:w="1435" w:type="dxa"/>
          </w:tcPr>
          <w:p w:rsidR="007A3ACF" w:rsidP="007A3ACF" w:rsidRDefault="007A3ACF" w14:paraId="5724556B" w14:textId="77777777">
            <w:pPr>
              <w:pStyle w:val="SP-SglSpPara"/>
              <w:ind w:firstLine="0"/>
              <w:jc w:val="left"/>
              <w:rPr>
                <w:sz w:val="24"/>
                <w:szCs w:val="24"/>
              </w:rPr>
            </w:pPr>
            <w:r>
              <w:t>Local Police – Non-Self-Representing</w:t>
            </w:r>
          </w:p>
        </w:tc>
        <w:tc>
          <w:tcPr>
            <w:tcW w:w="1194" w:type="dxa"/>
          </w:tcPr>
          <w:p w:rsidRPr="00A560AA" w:rsidR="007A3ACF" w:rsidP="007A3ACF" w:rsidRDefault="007A3ACF" w14:paraId="27EDC390" w14:textId="18CCD919">
            <w:pPr>
              <w:pStyle w:val="SP-SglSpPara"/>
              <w:ind w:firstLine="0"/>
              <w:jc w:val="right"/>
              <w:rPr>
                <w:sz w:val="24"/>
                <w:szCs w:val="24"/>
              </w:rPr>
            </w:pPr>
            <w:r w:rsidRPr="0057144A">
              <w:t>1.98</w:t>
            </w:r>
            <w:r>
              <w:t>%</w:t>
            </w:r>
          </w:p>
        </w:tc>
        <w:tc>
          <w:tcPr>
            <w:tcW w:w="1302" w:type="dxa"/>
          </w:tcPr>
          <w:p w:rsidRPr="00A560AA" w:rsidR="007A3ACF" w:rsidP="007A3ACF" w:rsidRDefault="007A3ACF" w14:paraId="67742F0C" w14:textId="7CAB8F46">
            <w:pPr>
              <w:pStyle w:val="SP-SglSpPara"/>
              <w:ind w:firstLine="0"/>
              <w:jc w:val="right"/>
              <w:rPr>
                <w:sz w:val="24"/>
                <w:szCs w:val="24"/>
              </w:rPr>
            </w:pPr>
            <w:r w:rsidRPr="0057144A">
              <w:t>2.70</w:t>
            </w:r>
            <w:r>
              <w:t>%</w:t>
            </w:r>
          </w:p>
        </w:tc>
        <w:tc>
          <w:tcPr>
            <w:tcW w:w="1302" w:type="dxa"/>
          </w:tcPr>
          <w:p w:rsidRPr="00A560AA" w:rsidR="007A3ACF" w:rsidP="007A3ACF" w:rsidRDefault="007A3ACF" w14:paraId="6F3DC0FD" w14:textId="2AAD122C">
            <w:pPr>
              <w:pStyle w:val="SP-SglSpPara"/>
              <w:ind w:firstLine="0"/>
              <w:jc w:val="right"/>
              <w:rPr>
                <w:sz w:val="24"/>
                <w:szCs w:val="24"/>
              </w:rPr>
            </w:pPr>
            <w:r w:rsidRPr="0057144A">
              <w:t>1.04</w:t>
            </w:r>
            <w:r>
              <w:t>%</w:t>
            </w:r>
          </w:p>
        </w:tc>
        <w:tc>
          <w:tcPr>
            <w:tcW w:w="1302" w:type="dxa"/>
          </w:tcPr>
          <w:p w:rsidR="007A3ACF" w:rsidP="007A3ACF" w:rsidRDefault="007A3ACF" w14:paraId="2F219DC0" w14:textId="051F39A7">
            <w:pPr>
              <w:pStyle w:val="SP-SglSpPara"/>
              <w:ind w:firstLine="0"/>
              <w:jc w:val="right"/>
            </w:pPr>
            <w:r w:rsidRPr="0057144A">
              <w:t>0.83</w:t>
            </w:r>
            <w:r>
              <w:t>%</w:t>
            </w:r>
          </w:p>
        </w:tc>
        <w:tc>
          <w:tcPr>
            <w:tcW w:w="1302" w:type="dxa"/>
          </w:tcPr>
          <w:p w:rsidRPr="00A560AA" w:rsidR="007A3ACF" w:rsidP="007A3ACF" w:rsidRDefault="007A3ACF" w14:paraId="37ADA1B2" w14:textId="2D7CB346">
            <w:pPr>
              <w:pStyle w:val="SP-SglSpPara"/>
              <w:ind w:firstLine="0"/>
              <w:jc w:val="right"/>
              <w:rPr>
                <w:sz w:val="24"/>
                <w:szCs w:val="24"/>
              </w:rPr>
            </w:pPr>
            <w:r w:rsidRPr="0057144A">
              <w:t>3.16</w:t>
            </w:r>
            <w:r>
              <w:t>%</w:t>
            </w:r>
          </w:p>
        </w:tc>
        <w:tc>
          <w:tcPr>
            <w:tcW w:w="1513" w:type="dxa"/>
          </w:tcPr>
          <w:p w:rsidRPr="00A560AA" w:rsidR="007A3ACF" w:rsidP="007A3ACF" w:rsidRDefault="007A3ACF" w14:paraId="1B21066E" w14:textId="3DBC2C8A">
            <w:pPr>
              <w:pStyle w:val="SP-SglSpPara"/>
              <w:ind w:firstLine="0"/>
              <w:jc w:val="right"/>
              <w:rPr>
                <w:sz w:val="24"/>
                <w:szCs w:val="24"/>
              </w:rPr>
            </w:pPr>
            <w:r w:rsidRPr="0057144A">
              <w:t>4.02</w:t>
            </w:r>
            <w:r>
              <w:t>%</w:t>
            </w:r>
          </w:p>
        </w:tc>
      </w:tr>
      <w:tr w:rsidR="007A3ACF" w:rsidTr="009F5C3A" w14:paraId="467F0C1D" w14:textId="77777777">
        <w:tc>
          <w:tcPr>
            <w:tcW w:w="1435" w:type="dxa"/>
          </w:tcPr>
          <w:p w:rsidR="007A3ACF" w:rsidP="007A3ACF" w:rsidRDefault="007A3ACF" w14:paraId="714FABE4" w14:textId="77777777">
            <w:pPr>
              <w:pStyle w:val="SP-SglSpPara"/>
              <w:ind w:firstLine="0"/>
              <w:jc w:val="left"/>
              <w:rPr>
                <w:sz w:val="24"/>
                <w:szCs w:val="24"/>
              </w:rPr>
            </w:pPr>
            <w:r>
              <w:t>Sheriff’s Office – Non-Self-Representing</w:t>
            </w:r>
          </w:p>
        </w:tc>
        <w:tc>
          <w:tcPr>
            <w:tcW w:w="1194" w:type="dxa"/>
          </w:tcPr>
          <w:p w:rsidRPr="00A560AA" w:rsidR="007A3ACF" w:rsidP="007A3ACF" w:rsidRDefault="007A3ACF" w14:paraId="18824D08" w14:textId="2A934E65">
            <w:pPr>
              <w:pStyle w:val="SP-SglSpPara"/>
              <w:ind w:firstLine="0"/>
              <w:jc w:val="right"/>
              <w:rPr>
                <w:sz w:val="24"/>
                <w:szCs w:val="24"/>
              </w:rPr>
            </w:pPr>
            <w:r w:rsidRPr="0057144A">
              <w:t>4.58</w:t>
            </w:r>
            <w:r>
              <w:t>%</w:t>
            </w:r>
          </w:p>
        </w:tc>
        <w:tc>
          <w:tcPr>
            <w:tcW w:w="1302" w:type="dxa"/>
          </w:tcPr>
          <w:p w:rsidRPr="00A560AA" w:rsidR="007A3ACF" w:rsidP="007A3ACF" w:rsidRDefault="007A3ACF" w14:paraId="59D1E17B" w14:textId="7C5F3829">
            <w:pPr>
              <w:pStyle w:val="SP-SglSpPara"/>
              <w:ind w:firstLine="0"/>
              <w:jc w:val="right"/>
              <w:rPr>
                <w:sz w:val="24"/>
                <w:szCs w:val="24"/>
              </w:rPr>
            </w:pPr>
            <w:r w:rsidRPr="0057144A">
              <w:t>6.13</w:t>
            </w:r>
            <w:r>
              <w:t>%</w:t>
            </w:r>
          </w:p>
        </w:tc>
        <w:tc>
          <w:tcPr>
            <w:tcW w:w="1302" w:type="dxa"/>
          </w:tcPr>
          <w:p w:rsidRPr="00A560AA" w:rsidR="007A3ACF" w:rsidP="007A3ACF" w:rsidRDefault="007A3ACF" w14:paraId="63C400A7" w14:textId="0314000A">
            <w:pPr>
              <w:pStyle w:val="SP-SglSpPara"/>
              <w:ind w:firstLine="0"/>
              <w:jc w:val="right"/>
              <w:rPr>
                <w:sz w:val="24"/>
                <w:szCs w:val="24"/>
              </w:rPr>
            </w:pPr>
            <w:r w:rsidRPr="0057144A">
              <w:t>3.63</w:t>
            </w:r>
            <w:r>
              <w:t>%</w:t>
            </w:r>
          </w:p>
        </w:tc>
        <w:tc>
          <w:tcPr>
            <w:tcW w:w="1302" w:type="dxa"/>
          </w:tcPr>
          <w:p w:rsidR="007A3ACF" w:rsidP="007A3ACF" w:rsidRDefault="007A3ACF" w14:paraId="7159DFC1" w14:textId="4B33EE7E">
            <w:pPr>
              <w:pStyle w:val="SP-SglSpPara"/>
              <w:ind w:firstLine="0"/>
              <w:jc w:val="right"/>
            </w:pPr>
            <w:r w:rsidRPr="0057144A">
              <w:t>1.42</w:t>
            </w:r>
            <w:r>
              <w:t>%</w:t>
            </w:r>
          </w:p>
        </w:tc>
        <w:tc>
          <w:tcPr>
            <w:tcW w:w="1302" w:type="dxa"/>
          </w:tcPr>
          <w:p w:rsidRPr="00A560AA" w:rsidR="007A3ACF" w:rsidP="007A3ACF" w:rsidRDefault="007A3ACF" w14:paraId="1FE9EE32" w14:textId="207E9EFC">
            <w:pPr>
              <w:pStyle w:val="SP-SglSpPara"/>
              <w:ind w:firstLine="0"/>
              <w:jc w:val="right"/>
              <w:rPr>
                <w:sz w:val="24"/>
                <w:szCs w:val="24"/>
              </w:rPr>
            </w:pPr>
            <w:r w:rsidRPr="0057144A">
              <w:t>6.72</w:t>
            </w:r>
            <w:r>
              <w:t>%</w:t>
            </w:r>
          </w:p>
        </w:tc>
        <w:tc>
          <w:tcPr>
            <w:tcW w:w="1513" w:type="dxa"/>
          </w:tcPr>
          <w:p w:rsidRPr="00A560AA" w:rsidR="007A3ACF" w:rsidP="007A3ACF" w:rsidRDefault="007A3ACF" w14:paraId="6C63AA09" w14:textId="5C6D2636">
            <w:pPr>
              <w:pStyle w:val="SP-SglSpPara"/>
              <w:ind w:firstLine="0"/>
              <w:jc w:val="right"/>
              <w:rPr>
                <w:sz w:val="24"/>
                <w:szCs w:val="24"/>
              </w:rPr>
            </w:pPr>
            <w:r w:rsidRPr="0057144A">
              <w:t>5.81</w:t>
            </w:r>
            <w:r>
              <w:t>%</w:t>
            </w:r>
          </w:p>
        </w:tc>
      </w:tr>
    </w:tbl>
    <w:p w:rsidR="00F84901" w:rsidP="00F84901" w:rsidRDefault="00F84901" w14:paraId="13007D4B" w14:textId="77777777">
      <w:pPr>
        <w:pStyle w:val="SP-SglSpPara"/>
        <w:ind w:firstLine="0"/>
        <w:jc w:val="left"/>
        <w:rPr>
          <w:sz w:val="24"/>
          <w:szCs w:val="24"/>
        </w:rPr>
      </w:pPr>
    </w:p>
    <w:p w:rsidRPr="00D534B2" w:rsidR="00F84901" w:rsidP="00F84901" w:rsidRDefault="00F84901" w14:paraId="14D36809" w14:textId="77777777">
      <w:pPr>
        <w:pStyle w:val="SP-SglSpPara"/>
        <w:ind w:firstLine="0"/>
        <w:rPr>
          <w:sz w:val="24"/>
          <w:szCs w:val="24"/>
          <w:u w:val="single"/>
        </w:rPr>
      </w:pPr>
      <w:r w:rsidRPr="00D534B2">
        <w:rPr>
          <w:sz w:val="24"/>
          <w:szCs w:val="24"/>
          <w:u w:val="single"/>
        </w:rPr>
        <w:t>Final Sampling Design</w:t>
      </w:r>
    </w:p>
    <w:p w:rsidRPr="00855D09" w:rsidR="00F84901" w:rsidP="00F84901" w:rsidRDefault="00F84901" w14:paraId="0D4AE72E" w14:textId="4926B543">
      <w:pPr>
        <w:pStyle w:val="SP-SglSpPara"/>
        <w:ind w:firstLine="0"/>
        <w:jc w:val="left"/>
        <w:rPr>
          <w:sz w:val="24"/>
          <w:szCs w:val="24"/>
        </w:rPr>
      </w:pPr>
      <w:r w:rsidRPr="00855D09">
        <w:rPr>
          <w:sz w:val="24"/>
          <w:szCs w:val="24"/>
        </w:rPr>
        <w:t xml:space="preserve">The final design </w:t>
      </w:r>
      <w:r w:rsidRPr="00855D09" w:rsidR="00986A0E">
        <w:rPr>
          <w:sz w:val="24"/>
          <w:szCs w:val="24"/>
        </w:rPr>
        <w:t xml:space="preserve">for the </w:t>
      </w:r>
      <w:r w:rsidR="007D71DA">
        <w:rPr>
          <w:sz w:val="24"/>
          <w:szCs w:val="24"/>
        </w:rPr>
        <w:t>2020</w:t>
      </w:r>
      <w:r w:rsidRPr="00855D09" w:rsidR="00986A0E">
        <w:rPr>
          <w:sz w:val="24"/>
          <w:szCs w:val="24"/>
        </w:rPr>
        <w:t xml:space="preserve"> LEMAS </w:t>
      </w:r>
      <w:r w:rsidRPr="001B2488" w:rsidR="00AA688D">
        <w:rPr>
          <w:sz w:val="24"/>
          <w:szCs w:val="24"/>
        </w:rPr>
        <w:t>will mirror the m</w:t>
      </w:r>
      <w:r w:rsidRPr="00855D09" w:rsidR="00855D09">
        <w:rPr>
          <w:sz w:val="24"/>
          <w:szCs w:val="24"/>
        </w:rPr>
        <w:t xml:space="preserve">ethods used in the previous </w:t>
      </w:r>
      <w:r w:rsidR="00855D09">
        <w:rPr>
          <w:sz w:val="24"/>
          <w:szCs w:val="24"/>
        </w:rPr>
        <w:t xml:space="preserve">LEMAS </w:t>
      </w:r>
      <w:r w:rsidRPr="00855D09" w:rsidR="00AA688D">
        <w:rPr>
          <w:sz w:val="24"/>
          <w:szCs w:val="24"/>
        </w:rPr>
        <w:t>administrations: (1) strata will be</w:t>
      </w:r>
      <w:r w:rsidRPr="001B2488" w:rsidR="00AA688D">
        <w:rPr>
          <w:sz w:val="24"/>
          <w:szCs w:val="24"/>
        </w:rPr>
        <w:t xml:space="preserve"> based on agency type and number of </w:t>
      </w:r>
      <w:r w:rsidR="00662CA2">
        <w:rPr>
          <w:sz w:val="24"/>
          <w:szCs w:val="24"/>
        </w:rPr>
        <w:t>FTE</w:t>
      </w:r>
      <w:r w:rsidRPr="001B2488" w:rsidR="00AA688D">
        <w:rPr>
          <w:sz w:val="24"/>
          <w:szCs w:val="24"/>
        </w:rPr>
        <w:t xml:space="preserve"> </w:t>
      </w:r>
      <w:r w:rsidRPr="00855D09" w:rsidR="00AA688D">
        <w:rPr>
          <w:sz w:val="24"/>
          <w:szCs w:val="24"/>
        </w:rPr>
        <w:t xml:space="preserve">sworn officer as shown in Table 2 and (2) </w:t>
      </w:r>
      <w:r w:rsidRPr="00156904" w:rsidR="00AA688D">
        <w:rPr>
          <w:rFonts w:eastAsia="Calibri"/>
          <w:bCs/>
          <w:sz w:val="24"/>
          <w:szCs w:val="24"/>
        </w:rPr>
        <w:t xml:space="preserve">sample size allocation will be based on the proportional number of agencies </w:t>
      </w:r>
      <w:r w:rsidRPr="00156904" w:rsidR="00855D09">
        <w:rPr>
          <w:rFonts w:eastAsia="Calibri"/>
          <w:bCs/>
          <w:sz w:val="24"/>
          <w:szCs w:val="24"/>
        </w:rPr>
        <w:t xml:space="preserve">within in each strata. The LEAR will serve as the sampling frame with and </w:t>
      </w:r>
      <w:r w:rsidR="0042651D">
        <w:rPr>
          <w:rFonts w:eastAsia="Calibri"/>
          <w:bCs/>
          <w:sz w:val="24"/>
          <w:szCs w:val="24"/>
        </w:rPr>
        <w:t>the</w:t>
      </w:r>
      <w:r w:rsidRPr="00156904" w:rsidR="0042651D">
        <w:rPr>
          <w:rFonts w:eastAsia="Calibri"/>
          <w:bCs/>
          <w:sz w:val="24"/>
          <w:szCs w:val="24"/>
        </w:rPr>
        <w:t xml:space="preserve"> </w:t>
      </w:r>
      <w:r w:rsidRPr="00156904" w:rsidR="00855D09">
        <w:rPr>
          <w:rFonts w:eastAsia="Calibri"/>
          <w:bCs/>
          <w:sz w:val="24"/>
          <w:szCs w:val="24"/>
        </w:rPr>
        <w:t xml:space="preserve">sample size </w:t>
      </w:r>
      <w:r w:rsidR="0042651D">
        <w:rPr>
          <w:rFonts w:eastAsia="Calibri"/>
          <w:bCs/>
          <w:sz w:val="24"/>
          <w:szCs w:val="24"/>
        </w:rPr>
        <w:t xml:space="preserve">will </w:t>
      </w:r>
      <w:r w:rsidRPr="00435C84" w:rsidR="0042651D">
        <w:rPr>
          <w:rFonts w:eastAsia="Calibri"/>
          <w:bCs/>
          <w:sz w:val="24"/>
          <w:szCs w:val="24"/>
        </w:rPr>
        <w:t xml:space="preserve">be </w:t>
      </w:r>
      <w:r w:rsidRPr="00435C84" w:rsidR="00855D09">
        <w:rPr>
          <w:rFonts w:eastAsia="Calibri"/>
          <w:bCs/>
          <w:sz w:val="24"/>
          <w:szCs w:val="24"/>
        </w:rPr>
        <w:t>3,</w:t>
      </w:r>
      <w:r w:rsidRPr="00435C84" w:rsidR="0042651D">
        <w:rPr>
          <w:rFonts w:eastAsia="Calibri"/>
          <w:bCs/>
          <w:sz w:val="24"/>
          <w:szCs w:val="24"/>
        </w:rPr>
        <w:t>500</w:t>
      </w:r>
      <w:r w:rsidRPr="00435C84" w:rsidR="00855D09">
        <w:rPr>
          <w:rFonts w:eastAsia="Calibri"/>
          <w:bCs/>
          <w:sz w:val="24"/>
          <w:szCs w:val="24"/>
        </w:rPr>
        <w:t xml:space="preserve"> agencies</w:t>
      </w:r>
      <w:r w:rsidRPr="00156904" w:rsidR="00855D09">
        <w:rPr>
          <w:rFonts w:eastAsia="Calibri"/>
          <w:bCs/>
          <w:sz w:val="24"/>
          <w:szCs w:val="24"/>
        </w:rPr>
        <w:t xml:space="preserve"> for the </w:t>
      </w:r>
      <w:r w:rsidR="007D71DA">
        <w:rPr>
          <w:rFonts w:eastAsia="Calibri"/>
          <w:bCs/>
          <w:sz w:val="24"/>
          <w:szCs w:val="24"/>
        </w:rPr>
        <w:t>2020</w:t>
      </w:r>
      <w:r w:rsidRPr="00156904" w:rsidR="00855D09">
        <w:rPr>
          <w:rFonts w:eastAsia="Calibri"/>
          <w:bCs/>
          <w:sz w:val="24"/>
          <w:szCs w:val="24"/>
        </w:rPr>
        <w:t xml:space="preserve"> LEMAS. Sample allocation by strata for the </w:t>
      </w:r>
      <w:r w:rsidR="007D71DA">
        <w:rPr>
          <w:rFonts w:eastAsia="Calibri"/>
          <w:bCs/>
          <w:sz w:val="24"/>
          <w:szCs w:val="24"/>
        </w:rPr>
        <w:t>2020</w:t>
      </w:r>
      <w:r w:rsidRPr="00156904" w:rsidR="00855D09">
        <w:rPr>
          <w:rFonts w:eastAsia="Calibri"/>
          <w:bCs/>
          <w:sz w:val="24"/>
          <w:szCs w:val="24"/>
        </w:rPr>
        <w:t xml:space="preserve"> LEMAS </w:t>
      </w:r>
      <w:r w:rsidR="00662CA2">
        <w:rPr>
          <w:rFonts w:eastAsia="Calibri"/>
          <w:bCs/>
          <w:sz w:val="24"/>
          <w:szCs w:val="24"/>
        </w:rPr>
        <w:t>is</w:t>
      </w:r>
      <w:r w:rsidRPr="00156904" w:rsidR="00662CA2">
        <w:rPr>
          <w:rFonts w:eastAsia="Calibri"/>
          <w:bCs/>
          <w:sz w:val="24"/>
          <w:szCs w:val="24"/>
        </w:rPr>
        <w:t xml:space="preserve"> </w:t>
      </w:r>
      <w:r w:rsidRPr="00156904" w:rsidR="00855D09">
        <w:rPr>
          <w:rFonts w:eastAsia="Calibri"/>
          <w:bCs/>
          <w:sz w:val="24"/>
          <w:szCs w:val="24"/>
        </w:rPr>
        <w:t xml:space="preserve">shown in Table 9. </w:t>
      </w:r>
    </w:p>
    <w:p w:rsidR="00E6742D" w:rsidP="00E6742D" w:rsidRDefault="00E6742D" w14:paraId="0D93953F" w14:textId="77777777">
      <w:pPr>
        <w:pStyle w:val="SP-SglSpPara"/>
        <w:ind w:firstLine="0"/>
        <w:jc w:val="left"/>
        <w:rPr>
          <w:sz w:val="24"/>
          <w:szCs w:val="24"/>
        </w:rPr>
      </w:pPr>
    </w:p>
    <w:p w:rsidRPr="00596C3F" w:rsidR="00DD5DDC" w:rsidP="00E6742D" w:rsidRDefault="00DD5DDC" w14:paraId="7ED2B372" w14:textId="77777777">
      <w:pPr>
        <w:pStyle w:val="SP-SglSpPara"/>
        <w:ind w:firstLine="0"/>
        <w:jc w:val="left"/>
        <w:rPr>
          <w:sz w:val="24"/>
          <w:szCs w:val="24"/>
        </w:rPr>
      </w:pPr>
    </w:p>
    <w:p w:rsidR="00A6699A" w:rsidP="0088712E" w:rsidRDefault="00E6742D" w14:paraId="71D15AF0" w14:textId="77777777">
      <w:pPr>
        <w:pStyle w:val="ListParagraph"/>
        <w:numPr>
          <w:ilvl w:val="0"/>
          <w:numId w:val="5"/>
        </w:numPr>
        <w:rPr>
          <w:b/>
          <w:u w:val="single"/>
        </w:rPr>
      </w:pPr>
      <w:r w:rsidRPr="00596C3F">
        <w:rPr>
          <w:b/>
          <w:u w:val="single"/>
        </w:rPr>
        <w:t>Procedures for Collecting Information</w:t>
      </w:r>
      <w:r w:rsidR="00A6699A">
        <w:rPr>
          <w:b/>
          <w:u w:val="single"/>
        </w:rPr>
        <w:t xml:space="preserve"> </w:t>
      </w:r>
    </w:p>
    <w:p w:rsidRPr="00596C3F" w:rsidR="00A6699A" w:rsidP="0088712E" w:rsidRDefault="00A6699A" w14:paraId="079AAD37" w14:textId="77777777">
      <w:pPr>
        <w:pStyle w:val="ListParagraph"/>
        <w:ind w:left="0"/>
        <w:rPr>
          <w:b/>
          <w:u w:val="single"/>
        </w:rPr>
      </w:pPr>
    </w:p>
    <w:p w:rsidR="00AE2D4A" w:rsidP="00D51B2B" w:rsidRDefault="00D51B2B" w14:paraId="5BE21B5B" w14:textId="056578A3">
      <w:pPr>
        <w:pStyle w:val="ListParagraph"/>
        <w:ind w:left="0"/>
      </w:pPr>
      <w:r w:rsidRPr="00156904">
        <w:rPr>
          <w:i/>
        </w:rPr>
        <w:t xml:space="preserve">Data </w:t>
      </w:r>
      <w:r w:rsidRPr="00156904" w:rsidR="009740BB">
        <w:rPr>
          <w:i/>
        </w:rPr>
        <w:t>C</w:t>
      </w:r>
      <w:r w:rsidRPr="00156904">
        <w:rPr>
          <w:i/>
        </w:rPr>
        <w:t>ollection</w:t>
      </w:r>
      <w:r w:rsidRPr="00156904" w:rsidR="009740BB">
        <w:rPr>
          <w:i/>
        </w:rPr>
        <w:t xml:space="preserve"> Procedures</w:t>
      </w:r>
      <w:r w:rsidR="009740BB">
        <w:t>.</w:t>
      </w:r>
      <w:r w:rsidRPr="00596C3F">
        <w:t xml:space="preserve"> </w:t>
      </w:r>
      <w:r w:rsidR="009740BB">
        <w:t>T</w:t>
      </w:r>
      <w:r>
        <w:t xml:space="preserve">he </w:t>
      </w:r>
      <w:r w:rsidR="007D71DA">
        <w:t>2020</w:t>
      </w:r>
      <w:r>
        <w:t xml:space="preserve"> LEMAS will involve a </w:t>
      </w:r>
      <w:r w:rsidR="00CB1A3F">
        <w:t xml:space="preserve">comprehensive </w:t>
      </w:r>
      <w:r>
        <w:t>series of mailings and non-response follow-up activities</w:t>
      </w:r>
      <w:r w:rsidR="00CB1A3F">
        <w:t xml:space="preserve"> to facilitate high response rates and data quality</w:t>
      </w:r>
      <w:r w:rsidR="00156904">
        <w:t>.</w:t>
      </w:r>
      <w:r w:rsidRPr="00156904" w:rsidR="00156904">
        <w:t xml:space="preserve"> </w:t>
      </w:r>
      <w:r w:rsidR="00156904">
        <w:t xml:space="preserve">Data collection will begin with a </w:t>
      </w:r>
      <w:r w:rsidR="00AE2D4A">
        <w:t>prenotification letter (mailed via USPS)</w:t>
      </w:r>
      <w:r w:rsidR="00281C89">
        <w:t>, on BJS letterhead and signed by the BJS director</w:t>
      </w:r>
      <w:r w:rsidR="00AE2D4A">
        <w:t xml:space="preserve"> to LEA agency heads announcing the survey and describing the purpose of the data collection</w:t>
      </w:r>
      <w:r w:rsidR="00B04041">
        <w:t xml:space="preserve"> (Attachment </w:t>
      </w:r>
      <w:r w:rsidR="002125EF">
        <w:t>8</w:t>
      </w:r>
      <w:r w:rsidR="00B04041">
        <w:t>)</w:t>
      </w:r>
      <w:r w:rsidR="00AE2D4A">
        <w:t xml:space="preserve">. </w:t>
      </w:r>
    </w:p>
    <w:p w:rsidR="00AE2D4A" w:rsidP="00D51B2B" w:rsidRDefault="00AE2D4A" w14:paraId="10F62065" w14:textId="77777777">
      <w:pPr>
        <w:pStyle w:val="ListParagraph"/>
        <w:ind w:left="0"/>
      </w:pPr>
    </w:p>
    <w:p w:rsidR="00D51B2B" w:rsidP="00D51B2B" w:rsidRDefault="00AE2D4A" w14:paraId="53F3CC8E" w14:textId="72DB5F99">
      <w:pPr>
        <w:pStyle w:val="ListParagraph"/>
        <w:ind w:left="0"/>
      </w:pPr>
      <w:r>
        <w:t xml:space="preserve">Two weeks after the prenotification mailing, a </w:t>
      </w:r>
      <w:r w:rsidR="00156904">
        <w:t xml:space="preserve">survey invitation </w:t>
      </w:r>
      <w:r w:rsidRPr="00596C3F" w:rsidR="00156904">
        <w:t xml:space="preserve">letter </w:t>
      </w:r>
      <w:r w:rsidR="00156904">
        <w:t>(</w:t>
      </w:r>
      <w:r w:rsidRPr="00596C3F" w:rsidR="00156904">
        <w:t>mailed via USPS</w:t>
      </w:r>
      <w:r w:rsidR="00156904">
        <w:t xml:space="preserve">) and an email </w:t>
      </w:r>
      <w:r w:rsidRPr="00596C3F" w:rsidR="00156904">
        <w:t xml:space="preserve">to the POC for each LEA </w:t>
      </w:r>
      <w:r w:rsidR="00B04041">
        <w:t xml:space="preserve">will be sent </w:t>
      </w:r>
      <w:r w:rsidRPr="00596C3F" w:rsidR="00156904">
        <w:t xml:space="preserve">to inform him or her about the </w:t>
      </w:r>
      <w:r w:rsidR="00156904">
        <w:t xml:space="preserve">survey. This letter will </w:t>
      </w:r>
      <w:r w:rsidRPr="00596C3F" w:rsidR="00156904">
        <w:t xml:space="preserve">explain the purpose </w:t>
      </w:r>
      <w:r w:rsidR="00156904">
        <w:t xml:space="preserve">and significance </w:t>
      </w:r>
      <w:r w:rsidRPr="00596C3F" w:rsidR="00156904">
        <w:t xml:space="preserve">of </w:t>
      </w:r>
      <w:r w:rsidR="00156904">
        <w:t>the survey. It will include the survey web address and agency-specific log-in credentials (</w:t>
      </w:r>
      <w:r w:rsidRPr="00D534B2" w:rsidR="00156904">
        <w:t xml:space="preserve">Attachment </w:t>
      </w:r>
      <w:r w:rsidR="002125EF">
        <w:t>9</w:t>
      </w:r>
      <w:r w:rsidRPr="00D534B2" w:rsidR="00156904">
        <w:t xml:space="preserve">). The </w:t>
      </w:r>
      <w:r w:rsidR="00156904">
        <w:t>survey invitation letter</w:t>
      </w:r>
      <w:r w:rsidRPr="00D534B2" w:rsidR="00156904">
        <w:t xml:space="preserve"> will </w:t>
      </w:r>
      <w:r w:rsidR="00156904">
        <w:t xml:space="preserve">provide </w:t>
      </w:r>
      <w:r w:rsidRPr="00D534B2" w:rsidR="00156904">
        <w:t>a toll-free telephone number and project-specific email address</w:t>
      </w:r>
      <w:r w:rsidR="00156904">
        <w:t xml:space="preserve"> for the survey Help Desk</w:t>
      </w:r>
      <w:r w:rsidRPr="00D534B2" w:rsidR="00156904">
        <w:t xml:space="preserve"> should the POC have any questions. </w:t>
      </w:r>
      <w:r w:rsidRPr="00D534B2" w:rsidR="00281C89">
        <w:t>Accompanying this letter will be</w:t>
      </w:r>
      <w:r w:rsidR="00281C89">
        <w:t xml:space="preserve"> a letter of support from the Police Executive Research Forum (PERF) and other law enforcement professional organizations; </w:t>
      </w:r>
      <w:r w:rsidR="008939CA">
        <w:t xml:space="preserve">letters will be customized to the type of agency, but all letters will include all supporting organizations </w:t>
      </w:r>
      <w:r w:rsidR="00281C89">
        <w:t xml:space="preserve">(Attachments </w:t>
      </w:r>
      <w:r w:rsidR="002125EF">
        <w:t>10</w:t>
      </w:r>
      <w:r w:rsidRPr="000652FE" w:rsidR="00281C89">
        <w:t xml:space="preserve"> and 1</w:t>
      </w:r>
      <w:r w:rsidR="002125EF">
        <w:t>1</w:t>
      </w:r>
      <w:r w:rsidR="00281C89">
        <w:t xml:space="preserve">).  </w:t>
      </w:r>
      <w:r w:rsidR="00D57E7A">
        <w:t>An enclosed</w:t>
      </w:r>
      <w:r w:rsidR="009740BB">
        <w:t xml:space="preserve"> flyer will explain the new design of the LEMAS—</w:t>
      </w:r>
      <w:r w:rsidR="001D4798">
        <w:t xml:space="preserve">use of </w:t>
      </w:r>
      <w:r w:rsidR="001D4798">
        <w:lastRenderedPageBreak/>
        <w:t>a shortened questionnaire and distinct versions for police departments and sheriff’s offices</w:t>
      </w:r>
      <w:r w:rsidR="00D57E7A">
        <w:t xml:space="preserve"> (Attachment 1</w:t>
      </w:r>
      <w:r w:rsidR="002125EF">
        <w:t>2</w:t>
      </w:r>
      <w:r w:rsidR="00D57E7A">
        <w:t>)</w:t>
      </w:r>
      <w:r w:rsidR="001D4798">
        <w:t xml:space="preserve">.  </w:t>
      </w:r>
      <w:r w:rsidRPr="00D534B2" w:rsidR="00D51B2B">
        <w:t>A</w:t>
      </w:r>
      <w:r w:rsidR="00D57E7A">
        <w:t>lso a</w:t>
      </w:r>
      <w:r w:rsidRPr="00D534B2" w:rsidR="00D51B2B">
        <w:t>ccompanying this letter will be</w:t>
      </w:r>
      <w:r w:rsidR="00D51B2B">
        <w:t xml:space="preserve"> a POC Update Form (Attachment </w:t>
      </w:r>
      <w:r w:rsidR="0011312E">
        <w:t>1</w:t>
      </w:r>
      <w:r w:rsidR="002125EF">
        <w:t>3</w:t>
      </w:r>
      <w:r w:rsidR="00D51B2B">
        <w:t>) that the recipient can use to fax contact information for a newly designated POC</w:t>
      </w:r>
      <w:r w:rsidR="009740BB">
        <w:t xml:space="preserve"> and a </w:t>
      </w:r>
      <w:r w:rsidR="00F0381A">
        <w:t xml:space="preserve">list of survey topics to inform respondents about the types of information they will need to collect prior to completing the survey </w:t>
      </w:r>
      <w:r w:rsidR="009740BB">
        <w:t xml:space="preserve">(Attachment </w:t>
      </w:r>
      <w:r w:rsidRPr="00D57E7A" w:rsidR="007E05A7">
        <w:t>1</w:t>
      </w:r>
      <w:r w:rsidR="002125EF">
        <w:t>4</w:t>
      </w:r>
      <w:r w:rsidR="009740BB">
        <w:t>)</w:t>
      </w:r>
      <w:r w:rsidR="00D51B2B">
        <w:t>.</w:t>
      </w:r>
      <w:r w:rsidRPr="00596C3F" w:rsidR="00D51B2B">
        <w:t xml:space="preserve"> </w:t>
      </w:r>
      <w:r w:rsidR="00D51B2B">
        <w:t xml:space="preserve">Approximately </w:t>
      </w:r>
      <w:r w:rsidR="00E77256">
        <w:t xml:space="preserve">1 </w:t>
      </w:r>
      <w:r w:rsidR="00D51B2B">
        <w:t>week after sending the survey invitation letter, RTI will send an email message that is identical to the survey invitation letter to those recipients for whom an email address is available to confirm receipt of the study materials</w:t>
      </w:r>
      <w:r w:rsidR="00E45EE9">
        <w:t xml:space="preserve"> (Attachment 1</w:t>
      </w:r>
      <w:r w:rsidR="002125EF">
        <w:t>5</w:t>
      </w:r>
      <w:r w:rsidR="00E45EE9">
        <w:t>)</w:t>
      </w:r>
      <w:r w:rsidR="00D51B2B">
        <w:t>.</w:t>
      </w:r>
      <w:r w:rsidR="00975C81">
        <w:t xml:space="preserve"> Within three weeks of receiving a survey, the respondent will receive a thank you email or letter depending on the</w:t>
      </w:r>
      <w:r w:rsidR="0037167C">
        <w:t xml:space="preserve"> mode of</w:t>
      </w:r>
      <w:r w:rsidR="00975C81">
        <w:t xml:space="preserve"> completion (Attachment 1</w:t>
      </w:r>
      <w:r w:rsidR="002125EF">
        <w:t>6</w:t>
      </w:r>
      <w:r w:rsidR="00975C81">
        <w:t xml:space="preserve">). The thank you will acknowledge receipt of the survey and state that the agency may be contacted for clarification once their survey responses are processed. </w:t>
      </w:r>
    </w:p>
    <w:p w:rsidR="00D51B2B" w:rsidP="00D51B2B" w:rsidRDefault="00D51B2B" w14:paraId="4AFB388E" w14:textId="77777777">
      <w:pPr>
        <w:pStyle w:val="ListParagraph"/>
        <w:ind w:left="0"/>
      </w:pPr>
    </w:p>
    <w:p w:rsidR="00FE1C5A" w:rsidP="00D51B2B" w:rsidRDefault="006E55C8" w14:paraId="26E35D91" w14:textId="5C7F7CB3">
      <w:pPr>
        <w:pStyle w:val="ListParagraph"/>
        <w:ind w:left="0"/>
      </w:pPr>
      <w:r>
        <w:t xml:space="preserve">Two </w:t>
      </w:r>
      <w:r w:rsidR="00D51B2B">
        <w:t xml:space="preserve">weeks after sending the survey invitation letters, </w:t>
      </w:r>
      <w:r>
        <w:t>a reminder mailing will be sent via USPS to nonrespondents (Attachment 1</w:t>
      </w:r>
      <w:r w:rsidR="002125EF">
        <w:t>7</w:t>
      </w:r>
      <w:r>
        <w:t>)</w:t>
      </w:r>
      <w:r w:rsidR="00F0381A">
        <w:t>; this mailing will include a paper copy of the 2020 LEMAS instrument (Attachment 1</w:t>
      </w:r>
      <w:r w:rsidR="002125EF">
        <w:t>8</w:t>
      </w:r>
      <w:r w:rsidR="00965E64">
        <w:t xml:space="preserve"> or Attachment 1</w:t>
      </w:r>
      <w:r w:rsidR="002125EF">
        <w:t>9</w:t>
      </w:r>
      <w:r w:rsidR="00F0381A">
        <w:t>) and a business reply return envelope</w:t>
      </w:r>
      <w:r>
        <w:t xml:space="preserve">. One week later, </w:t>
      </w:r>
      <w:r w:rsidR="00D51B2B">
        <w:t xml:space="preserve">a reminder email will be sent to all </w:t>
      </w:r>
      <w:r>
        <w:t xml:space="preserve">nonrespondent </w:t>
      </w:r>
      <w:r w:rsidR="00D51B2B">
        <w:t xml:space="preserve">POCs, including those who are newly identified (Attachment </w:t>
      </w:r>
      <w:r w:rsidR="002125EF">
        <w:t>20</w:t>
      </w:r>
      <w:r w:rsidR="00D51B2B">
        <w:t>). The</w:t>
      </w:r>
      <w:r>
        <w:t xml:space="preserve"> reminder letter and</w:t>
      </w:r>
      <w:r w:rsidR="00D51B2B">
        <w:t xml:space="preserve"> email will express the importance of the LEMAS to the LEA community and encourage response via the online survey (or </w:t>
      </w:r>
      <w:r w:rsidR="00DD462A">
        <w:t>paper</w:t>
      </w:r>
      <w:r w:rsidR="00D51B2B">
        <w:t xml:space="preserve"> copy</w:t>
      </w:r>
      <w:r w:rsidR="00E77256">
        <w:t>,</w:t>
      </w:r>
      <w:r w:rsidR="00D51B2B">
        <w:t xml:space="preserve"> if preferred). </w:t>
      </w:r>
      <w:r>
        <w:t xml:space="preserve">Two </w:t>
      </w:r>
      <w:r w:rsidR="00D51B2B">
        <w:t xml:space="preserve">weeks after </w:t>
      </w:r>
      <w:r>
        <w:t xml:space="preserve">those </w:t>
      </w:r>
      <w:r w:rsidR="00D51B2B">
        <w:t>reminder</w:t>
      </w:r>
      <w:r>
        <w:t>s</w:t>
      </w:r>
      <w:r w:rsidR="00D51B2B">
        <w:t xml:space="preserve"> are sent, RTI will </w:t>
      </w:r>
      <w:r w:rsidR="008C7848">
        <w:t xml:space="preserve">mail </w:t>
      </w:r>
      <w:r w:rsidR="00D51B2B">
        <w:t xml:space="preserve">a reminder </w:t>
      </w:r>
      <w:r>
        <w:t xml:space="preserve">postcard </w:t>
      </w:r>
      <w:r w:rsidR="00D51B2B">
        <w:t xml:space="preserve">to POCs (Attachment </w:t>
      </w:r>
      <w:r w:rsidR="002125EF">
        <w:t>21</w:t>
      </w:r>
      <w:r w:rsidR="00D51B2B">
        <w:t>)</w:t>
      </w:r>
      <w:r w:rsidR="00FE1C5A">
        <w:t xml:space="preserve"> that will include the website information and instructions on how to download another paper copy of the questionnaire if needed</w:t>
      </w:r>
      <w:r w:rsidR="00D51B2B">
        <w:t xml:space="preserve">.  </w:t>
      </w:r>
      <w:r>
        <w:t xml:space="preserve">Two </w:t>
      </w:r>
      <w:r w:rsidR="00D51B2B">
        <w:t>weeks after sending the reminder</w:t>
      </w:r>
      <w:r>
        <w:t xml:space="preserve"> postcard</w:t>
      </w:r>
      <w:r w:rsidR="00FE1C5A">
        <w:t>,</w:t>
      </w:r>
      <w:r w:rsidR="00A95CFB">
        <w:t xml:space="preserve"> </w:t>
      </w:r>
      <w:r w:rsidR="00D51B2B">
        <w:t xml:space="preserve">we will </w:t>
      </w:r>
      <w:r w:rsidR="003147EB">
        <w:t xml:space="preserve">send a </w:t>
      </w:r>
      <w:r w:rsidR="00E81E00">
        <w:t xml:space="preserve">fourth </w:t>
      </w:r>
      <w:r w:rsidR="003147EB">
        <w:t xml:space="preserve">reminder via email </w:t>
      </w:r>
      <w:r w:rsidR="00975C81">
        <w:t xml:space="preserve">(Attachment </w:t>
      </w:r>
      <w:r w:rsidR="00E45EE9">
        <w:t>2</w:t>
      </w:r>
      <w:r w:rsidR="002125EF">
        <w:t>2</w:t>
      </w:r>
      <w:r w:rsidR="00D57E7A">
        <w:t>)</w:t>
      </w:r>
      <w:r>
        <w:t xml:space="preserve">. A </w:t>
      </w:r>
      <w:r w:rsidR="00F0381A">
        <w:t>fifth</w:t>
      </w:r>
      <w:r>
        <w:t xml:space="preserve"> reminder</w:t>
      </w:r>
      <w:r w:rsidR="00E45EE9">
        <w:t xml:space="preserve"> (Attachment 2</w:t>
      </w:r>
      <w:r w:rsidR="002125EF">
        <w:t>3</w:t>
      </w:r>
      <w:r w:rsidR="00E45EE9">
        <w:t>)</w:t>
      </w:r>
      <w:r>
        <w:t xml:space="preserve">, again via USPS and including a second copy of the paper questionnaire, will be sent three weeks after the </w:t>
      </w:r>
      <w:r w:rsidR="00F0381A">
        <w:t>fourth</w:t>
      </w:r>
      <w:r>
        <w:t xml:space="preserve"> reminder. T</w:t>
      </w:r>
      <w:r w:rsidR="00D51B2B">
        <w:t>elephone follow-up with all non-responding LEAs</w:t>
      </w:r>
      <w:r>
        <w:t xml:space="preserve"> will begin one week after the </w:t>
      </w:r>
      <w:r w:rsidR="00F0381A">
        <w:t>fifth</w:t>
      </w:r>
      <w:r>
        <w:t xml:space="preserve"> reminder is sent</w:t>
      </w:r>
      <w:r w:rsidR="00D51B2B">
        <w:t>. The procedures for this activity</w:t>
      </w:r>
      <w:r w:rsidR="003147EB">
        <w:t xml:space="preserve"> and the final </w:t>
      </w:r>
      <w:r w:rsidR="00B265B4">
        <w:t xml:space="preserve">three </w:t>
      </w:r>
      <w:r w:rsidR="003147EB">
        <w:t>nonresponse follow-up contacts</w:t>
      </w:r>
      <w:r w:rsidR="00D51B2B">
        <w:t xml:space="preserve"> are discussed in Section 3.</w:t>
      </w:r>
      <w:r w:rsidR="007A538F">
        <w:t xml:space="preserve"> </w:t>
      </w:r>
    </w:p>
    <w:p w:rsidR="00D51B2B" w:rsidP="00D51B2B" w:rsidRDefault="00D51B2B" w14:paraId="5A71A0B3" w14:textId="77777777">
      <w:pPr>
        <w:pStyle w:val="ListParagraph"/>
        <w:ind w:left="0"/>
      </w:pPr>
    </w:p>
    <w:p w:rsidR="00D51B2B" w:rsidP="00975C81" w:rsidRDefault="00D51B2B" w14:paraId="542EE225" w14:textId="5EFD8431">
      <w:pPr>
        <w:pStyle w:val="ListParagraph"/>
        <w:keepNext/>
        <w:ind w:left="0"/>
      </w:pPr>
      <w:r w:rsidRPr="0079398A">
        <w:t>Upon receipt</w:t>
      </w:r>
      <w:r>
        <w:t xml:space="preserve"> of a completed survey (web or </w:t>
      </w:r>
      <w:r w:rsidR="00DD462A">
        <w:t xml:space="preserve">paper </w:t>
      </w:r>
      <w:r>
        <w:t>copy)</w:t>
      </w:r>
      <w:r w:rsidRPr="0079398A">
        <w:t xml:space="preserve">, </w:t>
      </w:r>
      <w:r>
        <w:t xml:space="preserve">data </w:t>
      </w:r>
      <w:r w:rsidRPr="0079398A">
        <w:t xml:space="preserve">will be reviewed and edited, and if needed, the </w:t>
      </w:r>
      <w:r>
        <w:t xml:space="preserve">respondent </w:t>
      </w:r>
      <w:r w:rsidRPr="0079398A">
        <w:t xml:space="preserve">will be contacted to clarify </w:t>
      </w:r>
      <w:r>
        <w:t xml:space="preserve">answers </w:t>
      </w:r>
      <w:r w:rsidRPr="0079398A">
        <w:t xml:space="preserve">or provide missing information. </w:t>
      </w:r>
      <w:r>
        <w:t xml:space="preserve">RTI will </w:t>
      </w:r>
      <w:r w:rsidR="00B265B4">
        <w:t>scan</w:t>
      </w:r>
      <w:r>
        <w:t xml:space="preserve"> all </w:t>
      </w:r>
      <w:r w:rsidR="00DD462A">
        <w:t xml:space="preserve">paper </w:t>
      </w:r>
      <w:r>
        <w:t xml:space="preserve">copy questionnaires </w:t>
      </w:r>
      <w:r w:rsidR="00B265B4">
        <w:t xml:space="preserve">and perform </w:t>
      </w:r>
      <w:r>
        <w:t xml:space="preserve">the same data quality review procedures </w:t>
      </w:r>
      <w:r w:rsidR="00B265B4">
        <w:t xml:space="preserve">that </w:t>
      </w:r>
      <w:r>
        <w:t xml:space="preserve">are applied to </w:t>
      </w:r>
      <w:r w:rsidR="00B265B4">
        <w:t xml:space="preserve">web </w:t>
      </w:r>
      <w:r>
        <w:t xml:space="preserve">survey data. </w:t>
      </w:r>
      <w:r w:rsidRPr="0079398A">
        <w:t xml:space="preserve">Prior to contacting the respondent, </w:t>
      </w:r>
      <w:r>
        <w:t xml:space="preserve">RTI </w:t>
      </w:r>
      <w:r w:rsidRPr="0079398A">
        <w:t xml:space="preserve">staff will aim to address data inconsistencies via BJS-approved editing specifications. </w:t>
      </w:r>
      <w:r>
        <w:t xml:space="preserve">RTI </w:t>
      </w:r>
      <w:r w:rsidRPr="0079398A">
        <w:t xml:space="preserve">also will ensure that responses fall within the proper coding schemes specified by BJS. The following is a summary of the data quality assurance steps that </w:t>
      </w:r>
      <w:r>
        <w:t xml:space="preserve">RTI </w:t>
      </w:r>
      <w:r w:rsidRPr="0079398A">
        <w:t xml:space="preserve">will observe during the data collection and processing period: </w:t>
      </w:r>
    </w:p>
    <w:p w:rsidR="00D51B2B" w:rsidP="00D51B2B" w:rsidRDefault="00D51B2B" w14:paraId="25A68D98" w14:textId="77777777">
      <w:pPr>
        <w:pStyle w:val="ListParagraph"/>
        <w:ind w:left="0"/>
      </w:pPr>
    </w:p>
    <w:p w:rsidR="00D51B2B" w:rsidP="00D51B2B" w:rsidRDefault="00D51B2B" w14:paraId="0192C622" w14:textId="1018A0AE">
      <w:pPr>
        <w:pStyle w:val="ListParagraph"/>
        <w:ind w:left="0"/>
      </w:pPr>
      <w:r w:rsidRPr="00156904">
        <w:rPr>
          <w:i/>
        </w:rPr>
        <w:t>Data Editing</w:t>
      </w:r>
      <w:r w:rsidRPr="0079398A">
        <w:t xml:space="preserve">. </w:t>
      </w:r>
      <w:r>
        <w:t xml:space="preserve">RTI </w:t>
      </w:r>
      <w:r w:rsidRPr="0079398A">
        <w:t xml:space="preserve">will attempt to reconcile missing or erroneous data through </w:t>
      </w:r>
      <w:r>
        <w:t>automated and</w:t>
      </w:r>
      <w:r w:rsidRPr="0079398A">
        <w:t xml:space="preserve"> manual edit</w:t>
      </w:r>
      <w:r>
        <w:t>s</w:t>
      </w:r>
      <w:r w:rsidRPr="0079398A">
        <w:t xml:space="preserve"> of each questionnaire. In collaboration with BJS, </w:t>
      </w:r>
      <w:r>
        <w:t xml:space="preserve">RTI </w:t>
      </w:r>
      <w:r w:rsidRPr="0079398A">
        <w:t xml:space="preserve">will develop a list of edits that can be completed by referring to other data provided by the respondent on the survey instrument. Through this process, </w:t>
      </w:r>
      <w:r>
        <w:t xml:space="preserve">RTI </w:t>
      </w:r>
      <w:r w:rsidRPr="0079398A">
        <w:t>can quickly identify which cases require follow</w:t>
      </w:r>
      <w:r>
        <w:t>-</w:t>
      </w:r>
      <w:r w:rsidRPr="0079398A">
        <w:t>up and indicate the items that need clarification or retrieval from the respondent.</w:t>
      </w:r>
    </w:p>
    <w:p w:rsidR="00FE1C5A" w:rsidP="00D51B2B" w:rsidRDefault="00FE1C5A" w14:paraId="76C7A585" w14:textId="77777777">
      <w:pPr>
        <w:pStyle w:val="ListParagraph"/>
        <w:keepNext/>
        <w:keepLines/>
        <w:ind w:left="0"/>
      </w:pPr>
    </w:p>
    <w:p w:rsidR="00D51B2B" w:rsidP="00D51B2B" w:rsidRDefault="00D51B2B" w14:paraId="6425CEBC" w14:textId="1BD8F6A6">
      <w:pPr>
        <w:pStyle w:val="ListParagraph"/>
        <w:keepNext/>
        <w:keepLines/>
        <w:ind w:left="0"/>
      </w:pPr>
      <w:r w:rsidRPr="00156904">
        <w:rPr>
          <w:i/>
        </w:rPr>
        <w:t>Data Retrieval</w:t>
      </w:r>
      <w:r w:rsidRPr="0079398A">
        <w:t>. When it is determined that data retrieval is needed, a</w:t>
      </w:r>
      <w:r>
        <w:t>n Agency Liaison (AL)</w:t>
      </w:r>
      <w:r w:rsidRPr="0079398A">
        <w:t xml:space="preserve"> will contact the </w:t>
      </w:r>
      <w:r>
        <w:t xml:space="preserve">respondent </w:t>
      </w:r>
      <w:r w:rsidRPr="0079398A">
        <w:t xml:space="preserve">for clarification. Throughout the data retrieval process, </w:t>
      </w:r>
      <w:r>
        <w:t xml:space="preserve">RTI </w:t>
      </w:r>
      <w:r w:rsidRPr="0079398A">
        <w:t xml:space="preserve">will document the questions needing retrieval (e.g. missing or inconsistent data elements), request clarification on the provided information, obtain values for missing data elements, and examine any other issues related to the respondent’s submission. </w:t>
      </w:r>
    </w:p>
    <w:p w:rsidRPr="0079398A" w:rsidR="00D51B2B" w:rsidP="00D51B2B" w:rsidRDefault="00D51B2B" w14:paraId="1978EB93" w14:textId="77777777">
      <w:pPr>
        <w:pStyle w:val="ListParagraph"/>
        <w:keepNext/>
        <w:keepLines/>
        <w:ind w:left="0"/>
      </w:pPr>
    </w:p>
    <w:p w:rsidR="00D51B2B" w:rsidP="00D51B2B" w:rsidRDefault="00D51B2B" w14:paraId="4EF221BF" w14:textId="1FA93D74">
      <w:pPr>
        <w:pStyle w:val="ListParagraph"/>
        <w:keepNext/>
        <w:keepLines/>
        <w:ind w:left="0"/>
      </w:pPr>
      <w:r w:rsidRPr="00156904">
        <w:rPr>
          <w:i/>
        </w:rPr>
        <w:t>Data Quality Review</w:t>
      </w:r>
      <w:r w:rsidRPr="0079398A">
        <w:t xml:space="preserve">. To confirm that editing rules are being followed, </w:t>
      </w:r>
      <w:r>
        <w:t xml:space="preserve">RTI </w:t>
      </w:r>
      <w:r w:rsidRPr="0079398A">
        <w:t>will review frequencies for the entered data after the first 10 percent of cases are</w:t>
      </w:r>
      <w:r>
        <w:t xml:space="preserve"> received</w:t>
      </w:r>
      <w:r w:rsidRPr="0079398A">
        <w:t xml:space="preserve">. Any issues will be investigated and resolved. Throughout the remainder of the data collection period, </w:t>
      </w:r>
      <w:r>
        <w:t xml:space="preserve">RTI </w:t>
      </w:r>
      <w:r w:rsidRPr="0079398A">
        <w:t xml:space="preserve">staff will conduct regular data frequency reviews to evaluate the quality and completeness of data captured in both the web </w:t>
      </w:r>
      <w:r>
        <w:t xml:space="preserve">and </w:t>
      </w:r>
      <w:r w:rsidR="00DD462A">
        <w:t xml:space="preserve">paper </w:t>
      </w:r>
      <w:r>
        <w:t xml:space="preserve">copy </w:t>
      </w:r>
      <w:r w:rsidRPr="0079398A">
        <w:t>modes.</w:t>
      </w:r>
    </w:p>
    <w:p w:rsidRPr="0079398A" w:rsidR="00E6742D" w:rsidP="0079398A" w:rsidRDefault="00E6742D" w14:paraId="3A0570D5" w14:textId="77777777">
      <w:pPr>
        <w:pStyle w:val="ListParagraph"/>
        <w:keepNext/>
        <w:keepLines/>
        <w:ind w:left="0"/>
      </w:pPr>
    </w:p>
    <w:p w:rsidRPr="00596C3F" w:rsidR="00421095" w:rsidP="00E6742D" w:rsidRDefault="00421095" w14:paraId="7DC66A0D" w14:textId="77777777">
      <w:pPr>
        <w:pStyle w:val="ListParagraph"/>
        <w:keepNext/>
        <w:keepLines/>
        <w:numPr>
          <w:ilvl w:val="0"/>
          <w:numId w:val="5"/>
        </w:numPr>
        <w:rPr>
          <w:b/>
          <w:u w:val="single"/>
        </w:rPr>
      </w:pPr>
      <w:r w:rsidRPr="00596C3F">
        <w:rPr>
          <w:b/>
          <w:u w:val="single"/>
        </w:rPr>
        <w:t>Methods to Maximize Response Rates</w:t>
      </w:r>
    </w:p>
    <w:p w:rsidRPr="00596C3F" w:rsidR="00421095" w:rsidP="0024443E" w:rsidRDefault="00421095" w14:paraId="3FDF6A49" w14:textId="77777777">
      <w:pPr>
        <w:keepNext/>
        <w:keepLines/>
        <w:rPr>
          <w:highlight w:val="yellow"/>
        </w:rPr>
      </w:pPr>
    </w:p>
    <w:p w:rsidRPr="00596C3F" w:rsidR="00D51B2B" w:rsidP="00D51B2B" w:rsidRDefault="00D51B2B" w14:paraId="78FD4C35" w14:textId="2357B7C6">
      <w:r w:rsidRPr="00596C3F">
        <w:t xml:space="preserve">The previous waves of the LEMAS survey have achieved high rates of survey response, typically meeting or exceeding </w:t>
      </w:r>
      <w:r w:rsidR="00B265B4">
        <w:t xml:space="preserve">80 </w:t>
      </w:r>
      <w:r>
        <w:t>percent</w:t>
      </w:r>
      <w:r w:rsidRPr="00596C3F">
        <w:t xml:space="preserve">. BJS and RTI will undertake various procedures to ensure </w:t>
      </w:r>
      <w:r>
        <w:t xml:space="preserve">that response rates for the LEMAS are as high as possible. </w:t>
      </w:r>
    </w:p>
    <w:p w:rsidRPr="00596C3F" w:rsidR="00D51B2B" w:rsidP="00D51B2B" w:rsidRDefault="00D51B2B" w14:paraId="2861775B" w14:textId="77777777"/>
    <w:p w:rsidRPr="00596C3F" w:rsidR="00D51B2B" w:rsidP="00D51B2B" w:rsidRDefault="00D51B2B" w14:paraId="3E2C9954" w14:textId="6DF1776D">
      <w:r w:rsidRPr="00596C3F">
        <w:t xml:space="preserve">BJS will use a web-based instrument supported by </w:t>
      </w:r>
      <w:r>
        <w:t xml:space="preserve">several </w:t>
      </w:r>
      <w:r w:rsidRPr="00596C3F">
        <w:t>online help functions to maximize response rates</w:t>
      </w:r>
      <w:r>
        <w:t>. For convenience</w:t>
      </w:r>
      <w:r w:rsidR="00517AB0">
        <w:t>,</w:t>
      </w:r>
      <w:r>
        <w:t xml:space="preserve"> respondents will receive the survey link in an email invitation and a mailed </w:t>
      </w:r>
      <w:r w:rsidR="00DD462A">
        <w:t xml:space="preserve">paper </w:t>
      </w:r>
      <w:r>
        <w:t>copy invitation.</w:t>
      </w:r>
      <w:r w:rsidR="00517AB0">
        <w:rPr>
          <w:rStyle w:val="FootnoteReference"/>
        </w:rPr>
        <w:footnoteReference w:id="2"/>
      </w:r>
      <w:r>
        <w:t xml:space="preserve"> </w:t>
      </w:r>
      <w:r w:rsidRPr="00596C3F">
        <w:t xml:space="preserve">A </w:t>
      </w:r>
      <w:r>
        <w:t>H</w:t>
      </w:r>
      <w:r w:rsidRPr="00596C3F">
        <w:t>elp</w:t>
      </w:r>
      <w:r>
        <w:t xml:space="preserve"> D</w:t>
      </w:r>
      <w:r w:rsidRPr="00596C3F">
        <w:t xml:space="preserve">esk will be available to provide </w:t>
      </w:r>
      <w:r w:rsidR="0020485B">
        <w:t xml:space="preserve">survey participants with </w:t>
      </w:r>
      <w:r w:rsidRPr="00596C3F">
        <w:t>both substantive and technical assistance. In addition, the web</w:t>
      </w:r>
      <w:r>
        <w:t xml:space="preserve"> </w:t>
      </w:r>
      <w:r w:rsidRPr="00596C3F">
        <w:t>survey interface is user</w:t>
      </w:r>
      <w:r>
        <w:t>-</w:t>
      </w:r>
      <w:r w:rsidRPr="00596C3F">
        <w:t xml:space="preserve">friendly, which </w:t>
      </w:r>
      <w:r>
        <w:t xml:space="preserve">encourages response and </w:t>
      </w:r>
      <w:r w:rsidRPr="00596C3F">
        <w:t xml:space="preserve">ensures more accurate responses. Because online submission is such an important response method, close attention will be paid to the formatting of the </w:t>
      </w:r>
      <w:r>
        <w:t xml:space="preserve">web </w:t>
      </w:r>
      <w:r w:rsidRPr="00596C3F">
        <w:t xml:space="preserve">survey instrument. </w:t>
      </w:r>
      <w:r>
        <w:t xml:space="preserve">The online application will be </w:t>
      </w:r>
      <w:r w:rsidRPr="00596C3F">
        <w:t xml:space="preserve">flexible so it can adapt to meet the needs of multiple device types (e.g., desktop computer and tablet), browser types (e.g., Internet Explorer and Google Chrome), and screen sizes. Other features in the instrument </w:t>
      </w:r>
      <w:r>
        <w:t xml:space="preserve">will </w:t>
      </w:r>
      <w:r w:rsidRPr="00596C3F">
        <w:t>include the following:</w:t>
      </w:r>
    </w:p>
    <w:p w:rsidRPr="00596C3F" w:rsidR="00D51B2B" w:rsidP="00D51B2B" w:rsidRDefault="00D51B2B" w14:paraId="5002F8FE" w14:textId="77777777"/>
    <w:p w:rsidRPr="00596C3F" w:rsidR="00D51B2B" w:rsidP="00D51B2B" w:rsidRDefault="00D51B2B" w14:paraId="1D16FB12" w14:textId="77777777">
      <w:pPr>
        <w:numPr>
          <w:ilvl w:val="0"/>
          <w:numId w:val="22"/>
        </w:numPr>
      </w:pPr>
      <w:r w:rsidRPr="00596C3F">
        <w:t>Respondents’ answers will be saved automatically, and they will have the option to leave the survey partway through and return later to finish.</w:t>
      </w:r>
    </w:p>
    <w:p w:rsidR="00D51B2B" w:rsidP="00D51B2B" w:rsidRDefault="00D51B2B" w14:paraId="15AAB05E" w14:textId="77777777">
      <w:pPr>
        <w:numPr>
          <w:ilvl w:val="0"/>
          <w:numId w:val="22"/>
        </w:numPr>
      </w:pPr>
      <w:r w:rsidRPr="00596C3F">
        <w:t>The online instrument will be programmed with data consistency checks and automatic prompts to ensure inter-item consistency and reduce the likelihood of “don’t know” and out-of-range responses</w:t>
      </w:r>
      <w:r>
        <w:t>, thereby reducing the need for follow-up with the respondent after survey submission</w:t>
      </w:r>
      <w:r w:rsidRPr="00596C3F">
        <w:t xml:space="preserve">. </w:t>
      </w:r>
    </w:p>
    <w:p w:rsidRPr="00596C3F" w:rsidR="00D51B2B" w:rsidP="00D51B2B" w:rsidRDefault="00D51B2B" w14:paraId="503CBCEC" w14:textId="77777777">
      <w:pPr>
        <w:numPr>
          <w:ilvl w:val="0"/>
          <w:numId w:val="22"/>
        </w:numPr>
      </w:pPr>
      <w:r>
        <w:t>Respondents will encounter a main menu when they enter the web survey that allows them to complete the survey module-by-module. This will be useful so that respondents can delegate specific modules to other individuals within their organization.</w:t>
      </w:r>
    </w:p>
    <w:p w:rsidR="00D51B2B" w:rsidP="00D51B2B" w:rsidRDefault="00D51B2B" w14:paraId="45287B1B" w14:textId="77777777">
      <w:pPr>
        <w:numPr>
          <w:ilvl w:val="0"/>
          <w:numId w:val="22"/>
        </w:numPr>
      </w:pPr>
      <w:r w:rsidRPr="00596C3F">
        <w:t>Upon submission, respondents will receive a message that confirms receipt of their survey.</w:t>
      </w:r>
    </w:p>
    <w:p w:rsidRPr="00596C3F" w:rsidR="00D51B2B" w:rsidP="00D51B2B" w:rsidRDefault="00D51B2B" w14:paraId="3D079EB0" w14:textId="77777777">
      <w:pPr>
        <w:numPr>
          <w:ilvl w:val="0"/>
          <w:numId w:val="22"/>
        </w:numPr>
      </w:pPr>
      <w:r>
        <w:t>LEAs may also download and print a paper version of the survey from the website.</w:t>
      </w:r>
    </w:p>
    <w:p w:rsidRPr="00596C3F" w:rsidR="00D51B2B" w:rsidP="00D51B2B" w:rsidRDefault="00D51B2B" w14:paraId="685FA4A5" w14:textId="77777777"/>
    <w:p w:rsidR="00D51B2B" w:rsidP="00D51B2B" w:rsidRDefault="00D51B2B" w14:paraId="70442FAA" w14:textId="061A1D78">
      <w:r w:rsidRPr="00596C3F">
        <w:lastRenderedPageBreak/>
        <w:t>In order to obtain higher response rates</w:t>
      </w:r>
      <w:r>
        <w:t xml:space="preserve"> and to ensure unbiased estimates</w:t>
      </w:r>
      <w:r w:rsidRPr="00596C3F">
        <w:t>, multi-stage survey administration and follow</w:t>
      </w:r>
      <w:r>
        <w:t>-</w:t>
      </w:r>
      <w:r w:rsidRPr="00596C3F">
        <w:t>up procedures have been incorpora</w:t>
      </w:r>
      <w:r>
        <w:t>ted into BJS’s response plans. E</w:t>
      </w:r>
      <w:r w:rsidRPr="00596C3F">
        <w:t xml:space="preserve">nsuring adequate response (not just </w:t>
      </w:r>
      <w:r w:rsidR="00517AB0">
        <w:t>agency</w:t>
      </w:r>
      <w:r w:rsidRPr="00596C3F" w:rsidR="00517AB0">
        <w:t xml:space="preserve"> </w:t>
      </w:r>
      <w:r w:rsidRPr="00596C3F">
        <w:t>response rates, but also item responses) begins with introducing agencies to the survey.</w:t>
      </w:r>
      <w:r>
        <w:t xml:space="preserve"> </w:t>
      </w:r>
      <w:r w:rsidRPr="00596C3F">
        <w:t xml:space="preserve">This will be accomplished initially </w:t>
      </w:r>
      <w:r w:rsidR="003C22A7">
        <w:t xml:space="preserve">through the </w:t>
      </w:r>
      <w:r w:rsidR="00517AB0">
        <w:t>prenotification mailing to agency heads and then through an</w:t>
      </w:r>
      <w:r w:rsidR="007A538F">
        <w:t xml:space="preserve"> invitation letter and accompanying documents (Attachments </w:t>
      </w:r>
      <w:r w:rsidR="002125EF">
        <w:t>8</w:t>
      </w:r>
      <w:r w:rsidR="007A538F">
        <w:t>-1</w:t>
      </w:r>
      <w:r w:rsidR="002125EF">
        <w:t>4</w:t>
      </w:r>
      <w:r w:rsidR="007A538F">
        <w:t xml:space="preserve">). </w:t>
      </w:r>
      <w:r w:rsidRPr="00D534B2">
        <w:t>Resources available to help the respondent complete the survey (e.g. ph</w:t>
      </w:r>
      <w:r>
        <w:t>one- or email-based Help Desk support)</w:t>
      </w:r>
      <w:r w:rsidRPr="00596C3F">
        <w:t xml:space="preserve"> will be described in detail.</w:t>
      </w:r>
      <w:r w:rsidR="007E4BD4">
        <w:t xml:space="preserve"> </w:t>
      </w:r>
      <w:r>
        <w:t xml:space="preserve">We will provide LEAs with online and fax methods to identify respondents and change the POC assignment if needed. POCs will also be able to delegate specific modules of the survey to others within their organization. </w:t>
      </w:r>
      <w:r w:rsidR="003C22A7">
        <w:t xml:space="preserve">We will also provide </w:t>
      </w:r>
      <w:r w:rsidR="007D4974">
        <w:t xml:space="preserve">a paper copy of the </w:t>
      </w:r>
      <w:r w:rsidR="007D71DA">
        <w:t>2020</w:t>
      </w:r>
      <w:r w:rsidR="007D4974">
        <w:t xml:space="preserve"> LEMAS instrument to inform respondents about the types of information they will need to collect prior to completing the survey</w:t>
      </w:r>
    </w:p>
    <w:p w:rsidR="00D51B2B" w:rsidP="00D51B2B" w:rsidRDefault="00D51B2B" w14:paraId="02E5803A" w14:textId="77777777"/>
    <w:p w:rsidR="007E4BD4" w:rsidP="007E4BD4" w:rsidRDefault="007E4BD4" w14:paraId="7C550A7B" w14:textId="28517E22">
      <w:pPr>
        <w:pStyle w:val="ListParagraph"/>
        <w:ind w:left="0"/>
      </w:pPr>
      <w:r>
        <w:t>Approximately 1 week after sending the survey invitation letter, RTI will send an email message that is identical to the survey invitation letter to those recipients for whom an email address is available to confirm receipt of the study materials. Within three weeks of receiving a survey, the respondent will receive a thank you email or letter depending on the completion mode (Attachment 1</w:t>
      </w:r>
      <w:r w:rsidR="002125EF">
        <w:t>6</w:t>
      </w:r>
      <w:r>
        <w:t xml:space="preserve">). The thank you will acknowledge receipt of the survey and state that the agency may be contacted for clarification once their survey responses are processed. </w:t>
      </w:r>
    </w:p>
    <w:p w:rsidRPr="00596C3F" w:rsidR="007E4BD4" w:rsidP="00D51B2B" w:rsidRDefault="007E4BD4" w14:paraId="64250C48" w14:textId="77777777"/>
    <w:p w:rsidRPr="00596C3F" w:rsidR="00D51B2B" w:rsidP="00D51B2B" w:rsidRDefault="00D51B2B" w14:paraId="3974E11A" w14:textId="22B98D21">
      <w:r w:rsidRPr="00596C3F">
        <w:t xml:space="preserve">The data collection schedule is designed to include several follow-up communications to allow the LEA to complete the survey at a time most convenient for them. </w:t>
      </w:r>
      <w:r w:rsidR="00C12CDE">
        <w:t xml:space="preserve">Two </w:t>
      </w:r>
      <w:r w:rsidR="008C7848">
        <w:t>weeks</w:t>
      </w:r>
      <w:r w:rsidRPr="00596C3F">
        <w:t xml:space="preserve"> after the initial invitation, we will send a</w:t>
      </w:r>
      <w:r w:rsidR="00C12CDE">
        <w:t xml:space="preserve"> letter (A</w:t>
      </w:r>
      <w:r w:rsidRPr="00441FBB" w:rsidR="00C12CDE">
        <w:t>ttachment</w:t>
      </w:r>
      <w:r w:rsidR="00C12CDE">
        <w:t xml:space="preserve"> 1</w:t>
      </w:r>
      <w:r w:rsidR="002125EF">
        <w:t>7</w:t>
      </w:r>
      <w:r w:rsidRPr="00441FBB" w:rsidR="00C12CDE">
        <w:t>)</w:t>
      </w:r>
      <w:r w:rsidR="00C12CDE">
        <w:t xml:space="preserve"> and paper questionnaire </w:t>
      </w:r>
      <w:r w:rsidR="00670344">
        <w:t>(Attachment 1</w:t>
      </w:r>
      <w:r w:rsidR="002125EF">
        <w:t>8</w:t>
      </w:r>
      <w:r w:rsidR="00756572">
        <w:t xml:space="preserve"> or Attachment 1</w:t>
      </w:r>
      <w:r w:rsidR="002125EF">
        <w:t>9</w:t>
      </w:r>
      <w:r w:rsidR="00670344">
        <w:t xml:space="preserve">) </w:t>
      </w:r>
      <w:r w:rsidRPr="00596C3F">
        <w:t xml:space="preserve">to all </w:t>
      </w:r>
      <w:r w:rsidR="00C12CDE">
        <w:t xml:space="preserve">nonrespondent </w:t>
      </w:r>
      <w:r w:rsidRPr="00596C3F">
        <w:t xml:space="preserve">LEAs. This communication will serve as </w:t>
      </w:r>
      <w:r w:rsidRPr="00441FBB">
        <w:t>a reminder for those agencies who have not yet su</w:t>
      </w:r>
      <w:r w:rsidR="007A538F">
        <w:t>bmitted their information</w:t>
      </w:r>
      <w:r w:rsidRPr="00441FBB">
        <w:t xml:space="preserve">. </w:t>
      </w:r>
      <w:r w:rsidR="00C12CDE">
        <w:t xml:space="preserve">A follow-up email (Attachment </w:t>
      </w:r>
      <w:r w:rsidR="002125EF">
        <w:t>20</w:t>
      </w:r>
      <w:r w:rsidR="00C12CDE">
        <w:t xml:space="preserve">) will be sent one week later.  </w:t>
      </w:r>
      <w:r w:rsidRPr="00441FBB">
        <w:t xml:space="preserve">Following this reminder message, </w:t>
      </w:r>
      <w:r w:rsidR="00C12CDE">
        <w:t>a postcard reminder</w:t>
      </w:r>
      <w:r w:rsidRPr="00441FBB">
        <w:t xml:space="preserve"> will be sent </w:t>
      </w:r>
      <w:r w:rsidRPr="00441FBB" w:rsidR="00A12BEA">
        <w:t>to</w:t>
      </w:r>
      <w:r w:rsidRPr="00441FBB">
        <w:t xml:space="preserve"> any to-date nonrespondents </w:t>
      </w:r>
      <w:r w:rsidR="00AA530A">
        <w:t xml:space="preserve">once again </w:t>
      </w:r>
      <w:r w:rsidRPr="00441FBB">
        <w:t>asking them to complete the web survey</w:t>
      </w:r>
      <w:r w:rsidR="007E4BD4">
        <w:t xml:space="preserve"> (Attachment </w:t>
      </w:r>
      <w:r w:rsidR="00756572">
        <w:t>2</w:t>
      </w:r>
      <w:r w:rsidR="002125EF">
        <w:t>1</w:t>
      </w:r>
      <w:r w:rsidR="007A538F">
        <w:t>)</w:t>
      </w:r>
      <w:r w:rsidRPr="00441FBB">
        <w:t>.</w:t>
      </w:r>
      <w:r>
        <w:t xml:space="preserve"> </w:t>
      </w:r>
      <w:r w:rsidRPr="00441FBB">
        <w:t xml:space="preserve">If no survey response is received after the </w:t>
      </w:r>
      <w:r w:rsidR="00C12CDE">
        <w:t>postcard mailing</w:t>
      </w:r>
      <w:r w:rsidRPr="00441FBB">
        <w:t xml:space="preserve">, a </w:t>
      </w:r>
      <w:r w:rsidR="00670344">
        <w:t>fourth</w:t>
      </w:r>
      <w:r w:rsidRPr="00441FBB" w:rsidR="00670344">
        <w:t xml:space="preserve"> </w:t>
      </w:r>
      <w:r w:rsidRPr="00441FBB">
        <w:t xml:space="preserve">nonresponse </w:t>
      </w:r>
      <w:r w:rsidR="00670344">
        <w:t>communication</w:t>
      </w:r>
      <w:r w:rsidRPr="00441FBB" w:rsidR="00670344">
        <w:t xml:space="preserve"> </w:t>
      </w:r>
      <w:r w:rsidRPr="00441FBB">
        <w:t xml:space="preserve">will be sent via </w:t>
      </w:r>
      <w:r>
        <w:t>email</w:t>
      </w:r>
      <w:r w:rsidRPr="00441FBB">
        <w:t xml:space="preserve"> to to-date nonrespondents</w:t>
      </w:r>
      <w:r w:rsidR="00670344">
        <w:t xml:space="preserve"> (Attachment 2</w:t>
      </w:r>
      <w:r w:rsidR="002125EF">
        <w:t>2</w:t>
      </w:r>
      <w:r w:rsidR="00670344">
        <w:t>)</w:t>
      </w:r>
      <w:r w:rsidRPr="00441FBB">
        <w:t>. Like previous communications, it will provide information on how to complete the web survey, including the URL and the LEA’s</w:t>
      </w:r>
      <w:r w:rsidR="008534AF">
        <w:t xml:space="preserve"> unique survey access code</w:t>
      </w:r>
      <w:r w:rsidR="00670344">
        <w:t>.</w:t>
      </w:r>
      <w:r w:rsidRPr="00596C3F">
        <w:t xml:space="preserve"> </w:t>
      </w:r>
      <w:r w:rsidR="008C62B2">
        <w:t>A fifth reminder, a letter (Attachment 2</w:t>
      </w:r>
      <w:r w:rsidR="002125EF">
        <w:t>3</w:t>
      </w:r>
      <w:r w:rsidR="008C62B2">
        <w:t>) will be sent along with a second copy of the LEMAS questionnaire.</w:t>
      </w:r>
    </w:p>
    <w:p w:rsidRPr="00596C3F" w:rsidR="00AA530A" w:rsidP="00D51B2B" w:rsidRDefault="00AA530A" w14:paraId="2F246AD4" w14:textId="77777777"/>
    <w:p w:rsidRPr="00D534B2" w:rsidR="00D51B2B" w:rsidP="00D51B2B" w:rsidRDefault="00C12CDE" w14:paraId="2323214E" w14:textId="52D2C6C8">
      <w:r>
        <w:t>Phone follow-up for survey nonresponse</w:t>
      </w:r>
      <w:r w:rsidRPr="00596C3F" w:rsidR="00D51B2B">
        <w:t xml:space="preserve"> will </w:t>
      </w:r>
      <w:r>
        <w:t>occur</w:t>
      </w:r>
      <w:r w:rsidRPr="00596C3F">
        <w:t xml:space="preserve"> </w:t>
      </w:r>
      <w:r w:rsidRPr="00596C3F" w:rsidR="00D51B2B">
        <w:t>with the to-date nonrespondents (</w:t>
      </w:r>
      <w:r w:rsidR="007A538F">
        <w:t xml:space="preserve">see </w:t>
      </w:r>
      <w:r w:rsidRPr="00D534B2" w:rsidR="00D51B2B">
        <w:t xml:space="preserve">Attachment </w:t>
      </w:r>
      <w:r w:rsidR="00670344">
        <w:t>2</w:t>
      </w:r>
      <w:r w:rsidR="002125EF">
        <w:t>4</w:t>
      </w:r>
      <w:r w:rsidR="00D51B2B">
        <w:t xml:space="preserve"> for sample script</w:t>
      </w:r>
      <w:r w:rsidRPr="00D534B2" w:rsidR="00D51B2B">
        <w:t>)</w:t>
      </w:r>
      <w:r w:rsidR="00670344">
        <w:t xml:space="preserve"> starting approximately 2 weeks after the </w:t>
      </w:r>
      <w:r w:rsidR="008C62B2">
        <w:t>fifth</w:t>
      </w:r>
      <w:r w:rsidR="00670344">
        <w:t xml:space="preserve"> reminder is sent</w:t>
      </w:r>
      <w:r w:rsidRPr="00D534B2" w:rsidR="00D51B2B">
        <w:t xml:space="preserve">. In preparation for this outreach, </w:t>
      </w:r>
      <w:r w:rsidR="003C22A7">
        <w:t>Agency Liaisons (</w:t>
      </w:r>
      <w:r w:rsidR="00D51B2B">
        <w:t>ALs</w:t>
      </w:r>
      <w:r w:rsidR="003C22A7">
        <w:t>)</w:t>
      </w:r>
      <w:r w:rsidRPr="00D534B2" w:rsidR="00D51B2B">
        <w:t xml:space="preserve"> will be trained on the study protocol and procedures for contacting nonresponding agencies. Most notably, ALs will receive training on how to ask agencies to complete the web survey, arranging for LEAs to receive </w:t>
      </w:r>
      <w:r w:rsidR="00DD462A">
        <w:t xml:space="preserve">paper </w:t>
      </w:r>
      <w:r w:rsidRPr="00D534B2" w:rsidR="00D51B2B">
        <w:t xml:space="preserve">copy questionnaires, and tracking cases (including contact attempts). After nonresponse phone calls, ALs will make targeted attempts with nonresponding agencies to capture critical items. </w:t>
      </w:r>
    </w:p>
    <w:p w:rsidRPr="00D534B2" w:rsidR="00D51B2B" w:rsidP="00D51B2B" w:rsidRDefault="00D51B2B" w14:paraId="15C18275" w14:textId="77777777"/>
    <w:p w:rsidRPr="00596C3F" w:rsidR="00D51B2B" w:rsidP="00D51B2B" w:rsidRDefault="00D51B2B" w14:paraId="2ADF4AB5" w14:textId="6DC50B0C">
      <w:r>
        <w:t xml:space="preserve">Finally, </w:t>
      </w:r>
      <w:r w:rsidR="00AD0392">
        <w:t xml:space="preserve">four </w:t>
      </w:r>
      <w:r>
        <w:t xml:space="preserve">more nonresponse </w:t>
      </w:r>
      <w:r w:rsidR="00AD0392">
        <w:t xml:space="preserve">communications </w:t>
      </w:r>
      <w:r>
        <w:t xml:space="preserve">will be sent to any to-date nonrespondents.  First, </w:t>
      </w:r>
      <w:r w:rsidR="00AD0392">
        <w:t>4</w:t>
      </w:r>
      <w:r>
        <w:t xml:space="preserve"> weeks after phone follow-up begins</w:t>
      </w:r>
      <w:r w:rsidR="00AA530A">
        <w:t>,</w:t>
      </w:r>
      <w:r>
        <w:t xml:space="preserve"> we will send</w:t>
      </w:r>
      <w:r w:rsidR="007A538F">
        <w:t xml:space="preserve"> a reminder </w:t>
      </w:r>
      <w:r w:rsidR="00AD0392">
        <w:t xml:space="preserve">letter </w:t>
      </w:r>
      <w:r w:rsidR="007A538F">
        <w:t>to LEAs (A</w:t>
      </w:r>
      <w:r>
        <w:t xml:space="preserve">ttachment </w:t>
      </w:r>
      <w:r w:rsidR="00670344">
        <w:t>2</w:t>
      </w:r>
      <w:r w:rsidR="002125EF">
        <w:t>5</w:t>
      </w:r>
      <w:r>
        <w:t>)</w:t>
      </w:r>
      <w:r w:rsidR="00AD0392">
        <w:t>; another reminder email will be sent 4 weeks later (Attachment 2</w:t>
      </w:r>
      <w:r w:rsidR="002125EF">
        <w:t>6</w:t>
      </w:r>
      <w:r w:rsidR="00AD0392">
        <w:t>)</w:t>
      </w:r>
      <w:r>
        <w:t xml:space="preserve">.  </w:t>
      </w:r>
      <w:r w:rsidR="00AD0392">
        <w:t>Next</w:t>
      </w:r>
      <w:r>
        <w:t xml:space="preserve">, </w:t>
      </w:r>
      <w:r w:rsidR="007D4974">
        <w:t xml:space="preserve">4 </w:t>
      </w:r>
      <w:r w:rsidRPr="00D534B2">
        <w:t xml:space="preserve">weeks before data collection ends, a final </w:t>
      </w:r>
      <w:r w:rsidR="003147EB">
        <w:t>letter will be sent to</w:t>
      </w:r>
      <w:r w:rsidRPr="00D534B2">
        <w:t xml:space="preserve"> the POC</w:t>
      </w:r>
      <w:r w:rsidR="007D4974">
        <w:t xml:space="preserve"> which </w:t>
      </w:r>
      <w:r w:rsidRPr="00D534B2">
        <w:t xml:space="preserve">will </w:t>
      </w:r>
      <w:r w:rsidR="007D4974">
        <w:t xml:space="preserve">include </w:t>
      </w:r>
      <w:r w:rsidRPr="00D534B2">
        <w:t xml:space="preserve">an end-of-study </w:t>
      </w:r>
      <w:r w:rsidR="00E81E00">
        <w:t>notification (Attachment 2</w:t>
      </w:r>
      <w:r w:rsidR="002125EF">
        <w:t>7</w:t>
      </w:r>
      <w:r w:rsidR="00E81E00">
        <w:t>)</w:t>
      </w:r>
      <w:r w:rsidRPr="00D534B2">
        <w:t xml:space="preserve">. This </w:t>
      </w:r>
      <w:r w:rsidR="00E81E00">
        <w:t>letter</w:t>
      </w:r>
      <w:r w:rsidRPr="00D534B2" w:rsidR="00E81E00">
        <w:t xml:space="preserve"> </w:t>
      </w:r>
      <w:r w:rsidRPr="00D534B2">
        <w:t xml:space="preserve">will go to any to-date nonrespondents to announce the </w:t>
      </w:r>
      <w:r w:rsidRPr="00D534B2">
        <w:lastRenderedPageBreak/>
        <w:t>forthcoming closure of the study and make a final appeal to participate</w:t>
      </w:r>
      <w:r>
        <w:t>.</w:t>
      </w:r>
      <w:r w:rsidR="00AD0392">
        <w:t xml:space="preserve">  The final attempt to encourage response will be an end-of-study email sent concurrent with the end-of-study letter</w:t>
      </w:r>
      <w:r w:rsidR="00E81E00">
        <w:t xml:space="preserve"> (</w:t>
      </w:r>
      <w:r w:rsidRPr="00D534B2" w:rsidR="00E81E00">
        <w:t xml:space="preserve">Attachment </w:t>
      </w:r>
      <w:r w:rsidR="00E81E00">
        <w:t>2</w:t>
      </w:r>
      <w:r w:rsidR="002125EF">
        <w:t>8</w:t>
      </w:r>
      <w:r w:rsidR="00E81E00">
        <w:t>)</w:t>
      </w:r>
      <w:r w:rsidR="00AD0392">
        <w:t>.</w:t>
      </w:r>
    </w:p>
    <w:p w:rsidRPr="00596C3F" w:rsidR="003969E6" w:rsidP="00421095" w:rsidRDefault="003969E6" w14:paraId="5341C530" w14:textId="77777777"/>
    <w:p w:rsidRPr="00D534B2" w:rsidR="00F84901" w:rsidP="00F84901" w:rsidRDefault="00F84901" w14:paraId="1D36AE90" w14:textId="77777777">
      <w:pPr>
        <w:rPr>
          <w:u w:val="single"/>
        </w:rPr>
      </w:pPr>
      <w:r w:rsidRPr="00D534B2">
        <w:rPr>
          <w:u w:val="single"/>
        </w:rPr>
        <w:t>Nonresponse Adjustments</w:t>
      </w:r>
    </w:p>
    <w:p w:rsidRPr="00006B87" w:rsidR="00F84901" w:rsidP="00F84901" w:rsidRDefault="00F84901" w14:paraId="55D381E9" w14:textId="43B3B8EE">
      <w:r w:rsidRPr="00006B87">
        <w:rPr>
          <w:i/>
        </w:rPr>
        <w:t>Unit nonresponse</w:t>
      </w:r>
      <w:r w:rsidRPr="00006B87">
        <w:t xml:space="preserve">. With any survey, it is typically the case that some of the selected subjects will not respond to the survey request (i.e., unit nonresponse) and some will not respond to particular questions (i.e., item nonresponse), despite best efforts made to collect all the data. </w:t>
      </w:r>
      <w:r w:rsidR="009B68E4">
        <w:t>Using agency data from the LEAR, w</w:t>
      </w:r>
      <w:r w:rsidRPr="00006B87">
        <w:t xml:space="preserve">eighting will be used to adjust for unit nonresponse in the </w:t>
      </w:r>
      <w:r w:rsidR="007D71DA">
        <w:t>2020</w:t>
      </w:r>
      <w:r>
        <w:t xml:space="preserve"> LEMAS</w:t>
      </w:r>
      <w:r w:rsidR="00E24D98">
        <w:t>.</w:t>
      </w:r>
      <w:r w:rsidRPr="00006B87">
        <w:t xml:space="preserve"> To determine which factors to use in the facility nonresponse weight adjustments, a procedure available in RTI’s SUDAAN software based on the Generalized Exponential Model (GEM) will be used to model the response propensity </w:t>
      </w:r>
      <w:r w:rsidR="00E24D98">
        <w:t xml:space="preserve">based on </w:t>
      </w:r>
      <w:r w:rsidRPr="00006B87">
        <w:t xml:space="preserve">information from the sampling frame (e.g., agency characteristics such as geography, </w:t>
      </w:r>
      <w:r w:rsidR="0027777D">
        <w:t>agency type, agency size</w:t>
      </w:r>
      <w:r w:rsidRPr="00006B87">
        <w:t>) within sampling strata</w:t>
      </w:r>
      <w:r w:rsidR="00D16DCC">
        <w:t xml:space="preserve"> (Folsom, 2000)</w:t>
      </w:r>
      <w:r>
        <w:t xml:space="preserve">. </w:t>
      </w:r>
      <w:r w:rsidRPr="00006B87">
        <w:t xml:space="preserve">Ideally, only variables highly correlated with the outcomes of interest will be included in the model in order to reduce the potential for bias. As described above, given the expected differential response rates by agency type and size, the weighting adjustment procedures will attempt to minimize the bias in the estimates within these domains. </w:t>
      </w:r>
    </w:p>
    <w:p w:rsidRPr="00006B87" w:rsidR="00F84901" w:rsidP="00F84901" w:rsidRDefault="00F84901" w14:paraId="2E2B98F1" w14:textId="77777777"/>
    <w:p w:rsidRPr="00006B87" w:rsidR="00F84901" w:rsidP="007C5772" w:rsidRDefault="00F84901" w14:paraId="2715B978" w14:textId="6FF6416B">
      <w:r w:rsidRPr="00006B87">
        <w:rPr>
          <w:i/>
        </w:rPr>
        <w:t>Nonresponse bias analysis</w:t>
      </w:r>
      <w:r w:rsidRPr="00006B87">
        <w:t>. As previously stated</w:t>
      </w:r>
      <w:r w:rsidR="00AD37C2">
        <w:t>,</w:t>
      </w:r>
      <w:r w:rsidR="00FF2685">
        <w:t xml:space="preserve"> and based on the </w:t>
      </w:r>
      <w:r w:rsidR="00B502CB">
        <w:t>2016</w:t>
      </w:r>
      <w:r w:rsidR="00FF2685">
        <w:t xml:space="preserve"> LEMAS responding</w:t>
      </w:r>
      <w:r w:rsidRPr="00006B87">
        <w:t xml:space="preserve">, </w:t>
      </w:r>
      <w:r w:rsidR="00E24D98">
        <w:t xml:space="preserve">an overall response rate of </w:t>
      </w:r>
      <w:r w:rsidRPr="00435C84" w:rsidR="005C1237">
        <w:t xml:space="preserve">approximately </w:t>
      </w:r>
      <w:r w:rsidRPr="00435C84" w:rsidR="00FD6A27">
        <w:t>8</w:t>
      </w:r>
      <w:r w:rsidRPr="00435C84" w:rsidR="003303FF">
        <w:t xml:space="preserve">1% </w:t>
      </w:r>
      <w:r w:rsidRPr="00435C84" w:rsidR="00E24D98">
        <w:t>is expected</w:t>
      </w:r>
      <w:r w:rsidRPr="00435C84" w:rsidR="003147EB">
        <w:t xml:space="preserve"> (Table</w:t>
      </w:r>
      <w:r w:rsidRPr="007A538F" w:rsidR="003147EB">
        <w:t xml:space="preserve"> 2</w:t>
      </w:r>
      <w:r w:rsidR="003147EB">
        <w:t>)</w:t>
      </w:r>
      <w:r w:rsidRPr="00006B87">
        <w:t xml:space="preserve">. In order to ensure those agencies that do not participate in the study are not fundamentally different than those that do, a nonresponse bias analysis will be conducted if the agency-level response rate obtained in the </w:t>
      </w:r>
      <w:r w:rsidR="007D71DA">
        <w:t>2020</w:t>
      </w:r>
      <w:r w:rsidRPr="00006B87">
        <w:t xml:space="preserve"> </w:t>
      </w:r>
      <w:r>
        <w:t>LEMAS falls</w:t>
      </w:r>
      <w:r w:rsidRPr="00006B87">
        <w:t xml:space="preserve"> below 80</w:t>
      </w:r>
      <w:r w:rsidR="00E24D98">
        <w:t xml:space="preserve"> percent</w:t>
      </w:r>
      <w:r w:rsidRPr="00006B87">
        <w:t xml:space="preserve">. </w:t>
      </w:r>
      <w:r w:rsidR="00C53F09">
        <w:t>BJS will use a</w:t>
      </w:r>
      <w:r w:rsidRPr="00006B87">
        <w:t>gency type</w:t>
      </w:r>
      <w:r w:rsidR="00C53F09">
        <w:t xml:space="preserve"> and agency size in the nonresponse bias analysis.</w:t>
      </w:r>
    </w:p>
    <w:p w:rsidRPr="00006B87" w:rsidR="00F84901" w:rsidP="00F84901" w:rsidRDefault="00F84901" w14:paraId="0778FBC0" w14:textId="77777777"/>
    <w:p w:rsidRPr="00006B87" w:rsidR="00F84901" w:rsidP="00F84901" w:rsidRDefault="00F84901" w14:paraId="475EAF58" w14:textId="75477E5B">
      <w:r w:rsidRPr="00006B87">
        <w:t>For each agency characteristic, BJS will compare the distribution of the respondents to the nonrespondents. A Coh</w:t>
      </w:r>
      <w:r w:rsidR="002A55B1">
        <w:t>e</w:t>
      </w:r>
      <w:r w:rsidRPr="00006B87">
        <w:t>n’s Effect Size statistic will be calculated for each characteristic. If any characteristic has an effect size that falls into the “medium” or “high” category, as defined by Coh</w:t>
      </w:r>
      <w:r w:rsidR="002A55B1">
        <w:t>e</w:t>
      </w:r>
      <w:r w:rsidRPr="00006B87">
        <w:t>n, then there is a potential for bias in the estimates. Each estimate will be included in a nonresponse model to adjust weights to minimize the potential for bias in the estimates.</w:t>
      </w:r>
    </w:p>
    <w:p w:rsidRPr="00006B87" w:rsidR="00F84901" w:rsidP="00F84901" w:rsidRDefault="00F84901" w14:paraId="16799E76" w14:textId="77777777">
      <w:r w:rsidRPr="00006B87">
        <w:t xml:space="preserve">In addition to estimating effect sizes, an examination of early and late responders will be conducted. If late responders (i.e., those that take more contact attempts before responding) are </w:t>
      </w:r>
      <w:r>
        <w:t>significantly different o</w:t>
      </w:r>
      <w:r w:rsidRPr="00006B87">
        <w:t>n the key outcome</w:t>
      </w:r>
      <w:r>
        <w:t>s</w:t>
      </w:r>
      <w:r w:rsidRPr="00006B87">
        <w:t xml:space="preserve"> of interest</w:t>
      </w:r>
      <w:r w:rsidR="001A42C3">
        <w:t>,</w:t>
      </w:r>
      <w:r>
        <w:t xml:space="preserve"> that is an indication of potential bias</w:t>
      </w:r>
      <w:r w:rsidRPr="00006B87">
        <w:t xml:space="preserve">. </w:t>
      </w:r>
      <w:r w:rsidR="00E24D98">
        <w:t xml:space="preserve">This </w:t>
      </w:r>
      <w:r w:rsidRPr="00006B87">
        <w:t xml:space="preserve">comparison </w:t>
      </w:r>
      <w:r w:rsidR="00E24D98">
        <w:t xml:space="preserve">will be made </w:t>
      </w:r>
      <w:r w:rsidRPr="00006B87">
        <w:t xml:space="preserve">within each strata to determine if the potential for bias varies by strata. </w:t>
      </w:r>
    </w:p>
    <w:p w:rsidRPr="00596C3F" w:rsidR="00421095" w:rsidP="00421095" w:rsidRDefault="00421095" w14:paraId="52C0C006" w14:textId="77777777"/>
    <w:p w:rsidRPr="00596C3F" w:rsidR="00421095" w:rsidP="00421095" w:rsidRDefault="00421095" w14:paraId="479397FF" w14:textId="77777777">
      <w:pPr>
        <w:pStyle w:val="ListParagraph"/>
        <w:numPr>
          <w:ilvl w:val="0"/>
          <w:numId w:val="5"/>
        </w:numPr>
        <w:rPr>
          <w:b/>
          <w:u w:val="single"/>
        </w:rPr>
      </w:pPr>
      <w:r w:rsidRPr="00596C3F">
        <w:rPr>
          <w:b/>
          <w:u w:val="single"/>
        </w:rPr>
        <w:t>Final Testing of Procedures</w:t>
      </w:r>
    </w:p>
    <w:p w:rsidRPr="00596C3F" w:rsidR="00421095" w:rsidP="00421095" w:rsidRDefault="00421095" w14:paraId="043AE81C" w14:textId="77777777">
      <w:pPr>
        <w:pStyle w:val="ListParagraph"/>
        <w:ind w:left="360"/>
        <w:rPr>
          <w:highlight w:val="yellow"/>
          <w:u w:val="single"/>
        </w:rPr>
      </w:pPr>
    </w:p>
    <w:p w:rsidRPr="008E61B2" w:rsidR="00A52247" w:rsidP="00D51B2B" w:rsidRDefault="00D51B2B" w14:paraId="47CFFBB7" w14:textId="7B5A3F7B">
      <w:r w:rsidRPr="00FD6A27">
        <w:t xml:space="preserve">The </w:t>
      </w:r>
      <w:r w:rsidRPr="00FD6A27" w:rsidR="007D71DA">
        <w:t>2020</w:t>
      </w:r>
      <w:r w:rsidRPr="00FD6A27">
        <w:t xml:space="preserve"> LEMAS survey instrument is built upon previous waves of the LEMAS survey to ensure data comparability. As a result, improvements to the questionnaire </w:t>
      </w:r>
      <w:r w:rsidRPr="00FD6A27" w:rsidR="00FF2685">
        <w:t>were</w:t>
      </w:r>
      <w:r w:rsidRPr="00FD6A27">
        <w:t xml:space="preserve"> done with caution.</w:t>
      </w:r>
      <w:r w:rsidRPr="00FD6A27" w:rsidR="00975C81">
        <w:t xml:space="preserve"> </w:t>
      </w:r>
      <w:r w:rsidRPr="00FD6A27">
        <w:t xml:space="preserve">BJS shared a copy of </w:t>
      </w:r>
      <w:r w:rsidRPr="00FD6A27" w:rsidR="00FF2685">
        <w:t>the</w:t>
      </w:r>
      <w:r w:rsidRPr="00FD6A27">
        <w:t xml:space="preserve"> draft </w:t>
      </w:r>
      <w:r w:rsidRPr="00FD6A27" w:rsidR="007D71DA">
        <w:t>2020</w:t>
      </w:r>
      <w:r w:rsidRPr="00FD6A27" w:rsidR="00FF2685">
        <w:t xml:space="preserve"> </w:t>
      </w:r>
      <w:r w:rsidRPr="00FD6A27">
        <w:t>LEMAS survey instrument with research scholars with a known interest in law enforcement issues</w:t>
      </w:r>
      <w:r w:rsidRPr="00FD6A27" w:rsidR="00FF2685">
        <w:t xml:space="preserve"> and law enforcement professional</w:t>
      </w:r>
      <w:r w:rsidRPr="008E61B2" w:rsidR="00FF2685">
        <w:t>s</w:t>
      </w:r>
      <w:r w:rsidRPr="008E61B2">
        <w:t xml:space="preserve">. The expert reviewers were given an electronic draft of the survey instrument and asked to comment on question wording, response categories, as well as overall structure and layout. Responses were primarily received as written annotations within the document. </w:t>
      </w:r>
      <w:r w:rsidRPr="008E61B2" w:rsidR="00FF2685">
        <w:t xml:space="preserve">Further information on the results of the expert panel review are provided in Part A. </w:t>
      </w:r>
      <w:r w:rsidRPr="008E61B2" w:rsidR="00795904">
        <w:t xml:space="preserve">Only five new items were added to the 51-item instrument. For three other items, additional response categories were added. These adjustments </w:t>
      </w:r>
      <w:r w:rsidRPr="008E61B2" w:rsidR="00795904">
        <w:lastRenderedPageBreak/>
        <w:t>were added to address recommendations from the President’s Task Force on 21</w:t>
      </w:r>
      <w:r w:rsidRPr="008E61B2" w:rsidR="00795904">
        <w:rPr>
          <w:vertAlign w:val="superscript"/>
        </w:rPr>
        <w:t>st</w:t>
      </w:r>
      <w:r w:rsidRPr="008E61B2" w:rsidR="00795904">
        <w:t xml:space="preserve"> Century Policing</w:t>
      </w:r>
      <w:r w:rsidR="005D191C">
        <w:t xml:space="preserve"> (see Attachme</w:t>
      </w:r>
      <w:r w:rsidR="00B31D37">
        <w:t>nt 2)</w:t>
      </w:r>
      <w:r w:rsidRPr="008E61B2" w:rsidR="00795904">
        <w:t xml:space="preserve">. We received expert feedback on these new items and where possible, question wording was consistent with other previously tested items. </w:t>
      </w:r>
    </w:p>
    <w:p w:rsidRPr="008E61B2" w:rsidR="00A52247" w:rsidP="00D51B2B" w:rsidRDefault="00A52247" w14:paraId="06BA1897" w14:textId="77777777"/>
    <w:p w:rsidRPr="00FD6A27" w:rsidR="00D51B2B" w:rsidP="00D51B2B" w:rsidRDefault="00A52247" w14:paraId="62E71ECF" w14:textId="72034D59">
      <w:r w:rsidRPr="008E61B2">
        <w:t>In addition to the expert review, BJS conducted cognitive interviews with 11 local police departments and 9 sheriffs’ offices. Based on these interviews, questions and instructions were clarified and two items were dropped or consolidated to reduce confusion or burden. Further information on cognitive interviewing is pro</w:t>
      </w:r>
      <w:r w:rsidRPr="008E61B2" w:rsidR="00016413">
        <w:t>vided in Part A and Attachment 4</w:t>
      </w:r>
      <w:r w:rsidRPr="008E61B2">
        <w:t xml:space="preserve">. </w:t>
      </w:r>
      <w:r w:rsidRPr="008E61B2" w:rsidR="00795904">
        <w:t>Additionally, we will conduct post-processing assessment of these new items.</w:t>
      </w:r>
    </w:p>
    <w:p w:rsidR="00F84901" w:rsidP="00F84901" w:rsidRDefault="00F84901" w14:paraId="5795E495" w14:textId="77777777">
      <w:pPr>
        <w:rPr>
          <w:u w:val="single"/>
        </w:rPr>
      </w:pPr>
    </w:p>
    <w:p w:rsidRPr="008D7CC0" w:rsidR="00F84901" w:rsidP="00D534B2" w:rsidRDefault="00F84901" w14:paraId="2C6F0BDC" w14:textId="77777777">
      <w:pPr>
        <w:pStyle w:val="ListParagraph"/>
        <w:numPr>
          <w:ilvl w:val="0"/>
          <w:numId w:val="5"/>
        </w:numPr>
        <w:rPr>
          <w:b/>
          <w:u w:val="single"/>
        </w:rPr>
      </w:pPr>
      <w:r w:rsidRPr="008D7CC0">
        <w:rPr>
          <w:b/>
          <w:u w:val="single"/>
        </w:rPr>
        <w:t>Contacts for Statistical Aspects and Data Collection</w:t>
      </w:r>
    </w:p>
    <w:p w:rsidRPr="00596C3F" w:rsidR="00F84901" w:rsidP="00F84901" w:rsidRDefault="00F84901" w14:paraId="3B26C7B2" w14:textId="77777777">
      <w:pPr>
        <w:rPr>
          <w:u w:val="single"/>
        </w:rPr>
      </w:pPr>
    </w:p>
    <w:p w:rsidR="00F84901" w:rsidP="00F84901" w:rsidRDefault="00F84901" w14:paraId="59C7CA29" w14:textId="77777777">
      <w:pPr>
        <w:pStyle w:val="ListParagraph"/>
        <w:numPr>
          <w:ilvl w:val="0"/>
          <w:numId w:val="6"/>
        </w:numPr>
        <w:tabs>
          <w:tab w:val="left" w:pos="360"/>
        </w:tabs>
        <w:ind w:left="0" w:firstLine="0"/>
      </w:pPr>
      <w:r>
        <w:t xml:space="preserve">BJS contacts include: </w:t>
      </w:r>
    </w:p>
    <w:p w:rsidR="00F84901" w:rsidP="00F84901" w:rsidRDefault="00F84901" w14:paraId="60A36035" w14:textId="77777777">
      <w:pPr>
        <w:pStyle w:val="ListParagraph"/>
        <w:tabs>
          <w:tab w:val="left" w:pos="360"/>
        </w:tabs>
        <w:ind w:left="0"/>
      </w:pPr>
    </w:p>
    <w:p w:rsidR="00F84901" w:rsidP="00F84901" w:rsidRDefault="00F84901" w14:paraId="76AEBEDF" w14:textId="77777777">
      <w:pPr>
        <w:pStyle w:val="ListParagraph"/>
        <w:tabs>
          <w:tab w:val="left" w:pos="360"/>
        </w:tabs>
        <w:ind w:left="0"/>
      </w:pPr>
      <w:r>
        <w:tab/>
      </w:r>
      <w:r>
        <w:tab/>
        <w:t>Shelley H</w:t>
      </w:r>
      <w:r w:rsidR="00AE2023">
        <w:t>y</w:t>
      </w:r>
      <w:r>
        <w:t>land, PhD</w:t>
      </w:r>
    </w:p>
    <w:p w:rsidR="00BF496B" w:rsidP="00BF496B" w:rsidRDefault="00BF496B" w14:paraId="28DD6740" w14:textId="77777777">
      <w:pPr>
        <w:pStyle w:val="ListParagraph"/>
      </w:pPr>
      <w:r>
        <w:t>202-305-5552</w:t>
      </w:r>
    </w:p>
    <w:p w:rsidR="00BF496B" w:rsidP="00BF496B" w:rsidRDefault="00481853" w14:paraId="50CECE00" w14:textId="77777777">
      <w:pPr>
        <w:pStyle w:val="ListParagraph"/>
        <w:rPr>
          <w:rStyle w:val="Hyperlink"/>
        </w:rPr>
      </w:pPr>
      <w:hyperlink w:history="1" r:id="rId8">
        <w:r w:rsidR="00BF496B">
          <w:rPr>
            <w:rStyle w:val="Hyperlink"/>
          </w:rPr>
          <w:t>Shelley.Hyland</w:t>
        </w:r>
        <w:r w:rsidRPr="00A149AC" w:rsidR="00BF496B">
          <w:rPr>
            <w:rStyle w:val="Hyperlink"/>
          </w:rPr>
          <w:t>@usdoj.gov</w:t>
        </w:r>
      </w:hyperlink>
    </w:p>
    <w:p w:rsidR="00BF496B" w:rsidP="00BF496B" w:rsidRDefault="00BF496B" w14:paraId="28C1C858" w14:textId="77777777">
      <w:pPr>
        <w:pStyle w:val="ListParagraph"/>
        <w:tabs>
          <w:tab w:val="left" w:pos="360"/>
        </w:tabs>
        <w:ind w:left="0"/>
      </w:pPr>
    </w:p>
    <w:p w:rsidR="00F84901" w:rsidP="00F84901" w:rsidRDefault="00F84901" w14:paraId="6BD056BF" w14:textId="77777777">
      <w:pPr>
        <w:pStyle w:val="ListParagraph"/>
        <w:numPr>
          <w:ilvl w:val="0"/>
          <w:numId w:val="6"/>
        </w:numPr>
        <w:tabs>
          <w:tab w:val="left" w:pos="360"/>
        </w:tabs>
        <w:ind w:left="0" w:firstLine="0"/>
      </w:pPr>
      <w:r>
        <w:t>Persons consulted on statistical methodology:</w:t>
      </w:r>
    </w:p>
    <w:p w:rsidR="00F84901" w:rsidP="00F84901" w:rsidRDefault="00F84901" w14:paraId="329CD4E6" w14:textId="77777777">
      <w:pPr>
        <w:tabs>
          <w:tab w:val="left" w:pos="360"/>
        </w:tabs>
      </w:pPr>
    </w:p>
    <w:p w:rsidR="00F84901" w:rsidP="00F84901" w:rsidRDefault="00F84901" w14:paraId="45A04A9B" w14:textId="77777777">
      <w:pPr>
        <w:pStyle w:val="ListParagraph"/>
        <w:tabs>
          <w:tab w:val="left" w:pos="360"/>
        </w:tabs>
        <w:ind w:left="0"/>
      </w:pPr>
      <w:r>
        <w:tab/>
      </w:r>
      <w:r>
        <w:tab/>
        <w:t>Stephanie Zimmer, PhD</w:t>
      </w:r>
    </w:p>
    <w:p w:rsidR="00F84901" w:rsidP="00F84901" w:rsidRDefault="00F84901" w14:paraId="315AE7FD" w14:textId="77777777">
      <w:pPr>
        <w:pStyle w:val="ListParagraph"/>
        <w:tabs>
          <w:tab w:val="left" w:pos="360"/>
        </w:tabs>
        <w:ind w:left="0"/>
      </w:pPr>
      <w:r>
        <w:tab/>
      </w:r>
      <w:r>
        <w:tab/>
        <w:t>RTI International</w:t>
      </w:r>
    </w:p>
    <w:p w:rsidR="00F84901" w:rsidP="00F84901" w:rsidRDefault="00F84901" w14:paraId="078299EC" w14:textId="77777777"/>
    <w:p w:rsidR="00F84901" w:rsidP="00F84901" w:rsidRDefault="00F84901" w14:paraId="3857B160" w14:textId="77777777">
      <w:pPr>
        <w:pStyle w:val="ListParagraph"/>
        <w:numPr>
          <w:ilvl w:val="0"/>
          <w:numId w:val="6"/>
        </w:numPr>
        <w:tabs>
          <w:tab w:val="left" w:pos="360"/>
        </w:tabs>
        <w:ind w:left="0" w:firstLine="0"/>
      </w:pPr>
      <w:r>
        <w:t>Persons consulted on data collection and analysis:</w:t>
      </w:r>
    </w:p>
    <w:p w:rsidR="00F84901" w:rsidP="00F84901" w:rsidRDefault="00F84901" w14:paraId="173C8406" w14:textId="77777777">
      <w:pPr>
        <w:ind w:firstLine="720"/>
      </w:pPr>
    </w:p>
    <w:p w:rsidR="00F84901" w:rsidP="00F84901" w:rsidRDefault="00F84901" w14:paraId="07A18CFC" w14:textId="77777777">
      <w:pPr>
        <w:ind w:firstLine="720"/>
      </w:pPr>
      <w:r>
        <w:t>Tim Smith</w:t>
      </w:r>
    </w:p>
    <w:p w:rsidR="00F84901" w:rsidP="00F84901" w:rsidRDefault="00F84901" w14:paraId="5BAA58DE" w14:textId="77777777">
      <w:pPr>
        <w:ind w:left="360"/>
      </w:pPr>
      <w:r>
        <w:tab/>
        <w:t>RTI International</w:t>
      </w:r>
    </w:p>
    <w:p w:rsidR="00F84901" w:rsidP="00F84901" w:rsidRDefault="00F84901" w14:paraId="312014C4" w14:textId="77777777">
      <w:pPr>
        <w:ind w:left="360"/>
      </w:pPr>
    </w:p>
    <w:p w:rsidR="00F84901" w:rsidP="00F84901" w:rsidRDefault="00F84901" w14:paraId="36C96E0F" w14:textId="77777777">
      <w:pPr>
        <w:ind w:left="360" w:firstLine="360"/>
      </w:pPr>
      <w:r>
        <w:t>Travis Taniguchi, PhD</w:t>
      </w:r>
    </w:p>
    <w:p w:rsidR="0067742B" w:rsidP="002F32F5" w:rsidRDefault="00F84901" w14:paraId="688FFA88" w14:textId="77777777">
      <w:pPr>
        <w:ind w:left="360" w:firstLine="360"/>
      </w:pPr>
      <w:r>
        <w:t>RTI International</w:t>
      </w:r>
    </w:p>
    <w:p w:rsidR="00C55C76" w:rsidRDefault="00C55C76" w14:paraId="58D3D026" w14:textId="50E53724">
      <w:pPr>
        <w:spacing w:after="200" w:line="276" w:lineRule="auto"/>
      </w:pPr>
      <w:r>
        <w:br w:type="page"/>
      </w:r>
    </w:p>
    <w:p w:rsidRPr="00F6452F" w:rsidR="00C55C76" w:rsidP="00C55C76" w:rsidRDefault="00C55C76" w14:paraId="3E910804" w14:textId="77777777">
      <w:pPr>
        <w:autoSpaceDE w:val="0"/>
        <w:autoSpaceDN w:val="0"/>
        <w:adjustRightInd w:val="0"/>
        <w:spacing w:after="240"/>
        <w:ind w:left="720" w:hanging="720"/>
        <w:jc w:val="center"/>
        <w:rPr>
          <w:b/>
        </w:rPr>
      </w:pPr>
      <w:r w:rsidRPr="00F6452F">
        <w:rPr>
          <w:b/>
        </w:rPr>
        <w:lastRenderedPageBreak/>
        <w:t>References</w:t>
      </w:r>
    </w:p>
    <w:p w:rsidR="00B67F45" w:rsidP="00B67F45" w:rsidRDefault="00B67F45" w14:paraId="75B8D158" w14:textId="77777777">
      <w:pPr>
        <w:pStyle w:val="NormalWeb"/>
        <w:shd w:val="clear" w:color="auto" w:fill="FFFFFF"/>
        <w:spacing w:before="0" w:beforeAutospacing="0" w:after="231" w:afterAutospacing="0" w:line="285" w:lineRule="atLeast"/>
        <w:ind w:left="720" w:hanging="720"/>
        <w:rPr>
          <w:shd w:val="clear" w:color="auto" w:fill="FFFFFF"/>
        </w:rPr>
      </w:pPr>
      <w:r w:rsidRPr="002C36CA">
        <w:t>Aiello, Michael F.</w:t>
      </w:r>
      <w:r>
        <w:t xml:space="preserve"> </w:t>
      </w:r>
      <w:r w:rsidRPr="002C36CA">
        <w:t>2019</w:t>
      </w:r>
      <w:r>
        <w:t xml:space="preserve"> </w:t>
      </w:r>
      <w:r w:rsidRPr="002C36CA">
        <w:t>Influential Women? Policing Styles in Online Recruitment Materials.</w:t>
      </w:r>
      <w:r>
        <w:t xml:space="preserve"> </w:t>
      </w:r>
      <w:r w:rsidRPr="00B62566">
        <w:rPr>
          <w:i/>
          <w:iCs/>
        </w:rPr>
        <w:t>Police Quarterly</w:t>
      </w:r>
      <w:r>
        <w:t>, 23 (1), 3-24.</w:t>
      </w:r>
    </w:p>
    <w:p w:rsidRPr="002C25E4" w:rsidR="00C55C76" w:rsidP="00F6452F" w:rsidRDefault="00C55C76" w14:paraId="5CED4E2E" w14:textId="233FE33F">
      <w:pPr>
        <w:pStyle w:val="NormalWeb"/>
        <w:shd w:val="clear" w:color="auto" w:fill="FFFFFF"/>
        <w:spacing w:before="0" w:beforeAutospacing="0" w:after="231" w:afterAutospacing="0" w:line="285" w:lineRule="atLeast"/>
        <w:ind w:left="720" w:hanging="720"/>
        <w:rPr>
          <w:shd w:val="clear" w:color="auto" w:fill="FFFFFF"/>
        </w:rPr>
      </w:pPr>
      <w:r w:rsidRPr="002C25E4">
        <w:rPr>
          <w:shd w:val="clear" w:color="auto" w:fill="FFFFFF"/>
        </w:rPr>
        <w:t>Barrick, K.,  Hickman, M. J., &amp; Strom, K. J.</w:t>
      </w:r>
      <w:r w:rsidRPr="002C25E4">
        <w:rPr>
          <w:rStyle w:val="apple-converted-space"/>
          <w:shd w:val="clear" w:color="auto" w:fill="FFFFFF"/>
        </w:rPr>
        <w:t xml:space="preserve"> (2014). </w:t>
      </w:r>
      <w:hyperlink w:history="1" r:id="rId9">
        <w:r w:rsidRPr="002C25E4">
          <w:rPr>
            <w:rStyle w:val="Strong"/>
            <w:b w:val="0"/>
            <w:shd w:val="clear" w:color="auto" w:fill="FFFFFF"/>
          </w:rPr>
          <w:t>Representative policing and violence towards the police</w:t>
        </w:r>
      </w:hyperlink>
      <w:r w:rsidRPr="002C25E4">
        <w:rPr>
          <w:b/>
          <w:shd w:val="clear" w:color="auto" w:fill="FFFFFF"/>
        </w:rPr>
        <w:t>.</w:t>
      </w:r>
      <w:r w:rsidRPr="002C25E4">
        <w:rPr>
          <w:rStyle w:val="apple-converted-space"/>
          <w:b/>
          <w:shd w:val="clear" w:color="auto" w:fill="FFFFFF"/>
        </w:rPr>
        <w:t> </w:t>
      </w:r>
      <w:r w:rsidRPr="002C25E4">
        <w:rPr>
          <w:rStyle w:val="HTMLCite"/>
          <w:shd w:val="clear" w:color="auto" w:fill="FFFFFF"/>
        </w:rPr>
        <w:t>Policing</w:t>
      </w:r>
      <w:r w:rsidRPr="002C25E4">
        <w:rPr>
          <w:shd w:val="clear" w:color="auto" w:fill="FFFFFF"/>
        </w:rPr>
        <w:t>.</w:t>
      </w:r>
    </w:p>
    <w:p w:rsidRPr="002C25E4" w:rsidR="00C55C76" w:rsidP="00F6452F" w:rsidRDefault="00C55C76" w14:paraId="16DD148E" w14:textId="77777777">
      <w:pPr>
        <w:shd w:val="clear" w:color="auto" w:fill="FFFFFF"/>
        <w:spacing w:before="100" w:beforeAutospacing="1" w:after="100" w:afterAutospacing="1" w:line="293" w:lineRule="atLeast"/>
        <w:ind w:left="720" w:hanging="720"/>
        <w:rPr>
          <w:shd w:val="clear" w:color="auto" w:fill="FFFFFF"/>
        </w:rPr>
      </w:pPr>
      <w:r w:rsidRPr="002C25E4">
        <w:rPr>
          <w:shd w:val="clear" w:color="auto" w:fill="FFFFFF"/>
        </w:rPr>
        <w:t>Bies, K. J.,  Deporto, I. M.,  Long, D. G.,  McKoy, M. S.,  Mukamal, D. A. &amp;,  Sklansky, D. A. (2015).</w:t>
      </w:r>
      <w:r w:rsidRPr="002C25E4">
        <w:rPr>
          <w:rStyle w:val="apple-converted-space"/>
          <w:shd w:val="clear" w:color="auto" w:fill="FFFFFF"/>
        </w:rPr>
        <w:t> </w:t>
      </w:r>
      <w:r w:rsidRPr="002C25E4">
        <w:rPr>
          <w:rStyle w:val="Strong"/>
          <w:b w:val="0"/>
          <w:shd w:val="clear" w:color="auto" w:fill="FFFFFF"/>
        </w:rPr>
        <w:t>Stuck in the '70s: The demographics of California prosecutors</w:t>
      </w:r>
      <w:r w:rsidRPr="002C25E4">
        <w:rPr>
          <w:shd w:val="clear" w:color="auto" w:fill="FFFFFF"/>
        </w:rPr>
        <w:t>. Stanford, CA: Stanford Law School, Stanford Criminal Justice Center</w:t>
      </w:r>
    </w:p>
    <w:p w:rsidRPr="002C25E4" w:rsidR="00C55C76" w:rsidP="00C55C76" w:rsidRDefault="00C55C76" w14:paraId="3A6A36E5" w14:textId="77777777">
      <w:pPr>
        <w:autoSpaceDE w:val="0"/>
        <w:autoSpaceDN w:val="0"/>
        <w:adjustRightInd w:val="0"/>
        <w:spacing w:after="120" w:line="259" w:lineRule="auto"/>
        <w:ind w:left="720" w:hanging="720"/>
      </w:pPr>
      <w:r w:rsidRPr="002C25E4">
        <w:t xml:space="preserve">Bromley, M. &amp; Reaves, B. (1998). Comparing campus and city police operational practices. </w:t>
      </w:r>
      <w:r w:rsidRPr="002C25E4">
        <w:rPr>
          <w:i/>
        </w:rPr>
        <w:t>Journal of Security Administration,</w:t>
      </w:r>
      <w:r w:rsidRPr="002C25E4">
        <w:t xml:space="preserve"> 21(2), 41-54.</w:t>
      </w:r>
    </w:p>
    <w:p w:rsidR="00C55C76" w:rsidP="00F6452F" w:rsidRDefault="00C55C76" w14:paraId="17C8C895" w14:textId="41A90A56">
      <w:pPr>
        <w:shd w:val="clear" w:color="auto" w:fill="FFFFFF"/>
        <w:spacing w:before="100" w:beforeAutospacing="1" w:after="100" w:afterAutospacing="1" w:line="293" w:lineRule="atLeast"/>
        <w:ind w:left="720" w:hanging="720"/>
      </w:pPr>
      <w:r w:rsidRPr="00D474D8">
        <w:t>Cave, B., Telep, C. W., &amp; Grieco, J. (2015). Rigorous evaluation research among US police departments: Special cases or a representative sample?</w:t>
      </w:r>
      <w:r w:rsidRPr="00D474D8">
        <w:rPr>
          <w:i/>
          <w:iCs/>
        </w:rPr>
        <w:t> Police Practice and Research, 16</w:t>
      </w:r>
      <w:r w:rsidRPr="00D474D8">
        <w:t>(3), 254-15. doi:10.1080/15614263.2014.888348</w:t>
      </w:r>
    </w:p>
    <w:p w:rsidRPr="00D474D8" w:rsidR="00B67F45" w:rsidP="00B67F45" w:rsidRDefault="00B67F45" w14:paraId="0CFE5FE9" w14:textId="424AA2FA">
      <w:pPr>
        <w:shd w:val="clear" w:color="auto" w:fill="FFFFFF"/>
        <w:spacing w:before="100" w:beforeAutospacing="1" w:after="100" w:afterAutospacing="1" w:line="293" w:lineRule="atLeast"/>
        <w:ind w:left="720" w:hanging="720"/>
      </w:pPr>
      <w:r w:rsidRPr="00BD14D7">
        <w:t>Carter, J</w:t>
      </w:r>
      <w:r>
        <w:t xml:space="preserve"> and </w:t>
      </w:r>
      <w:r w:rsidRPr="00BD14D7">
        <w:t>Fox, B</w:t>
      </w:r>
      <w:r>
        <w:t xml:space="preserve"> (</w:t>
      </w:r>
      <w:r w:rsidRPr="00BD14D7">
        <w:t>2019</w:t>
      </w:r>
      <w:r>
        <w:t xml:space="preserve">). </w:t>
      </w:r>
      <w:r w:rsidRPr="00BD14D7">
        <w:t>Community policing and intelligence-led policing: An examination of convergent or discriminant validity</w:t>
      </w:r>
      <w:r>
        <w:t xml:space="preserve">. </w:t>
      </w:r>
      <w:r w:rsidRPr="00B62566">
        <w:rPr>
          <w:i/>
          <w:iCs/>
        </w:rPr>
        <w:t xml:space="preserve">Policing: An </w:t>
      </w:r>
      <w:r>
        <w:rPr>
          <w:i/>
          <w:iCs/>
        </w:rPr>
        <w:t>I</w:t>
      </w:r>
      <w:r w:rsidRPr="00B62566">
        <w:rPr>
          <w:i/>
          <w:iCs/>
        </w:rPr>
        <w:t xml:space="preserve">nternational </w:t>
      </w:r>
      <w:r>
        <w:rPr>
          <w:i/>
          <w:iCs/>
        </w:rPr>
        <w:t>J</w:t>
      </w:r>
      <w:r w:rsidRPr="00B62566">
        <w:rPr>
          <w:i/>
          <w:iCs/>
        </w:rPr>
        <w:t>ournal</w:t>
      </w:r>
      <w:r>
        <w:t xml:space="preserve">, </w:t>
      </w:r>
      <w:r w:rsidRPr="00BD14D7">
        <w:t>42</w:t>
      </w:r>
      <w:r>
        <w:t xml:space="preserve"> (</w:t>
      </w:r>
      <w:r w:rsidRPr="00BD14D7">
        <w:t>1</w:t>
      </w:r>
      <w:r>
        <w:t xml:space="preserve">), </w:t>
      </w:r>
      <w:r w:rsidRPr="00BD14D7">
        <w:t>43</w:t>
      </w:r>
      <w:r>
        <w:t>-</w:t>
      </w:r>
      <w:r w:rsidRPr="00BD14D7">
        <w:t>58</w:t>
      </w:r>
      <w:r>
        <w:t>.</w:t>
      </w:r>
    </w:p>
    <w:p w:rsidRPr="002C25E4" w:rsidR="00C55C76" w:rsidP="00F6452F" w:rsidRDefault="00C55C76" w14:paraId="0CC3CA5C" w14:textId="359A50B2">
      <w:pPr>
        <w:pStyle w:val="NormalWeb"/>
        <w:shd w:val="clear" w:color="auto" w:fill="FFFFFF"/>
        <w:spacing w:before="0" w:beforeAutospacing="0" w:after="231" w:afterAutospacing="0" w:line="285" w:lineRule="atLeast"/>
        <w:ind w:left="720" w:hanging="720"/>
      </w:pPr>
      <w:r w:rsidRPr="002C25E4">
        <w:t>Chalfin, A., &amp; McCrary, J. (</w:t>
      </w:r>
      <w:r w:rsidR="00B502CB">
        <w:t>2013</w:t>
      </w:r>
      <w:r w:rsidRPr="002C25E4">
        <w:t xml:space="preserve">). The effect of police on crime: New evidence from U.S. cities, 1960-2010. </w:t>
      </w:r>
      <w:r w:rsidRPr="002C25E4">
        <w:rPr>
          <w:i/>
        </w:rPr>
        <w:t>NBER</w:t>
      </w:r>
      <w:r w:rsidRPr="002C25E4">
        <w:t xml:space="preserve"> </w:t>
      </w:r>
      <w:r w:rsidRPr="002C25E4">
        <w:rPr>
          <w:i/>
        </w:rPr>
        <w:t xml:space="preserve">working paper series. </w:t>
      </w:r>
      <w:r w:rsidRPr="002C25E4">
        <w:t>18815, Cambridge, MA: National Bureau of Economic Research.</w:t>
      </w:r>
    </w:p>
    <w:p w:rsidRPr="002C25E4" w:rsidR="00C55C76" w:rsidP="00F6452F" w:rsidRDefault="00C55C76" w14:paraId="4E36D0D0" w14:textId="77777777">
      <w:pPr>
        <w:pStyle w:val="NormalWeb"/>
        <w:shd w:val="clear" w:color="auto" w:fill="FFFFFF"/>
        <w:spacing w:before="0" w:beforeAutospacing="0" w:after="231" w:afterAutospacing="0" w:line="285" w:lineRule="atLeast"/>
        <w:ind w:left="720" w:hanging="720"/>
        <w:rPr>
          <w:shd w:val="clear" w:color="auto" w:fill="FFFFFF"/>
        </w:rPr>
      </w:pPr>
      <w:r w:rsidRPr="002C25E4">
        <w:rPr>
          <w:shd w:val="clear" w:color="auto" w:fill="FFFFFF"/>
        </w:rPr>
        <w:t>DeCarlo, J., &amp; Jenkins, M. J. (2015).</w:t>
      </w:r>
      <w:r w:rsidRPr="002C25E4">
        <w:rPr>
          <w:rStyle w:val="apple-converted-space"/>
          <w:shd w:val="clear" w:color="auto" w:fill="FFFFFF"/>
        </w:rPr>
        <w:t> </w:t>
      </w:r>
      <w:r w:rsidRPr="002C25E4">
        <w:rPr>
          <w:rStyle w:val="Strong"/>
          <w:b w:val="0"/>
          <w:shd w:val="clear" w:color="auto" w:fill="FFFFFF"/>
        </w:rPr>
        <w:t>Labor unions, management innovation and organizational change in police departments</w:t>
      </w:r>
      <w:r w:rsidRPr="002C25E4">
        <w:rPr>
          <w:b/>
          <w:shd w:val="clear" w:color="auto" w:fill="FFFFFF"/>
        </w:rPr>
        <w:t>.</w:t>
      </w:r>
      <w:r w:rsidRPr="002C25E4">
        <w:rPr>
          <w:rStyle w:val="apple-converted-space"/>
          <w:shd w:val="clear" w:color="auto" w:fill="FFFFFF"/>
        </w:rPr>
        <w:t> </w:t>
      </w:r>
      <w:r w:rsidRPr="002C25E4">
        <w:rPr>
          <w:rStyle w:val="HTMLCite"/>
          <w:shd w:val="clear" w:color="auto" w:fill="FFFFFF"/>
        </w:rPr>
        <w:t>Springer Briefs in Criminology</w:t>
      </w:r>
      <w:r w:rsidRPr="002C25E4">
        <w:rPr>
          <w:shd w:val="clear" w:color="auto" w:fill="FFFFFF"/>
        </w:rPr>
        <w:t>. Switzerland: Springer International Publishing</w:t>
      </w:r>
      <w:r w:rsidRPr="002C25E4">
        <w:rPr>
          <w:rStyle w:val="apple-converted-space"/>
          <w:shd w:val="clear" w:color="auto" w:fill="FFFFFF"/>
        </w:rPr>
        <w:t> </w:t>
      </w:r>
      <w:hyperlink w:history="1" r:id="rId10">
        <w:r w:rsidRPr="002C25E4">
          <w:rPr>
            <w:rStyle w:val="Hyperlink"/>
            <w:shd w:val="clear" w:color="auto" w:fill="FFFFFF"/>
          </w:rPr>
          <w:t>doi:10.1007/978-3-319-21584-6</w:t>
        </w:r>
      </w:hyperlink>
    </w:p>
    <w:p w:rsidRPr="002C25E4" w:rsidR="00C55C76" w:rsidP="00F6452F" w:rsidRDefault="00C55C76" w14:paraId="27F5878B" w14:textId="77777777">
      <w:pPr>
        <w:pStyle w:val="NormalWeb"/>
        <w:shd w:val="clear" w:color="auto" w:fill="FFFFFF"/>
        <w:spacing w:before="0" w:beforeAutospacing="0" w:after="231" w:afterAutospacing="0" w:line="285" w:lineRule="atLeast"/>
        <w:ind w:left="720" w:hanging="720"/>
        <w:rPr>
          <w:shd w:val="clear" w:color="auto" w:fill="FFFFFF"/>
        </w:rPr>
      </w:pPr>
      <w:r w:rsidRPr="002C25E4">
        <w:rPr>
          <w:shd w:val="clear" w:color="auto" w:fill="FFFFFF"/>
        </w:rPr>
        <w:t>Farrell, A. (2014).</w:t>
      </w:r>
      <w:r w:rsidRPr="002C25E4">
        <w:rPr>
          <w:rStyle w:val="apple-converted-space"/>
          <w:b/>
          <w:shd w:val="clear" w:color="auto" w:fill="FFFFFF"/>
        </w:rPr>
        <w:t> </w:t>
      </w:r>
      <w:hyperlink w:history="1" r:id="rId11">
        <w:r w:rsidRPr="002C25E4">
          <w:rPr>
            <w:rStyle w:val="Strong"/>
            <w:b w:val="0"/>
            <w:shd w:val="clear" w:color="auto" w:fill="FFFFFF"/>
          </w:rPr>
          <w:t>Environmental and institutional influences on police agency responses to human trafficking</w:t>
        </w:r>
      </w:hyperlink>
      <w:r w:rsidRPr="002C25E4">
        <w:rPr>
          <w:b/>
          <w:shd w:val="clear" w:color="auto" w:fill="FFFFFF"/>
        </w:rPr>
        <w:t>.</w:t>
      </w:r>
      <w:r w:rsidRPr="002C25E4">
        <w:rPr>
          <w:rStyle w:val="apple-converted-space"/>
          <w:shd w:val="clear" w:color="auto" w:fill="FFFFFF"/>
        </w:rPr>
        <w:t> </w:t>
      </w:r>
      <w:r w:rsidRPr="002C25E4">
        <w:rPr>
          <w:rStyle w:val="HTMLCite"/>
          <w:shd w:val="clear" w:color="auto" w:fill="FFFFFF"/>
        </w:rPr>
        <w:t>Police Quarterly</w:t>
      </w:r>
      <w:r w:rsidRPr="002C25E4">
        <w:rPr>
          <w:shd w:val="clear" w:color="auto" w:fill="FFFFFF"/>
        </w:rPr>
        <w:t xml:space="preserve">. </w:t>
      </w:r>
      <w:r w:rsidRPr="002C25E4">
        <w:rPr>
          <w:i/>
          <w:shd w:val="clear" w:color="auto" w:fill="FFFFFF"/>
        </w:rPr>
        <w:t>17</w:t>
      </w:r>
      <w:r w:rsidRPr="002C25E4">
        <w:rPr>
          <w:shd w:val="clear" w:color="auto" w:fill="FFFFFF"/>
        </w:rPr>
        <w:t>(1), 3-29.</w:t>
      </w:r>
    </w:p>
    <w:p w:rsidRPr="002C25E4" w:rsidR="00C55C76" w:rsidP="00C55C76" w:rsidRDefault="00C55C76" w14:paraId="115D9A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hanging="720"/>
      </w:pPr>
      <w:r w:rsidRPr="002C25E4">
        <w:t xml:space="preserve">Folsom, R.E., &amp; Singh, A.C. (2000). The generalized model for sampling weight calibration for extreme values, nonresponse, and poststratification. In </w:t>
      </w:r>
      <w:r w:rsidRPr="002C25E4">
        <w:rPr>
          <w:i/>
        </w:rPr>
        <w:t>Proceedings of the American Statistical Association’s Survey Research Methods Section</w:t>
      </w:r>
      <w:r w:rsidRPr="002C25E4">
        <w:t>, 598-603.</w:t>
      </w:r>
    </w:p>
    <w:p w:rsidRPr="002C25E4" w:rsidR="00C55C76" w:rsidP="00C55C76" w:rsidRDefault="00C55C76" w14:paraId="4EEA5FF9" w14:textId="77777777">
      <w:pPr>
        <w:autoSpaceDE w:val="0"/>
        <w:autoSpaceDN w:val="0"/>
        <w:adjustRightInd w:val="0"/>
        <w:spacing w:after="120"/>
        <w:ind w:left="720" w:hanging="720"/>
        <w:rPr>
          <w:i/>
        </w:rPr>
      </w:pPr>
      <w:r w:rsidRPr="002C25E4">
        <w:t xml:space="preserve">Groves, R. &amp; Cork, D. (2009). </w:t>
      </w:r>
      <w:r w:rsidRPr="002C25E4">
        <w:rPr>
          <w:i/>
        </w:rPr>
        <w:t xml:space="preserve">Ensuring the Quality, Credibility, and Relevance of U.S. Justice Statistics. </w:t>
      </w:r>
      <w:r w:rsidRPr="002C25E4">
        <w:t>Washington, D.C. National Academies Press.</w:t>
      </w:r>
    </w:p>
    <w:p w:rsidRPr="002C25E4" w:rsidR="00C55C76" w:rsidP="00F6452F" w:rsidRDefault="00C55C76" w14:paraId="1070A91A" w14:textId="77777777">
      <w:pPr>
        <w:pStyle w:val="NormalWeb"/>
        <w:shd w:val="clear" w:color="auto" w:fill="FFFFFF"/>
        <w:spacing w:before="0" w:beforeAutospacing="0" w:after="231" w:afterAutospacing="0" w:line="285" w:lineRule="atLeast"/>
        <w:ind w:left="720" w:hanging="720"/>
        <w:rPr>
          <w:shd w:val="clear" w:color="auto" w:fill="FFFFFF"/>
        </w:rPr>
      </w:pPr>
      <w:r w:rsidRPr="002C25E4">
        <w:rPr>
          <w:shd w:val="clear" w:color="auto" w:fill="FFFFFF"/>
        </w:rPr>
        <w:t>Gustafson, J. (</w:t>
      </w:r>
      <w:r w:rsidRPr="002C25E4">
        <w:rPr>
          <w:rStyle w:val="apple-converted-space"/>
          <w:shd w:val="clear" w:color="auto" w:fill="FFFFFF"/>
        </w:rPr>
        <w:t xml:space="preserve">2013). </w:t>
      </w:r>
      <w:hyperlink w:history="1" r:id="rId12">
        <w:r w:rsidRPr="002C25E4">
          <w:rPr>
            <w:rStyle w:val="Strong"/>
            <w:b w:val="0"/>
            <w:shd w:val="clear" w:color="auto" w:fill="FFFFFF"/>
          </w:rPr>
          <w:t>Diversity in municipal police agencies: A national examination of minority hiring and promotion</w:t>
        </w:r>
      </w:hyperlink>
      <w:r w:rsidRPr="002C25E4">
        <w:rPr>
          <w:shd w:val="clear" w:color="auto" w:fill="FFFFFF"/>
        </w:rPr>
        <w:t>.</w:t>
      </w:r>
      <w:r w:rsidRPr="002C25E4">
        <w:rPr>
          <w:rStyle w:val="apple-converted-space"/>
          <w:shd w:val="clear" w:color="auto" w:fill="FFFFFF"/>
        </w:rPr>
        <w:t> </w:t>
      </w:r>
      <w:r w:rsidRPr="002C25E4">
        <w:rPr>
          <w:rStyle w:val="HTMLCite"/>
          <w:shd w:val="clear" w:color="auto" w:fill="FFFFFF"/>
        </w:rPr>
        <w:t>Policing</w:t>
      </w:r>
      <w:r w:rsidRPr="002C25E4">
        <w:rPr>
          <w:shd w:val="clear" w:color="auto" w:fill="FFFFFF"/>
        </w:rPr>
        <w:t xml:space="preserve">. </w:t>
      </w:r>
      <w:r w:rsidRPr="002C25E4">
        <w:rPr>
          <w:i/>
          <w:shd w:val="clear" w:color="auto" w:fill="FFFFFF"/>
        </w:rPr>
        <w:t>36</w:t>
      </w:r>
      <w:r w:rsidRPr="002C25E4">
        <w:rPr>
          <w:shd w:val="clear" w:color="auto" w:fill="FFFFFF"/>
        </w:rPr>
        <w:t xml:space="preserve">(4), 719-736. </w:t>
      </w:r>
    </w:p>
    <w:p w:rsidRPr="002C25E4" w:rsidR="00C55C76" w:rsidP="00C55C76" w:rsidRDefault="00C55C76" w14:paraId="4D141586" w14:textId="77777777">
      <w:pPr>
        <w:autoSpaceDE w:val="0"/>
        <w:autoSpaceDN w:val="0"/>
        <w:adjustRightInd w:val="0"/>
        <w:spacing w:after="120"/>
        <w:ind w:left="720" w:hanging="720"/>
      </w:pPr>
      <w:r w:rsidRPr="002C25E4">
        <w:t xml:space="preserve">Hickman, M. &amp; Piquero, A. (2009). Organizational, administrative, and environmental correlates of complaints about police use of force: Does minority representation matter? </w:t>
      </w:r>
      <w:r w:rsidRPr="002C25E4">
        <w:rPr>
          <w:i/>
        </w:rPr>
        <w:t>Crime and Delinquency,</w:t>
      </w:r>
      <w:r w:rsidRPr="002C25E4">
        <w:t xml:space="preserve"> 15(1), 3-27.</w:t>
      </w:r>
    </w:p>
    <w:p w:rsidR="00C55C76" w:rsidP="00F6452F" w:rsidRDefault="00C55C76" w14:paraId="168A8FAC" w14:textId="77FF0CE2">
      <w:pPr>
        <w:pStyle w:val="NormalWeb"/>
        <w:shd w:val="clear" w:color="auto" w:fill="FFFFFF"/>
        <w:spacing w:before="0" w:beforeAutospacing="0" w:after="231" w:afterAutospacing="0" w:line="285" w:lineRule="atLeast"/>
        <w:ind w:left="720" w:hanging="720"/>
        <w:rPr>
          <w:shd w:val="clear" w:color="auto" w:fill="FFFFFF"/>
        </w:rPr>
      </w:pPr>
      <w:r w:rsidRPr="002C25E4">
        <w:rPr>
          <w:shd w:val="clear" w:color="auto" w:fill="FFFFFF"/>
        </w:rPr>
        <w:lastRenderedPageBreak/>
        <w:t xml:space="preserve">Hur, Y. (2013). Racial diversity, is it a blessing to an organization? Examining its organizational consequences in municipal police departments. </w:t>
      </w:r>
      <w:r w:rsidRPr="002C25E4">
        <w:rPr>
          <w:i/>
          <w:shd w:val="clear" w:color="auto" w:fill="FFFFFF"/>
        </w:rPr>
        <w:t>International review of administrative sciences. 79</w:t>
      </w:r>
      <w:r w:rsidRPr="002C25E4">
        <w:rPr>
          <w:shd w:val="clear" w:color="auto" w:fill="FFFFFF"/>
        </w:rPr>
        <w:t xml:space="preserve">(1), 149-164. </w:t>
      </w:r>
    </w:p>
    <w:p w:rsidRPr="002C25E4" w:rsidR="00B67F45" w:rsidP="00B67F45" w:rsidRDefault="00B67F45" w14:paraId="0E9E337D" w14:textId="1E8ABBE0">
      <w:pPr>
        <w:pStyle w:val="NormalWeb"/>
        <w:shd w:val="clear" w:color="auto" w:fill="FFFFFF"/>
        <w:spacing w:before="0" w:beforeAutospacing="0" w:after="231" w:afterAutospacing="0" w:line="285" w:lineRule="atLeast"/>
        <w:ind w:left="720" w:hanging="720"/>
        <w:rPr>
          <w:shd w:val="clear" w:color="auto" w:fill="FFFFFF"/>
        </w:rPr>
      </w:pPr>
      <w:r w:rsidRPr="00FF4116">
        <w:t>Jurek, Alicia L.; King, William R.</w:t>
      </w:r>
      <w:r>
        <w:t xml:space="preserve"> (</w:t>
      </w:r>
      <w:r w:rsidRPr="00FF4116">
        <w:t>2020</w:t>
      </w:r>
      <w:r>
        <w:t xml:space="preserve">) </w:t>
      </w:r>
      <w:r w:rsidRPr="00FF4116">
        <w:t>Structural responses to gendered social problems: Police agency adaptations to human trafficking</w:t>
      </w:r>
      <w:r>
        <w:t xml:space="preserve">. </w:t>
      </w:r>
      <w:r w:rsidRPr="00B62566">
        <w:rPr>
          <w:i/>
          <w:iCs/>
        </w:rPr>
        <w:t>Police Quarterly</w:t>
      </w:r>
      <w:r>
        <w:t xml:space="preserve">, </w:t>
      </w:r>
      <w:r w:rsidRPr="00FF4116">
        <w:t>23</w:t>
      </w:r>
      <w:r>
        <w:t xml:space="preserve"> (</w:t>
      </w:r>
      <w:r w:rsidRPr="00FF4116">
        <w:t>1</w:t>
      </w:r>
      <w:r>
        <w:t xml:space="preserve">), </w:t>
      </w:r>
      <w:r w:rsidRPr="00FF4116">
        <w:t>25</w:t>
      </w:r>
      <w:r>
        <w:t>-</w:t>
      </w:r>
      <w:r w:rsidRPr="00FF4116">
        <w:t>54</w:t>
      </w:r>
    </w:p>
    <w:p w:rsidRPr="002C25E4" w:rsidR="00C55C76" w:rsidP="00C55C76" w:rsidRDefault="00C55C76" w14:paraId="5CB672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hanging="720"/>
      </w:pPr>
      <w:r w:rsidRPr="002C25E4">
        <w:t xml:space="preserve">Langton, L. (2010). </w:t>
      </w:r>
      <w:r w:rsidRPr="002C25E4">
        <w:rPr>
          <w:i/>
        </w:rPr>
        <w:t>Women in Law Enforcement, 1987 – 2008</w:t>
      </w:r>
      <w:r w:rsidRPr="002C25E4">
        <w:t>. Washington, D.C.: Bureau of Justice Statistics.</w:t>
      </w:r>
    </w:p>
    <w:p w:rsidRPr="002C25E4" w:rsidR="00C55C76" w:rsidP="00F6452F" w:rsidRDefault="00C55C76" w14:paraId="5E5C4114" w14:textId="77777777">
      <w:pPr>
        <w:pStyle w:val="NormalWeb"/>
        <w:shd w:val="clear" w:color="auto" w:fill="FFFFFF"/>
        <w:spacing w:before="0" w:beforeAutospacing="0" w:after="231" w:afterAutospacing="0" w:line="285" w:lineRule="atLeast"/>
        <w:ind w:left="720" w:hanging="720"/>
      </w:pPr>
      <w:r w:rsidRPr="002C25E4">
        <w:t xml:space="preserve">Matusiak, M. C., Campbell, B. A., &amp; King, W. R. (2014). The legacy of LEMAS: Effects on police scholarship of a federally administered, multi-wave establishment survey. </w:t>
      </w:r>
      <w:r w:rsidRPr="002C25E4">
        <w:rPr>
          <w:i/>
        </w:rPr>
        <w:t>Policing</w:t>
      </w:r>
      <w:r w:rsidRPr="002C25E4">
        <w:t xml:space="preserve">. </w:t>
      </w:r>
      <w:r w:rsidRPr="002C25E4">
        <w:rPr>
          <w:i/>
        </w:rPr>
        <w:t>37</w:t>
      </w:r>
      <w:r w:rsidRPr="002C25E4">
        <w:t xml:space="preserve">(3), 630-648. </w:t>
      </w:r>
    </w:p>
    <w:p w:rsidR="00C55C76" w:rsidP="00C55C76" w:rsidRDefault="00C55C76" w14:paraId="1439919B" w14:textId="5D6014BB">
      <w:pPr>
        <w:spacing w:after="120"/>
        <w:ind w:left="720" w:hanging="720"/>
      </w:pPr>
      <w:r w:rsidRPr="002C25E4">
        <w:t xml:space="preserve">Melekian, B. K. (2012). Policing in the new economy: A new report on the emerging trends from the Office of Community Oriented Policing Services. </w:t>
      </w:r>
      <w:r w:rsidRPr="002C25E4">
        <w:rPr>
          <w:i/>
        </w:rPr>
        <w:t>Police Chief</w:t>
      </w:r>
      <w:r w:rsidRPr="002C25E4">
        <w:t>, 79, 16–19.</w:t>
      </w:r>
    </w:p>
    <w:p w:rsidRPr="002C25E4" w:rsidR="00B67F45" w:rsidP="00B67F45" w:rsidRDefault="00B67F45" w14:paraId="4A083275" w14:textId="564311AB">
      <w:pPr>
        <w:spacing w:after="120"/>
        <w:ind w:left="720" w:hanging="720"/>
      </w:pPr>
      <w:r w:rsidRPr="001F2F51">
        <w:t>Mughan, Sian; Li, Danyao; Nicholson-Crotty, Sean</w:t>
      </w:r>
      <w:r>
        <w:t xml:space="preserve"> (</w:t>
      </w:r>
      <w:r w:rsidRPr="001F2F51">
        <w:t>202</w:t>
      </w:r>
      <w:r>
        <w:t xml:space="preserve">0). </w:t>
      </w:r>
      <w:r w:rsidRPr="001F2F51">
        <w:t>When law enforcement pays: Costs and benefits for elected versus appointed administrators engaged in asset forfeiture.</w:t>
      </w:r>
      <w:r>
        <w:t xml:space="preserve"> </w:t>
      </w:r>
      <w:r w:rsidRPr="001F2F51">
        <w:t>American Review of Public Administration</w:t>
      </w:r>
      <w:r>
        <w:t>.</w:t>
      </w:r>
    </w:p>
    <w:p w:rsidRPr="002C25E4" w:rsidR="00C55C76" w:rsidP="00F6452F" w:rsidRDefault="00C55C76" w14:paraId="7F93AC04" w14:textId="77777777">
      <w:pPr>
        <w:pStyle w:val="NormalWeb"/>
        <w:shd w:val="clear" w:color="auto" w:fill="FFFFFF"/>
        <w:spacing w:before="0" w:beforeAutospacing="0" w:after="231" w:afterAutospacing="0" w:line="285" w:lineRule="atLeast"/>
        <w:ind w:left="720" w:hanging="720"/>
        <w:rPr>
          <w:shd w:val="clear" w:color="auto" w:fill="FFFFFF"/>
        </w:rPr>
      </w:pPr>
      <w:r w:rsidRPr="002C25E4">
        <w:rPr>
          <w:shd w:val="clear" w:color="auto" w:fill="FFFFFF"/>
        </w:rPr>
        <w:t>Perez, N. M., &amp; Bromley, M. (2015). Comparing campus and city police human resource and select community outreach policies and practices: An update.</w:t>
      </w:r>
      <w:r w:rsidRPr="002C25E4">
        <w:rPr>
          <w:rStyle w:val="apple-converted-space"/>
          <w:shd w:val="clear" w:color="auto" w:fill="FFFFFF"/>
        </w:rPr>
        <w:t> </w:t>
      </w:r>
      <w:r w:rsidRPr="002C25E4">
        <w:rPr>
          <w:i/>
          <w:iCs/>
          <w:shd w:val="clear" w:color="auto" w:fill="FFFFFF"/>
        </w:rPr>
        <w:t>Policing: An International Journal of Police Strategies &amp; Management</w:t>
      </w:r>
      <w:r w:rsidRPr="002C25E4">
        <w:rPr>
          <w:shd w:val="clear" w:color="auto" w:fill="FFFFFF"/>
        </w:rPr>
        <w:t>,</w:t>
      </w:r>
      <w:r w:rsidRPr="002C25E4">
        <w:rPr>
          <w:rStyle w:val="apple-converted-space"/>
          <w:shd w:val="clear" w:color="auto" w:fill="FFFFFF"/>
        </w:rPr>
        <w:t> </w:t>
      </w:r>
      <w:r w:rsidRPr="002C25E4">
        <w:rPr>
          <w:i/>
          <w:iCs/>
          <w:shd w:val="clear" w:color="auto" w:fill="FFFFFF"/>
        </w:rPr>
        <w:t>38</w:t>
      </w:r>
      <w:r w:rsidRPr="002C25E4">
        <w:rPr>
          <w:shd w:val="clear" w:color="auto" w:fill="FFFFFF"/>
        </w:rPr>
        <w:t>(4), 664-674.</w:t>
      </w:r>
    </w:p>
    <w:p w:rsidRPr="002C25E4" w:rsidR="00C55C76" w:rsidP="00C55C76" w:rsidRDefault="00C55C76" w14:paraId="5F3B04F2" w14:textId="77777777">
      <w:pPr>
        <w:pStyle w:val="NormalWeb"/>
        <w:shd w:val="clear" w:color="auto" w:fill="FFFFFF"/>
        <w:spacing w:before="0" w:beforeAutospacing="0" w:after="231" w:afterAutospacing="0" w:line="285" w:lineRule="atLeast"/>
        <w:ind w:left="720" w:hanging="720"/>
        <w:rPr>
          <w:shd w:val="clear" w:color="auto" w:fill="FFFFFF"/>
        </w:rPr>
      </w:pPr>
      <w:r w:rsidRPr="002C25E4">
        <w:t xml:space="preserve">President’s Task Force on 21st Century Policing. (2015). </w:t>
      </w:r>
      <w:hyperlink w:history="1" r:id="rId13">
        <w:r w:rsidRPr="002C25E4">
          <w:rPr>
            <w:rStyle w:val="Emphasis"/>
            <w:color w:val="0000FF"/>
            <w:u w:val="single"/>
          </w:rPr>
          <w:t>Final Report of the President’s Task Force on 21st Century Policing</w:t>
        </w:r>
      </w:hyperlink>
      <w:r w:rsidRPr="002C25E4">
        <w:t xml:space="preserve">. Washington, DC: Office of Community Oriented Policing Services. </w:t>
      </w:r>
    </w:p>
    <w:p w:rsidRPr="002C25E4" w:rsidR="00C55C76" w:rsidP="00F6452F" w:rsidRDefault="00C55C76" w14:paraId="76399C8A" w14:textId="77777777">
      <w:pPr>
        <w:pStyle w:val="NormalWeb"/>
        <w:shd w:val="clear" w:color="auto" w:fill="FFFFFF"/>
        <w:spacing w:before="0" w:beforeAutospacing="0" w:after="231" w:afterAutospacing="0" w:line="285" w:lineRule="atLeast"/>
        <w:ind w:left="720" w:hanging="720"/>
      </w:pPr>
      <w:r w:rsidRPr="002C25E4">
        <w:t xml:space="preserve">Randol, Blake M. (2013). An exploratory analysis of terrorism prevention and response preparedness efforts in municipal police departments in the United States: Which agencies participate in terrorism prevention and why? </w:t>
      </w:r>
      <w:r w:rsidRPr="002C25E4">
        <w:rPr>
          <w:i/>
        </w:rPr>
        <w:t>Police Journal</w:t>
      </w:r>
      <w:r w:rsidRPr="002C25E4">
        <w:t xml:space="preserve">. </w:t>
      </w:r>
      <w:r w:rsidRPr="002C25E4">
        <w:rPr>
          <w:i/>
        </w:rPr>
        <w:t>86</w:t>
      </w:r>
      <w:r w:rsidRPr="002C25E4">
        <w:t>(2), 158-181.</w:t>
      </w:r>
    </w:p>
    <w:p w:rsidRPr="002C25E4" w:rsidR="00C55C76" w:rsidP="00C55C76" w:rsidRDefault="00C55C76" w14:paraId="1B37582A" w14:textId="77777777">
      <w:pPr>
        <w:spacing w:after="120"/>
        <w:ind w:left="720" w:hanging="720"/>
      </w:pPr>
      <w:r w:rsidRPr="002C25E4">
        <w:t>Reaves, B. (2011). Census of State and Local Law Enforcement Agencies, 2008. Washington, D.C., Bureau of Justice Statistics.</w:t>
      </w:r>
    </w:p>
    <w:p w:rsidRPr="002C25E4" w:rsidR="00C55C76" w:rsidP="00F6452F" w:rsidRDefault="00C55C76" w14:paraId="353E0AD1" w14:textId="77777777">
      <w:pPr>
        <w:pStyle w:val="NormalWeb"/>
        <w:shd w:val="clear" w:color="auto" w:fill="FFFFFF"/>
        <w:spacing w:before="0" w:beforeAutospacing="0" w:after="231" w:afterAutospacing="0" w:line="285" w:lineRule="atLeast"/>
        <w:ind w:left="720" w:hanging="720"/>
      </w:pPr>
      <w:r w:rsidRPr="002C25E4">
        <w:rPr>
          <w:shd w:val="clear" w:color="auto" w:fill="FFFFFF"/>
        </w:rPr>
        <w:t xml:space="preserve">Reaves, B. (2015). </w:t>
      </w:r>
      <w:r w:rsidRPr="002C25E4">
        <w:rPr>
          <w:i/>
          <w:shd w:val="clear" w:color="auto" w:fill="FFFFFF"/>
        </w:rPr>
        <w:t>Local police departments, 2013: Equipment and technology</w:t>
      </w:r>
      <w:r w:rsidRPr="002C25E4">
        <w:rPr>
          <w:shd w:val="clear" w:color="auto" w:fill="FFFFFF"/>
        </w:rPr>
        <w:t xml:space="preserve">. </w:t>
      </w:r>
      <w:r w:rsidRPr="002C25E4">
        <w:t xml:space="preserve">Washington, D.C.: </w:t>
      </w:r>
      <w:r w:rsidRPr="002C25E4">
        <w:rPr>
          <w:shd w:val="clear" w:color="auto" w:fill="FFFFFF"/>
        </w:rPr>
        <w:t>Bureau of Justice Statistics.</w:t>
      </w:r>
    </w:p>
    <w:p w:rsidRPr="002C25E4" w:rsidR="00C55C76" w:rsidP="00F6452F" w:rsidRDefault="00C55C76" w14:paraId="2831B950" w14:textId="77777777">
      <w:pPr>
        <w:pStyle w:val="NormalWeb"/>
        <w:shd w:val="clear" w:color="auto" w:fill="FFFFFF"/>
        <w:spacing w:before="0" w:beforeAutospacing="0" w:after="231" w:afterAutospacing="0" w:line="285" w:lineRule="atLeast"/>
        <w:ind w:left="720" w:hanging="720"/>
        <w:rPr>
          <w:shd w:val="clear" w:color="auto" w:fill="FFFFFF"/>
        </w:rPr>
      </w:pPr>
      <w:r w:rsidRPr="002C25E4">
        <w:rPr>
          <w:shd w:val="clear" w:color="auto" w:fill="FFFFFF"/>
        </w:rPr>
        <w:t>Roberts, A. &amp; Roberts, Jr., J. M. (2015).</w:t>
      </w:r>
      <w:r w:rsidRPr="002C25E4">
        <w:rPr>
          <w:rStyle w:val="apple-converted-space"/>
          <w:shd w:val="clear" w:color="auto" w:fill="FFFFFF"/>
        </w:rPr>
        <w:t> </w:t>
      </w:r>
      <w:r w:rsidRPr="002C25E4">
        <w:rPr>
          <w:rStyle w:val="Strong"/>
          <w:b w:val="0"/>
          <w:shd w:val="clear" w:color="auto" w:fill="FFFFFF"/>
        </w:rPr>
        <w:t>Crime and temporal variation in police investigative workload: Evidence from National Incident-Based Reporting System (NIBRS) data</w:t>
      </w:r>
      <w:r w:rsidRPr="002C25E4">
        <w:rPr>
          <w:b/>
          <w:shd w:val="clear" w:color="auto" w:fill="FFFFFF"/>
        </w:rPr>
        <w:t>.</w:t>
      </w:r>
      <w:r w:rsidRPr="002C25E4">
        <w:rPr>
          <w:rStyle w:val="apple-converted-space"/>
          <w:b/>
          <w:shd w:val="clear" w:color="auto" w:fill="FFFFFF"/>
        </w:rPr>
        <w:t> </w:t>
      </w:r>
      <w:r w:rsidRPr="002C25E4">
        <w:rPr>
          <w:rStyle w:val="HTMLCite"/>
          <w:shd w:val="clear" w:color="auto" w:fill="FFFFFF"/>
        </w:rPr>
        <w:t>Journal of Quantitative Criminology</w:t>
      </w:r>
      <w:r w:rsidRPr="002C25E4">
        <w:rPr>
          <w:shd w:val="clear" w:color="auto" w:fill="FFFFFF"/>
        </w:rPr>
        <w:t xml:space="preserve">, 1-24. </w:t>
      </w:r>
      <w:hyperlink w:history="1" r:id="rId14">
        <w:r w:rsidRPr="002C25E4">
          <w:rPr>
            <w:rStyle w:val="Hyperlink"/>
            <w:shd w:val="clear" w:color="auto" w:fill="FFFFFF"/>
          </w:rPr>
          <w:t>doi:10.1007/s10940-015-9270-9</w:t>
        </w:r>
      </w:hyperlink>
    </w:p>
    <w:p w:rsidRPr="002C25E4" w:rsidR="00C55C76" w:rsidP="00F6452F" w:rsidRDefault="00C55C76" w14:paraId="169EED2F" w14:textId="77777777">
      <w:pPr>
        <w:pStyle w:val="NormalWeb"/>
        <w:shd w:val="clear" w:color="auto" w:fill="FFFFFF"/>
        <w:spacing w:before="0" w:beforeAutospacing="0" w:after="231" w:afterAutospacing="0" w:line="285" w:lineRule="atLeast"/>
        <w:ind w:left="720" w:hanging="720"/>
        <w:rPr>
          <w:shd w:val="clear" w:color="auto" w:fill="FFFFFF"/>
        </w:rPr>
      </w:pPr>
      <w:r w:rsidRPr="002C25E4">
        <w:t xml:space="preserve">Schuck, A. M. (2014). Female representation in law enforcement: The influence of screening, unions, incentives, community policing, CALEA, and size. </w:t>
      </w:r>
      <w:r w:rsidRPr="002C25E4">
        <w:rPr>
          <w:i/>
        </w:rPr>
        <w:t>Police Quarterly. 17</w:t>
      </w:r>
      <w:r w:rsidRPr="002C25E4">
        <w:t>(1), 54-78.</w:t>
      </w:r>
    </w:p>
    <w:p w:rsidRPr="002C25E4" w:rsidR="00C55C76" w:rsidP="00F6452F" w:rsidRDefault="00C55C76" w14:paraId="69FDE39C" w14:textId="77777777">
      <w:pPr>
        <w:pStyle w:val="NormalWeb"/>
        <w:shd w:val="clear" w:color="auto" w:fill="FFFFFF"/>
        <w:spacing w:before="0" w:beforeAutospacing="0" w:after="231" w:afterAutospacing="0" w:line="285" w:lineRule="atLeast"/>
        <w:ind w:left="720" w:hanging="720"/>
        <w:rPr>
          <w:shd w:val="clear" w:color="auto" w:fill="FFFFFF"/>
        </w:rPr>
      </w:pPr>
      <w:r w:rsidRPr="002C25E4">
        <w:rPr>
          <w:shd w:val="clear" w:color="auto" w:fill="FFFFFF"/>
        </w:rPr>
        <w:t>Schuck, A. M., &amp; Rabe-Hemp, C. (2014</w:t>
      </w:r>
      <w:r w:rsidRPr="002C25E4">
        <w:rPr>
          <w:b/>
          <w:shd w:val="clear" w:color="auto" w:fill="FFFFFF"/>
        </w:rPr>
        <w:t>).</w:t>
      </w:r>
      <w:r w:rsidRPr="002C25E4">
        <w:rPr>
          <w:rStyle w:val="apple-converted-space"/>
          <w:b/>
          <w:shd w:val="clear" w:color="auto" w:fill="FFFFFF"/>
        </w:rPr>
        <w:t> </w:t>
      </w:r>
      <w:hyperlink w:history="1" r:id="rId15">
        <w:r w:rsidRPr="002C25E4">
          <w:rPr>
            <w:rStyle w:val="Strong"/>
            <w:b w:val="0"/>
            <w:shd w:val="clear" w:color="auto" w:fill="FFFFFF"/>
          </w:rPr>
          <w:t>Citizen complaints and gender diversity in police organisations</w:t>
        </w:r>
      </w:hyperlink>
      <w:r w:rsidRPr="002C25E4">
        <w:rPr>
          <w:shd w:val="clear" w:color="auto" w:fill="FFFFFF"/>
        </w:rPr>
        <w:t>.</w:t>
      </w:r>
      <w:r w:rsidRPr="002C25E4">
        <w:rPr>
          <w:rStyle w:val="apple-converted-space"/>
          <w:shd w:val="clear" w:color="auto" w:fill="FFFFFF"/>
        </w:rPr>
        <w:t> </w:t>
      </w:r>
      <w:r w:rsidRPr="002C25E4">
        <w:rPr>
          <w:rStyle w:val="HTMLCite"/>
          <w:shd w:val="clear" w:color="auto" w:fill="FFFFFF"/>
        </w:rPr>
        <w:t>Policing and Society</w:t>
      </w:r>
      <w:r w:rsidRPr="002C25E4">
        <w:rPr>
          <w:shd w:val="clear" w:color="auto" w:fill="FFFFFF"/>
        </w:rPr>
        <w:t>.</w:t>
      </w:r>
    </w:p>
    <w:p w:rsidRPr="002C25E4" w:rsidR="00C55C76" w:rsidP="00F6452F" w:rsidRDefault="00C55C76" w14:paraId="4C11D913" w14:textId="77777777">
      <w:pPr>
        <w:pStyle w:val="NormalWeb"/>
        <w:shd w:val="clear" w:color="auto" w:fill="FFFFFF"/>
        <w:spacing w:before="0" w:beforeAutospacing="0" w:after="231" w:afterAutospacing="0" w:line="285" w:lineRule="atLeast"/>
        <w:ind w:left="720" w:hanging="720"/>
      </w:pPr>
      <w:r w:rsidRPr="002C25E4">
        <w:rPr>
          <w:shd w:val="clear" w:color="auto" w:fill="FFFFFF"/>
        </w:rPr>
        <w:lastRenderedPageBreak/>
        <w:t xml:space="preserve">Sharp, E. B. (2014). Minority representation and order maintenance policing: Toward a contingent view. </w:t>
      </w:r>
      <w:r w:rsidRPr="002C25E4">
        <w:rPr>
          <w:i/>
          <w:shd w:val="clear" w:color="auto" w:fill="FFFFFF"/>
        </w:rPr>
        <w:t>Social Science Quarterly.</w:t>
      </w:r>
      <w:r w:rsidRPr="002C25E4">
        <w:rPr>
          <w:shd w:val="clear" w:color="auto" w:fill="FFFFFF"/>
        </w:rPr>
        <w:t xml:space="preserve"> 95 (4), 1155-1171.</w:t>
      </w:r>
    </w:p>
    <w:p w:rsidRPr="002C25E4" w:rsidR="00C55C76" w:rsidP="00F6452F" w:rsidRDefault="00C55C76" w14:paraId="63C17BFA" w14:textId="77777777">
      <w:pPr>
        <w:pStyle w:val="NormalWeb"/>
        <w:shd w:val="clear" w:color="auto" w:fill="FFFFFF"/>
        <w:spacing w:before="0" w:beforeAutospacing="0" w:after="231" w:afterAutospacing="0" w:line="285" w:lineRule="atLeast"/>
        <w:ind w:left="720" w:hanging="720"/>
        <w:rPr>
          <w:shd w:val="clear" w:color="auto" w:fill="FFFFFF"/>
        </w:rPr>
      </w:pPr>
      <w:r w:rsidRPr="002C25E4">
        <w:rPr>
          <w:shd w:val="clear" w:color="auto" w:fill="FFFFFF"/>
        </w:rPr>
        <w:t>Shjarback, J. A. (2015).</w:t>
      </w:r>
      <w:r w:rsidRPr="002C25E4">
        <w:rPr>
          <w:rStyle w:val="apple-converted-space"/>
          <w:shd w:val="clear" w:color="auto" w:fill="FFFFFF"/>
        </w:rPr>
        <w:t> </w:t>
      </w:r>
      <w:r w:rsidRPr="002C25E4">
        <w:rPr>
          <w:rStyle w:val="Strong"/>
          <w:b w:val="0"/>
          <w:shd w:val="clear" w:color="auto" w:fill="FFFFFF"/>
        </w:rPr>
        <w:t>Emerging early intervention systems: An agency-specific pre-post comparison of formal citizen complaints of use of force</w:t>
      </w:r>
      <w:r w:rsidRPr="002C25E4">
        <w:rPr>
          <w:b/>
          <w:shd w:val="clear" w:color="auto" w:fill="FFFFFF"/>
        </w:rPr>
        <w:t>.</w:t>
      </w:r>
      <w:r w:rsidRPr="002C25E4">
        <w:rPr>
          <w:rStyle w:val="apple-converted-space"/>
          <w:shd w:val="clear" w:color="auto" w:fill="FFFFFF"/>
        </w:rPr>
        <w:t> </w:t>
      </w:r>
      <w:r w:rsidRPr="002C25E4">
        <w:rPr>
          <w:rStyle w:val="HTMLCite"/>
          <w:shd w:val="clear" w:color="auto" w:fill="FFFFFF"/>
        </w:rPr>
        <w:t>Policing</w:t>
      </w:r>
      <w:r w:rsidRPr="002C25E4">
        <w:rPr>
          <w:shd w:val="clear" w:color="auto" w:fill="FFFFFF"/>
        </w:rPr>
        <w:t>.</w:t>
      </w:r>
      <w:r w:rsidRPr="002C25E4">
        <w:rPr>
          <w:rStyle w:val="apple-converted-space"/>
          <w:shd w:val="clear" w:color="auto" w:fill="FFFFFF"/>
        </w:rPr>
        <w:t> </w:t>
      </w:r>
      <w:hyperlink w:history="1" r:id="rId16">
        <w:r w:rsidRPr="002C25E4">
          <w:rPr>
            <w:rStyle w:val="Hyperlink"/>
            <w:shd w:val="clear" w:color="auto" w:fill="FFFFFF"/>
          </w:rPr>
          <w:t>doi:10.1093/police/pav006</w:t>
        </w:r>
      </w:hyperlink>
    </w:p>
    <w:p w:rsidRPr="002C25E4" w:rsidR="00C55C76" w:rsidP="00F6452F" w:rsidRDefault="00C55C76" w14:paraId="10BE0A01" w14:textId="77777777">
      <w:pPr>
        <w:pStyle w:val="NormalWeb"/>
        <w:shd w:val="clear" w:color="auto" w:fill="FFFFFF"/>
        <w:spacing w:before="0" w:beforeAutospacing="0" w:after="231" w:afterAutospacing="0" w:line="285" w:lineRule="atLeast"/>
        <w:ind w:left="720" w:hanging="720"/>
        <w:rPr>
          <w:shd w:val="clear" w:color="auto" w:fill="FFFFFF"/>
        </w:rPr>
      </w:pPr>
      <w:r w:rsidRPr="002C25E4">
        <w:rPr>
          <w:shd w:val="clear" w:color="auto" w:fill="FFFFFF"/>
        </w:rPr>
        <w:t>Shjarback, J. A., &amp; White, M. D. (2015).</w:t>
      </w:r>
      <w:r w:rsidRPr="002C25E4">
        <w:rPr>
          <w:rStyle w:val="apple-converted-space"/>
          <w:shd w:val="clear" w:color="auto" w:fill="FFFFFF"/>
        </w:rPr>
        <w:t> </w:t>
      </w:r>
      <w:r w:rsidRPr="002C25E4">
        <w:rPr>
          <w:rStyle w:val="Strong"/>
          <w:b w:val="0"/>
          <w:shd w:val="clear" w:color="auto" w:fill="FFFFFF"/>
        </w:rPr>
        <w:t>Departmental professionalism and its impact on indicators of violence in police-citizen encounters</w:t>
      </w:r>
      <w:r w:rsidRPr="002C25E4">
        <w:rPr>
          <w:b/>
          <w:shd w:val="clear" w:color="auto" w:fill="FFFFFF"/>
        </w:rPr>
        <w:t>.</w:t>
      </w:r>
      <w:r w:rsidRPr="002C25E4">
        <w:rPr>
          <w:rStyle w:val="apple-converted-space"/>
          <w:shd w:val="clear" w:color="auto" w:fill="FFFFFF"/>
        </w:rPr>
        <w:t> </w:t>
      </w:r>
      <w:r w:rsidRPr="002C25E4">
        <w:rPr>
          <w:rStyle w:val="HTMLCite"/>
          <w:shd w:val="clear" w:color="auto" w:fill="FFFFFF"/>
        </w:rPr>
        <w:t>Police Quarterly</w:t>
      </w:r>
      <w:r w:rsidRPr="002C25E4">
        <w:rPr>
          <w:shd w:val="clear" w:color="auto" w:fill="FFFFFF"/>
        </w:rPr>
        <w:t xml:space="preserve">. </w:t>
      </w:r>
      <w:hyperlink w:history="1" r:id="rId17">
        <w:r w:rsidRPr="002C25E4">
          <w:rPr>
            <w:rStyle w:val="Hyperlink"/>
            <w:shd w:val="clear" w:color="auto" w:fill="FFFFFF"/>
          </w:rPr>
          <w:t>doi:10.1177/1098611115604449</w:t>
        </w:r>
      </w:hyperlink>
    </w:p>
    <w:p w:rsidRPr="002C25E4" w:rsidR="00C55C76" w:rsidP="00F6452F" w:rsidRDefault="00C55C76" w14:paraId="65927638" w14:textId="77777777">
      <w:pPr>
        <w:pStyle w:val="NormalWeb"/>
        <w:shd w:val="clear" w:color="auto" w:fill="FFFFFF"/>
        <w:spacing w:before="0" w:beforeAutospacing="0" w:after="231" w:afterAutospacing="0" w:line="285" w:lineRule="atLeast"/>
        <w:ind w:left="720" w:hanging="720"/>
        <w:rPr>
          <w:shd w:val="clear" w:color="auto" w:fill="FFFFFF"/>
        </w:rPr>
      </w:pPr>
      <w:r w:rsidRPr="002C25E4">
        <w:rPr>
          <w:shd w:val="clear" w:color="auto" w:fill="FFFFFF"/>
        </w:rPr>
        <w:t>Smith, B. W.,  Wareham, J., &amp; Lambert, E. G.</w:t>
      </w:r>
      <w:r w:rsidRPr="002C25E4">
        <w:rPr>
          <w:rStyle w:val="apple-converted-space"/>
          <w:shd w:val="clear" w:color="auto" w:fill="FFFFFF"/>
        </w:rPr>
        <w:t xml:space="preserve"> (2014). </w:t>
      </w:r>
      <w:hyperlink w:history="1" r:id="rId18">
        <w:r w:rsidRPr="002C25E4">
          <w:rPr>
            <w:rStyle w:val="Strong"/>
            <w:b w:val="0"/>
            <w:shd w:val="clear" w:color="auto" w:fill="FFFFFF"/>
          </w:rPr>
          <w:t>Community and organizational influences on voluntary turnover in law enforcement</w:t>
        </w:r>
      </w:hyperlink>
      <w:r w:rsidRPr="002C25E4">
        <w:rPr>
          <w:b/>
          <w:shd w:val="clear" w:color="auto" w:fill="FFFFFF"/>
        </w:rPr>
        <w:t xml:space="preserve">. </w:t>
      </w:r>
      <w:r w:rsidRPr="002C25E4">
        <w:rPr>
          <w:rStyle w:val="HTMLCite"/>
          <w:shd w:val="clear" w:color="auto" w:fill="FFFFFF"/>
        </w:rPr>
        <w:t>Journal of Criminal Justice</w:t>
      </w:r>
      <w:r w:rsidRPr="002C25E4">
        <w:rPr>
          <w:shd w:val="clear" w:color="auto" w:fill="FFFFFF"/>
        </w:rPr>
        <w:t xml:space="preserve">. </w:t>
      </w:r>
      <w:r w:rsidRPr="002C25E4">
        <w:rPr>
          <w:i/>
          <w:shd w:val="clear" w:color="auto" w:fill="FFFFFF"/>
        </w:rPr>
        <w:t>37</w:t>
      </w:r>
      <w:r w:rsidRPr="002C25E4">
        <w:rPr>
          <w:shd w:val="clear" w:color="auto" w:fill="FFFFFF"/>
        </w:rPr>
        <w:t>(3), 377-398.</w:t>
      </w:r>
    </w:p>
    <w:p w:rsidRPr="002C25E4" w:rsidR="00C55C76" w:rsidP="00F6452F" w:rsidRDefault="00C55C76" w14:paraId="3ECE227A" w14:textId="77777777">
      <w:pPr>
        <w:pStyle w:val="NormalWeb"/>
        <w:shd w:val="clear" w:color="auto" w:fill="FFFFFF"/>
        <w:spacing w:before="0" w:beforeAutospacing="0" w:after="231" w:afterAutospacing="0" w:line="285" w:lineRule="atLeast"/>
        <w:ind w:left="720" w:hanging="720"/>
        <w:rPr>
          <w:shd w:val="clear" w:color="auto" w:fill="FFFFFF"/>
        </w:rPr>
      </w:pPr>
      <w:r w:rsidRPr="002C25E4">
        <w:rPr>
          <w:shd w:val="clear" w:color="auto" w:fill="FFFFFF"/>
        </w:rPr>
        <w:t>Walfield, S. M. (2015).</w:t>
      </w:r>
      <w:r w:rsidRPr="002C25E4">
        <w:rPr>
          <w:rStyle w:val="apple-converted-space"/>
          <w:shd w:val="clear" w:color="auto" w:fill="FFFFFF"/>
        </w:rPr>
        <w:t> </w:t>
      </w:r>
      <w:r w:rsidRPr="002C25E4">
        <w:rPr>
          <w:rStyle w:val="Strong"/>
          <w:b w:val="0"/>
          <w:shd w:val="clear" w:color="auto" w:fill="FFFFFF"/>
        </w:rPr>
        <w:t>When a cleared rape is not cleared: A multilevel study of arrest and exceptional clearance</w:t>
      </w:r>
      <w:r w:rsidRPr="002C25E4">
        <w:rPr>
          <w:shd w:val="clear" w:color="auto" w:fill="FFFFFF"/>
        </w:rPr>
        <w:t>.</w:t>
      </w:r>
      <w:r w:rsidRPr="002C25E4">
        <w:rPr>
          <w:rStyle w:val="apple-converted-space"/>
          <w:shd w:val="clear" w:color="auto" w:fill="FFFFFF"/>
        </w:rPr>
        <w:t> </w:t>
      </w:r>
      <w:r w:rsidRPr="002C25E4">
        <w:rPr>
          <w:rStyle w:val="HTMLCite"/>
          <w:shd w:val="clear" w:color="auto" w:fill="FFFFFF"/>
        </w:rPr>
        <w:t>Journal of Interpersonal Violence</w:t>
      </w:r>
      <w:r w:rsidRPr="002C25E4">
        <w:rPr>
          <w:shd w:val="clear" w:color="auto" w:fill="FFFFFF"/>
        </w:rPr>
        <w:t>.</w:t>
      </w:r>
      <w:r w:rsidRPr="002C25E4">
        <w:rPr>
          <w:rStyle w:val="apple-converted-space"/>
          <w:shd w:val="clear" w:color="auto" w:fill="FFFFFF"/>
        </w:rPr>
        <w:t> </w:t>
      </w:r>
      <w:hyperlink w:history="1" r:id="rId19">
        <w:r w:rsidRPr="002C25E4">
          <w:rPr>
            <w:rStyle w:val="Hyperlink"/>
            <w:shd w:val="clear" w:color="auto" w:fill="FFFFFF"/>
          </w:rPr>
          <w:t>doi:10.1177/0886260515569062</w:t>
        </w:r>
      </w:hyperlink>
    </w:p>
    <w:p w:rsidRPr="002C25E4" w:rsidR="00C55C76" w:rsidP="00F6452F" w:rsidRDefault="00C55C76" w14:paraId="050D7DE3" w14:textId="77777777">
      <w:pPr>
        <w:pStyle w:val="NormalWeb"/>
        <w:shd w:val="clear" w:color="auto" w:fill="FFFFFF"/>
        <w:spacing w:before="0" w:beforeAutospacing="0" w:after="231" w:afterAutospacing="0" w:line="285" w:lineRule="atLeast"/>
        <w:ind w:left="720" w:hanging="720"/>
      </w:pPr>
      <w:r w:rsidRPr="002C25E4">
        <w:rPr>
          <w:shd w:val="clear" w:color="auto" w:fill="FFFFFF"/>
        </w:rPr>
        <w:t>Wareham, J.,  Smith, B.W.,  &amp; Lambert, E. G. (2015).</w:t>
      </w:r>
      <w:r w:rsidRPr="002C25E4">
        <w:rPr>
          <w:rStyle w:val="apple-converted-space"/>
          <w:shd w:val="clear" w:color="auto" w:fill="FFFFFF"/>
        </w:rPr>
        <w:t> </w:t>
      </w:r>
      <w:r w:rsidRPr="002C25E4">
        <w:rPr>
          <w:rStyle w:val="Strong"/>
          <w:b w:val="0"/>
          <w:shd w:val="clear" w:color="auto" w:fill="FFFFFF"/>
        </w:rPr>
        <w:t>Rates and patterns of law enforcement turnover: A research note</w:t>
      </w:r>
      <w:r w:rsidRPr="002C25E4">
        <w:rPr>
          <w:b/>
          <w:shd w:val="clear" w:color="auto" w:fill="FFFFFF"/>
        </w:rPr>
        <w:t>.</w:t>
      </w:r>
      <w:r w:rsidRPr="002C25E4">
        <w:rPr>
          <w:rStyle w:val="apple-converted-space"/>
          <w:b/>
          <w:shd w:val="clear" w:color="auto" w:fill="FFFFFF"/>
        </w:rPr>
        <w:t> </w:t>
      </w:r>
      <w:r w:rsidRPr="002C25E4">
        <w:rPr>
          <w:rStyle w:val="HTMLCite"/>
          <w:shd w:val="clear" w:color="auto" w:fill="FFFFFF"/>
        </w:rPr>
        <w:t>Criminal Justice Policy Review</w:t>
      </w:r>
      <w:r w:rsidRPr="002C25E4">
        <w:rPr>
          <w:shd w:val="clear" w:color="auto" w:fill="FFFFFF"/>
        </w:rPr>
        <w:t xml:space="preserve">. </w:t>
      </w:r>
      <w:r w:rsidRPr="002C25E4">
        <w:rPr>
          <w:i/>
          <w:shd w:val="clear" w:color="auto" w:fill="FFFFFF"/>
        </w:rPr>
        <w:t>26</w:t>
      </w:r>
      <w:r w:rsidRPr="002C25E4">
        <w:rPr>
          <w:shd w:val="clear" w:color="auto" w:fill="FFFFFF"/>
        </w:rPr>
        <w:t xml:space="preserve">(4), 345-370. </w:t>
      </w:r>
      <w:hyperlink w:history="1" r:id="rId20">
        <w:r w:rsidRPr="002C25E4">
          <w:rPr>
            <w:rStyle w:val="Hyperlink"/>
            <w:shd w:val="clear" w:color="auto" w:fill="FFFFFF"/>
          </w:rPr>
          <w:t>doi:10.1177/0887403413514439</w:t>
        </w:r>
      </w:hyperlink>
    </w:p>
    <w:p w:rsidRPr="00F6452F" w:rsidR="00C55C76" w:rsidP="00DD5DDC" w:rsidRDefault="00C55C76" w14:paraId="0F497D37" w14:textId="13BF99D1">
      <w:pPr>
        <w:pStyle w:val="NormalWeb"/>
        <w:shd w:val="clear" w:color="auto" w:fill="FFFFFF"/>
        <w:spacing w:before="0" w:beforeAutospacing="0" w:after="231" w:afterAutospacing="0" w:line="285" w:lineRule="atLeast"/>
        <w:ind w:left="720" w:hanging="720"/>
        <w:rPr>
          <w:u w:val="single"/>
        </w:rPr>
      </w:pPr>
      <w:r w:rsidRPr="002C25E4">
        <w:rPr>
          <w:shd w:val="clear" w:color="auto" w:fill="FFFFFF"/>
        </w:rPr>
        <w:t>Willits, D. W.</w:t>
      </w:r>
      <w:r w:rsidRPr="002C25E4">
        <w:rPr>
          <w:rStyle w:val="apple-converted-space"/>
          <w:b/>
          <w:shd w:val="clear" w:color="auto" w:fill="FFFFFF"/>
        </w:rPr>
        <w:t> </w:t>
      </w:r>
      <w:r w:rsidRPr="002C25E4">
        <w:rPr>
          <w:rStyle w:val="apple-converted-space"/>
          <w:shd w:val="clear" w:color="auto" w:fill="FFFFFF"/>
        </w:rPr>
        <w:t>(2014)</w:t>
      </w:r>
      <w:r w:rsidRPr="002C25E4">
        <w:rPr>
          <w:rStyle w:val="apple-converted-space"/>
          <w:b/>
          <w:shd w:val="clear" w:color="auto" w:fill="FFFFFF"/>
        </w:rPr>
        <w:t xml:space="preserve">. </w:t>
      </w:r>
      <w:hyperlink w:history="1" r:id="rId21">
        <w:r w:rsidRPr="002C25E4">
          <w:rPr>
            <w:rStyle w:val="Strong"/>
            <w:b w:val="0"/>
            <w:shd w:val="clear" w:color="auto" w:fill="FFFFFF"/>
          </w:rPr>
          <w:t>The organisational structure of police departments and assaults on police officers</w:t>
        </w:r>
      </w:hyperlink>
      <w:r w:rsidRPr="002C25E4">
        <w:rPr>
          <w:shd w:val="clear" w:color="auto" w:fill="FFFFFF"/>
        </w:rPr>
        <w:t>.</w:t>
      </w:r>
      <w:r w:rsidRPr="002C25E4">
        <w:rPr>
          <w:rStyle w:val="apple-converted-space"/>
          <w:shd w:val="clear" w:color="auto" w:fill="FFFFFF"/>
        </w:rPr>
        <w:t> </w:t>
      </w:r>
      <w:r w:rsidRPr="002C25E4">
        <w:rPr>
          <w:rStyle w:val="HTMLCite"/>
          <w:shd w:val="clear" w:color="auto" w:fill="FFFFFF"/>
        </w:rPr>
        <w:t>International Journal of Police Science and Management</w:t>
      </w:r>
      <w:r w:rsidRPr="002C25E4">
        <w:rPr>
          <w:shd w:val="clear" w:color="auto" w:fill="FFFFFF"/>
        </w:rPr>
        <w:t xml:space="preserve">. </w:t>
      </w:r>
      <w:r w:rsidRPr="002C25E4">
        <w:rPr>
          <w:i/>
          <w:shd w:val="clear" w:color="auto" w:fill="FFFFFF"/>
        </w:rPr>
        <w:t>16</w:t>
      </w:r>
      <w:r w:rsidRPr="002C25E4">
        <w:rPr>
          <w:shd w:val="clear" w:color="auto" w:fill="FFFFFF"/>
        </w:rPr>
        <w:t>(2), 140-154.</w:t>
      </w:r>
    </w:p>
    <w:p w:rsidRPr="002C25E4" w:rsidR="00C55C76" w:rsidP="00C55C76" w:rsidRDefault="00C55C76" w14:paraId="115571B0" w14:textId="77777777">
      <w:pPr>
        <w:spacing w:after="120"/>
        <w:ind w:left="720" w:hanging="720"/>
      </w:pPr>
    </w:p>
    <w:p w:rsidRPr="00596C3F" w:rsidR="00C55C76" w:rsidP="00C55C76" w:rsidRDefault="00C55C76" w14:paraId="04814B28" w14:textId="77777777"/>
    <w:sectPr w:rsidRPr="00596C3F" w:rsidR="00C55C76" w:rsidSect="002A780B">
      <w:footerReference w:type="default" r:id="rId22"/>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4B7A81" w16cid:durableId="21EFEEF6"/>
  <w16cid:commentId w16cid:paraId="53781797" w16cid:durableId="21EFEFF0"/>
  <w16cid:commentId w16cid:paraId="1F5050E8" w16cid:durableId="21F4C323"/>
  <w16cid:commentId w16cid:paraId="6DBD7AF1" w16cid:durableId="21F4C060"/>
  <w16cid:commentId w16cid:paraId="7CB1D3E3" w16cid:durableId="21F4C0C4"/>
  <w16cid:commentId w16cid:paraId="0505C8D7" w16cid:durableId="21EFEEF9"/>
  <w16cid:commentId w16cid:paraId="229D8F3C" w16cid:durableId="21F52A6C"/>
  <w16cid:commentId w16cid:paraId="3EA66884" w16cid:durableId="21EFEEFA"/>
  <w16cid:commentId w16cid:paraId="2EA8FA93" w16cid:durableId="21F4B901"/>
  <w16cid:commentId w16cid:paraId="750B1F35" w16cid:durableId="21D90F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A150A" w14:textId="77777777" w:rsidR="0004404C" w:rsidRDefault="0004404C" w:rsidP="00421095">
      <w:r>
        <w:separator/>
      </w:r>
    </w:p>
  </w:endnote>
  <w:endnote w:type="continuationSeparator" w:id="0">
    <w:p w14:paraId="500909EA" w14:textId="77777777" w:rsidR="0004404C" w:rsidRDefault="0004404C" w:rsidP="0042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Book">
    <w:altName w:val="Baskerville Book"/>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1C7E9" w14:textId="7A9D53F9" w:rsidR="0004404C" w:rsidRDefault="0004404C">
    <w:pPr>
      <w:pStyle w:val="Footer"/>
      <w:jc w:val="center"/>
    </w:pPr>
    <w:r>
      <w:fldChar w:fldCharType="begin"/>
    </w:r>
    <w:r>
      <w:instrText xml:space="preserve"> PAGE   \* MERGEFORMAT </w:instrText>
    </w:r>
    <w:r>
      <w:fldChar w:fldCharType="separate"/>
    </w:r>
    <w:r w:rsidR="00481853">
      <w:rPr>
        <w:noProof/>
      </w:rPr>
      <w:t>1</w:t>
    </w:r>
    <w:r>
      <w:rPr>
        <w:noProof/>
      </w:rPr>
      <w:fldChar w:fldCharType="end"/>
    </w:r>
  </w:p>
  <w:p w14:paraId="44EEF2DC" w14:textId="77777777" w:rsidR="0004404C" w:rsidRDefault="00044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3C4C2" w14:textId="77777777" w:rsidR="0004404C" w:rsidRDefault="0004404C" w:rsidP="00421095">
      <w:r>
        <w:separator/>
      </w:r>
    </w:p>
  </w:footnote>
  <w:footnote w:type="continuationSeparator" w:id="0">
    <w:p w14:paraId="0F0AF694" w14:textId="77777777" w:rsidR="0004404C" w:rsidRDefault="0004404C" w:rsidP="00421095">
      <w:r>
        <w:continuationSeparator/>
      </w:r>
    </w:p>
  </w:footnote>
  <w:footnote w:id="1">
    <w:p w14:paraId="1DB833DD" w14:textId="3D1F61DF" w:rsidR="0004404C" w:rsidRDefault="0004404C">
      <w:pPr>
        <w:pStyle w:val="FootnoteText"/>
      </w:pPr>
      <w:r>
        <w:rPr>
          <w:rStyle w:val="FootnoteReference"/>
        </w:rPr>
        <w:footnoteRef/>
      </w:r>
      <w:r>
        <w:t xml:space="preserve"> For reporting purposes, two part-time officers are treated as equivalent to one full-time officer. </w:t>
      </w:r>
    </w:p>
  </w:footnote>
  <w:footnote w:id="2">
    <w:p w14:paraId="5164BAB8" w14:textId="16687B48" w:rsidR="0004404C" w:rsidRDefault="0004404C">
      <w:pPr>
        <w:pStyle w:val="FootnoteText"/>
      </w:pPr>
      <w:r>
        <w:rPr>
          <w:rStyle w:val="FootnoteReference"/>
        </w:rPr>
        <w:footnoteRef/>
      </w:r>
      <w:r>
        <w:t xml:space="preserve"> Remaining nonrespondents will receive a total of two copies of the paper questionnaire during the course of data collection.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D37"/>
    <w:multiLevelType w:val="hybridMultilevel"/>
    <w:tmpl w:val="7DD24CB2"/>
    <w:lvl w:ilvl="0" w:tplc="91DE88C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4759B"/>
    <w:multiLevelType w:val="hybridMultilevel"/>
    <w:tmpl w:val="3E86E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BD362C"/>
    <w:multiLevelType w:val="hybridMultilevel"/>
    <w:tmpl w:val="00EE099E"/>
    <w:lvl w:ilvl="0" w:tplc="49B8A28A">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3C5581"/>
    <w:multiLevelType w:val="hybridMultilevel"/>
    <w:tmpl w:val="2C00869A"/>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15BF1"/>
    <w:multiLevelType w:val="hybridMultilevel"/>
    <w:tmpl w:val="D06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C31A7"/>
    <w:multiLevelType w:val="hybridMultilevel"/>
    <w:tmpl w:val="0438503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86643B6"/>
    <w:multiLevelType w:val="hybridMultilevel"/>
    <w:tmpl w:val="61BCBDF2"/>
    <w:lvl w:ilvl="0" w:tplc="C2D4F4D0">
      <w:start w:val="3"/>
      <w:numFmt w:val="bullet"/>
      <w:lvlText w:val="-"/>
      <w:lvlJc w:val="left"/>
      <w:pPr>
        <w:ind w:left="996" w:hanging="360"/>
      </w:pPr>
      <w:rPr>
        <w:rFonts w:ascii="Times New Roman" w:eastAsia="Times New Roman" w:hAnsi="Times New Roman" w:hint="default"/>
      </w:rPr>
    </w:lvl>
    <w:lvl w:ilvl="1" w:tplc="04090003" w:tentative="1">
      <w:start w:val="1"/>
      <w:numFmt w:val="bullet"/>
      <w:lvlText w:val="o"/>
      <w:lvlJc w:val="left"/>
      <w:pPr>
        <w:ind w:left="1716" w:hanging="360"/>
      </w:pPr>
      <w:rPr>
        <w:rFonts w:ascii="Courier New" w:hAnsi="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7" w15:restartNumberingAfterBreak="0">
    <w:nsid w:val="1B054162"/>
    <w:multiLevelType w:val="hybridMultilevel"/>
    <w:tmpl w:val="294CCC8E"/>
    <w:lvl w:ilvl="0" w:tplc="D4705CD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409FC"/>
    <w:multiLevelType w:val="hybridMultilevel"/>
    <w:tmpl w:val="74A443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89C3548"/>
    <w:multiLevelType w:val="hybridMultilevel"/>
    <w:tmpl w:val="D2663094"/>
    <w:lvl w:ilvl="0" w:tplc="1F9A984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AC050BE"/>
    <w:multiLevelType w:val="hybridMultilevel"/>
    <w:tmpl w:val="A45E5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361529"/>
    <w:multiLevelType w:val="hybridMultilevel"/>
    <w:tmpl w:val="F26A4D6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397F016C"/>
    <w:multiLevelType w:val="hybridMultilevel"/>
    <w:tmpl w:val="9C448182"/>
    <w:lvl w:ilvl="0" w:tplc="04090001">
      <w:numFmt w:val="bullet"/>
      <w:lvlText w:val=""/>
      <w:lvlJc w:val="left"/>
      <w:pPr>
        <w:ind w:left="360" w:hanging="360"/>
      </w:pPr>
      <w:rPr>
        <w:rFonts w:ascii="Symbol" w:eastAsia="Times New Roman"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9E71E6"/>
    <w:multiLevelType w:val="hybridMultilevel"/>
    <w:tmpl w:val="BE208B0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E53B9"/>
    <w:multiLevelType w:val="hybridMultilevel"/>
    <w:tmpl w:val="5F7A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BF58E1"/>
    <w:multiLevelType w:val="hybridMultilevel"/>
    <w:tmpl w:val="A340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B5D6A"/>
    <w:multiLevelType w:val="hybridMultilevel"/>
    <w:tmpl w:val="2620DC7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C5260"/>
    <w:multiLevelType w:val="hybridMultilevel"/>
    <w:tmpl w:val="6618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E2799"/>
    <w:multiLevelType w:val="hybridMultilevel"/>
    <w:tmpl w:val="A6B03F9E"/>
    <w:lvl w:ilvl="0" w:tplc="FE6632C8">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3DB255F"/>
    <w:multiLevelType w:val="hybridMultilevel"/>
    <w:tmpl w:val="E2EE68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1B7937"/>
    <w:multiLevelType w:val="hybridMultilevel"/>
    <w:tmpl w:val="AA1685E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3F4B34"/>
    <w:multiLevelType w:val="hybridMultilevel"/>
    <w:tmpl w:val="BAD047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754C2426"/>
    <w:multiLevelType w:val="hybridMultilevel"/>
    <w:tmpl w:val="E498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25437C"/>
    <w:multiLevelType w:val="hybridMultilevel"/>
    <w:tmpl w:val="709A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E254C8"/>
    <w:multiLevelType w:val="hybridMultilevel"/>
    <w:tmpl w:val="863C556E"/>
    <w:lvl w:ilvl="0" w:tplc="0409000F">
      <w:start w:val="1"/>
      <w:numFmt w:val="decimal"/>
      <w:lvlText w:val="%1."/>
      <w:lvlJc w:val="left"/>
      <w:pPr>
        <w:ind w:left="360" w:hanging="360"/>
      </w:pPr>
      <w:rPr>
        <w:rFonts w:cs="Times New Roman" w:hint="default"/>
        <w:u w:val="no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9"/>
  </w:num>
  <w:num w:numId="2">
    <w:abstractNumId w:val="2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4"/>
  </w:num>
  <w:num w:numId="6">
    <w:abstractNumId w:val="5"/>
  </w:num>
  <w:num w:numId="7">
    <w:abstractNumId w:val="8"/>
  </w:num>
  <w:num w:numId="8">
    <w:abstractNumId w:val="17"/>
  </w:num>
  <w:num w:numId="9">
    <w:abstractNumId w:val="6"/>
  </w:num>
  <w:num w:numId="10">
    <w:abstractNumId w:val="22"/>
  </w:num>
  <w:num w:numId="11">
    <w:abstractNumId w:val="15"/>
  </w:num>
  <w:num w:numId="12">
    <w:abstractNumId w:val="0"/>
  </w:num>
  <w:num w:numId="13">
    <w:abstractNumId w:val="20"/>
  </w:num>
  <w:num w:numId="14">
    <w:abstractNumId w:val="16"/>
  </w:num>
  <w:num w:numId="15">
    <w:abstractNumId w:val="3"/>
  </w:num>
  <w:num w:numId="16">
    <w:abstractNumId w:val="13"/>
  </w:num>
  <w:num w:numId="17">
    <w:abstractNumId w:val="2"/>
  </w:num>
  <w:num w:numId="18">
    <w:abstractNumId w:val="18"/>
  </w:num>
  <w:num w:numId="19">
    <w:abstractNumId w:val="19"/>
  </w:num>
  <w:num w:numId="20">
    <w:abstractNumId w:val="14"/>
  </w:num>
  <w:num w:numId="21">
    <w:abstractNumId w:val="10"/>
  </w:num>
  <w:num w:numId="22">
    <w:abstractNumId w:val="7"/>
  </w:num>
  <w:num w:numId="23">
    <w:abstractNumId w:val="4"/>
  </w:num>
  <w:num w:numId="24">
    <w:abstractNumId w:val="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95"/>
    <w:rsid w:val="000004FC"/>
    <w:rsid w:val="0000409E"/>
    <w:rsid w:val="00006757"/>
    <w:rsid w:val="0001585F"/>
    <w:rsid w:val="00016413"/>
    <w:rsid w:val="00017D8B"/>
    <w:rsid w:val="0004404C"/>
    <w:rsid w:val="0004775D"/>
    <w:rsid w:val="00047767"/>
    <w:rsid w:val="000479B5"/>
    <w:rsid w:val="000506C9"/>
    <w:rsid w:val="000573C0"/>
    <w:rsid w:val="00064C5B"/>
    <w:rsid w:val="000652FE"/>
    <w:rsid w:val="00072C4F"/>
    <w:rsid w:val="00072EC5"/>
    <w:rsid w:val="0008309B"/>
    <w:rsid w:val="00095B15"/>
    <w:rsid w:val="000A0625"/>
    <w:rsid w:val="000A1127"/>
    <w:rsid w:val="000C4C24"/>
    <w:rsid w:val="000D1AC6"/>
    <w:rsid w:val="000D1C97"/>
    <w:rsid w:val="00104A74"/>
    <w:rsid w:val="0011312E"/>
    <w:rsid w:val="0011500B"/>
    <w:rsid w:val="00130D67"/>
    <w:rsid w:val="0013515C"/>
    <w:rsid w:val="00140980"/>
    <w:rsid w:val="00140B9D"/>
    <w:rsid w:val="00141D2F"/>
    <w:rsid w:val="00156904"/>
    <w:rsid w:val="00163AF7"/>
    <w:rsid w:val="00171DDD"/>
    <w:rsid w:val="00176383"/>
    <w:rsid w:val="001802FC"/>
    <w:rsid w:val="001A3E1C"/>
    <w:rsid w:val="001A42C3"/>
    <w:rsid w:val="001B0233"/>
    <w:rsid w:val="001B2488"/>
    <w:rsid w:val="001C4D8B"/>
    <w:rsid w:val="001D1682"/>
    <w:rsid w:val="001D3326"/>
    <w:rsid w:val="001D4798"/>
    <w:rsid w:val="001D5D5D"/>
    <w:rsid w:val="001D7E85"/>
    <w:rsid w:val="001E40F6"/>
    <w:rsid w:val="001F09D9"/>
    <w:rsid w:val="0020485B"/>
    <w:rsid w:val="00204DA9"/>
    <w:rsid w:val="00207226"/>
    <w:rsid w:val="002125EF"/>
    <w:rsid w:val="002254D2"/>
    <w:rsid w:val="00226164"/>
    <w:rsid w:val="002359F0"/>
    <w:rsid w:val="002364B9"/>
    <w:rsid w:val="002369CA"/>
    <w:rsid w:val="0024443E"/>
    <w:rsid w:val="00250546"/>
    <w:rsid w:val="00251465"/>
    <w:rsid w:val="002524E3"/>
    <w:rsid w:val="00256BAE"/>
    <w:rsid w:val="00266994"/>
    <w:rsid w:val="00274054"/>
    <w:rsid w:val="002750E4"/>
    <w:rsid w:val="0027777D"/>
    <w:rsid w:val="00281C89"/>
    <w:rsid w:val="00281D9C"/>
    <w:rsid w:val="002821C9"/>
    <w:rsid w:val="00282FDE"/>
    <w:rsid w:val="00285B41"/>
    <w:rsid w:val="002925F3"/>
    <w:rsid w:val="00292D2D"/>
    <w:rsid w:val="00294626"/>
    <w:rsid w:val="002A55B1"/>
    <w:rsid w:val="002A7672"/>
    <w:rsid w:val="002A780B"/>
    <w:rsid w:val="002D7FAA"/>
    <w:rsid w:val="002E5DAF"/>
    <w:rsid w:val="002E7EFC"/>
    <w:rsid w:val="002F2D7C"/>
    <w:rsid w:val="002F32F5"/>
    <w:rsid w:val="002F53E6"/>
    <w:rsid w:val="0031232C"/>
    <w:rsid w:val="003147EB"/>
    <w:rsid w:val="003303FF"/>
    <w:rsid w:val="0033314C"/>
    <w:rsid w:val="003502D2"/>
    <w:rsid w:val="00352E74"/>
    <w:rsid w:val="003533FD"/>
    <w:rsid w:val="00360EF3"/>
    <w:rsid w:val="00361A0C"/>
    <w:rsid w:val="003654DD"/>
    <w:rsid w:val="00367A70"/>
    <w:rsid w:val="0037167C"/>
    <w:rsid w:val="0037297B"/>
    <w:rsid w:val="00372AE1"/>
    <w:rsid w:val="003745DF"/>
    <w:rsid w:val="003835F3"/>
    <w:rsid w:val="00384BE8"/>
    <w:rsid w:val="003969E6"/>
    <w:rsid w:val="003A5314"/>
    <w:rsid w:val="003B2F16"/>
    <w:rsid w:val="003C22A7"/>
    <w:rsid w:val="003C2907"/>
    <w:rsid w:val="003C5560"/>
    <w:rsid w:val="003C6818"/>
    <w:rsid w:val="003D38C8"/>
    <w:rsid w:val="003F2579"/>
    <w:rsid w:val="003F2F82"/>
    <w:rsid w:val="00405393"/>
    <w:rsid w:val="00413C62"/>
    <w:rsid w:val="00421095"/>
    <w:rsid w:val="0042651D"/>
    <w:rsid w:val="00435C84"/>
    <w:rsid w:val="004375F5"/>
    <w:rsid w:val="00441FBB"/>
    <w:rsid w:val="00461BB8"/>
    <w:rsid w:val="00461C99"/>
    <w:rsid w:val="00461CE6"/>
    <w:rsid w:val="004630DD"/>
    <w:rsid w:val="00463C45"/>
    <w:rsid w:val="004703D5"/>
    <w:rsid w:val="004715A9"/>
    <w:rsid w:val="00475BE7"/>
    <w:rsid w:val="0048160C"/>
    <w:rsid w:val="0048164F"/>
    <w:rsid w:val="00481853"/>
    <w:rsid w:val="00495F4C"/>
    <w:rsid w:val="004B30D2"/>
    <w:rsid w:val="004B4B5F"/>
    <w:rsid w:val="004C0E13"/>
    <w:rsid w:val="004C7B82"/>
    <w:rsid w:val="004D33AF"/>
    <w:rsid w:val="004D74A1"/>
    <w:rsid w:val="00513698"/>
    <w:rsid w:val="0051685F"/>
    <w:rsid w:val="005179E2"/>
    <w:rsid w:val="00517AB0"/>
    <w:rsid w:val="005346F1"/>
    <w:rsid w:val="005411DA"/>
    <w:rsid w:val="00544989"/>
    <w:rsid w:val="00556135"/>
    <w:rsid w:val="0056033F"/>
    <w:rsid w:val="00560FBB"/>
    <w:rsid w:val="00565436"/>
    <w:rsid w:val="00567C7D"/>
    <w:rsid w:val="0057026E"/>
    <w:rsid w:val="00570489"/>
    <w:rsid w:val="00577E44"/>
    <w:rsid w:val="005858EB"/>
    <w:rsid w:val="00594C83"/>
    <w:rsid w:val="00596C3F"/>
    <w:rsid w:val="005C1237"/>
    <w:rsid w:val="005D191C"/>
    <w:rsid w:val="00634B4A"/>
    <w:rsid w:val="006420CB"/>
    <w:rsid w:val="00662CA2"/>
    <w:rsid w:val="00670344"/>
    <w:rsid w:val="0067081A"/>
    <w:rsid w:val="00672455"/>
    <w:rsid w:val="00676DC3"/>
    <w:rsid w:val="0067742B"/>
    <w:rsid w:val="0068628D"/>
    <w:rsid w:val="00696348"/>
    <w:rsid w:val="00696402"/>
    <w:rsid w:val="006C2C00"/>
    <w:rsid w:val="006D1FAA"/>
    <w:rsid w:val="006E55C8"/>
    <w:rsid w:val="006F31F1"/>
    <w:rsid w:val="006F4AA5"/>
    <w:rsid w:val="006F5F0F"/>
    <w:rsid w:val="00705C30"/>
    <w:rsid w:val="007076CA"/>
    <w:rsid w:val="00713E27"/>
    <w:rsid w:val="00714F0E"/>
    <w:rsid w:val="00715A44"/>
    <w:rsid w:val="00717B9C"/>
    <w:rsid w:val="0073242F"/>
    <w:rsid w:val="0074569B"/>
    <w:rsid w:val="00754D27"/>
    <w:rsid w:val="00756572"/>
    <w:rsid w:val="00765B7D"/>
    <w:rsid w:val="00787BF0"/>
    <w:rsid w:val="007907FA"/>
    <w:rsid w:val="0079398A"/>
    <w:rsid w:val="00795904"/>
    <w:rsid w:val="007A395A"/>
    <w:rsid w:val="007A3ACF"/>
    <w:rsid w:val="007A3AED"/>
    <w:rsid w:val="007A4C12"/>
    <w:rsid w:val="007A538F"/>
    <w:rsid w:val="007A631D"/>
    <w:rsid w:val="007C0EFD"/>
    <w:rsid w:val="007C47D6"/>
    <w:rsid w:val="007C5772"/>
    <w:rsid w:val="007C5C95"/>
    <w:rsid w:val="007D45D3"/>
    <w:rsid w:val="007D4974"/>
    <w:rsid w:val="007D521C"/>
    <w:rsid w:val="007D71DA"/>
    <w:rsid w:val="007E05A7"/>
    <w:rsid w:val="007E4BD4"/>
    <w:rsid w:val="007F4BBC"/>
    <w:rsid w:val="0080504C"/>
    <w:rsid w:val="008120E5"/>
    <w:rsid w:val="008163AC"/>
    <w:rsid w:val="0081691A"/>
    <w:rsid w:val="00830786"/>
    <w:rsid w:val="008528EB"/>
    <w:rsid w:val="008534AF"/>
    <w:rsid w:val="00855D09"/>
    <w:rsid w:val="00867690"/>
    <w:rsid w:val="00873402"/>
    <w:rsid w:val="00886110"/>
    <w:rsid w:val="0088712E"/>
    <w:rsid w:val="008939CA"/>
    <w:rsid w:val="008961AB"/>
    <w:rsid w:val="008A6C4F"/>
    <w:rsid w:val="008B5838"/>
    <w:rsid w:val="008C2A8B"/>
    <w:rsid w:val="008C62B2"/>
    <w:rsid w:val="008C7848"/>
    <w:rsid w:val="008D0408"/>
    <w:rsid w:val="008E61B2"/>
    <w:rsid w:val="009038D8"/>
    <w:rsid w:val="0090454E"/>
    <w:rsid w:val="00926C2C"/>
    <w:rsid w:val="0095719B"/>
    <w:rsid w:val="00965E64"/>
    <w:rsid w:val="00971178"/>
    <w:rsid w:val="00971DB7"/>
    <w:rsid w:val="009740BB"/>
    <w:rsid w:val="00975AEF"/>
    <w:rsid w:val="00975C81"/>
    <w:rsid w:val="00986A0E"/>
    <w:rsid w:val="00990A93"/>
    <w:rsid w:val="00995628"/>
    <w:rsid w:val="009A28DE"/>
    <w:rsid w:val="009A2F21"/>
    <w:rsid w:val="009A5B88"/>
    <w:rsid w:val="009A78FA"/>
    <w:rsid w:val="009B68E4"/>
    <w:rsid w:val="009D445A"/>
    <w:rsid w:val="009E218E"/>
    <w:rsid w:val="009E387E"/>
    <w:rsid w:val="009F36B6"/>
    <w:rsid w:val="009F5C3A"/>
    <w:rsid w:val="009F6AAB"/>
    <w:rsid w:val="00A12BEA"/>
    <w:rsid w:val="00A1454E"/>
    <w:rsid w:val="00A14B3A"/>
    <w:rsid w:val="00A30300"/>
    <w:rsid w:val="00A40850"/>
    <w:rsid w:val="00A44498"/>
    <w:rsid w:val="00A45B67"/>
    <w:rsid w:val="00A471AD"/>
    <w:rsid w:val="00A50A7E"/>
    <w:rsid w:val="00A52247"/>
    <w:rsid w:val="00A560AA"/>
    <w:rsid w:val="00A6699A"/>
    <w:rsid w:val="00A717F4"/>
    <w:rsid w:val="00A71C78"/>
    <w:rsid w:val="00A75DA0"/>
    <w:rsid w:val="00A95CFB"/>
    <w:rsid w:val="00AA530A"/>
    <w:rsid w:val="00AA688D"/>
    <w:rsid w:val="00AB307C"/>
    <w:rsid w:val="00AB507D"/>
    <w:rsid w:val="00AC0BE6"/>
    <w:rsid w:val="00AD0392"/>
    <w:rsid w:val="00AD37C2"/>
    <w:rsid w:val="00AD7449"/>
    <w:rsid w:val="00AE2023"/>
    <w:rsid w:val="00AE2D4A"/>
    <w:rsid w:val="00AE5CBF"/>
    <w:rsid w:val="00AE707C"/>
    <w:rsid w:val="00AF619C"/>
    <w:rsid w:val="00AF7302"/>
    <w:rsid w:val="00B04041"/>
    <w:rsid w:val="00B0677D"/>
    <w:rsid w:val="00B21B52"/>
    <w:rsid w:val="00B265B4"/>
    <w:rsid w:val="00B31D37"/>
    <w:rsid w:val="00B478DB"/>
    <w:rsid w:val="00B502CB"/>
    <w:rsid w:val="00B51B03"/>
    <w:rsid w:val="00B51F0C"/>
    <w:rsid w:val="00B637F4"/>
    <w:rsid w:val="00B65499"/>
    <w:rsid w:val="00B67F45"/>
    <w:rsid w:val="00B75E62"/>
    <w:rsid w:val="00B848AA"/>
    <w:rsid w:val="00BA1631"/>
    <w:rsid w:val="00BB3221"/>
    <w:rsid w:val="00BC2420"/>
    <w:rsid w:val="00BC595F"/>
    <w:rsid w:val="00BC7640"/>
    <w:rsid w:val="00BD2B52"/>
    <w:rsid w:val="00BD62F3"/>
    <w:rsid w:val="00BD68D1"/>
    <w:rsid w:val="00BE1CB4"/>
    <w:rsid w:val="00BF41F7"/>
    <w:rsid w:val="00BF496B"/>
    <w:rsid w:val="00C022C5"/>
    <w:rsid w:val="00C12CDE"/>
    <w:rsid w:val="00C138F5"/>
    <w:rsid w:val="00C14A58"/>
    <w:rsid w:val="00C502B5"/>
    <w:rsid w:val="00C51B79"/>
    <w:rsid w:val="00C53F09"/>
    <w:rsid w:val="00C54A43"/>
    <w:rsid w:val="00C55C76"/>
    <w:rsid w:val="00C5649E"/>
    <w:rsid w:val="00C80641"/>
    <w:rsid w:val="00C87BA8"/>
    <w:rsid w:val="00C90010"/>
    <w:rsid w:val="00C95008"/>
    <w:rsid w:val="00CA1E4A"/>
    <w:rsid w:val="00CA3573"/>
    <w:rsid w:val="00CB1A3F"/>
    <w:rsid w:val="00CB27E3"/>
    <w:rsid w:val="00CB4E2F"/>
    <w:rsid w:val="00CC3477"/>
    <w:rsid w:val="00CC4A2E"/>
    <w:rsid w:val="00CE367C"/>
    <w:rsid w:val="00CE6E77"/>
    <w:rsid w:val="00CF12FE"/>
    <w:rsid w:val="00CF1C00"/>
    <w:rsid w:val="00CF45EA"/>
    <w:rsid w:val="00CF4AE5"/>
    <w:rsid w:val="00CF5047"/>
    <w:rsid w:val="00CF6DEB"/>
    <w:rsid w:val="00D111F9"/>
    <w:rsid w:val="00D13D97"/>
    <w:rsid w:val="00D16DCC"/>
    <w:rsid w:val="00D365E4"/>
    <w:rsid w:val="00D41267"/>
    <w:rsid w:val="00D474D8"/>
    <w:rsid w:val="00D51B2B"/>
    <w:rsid w:val="00D534B2"/>
    <w:rsid w:val="00D57E7A"/>
    <w:rsid w:val="00D66519"/>
    <w:rsid w:val="00D85E60"/>
    <w:rsid w:val="00D955C8"/>
    <w:rsid w:val="00D95EEE"/>
    <w:rsid w:val="00DA515B"/>
    <w:rsid w:val="00DA5F64"/>
    <w:rsid w:val="00DB43F6"/>
    <w:rsid w:val="00DC14B5"/>
    <w:rsid w:val="00DC1DF6"/>
    <w:rsid w:val="00DC518D"/>
    <w:rsid w:val="00DC5B8E"/>
    <w:rsid w:val="00DC6AA6"/>
    <w:rsid w:val="00DD462A"/>
    <w:rsid w:val="00DD5DDC"/>
    <w:rsid w:val="00DF2615"/>
    <w:rsid w:val="00DF621D"/>
    <w:rsid w:val="00E00C63"/>
    <w:rsid w:val="00E05313"/>
    <w:rsid w:val="00E07E3D"/>
    <w:rsid w:val="00E11A50"/>
    <w:rsid w:val="00E24D98"/>
    <w:rsid w:val="00E34189"/>
    <w:rsid w:val="00E42BA9"/>
    <w:rsid w:val="00E45EE9"/>
    <w:rsid w:val="00E51D06"/>
    <w:rsid w:val="00E645C4"/>
    <w:rsid w:val="00E6742D"/>
    <w:rsid w:val="00E77256"/>
    <w:rsid w:val="00E81E00"/>
    <w:rsid w:val="00E8403D"/>
    <w:rsid w:val="00E9651F"/>
    <w:rsid w:val="00E972F1"/>
    <w:rsid w:val="00EA581F"/>
    <w:rsid w:val="00EB785E"/>
    <w:rsid w:val="00EC6C2C"/>
    <w:rsid w:val="00ED0B43"/>
    <w:rsid w:val="00ED6A98"/>
    <w:rsid w:val="00EE3AD5"/>
    <w:rsid w:val="00EE6CE9"/>
    <w:rsid w:val="00EF3020"/>
    <w:rsid w:val="00F0381A"/>
    <w:rsid w:val="00F03B37"/>
    <w:rsid w:val="00F124DA"/>
    <w:rsid w:val="00F1791A"/>
    <w:rsid w:val="00F229F7"/>
    <w:rsid w:val="00F365CA"/>
    <w:rsid w:val="00F40DDF"/>
    <w:rsid w:val="00F567C1"/>
    <w:rsid w:val="00F6452F"/>
    <w:rsid w:val="00F66958"/>
    <w:rsid w:val="00F706E6"/>
    <w:rsid w:val="00F8259C"/>
    <w:rsid w:val="00F84901"/>
    <w:rsid w:val="00F84BA4"/>
    <w:rsid w:val="00F93B03"/>
    <w:rsid w:val="00FA4DAA"/>
    <w:rsid w:val="00FA5B3F"/>
    <w:rsid w:val="00FA7E94"/>
    <w:rsid w:val="00FC05FB"/>
    <w:rsid w:val="00FD6A27"/>
    <w:rsid w:val="00FE1C5A"/>
    <w:rsid w:val="00FE43C2"/>
    <w:rsid w:val="00FE69CD"/>
    <w:rsid w:val="00FF26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6430BD"/>
  <w15:docId w15:val="{16275D51-919D-4567-9FB0-F69BEDA1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0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21095"/>
    <w:rPr>
      <w:rFonts w:cs="Times New Roman"/>
      <w:color w:val="0000FF"/>
      <w:u w:val="single"/>
    </w:rPr>
  </w:style>
  <w:style w:type="paragraph" w:styleId="ListParagraph">
    <w:name w:val="List Paragraph"/>
    <w:basedOn w:val="Normal"/>
    <w:uiPriority w:val="34"/>
    <w:qFormat/>
    <w:rsid w:val="00421095"/>
    <w:pPr>
      <w:ind w:left="720"/>
      <w:contextualSpacing/>
    </w:pPr>
  </w:style>
  <w:style w:type="paragraph" w:styleId="FootnoteText">
    <w:name w:val="footnote text"/>
    <w:aliases w:val="F1"/>
    <w:basedOn w:val="Normal"/>
    <w:link w:val="FootnoteTextChar"/>
    <w:uiPriority w:val="99"/>
    <w:semiHidden/>
    <w:rsid w:val="00421095"/>
    <w:rPr>
      <w:sz w:val="20"/>
      <w:szCs w:val="20"/>
    </w:rPr>
  </w:style>
  <w:style w:type="character" w:customStyle="1" w:styleId="FootnoteTextChar">
    <w:name w:val="Footnote Text Char"/>
    <w:aliases w:val="F1 Char"/>
    <w:basedOn w:val="DefaultParagraphFont"/>
    <w:link w:val="FootnoteText"/>
    <w:uiPriority w:val="99"/>
    <w:semiHidden/>
    <w:rsid w:val="0042109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421095"/>
    <w:rPr>
      <w:rFonts w:cs="Times New Roman"/>
      <w:vertAlign w:val="superscript"/>
    </w:rPr>
  </w:style>
  <w:style w:type="paragraph" w:styleId="Header">
    <w:name w:val="header"/>
    <w:basedOn w:val="Normal"/>
    <w:link w:val="HeaderChar"/>
    <w:uiPriority w:val="99"/>
    <w:rsid w:val="00421095"/>
    <w:pPr>
      <w:tabs>
        <w:tab w:val="center" w:pos="4680"/>
        <w:tab w:val="right" w:pos="9360"/>
      </w:tabs>
    </w:pPr>
  </w:style>
  <w:style w:type="character" w:customStyle="1" w:styleId="HeaderChar">
    <w:name w:val="Header Char"/>
    <w:basedOn w:val="DefaultParagraphFont"/>
    <w:link w:val="Header"/>
    <w:uiPriority w:val="99"/>
    <w:rsid w:val="00421095"/>
    <w:rPr>
      <w:rFonts w:ascii="Times New Roman" w:eastAsia="Times New Roman" w:hAnsi="Times New Roman" w:cs="Times New Roman"/>
      <w:sz w:val="24"/>
      <w:szCs w:val="24"/>
    </w:rPr>
  </w:style>
  <w:style w:type="paragraph" w:styleId="Footer">
    <w:name w:val="footer"/>
    <w:basedOn w:val="Normal"/>
    <w:link w:val="FooterChar"/>
    <w:uiPriority w:val="99"/>
    <w:rsid w:val="00421095"/>
    <w:pPr>
      <w:tabs>
        <w:tab w:val="center" w:pos="4680"/>
        <w:tab w:val="right" w:pos="9360"/>
      </w:tabs>
    </w:pPr>
  </w:style>
  <w:style w:type="character" w:customStyle="1" w:styleId="FooterChar">
    <w:name w:val="Footer Char"/>
    <w:basedOn w:val="DefaultParagraphFont"/>
    <w:link w:val="Footer"/>
    <w:uiPriority w:val="99"/>
    <w:rsid w:val="00421095"/>
    <w:rPr>
      <w:rFonts w:ascii="Times New Roman" w:eastAsia="Times New Roman" w:hAnsi="Times New Roman" w:cs="Times New Roman"/>
      <w:sz w:val="24"/>
      <w:szCs w:val="24"/>
    </w:rPr>
  </w:style>
  <w:style w:type="paragraph" w:styleId="NormalWeb">
    <w:name w:val="Normal (Web)"/>
    <w:basedOn w:val="Normal"/>
    <w:uiPriority w:val="99"/>
    <w:rsid w:val="00421095"/>
    <w:pPr>
      <w:spacing w:before="100" w:beforeAutospacing="1" w:after="100" w:afterAutospacing="1"/>
    </w:pPr>
  </w:style>
  <w:style w:type="paragraph" w:styleId="BalloonText">
    <w:name w:val="Balloon Text"/>
    <w:basedOn w:val="Normal"/>
    <w:link w:val="BalloonTextChar"/>
    <w:uiPriority w:val="99"/>
    <w:semiHidden/>
    <w:rsid w:val="00421095"/>
    <w:rPr>
      <w:rFonts w:ascii="Tahoma" w:hAnsi="Tahoma" w:cs="Tahoma"/>
      <w:sz w:val="16"/>
      <w:szCs w:val="16"/>
    </w:rPr>
  </w:style>
  <w:style w:type="character" w:customStyle="1" w:styleId="BalloonTextChar">
    <w:name w:val="Balloon Text Char"/>
    <w:basedOn w:val="DefaultParagraphFont"/>
    <w:link w:val="BalloonText"/>
    <w:uiPriority w:val="99"/>
    <w:semiHidden/>
    <w:rsid w:val="00421095"/>
    <w:rPr>
      <w:rFonts w:ascii="Tahoma" w:eastAsia="Times New Roman" w:hAnsi="Tahoma" w:cs="Tahoma"/>
      <w:sz w:val="16"/>
      <w:szCs w:val="16"/>
    </w:rPr>
  </w:style>
  <w:style w:type="character" w:styleId="CommentReference">
    <w:name w:val="annotation reference"/>
    <w:basedOn w:val="DefaultParagraphFont"/>
    <w:uiPriority w:val="99"/>
    <w:semiHidden/>
    <w:rsid w:val="00421095"/>
    <w:rPr>
      <w:rFonts w:cs="Times New Roman"/>
      <w:sz w:val="16"/>
    </w:rPr>
  </w:style>
  <w:style w:type="paragraph" w:styleId="CommentText">
    <w:name w:val="annotation text"/>
    <w:basedOn w:val="Normal"/>
    <w:link w:val="CommentTextChar"/>
    <w:uiPriority w:val="99"/>
    <w:semiHidden/>
    <w:rsid w:val="00421095"/>
    <w:rPr>
      <w:sz w:val="20"/>
      <w:szCs w:val="20"/>
    </w:rPr>
  </w:style>
  <w:style w:type="character" w:customStyle="1" w:styleId="CommentTextChar">
    <w:name w:val="Comment Text Char"/>
    <w:basedOn w:val="DefaultParagraphFont"/>
    <w:link w:val="CommentText"/>
    <w:uiPriority w:val="99"/>
    <w:semiHidden/>
    <w:rsid w:val="004210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21095"/>
    <w:rPr>
      <w:b/>
      <w:bCs/>
    </w:rPr>
  </w:style>
  <w:style w:type="character" w:customStyle="1" w:styleId="CommentSubjectChar">
    <w:name w:val="Comment Subject Char"/>
    <w:basedOn w:val="CommentTextChar"/>
    <w:link w:val="CommentSubject"/>
    <w:uiPriority w:val="99"/>
    <w:semiHidden/>
    <w:rsid w:val="00421095"/>
    <w:rPr>
      <w:rFonts w:ascii="Times New Roman" w:eastAsia="Times New Roman" w:hAnsi="Times New Roman" w:cs="Times New Roman"/>
      <w:b/>
      <w:bCs/>
      <w:sz w:val="20"/>
      <w:szCs w:val="20"/>
    </w:rPr>
  </w:style>
  <w:style w:type="paragraph" w:customStyle="1" w:styleId="Default">
    <w:name w:val="Default"/>
    <w:rsid w:val="00421095"/>
    <w:pPr>
      <w:autoSpaceDE w:val="0"/>
      <w:autoSpaceDN w:val="0"/>
      <w:adjustRightInd w:val="0"/>
      <w:spacing w:after="0" w:line="240" w:lineRule="auto"/>
    </w:pPr>
    <w:rPr>
      <w:rFonts w:ascii="Calibri" w:eastAsia="Times New Roman" w:hAnsi="Calibri" w:cs="Calibri"/>
      <w:color w:val="000000"/>
      <w:sz w:val="24"/>
      <w:szCs w:val="24"/>
    </w:rPr>
  </w:style>
  <w:style w:type="paragraph" w:styleId="EndnoteText">
    <w:name w:val="endnote text"/>
    <w:basedOn w:val="Normal"/>
    <w:link w:val="EndnoteTextChar"/>
    <w:uiPriority w:val="99"/>
    <w:semiHidden/>
    <w:rsid w:val="00421095"/>
    <w:rPr>
      <w:sz w:val="20"/>
      <w:szCs w:val="20"/>
    </w:rPr>
  </w:style>
  <w:style w:type="character" w:customStyle="1" w:styleId="EndnoteTextChar">
    <w:name w:val="Endnote Text Char"/>
    <w:basedOn w:val="DefaultParagraphFont"/>
    <w:link w:val="EndnoteText"/>
    <w:uiPriority w:val="99"/>
    <w:semiHidden/>
    <w:rsid w:val="0042109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421095"/>
    <w:rPr>
      <w:rFonts w:cs="Times New Roman"/>
      <w:vertAlign w:val="superscript"/>
    </w:rPr>
  </w:style>
  <w:style w:type="paragraph" w:customStyle="1" w:styleId="Pa3">
    <w:name w:val="Pa3"/>
    <w:basedOn w:val="Normal"/>
    <w:next w:val="Normal"/>
    <w:uiPriority w:val="99"/>
    <w:rsid w:val="00421095"/>
    <w:pPr>
      <w:autoSpaceDE w:val="0"/>
      <w:autoSpaceDN w:val="0"/>
      <w:adjustRightInd w:val="0"/>
      <w:spacing w:line="221" w:lineRule="atLeast"/>
    </w:pPr>
    <w:rPr>
      <w:rFonts w:ascii="Baskerville Book" w:hAnsi="Baskerville Book"/>
    </w:rPr>
  </w:style>
  <w:style w:type="paragraph" w:customStyle="1" w:styleId="SP-SglSpPara">
    <w:name w:val="SP-Sgl Sp Para"/>
    <w:link w:val="SP-SglSpParaChar"/>
    <w:uiPriority w:val="99"/>
    <w:rsid w:val="00421095"/>
    <w:pPr>
      <w:tabs>
        <w:tab w:val="left" w:pos="576"/>
      </w:tabs>
      <w:spacing w:after="0" w:line="240" w:lineRule="atLeast"/>
      <w:ind w:firstLine="576"/>
      <w:jc w:val="both"/>
    </w:pPr>
    <w:rPr>
      <w:rFonts w:ascii="Times New Roman" w:eastAsia="Times New Roman" w:hAnsi="Times New Roman" w:cs="Times New Roman"/>
      <w:szCs w:val="20"/>
    </w:rPr>
  </w:style>
  <w:style w:type="character" w:customStyle="1" w:styleId="SP-SglSpParaChar">
    <w:name w:val="SP-Sgl Sp Para Char"/>
    <w:link w:val="SP-SglSpPara"/>
    <w:uiPriority w:val="99"/>
    <w:locked/>
    <w:rsid w:val="00421095"/>
    <w:rPr>
      <w:rFonts w:ascii="Times New Roman" w:eastAsia="Times New Roman" w:hAnsi="Times New Roman" w:cs="Times New Roman"/>
      <w:szCs w:val="20"/>
    </w:rPr>
  </w:style>
  <w:style w:type="table" w:styleId="TableGrid">
    <w:name w:val="Table Grid"/>
    <w:basedOn w:val="TableNormal"/>
    <w:uiPriority w:val="39"/>
    <w:rsid w:val="0042109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421095"/>
    <w:rPr>
      <w:rFonts w:cs="Times New Roman"/>
      <w:b/>
    </w:rPr>
  </w:style>
  <w:style w:type="character" w:customStyle="1" w:styleId="street-address">
    <w:name w:val="street-address"/>
    <w:basedOn w:val="DefaultParagraphFont"/>
    <w:uiPriority w:val="99"/>
    <w:rsid w:val="00421095"/>
    <w:rPr>
      <w:rFonts w:cs="Times New Roman"/>
    </w:rPr>
  </w:style>
  <w:style w:type="character" w:customStyle="1" w:styleId="locality">
    <w:name w:val="locality"/>
    <w:basedOn w:val="DefaultParagraphFont"/>
    <w:uiPriority w:val="99"/>
    <w:rsid w:val="00421095"/>
    <w:rPr>
      <w:rFonts w:cs="Times New Roman"/>
    </w:rPr>
  </w:style>
  <w:style w:type="character" w:customStyle="1" w:styleId="region">
    <w:name w:val="region"/>
    <w:basedOn w:val="DefaultParagraphFont"/>
    <w:uiPriority w:val="99"/>
    <w:rsid w:val="00421095"/>
    <w:rPr>
      <w:rFonts w:cs="Times New Roman"/>
    </w:rPr>
  </w:style>
  <w:style w:type="character" w:customStyle="1" w:styleId="postal-code">
    <w:name w:val="postal-code"/>
    <w:basedOn w:val="DefaultParagraphFont"/>
    <w:uiPriority w:val="99"/>
    <w:rsid w:val="00421095"/>
    <w:rPr>
      <w:rFonts w:cs="Times New Roman"/>
    </w:rPr>
  </w:style>
  <w:style w:type="paragraph" w:styleId="Revision">
    <w:name w:val="Revision"/>
    <w:hidden/>
    <w:uiPriority w:val="99"/>
    <w:semiHidden/>
    <w:rsid w:val="00421095"/>
    <w:pPr>
      <w:spacing w:after="0" w:line="240" w:lineRule="auto"/>
    </w:pPr>
    <w:rPr>
      <w:rFonts w:ascii="Times New Roman" w:eastAsia="Times New Roman" w:hAnsi="Times New Roman" w:cs="Times New Roman"/>
      <w:sz w:val="24"/>
      <w:szCs w:val="24"/>
    </w:rPr>
  </w:style>
  <w:style w:type="paragraph" w:customStyle="1" w:styleId="Level1">
    <w:name w:val="Level 1"/>
    <w:basedOn w:val="Normal"/>
    <w:uiPriority w:val="99"/>
    <w:rsid w:val="00421095"/>
    <w:pPr>
      <w:widowControl w:val="0"/>
      <w:autoSpaceDE w:val="0"/>
      <w:autoSpaceDN w:val="0"/>
      <w:adjustRightInd w:val="0"/>
      <w:ind w:left="720" w:hanging="720"/>
      <w:outlineLvl w:val="0"/>
    </w:pPr>
  </w:style>
  <w:style w:type="paragraph" w:customStyle="1" w:styleId="headline1">
    <w:name w:val="headline1"/>
    <w:basedOn w:val="Normal"/>
    <w:rsid w:val="00421095"/>
    <w:pPr>
      <w:spacing w:before="100" w:beforeAutospacing="1" w:after="100" w:afterAutospacing="1"/>
    </w:pPr>
    <w:rPr>
      <w:rFonts w:ascii="Arial" w:hAnsi="Arial" w:cs="Arial"/>
      <w:b/>
      <w:bCs/>
      <w:color w:val="000000"/>
      <w:sz w:val="27"/>
      <w:szCs w:val="27"/>
    </w:rPr>
  </w:style>
  <w:style w:type="paragraph" w:styleId="Caption">
    <w:name w:val="caption"/>
    <w:basedOn w:val="Normal"/>
    <w:next w:val="Normal"/>
    <w:uiPriority w:val="35"/>
    <w:unhideWhenUsed/>
    <w:qFormat/>
    <w:rsid w:val="003969E6"/>
    <w:pPr>
      <w:spacing w:after="200"/>
    </w:pPr>
    <w:rPr>
      <w:rFonts w:asciiTheme="minorHAnsi" w:eastAsiaTheme="minorHAnsi" w:hAnsiTheme="minorHAnsi" w:cstheme="minorBidi"/>
      <w:i/>
      <w:iCs/>
      <w:color w:val="1F497D" w:themeColor="text2"/>
      <w:sz w:val="18"/>
      <w:szCs w:val="18"/>
    </w:rPr>
  </w:style>
  <w:style w:type="character" w:customStyle="1" w:styleId="apple-converted-space">
    <w:name w:val="apple-converted-space"/>
    <w:basedOn w:val="DefaultParagraphFont"/>
    <w:rsid w:val="00D85E60"/>
  </w:style>
  <w:style w:type="table" w:customStyle="1" w:styleId="TableGrid1">
    <w:name w:val="Table Grid1"/>
    <w:basedOn w:val="TableNormal"/>
    <w:next w:val="TableGrid"/>
    <w:uiPriority w:val="39"/>
    <w:rsid w:val="00F8490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F84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84901"/>
    <w:rPr>
      <w:rFonts w:ascii="Courier New" w:eastAsia="Times New Roman" w:hAnsi="Courier New" w:cs="Courier New"/>
      <w:sz w:val="20"/>
      <w:szCs w:val="20"/>
    </w:rPr>
  </w:style>
  <w:style w:type="character" w:styleId="HTMLCite">
    <w:name w:val="HTML Cite"/>
    <w:basedOn w:val="DefaultParagraphFont"/>
    <w:uiPriority w:val="99"/>
    <w:semiHidden/>
    <w:unhideWhenUsed/>
    <w:rsid w:val="00C55C76"/>
    <w:rPr>
      <w:i/>
      <w:iCs/>
    </w:rPr>
  </w:style>
  <w:style w:type="character" w:styleId="Emphasis">
    <w:name w:val="Emphasis"/>
    <w:basedOn w:val="DefaultParagraphFont"/>
    <w:uiPriority w:val="20"/>
    <w:qFormat/>
    <w:rsid w:val="00C55C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86675">
      <w:bodyDiv w:val="1"/>
      <w:marLeft w:val="120"/>
      <w:marRight w:val="120"/>
      <w:marTop w:val="0"/>
      <w:marBottom w:val="0"/>
      <w:divBdr>
        <w:top w:val="none" w:sz="0" w:space="0" w:color="auto"/>
        <w:left w:val="none" w:sz="0" w:space="0" w:color="auto"/>
        <w:bottom w:val="none" w:sz="0" w:space="0" w:color="auto"/>
        <w:right w:val="none" w:sz="0" w:space="0" w:color="auto"/>
      </w:divBdr>
      <w:divsChild>
        <w:div w:id="1726634574">
          <w:marLeft w:val="0"/>
          <w:marRight w:val="0"/>
          <w:marTop w:val="0"/>
          <w:marBottom w:val="0"/>
          <w:divBdr>
            <w:top w:val="none" w:sz="0" w:space="0" w:color="auto"/>
            <w:left w:val="none" w:sz="0" w:space="0" w:color="auto"/>
            <w:bottom w:val="none" w:sz="0" w:space="0" w:color="auto"/>
            <w:right w:val="none" w:sz="0" w:space="0" w:color="auto"/>
          </w:divBdr>
          <w:divsChild>
            <w:div w:id="5124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37">
      <w:bodyDiv w:val="1"/>
      <w:marLeft w:val="0"/>
      <w:marRight w:val="0"/>
      <w:marTop w:val="0"/>
      <w:marBottom w:val="0"/>
      <w:divBdr>
        <w:top w:val="none" w:sz="0" w:space="0" w:color="auto"/>
        <w:left w:val="none" w:sz="0" w:space="0" w:color="auto"/>
        <w:bottom w:val="none" w:sz="0" w:space="0" w:color="auto"/>
        <w:right w:val="none" w:sz="0" w:space="0" w:color="auto"/>
      </w:divBdr>
    </w:div>
    <w:div w:id="906065788">
      <w:bodyDiv w:val="1"/>
      <w:marLeft w:val="0"/>
      <w:marRight w:val="0"/>
      <w:marTop w:val="0"/>
      <w:marBottom w:val="0"/>
      <w:divBdr>
        <w:top w:val="none" w:sz="0" w:space="0" w:color="auto"/>
        <w:left w:val="none" w:sz="0" w:space="0" w:color="auto"/>
        <w:bottom w:val="none" w:sz="0" w:space="0" w:color="auto"/>
        <w:right w:val="none" w:sz="0" w:space="0" w:color="auto"/>
      </w:divBdr>
    </w:div>
    <w:div w:id="928079478">
      <w:bodyDiv w:val="1"/>
      <w:marLeft w:val="0"/>
      <w:marRight w:val="0"/>
      <w:marTop w:val="0"/>
      <w:marBottom w:val="0"/>
      <w:divBdr>
        <w:top w:val="none" w:sz="0" w:space="0" w:color="auto"/>
        <w:left w:val="none" w:sz="0" w:space="0" w:color="auto"/>
        <w:bottom w:val="none" w:sz="0" w:space="0" w:color="auto"/>
        <w:right w:val="none" w:sz="0" w:space="0" w:color="auto"/>
      </w:divBdr>
    </w:div>
    <w:div w:id="1456100013">
      <w:bodyDiv w:val="1"/>
      <w:marLeft w:val="0"/>
      <w:marRight w:val="0"/>
      <w:marTop w:val="0"/>
      <w:marBottom w:val="0"/>
      <w:divBdr>
        <w:top w:val="none" w:sz="0" w:space="0" w:color="auto"/>
        <w:left w:val="none" w:sz="0" w:space="0" w:color="auto"/>
        <w:bottom w:val="none" w:sz="0" w:space="0" w:color="auto"/>
        <w:right w:val="none" w:sz="0" w:space="0" w:color="auto"/>
      </w:divBdr>
    </w:div>
    <w:div w:id="19404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ca.L.Smith@usdoj.gov" TargetMode="External"/><Relationship Id="rId13" Type="http://schemas.openxmlformats.org/officeDocument/2006/relationships/hyperlink" Target="http://www.cops.usdoj.gov/pdf/taskforce/TaskForce_FinalReport.pdf" TargetMode="External"/><Relationship Id="rId18" Type="http://schemas.openxmlformats.org/officeDocument/2006/relationships/hyperlink" Target="https://www.icpsr.umich.edu/icpsrweb/ICPSR/biblio/series/00092/resources/112752?collection=DATA&amp;archive=ICPSR&amp;sortBy=1" TargetMode="External"/><Relationship Id="rId3" Type="http://schemas.openxmlformats.org/officeDocument/2006/relationships/styles" Target="styles.xml"/><Relationship Id="rId21" Type="http://schemas.openxmlformats.org/officeDocument/2006/relationships/hyperlink" Target="https://www.icpsr.umich.edu/icpsrweb/ICPSR/biblio/series/00092/resources/115748?collection=DATA&amp;archive=ICPSR&amp;sortBy=1&amp;paging.startRow=26" TargetMode="External"/><Relationship Id="rId7" Type="http://schemas.openxmlformats.org/officeDocument/2006/relationships/endnotes" Target="endnotes.xml"/><Relationship Id="rId12" Type="http://schemas.openxmlformats.org/officeDocument/2006/relationships/hyperlink" Target="https://www.icpsr.umich.edu/icpsrweb/ICPSR/biblio/series/00092/resources/112657?collection=DATA&amp;archive=ICPSR&amp;sortBy=1&amp;paging.startRow=26" TargetMode="External"/><Relationship Id="rId17" Type="http://schemas.openxmlformats.org/officeDocument/2006/relationships/hyperlink" Target="http://doi.org/10.1177/1098611115604449" TargetMode="External"/><Relationship Id="rId2" Type="http://schemas.openxmlformats.org/officeDocument/2006/relationships/numbering" Target="numbering.xml"/><Relationship Id="rId16" Type="http://schemas.openxmlformats.org/officeDocument/2006/relationships/hyperlink" Target="http://doi.org/10.1093/police/pav006" TargetMode="External"/><Relationship Id="rId20" Type="http://schemas.openxmlformats.org/officeDocument/2006/relationships/hyperlink" Target="http://doi.org/10.1177/08874034135144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psr.umich.edu/icpsrweb/ICPSR/biblio/series/00092/resources/114695?collection=DATA&amp;archive=ICPSR&amp;sortBy=1&amp;paging.startRow=2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cpsr.umich.edu/icpsrweb/ICPSR/biblio/series/00092/resources/117129?collection=DATA&amp;archive=ICPSR&amp;sortBy=1&amp;paging.startRow=26"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doi.org/10.1007/978-3-319-21584-6" TargetMode="External"/><Relationship Id="rId19" Type="http://schemas.openxmlformats.org/officeDocument/2006/relationships/hyperlink" Target="http://doi.org/10.1177/0886260515569062" TargetMode="External"/><Relationship Id="rId4" Type="http://schemas.openxmlformats.org/officeDocument/2006/relationships/settings" Target="settings.xml"/><Relationship Id="rId9" Type="http://schemas.openxmlformats.org/officeDocument/2006/relationships/hyperlink" Target="https://www.icpsr.umich.edu/icpsrweb/ICPSR/biblio/series/00092/resources/115085?collection=DATA&amp;archive=ICPSR&amp;sortBy=1&amp;paging.startRow=26" TargetMode="External"/><Relationship Id="rId14" Type="http://schemas.openxmlformats.org/officeDocument/2006/relationships/hyperlink" Target="http://doi.org/10.1007/s10940-015-9270-9"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E7CB2-B731-4668-9C53-C154ABD91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5898</Words>
  <Characters>33623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39443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adamsd</dc:creator>
  <cp:lastModifiedBy>Davis, Elizabeth</cp:lastModifiedBy>
  <cp:revision>4</cp:revision>
  <cp:lastPrinted>2020-01-28T12:00:00Z</cp:lastPrinted>
  <dcterms:created xsi:type="dcterms:W3CDTF">2020-07-22T20:32:00Z</dcterms:created>
  <dcterms:modified xsi:type="dcterms:W3CDTF">2020-07-22T20:36:00Z</dcterms:modified>
</cp:coreProperties>
</file>