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5E7" w:rsidP="006165E7" w:rsidRDefault="006165E7" w14:paraId="15B3DE2C" w14:textId="77777777">
      <w:pPr>
        <w:pStyle w:val="Title"/>
      </w:pPr>
    </w:p>
    <w:p w:rsidR="00673B1B" w:rsidP="00E50881" w:rsidRDefault="00673B1B" w14:paraId="305F0B63" w14:textId="77777777">
      <w:pPr>
        <w:pStyle w:val="Title"/>
        <w:outlineLvl w:val="9"/>
      </w:pPr>
      <w:r>
        <w:t>Supp</w:t>
      </w:r>
      <w:r w:rsidR="005355D0">
        <w:t>or</w:t>
      </w:r>
      <w:r>
        <w:t>ting Statement</w:t>
      </w:r>
    </w:p>
    <w:p w:rsidR="007801DB" w:rsidP="00E50881" w:rsidRDefault="007801DB" w14:paraId="4944A0CB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p w:rsidRPr="00E50881" w:rsidR="007801DB" w:rsidP="00E50881" w:rsidRDefault="007801DB" w14:paraId="68D95EB1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b/>
        </w:rPr>
      </w:pPr>
      <w:r w:rsidRPr="00E50881">
        <w:rPr>
          <w:b/>
        </w:rPr>
        <w:t>B.</w:t>
      </w:r>
      <w:r w:rsidR="004878BE">
        <w:rPr>
          <w:b/>
        </w:rPr>
        <w:t xml:space="preserve"> </w:t>
      </w:r>
      <w:r w:rsidRPr="00E50881">
        <w:rPr>
          <w:b/>
        </w:rPr>
        <w:t>Collection of Information Employing Statistical Methods</w:t>
      </w:r>
    </w:p>
    <w:p w:rsidR="007801DB" w:rsidP="00E50881" w:rsidRDefault="007801DB" w14:paraId="7612890F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p w:rsidR="004878BE" w:rsidP="004878BE" w:rsidRDefault="004878BE" w14:paraId="4020FFB5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b/>
          <w:u w:val="single"/>
        </w:rPr>
      </w:pPr>
      <w:r>
        <w:rPr>
          <w:b/>
          <w:u w:val="single"/>
        </w:rPr>
        <w:t xml:space="preserve">1. </w:t>
      </w:r>
      <w:r w:rsidRPr="002A5A87" w:rsidR="001041FE">
        <w:rPr>
          <w:b/>
          <w:u w:val="single"/>
        </w:rPr>
        <w:t>Sampling Method</w:t>
      </w:r>
    </w:p>
    <w:p w:rsidRPr="00CD41E6" w:rsidR="001041FE" w:rsidP="005B2881" w:rsidRDefault="00BC576C" w14:paraId="4CFE94F3" w14:textId="61EB18A0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szCs w:val="20"/>
        </w:rPr>
      </w:pPr>
      <w:r>
        <w:rPr>
          <w:szCs w:val="20"/>
        </w:rPr>
        <w:t xml:space="preserve">The </w:t>
      </w:r>
      <w:r w:rsidR="002B1790">
        <w:rPr>
          <w:szCs w:val="20"/>
        </w:rPr>
        <w:t>coronavirus pandemic stimulus payment</w:t>
      </w:r>
      <w:r>
        <w:rPr>
          <w:szCs w:val="20"/>
        </w:rPr>
        <w:t xml:space="preserve"> questions will be asked in the CEQ survey for the months of June through November.  There will be no special or separate sample of respondents that will r</w:t>
      </w:r>
      <w:bookmarkStart w:name="_GoBack" w:id="0"/>
      <w:bookmarkEnd w:id="0"/>
      <w:r>
        <w:rPr>
          <w:szCs w:val="20"/>
        </w:rPr>
        <w:t xml:space="preserve">eceive the questions.  </w:t>
      </w:r>
      <w:r w:rsidRPr="00CD41E6" w:rsidR="00CD41E6">
        <w:rPr>
          <w:szCs w:val="20"/>
        </w:rPr>
        <w:t>There is no change from the currently approved collection 1220-0050.</w:t>
      </w:r>
      <w:r>
        <w:rPr>
          <w:szCs w:val="20"/>
        </w:rPr>
        <w:t xml:space="preserve">  For further information please refer to the currently approved ICR for 1220-0050.</w:t>
      </w:r>
    </w:p>
    <w:p w:rsidR="009E6ACE" w:rsidP="005B2881" w:rsidRDefault="009E6ACE" w14:paraId="5DA51215" w14:textId="77777777"/>
    <w:p w:rsidRPr="005B2881" w:rsidR="001041FE" w:rsidP="005B2881" w:rsidRDefault="001041FE" w14:paraId="20B3875F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outlineLvl w:val="0"/>
        <w:rPr>
          <w:b/>
          <w:u w:val="single"/>
        </w:rPr>
      </w:pPr>
      <w:r w:rsidRPr="005B2881">
        <w:rPr>
          <w:b/>
          <w:u w:val="single"/>
        </w:rPr>
        <w:t>2. Collection Methods</w:t>
      </w:r>
    </w:p>
    <w:p w:rsidR="00BC576C" w:rsidP="005B2881" w:rsidRDefault="00CE1CFE" w14:paraId="225D15E4" w14:textId="131C8AEB">
      <w:pPr>
        <w:pStyle w:val="BlockText"/>
        <w:ind w:left="0" w:right="0"/>
      </w:pPr>
      <w:r>
        <w:t xml:space="preserve">The </w:t>
      </w:r>
      <w:r w:rsidR="002B1790">
        <w:t>coronavirus pandemic stimulus payment</w:t>
      </w:r>
      <w:r w:rsidR="00BC576C">
        <w:t xml:space="preserve"> questions will be collected in the same manner as other questions in the CEQ survey.</w:t>
      </w:r>
    </w:p>
    <w:p w:rsidR="00BC576C" w:rsidP="005B2881" w:rsidRDefault="00BC576C" w14:paraId="681D7F27" w14:textId="77777777">
      <w:pPr>
        <w:pStyle w:val="BlockText"/>
        <w:ind w:left="0" w:right="0"/>
      </w:pPr>
    </w:p>
    <w:p w:rsidR="009E7C63" w:rsidP="005B2881" w:rsidRDefault="004368C6" w14:paraId="4EA3E544" w14:textId="5A122E9C">
      <w:pPr>
        <w:pStyle w:val="BlockText"/>
        <w:ind w:left="0" w:right="0"/>
        <w:rPr>
          <w:szCs w:val="24"/>
        </w:rPr>
      </w:pPr>
      <w:r>
        <w:t xml:space="preserve">For the duration of the pandemic, </w:t>
      </w:r>
      <w:r w:rsidR="007241F1">
        <w:t>F</w:t>
      </w:r>
      <w:r w:rsidR="009E7C63">
        <w:t xml:space="preserve">ield representatives </w:t>
      </w:r>
      <w:r>
        <w:t xml:space="preserve">(FRs) </w:t>
      </w:r>
      <w:r w:rsidR="009E7C63">
        <w:t>from the U.S. Census Bureau</w:t>
      </w:r>
      <w:r w:rsidR="00CD41E6">
        <w:t xml:space="preserve"> will no longer</w:t>
      </w:r>
      <w:r w:rsidR="009E7C63">
        <w:t xml:space="preserve"> personally visit the households in the </w:t>
      </w:r>
      <w:r w:rsidR="00086F87">
        <w:t>CEQ</w:t>
      </w:r>
      <w:r w:rsidR="001A6C5C">
        <w:t>’s</w:t>
      </w:r>
      <w:r w:rsidR="00086F87">
        <w:t xml:space="preserve"> and CED</w:t>
      </w:r>
      <w:r w:rsidR="001A6C5C">
        <w:t>’s</w:t>
      </w:r>
      <w:r w:rsidR="001D729C">
        <w:t xml:space="preserve"> </w:t>
      </w:r>
      <w:r w:rsidR="009E7C63">
        <w:t xml:space="preserve">samples to collect the data. </w:t>
      </w:r>
      <w:r w:rsidR="00CD41E6">
        <w:t>In CEQ, all interviews will be conducted by telephone.</w:t>
      </w:r>
    </w:p>
    <w:p w:rsidR="009E7C63" w:rsidP="005B2881" w:rsidRDefault="009E7C63" w14:paraId="009F4357" w14:textId="77777777">
      <w:pPr>
        <w:pStyle w:val="BlockText"/>
        <w:ind w:left="0" w:right="0"/>
      </w:pPr>
    </w:p>
    <w:p w:rsidR="00223B83" w:rsidP="00223B83" w:rsidRDefault="003F1E39" w14:paraId="78E707B7" w14:textId="6734DD3F">
      <w:pPr>
        <w:pStyle w:val="BlockText"/>
        <w:ind w:left="0" w:right="0"/>
      </w:pPr>
      <w:r>
        <w:t>D</w:t>
      </w:r>
      <w:r w:rsidR="00BC576C">
        <w:t>ue to restrictions placed on Census Field Representatives during this time, for</w:t>
      </w:r>
      <w:r w:rsidRPr="006A745F" w:rsidR="001D729C">
        <w:t xml:space="preserve"> the </w:t>
      </w:r>
      <w:r w:rsidRPr="006A745F" w:rsidR="00086F87">
        <w:t>CED</w:t>
      </w:r>
      <w:r w:rsidRPr="006A745F" w:rsidR="001D729C">
        <w:t xml:space="preserve"> survey, field representatives </w:t>
      </w:r>
      <w:r w:rsidR="00CD41E6">
        <w:t>will complete</w:t>
      </w:r>
      <w:r w:rsidRPr="006A745F" w:rsidR="001D729C">
        <w:t xml:space="preserve"> the first visit </w:t>
      </w:r>
      <w:r w:rsidR="00CD41E6">
        <w:t>via telephone.  During this phone call</w:t>
      </w:r>
      <w:r w:rsidRPr="006A745F" w:rsidR="001D729C">
        <w:t xml:space="preserve"> field representatives introduce themselves, explain the survey, and </w:t>
      </w:r>
      <w:r w:rsidR="00CD41E6">
        <w:t>email or text</w:t>
      </w:r>
      <w:r w:rsidRPr="006A745F" w:rsidR="001D729C">
        <w:t xml:space="preserve"> </w:t>
      </w:r>
      <w:r w:rsidR="00CD41E6">
        <w:t xml:space="preserve">a link to the </w:t>
      </w:r>
      <w:r w:rsidR="007241F1">
        <w:t>two weekly</w:t>
      </w:r>
      <w:r w:rsidRPr="006A745F" w:rsidR="006A745F">
        <w:t xml:space="preserve"> diaries, one for each week </w:t>
      </w:r>
      <w:r w:rsidR="007241F1">
        <w:t xml:space="preserve">of the survey </w:t>
      </w:r>
      <w:r w:rsidRPr="006A745F" w:rsidR="006A745F">
        <w:t>period</w:t>
      </w:r>
      <w:r w:rsidR="007241F1">
        <w:t xml:space="preserve">.  </w:t>
      </w:r>
      <w:r w:rsidR="00CD41E6">
        <w:t xml:space="preserve">If the FR refuses receipt of the Diary by email or text, the field representative will mail the respondent the Diary.  </w:t>
      </w:r>
      <w:r w:rsidR="007241F1">
        <w:t>T</w:t>
      </w:r>
      <w:r w:rsidRPr="006A745F" w:rsidR="001D729C">
        <w:t xml:space="preserve">he household </w:t>
      </w:r>
      <w:proofErr w:type="gramStart"/>
      <w:r w:rsidRPr="006A745F" w:rsidR="001D729C">
        <w:t>members</w:t>
      </w:r>
      <w:proofErr w:type="gramEnd"/>
      <w:r w:rsidRPr="006A745F" w:rsidR="001D729C">
        <w:t xml:space="preserve"> </w:t>
      </w:r>
      <w:r w:rsidRPr="006A745F" w:rsidR="004C7B96">
        <w:t>a</w:t>
      </w:r>
      <w:r w:rsidRPr="006A745F" w:rsidR="001D729C">
        <w:t>re asked to record all their expenditures</w:t>
      </w:r>
      <w:r w:rsidR="007241F1">
        <w:t xml:space="preserve"> over the 2-week period in those diaries</w:t>
      </w:r>
      <w:r w:rsidRPr="006A745F" w:rsidR="006A745F">
        <w:t xml:space="preserve">. </w:t>
      </w:r>
      <w:r w:rsidR="00CD41E6">
        <w:t>Field representatives will call the respondent a total of three times to transcribe the expenditures reported in the diary by telephone.</w:t>
      </w:r>
    </w:p>
    <w:p w:rsidR="007224DA" w:rsidP="00223B83" w:rsidRDefault="007224DA" w14:paraId="521FF0A4" w14:textId="77777777">
      <w:pPr>
        <w:pStyle w:val="BlockText"/>
        <w:ind w:left="0" w:right="0"/>
      </w:pPr>
    </w:p>
    <w:p w:rsidR="00803460" w:rsidP="00223B83" w:rsidRDefault="007224DA" w14:paraId="2E5F9E05" w14:textId="77777777">
      <w:pPr>
        <w:pStyle w:val="BlockText"/>
        <w:ind w:left="0" w:right="0"/>
      </w:pPr>
      <w:r>
        <w:t xml:space="preserve">The number of type </w:t>
      </w:r>
      <w:proofErr w:type="gramStart"/>
      <w:r>
        <w:t>A</w:t>
      </w:r>
      <w:proofErr w:type="gramEnd"/>
      <w:r>
        <w:t xml:space="preserve"> non-interviews is expected to increase as approximately </w:t>
      </w:r>
      <w:r w:rsidR="00803460">
        <w:t>10</w:t>
      </w:r>
      <w:r>
        <w:t xml:space="preserve"> percent of </w:t>
      </w:r>
      <w:r w:rsidR="00803460">
        <w:t>new cases</w:t>
      </w:r>
      <w:r>
        <w:t xml:space="preserve"> will not have a telephone number provided to FRs and will therefore be unreachable.  </w:t>
      </w:r>
      <w:r w:rsidR="00803460">
        <w:t xml:space="preserve">In CEQ, new cases conducted from mid-March through the end of December will be unreachable resulting in an additional 4% of Type </w:t>
      </w:r>
      <w:proofErr w:type="gramStart"/>
      <w:r w:rsidR="00803460">
        <w:t>A</w:t>
      </w:r>
      <w:proofErr w:type="gramEnd"/>
      <w:r w:rsidR="00803460">
        <w:t xml:space="preserve"> cases.  In CED, an additional 8% of cases will result in a Type </w:t>
      </w:r>
      <w:proofErr w:type="gramStart"/>
      <w:r w:rsidR="00803460">
        <w:t>A</w:t>
      </w:r>
      <w:proofErr w:type="gramEnd"/>
      <w:r w:rsidR="00803460">
        <w:t xml:space="preserve"> non-interview due to FRs being unable to reach respondents without phone numbers.  (Ten percent x number of months impacted.) </w:t>
      </w:r>
    </w:p>
    <w:p w:rsidR="00803460" w:rsidP="00223B83" w:rsidRDefault="00803460" w14:paraId="253DE283" w14:textId="77777777">
      <w:pPr>
        <w:pStyle w:val="BlockText"/>
        <w:ind w:left="0" w:right="0"/>
      </w:pPr>
    </w:p>
    <w:tbl>
      <w:tblPr>
        <w:tblW w:w="7640" w:type="dxa"/>
        <w:tblInd w:w="-10" w:type="dxa"/>
        <w:tblLook w:val="04A0" w:firstRow="1" w:lastRow="0" w:firstColumn="1" w:lastColumn="0" w:noHBand="0" w:noVBand="1"/>
      </w:tblPr>
      <w:tblGrid>
        <w:gridCol w:w="5720"/>
        <w:gridCol w:w="960"/>
        <w:gridCol w:w="960"/>
      </w:tblGrid>
      <w:tr w:rsidR="00803460" w:rsidTr="00803460" w14:paraId="70675C50" w14:textId="77777777">
        <w:trPr>
          <w:trHeight w:val="360"/>
        </w:trPr>
        <w:tc>
          <w:tcPr>
            <w:tcW w:w="57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227740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4E9A6850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CEQ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14A09B02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CED</w:t>
            </w:r>
          </w:p>
        </w:tc>
      </w:tr>
      <w:tr w:rsidR="00803460" w:rsidTr="00803460" w14:paraId="4C43879E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484D58EE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Category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A5983A4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371C1AF9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</w:tr>
      <w:tr w:rsidR="00803460" w:rsidTr="00803460" w14:paraId="41814AE7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55B684F9" w14:textId="77777777">
            <w:pPr>
              <w:rPr>
                <w:color w:val="000000"/>
              </w:rPr>
            </w:pPr>
            <w:r>
              <w:rPr>
                <w:color w:val="000000"/>
              </w:rPr>
              <w:t>Total Sample Size (addresses)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61836B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79F8311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17,800</w:t>
            </w:r>
          </w:p>
        </w:tc>
      </w:tr>
      <w:tr w:rsidR="00803460" w:rsidTr="00803460" w14:paraId="3A00C039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1823554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1E8AC0E9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4C176EC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18DCE103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49DB29F1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Type B and C </w:t>
            </w:r>
            <w:proofErr w:type="spellStart"/>
            <w:r>
              <w:rPr>
                <w:color w:val="000000"/>
              </w:rPr>
              <w:t>Noninterviews</w:t>
            </w:r>
            <w:proofErr w:type="spellEnd"/>
            <w:r>
              <w:rPr>
                <w:color w:val="000000"/>
              </w:rPr>
              <w:t xml:space="preserve"> (vacant, demolished, etc.)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77E4D737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212162E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5E3DBA98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6CB0EB6E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A44D5C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1DC9B552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3,026</w:t>
            </w:r>
          </w:p>
        </w:tc>
      </w:tr>
      <w:tr w:rsidR="00803460" w:rsidTr="00803460" w14:paraId="6E00D2A2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012C2EB7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Percent of Total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1708DFA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4A77B8F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803460" w:rsidTr="00803460" w14:paraId="3B0FCC23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309D77A8" w14:textId="777777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2404239A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4DD68DE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55DE689F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68172B09" w14:textId="77777777">
            <w:pPr>
              <w:rPr>
                <w:color w:val="000000"/>
              </w:rPr>
            </w:pPr>
            <w:r>
              <w:rPr>
                <w:color w:val="000000"/>
              </w:rPr>
              <w:t>Eligible Units (occupied housing units)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BDAEDAE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78DD1E4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5894D606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506080D7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213B9338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058BA06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14,774</w:t>
            </w:r>
          </w:p>
        </w:tc>
      </w:tr>
      <w:tr w:rsidR="00803460" w:rsidTr="00803460" w14:paraId="2853AB82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60E378C6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Percent of Total Sample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119D208B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53F63B7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803460" w:rsidTr="00803460" w14:paraId="49B3C633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2CE74FF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40F3002F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455ADBE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63BA5CDD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10C767B9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Type A </w:t>
            </w:r>
            <w:proofErr w:type="spellStart"/>
            <w:r>
              <w:rPr>
                <w:color w:val="000000"/>
              </w:rPr>
              <w:t>Noninterviews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4CE2EBD7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387E637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53F131E2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7F89708F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6B01BD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3D2873D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7,978</w:t>
            </w:r>
          </w:p>
        </w:tc>
      </w:tr>
      <w:tr w:rsidR="00803460" w:rsidTr="00803460" w14:paraId="12456558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67139413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Percent of Eligible Units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75248919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15AC690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803460" w:rsidTr="00803460" w14:paraId="270FBE03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0B4D9EDD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3BD4391C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579FC32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749F6D11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21F94E10" w14:textId="77777777">
            <w:pPr>
              <w:rPr>
                <w:color w:val="000000"/>
              </w:rPr>
            </w:pPr>
            <w:r>
              <w:rPr>
                <w:color w:val="000000"/>
              </w:rPr>
              <w:t>Completed Interviews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74346E89" w14:textId="77777777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1A817CD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803460" w:rsidTr="00803460" w14:paraId="768D58B5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23281605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Number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53E18692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0DF4773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6,796</w:t>
            </w:r>
          </w:p>
        </w:tc>
      </w:tr>
      <w:tr w:rsidR="00803460" w:rsidTr="00803460" w14:paraId="33E03470" w14:textId="77777777">
        <w:trPr>
          <w:trHeight w:val="360"/>
        </w:trPr>
        <w:tc>
          <w:tcPr>
            <w:tcW w:w="5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="00803460" w:rsidRDefault="00803460" w14:paraId="279103A7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Percent of Eligible Units (Response Rate)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="00803460" w:rsidRDefault="00803460" w14:paraId="0145E6B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03460" w:rsidRDefault="00803460" w14:paraId="71B124DD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</w:tbl>
    <w:p w:rsidR="001041FE" w:rsidP="005B2881" w:rsidRDefault="001041FE" w14:paraId="3B487F56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p w:rsidR="00183A66" w:rsidP="005B2881" w:rsidRDefault="00183A66" w14:paraId="6749C721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p w:rsidRPr="007A250D" w:rsidR="001041FE" w:rsidP="005B2881" w:rsidRDefault="007A250D" w14:paraId="1469225F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b/>
          <w:u w:val="single"/>
        </w:rPr>
      </w:pPr>
      <w:r>
        <w:rPr>
          <w:b/>
          <w:u w:val="single"/>
        </w:rPr>
        <w:t xml:space="preserve">3. </w:t>
      </w:r>
      <w:r w:rsidRPr="007A250D" w:rsidR="001041FE">
        <w:rPr>
          <w:b/>
          <w:u w:val="single"/>
        </w:rPr>
        <w:t>Methods to Maximize Response Rates</w:t>
      </w:r>
    </w:p>
    <w:p w:rsidRPr="00CD41E6" w:rsidR="00223B83" w:rsidP="00223B83" w:rsidRDefault="00223B83" w14:paraId="205840C6" w14:textId="7FAA5F9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szCs w:val="20"/>
        </w:rPr>
      </w:pPr>
      <w:r w:rsidRPr="00CD41E6">
        <w:rPr>
          <w:szCs w:val="20"/>
        </w:rPr>
        <w:t>There is no change from the currently approved collection 1220-0050</w:t>
      </w:r>
      <w:r w:rsidR="00AA19B0">
        <w:rPr>
          <w:szCs w:val="20"/>
        </w:rPr>
        <w:t>, see the currently approved ICR for further information.</w:t>
      </w:r>
    </w:p>
    <w:p w:rsidR="008A2D20" w:rsidP="005B2881" w:rsidRDefault="008A2D20" w14:paraId="74B9B07C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p w:rsidRPr="007A250D" w:rsidR="005B2881" w:rsidP="005B2881" w:rsidRDefault="007A250D" w14:paraId="12B48CF8" w14:textId="77777777">
      <w:pPr>
        <w:pStyle w:val="BodyTextIndent2"/>
        <w:ind w:left="0"/>
        <w:rPr>
          <w:b/>
          <w:u w:val="single"/>
        </w:rPr>
      </w:pPr>
      <w:r>
        <w:rPr>
          <w:b/>
          <w:u w:val="single"/>
        </w:rPr>
        <w:t xml:space="preserve">4. </w:t>
      </w:r>
      <w:r w:rsidRPr="007A250D" w:rsidR="002F1A9C">
        <w:rPr>
          <w:b/>
          <w:u w:val="single"/>
        </w:rPr>
        <w:t>Testing Plans</w:t>
      </w:r>
    </w:p>
    <w:p w:rsidR="00AA19B0" w:rsidP="00AA19B0" w:rsidRDefault="00AA19B0" w14:paraId="3390CCC1" w14:textId="77777777">
      <w:pPr>
        <w:ind w:left="720"/>
      </w:pPr>
    </w:p>
    <w:p w:rsidR="00AA19B0" w:rsidP="00AA19B0" w:rsidRDefault="00AA19B0" w14:paraId="00A11F5D" w14:textId="490A1636">
      <w:pPr>
        <w:rPr>
          <w:rFonts w:eastAsiaTheme="minorHAnsi"/>
        </w:rPr>
      </w:pPr>
      <w:r w:rsidRPr="00BB53EA">
        <w:rPr>
          <w:rFonts w:eastAsiaTheme="minorHAnsi"/>
        </w:rPr>
        <w:t xml:space="preserve">Due to timing constraints, we were unable to conduct formal testing of the </w:t>
      </w:r>
      <w:r w:rsidR="002B1790">
        <w:rPr>
          <w:rFonts w:eastAsiaTheme="minorHAnsi"/>
        </w:rPr>
        <w:t>coronavirus pandemic stimulus payment</w:t>
      </w:r>
      <w:r w:rsidRPr="00BB53EA">
        <w:rPr>
          <w:rFonts w:eastAsiaTheme="minorHAnsi"/>
        </w:rPr>
        <w:t xml:space="preserve"> questions.  However, the questions have been reviewed by </w:t>
      </w:r>
      <w:r w:rsidR="00BB53EA">
        <w:rPr>
          <w:rFonts w:eastAsiaTheme="minorHAnsi"/>
        </w:rPr>
        <w:t xml:space="preserve">both BLS survey methodologists and </w:t>
      </w:r>
      <w:r w:rsidRPr="00BB53EA">
        <w:rPr>
          <w:rFonts w:eastAsiaTheme="minorHAnsi"/>
        </w:rPr>
        <w:t>Census Bureau staff who are experts in the field of questionnaire design.</w:t>
      </w:r>
      <w:r w:rsidRPr="00BB53EA">
        <w:t xml:space="preserve"> </w:t>
      </w:r>
      <w:r w:rsidRPr="00BB53EA">
        <w:rPr>
          <w:rFonts w:eastAsiaTheme="minorHAnsi"/>
        </w:rPr>
        <w:t>The process for expert review in lieu of in-field expert review was approved by the Methodology and Standards Council at the Census Bureau.</w:t>
      </w:r>
    </w:p>
    <w:p w:rsidRPr="005F517E" w:rsidR="00AA19B0" w:rsidP="00BB53EA" w:rsidRDefault="00AA19B0" w14:paraId="403CEB5B" w14:textId="77777777"/>
    <w:p w:rsidR="00004351" w:rsidP="005B2881" w:rsidRDefault="00004351" w14:paraId="2155FA83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p w:rsidRPr="00D11356" w:rsidR="005B2881" w:rsidP="005B2881" w:rsidRDefault="005B2881" w14:paraId="7A782D0E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b/>
          <w:u w:val="single"/>
        </w:rPr>
      </w:pPr>
      <w:r w:rsidRPr="00D11356">
        <w:rPr>
          <w:b/>
          <w:u w:val="single"/>
        </w:rPr>
        <w:t xml:space="preserve">5. </w:t>
      </w:r>
      <w:r w:rsidRPr="00D11356" w:rsidR="002F1A9C">
        <w:rPr>
          <w:b/>
          <w:u w:val="single"/>
        </w:rPr>
        <w:t>Statistical Contacts</w:t>
      </w:r>
    </w:p>
    <w:p w:rsidRPr="00CD41E6" w:rsidR="00223B83" w:rsidP="00223B83" w:rsidRDefault="00223B83" w14:paraId="6F657E80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  <w:rPr>
          <w:szCs w:val="20"/>
        </w:rPr>
      </w:pPr>
      <w:r w:rsidRPr="00CD41E6">
        <w:rPr>
          <w:szCs w:val="20"/>
        </w:rPr>
        <w:t>There is no change from the currently approved collection 1220-0050</w:t>
      </w:r>
      <w:r w:rsidR="00AA19B0">
        <w:rPr>
          <w:szCs w:val="20"/>
        </w:rPr>
        <w:t>, please refer to the current ICR for contact information</w:t>
      </w:r>
      <w:r w:rsidRPr="00CD41E6">
        <w:rPr>
          <w:szCs w:val="20"/>
        </w:rPr>
        <w:t>.</w:t>
      </w:r>
    </w:p>
    <w:p w:rsidR="00137802" w:rsidP="00223B83" w:rsidRDefault="00137802" w14:paraId="23B2DDA0" w14:textId="77777777">
      <w:pPr>
        <w:tabs>
          <w:tab w:val="left" w:pos="1176"/>
          <w:tab w:val="left" w:pos="1656"/>
          <w:tab w:val="left" w:pos="5016"/>
          <w:tab w:val="left" w:pos="6696"/>
          <w:tab w:val="left" w:pos="8256"/>
        </w:tabs>
      </w:pPr>
    </w:p>
    <w:sectPr w:rsidR="00137802" w:rsidSect="00F83A72">
      <w:headerReference w:type="default" r:id="rId9"/>
      <w:footerReference w:type="even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AC821" w14:textId="77777777" w:rsidR="00C74363" w:rsidRDefault="00C74363">
      <w:r>
        <w:separator/>
      </w:r>
    </w:p>
  </w:endnote>
  <w:endnote w:type="continuationSeparator" w:id="0">
    <w:p w14:paraId="137596C3" w14:textId="77777777" w:rsidR="00C74363" w:rsidRDefault="00C7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FC904" w14:textId="77777777" w:rsidR="00743CB7" w:rsidRDefault="00743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BF749F" w14:textId="77777777" w:rsidR="00743CB7" w:rsidRDefault="00743CB7">
    <w:pPr>
      <w:pStyle w:val="Footer"/>
    </w:pPr>
  </w:p>
  <w:p w14:paraId="5FE9CD41" w14:textId="77777777" w:rsidR="00743CB7" w:rsidRDefault="00743C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D322" w14:textId="77777777" w:rsidR="00743CB7" w:rsidRPr="00A46014" w:rsidRDefault="00743CB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 w:rsidRPr="00A46014">
      <w:rPr>
        <w:rStyle w:val="PageNumber"/>
        <w:rFonts w:ascii="Times New Roman" w:hAnsi="Times New Roman"/>
        <w:sz w:val="24"/>
      </w:rPr>
      <w:fldChar w:fldCharType="begin"/>
    </w:r>
    <w:r w:rsidRPr="00A46014">
      <w:rPr>
        <w:rStyle w:val="PageNumber"/>
        <w:rFonts w:ascii="Times New Roman" w:hAnsi="Times New Roman"/>
        <w:sz w:val="24"/>
      </w:rPr>
      <w:instrText xml:space="preserve">PAGE  </w:instrText>
    </w:r>
    <w:r w:rsidRPr="00A46014">
      <w:rPr>
        <w:rStyle w:val="PageNumber"/>
        <w:rFonts w:ascii="Times New Roman" w:hAnsi="Times New Roman"/>
        <w:sz w:val="24"/>
      </w:rPr>
      <w:fldChar w:fldCharType="separate"/>
    </w:r>
    <w:r w:rsidR="00011BDD">
      <w:rPr>
        <w:rStyle w:val="PageNumber"/>
        <w:rFonts w:ascii="Times New Roman" w:hAnsi="Times New Roman"/>
        <w:noProof/>
        <w:sz w:val="24"/>
      </w:rPr>
      <w:t>2</w:t>
    </w:r>
    <w:r w:rsidRPr="00A46014">
      <w:rPr>
        <w:rStyle w:val="PageNumber"/>
        <w:rFonts w:ascii="Times New Roman" w:hAnsi="Times New Roman"/>
        <w:sz w:val="24"/>
      </w:rPr>
      <w:fldChar w:fldCharType="end"/>
    </w:r>
  </w:p>
  <w:p w14:paraId="1C2277DA" w14:textId="77777777" w:rsidR="00743CB7" w:rsidRDefault="00743CB7">
    <w:pPr>
      <w:pStyle w:val="Footer"/>
    </w:pPr>
  </w:p>
  <w:p w14:paraId="715C9805" w14:textId="77777777" w:rsidR="00743CB7" w:rsidRDefault="00743C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55041" w14:textId="77777777" w:rsidR="00C74363" w:rsidRDefault="00C74363">
      <w:r>
        <w:separator/>
      </w:r>
    </w:p>
  </w:footnote>
  <w:footnote w:type="continuationSeparator" w:id="0">
    <w:p w14:paraId="5D5FE854" w14:textId="77777777" w:rsidR="00C74363" w:rsidRDefault="00C74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5AC08" w14:textId="45E1A198" w:rsidR="00CE1CFE" w:rsidRPr="003C7565" w:rsidRDefault="00CE1CFE" w:rsidP="00CE1CFE">
    <w:r>
      <w:t>CE-</w:t>
    </w:r>
    <w:r w:rsidR="002B1790">
      <w:t>Addition of stimulus payment questions for the coronavirus pandemic</w:t>
    </w:r>
  </w:p>
  <w:p w14:paraId="7AD59B79" w14:textId="77777777" w:rsidR="00CE1CFE" w:rsidRPr="003C7565" w:rsidRDefault="00CE1CFE" w:rsidP="00CE1CFE">
    <w:r w:rsidRPr="003C7565">
      <w:t>1220-new</w:t>
    </w:r>
  </w:p>
  <w:p w14:paraId="58A2B359" w14:textId="77777777" w:rsidR="00743CB7" w:rsidRDefault="00743CB7">
    <w:pPr>
      <w:pStyle w:val="Header"/>
    </w:pPr>
  </w:p>
  <w:p w14:paraId="74C73F09" w14:textId="0C275507" w:rsidR="00743CB7" w:rsidRDefault="00CE1CFE" w:rsidP="004368C6">
    <w:pPr>
      <w:tabs>
        <w:tab w:val="left" w:pos="310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2D1"/>
    <w:multiLevelType w:val="hybridMultilevel"/>
    <w:tmpl w:val="0A92F04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84861A1"/>
    <w:multiLevelType w:val="hybridMultilevel"/>
    <w:tmpl w:val="80746EFC"/>
    <w:lvl w:ilvl="0" w:tplc="D8A49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711B3"/>
    <w:multiLevelType w:val="singleLevel"/>
    <w:tmpl w:val="790082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BAF7B65"/>
    <w:multiLevelType w:val="hybridMultilevel"/>
    <w:tmpl w:val="5266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E70F1"/>
    <w:multiLevelType w:val="hybridMultilevel"/>
    <w:tmpl w:val="24BE169C"/>
    <w:lvl w:ilvl="0" w:tplc="67D601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3C2E55"/>
    <w:multiLevelType w:val="singleLevel"/>
    <w:tmpl w:val="284A1CC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</w:abstractNum>
  <w:abstractNum w:abstractNumId="6" w15:restartNumberingAfterBreak="0">
    <w:nsid w:val="1A0D19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04DC5"/>
    <w:multiLevelType w:val="hybridMultilevel"/>
    <w:tmpl w:val="8CE47A98"/>
    <w:lvl w:ilvl="0" w:tplc="F9DE795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247553"/>
    <w:multiLevelType w:val="hybridMultilevel"/>
    <w:tmpl w:val="47FA9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10" w15:restartNumberingAfterBreak="0">
    <w:nsid w:val="1BB8206B"/>
    <w:multiLevelType w:val="hybridMultilevel"/>
    <w:tmpl w:val="A3D22AFA"/>
    <w:lvl w:ilvl="0" w:tplc="D686631A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37A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CE6C43"/>
    <w:multiLevelType w:val="hybridMultilevel"/>
    <w:tmpl w:val="18666F70"/>
    <w:lvl w:ilvl="0" w:tplc="F9DE795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0AE7028"/>
    <w:multiLevelType w:val="singleLevel"/>
    <w:tmpl w:val="DC8EC006"/>
    <w:lvl w:ilvl="0">
      <w:start w:val="12"/>
      <w:numFmt w:val="decimal"/>
      <w:lvlText w:val="%1. "/>
      <w:legacy w:legacy="1" w:legacySpace="0" w:legacyIndent="360"/>
      <w:lvlJc w:val="left"/>
      <w:pPr>
        <w:ind w:left="1536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14" w15:restartNumberingAfterBreak="0">
    <w:nsid w:val="21630EF6"/>
    <w:multiLevelType w:val="singleLevel"/>
    <w:tmpl w:val="284A1CC4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5" w15:restartNumberingAfterBreak="0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16" w15:restartNumberingAfterBreak="0">
    <w:nsid w:val="24A579BD"/>
    <w:multiLevelType w:val="singleLevel"/>
    <w:tmpl w:val="4F42F6E6"/>
    <w:lvl w:ilvl="0">
      <w:start w:val="18"/>
      <w:numFmt w:val="decimal"/>
      <w:lvlText w:val="%1. "/>
      <w:legacy w:legacy="1" w:legacySpace="0" w:legacyIndent="360"/>
      <w:lvlJc w:val="left"/>
      <w:pPr>
        <w:ind w:left="1536" w:hanging="360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17" w15:restartNumberingAfterBreak="0">
    <w:nsid w:val="28132369"/>
    <w:multiLevelType w:val="hybridMultilevel"/>
    <w:tmpl w:val="7BE8E78E"/>
    <w:lvl w:ilvl="0" w:tplc="C0482446">
      <w:start w:val="9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025DA2"/>
    <w:multiLevelType w:val="hybridMultilevel"/>
    <w:tmpl w:val="8FD8E7D4"/>
    <w:lvl w:ilvl="0" w:tplc="F9DE795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5456B"/>
    <w:multiLevelType w:val="hybridMultilevel"/>
    <w:tmpl w:val="9EF0C9EE"/>
    <w:lvl w:ilvl="0" w:tplc="F9DE795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6F0F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1E05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855AD"/>
    <w:multiLevelType w:val="hybridMultilevel"/>
    <w:tmpl w:val="1F30F644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418D074F"/>
    <w:multiLevelType w:val="singleLevel"/>
    <w:tmpl w:val="969C5AF4"/>
    <w:lvl w:ilvl="0">
      <w:start w:val="15"/>
      <w:numFmt w:val="none"/>
      <w:lvlText w:val="15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4" w15:restartNumberingAfterBreak="0">
    <w:nsid w:val="42D92FB1"/>
    <w:multiLevelType w:val="hybridMultilevel"/>
    <w:tmpl w:val="8B804170"/>
    <w:lvl w:ilvl="0" w:tplc="893079F2">
      <w:start w:val="1"/>
      <w:numFmt w:val="decimal"/>
      <w:lvlText w:val="%1."/>
      <w:lvlJc w:val="left"/>
      <w:pPr>
        <w:tabs>
          <w:tab w:val="num" w:pos="1170"/>
        </w:tabs>
        <w:ind w:left="11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F0B34"/>
    <w:multiLevelType w:val="hybridMultilevel"/>
    <w:tmpl w:val="D8FAAD5C"/>
    <w:lvl w:ilvl="0" w:tplc="F9DE795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07306"/>
    <w:multiLevelType w:val="hybridMultilevel"/>
    <w:tmpl w:val="324E44F8"/>
    <w:lvl w:ilvl="0" w:tplc="41DAC506">
      <w:start w:val="1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F0236"/>
    <w:multiLevelType w:val="singleLevel"/>
    <w:tmpl w:val="DCCE8A9E"/>
    <w:lvl w:ilvl="0">
      <w:start w:val="8"/>
      <w:numFmt w:val="decimal"/>
      <w:lvlText w:val="%1."/>
      <w:lvlJc w:val="left"/>
      <w:pPr>
        <w:tabs>
          <w:tab w:val="num" w:pos="1616"/>
        </w:tabs>
        <w:ind w:left="1616" w:hanging="435"/>
      </w:pPr>
      <w:rPr>
        <w:rFonts w:hint="default"/>
      </w:rPr>
    </w:lvl>
  </w:abstractNum>
  <w:abstractNum w:abstractNumId="28" w15:restartNumberingAfterBreak="0">
    <w:nsid w:val="51114477"/>
    <w:multiLevelType w:val="hybridMultilevel"/>
    <w:tmpl w:val="B54A6C04"/>
    <w:lvl w:ilvl="0" w:tplc="44840FA6">
      <w:start w:val="15"/>
      <w:numFmt w:val="decimal"/>
      <w:lvlText w:val="%1."/>
      <w:lvlJc w:val="left"/>
      <w:pPr>
        <w:tabs>
          <w:tab w:val="num" w:pos="1821"/>
        </w:tabs>
        <w:ind w:left="1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3841EB"/>
    <w:multiLevelType w:val="hybridMultilevel"/>
    <w:tmpl w:val="42869A7C"/>
    <w:lvl w:ilvl="0" w:tplc="BD9C80AC">
      <w:start w:val="8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972B75"/>
    <w:multiLevelType w:val="hybridMultilevel"/>
    <w:tmpl w:val="D01A116E"/>
    <w:lvl w:ilvl="0" w:tplc="6D10734C">
      <w:start w:val="9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32F57"/>
    <w:multiLevelType w:val="hybridMultilevel"/>
    <w:tmpl w:val="D2B869E4"/>
    <w:lvl w:ilvl="0" w:tplc="24FACEDE">
      <w:start w:val="8"/>
      <w:numFmt w:val="decimal"/>
      <w:lvlText w:val="%1."/>
      <w:lvlJc w:val="left"/>
      <w:pPr>
        <w:tabs>
          <w:tab w:val="num" w:pos="2253"/>
        </w:tabs>
        <w:ind w:left="2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6416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454477B"/>
    <w:multiLevelType w:val="hybridMultilevel"/>
    <w:tmpl w:val="3BC41E56"/>
    <w:lvl w:ilvl="0" w:tplc="782C904C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34" w15:restartNumberingAfterBreak="0">
    <w:nsid w:val="678C2395"/>
    <w:multiLevelType w:val="hybridMultilevel"/>
    <w:tmpl w:val="FA4821B8"/>
    <w:lvl w:ilvl="0" w:tplc="F9DE795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 w15:restartNumberingAfterBreak="0">
    <w:nsid w:val="6A8B2124"/>
    <w:multiLevelType w:val="multilevel"/>
    <w:tmpl w:val="D01A116E"/>
    <w:lvl w:ilvl="0">
      <w:start w:val="9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A0C84"/>
    <w:multiLevelType w:val="singleLevel"/>
    <w:tmpl w:val="D9C02A5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BF61887"/>
    <w:multiLevelType w:val="hybridMultilevel"/>
    <w:tmpl w:val="7154433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9D2B52"/>
    <w:multiLevelType w:val="singleLevel"/>
    <w:tmpl w:val="C922D49A"/>
    <w:lvl w:ilvl="0">
      <w:start w:val="3"/>
      <w:numFmt w:val="none"/>
      <w:lvlText w:val="3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17C0196"/>
    <w:multiLevelType w:val="singleLevel"/>
    <w:tmpl w:val="1C24F70C"/>
    <w:lvl w:ilvl="0">
      <w:start w:val="8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40" w15:restartNumberingAfterBreak="0">
    <w:nsid w:val="758E0ED4"/>
    <w:multiLevelType w:val="hybridMultilevel"/>
    <w:tmpl w:val="CB78637E"/>
    <w:lvl w:ilvl="0" w:tplc="893079F2">
      <w:start w:val="1"/>
      <w:numFmt w:val="decimal"/>
      <w:lvlText w:val="%1."/>
      <w:lvlJc w:val="left"/>
      <w:pPr>
        <w:tabs>
          <w:tab w:val="num" w:pos="1170"/>
        </w:tabs>
        <w:ind w:left="117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 w15:restartNumberingAfterBreak="0">
    <w:nsid w:val="7B8904C0"/>
    <w:multiLevelType w:val="singleLevel"/>
    <w:tmpl w:val="BBCACE6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14"/>
  </w:num>
  <w:num w:numId="5">
    <w:abstractNumId w:val="39"/>
  </w:num>
  <w:num w:numId="6">
    <w:abstractNumId w:val="5"/>
  </w:num>
  <w:num w:numId="7">
    <w:abstractNumId w:val="20"/>
  </w:num>
  <w:num w:numId="8">
    <w:abstractNumId w:val="41"/>
  </w:num>
  <w:num w:numId="9">
    <w:abstractNumId w:val="23"/>
  </w:num>
  <w:num w:numId="10">
    <w:abstractNumId w:val="38"/>
  </w:num>
  <w:num w:numId="11">
    <w:abstractNumId w:val="36"/>
  </w:num>
  <w:num w:numId="12">
    <w:abstractNumId w:val="11"/>
  </w:num>
  <w:num w:numId="13">
    <w:abstractNumId w:val="21"/>
  </w:num>
  <w:num w:numId="14">
    <w:abstractNumId w:val="32"/>
  </w:num>
  <w:num w:numId="15">
    <w:abstractNumId w:val="6"/>
  </w:num>
  <w:num w:numId="16">
    <w:abstractNumId w:val="2"/>
  </w:num>
  <w:num w:numId="17">
    <w:abstractNumId w:val="10"/>
  </w:num>
  <w:num w:numId="18">
    <w:abstractNumId w:val="26"/>
  </w:num>
  <w:num w:numId="19">
    <w:abstractNumId w:val="30"/>
  </w:num>
  <w:num w:numId="20">
    <w:abstractNumId w:val="29"/>
  </w:num>
  <w:num w:numId="21">
    <w:abstractNumId w:val="35"/>
  </w:num>
  <w:num w:numId="22">
    <w:abstractNumId w:val="17"/>
  </w:num>
  <w:num w:numId="23">
    <w:abstractNumId w:val="28"/>
  </w:num>
  <w:num w:numId="24">
    <w:abstractNumId w:val="31"/>
  </w:num>
  <w:num w:numId="25">
    <w:abstractNumId w:val="9"/>
  </w:num>
  <w:num w:numId="26">
    <w:abstractNumId w:val="15"/>
  </w:num>
  <w:num w:numId="27">
    <w:abstractNumId w:val="4"/>
  </w:num>
  <w:num w:numId="28">
    <w:abstractNumId w:val="37"/>
  </w:num>
  <w:num w:numId="29">
    <w:abstractNumId w:val="1"/>
  </w:num>
  <w:num w:numId="30">
    <w:abstractNumId w:val="40"/>
  </w:num>
  <w:num w:numId="31">
    <w:abstractNumId w:val="24"/>
  </w:num>
  <w:num w:numId="32">
    <w:abstractNumId w:val="34"/>
  </w:num>
  <w:num w:numId="33">
    <w:abstractNumId w:val="18"/>
  </w:num>
  <w:num w:numId="34">
    <w:abstractNumId w:val="7"/>
  </w:num>
  <w:num w:numId="35">
    <w:abstractNumId w:val="22"/>
  </w:num>
  <w:num w:numId="36">
    <w:abstractNumId w:val="12"/>
  </w:num>
  <w:num w:numId="37">
    <w:abstractNumId w:val="25"/>
  </w:num>
  <w:num w:numId="38">
    <w:abstractNumId w:val="19"/>
  </w:num>
  <w:num w:numId="39">
    <w:abstractNumId w:val="33"/>
  </w:num>
  <w:num w:numId="40">
    <w:abstractNumId w:val="8"/>
  </w:num>
  <w:num w:numId="41">
    <w:abstractNumId w:val="0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FB"/>
    <w:rsid w:val="00001A88"/>
    <w:rsid w:val="0000379B"/>
    <w:rsid w:val="00004351"/>
    <w:rsid w:val="00006365"/>
    <w:rsid w:val="000064F2"/>
    <w:rsid w:val="00010526"/>
    <w:rsid w:val="00011BDD"/>
    <w:rsid w:val="00024F80"/>
    <w:rsid w:val="000328CC"/>
    <w:rsid w:val="000332C6"/>
    <w:rsid w:val="00034707"/>
    <w:rsid w:val="000352E8"/>
    <w:rsid w:val="000358D4"/>
    <w:rsid w:val="000406FF"/>
    <w:rsid w:val="00041011"/>
    <w:rsid w:val="00042D62"/>
    <w:rsid w:val="00045379"/>
    <w:rsid w:val="00050A7C"/>
    <w:rsid w:val="000556E5"/>
    <w:rsid w:val="0005755B"/>
    <w:rsid w:val="000576EA"/>
    <w:rsid w:val="00063CA0"/>
    <w:rsid w:val="00066270"/>
    <w:rsid w:val="00072BA3"/>
    <w:rsid w:val="00077A45"/>
    <w:rsid w:val="00084C77"/>
    <w:rsid w:val="00086F87"/>
    <w:rsid w:val="00092DF1"/>
    <w:rsid w:val="000955A0"/>
    <w:rsid w:val="00096FB5"/>
    <w:rsid w:val="000A116F"/>
    <w:rsid w:val="000A1A44"/>
    <w:rsid w:val="000A1C63"/>
    <w:rsid w:val="000A2810"/>
    <w:rsid w:val="000A2CD0"/>
    <w:rsid w:val="000A2EED"/>
    <w:rsid w:val="000A6627"/>
    <w:rsid w:val="000B632A"/>
    <w:rsid w:val="000C12FA"/>
    <w:rsid w:val="000D3819"/>
    <w:rsid w:val="000E1156"/>
    <w:rsid w:val="000E2EFE"/>
    <w:rsid w:val="000E329B"/>
    <w:rsid w:val="000E4EFB"/>
    <w:rsid w:val="000F1433"/>
    <w:rsid w:val="000F1BE7"/>
    <w:rsid w:val="001041FE"/>
    <w:rsid w:val="00106C16"/>
    <w:rsid w:val="00110713"/>
    <w:rsid w:val="001136FE"/>
    <w:rsid w:val="00113B2A"/>
    <w:rsid w:val="00114AF0"/>
    <w:rsid w:val="0012063A"/>
    <w:rsid w:val="001226D4"/>
    <w:rsid w:val="001255FA"/>
    <w:rsid w:val="0012749D"/>
    <w:rsid w:val="001309A9"/>
    <w:rsid w:val="00132F17"/>
    <w:rsid w:val="00135CF0"/>
    <w:rsid w:val="00137802"/>
    <w:rsid w:val="001404E0"/>
    <w:rsid w:val="0014116F"/>
    <w:rsid w:val="001413A4"/>
    <w:rsid w:val="001426B7"/>
    <w:rsid w:val="00146DC6"/>
    <w:rsid w:val="00147160"/>
    <w:rsid w:val="00150506"/>
    <w:rsid w:val="00150F8E"/>
    <w:rsid w:val="001514DD"/>
    <w:rsid w:val="0015295A"/>
    <w:rsid w:val="00153801"/>
    <w:rsid w:val="00157750"/>
    <w:rsid w:val="00163B24"/>
    <w:rsid w:val="00173789"/>
    <w:rsid w:val="00177A87"/>
    <w:rsid w:val="00183A66"/>
    <w:rsid w:val="00190C4F"/>
    <w:rsid w:val="001930A9"/>
    <w:rsid w:val="00193C92"/>
    <w:rsid w:val="0019402E"/>
    <w:rsid w:val="0019444C"/>
    <w:rsid w:val="00194FE3"/>
    <w:rsid w:val="00196FFB"/>
    <w:rsid w:val="00197D9E"/>
    <w:rsid w:val="001A1BBB"/>
    <w:rsid w:val="001A3A09"/>
    <w:rsid w:val="001A4479"/>
    <w:rsid w:val="001A481D"/>
    <w:rsid w:val="001A560C"/>
    <w:rsid w:val="001A6C5C"/>
    <w:rsid w:val="001A6C7A"/>
    <w:rsid w:val="001A6DF5"/>
    <w:rsid w:val="001B4633"/>
    <w:rsid w:val="001B67C0"/>
    <w:rsid w:val="001B6A70"/>
    <w:rsid w:val="001B6C2E"/>
    <w:rsid w:val="001B7D60"/>
    <w:rsid w:val="001C6325"/>
    <w:rsid w:val="001D4AC3"/>
    <w:rsid w:val="001D557B"/>
    <w:rsid w:val="001D5847"/>
    <w:rsid w:val="001D6ABA"/>
    <w:rsid w:val="001D729C"/>
    <w:rsid w:val="001D7D83"/>
    <w:rsid w:val="001E13AC"/>
    <w:rsid w:val="001E1EA5"/>
    <w:rsid w:val="001E2879"/>
    <w:rsid w:val="001E7808"/>
    <w:rsid w:val="001F309D"/>
    <w:rsid w:val="001F4333"/>
    <w:rsid w:val="001F537D"/>
    <w:rsid w:val="00206786"/>
    <w:rsid w:val="002128BF"/>
    <w:rsid w:val="002129D8"/>
    <w:rsid w:val="0021510F"/>
    <w:rsid w:val="0021665C"/>
    <w:rsid w:val="00223241"/>
    <w:rsid w:val="00223B83"/>
    <w:rsid w:val="002243AF"/>
    <w:rsid w:val="00225901"/>
    <w:rsid w:val="00227777"/>
    <w:rsid w:val="002329E7"/>
    <w:rsid w:val="0023411A"/>
    <w:rsid w:val="002374B8"/>
    <w:rsid w:val="00241013"/>
    <w:rsid w:val="00241B3D"/>
    <w:rsid w:val="002502B2"/>
    <w:rsid w:val="00252F5B"/>
    <w:rsid w:val="00261C1A"/>
    <w:rsid w:val="00263BC5"/>
    <w:rsid w:val="00263EE6"/>
    <w:rsid w:val="00271C7A"/>
    <w:rsid w:val="002729E6"/>
    <w:rsid w:val="00273892"/>
    <w:rsid w:val="00276479"/>
    <w:rsid w:val="00280A6F"/>
    <w:rsid w:val="00281188"/>
    <w:rsid w:val="00285820"/>
    <w:rsid w:val="002858B7"/>
    <w:rsid w:val="002863FB"/>
    <w:rsid w:val="002866EB"/>
    <w:rsid w:val="00291898"/>
    <w:rsid w:val="00293BD0"/>
    <w:rsid w:val="002971F3"/>
    <w:rsid w:val="00297DA2"/>
    <w:rsid w:val="002A5A87"/>
    <w:rsid w:val="002A5F72"/>
    <w:rsid w:val="002A7031"/>
    <w:rsid w:val="002A70E6"/>
    <w:rsid w:val="002A7FD3"/>
    <w:rsid w:val="002B1790"/>
    <w:rsid w:val="002B1873"/>
    <w:rsid w:val="002B2DEF"/>
    <w:rsid w:val="002B3240"/>
    <w:rsid w:val="002B60A0"/>
    <w:rsid w:val="002C0787"/>
    <w:rsid w:val="002C0D7B"/>
    <w:rsid w:val="002C0F1B"/>
    <w:rsid w:val="002C264E"/>
    <w:rsid w:val="002C3335"/>
    <w:rsid w:val="002C4751"/>
    <w:rsid w:val="002C68CC"/>
    <w:rsid w:val="002C6DD7"/>
    <w:rsid w:val="002D007B"/>
    <w:rsid w:val="002D2A21"/>
    <w:rsid w:val="002D2BA8"/>
    <w:rsid w:val="002D59E8"/>
    <w:rsid w:val="002D73BE"/>
    <w:rsid w:val="002E1361"/>
    <w:rsid w:val="002F0066"/>
    <w:rsid w:val="002F1A9C"/>
    <w:rsid w:val="002F7E84"/>
    <w:rsid w:val="00302B48"/>
    <w:rsid w:val="003044E9"/>
    <w:rsid w:val="003103A5"/>
    <w:rsid w:val="0031079A"/>
    <w:rsid w:val="00316245"/>
    <w:rsid w:val="00321C7C"/>
    <w:rsid w:val="00332148"/>
    <w:rsid w:val="0033578F"/>
    <w:rsid w:val="0033757E"/>
    <w:rsid w:val="00340351"/>
    <w:rsid w:val="00340FEE"/>
    <w:rsid w:val="00345794"/>
    <w:rsid w:val="003457B3"/>
    <w:rsid w:val="003463A7"/>
    <w:rsid w:val="00347119"/>
    <w:rsid w:val="003520A2"/>
    <w:rsid w:val="00353410"/>
    <w:rsid w:val="003537F4"/>
    <w:rsid w:val="003627EA"/>
    <w:rsid w:val="00365BBD"/>
    <w:rsid w:val="00366AA6"/>
    <w:rsid w:val="00367158"/>
    <w:rsid w:val="00367229"/>
    <w:rsid w:val="00371BD6"/>
    <w:rsid w:val="003733A4"/>
    <w:rsid w:val="003744DB"/>
    <w:rsid w:val="00376086"/>
    <w:rsid w:val="003850D8"/>
    <w:rsid w:val="003A14F3"/>
    <w:rsid w:val="003B0735"/>
    <w:rsid w:val="003B0D9A"/>
    <w:rsid w:val="003B47E4"/>
    <w:rsid w:val="003B49E5"/>
    <w:rsid w:val="003B6907"/>
    <w:rsid w:val="003C1161"/>
    <w:rsid w:val="003C2E7E"/>
    <w:rsid w:val="003C49C6"/>
    <w:rsid w:val="003D2223"/>
    <w:rsid w:val="003D2A3D"/>
    <w:rsid w:val="003E2CF1"/>
    <w:rsid w:val="003E630C"/>
    <w:rsid w:val="003E7639"/>
    <w:rsid w:val="003F0B95"/>
    <w:rsid w:val="003F1E39"/>
    <w:rsid w:val="003F60DD"/>
    <w:rsid w:val="003F7588"/>
    <w:rsid w:val="00401028"/>
    <w:rsid w:val="004021B2"/>
    <w:rsid w:val="0040270D"/>
    <w:rsid w:val="0040481E"/>
    <w:rsid w:val="00405B2A"/>
    <w:rsid w:val="00406829"/>
    <w:rsid w:val="00407B59"/>
    <w:rsid w:val="0041099F"/>
    <w:rsid w:val="00410A7B"/>
    <w:rsid w:val="004120BD"/>
    <w:rsid w:val="004129E1"/>
    <w:rsid w:val="00413B75"/>
    <w:rsid w:val="00414B4E"/>
    <w:rsid w:val="00416A6B"/>
    <w:rsid w:val="00417BCF"/>
    <w:rsid w:val="0042117A"/>
    <w:rsid w:val="004224A1"/>
    <w:rsid w:val="00423376"/>
    <w:rsid w:val="0042539F"/>
    <w:rsid w:val="004253BD"/>
    <w:rsid w:val="00431FB5"/>
    <w:rsid w:val="004336EC"/>
    <w:rsid w:val="004368C6"/>
    <w:rsid w:val="00436B9C"/>
    <w:rsid w:val="004379A2"/>
    <w:rsid w:val="00437DEB"/>
    <w:rsid w:val="004401E9"/>
    <w:rsid w:val="00442CFD"/>
    <w:rsid w:val="00453AFB"/>
    <w:rsid w:val="00455103"/>
    <w:rsid w:val="00460DAE"/>
    <w:rsid w:val="00463A00"/>
    <w:rsid w:val="00467182"/>
    <w:rsid w:val="0047131D"/>
    <w:rsid w:val="00474884"/>
    <w:rsid w:val="00475220"/>
    <w:rsid w:val="00475B5E"/>
    <w:rsid w:val="00475C76"/>
    <w:rsid w:val="00482DCA"/>
    <w:rsid w:val="00486FF3"/>
    <w:rsid w:val="00487767"/>
    <w:rsid w:val="004878BE"/>
    <w:rsid w:val="004922BC"/>
    <w:rsid w:val="00494AA0"/>
    <w:rsid w:val="00495A44"/>
    <w:rsid w:val="00497070"/>
    <w:rsid w:val="004A23E4"/>
    <w:rsid w:val="004A651E"/>
    <w:rsid w:val="004B74F3"/>
    <w:rsid w:val="004C0A47"/>
    <w:rsid w:val="004C0B99"/>
    <w:rsid w:val="004C145D"/>
    <w:rsid w:val="004C3150"/>
    <w:rsid w:val="004C4069"/>
    <w:rsid w:val="004C7B96"/>
    <w:rsid w:val="004D19F1"/>
    <w:rsid w:val="004D1ADC"/>
    <w:rsid w:val="004D2ECD"/>
    <w:rsid w:val="004D3CA7"/>
    <w:rsid w:val="004E0086"/>
    <w:rsid w:val="004E1442"/>
    <w:rsid w:val="004E4AA4"/>
    <w:rsid w:val="004E5426"/>
    <w:rsid w:val="004E7021"/>
    <w:rsid w:val="004F2F91"/>
    <w:rsid w:val="004F5B32"/>
    <w:rsid w:val="005013F8"/>
    <w:rsid w:val="00501BCE"/>
    <w:rsid w:val="00502207"/>
    <w:rsid w:val="00505B67"/>
    <w:rsid w:val="00514BD8"/>
    <w:rsid w:val="005152CD"/>
    <w:rsid w:val="00516362"/>
    <w:rsid w:val="005217B8"/>
    <w:rsid w:val="005241DA"/>
    <w:rsid w:val="00524533"/>
    <w:rsid w:val="005249D1"/>
    <w:rsid w:val="005335E8"/>
    <w:rsid w:val="00534454"/>
    <w:rsid w:val="005355D0"/>
    <w:rsid w:val="00535657"/>
    <w:rsid w:val="00537249"/>
    <w:rsid w:val="005454D4"/>
    <w:rsid w:val="005459B0"/>
    <w:rsid w:val="005530F0"/>
    <w:rsid w:val="00562465"/>
    <w:rsid w:val="00566264"/>
    <w:rsid w:val="00571A4D"/>
    <w:rsid w:val="00571E53"/>
    <w:rsid w:val="005735DB"/>
    <w:rsid w:val="00573652"/>
    <w:rsid w:val="00584A95"/>
    <w:rsid w:val="00585E44"/>
    <w:rsid w:val="0058694A"/>
    <w:rsid w:val="00593419"/>
    <w:rsid w:val="00593725"/>
    <w:rsid w:val="0059760C"/>
    <w:rsid w:val="005B16B3"/>
    <w:rsid w:val="005B2881"/>
    <w:rsid w:val="005B6839"/>
    <w:rsid w:val="005B7063"/>
    <w:rsid w:val="005C2456"/>
    <w:rsid w:val="005C348E"/>
    <w:rsid w:val="005C461E"/>
    <w:rsid w:val="005C5867"/>
    <w:rsid w:val="005D247E"/>
    <w:rsid w:val="005D5723"/>
    <w:rsid w:val="005D7247"/>
    <w:rsid w:val="005E1776"/>
    <w:rsid w:val="005E644C"/>
    <w:rsid w:val="005F2C67"/>
    <w:rsid w:val="00604940"/>
    <w:rsid w:val="00610037"/>
    <w:rsid w:val="0061234B"/>
    <w:rsid w:val="006165E7"/>
    <w:rsid w:val="0062127E"/>
    <w:rsid w:val="00622A1A"/>
    <w:rsid w:val="006342C4"/>
    <w:rsid w:val="00634A1E"/>
    <w:rsid w:val="00636757"/>
    <w:rsid w:val="006374BA"/>
    <w:rsid w:val="0063755F"/>
    <w:rsid w:val="00641257"/>
    <w:rsid w:val="006460DF"/>
    <w:rsid w:val="00653887"/>
    <w:rsid w:val="0066587A"/>
    <w:rsid w:val="00670394"/>
    <w:rsid w:val="00670EC8"/>
    <w:rsid w:val="00672009"/>
    <w:rsid w:val="00673B1B"/>
    <w:rsid w:val="0067543C"/>
    <w:rsid w:val="0067592C"/>
    <w:rsid w:val="00692389"/>
    <w:rsid w:val="00693B18"/>
    <w:rsid w:val="00694B60"/>
    <w:rsid w:val="0069550A"/>
    <w:rsid w:val="00696913"/>
    <w:rsid w:val="00696B74"/>
    <w:rsid w:val="006A20C1"/>
    <w:rsid w:val="006A2F49"/>
    <w:rsid w:val="006A47CD"/>
    <w:rsid w:val="006A4BFD"/>
    <w:rsid w:val="006A745F"/>
    <w:rsid w:val="006B01D7"/>
    <w:rsid w:val="006C563C"/>
    <w:rsid w:val="006C6669"/>
    <w:rsid w:val="006C7C02"/>
    <w:rsid w:val="006D0999"/>
    <w:rsid w:val="006D0A65"/>
    <w:rsid w:val="006D2416"/>
    <w:rsid w:val="006D53CD"/>
    <w:rsid w:val="006D68AD"/>
    <w:rsid w:val="006D7615"/>
    <w:rsid w:val="006E048E"/>
    <w:rsid w:val="006E09AD"/>
    <w:rsid w:val="006E46EC"/>
    <w:rsid w:val="006F339D"/>
    <w:rsid w:val="006F4286"/>
    <w:rsid w:val="006F56B6"/>
    <w:rsid w:val="00703BC2"/>
    <w:rsid w:val="00704181"/>
    <w:rsid w:val="00705047"/>
    <w:rsid w:val="00706125"/>
    <w:rsid w:val="00707B51"/>
    <w:rsid w:val="00707FCD"/>
    <w:rsid w:val="00714619"/>
    <w:rsid w:val="007151BC"/>
    <w:rsid w:val="00721090"/>
    <w:rsid w:val="00721680"/>
    <w:rsid w:val="007216C6"/>
    <w:rsid w:val="007224DA"/>
    <w:rsid w:val="0072254E"/>
    <w:rsid w:val="007241F1"/>
    <w:rsid w:val="007320E4"/>
    <w:rsid w:val="00732CAB"/>
    <w:rsid w:val="00741F6D"/>
    <w:rsid w:val="00743B79"/>
    <w:rsid w:val="00743CB7"/>
    <w:rsid w:val="00744D2E"/>
    <w:rsid w:val="00746EC0"/>
    <w:rsid w:val="00754BC2"/>
    <w:rsid w:val="00757257"/>
    <w:rsid w:val="00763946"/>
    <w:rsid w:val="00763E85"/>
    <w:rsid w:val="00773D3F"/>
    <w:rsid w:val="007801DB"/>
    <w:rsid w:val="00780D1B"/>
    <w:rsid w:val="00782571"/>
    <w:rsid w:val="00785FD2"/>
    <w:rsid w:val="0078739C"/>
    <w:rsid w:val="0078793C"/>
    <w:rsid w:val="00787EC4"/>
    <w:rsid w:val="007909BE"/>
    <w:rsid w:val="0079377E"/>
    <w:rsid w:val="007A250D"/>
    <w:rsid w:val="007A2D7E"/>
    <w:rsid w:val="007A3675"/>
    <w:rsid w:val="007A45A8"/>
    <w:rsid w:val="007A62B8"/>
    <w:rsid w:val="007A662F"/>
    <w:rsid w:val="007B2F0F"/>
    <w:rsid w:val="007B3408"/>
    <w:rsid w:val="007B3489"/>
    <w:rsid w:val="007B5991"/>
    <w:rsid w:val="007B7D10"/>
    <w:rsid w:val="007C3709"/>
    <w:rsid w:val="007C7177"/>
    <w:rsid w:val="007D48AC"/>
    <w:rsid w:val="007E0399"/>
    <w:rsid w:val="007E4072"/>
    <w:rsid w:val="007F3911"/>
    <w:rsid w:val="007F5680"/>
    <w:rsid w:val="007F76D2"/>
    <w:rsid w:val="008017B9"/>
    <w:rsid w:val="008031C1"/>
    <w:rsid w:val="00803460"/>
    <w:rsid w:val="00803914"/>
    <w:rsid w:val="00803F0D"/>
    <w:rsid w:val="00806D97"/>
    <w:rsid w:val="008072C9"/>
    <w:rsid w:val="00807513"/>
    <w:rsid w:val="00811B8A"/>
    <w:rsid w:val="00812EFF"/>
    <w:rsid w:val="0081306A"/>
    <w:rsid w:val="008165A2"/>
    <w:rsid w:val="0082773E"/>
    <w:rsid w:val="00830181"/>
    <w:rsid w:val="00836526"/>
    <w:rsid w:val="00837917"/>
    <w:rsid w:val="00842CA6"/>
    <w:rsid w:val="00843188"/>
    <w:rsid w:val="00843FDF"/>
    <w:rsid w:val="00847A57"/>
    <w:rsid w:val="008506A8"/>
    <w:rsid w:val="00863DB9"/>
    <w:rsid w:val="00865989"/>
    <w:rsid w:val="008663C1"/>
    <w:rsid w:val="008667BA"/>
    <w:rsid w:val="00870BD0"/>
    <w:rsid w:val="00872CE5"/>
    <w:rsid w:val="00875A4E"/>
    <w:rsid w:val="008768FC"/>
    <w:rsid w:val="0087690F"/>
    <w:rsid w:val="008858A9"/>
    <w:rsid w:val="008862E0"/>
    <w:rsid w:val="0089011E"/>
    <w:rsid w:val="00891924"/>
    <w:rsid w:val="00892F33"/>
    <w:rsid w:val="008975E6"/>
    <w:rsid w:val="008A061E"/>
    <w:rsid w:val="008A2D20"/>
    <w:rsid w:val="008A36A3"/>
    <w:rsid w:val="008A4460"/>
    <w:rsid w:val="008A6C20"/>
    <w:rsid w:val="008A791B"/>
    <w:rsid w:val="008B16E3"/>
    <w:rsid w:val="008B1A2E"/>
    <w:rsid w:val="008B1E45"/>
    <w:rsid w:val="008B1F50"/>
    <w:rsid w:val="008B1FA6"/>
    <w:rsid w:val="008B3C59"/>
    <w:rsid w:val="008B6AB3"/>
    <w:rsid w:val="008C0348"/>
    <w:rsid w:val="008C148F"/>
    <w:rsid w:val="008C3706"/>
    <w:rsid w:val="008C72A4"/>
    <w:rsid w:val="008D128A"/>
    <w:rsid w:val="008D1E4F"/>
    <w:rsid w:val="008D3362"/>
    <w:rsid w:val="008D526C"/>
    <w:rsid w:val="008D58C8"/>
    <w:rsid w:val="008E2D07"/>
    <w:rsid w:val="008E6F26"/>
    <w:rsid w:val="008F2567"/>
    <w:rsid w:val="008F56FE"/>
    <w:rsid w:val="008F5AD0"/>
    <w:rsid w:val="008F65AC"/>
    <w:rsid w:val="00901571"/>
    <w:rsid w:val="00903D14"/>
    <w:rsid w:val="0090494B"/>
    <w:rsid w:val="00920FF5"/>
    <w:rsid w:val="00922782"/>
    <w:rsid w:val="009309E9"/>
    <w:rsid w:val="009310C5"/>
    <w:rsid w:val="00935707"/>
    <w:rsid w:val="0093617F"/>
    <w:rsid w:val="009408CE"/>
    <w:rsid w:val="00941D58"/>
    <w:rsid w:val="00943074"/>
    <w:rsid w:val="00945788"/>
    <w:rsid w:val="00945F78"/>
    <w:rsid w:val="0095415E"/>
    <w:rsid w:val="009549F8"/>
    <w:rsid w:val="00954D4A"/>
    <w:rsid w:val="00955EDE"/>
    <w:rsid w:val="00965484"/>
    <w:rsid w:val="009662E1"/>
    <w:rsid w:val="00972BAA"/>
    <w:rsid w:val="009739FB"/>
    <w:rsid w:val="009840C4"/>
    <w:rsid w:val="009955A8"/>
    <w:rsid w:val="009A150F"/>
    <w:rsid w:val="009A2739"/>
    <w:rsid w:val="009A2ECD"/>
    <w:rsid w:val="009B0CC1"/>
    <w:rsid w:val="009B14F3"/>
    <w:rsid w:val="009B2F2E"/>
    <w:rsid w:val="009B435D"/>
    <w:rsid w:val="009B6470"/>
    <w:rsid w:val="009C0E03"/>
    <w:rsid w:val="009C1191"/>
    <w:rsid w:val="009C4D19"/>
    <w:rsid w:val="009C64AF"/>
    <w:rsid w:val="009D75C0"/>
    <w:rsid w:val="009E1A8C"/>
    <w:rsid w:val="009E6ACE"/>
    <w:rsid w:val="009E7B66"/>
    <w:rsid w:val="009E7C63"/>
    <w:rsid w:val="009F136C"/>
    <w:rsid w:val="009F287E"/>
    <w:rsid w:val="009F352B"/>
    <w:rsid w:val="00A04A8A"/>
    <w:rsid w:val="00A06F6C"/>
    <w:rsid w:val="00A0761C"/>
    <w:rsid w:val="00A11492"/>
    <w:rsid w:val="00A11522"/>
    <w:rsid w:val="00A13CB5"/>
    <w:rsid w:val="00A22445"/>
    <w:rsid w:val="00A2315B"/>
    <w:rsid w:val="00A25165"/>
    <w:rsid w:val="00A27B90"/>
    <w:rsid w:val="00A318BC"/>
    <w:rsid w:val="00A34830"/>
    <w:rsid w:val="00A36E6B"/>
    <w:rsid w:val="00A40778"/>
    <w:rsid w:val="00A40BB3"/>
    <w:rsid w:val="00A43D11"/>
    <w:rsid w:val="00A44652"/>
    <w:rsid w:val="00A44A2E"/>
    <w:rsid w:val="00A46014"/>
    <w:rsid w:val="00A464D0"/>
    <w:rsid w:val="00A46FB0"/>
    <w:rsid w:val="00A4746E"/>
    <w:rsid w:val="00A52646"/>
    <w:rsid w:val="00A57AD7"/>
    <w:rsid w:val="00A62614"/>
    <w:rsid w:val="00A67B5E"/>
    <w:rsid w:val="00A710A3"/>
    <w:rsid w:val="00A75780"/>
    <w:rsid w:val="00A77CAC"/>
    <w:rsid w:val="00A8191E"/>
    <w:rsid w:val="00A83EA4"/>
    <w:rsid w:val="00A91347"/>
    <w:rsid w:val="00A93705"/>
    <w:rsid w:val="00A93DE7"/>
    <w:rsid w:val="00AA043D"/>
    <w:rsid w:val="00AA13D9"/>
    <w:rsid w:val="00AA19B0"/>
    <w:rsid w:val="00AA51D1"/>
    <w:rsid w:val="00AA5A24"/>
    <w:rsid w:val="00AA6936"/>
    <w:rsid w:val="00AB1521"/>
    <w:rsid w:val="00AB3512"/>
    <w:rsid w:val="00AB38D5"/>
    <w:rsid w:val="00AC1D96"/>
    <w:rsid w:val="00AC300A"/>
    <w:rsid w:val="00AD14B0"/>
    <w:rsid w:val="00AD1C2B"/>
    <w:rsid w:val="00AD23AE"/>
    <w:rsid w:val="00AD260A"/>
    <w:rsid w:val="00AD7A67"/>
    <w:rsid w:val="00AE00AB"/>
    <w:rsid w:val="00AE0264"/>
    <w:rsid w:val="00AE36B8"/>
    <w:rsid w:val="00AE731D"/>
    <w:rsid w:val="00AE79D9"/>
    <w:rsid w:val="00AF0774"/>
    <w:rsid w:val="00AF3D0B"/>
    <w:rsid w:val="00AF412F"/>
    <w:rsid w:val="00AF63B7"/>
    <w:rsid w:val="00B0054D"/>
    <w:rsid w:val="00B01841"/>
    <w:rsid w:val="00B041D9"/>
    <w:rsid w:val="00B07CD0"/>
    <w:rsid w:val="00B127A4"/>
    <w:rsid w:val="00B2624E"/>
    <w:rsid w:val="00B27662"/>
    <w:rsid w:val="00B327DA"/>
    <w:rsid w:val="00B33C33"/>
    <w:rsid w:val="00B344E6"/>
    <w:rsid w:val="00B3569A"/>
    <w:rsid w:val="00B3703D"/>
    <w:rsid w:val="00B37BBE"/>
    <w:rsid w:val="00B44B3C"/>
    <w:rsid w:val="00B453E7"/>
    <w:rsid w:val="00B51A80"/>
    <w:rsid w:val="00B53CB5"/>
    <w:rsid w:val="00B62B4B"/>
    <w:rsid w:val="00B64DB2"/>
    <w:rsid w:val="00B701C1"/>
    <w:rsid w:val="00B77DE4"/>
    <w:rsid w:val="00B815B2"/>
    <w:rsid w:val="00B85605"/>
    <w:rsid w:val="00B93E94"/>
    <w:rsid w:val="00BA0602"/>
    <w:rsid w:val="00BA3C9E"/>
    <w:rsid w:val="00BA4C62"/>
    <w:rsid w:val="00BA4E15"/>
    <w:rsid w:val="00BA652C"/>
    <w:rsid w:val="00BA6B68"/>
    <w:rsid w:val="00BA759C"/>
    <w:rsid w:val="00BB4302"/>
    <w:rsid w:val="00BB53EA"/>
    <w:rsid w:val="00BC12A1"/>
    <w:rsid w:val="00BC287D"/>
    <w:rsid w:val="00BC3729"/>
    <w:rsid w:val="00BC44D0"/>
    <w:rsid w:val="00BC576C"/>
    <w:rsid w:val="00BC6008"/>
    <w:rsid w:val="00BC6052"/>
    <w:rsid w:val="00BC6085"/>
    <w:rsid w:val="00BC620F"/>
    <w:rsid w:val="00BD0D88"/>
    <w:rsid w:val="00BD3F1B"/>
    <w:rsid w:val="00BE000E"/>
    <w:rsid w:val="00BE3524"/>
    <w:rsid w:val="00BE4CCB"/>
    <w:rsid w:val="00BE5D9D"/>
    <w:rsid w:val="00BF0EF4"/>
    <w:rsid w:val="00BF652C"/>
    <w:rsid w:val="00C0147F"/>
    <w:rsid w:val="00C0755F"/>
    <w:rsid w:val="00C1219B"/>
    <w:rsid w:val="00C14103"/>
    <w:rsid w:val="00C22CBF"/>
    <w:rsid w:val="00C26E53"/>
    <w:rsid w:val="00C275B8"/>
    <w:rsid w:val="00C31001"/>
    <w:rsid w:val="00C3132A"/>
    <w:rsid w:val="00C364F6"/>
    <w:rsid w:val="00C37309"/>
    <w:rsid w:val="00C40EED"/>
    <w:rsid w:val="00C41336"/>
    <w:rsid w:val="00C455ED"/>
    <w:rsid w:val="00C45BE4"/>
    <w:rsid w:val="00C47015"/>
    <w:rsid w:val="00C540D3"/>
    <w:rsid w:val="00C57815"/>
    <w:rsid w:val="00C62B2A"/>
    <w:rsid w:val="00C64F6C"/>
    <w:rsid w:val="00C66A5F"/>
    <w:rsid w:val="00C67408"/>
    <w:rsid w:val="00C73DBA"/>
    <w:rsid w:val="00C74363"/>
    <w:rsid w:val="00C777FF"/>
    <w:rsid w:val="00C7783D"/>
    <w:rsid w:val="00C77D1B"/>
    <w:rsid w:val="00C87DAD"/>
    <w:rsid w:val="00CA01FD"/>
    <w:rsid w:val="00CA323A"/>
    <w:rsid w:val="00CA433D"/>
    <w:rsid w:val="00CB340C"/>
    <w:rsid w:val="00CB4783"/>
    <w:rsid w:val="00CB5DEA"/>
    <w:rsid w:val="00CB69B3"/>
    <w:rsid w:val="00CB6A9E"/>
    <w:rsid w:val="00CC05E8"/>
    <w:rsid w:val="00CC13ED"/>
    <w:rsid w:val="00CC442F"/>
    <w:rsid w:val="00CC7B5A"/>
    <w:rsid w:val="00CD41E6"/>
    <w:rsid w:val="00CD4810"/>
    <w:rsid w:val="00CD6B92"/>
    <w:rsid w:val="00CD6EE6"/>
    <w:rsid w:val="00CD720D"/>
    <w:rsid w:val="00CD7E27"/>
    <w:rsid w:val="00CE0A4E"/>
    <w:rsid w:val="00CE1CFE"/>
    <w:rsid w:val="00CE58A1"/>
    <w:rsid w:val="00CE635D"/>
    <w:rsid w:val="00CF41DB"/>
    <w:rsid w:val="00CF497F"/>
    <w:rsid w:val="00CF6D5E"/>
    <w:rsid w:val="00CF7199"/>
    <w:rsid w:val="00D00EB6"/>
    <w:rsid w:val="00D04AE1"/>
    <w:rsid w:val="00D1102D"/>
    <w:rsid w:val="00D11356"/>
    <w:rsid w:val="00D11C5F"/>
    <w:rsid w:val="00D12FC6"/>
    <w:rsid w:val="00D21F06"/>
    <w:rsid w:val="00D414BA"/>
    <w:rsid w:val="00D4179B"/>
    <w:rsid w:val="00D44497"/>
    <w:rsid w:val="00D46B32"/>
    <w:rsid w:val="00D50F3C"/>
    <w:rsid w:val="00D52564"/>
    <w:rsid w:val="00D526E4"/>
    <w:rsid w:val="00D55723"/>
    <w:rsid w:val="00D56138"/>
    <w:rsid w:val="00D56CF1"/>
    <w:rsid w:val="00D654C8"/>
    <w:rsid w:val="00D66342"/>
    <w:rsid w:val="00D701C7"/>
    <w:rsid w:val="00D75991"/>
    <w:rsid w:val="00D76955"/>
    <w:rsid w:val="00D76BA4"/>
    <w:rsid w:val="00D81077"/>
    <w:rsid w:val="00D82E61"/>
    <w:rsid w:val="00D84E97"/>
    <w:rsid w:val="00D871B6"/>
    <w:rsid w:val="00D91232"/>
    <w:rsid w:val="00D935E4"/>
    <w:rsid w:val="00D9456E"/>
    <w:rsid w:val="00D95881"/>
    <w:rsid w:val="00DA0FCF"/>
    <w:rsid w:val="00DA12E6"/>
    <w:rsid w:val="00DA420A"/>
    <w:rsid w:val="00DA6CA3"/>
    <w:rsid w:val="00DB3FDD"/>
    <w:rsid w:val="00DB59FB"/>
    <w:rsid w:val="00DB5E07"/>
    <w:rsid w:val="00DB7E67"/>
    <w:rsid w:val="00DC06B0"/>
    <w:rsid w:val="00DC60A3"/>
    <w:rsid w:val="00DC64DD"/>
    <w:rsid w:val="00DC7362"/>
    <w:rsid w:val="00DD0AC6"/>
    <w:rsid w:val="00DD209F"/>
    <w:rsid w:val="00DD39FB"/>
    <w:rsid w:val="00DD4B14"/>
    <w:rsid w:val="00DE190C"/>
    <w:rsid w:val="00DE2F80"/>
    <w:rsid w:val="00DF0FCD"/>
    <w:rsid w:val="00DF2DE5"/>
    <w:rsid w:val="00E01E76"/>
    <w:rsid w:val="00E12632"/>
    <w:rsid w:val="00E12D48"/>
    <w:rsid w:val="00E2198C"/>
    <w:rsid w:val="00E30207"/>
    <w:rsid w:val="00E30779"/>
    <w:rsid w:val="00E31E43"/>
    <w:rsid w:val="00E34105"/>
    <w:rsid w:val="00E35C9B"/>
    <w:rsid w:val="00E3685C"/>
    <w:rsid w:val="00E374A5"/>
    <w:rsid w:val="00E37BBA"/>
    <w:rsid w:val="00E4346B"/>
    <w:rsid w:val="00E50881"/>
    <w:rsid w:val="00E5133F"/>
    <w:rsid w:val="00E513ED"/>
    <w:rsid w:val="00E5450B"/>
    <w:rsid w:val="00E61029"/>
    <w:rsid w:val="00E66B8F"/>
    <w:rsid w:val="00E66E14"/>
    <w:rsid w:val="00E72DC8"/>
    <w:rsid w:val="00E73546"/>
    <w:rsid w:val="00E77087"/>
    <w:rsid w:val="00E80008"/>
    <w:rsid w:val="00E80137"/>
    <w:rsid w:val="00E8147E"/>
    <w:rsid w:val="00E82BA0"/>
    <w:rsid w:val="00E836B8"/>
    <w:rsid w:val="00E83CE9"/>
    <w:rsid w:val="00E84310"/>
    <w:rsid w:val="00E866E9"/>
    <w:rsid w:val="00E869DA"/>
    <w:rsid w:val="00E86F74"/>
    <w:rsid w:val="00E86F93"/>
    <w:rsid w:val="00E872F2"/>
    <w:rsid w:val="00E87C0E"/>
    <w:rsid w:val="00E92A29"/>
    <w:rsid w:val="00E93881"/>
    <w:rsid w:val="00E93AF2"/>
    <w:rsid w:val="00E94715"/>
    <w:rsid w:val="00E97328"/>
    <w:rsid w:val="00EA09A5"/>
    <w:rsid w:val="00EA263F"/>
    <w:rsid w:val="00EA38CA"/>
    <w:rsid w:val="00EA770E"/>
    <w:rsid w:val="00EB002A"/>
    <w:rsid w:val="00EB575E"/>
    <w:rsid w:val="00EB5B53"/>
    <w:rsid w:val="00EB670C"/>
    <w:rsid w:val="00EC0DF7"/>
    <w:rsid w:val="00EC671D"/>
    <w:rsid w:val="00EC7547"/>
    <w:rsid w:val="00ED2580"/>
    <w:rsid w:val="00ED2C8D"/>
    <w:rsid w:val="00ED38BB"/>
    <w:rsid w:val="00ED38E0"/>
    <w:rsid w:val="00EE2F0D"/>
    <w:rsid w:val="00EE403D"/>
    <w:rsid w:val="00EE4082"/>
    <w:rsid w:val="00EE61AE"/>
    <w:rsid w:val="00EE7B82"/>
    <w:rsid w:val="00EF1C79"/>
    <w:rsid w:val="00EF3FC7"/>
    <w:rsid w:val="00EF60EB"/>
    <w:rsid w:val="00EF7F3B"/>
    <w:rsid w:val="00F00E55"/>
    <w:rsid w:val="00F063D4"/>
    <w:rsid w:val="00F070C5"/>
    <w:rsid w:val="00F10365"/>
    <w:rsid w:val="00F127F6"/>
    <w:rsid w:val="00F13F49"/>
    <w:rsid w:val="00F20B0D"/>
    <w:rsid w:val="00F23E74"/>
    <w:rsid w:val="00F240CB"/>
    <w:rsid w:val="00F30F7D"/>
    <w:rsid w:val="00F44BBF"/>
    <w:rsid w:val="00F45AE7"/>
    <w:rsid w:val="00F512D5"/>
    <w:rsid w:val="00F53A78"/>
    <w:rsid w:val="00F610CC"/>
    <w:rsid w:val="00F6490F"/>
    <w:rsid w:val="00F64DA0"/>
    <w:rsid w:val="00F67352"/>
    <w:rsid w:val="00F67CDF"/>
    <w:rsid w:val="00F717FA"/>
    <w:rsid w:val="00F721B6"/>
    <w:rsid w:val="00F7557A"/>
    <w:rsid w:val="00F80DC3"/>
    <w:rsid w:val="00F83A72"/>
    <w:rsid w:val="00F87DCE"/>
    <w:rsid w:val="00F90337"/>
    <w:rsid w:val="00F917D0"/>
    <w:rsid w:val="00F93209"/>
    <w:rsid w:val="00F93396"/>
    <w:rsid w:val="00F94658"/>
    <w:rsid w:val="00F951E2"/>
    <w:rsid w:val="00F96A53"/>
    <w:rsid w:val="00F97339"/>
    <w:rsid w:val="00FA0E5B"/>
    <w:rsid w:val="00FA4B4C"/>
    <w:rsid w:val="00FB52E8"/>
    <w:rsid w:val="00FB6C6E"/>
    <w:rsid w:val="00FC2470"/>
    <w:rsid w:val="00FC4F6C"/>
    <w:rsid w:val="00FD3270"/>
    <w:rsid w:val="00FD7E10"/>
    <w:rsid w:val="00FE0A5F"/>
    <w:rsid w:val="00FE0ED4"/>
    <w:rsid w:val="00FE3262"/>
    <w:rsid w:val="00FE496D"/>
    <w:rsid w:val="00FE526C"/>
    <w:rsid w:val="00FE5F1B"/>
    <w:rsid w:val="00FE7652"/>
    <w:rsid w:val="00FF27C1"/>
    <w:rsid w:val="00FF48B8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F7601"/>
  <w15:docId w15:val="{8E1E6068-F7D4-4FEB-824F-CD069D9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4D"/>
    <w:rPr>
      <w:sz w:val="24"/>
      <w:szCs w:val="24"/>
    </w:rPr>
  </w:style>
  <w:style w:type="paragraph" w:styleId="Heading1">
    <w:name w:val="heading 1"/>
    <w:basedOn w:val="Normal"/>
    <w:next w:val="Normal"/>
    <w:qFormat/>
    <w:rsid w:val="00B0054D"/>
    <w:pPr>
      <w:keepNext/>
      <w:tabs>
        <w:tab w:val="left" w:pos="1176"/>
        <w:tab w:val="left" w:pos="1656"/>
        <w:tab w:val="left" w:pos="6696"/>
        <w:tab w:val="left" w:pos="8256"/>
      </w:tabs>
      <w:ind w:left="1656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0054D"/>
    <w:pPr>
      <w:keepNext/>
      <w:tabs>
        <w:tab w:val="left" w:pos="1176"/>
        <w:tab w:val="left" w:pos="1656"/>
        <w:tab w:val="left" w:pos="6696"/>
        <w:tab w:val="left" w:pos="8256"/>
      </w:tabs>
      <w:ind w:left="960"/>
      <w:jc w:val="center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B0054D"/>
    <w:pPr>
      <w:keepNext/>
      <w:tabs>
        <w:tab w:val="left" w:pos="1176"/>
        <w:tab w:val="left" w:pos="1656"/>
        <w:tab w:val="left" w:pos="6696"/>
        <w:tab w:val="left" w:pos="8256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B0054D"/>
    <w:pPr>
      <w:keepNext/>
      <w:tabs>
        <w:tab w:val="left" w:pos="1176"/>
        <w:tab w:val="left" w:pos="1656"/>
        <w:tab w:val="left" w:pos="5016"/>
        <w:tab w:val="left" w:pos="6696"/>
        <w:tab w:val="left" w:pos="8256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0054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0054D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054D"/>
    <w:pPr>
      <w:tabs>
        <w:tab w:val="left" w:pos="1176"/>
        <w:tab w:val="left" w:pos="1656"/>
        <w:tab w:val="left" w:pos="5940"/>
        <w:tab w:val="left" w:pos="8256"/>
      </w:tabs>
      <w:ind w:left="720"/>
    </w:pPr>
  </w:style>
  <w:style w:type="character" w:customStyle="1" w:styleId="changedrop">
    <w:name w:val="change_drop"/>
    <w:basedOn w:val="DefaultParagraphFont"/>
    <w:rsid w:val="00B0054D"/>
    <w:rPr>
      <w:strike/>
      <w:color w:val="FF0000"/>
    </w:rPr>
  </w:style>
  <w:style w:type="character" w:customStyle="1" w:styleId="changeadd">
    <w:name w:val="change_add"/>
    <w:basedOn w:val="DefaultParagraphFont"/>
    <w:rsid w:val="00B0054D"/>
    <w:rPr>
      <w:b/>
      <w:bCs/>
      <w:color w:val="0000FF"/>
    </w:rPr>
  </w:style>
  <w:style w:type="paragraph" w:styleId="BodyTextIndent2">
    <w:name w:val="Body Text Indent 2"/>
    <w:basedOn w:val="Normal"/>
    <w:rsid w:val="00B0054D"/>
    <w:pPr>
      <w:tabs>
        <w:tab w:val="left" w:pos="1176"/>
        <w:tab w:val="left" w:pos="1656"/>
        <w:tab w:val="left" w:pos="5016"/>
        <w:tab w:val="left" w:pos="6696"/>
        <w:tab w:val="left" w:pos="8256"/>
      </w:tabs>
      <w:ind w:left="480"/>
    </w:pPr>
  </w:style>
  <w:style w:type="paragraph" w:styleId="BodyTextIndent3">
    <w:name w:val="Body Text Indent 3"/>
    <w:basedOn w:val="Normal"/>
    <w:rsid w:val="00B0054D"/>
    <w:pPr>
      <w:tabs>
        <w:tab w:val="left" w:pos="1176"/>
        <w:tab w:val="left" w:pos="1656"/>
        <w:tab w:val="left" w:pos="5016"/>
        <w:tab w:val="left" w:pos="6696"/>
        <w:tab w:val="left" w:pos="8256"/>
      </w:tabs>
      <w:ind w:left="360"/>
    </w:pPr>
  </w:style>
  <w:style w:type="character" w:styleId="FootnoteReference">
    <w:name w:val="footnote reference"/>
    <w:basedOn w:val="DefaultParagraphFont"/>
    <w:semiHidden/>
    <w:rsid w:val="00B0054D"/>
    <w:rPr>
      <w:vertAlign w:val="superscript"/>
    </w:rPr>
  </w:style>
  <w:style w:type="paragraph" w:styleId="Footer">
    <w:name w:val="footer"/>
    <w:basedOn w:val="Normal"/>
    <w:rsid w:val="00B0054D"/>
    <w:pPr>
      <w:tabs>
        <w:tab w:val="center" w:pos="4320"/>
        <w:tab w:val="right" w:pos="8640"/>
      </w:tabs>
    </w:pPr>
    <w:rPr>
      <w:rFonts w:ascii="CG Times" w:hAnsi="CG Times"/>
      <w:sz w:val="20"/>
      <w:szCs w:val="20"/>
    </w:rPr>
  </w:style>
  <w:style w:type="paragraph" w:styleId="BlockText">
    <w:name w:val="Block Text"/>
    <w:basedOn w:val="Normal"/>
    <w:uiPriority w:val="99"/>
    <w:rsid w:val="00B0054D"/>
    <w:pPr>
      <w:tabs>
        <w:tab w:val="left" w:pos="1176"/>
        <w:tab w:val="left" w:pos="1656"/>
        <w:tab w:val="left" w:pos="5016"/>
        <w:tab w:val="left" w:pos="6696"/>
        <w:tab w:val="left" w:pos="8256"/>
      </w:tabs>
      <w:ind w:left="1152" w:right="1152"/>
    </w:pPr>
    <w:rPr>
      <w:szCs w:val="20"/>
    </w:rPr>
  </w:style>
  <w:style w:type="paragraph" w:styleId="BodyText">
    <w:name w:val="Body Text"/>
    <w:basedOn w:val="Normal"/>
    <w:rsid w:val="00B0054D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semiHidden/>
    <w:rsid w:val="00B0054D"/>
    <w:rPr>
      <w:rFonts w:ascii="CG Times" w:hAnsi="CG Times"/>
      <w:sz w:val="20"/>
      <w:szCs w:val="20"/>
    </w:rPr>
  </w:style>
  <w:style w:type="character" w:styleId="PageNumber">
    <w:name w:val="page number"/>
    <w:basedOn w:val="DefaultParagraphFont"/>
    <w:rsid w:val="00B0054D"/>
  </w:style>
  <w:style w:type="paragraph" w:styleId="Title">
    <w:name w:val="Title"/>
    <w:basedOn w:val="Normal"/>
    <w:qFormat/>
    <w:rsid w:val="00673B1B"/>
    <w:pPr>
      <w:tabs>
        <w:tab w:val="left" w:pos="1176"/>
        <w:tab w:val="left" w:pos="1656"/>
        <w:tab w:val="left" w:pos="6696"/>
        <w:tab w:val="left" w:pos="8256"/>
      </w:tabs>
      <w:jc w:val="center"/>
      <w:outlineLvl w:val="0"/>
    </w:pPr>
    <w:rPr>
      <w:szCs w:val="20"/>
    </w:rPr>
  </w:style>
  <w:style w:type="paragraph" w:styleId="Subtitle">
    <w:name w:val="Subtitle"/>
    <w:basedOn w:val="Normal"/>
    <w:qFormat/>
    <w:rsid w:val="00673B1B"/>
    <w:pPr>
      <w:tabs>
        <w:tab w:val="left" w:pos="1176"/>
        <w:tab w:val="left" w:pos="1656"/>
        <w:tab w:val="left" w:pos="6696"/>
        <w:tab w:val="left" w:pos="8256"/>
      </w:tabs>
      <w:ind w:left="1176" w:hanging="1176"/>
    </w:pPr>
    <w:rPr>
      <w:szCs w:val="20"/>
    </w:rPr>
  </w:style>
  <w:style w:type="paragraph" w:styleId="BalloonText">
    <w:name w:val="Balloon Text"/>
    <w:basedOn w:val="Normal"/>
    <w:semiHidden/>
    <w:rsid w:val="00850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412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52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003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379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0379B"/>
    <w:rPr>
      <w:b/>
      <w:bCs/>
    </w:rPr>
  </w:style>
  <w:style w:type="character" w:styleId="Hyperlink">
    <w:name w:val="Hyperlink"/>
    <w:basedOn w:val="DefaultParagraphFont"/>
    <w:rsid w:val="00A04A8A"/>
    <w:rPr>
      <w:color w:val="0000FF"/>
      <w:u w:val="single"/>
    </w:rPr>
  </w:style>
  <w:style w:type="paragraph" w:customStyle="1" w:styleId="Pa5">
    <w:name w:val="Pa5"/>
    <w:basedOn w:val="Normal"/>
    <w:next w:val="Normal"/>
    <w:rsid w:val="00A04A8A"/>
    <w:pPr>
      <w:autoSpaceDE w:val="0"/>
      <w:autoSpaceDN w:val="0"/>
      <w:adjustRightInd w:val="0"/>
      <w:spacing w:line="201" w:lineRule="atLeast"/>
    </w:pPr>
  </w:style>
  <w:style w:type="character" w:styleId="FollowedHyperlink">
    <w:name w:val="FollowedHyperlink"/>
    <w:basedOn w:val="DefaultParagraphFont"/>
    <w:rsid w:val="00FA0E5B"/>
    <w:rPr>
      <w:color w:val="60642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4F3"/>
  </w:style>
  <w:style w:type="paragraph" w:styleId="Revision">
    <w:name w:val="Revision"/>
    <w:hidden/>
    <w:uiPriority w:val="99"/>
    <w:semiHidden/>
    <w:rsid w:val="009A2ECD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2337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A2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A4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D57D-3B46-4811-B9BD-EC8101210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50BE7-E50F-49FF-813E-28DADB6E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in section A</vt:lpstr>
    </vt:vector>
  </TitlesOfParts>
  <Company>U.S. Department Of Commerce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section A</dc:title>
  <dc:creator>FRIEDLANDER_M</dc:creator>
  <cp:lastModifiedBy>Murphy, Peggy - BLS</cp:lastModifiedBy>
  <cp:revision>3</cp:revision>
  <cp:lastPrinted>2019-02-22T11:42:00Z</cp:lastPrinted>
  <dcterms:created xsi:type="dcterms:W3CDTF">2020-05-21T13:24:00Z</dcterms:created>
  <dcterms:modified xsi:type="dcterms:W3CDTF">2020-05-21T16:51:00Z</dcterms:modified>
</cp:coreProperties>
</file>