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D10FB" w:rsidR="003A6EF6" w:rsidP="00FD10FB" w:rsidRDefault="000A13DC" w14:paraId="2C2C2A0C" w14:textId="7B33CF39">
      <w:pPr>
        <w:jc w:val="center"/>
        <w:rPr>
          <w:b/>
        </w:rPr>
      </w:pPr>
      <w:r w:rsidRPr="00FD10FB">
        <w:rPr>
          <w:b/>
        </w:rPr>
        <w:t>J</w:t>
      </w:r>
      <w:r w:rsidR="00636430">
        <w:rPr>
          <w:b/>
        </w:rPr>
        <w:t>ustification for Non-Material</w:t>
      </w:r>
      <w:r w:rsidRPr="00FD10FB">
        <w:rPr>
          <w:b/>
        </w:rPr>
        <w:t xml:space="preserve"> Change to OMB </w:t>
      </w:r>
      <w:r w:rsidR="00636430">
        <w:rPr>
          <w:b/>
        </w:rPr>
        <w:t>1290-00</w:t>
      </w:r>
      <w:r w:rsidR="00A27BEA">
        <w:rPr>
          <w:b/>
        </w:rPr>
        <w:t>29</w:t>
      </w:r>
    </w:p>
    <w:p w:rsidRPr="002468BA" w:rsidR="00A27BEA" w:rsidP="0018095B" w:rsidRDefault="0008681B" w14:paraId="75EFE2F8" w14:textId="0ABCCD86">
      <w:pPr>
        <w:pStyle w:val="NoSpacing"/>
      </w:pPr>
      <w:r w:rsidRPr="0008681B">
        <w:t>This memo requests a non-material change to the Paperwork Reduction Act (PRA) package previously approved by the Office of Management and B</w:t>
      </w:r>
      <w:r w:rsidR="00636430">
        <w:t>udget (OMB Control No. 1290-00</w:t>
      </w:r>
      <w:r w:rsidR="00A27BEA">
        <w:t>29</w:t>
      </w:r>
      <w:r>
        <w:t xml:space="preserve">) for data collection </w:t>
      </w:r>
      <w:r w:rsidR="00A27BEA">
        <w:t xml:space="preserve">for the implementation study of the </w:t>
      </w:r>
      <w:r w:rsidRPr="002468BA" w:rsidR="00A27BEA">
        <w:t>Reemployment Services and Eligibility Assessment (RESEA) program.  Th</w:t>
      </w:r>
      <w:r w:rsidR="009777DE">
        <w:t xml:space="preserve">ese changes are requested </w:t>
      </w:r>
      <w:r w:rsidRPr="002468BA" w:rsidR="00A27BEA">
        <w:t>as a result of the COVID-19 pandemic.</w:t>
      </w:r>
    </w:p>
    <w:p w:rsidRPr="002468BA" w:rsidR="00A27BEA" w:rsidP="0018095B" w:rsidRDefault="00A27BEA" w14:paraId="38F1C08E" w14:textId="2D74DA9C">
      <w:pPr>
        <w:pStyle w:val="NoSpacing"/>
      </w:pPr>
    </w:p>
    <w:p w:rsidRPr="002468BA" w:rsidR="002468BA" w:rsidP="0018095B" w:rsidRDefault="002468BA" w14:paraId="024BFCE5" w14:textId="77777777">
      <w:pPr>
        <w:pStyle w:val="NoSpacing"/>
        <w:rPr>
          <w:b/>
        </w:rPr>
      </w:pPr>
      <w:r w:rsidRPr="002468BA">
        <w:rPr>
          <w:b/>
        </w:rPr>
        <w:t>Background</w:t>
      </w:r>
    </w:p>
    <w:p w:rsidRPr="002468BA" w:rsidR="00A27BEA" w:rsidP="0018095B" w:rsidRDefault="002468BA" w14:paraId="31617E92" w14:textId="4C405EC8">
      <w:pPr>
        <w:pStyle w:val="NoSpacing"/>
      </w:pPr>
      <w:r w:rsidRPr="002468BA">
        <w:t xml:space="preserve">The Bipartisan Budget Act of 2018 (Public Law 115-123) amended the Social Security Act, creating a permanent authorization for the RESEA program, increasing funding, </w:t>
      </w:r>
      <w:r w:rsidR="009777DE">
        <w:t>changing the program</w:t>
      </w:r>
      <w:r w:rsidRPr="002468BA">
        <w:t xml:space="preserve">, and introducing new evidence and evaluation requirements.  </w:t>
      </w:r>
      <w:r w:rsidRPr="002468BA" w:rsidR="00A27BEA">
        <w:t xml:space="preserve">The U.S. Department of Labor’s (DOL) </w:t>
      </w:r>
      <w:r w:rsidRPr="002468BA">
        <w:t>Chief Evaluation Office funded an RESEA study that includes an implementation evaluation that will produce an up-to-date understanding of states’ current RESEA programs and plans for program changes</w:t>
      </w:r>
      <w:r w:rsidR="00DF6720">
        <w:t xml:space="preserve"> (RESEA programs are operated in about 50 states)</w:t>
      </w:r>
      <w:r w:rsidRPr="002468BA">
        <w:t xml:space="preserve">.  DOL will use the results of the data collection and analysis effort to develop future guidance, design evaluation projects, and provide a range of technical assistance services to help states meet </w:t>
      </w:r>
      <w:r>
        <w:t>requirements of the new legislation</w:t>
      </w:r>
      <w:r w:rsidRPr="002468BA">
        <w:t>.</w:t>
      </w:r>
    </w:p>
    <w:p w:rsidRPr="002468BA" w:rsidR="002468BA" w:rsidP="0018095B" w:rsidRDefault="002468BA" w14:paraId="4C698B1F" w14:textId="77777777">
      <w:pPr>
        <w:pStyle w:val="NoSpacing"/>
      </w:pPr>
    </w:p>
    <w:p w:rsidR="00A27BEA" w:rsidP="0018095B" w:rsidRDefault="00A27BEA" w14:paraId="76F35009" w14:textId="613FCE6C">
      <w:pPr>
        <w:pStyle w:val="NoSpacing"/>
      </w:pPr>
      <w:r w:rsidRPr="002468BA">
        <w:t>When OMB approved this data collection in December</w:t>
      </w:r>
      <w:r w:rsidRPr="002468BA" w:rsidR="002468BA">
        <w:t xml:space="preserve"> 2019, the </w:t>
      </w:r>
      <w:r w:rsidR="00DB51B4">
        <w:t xml:space="preserve">RESEA </w:t>
      </w:r>
      <w:r w:rsidRPr="002468BA" w:rsidR="002468BA">
        <w:t xml:space="preserve">program </w:t>
      </w:r>
      <w:r w:rsidR="00DB51B4">
        <w:t>plans</w:t>
      </w:r>
      <w:r w:rsidRPr="002468BA" w:rsidR="002468BA">
        <w:t xml:space="preserve"> </w:t>
      </w:r>
      <w:r w:rsidR="002468BA">
        <w:t xml:space="preserve">the project anticipated collecting information </w:t>
      </w:r>
      <w:r w:rsidR="00DB51B4">
        <w:t>about</w:t>
      </w:r>
      <w:r w:rsidR="002468BA">
        <w:t xml:space="preserve"> were related </w:t>
      </w:r>
      <w:r w:rsidR="00DB51B4">
        <w:t xml:space="preserve">solely </w:t>
      </w:r>
      <w:r w:rsidR="002468BA">
        <w:t>to the new legislation.  However, the COVID-19 pandemic</w:t>
      </w:r>
      <w:r w:rsidR="00DB51B4">
        <w:t xml:space="preserve">, beginning </w:t>
      </w:r>
      <w:r w:rsidR="002468BA">
        <w:t xml:space="preserve">in March 2020, </w:t>
      </w:r>
      <w:r w:rsidR="00DB51B4">
        <w:t>has created a major new event that may impact both the environment in which states are operating their RESEA programs as well as the design and delivery of the RESEA programs themselves.</w:t>
      </w:r>
    </w:p>
    <w:p w:rsidR="00DF6720" w:rsidP="0018095B" w:rsidRDefault="00DF6720" w14:paraId="67DEF6AC" w14:textId="6FAA24D5">
      <w:pPr>
        <w:pStyle w:val="NoSpacing"/>
      </w:pPr>
    </w:p>
    <w:p w:rsidR="00DB51B4" w:rsidP="0018095B" w:rsidRDefault="00DF6720" w14:paraId="1706449B" w14:textId="470E1FE2">
      <w:pPr>
        <w:pStyle w:val="NoSpacing"/>
      </w:pPr>
      <w:r>
        <w:t>The approved data collection includes three instruments: (1) semi-structured interviews with state Unemployment Insurance (UI)/RESEA program administrators, (2) semi-structured interviews with local workforce development board administrators and American Job Center administrators or staff, and (3) web-based survey instrument for state RESEA administrators.</w:t>
      </w:r>
    </w:p>
    <w:p w:rsidR="00900020" w:rsidP="0018095B" w:rsidRDefault="00900020" w14:paraId="2C2946B5" w14:textId="77777777">
      <w:pPr>
        <w:pStyle w:val="NoSpacing"/>
        <w:rPr>
          <w:b/>
        </w:rPr>
      </w:pPr>
    </w:p>
    <w:p w:rsidRPr="00DB51B4" w:rsidR="00DB51B4" w:rsidP="0018095B" w:rsidRDefault="00DB51B4" w14:paraId="3B465C0C" w14:textId="4E3D9927">
      <w:pPr>
        <w:pStyle w:val="NoSpacing"/>
        <w:rPr>
          <w:b/>
        </w:rPr>
      </w:pPr>
      <w:r w:rsidRPr="00DB51B4">
        <w:rPr>
          <w:b/>
        </w:rPr>
        <w:t>Change Requests</w:t>
      </w:r>
    </w:p>
    <w:p w:rsidR="00DB51B4" w:rsidP="00DB51B4" w:rsidRDefault="00DB51B4" w14:paraId="7D160D93" w14:textId="6A2E225F">
      <w:pPr>
        <w:pStyle w:val="NoSpacing"/>
      </w:pPr>
      <w:r>
        <w:t xml:space="preserve">DOL requests minor changes to the evaluation’s data collection instruments to ensure the study is capturing how the COVID-19 pandemic might be affecting states’ RESEA programs and the context in which their state’s </w:t>
      </w:r>
      <w:r w:rsidR="00DF6720">
        <w:t xml:space="preserve">UI system and </w:t>
      </w:r>
      <w:r>
        <w:t>program</w:t>
      </w:r>
      <w:r w:rsidR="009777DE">
        <w:t>s are</w:t>
      </w:r>
      <w:r>
        <w:t xml:space="preserve"> operating.  The</w:t>
      </w:r>
      <w:r w:rsidR="00DF6720">
        <w:t xml:space="preserve"> requested</w:t>
      </w:r>
      <w:r>
        <w:t xml:space="preserve"> changes include:</w:t>
      </w:r>
    </w:p>
    <w:p w:rsidR="00DF6720" w:rsidP="00DB51B4" w:rsidRDefault="00DF6720" w14:paraId="62E4D681" w14:textId="7777777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Interview protocols:</w:t>
      </w:r>
    </w:p>
    <w:p w:rsidR="00DF6720" w:rsidP="00DF6720" w:rsidRDefault="00DF6720" w14:paraId="3DB65E16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A</w:t>
      </w:r>
      <w:r w:rsidR="00DB51B4">
        <w:t xml:space="preserve"> small new </w:t>
      </w:r>
      <w:r>
        <w:t>section</w:t>
      </w:r>
      <w:r w:rsidR="00DB51B4">
        <w:t xml:space="preserve"> up front </w:t>
      </w:r>
      <w:r>
        <w:t>to learn about RESEA programs’ current operational status and response to COVID-19.</w:t>
      </w:r>
    </w:p>
    <w:p w:rsidR="00DF6720" w:rsidP="00DF6720" w:rsidRDefault="00DF6720" w14:paraId="1DD683D9" w14:textId="06E98748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Minor questions throughout related to COVID-19.</w:t>
      </w:r>
    </w:p>
    <w:p w:rsidR="00DF6720" w:rsidP="00DF6720" w:rsidRDefault="00DF6720" w14:paraId="0DB0EC7B" w14:textId="40048EE4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Minor adjustments to update the FY since this instrument was drafted.</w:t>
      </w:r>
    </w:p>
    <w:p w:rsidR="00DF6720" w:rsidP="00DB51B4" w:rsidRDefault="00DF6720" w14:paraId="17CB9936" w14:textId="7777777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Survey:</w:t>
      </w:r>
    </w:p>
    <w:p w:rsidR="00723065" w:rsidP="00723065" w:rsidRDefault="00DF6720" w14:paraId="115545C4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 xml:space="preserve">This instrument has </w:t>
      </w:r>
      <w:r w:rsidR="00DB51B4">
        <w:t xml:space="preserve">added </w:t>
      </w:r>
      <w:r w:rsidR="00723065">
        <w:t xml:space="preserve">7 </w:t>
      </w:r>
      <w:r w:rsidR="00DB51B4">
        <w:t xml:space="preserve">items </w:t>
      </w:r>
      <w:r w:rsidR="00723065">
        <w:t>due to COVID-19.</w:t>
      </w:r>
    </w:p>
    <w:p w:rsidR="00723065" w:rsidP="00723065" w:rsidRDefault="00723065" w14:paraId="3FCA24F8" w14:textId="3D1C099A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M</w:t>
      </w:r>
      <w:r w:rsidR="00DB51B4">
        <w:t>inor edits to</w:t>
      </w:r>
      <w:r>
        <w:t xml:space="preserve"> existing questions to reflect a range of anticipated potential new circumstances due to COVID-19 (e.g., virtual orientation, remote services).</w:t>
      </w:r>
    </w:p>
    <w:p w:rsidR="00DB51B4" w:rsidP="00723065" w:rsidRDefault="00DB51B4" w14:paraId="34BD7D33" w14:textId="711EC6C5">
      <w:pPr>
        <w:spacing w:after="0" w:line="240" w:lineRule="auto"/>
      </w:pPr>
    </w:p>
    <w:p w:rsidR="00A27BEA" w:rsidP="00DF1AF7" w:rsidRDefault="00723065" w14:paraId="260FC64F" w14:textId="6C2C4989">
      <w:pPr>
        <w:spacing w:after="0" w:line="240" w:lineRule="auto"/>
      </w:pPr>
      <w:r>
        <w:t>Additionally, DOL’s study plans t</w:t>
      </w:r>
      <w:r w:rsidR="00DF1AF7">
        <w:t xml:space="preserve">o field the survey three times, instead of just once, which will enable </w:t>
      </w:r>
      <w:r w:rsidR="009777DE">
        <w:t>the evaluation</w:t>
      </w:r>
      <w:r>
        <w:t xml:space="preserve"> to capture states’ plans before COVID-19 as well as at two points since the pandemic became more widespread.  These</w:t>
      </w:r>
      <w:r w:rsidR="009777DE">
        <w:t xml:space="preserve"> requested</w:t>
      </w:r>
      <w:r>
        <w:t xml:space="preserve"> changes result in extremely minimal changes to the burden estimates, however, based on </w:t>
      </w:r>
      <w:r w:rsidR="00DF1AF7">
        <w:t xml:space="preserve">the </w:t>
      </w:r>
      <w:r w:rsidR="00CD14A7">
        <w:t xml:space="preserve">actual </w:t>
      </w:r>
      <w:r w:rsidR="00DF1AF7">
        <w:t xml:space="preserve">average burden per response observed during the survey’s first fielding </w:t>
      </w:r>
      <w:r w:rsidR="009777DE">
        <w:t xml:space="preserve">in February 2020 </w:t>
      </w:r>
      <w:r w:rsidR="00DF1AF7">
        <w:t>(40-45 minutes), which is much less than the initially approved burden estimate (2 hours).  A revised burden table is included below.</w:t>
      </w:r>
    </w:p>
    <w:p w:rsidR="00A27BEA" w:rsidP="0018095B" w:rsidRDefault="00A27BEA" w14:paraId="5D2358D0" w14:textId="03E9EDD5">
      <w:pPr>
        <w:pStyle w:val="NoSpacing"/>
      </w:pPr>
    </w:p>
    <w:p w:rsidRPr="00900020" w:rsidR="00900020" w:rsidP="00900020" w:rsidRDefault="00900020" w14:paraId="4653A0C8" w14:textId="0EAE7CEB">
      <w:r>
        <w:lastRenderedPageBreak/>
        <w:t>A</w:t>
      </w:r>
      <w:r w:rsidRPr="00900020">
        <w:t>s the data collection is currently underway, this evaluation is in a unique position to be able to learn about how states’ programs, service delivery approaches, and contexts may be changing as a result of the COVID-19 pandemic.</w:t>
      </w:r>
      <w:r>
        <w:t xml:space="preserve"> </w:t>
      </w:r>
      <w:r w:rsidRPr="00900020">
        <w:t>We hope to resume data collection wi</w:t>
      </w:r>
      <w:r w:rsidR="00470587">
        <w:t>th the updated instruments by the end of June</w:t>
      </w:r>
      <w:bookmarkStart w:name="_GoBack" w:id="0"/>
      <w:bookmarkEnd w:id="0"/>
      <w:r>
        <w:t xml:space="preserve"> so that we could</w:t>
      </w:r>
      <w:r w:rsidRPr="00900020">
        <w:t xml:space="preserve"> provide DOL near real-time information about whether and how the states’ RESEA programs and local contexts were affected by the COVID-19 pandemic.</w:t>
      </w:r>
    </w:p>
    <w:p w:rsidR="00900020" w:rsidP="0018095B" w:rsidRDefault="00900020" w14:paraId="4055B7DB" w14:textId="4391F7FB">
      <w:pPr>
        <w:pStyle w:val="NoSpacing"/>
      </w:pPr>
    </w:p>
    <w:p w:rsidR="00900020" w:rsidP="0018095B" w:rsidRDefault="00900020" w14:paraId="51E31F84" w14:textId="77777777">
      <w:pPr>
        <w:pStyle w:val="NoSpacing"/>
      </w:pPr>
    </w:p>
    <w:p w:rsidRPr="00B1733A" w:rsidR="00DF1AF7" w:rsidP="00DF1AF7" w:rsidRDefault="00DF1AF7" w14:paraId="6A6068BE" w14:textId="25AE197C">
      <w:pPr>
        <w:jc w:val="center"/>
        <w:rPr>
          <w:b/>
        </w:rPr>
      </w:pPr>
      <w:r w:rsidRPr="00B1733A">
        <w:rPr>
          <w:b/>
        </w:rPr>
        <w:t>Table A.</w:t>
      </w:r>
      <w:r>
        <w:rPr>
          <w:b/>
        </w:rPr>
        <w:t>1</w:t>
      </w:r>
      <w:r w:rsidRPr="00B1733A">
        <w:rPr>
          <w:b/>
        </w:rPr>
        <w:t>.</w:t>
      </w:r>
      <w:r w:rsidR="00CD14A7">
        <w:rPr>
          <w:b/>
        </w:rPr>
        <w:t xml:space="preserve"> Revised</w:t>
      </w:r>
      <w:r w:rsidRPr="00B1733A">
        <w:rPr>
          <w:b/>
        </w:rPr>
        <w:t xml:space="preserve"> Annualized </w:t>
      </w:r>
      <w:r>
        <w:rPr>
          <w:b/>
        </w:rPr>
        <w:t>Burden Estimates for Data Collection Estimates</w:t>
      </w:r>
      <w:r w:rsidRPr="00B1733A">
        <w:rPr>
          <w:b/>
        </w:rPr>
        <w:t xml:space="preserve"> </w:t>
      </w:r>
    </w:p>
    <w:tbl>
      <w:tblPr>
        <w:tblStyle w:val="SMPRTableBlack"/>
        <w:tblW w:w="5250" w:type="pct"/>
        <w:tblInd w:w="-450" w:type="dxa"/>
        <w:tblLayout w:type="fixed"/>
        <w:tblLook w:val="0000" w:firstRow="0" w:lastRow="0" w:firstColumn="0" w:lastColumn="0" w:noHBand="0" w:noVBand="0"/>
      </w:tblPr>
      <w:tblGrid>
        <w:gridCol w:w="1722"/>
        <w:gridCol w:w="1410"/>
        <w:gridCol w:w="1306"/>
        <w:gridCol w:w="1310"/>
        <w:gridCol w:w="1310"/>
        <w:gridCol w:w="1215"/>
        <w:gridCol w:w="1109"/>
        <w:gridCol w:w="1202"/>
      </w:tblGrid>
      <w:tr w:rsidRPr="00866174" w:rsidR="00DF1AF7" w:rsidTr="008F1CC2" w14:paraId="5B4B9EEB" w14:textId="77777777">
        <w:tc>
          <w:tcPr>
            <w:tcW w:w="813" w:type="pct"/>
            <w:tcBorders>
              <w:top w:val="single" w:color="auto" w:sz="12" w:space="0"/>
              <w:bottom w:val="nil"/>
            </w:tcBorders>
            <w:shd w:val="clear" w:color="auto" w:fill="808080" w:themeFill="background1" w:themeFillShade="80"/>
          </w:tcPr>
          <w:p w:rsidRPr="00624318" w:rsidR="00DF1AF7" w:rsidP="008F1CC2" w:rsidRDefault="00DF1AF7" w14:paraId="0F9F24A2" w14:textId="77777777">
            <w:pPr>
              <w:pStyle w:val="TableHeaderLeft"/>
              <w:jc w:val="center"/>
              <w:rPr>
                <w:rFonts w:ascii="Arial" w:hAnsi="Arial" w:cs="Arial"/>
                <w:color w:val="FFFFFF" w:themeColor="background1"/>
                <w:szCs w:val="20"/>
              </w:rPr>
            </w:pPr>
            <w:r w:rsidRPr="00624318">
              <w:rPr>
                <w:rFonts w:ascii="Arial" w:hAnsi="Arial" w:cs="Arial"/>
                <w:color w:val="FFFFFF" w:themeColor="background1"/>
                <w:szCs w:val="20"/>
              </w:rPr>
              <w:t>Data Collection Activity</w:t>
            </w:r>
          </w:p>
        </w:tc>
        <w:tc>
          <w:tcPr>
            <w:tcW w:w="666" w:type="pct"/>
            <w:tcBorders>
              <w:top w:val="single" w:color="auto" w:sz="12" w:space="0"/>
              <w:bottom w:val="nil"/>
            </w:tcBorders>
            <w:shd w:val="clear" w:color="auto" w:fill="808080" w:themeFill="background1" w:themeFillShade="80"/>
          </w:tcPr>
          <w:p w:rsidRPr="00624318" w:rsidR="00DF1AF7" w:rsidP="008F1CC2" w:rsidRDefault="00DF1AF7" w14:paraId="674D251A" w14:textId="77777777">
            <w:pPr>
              <w:pStyle w:val="TableHeaderCenter"/>
              <w:rPr>
                <w:rFonts w:ascii="Arial" w:hAnsi="Arial" w:cs="Arial"/>
                <w:color w:val="FFFFFF" w:themeColor="background1"/>
                <w:szCs w:val="20"/>
              </w:rPr>
            </w:pPr>
            <w:r w:rsidRPr="00624318">
              <w:rPr>
                <w:rFonts w:ascii="Arial" w:hAnsi="Arial" w:cs="Arial"/>
                <w:color w:val="FFFFFF" w:themeColor="background1"/>
                <w:szCs w:val="20"/>
              </w:rPr>
              <w:t>Annual number of respondents</w:t>
            </w:r>
          </w:p>
        </w:tc>
        <w:tc>
          <w:tcPr>
            <w:tcW w:w="617" w:type="pct"/>
            <w:tcBorders>
              <w:top w:val="single" w:color="auto" w:sz="12" w:space="0"/>
              <w:bottom w:val="nil"/>
            </w:tcBorders>
            <w:shd w:val="clear" w:color="auto" w:fill="808080" w:themeFill="background1" w:themeFillShade="80"/>
          </w:tcPr>
          <w:p w:rsidRPr="00624318" w:rsidR="00DF1AF7" w:rsidP="008F1CC2" w:rsidRDefault="00DF1AF7" w14:paraId="159556E0" w14:textId="77777777">
            <w:pPr>
              <w:pStyle w:val="TableHeaderCenter"/>
              <w:rPr>
                <w:rFonts w:ascii="Arial" w:hAnsi="Arial" w:cs="Arial"/>
                <w:color w:val="FFFFFF" w:themeColor="background1"/>
                <w:szCs w:val="20"/>
              </w:rPr>
            </w:pPr>
            <w:r w:rsidRPr="00624318">
              <w:rPr>
                <w:rFonts w:ascii="Arial" w:hAnsi="Arial" w:cs="Arial"/>
                <w:color w:val="FFFFFF" w:themeColor="background1"/>
                <w:szCs w:val="20"/>
              </w:rPr>
              <w:t>Number of responses per respondent</w:t>
            </w:r>
          </w:p>
        </w:tc>
        <w:tc>
          <w:tcPr>
            <w:tcW w:w="619" w:type="pct"/>
            <w:tcBorders>
              <w:top w:val="single" w:color="auto" w:sz="12" w:space="0"/>
              <w:bottom w:val="nil"/>
            </w:tcBorders>
            <w:shd w:val="clear" w:color="auto" w:fill="808080" w:themeFill="background1" w:themeFillShade="80"/>
          </w:tcPr>
          <w:p w:rsidRPr="00624318" w:rsidR="00DF1AF7" w:rsidP="008F1CC2" w:rsidRDefault="00DF1AF7" w14:paraId="1D328F97" w14:textId="77777777">
            <w:pPr>
              <w:pStyle w:val="TableHeaderCenter"/>
              <w:rPr>
                <w:rFonts w:ascii="Arial" w:hAnsi="Arial" w:cs="Arial"/>
                <w:color w:val="FFFFFF" w:themeColor="background1"/>
                <w:szCs w:val="20"/>
              </w:rPr>
            </w:pPr>
            <w:r w:rsidRPr="00624318">
              <w:rPr>
                <w:rFonts w:ascii="Arial" w:hAnsi="Arial" w:cs="Arial"/>
                <w:color w:val="FFFFFF" w:themeColor="background1"/>
                <w:szCs w:val="20"/>
              </w:rPr>
              <w:t>Total Number of Responses</w:t>
            </w:r>
          </w:p>
        </w:tc>
        <w:tc>
          <w:tcPr>
            <w:tcW w:w="619" w:type="pct"/>
            <w:tcBorders>
              <w:top w:val="single" w:color="auto" w:sz="12" w:space="0"/>
              <w:bottom w:val="nil"/>
            </w:tcBorders>
            <w:shd w:val="clear" w:color="auto" w:fill="808080" w:themeFill="background1" w:themeFillShade="80"/>
          </w:tcPr>
          <w:p w:rsidRPr="00624318" w:rsidR="00DF1AF7" w:rsidP="008F1CC2" w:rsidRDefault="00DF1AF7" w14:paraId="37BB60E2" w14:textId="77777777">
            <w:pPr>
              <w:pStyle w:val="TableHeaderCenter"/>
              <w:rPr>
                <w:rFonts w:ascii="Arial" w:hAnsi="Arial" w:cs="Arial"/>
                <w:color w:val="FFFFFF" w:themeColor="background1"/>
                <w:szCs w:val="20"/>
              </w:rPr>
            </w:pPr>
            <w:r w:rsidRPr="00624318">
              <w:rPr>
                <w:rFonts w:ascii="Arial" w:hAnsi="Arial" w:cs="Arial"/>
                <w:color w:val="FFFFFF" w:themeColor="background1"/>
                <w:szCs w:val="20"/>
              </w:rPr>
              <w:t>Average burden per response (in Hours)</w:t>
            </w:r>
          </w:p>
        </w:tc>
        <w:tc>
          <w:tcPr>
            <w:tcW w:w="574" w:type="pct"/>
            <w:tcBorders>
              <w:top w:val="single" w:color="auto" w:sz="12" w:space="0"/>
              <w:bottom w:val="nil"/>
            </w:tcBorders>
            <w:shd w:val="clear" w:color="auto" w:fill="808080" w:themeFill="background1" w:themeFillShade="80"/>
          </w:tcPr>
          <w:p w:rsidRPr="00624318" w:rsidR="00DF1AF7" w:rsidP="008F1CC2" w:rsidRDefault="00DF1AF7" w14:paraId="2A808D74" w14:textId="77777777">
            <w:pPr>
              <w:pStyle w:val="TableHeaderCenter"/>
              <w:rPr>
                <w:rFonts w:ascii="Arial" w:hAnsi="Arial" w:cs="Arial"/>
                <w:color w:val="FFFFFF" w:themeColor="background1"/>
                <w:szCs w:val="20"/>
              </w:rPr>
            </w:pPr>
            <w:r w:rsidRPr="00624318">
              <w:rPr>
                <w:rFonts w:ascii="Arial" w:hAnsi="Arial" w:cs="Arial"/>
                <w:color w:val="FFFFFF" w:themeColor="background1"/>
                <w:szCs w:val="20"/>
              </w:rPr>
              <w:t>Annual</w:t>
            </w:r>
            <w:r w:rsidRPr="00624318">
              <w:rPr>
                <w:rFonts w:ascii="Arial" w:hAnsi="Arial" w:cs="Arial"/>
                <w:color w:val="FFFFFF" w:themeColor="background1"/>
                <w:szCs w:val="20"/>
              </w:rPr>
              <w:br/>
              <w:t>estimated burden hours</w:t>
            </w:r>
          </w:p>
        </w:tc>
        <w:tc>
          <w:tcPr>
            <w:tcW w:w="524" w:type="pct"/>
            <w:tcBorders>
              <w:top w:val="single" w:color="auto" w:sz="12" w:space="0"/>
              <w:bottom w:val="nil"/>
            </w:tcBorders>
            <w:shd w:val="clear" w:color="auto" w:fill="808080" w:themeFill="background1" w:themeFillShade="80"/>
          </w:tcPr>
          <w:p w:rsidRPr="00624318" w:rsidR="00DF1AF7" w:rsidP="008F1CC2" w:rsidRDefault="00DF1AF7" w14:paraId="20BF5C55" w14:textId="77777777">
            <w:pPr>
              <w:pStyle w:val="TableHeaderCenter"/>
              <w:rPr>
                <w:rFonts w:ascii="Arial" w:hAnsi="Arial" w:cs="Arial"/>
                <w:color w:val="FFFFFF" w:themeColor="background1"/>
                <w:szCs w:val="20"/>
              </w:rPr>
            </w:pPr>
            <w:r w:rsidRPr="00624318">
              <w:rPr>
                <w:rFonts w:ascii="Arial" w:hAnsi="Arial" w:cs="Arial"/>
                <w:color w:val="FFFFFF" w:themeColor="background1"/>
                <w:szCs w:val="20"/>
              </w:rPr>
              <w:t>Average hourly</w:t>
            </w:r>
            <w:r>
              <w:rPr>
                <w:rFonts w:ascii="Arial" w:hAnsi="Arial" w:cs="Arial"/>
                <w:color w:val="FFFFFF" w:themeColor="background1"/>
                <w:szCs w:val="20"/>
              </w:rPr>
              <w:t xml:space="preserve"> wage</w:t>
            </w:r>
            <w:r w:rsidRPr="00624318">
              <w:rPr>
                <w:rFonts w:ascii="Arial" w:hAnsi="Arial" w:cs="Arial"/>
                <w:color w:val="FFFFFF" w:themeColor="background1"/>
                <w:szCs w:val="20"/>
              </w:rPr>
              <w:t xml:space="preserve"> </w:t>
            </w:r>
            <w:r w:rsidRPr="00624318">
              <w:rPr>
                <w:rFonts w:ascii="Arial" w:hAnsi="Arial" w:cs="Arial"/>
                <w:color w:val="FFFFFF" w:themeColor="background1"/>
                <w:szCs w:val="20"/>
                <w:vertAlign w:val="superscript"/>
              </w:rPr>
              <w:t>a</w:t>
            </w:r>
          </w:p>
        </w:tc>
        <w:tc>
          <w:tcPr>
            <w:tcW w:w="568" w:type="pct"/>
            <w:tcBorders>
              <w:top w:val="single" w:color="auto" w:sz="12" w:space="0"/>
              <w:bottom w:val="nil"/>
            </w:tcBorders>
            <w:shd w:val="clear" w:color="auto" w:fill="808080" w:themeFill="background1" w:themeFillShade="80"/>
          </w:tcPr>
          <w:p w:rsidRPr="00624318" w:rsidR="00DF1AF7" w:rsidP="008F1CC2" w:rsidRDefault="00DF1AF7" w14:paraId="6845DD67" w14:textId="77777777">
            <w:pPr>
              <w:pStyle w:val="TableHeaderCenter"/>
              <w:rPr>
                <w:rFonts w:ascii="Arial" w:hAnsi="Arial" w:cs="Arial"/>
                <w:color w:val="FFFFFF" w:themeColor="background1"/>
                <w:szCs w:val="20"/>
              </w:rPr>
            </w:pPr>
            <w:r w:rsidRPr="00624318">
              <w:rPr>
                <w:rFonts w:ascii="Arial" w:hAnsi="Arial" w:cs="Arial"/>
                <w:color w:val="FFFFFF" w:themeColor="background1"/>
                <w:szCs w:val="20"/>
              </w:rPr>
              <w:t>Annual monetized burden hours</w:t>
            </w:r>
          </w:p>
        </w:tc>
      </w:tr>
      <w:tr w:rsidRPr="00657610" w:rsidR="00DF1AF7" w:rsidTr="008F1CC2" w14:paraId="7CB71A4A" w14:textId="77777777">
        <w:tc>
          <w:tcPr>
            <w:tcW w:w="813" w:type="pct"/>
            <w:tcBorders>
              <w:top w:val="nil"/>
              <w:bottom w:val="nil"/>
            </w:tcBorders>
            <w:vAlign w:val="center"/>
          </w:tcPr>
          <w:p w:rsidRPr="00624318" w:rsidR="00DF1AF7" w:rsidP="008F1CC2" w:rsidRDefault="00DF1AF7" w14:paraId="7F1C89CA" w14:textId="77777777">
            <w:pPr>
              <w:pStyle w:val="TableText"/>
              <w:spacing w:before="60" w:after="60"/>
              <w:rPr>
                <w:rFonts w:ascii="Arial" w:hAnsi="Arial" w:cs="Arial"/>
                <w:szCs w:val="20"/>
              </w:rPr>
            </w:pPr>
            <w:r w:rsidRPr="00624318">
              <w:rPr>
                <w:rFonts w:ascii="Arial" w:hAnsi="Arial" w:cs="Arial"/>
                <w:szCs w:val="20"/>
              </w:rPr>
              <w:t>Semi-structured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624318">
              <w:rPr>
                <w:rFonts w:ascii="Arial" w:hAnsi="Arial" w:cs="Arial"/>
                <w:szCs w:val="20"/>
              </w:rPr>
              <w:t>in-person</w:t>
            </w:r>
            <w:r>
              <w:rPr>
                <w:rFonts w:ascii="Arial" w:hAnsi="Arial" w:cs="Arial"/>
                <w:szCs w:val="20"/>
              </w:rPr>
              <w:t xml:space="preserve"> and telephone</w:t>
            </w:r>
            <w:r w:rsidRPr="00624318">
              <w:rPr>
                <w:rFonts w:ascii="Arial" w:hAnsi="Arial" w:cs="Arial"/>
                <w:szCs w:val="20"/>
              </w:rPr>
              <w:t xml:space="preserve"> interviews with </w:t>
            </w:r>
            <w:r>
              <w:rPr>
                <w:rFonts w:ascii="Arial" w:hAnsi="Arial" w:cs="Arial"/>
                <w:b/>
                <w:szCs w:val="20"/>
              </w:rPr>
              <w:t>s</w:t>
            </w:r>
            <w:r w:rsidRPr="00223E04">
              <w:rPr>
                <w:rFonts w:ascii="Arial" w:hAnsi="Arial" w:cs="Arial"/>
                <w:b/>
                <w:szCs w:val="20"/>
              </w:rPr>
              <w:t>tate</w:t>
            </w:r>
            <w:r w:rsidRPr="00624318">
              <w:rPr>
                <w:rFonts w:ascii="Arial" w:hAnsi="Arial" w:cs="Arial"/>
                <w:szCs w:val="20"/>
              </w:rPr>
              <w:t xml:space="preserve"> UI/RESEA administrators</w:t>
            </w:r>
          </w:p>
        </w:tc>
        <w:tc>
          <w:tcPr>
            <w:tcW w:w="666" w:type="pct"/>
            <w:tcBorders>
              <w:top w:val="nil"/>
              <w:bottom w:val="nil"/>
            </w:tcBorders>
            <w:vAlign w:val="center"/>
          </w:tcPr>
          <w:p w:rsidRPr="00624318" w:rsidR="00DF1AF7" w:rsidP="008F1CC2" w:rsidRDefault="00DF1AF7" w14:paraId="04DF0438" w14:textId="77777777">
            <w:pPr>
              <w:pStyle w:val="TableText"/>
              <w:spacing w:before="60" w:after="60"/>
              <w:ind w:right="144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25</w:t>
            </w:r>
          </w:p>
        </w:tc>
        <w:tc>
          <w:tcPr>
            <w:tcW w:w="617" w:type="pct"/>
            <w:tcBorders>
              <w:top w:val="nil"/>
              <w:bottom w:val="nil"/>
            </w:tcBorders>
            <w:vAlign w:val="center"/>
          </w:tcPr>
          <w:p w:rsidRPr="00624318" w:rsidR="00DF1AF7" w:rsidP="008F1CC2" w:rsidRDefault="00DF1AF7" w14:paraId="7AB1994E" w14:textId="77777777">
            <w:pPr>
              <w:pStyle w:val="TableText"/>
              <w:spacing w:before="60" w:after="60"/>
              <w:ind w:right="144"/>
              <w:jc w:val="right"/>
              <w:rPr>
                <w:rFonts w:ascii="Arial" w:hAnsi="Arial" w:cs="Arial"/>
                <w:szCs w:val="20"/>
              </w:rPr>
            </w:pPr>
            <w:r w:rsidRPr="00624318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619" w:type="pct"/>
            <w:tcBorders>
              <w:top w:val="nil"/>
              <w:bottom w:val="nil"/>
            </w:tcBorders>
            <w:vAlign w:val="center"/>
          </w:tcPr>
          <w:p w:rsidRPr="00624318" w:rsidR="00DF1AF7" w:rsidP="008F1CC2" w:rsidRDefault="00DF1AF7" w14:paraId="0A5331B0" w14:textId="77777777">
            <w:pPr>
              <w:pStyle w:val="TableText"/>
              <w:spacing w:before="60" w:after="60"/>
              <w:ind w:right="144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25</w:t>
            </w:r>
          </w:p>
        </w:tc>
        <w:tc>
          <w:tcPr>
            <w:tcW w:w="619" w:type="pct"/>
            <w:tcBorders>
              <w:top w:val="nil"/>
              <w:bottom w:val="nil"/>
            </w:tcBorders>
            <w:vAlign w:val="center"/>
          </w:tcPr>
          <w:p w:rsidRPr="00624318" w:rsidR="00DF1AF7" w:rsidP="008F1CC2" w:rsidRDefault="00DF1AF7" w14:paraId="34A5D33A" w14:textId="77777777">
            <w:pPr>
              <w:pStyle w:val="TableText"/>
              <w:spacing w:before="60" w:after="60"/>
              <w:ind w:right="144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1.32</w:t>
            </w:r>
          </w:p>
        </w:tc>
        <w:tc>
          <w:tcPr>
            <w:tcW w:w="574" w:type="pct"/>
            <w:tcBorders>
              <w:top w:val="nil"/>
              <w:bottom w:val="nil"/>
            </w:tcBorders>
            <w:vAlign w:val="center"/>
          </w:tcPr>
          <w:p w:rsidRPr="00624318" w:rsidR="00DF1AF7" w:rsidP="008F1CC2" w:rsidRDefault="00DF1AF7" w14:paraId="58A52AF1" w14:textId="77777777">
            <w:pPr>
              <w:pStyle w:val="TableText"/>
              <w:spacing w:before="60" w:after="60"/>
              <w:ind w:right="144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33</w:t>
            </w:r>
          </w:p>
        </w:tc>
        <w:tc>
          <w:tcPr>
            <w:tcW w:w="524" w:type="pct"/>
            <w:tcBorders>
              <w:top w:val="nil"/>
              <w:bottom w:val="nil"/>
            </w:tcBorders>
            <w:vAlign w:val="center"/>
          </w:tcPr>
          <w:p w:rsidRPr="00624318" w:rsidR="00DF1AF7" w:rsidDel="00584494" w:rsidP="008F1CC2" w:rsidRDefault="00900020" w14:paraId="536D3558" w14:textId="726C20B3">
            <w:pPr>
              <w:pStyle w:val="TableText"/>
              <w:spacing w:before="60" w:after="60"/>
              <w:ind w:right="144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$43.90</w:t>
            </w:r>
          </w:p>
        </w:tc>
        <w:tc>
          <w:tcPr>
            <w:tcW w:w="568" w:type="pct"/>
            <w:tcBorders>
              <w:top w:val="nil"/>
              <w:bottom w:val="nil"/>
            </w:tcBorders>
            <w:vAlign w:val="center"/>
          </w:tcPr>
          <w:p w:rsidRPr="00624318" w:rsidR="00DF1AF7" w:rsidP="008F1CC2" w:rsidRDefault="00DF1AF7" w14:paraId="1FA449FC" w14:textId="4BE279DF">
            <w:pPr>
              <w:pStyle w:val="TableText"/>
              <w:spacing w:before="60" w:after="60"/>
              <w:ind w:right="144"/>
              <w:jc w:val="right"/>
              <w:rPr>
                <w:rFonts w:ascii="Arial" w:hAnsi="Arial" w:cs="Arial"/>
                <w:szCs w:val="20"/>
              </w:rPr>
            </w:pPr>
            <w:r w:rsidRPr="00624318">
              <w:rPr>
                <w:rFonts w:ascii="Arial" w:hAnsi="Arial" w:cs="Arial"/>
                <w:szCs w:val="20"/>
              </w:rPr>
              <w:t>$</w:t>
            </w:r>
            <w:r w:rsidR="00900020">
              <w:rPr>
                <w:rFonts w:ascii="Arial" w:hAnsi="Arial" w:cs="Arial"/>
                <w:szCs w:val="20"/>
              </w:rPr>
              <w:t>1,449</w:t>
            </w:r>
            <w:r w:rsidRPr="00624318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Pr="00657610" w:rsidR="00DF1AF7" w:rsidTr="008F1CC2" w14:paraId="1EC8252B" w14:textId="77777777">
        <w:tc>
          <w:tcPr>
            <w:tcW w:w="813" w:type="pct"/>
            <w:tcBorders>
              <w:top w:val="nil"/>
              <w:bottom w:val="nil"/>
            </w:tcBorders>
            <w:vAlign w:val="center"/>
          </w:tcPr>
          <w:p w:rsidRPr="00624318" w:rsidR="00DF1AF7" w:rsidP="008F1CC2" w:rsidRDefault="00DF1AF7" w14:paraId="17788F9B" w14:textId="77777777">
            <w:pPr>
              <w:pStyle w:val="TableText"/>
              <w:spacing w:before="60" w:after="60"/>
              <w:rPr>
                <w:rFonts w:ascii="Arial" w:hAnsi="Arial" w:cs="Arial"/>
                <w:szCs w:val="20"/>
              </w:rPr>
            </w:pPr>
            <w:r w:rsidRPr="00624318">
              <w:rPr>
                <w:rFonts w:ascii="Arial" w:hAnsi="Arial" w:cs="Arial"/>
                <w:szCs w:val="20"/>
              </w:rPr>
              <w:t xml:space="preserve">Semi-structured in-person interviews with </w:t>
            </w:r>
            <w:r w:rsidRPr="00223E04">
              <w:rPr>
                <w:rFonts w:ascii="Arial" w:hAnsi="Arial" w:cs="Arial"/>
                <w:b/>
                <w:szCs w:val="20"/>
              </w:rPr>
              <w:t>local</w:t>
            </w:r>
            <w:r w:rsidRPr="00624318">
              <w:rPr>
                <w:rFonts w:ascii="Arial" w:hAnsi="Arial" w:cs="Arial"/>
                <w:szCs w:val="20"/>
              </w:rPr>
              <w:t xml:space="preserve"> WDB administrators</w:t>
            </w:r>
            <w:r>
              <w:rPr>
                <w:rFonts w:ascii="Arial" w:hAnsi="Arial" w:cs="Arial"/>
                <w:szCs w:val="20"/>
              </w:rPr>
              <w:t xml:space="preserve"> and AJC administrators/ staff</w:t>
            </w:r>
          </w:p>
        </w:tc>
        <w:tc>
          <w:tcPr>
            <w:tcW w:w="666" w:type="pct"/>
            <w:tcBorders>
              <w:top w:val="nil"/>
              <w:bottom w:val="nil"/>
            </w:tcBorders>
            <w:vAlign w:val="center"/>
          </w:tcPr>
          <w:p w:rsidRPr="00624318" w:rsidR="00DF1AF7" w:rsidP="008F1CC2" w:rsidRDefault="00DF1AF7" w14:paraId="0729F791" w14:textId="77777777">
            <w:pPr>
              <w:pStyle w:val="TableText"/>
              <w:spacing w:before="60" w:after="60"/>
              <w:ind w:right="144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53</w:t>
            </w:r>
          </w:p>
        </w:tc>
        <w:tc>
          <w:tcPr>
            <w:tcW w:w="617" w:type="pct"/>
            <w:tcBorders>
              <w:top w:val="nil"/>
              <w:bottom w:val="nil"/>
            </w:tcBorders>
            <w:vAlign w:val="center"/>
          </w:tcPr>
          <w:p w:rsidRPr="00624318" w:rsidR="00DF1AF7" w:rsidP="008F1CC2" w:rsidRDefault="00DF1AF7" w14:paraId="700B2960" w14:textId="77777777">
            <w:pPr>
              <w:pStyle w:val="TableText"/>
              <w:spacing w:before="60" w:after="60"/>
              <w:ind w:right="144"/>
              <w:jc w:val="right"/>
              <w:rPr>
                <w:rFonts w:ascii="Arial" w:hAnsi="Arial" w:cs="Arial"/>
                <w:szCs w:val="20"/>
              </w:rPr>
            </w:pPr>
            <w:r w:rsidRPr="00624318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619" w:type="pct"/>
            <w:tcBorders>
              <w:top w:val="nil"/>
              <w:bottom w:val="nil"/>
            </w:tcBorders>
            <w:vAlign w:val="center"/>
          </w:tcPr>
          <w:p w:rsidRPr="00624318" w:rsidR="00DF1AF7" w:rsidP="008F1CC2" w:rsidRDefault="00DF1AF7" w14:paraId="773F2E73" w14:textId="77777777">
            <w:pPr>
              <w:pStyle w:val="TableText"/>
              <w:spacing w:before="60" w:after="60"/>
              <w:ind w:right="144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53</w:t>
            </w:r>
          </w:p>
        </w:tc>
        <w:tc>
          <w:tcPr>
            <w:tcW w:w="619" w:type="pct"/>
            <w:tcBorders>
              <w:top w:val="nil"/>
              <w:bottom w:val="nil"/>
            </w:tcBorders>
            <w:vAlign w:val="center"/>
          </w:tcPr>
          <w:p w:rsidRPr="00624318" w:rsidR="00DF1AF7" w:rsidP="008F1CC2" w:rsidRDefault="00DF1AF7" w14:paraId="4DE5E53E" w14:textId="77777777">
            <w:pPr>
              <w:pStyle w:val="TableText"/>
              <w:spacing w:before="60" w:after="60"/>
              <w:ind w:right="144"/>
              <w:jc w:val="right"/>
              <w:rPr>
                <w:rFonts w:ascii="Arial" w:hAnsi="Arial" w:cs="Arial"/>
                <w:szCs w:val="20"/>
              </w:rPr>
            </w:pPr>
            <w:r w:rsidRPr="00624318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574" w:type="pct"/>
            <w:tcBorders>
              <w:top w:val="nil"/>
              <w:bottom w:val="nil"/>
            </w:tcBorders>
            <w:vAlign w:val="center"/>
          </w:tcPr>
          <w:p w:rsidRPr="00624318" w:rsidR="00DF1AF7" w:rsidP="008F1CC2" w:rsidRDefault="00DF1AF7" w14:paraId="079851EB" w14:textId="77777777">
            <w:pPr>
              <w:pStyle w:val="TableText"/>
              <w:spacing w:before="60" w:after="60"/>
              <w:ind w:right="144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53</w:t>
            </w:r>
          </w:p>
        </w:tc>
        <w:tc>
          <w:tcPr>
            <w:tcW w:w="524" w:type="pct"/>
            <w:tcBorders>
              <w:top w:val="nil"/>
              <w:bottom w:val="nil"/>
            </w:tcBorders>
            <w:vAlign w:val="center"/>
          </w:tcPr>
          <w:p w:rsidRPr="00624318" w:rsidR="00DF1AF7" w:rsidP="008F1CC2" w:rsidRDefault="00900020" w14:paraId="798B6867" w14:textId="0C2480F9">
            <w:pPr>
              <w:pStyle w:val="TableText"/>
              <w:spacing w:before="60" w:after="60"/>
              <w:ind w:right="144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$43.90</w:t>
            </w:r>
          </w:p>
        </w:tc>
        <w:tc>
          <w:tcPr>
            <w:tcW w:w="568" w:type="pct"/>
            <w:tcBorders>
              <w:top w:val="nil"/>
              <w:bottom w:val="nil"/>
            </w:tcBorders>
            <w:vAlign w:val="center"/>
          </w:tcPr>
          <w:p w:rsidRPr="00624318" w:rsidR="00DF1AF7" w:rsidP="008F1CC2" w:rsidRDefault="00DF1AF7" w14:paraId="743134EC" w14:textId="291339B4">
            <w:pPr>
              <w:pStyle w:val="TableText"/>
              <w:spacing w:before="60" w:after="60"/>
              <w:ind w:right="144"/>
              <w:jc w:val="right"/>
              <w:rPr>
                <w:rFonts w:ascii="Arial" w:hAnsi="Arial" w:cs="Arial"/>
                <w:szCs w:val="20"/>
              </w:rPr>
            </w:pPr>
            <w:r w:rsidRPr="00624318">
              <w:rPr>
                <w:rFonts w:ascii="Arial" w:hAnsi="Arial" w:cs="Arial"/>
                <w:szCs w:val="20"/>
              </w:rPr>
              <w:t>$</w:t>
            </w:r>
            <w:r w:rsidR="00900020">
              <w:rPr>
                <w:rFonts w:ascii="Arial" w:hAnsi="Arial" w:cs="Arial"/>
                <w:szCs w:val="20"/>
              </w:rPr>
              <w:t>2,327</w:t>
            </w:r>
            <w:r w:rsidRPr="00624318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Pr="00657610" w:rsidR="00DF1AF7" w:rsidTr="008F1CC2" w14:paraId="04FF38F0" w14:textId="77777777">
        <w:tc>
          <w:tcPr>
            <w:tcW w:w="813" w:type="pct"/>
            <w:tcBorders>
              <w:top w:val="nil"/>
              <w:bottom w:val="nil"/>
            </w:tcBorders>
            <w:vAlign w:val="center"/>
          </w:tcPr>
          <w:p w:rsidRPr="00624318" w:rsidR="00DF1AF7" w:rsidP="008F1CC2" w:rsidRDefault="00DF1AF7" w14:paraId="7F469798" w14:textId="77777777">
            <w:pPr>
              <w:pStyle w:val="TableText"/>
              <w:spacing w:before="60" w:after="60"/>
              <w:rPr>
                <w:rFonts w:ascii="Arial" w:hAnsi="Arial" w:cs="Arial"/>
                <w:szCs w:val="20"/>
              </w:rPr>
            </w:pPr>
            <w:r w:rsidRPr="003F3089">
              <w:rPr>
                <w:rFonts w:ascii="Arial" w:hAnsi="Arial" w:cs="Arial"/>
                <w:szCs w:val="20"/>
              </w:rPr>
              <w:t>Web-based survey instrument for State RESEA administrators</w:t>
            </w:r>
          </w:p>
        </w:tc>
        <w:tc>
          <w:tcPr>
            <w:tcW w:w="666" w:type="pct"/>
            <w:tcBorders>
              <w:top w:val="nil"/>
              <w:bottom w:val="nil"/>
            </w:tcBorders>
            <w:vAlign w:val="center"/>
          </w:tcPr>
          <w:p w:rsidR="00DF1AF7" w:rsidP="008F1CC2" w:rsidRDefault="00DF1AF7" w14:paraId="52328C2B" w14:textId="77777777">
            <w:pPr>
              <w:pStyle w:val="TableText"/>
              <w:spacing w:before="60" w:after="60"/>
              <w:ind w:right="144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</w:p>
        </w:tc>
        <w:tc>
          <w:tcPr>
            <w:tcW w:w="617" w:type="pct"/>
            <w:tcBorders>
              <w:top w:val="nil"/>
              <w:bottom w:val="nil"/>
            </w:tcBorders>
            <w:vAlign w:val="center"/>
          </w:tcPr>
          <w:p w:rsidRPr="00624318" w:rsidR="00DF1AF7" w:rsidP="008F1CC2" w:rsidRDefault="00DF1AF7" w14:paraId="78382176" w14:textId="77777777">
            <w:pPr>
              <w:pStyle w:val="TableText"/>
              <w:spacing w:before="60" w:after="60"/>
              <w:ind w:right="144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619" w:type="pct"/>
            <w:tcBorders>
              <w:top w:val="nil"/>
              <w:bottom w:val="nil"/>
            </w:tcBorders>
            <w:vAlign w:val="center"/>
          </w:tcPr>
          <w:p w:rsidR="00DF1AF7" w:rsidP="008F1CC2" w:rsidRDefault="00DF1AF7" w14:paraId="1C68B5E3" w14:textId="77777777">
            <w:pPr>
              <w:pStyle w:val="TableText"/>
              <w:spacing w:before="60" w:after="60"/>
              <w:ind w:right="144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52</w:t>
            </w:r>
          </w:p>
        </w:tc>
        <w:tc>
          <w:tcPr>
            <w:tcW w:w="619" w:type="pct"/>
            <w:tcBorders>
              <w:top w:val="nil"/>
              <w:bottom w:val="nil"/>
            </w:tcBorders>
            <w:vAlign w:val="center"/>
          </w:tcPr>
          <w:p w:rsidRPr="00624318" w:rsidR="00DF1AF7" w:rsidP="008F1CC2" w:rsidRDefault="00DF1AF7" w14:paraId="78168F6A" w14:textId="77777777">
            <w:pPr>
              <w:pStyle w:val="TableText"/>
              <w:spacing w:before="60" w:after="60"/>
              <w:ind w:right="144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0.75</w:t>
            </w:r>
          </w:p>
        </w:tc>
        <w:tc>
          <w:tcPr>
            <w:tcW w:w="574" w:type="pct"/>
            <w:tcBorders>
              <w:top w:val="nil"/>
              <w:bottom w:val="nil"/>
            </w:tcBorders>
            <w:vAlign w:val="center"/>
          </w:tcPr>
          <w:p w:rsidR="00DF1AF7" w:rsidP="008F1CC2" w:rsidRDefault="00900020" w14:paraId="1488E06E" w14:textId="180C2CF7">
            <w:pPr>
              <w:pStyle w:val="TableText"/>
              <w:spacing w:before="60" w:after="60"/>
              <w:ind w:right="144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38</w:t>
            </w:r>
          </w:p>
        </w:tc>
        <w:tc>
          <w:tcPr>
            <w:tcW w:w="524" w:type="pct"/>
            <w:tcBorders>
              <w:top w:val="nil"/>
              <w:bottom w:val="nil"/>
            </w:tcBorders>
            <w:vAlign w:val="center"/>
          </w:tcPr>
          <w:p w:rsidRPr="00624318" w:rsidR="00DF1AF7" w:rsidP="008F1CC2" w:rsidRDefault="00900020" w14:paraId="62168672" w14:textId="0FE39169">
            <w:pPr>
              <w:pStyle w:val="TableText"/>
              <w:spacing w:before="60" w:after="60"/>
              <w:ind w:right="144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$43.90</w:t>
            </w:r>
          </w:p>
        </w:tc>
        <w:tc>
          <w:tcPr>
            <w:tcW w:w="568" w:type="pct"/>
            <w:tcBorders>
              <w:top w:val="nil"/>
              <w:bottom w:val="nil"/>
            </w:tcBorders>
            <w:vAlign w:val="center"/>
          </w:tcPr>
          <w:p w:rsidRPr="00624318" w:rsidR="00DF1AF7" w:rsidP="008F1CC2" w:rsidRDefault="00DF1AF7" w14:paraId="15309CE2" w14:textId="183B3BA9">
            <w:pPr>
              <w:pStyle w:val="TableText"/>
              <w:spacing w:before="60" w:after="60"/>
              <w:ind w:right="144"/>
              <w:jc w:val="right"/>
              <w:rPr>
                <w:rFonts w:ascii="Arial" w:hAnsi="Arial" w:cs="Arial"/>
                <w:szCs w:val="20"/>
              </w:rPr>
            </w:pPr>
            <w:r w:rsidRPr="00624318">
              <w:rPr>
                <w:rFonts w:ascii="Arial" w:hAnsi="Arial" w:cs="Arial"/>
                <w:szCs w:val="20"/>
              </w:rPr>
              <w:t>$</w:t>
            </w:r>
            <w:r w:rsidR="00900020">
              <w:rPr>
                <w:rFonts w:ascii="Arial" w:hAnsi="Arial" w:cs="Arial"/>
                <w:szCs w:val="20"/>
              </w:rPr>
              <w:t>1,668</w:t>
            </w:r>
          </w:p>
        </w:tc>
      </w:tr>
      <w:tr w:rsidRPr="0094551C" w:rsidR="00DF1AF7" w:rsidTr="008F1CC2" w14:paraId="446FC077" w14:textId="77777777">
        <w:tc>
          <w:tcPr>
            <w:tcW w:w="81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624318" w:rsidR="00DF1AF7" w:rsidP="008F1CC2" w:rsidRDefault="00DF1AF7" w14:paraId="4E37F075" w14:textId="77777777">
            <w:pPr>
              <w:pStyle w:val="TableText"/>
              <w:tabs>
                <w:tab w:val="decimal" w:pos="489"/>
              </w:tabs>
              <w:spacing w:before="60" w:after="60"/>
              <w:outlineLvl w:val="6"/>
              <w:rPr>
                <w:rFonts w:ascii="Arial" w:hAnsi="Arial" w:cs="Arial"/>
                <w:b/>
                <w:szCs w:val="20"/>
              </w:rPr>
            </w:pPr>
            <w:r w:rsidRPr="00624318">
              <w:rPr>
                <w:rFonts w:ascii="Arial" w:hAnsi="Arial" w:cs="Arial"/>
                <w:b/>
                <w:szCs w:val="20"/>
              </w:rPr>
              <w:t>Unduplicated Total (Annual)</w:t>
            </w:r>
          </w:p>
        </w:tc>
        <w:tc>
          <w:tcPr>
            <w:tcW w:w="6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624318" w:rsidR="00DF1AF7" w:rsidP="008F1CC2" w:rsidRDefault="00DF1AF7" w14:paraId="531084DB" w14:textId="77777777">
            <w:pPr>
              <w:pStyle w:val="TableText"/>
              <w:spacing w:before="60" w:after="60"/>
              <w:ind w:right="144"/>
              <w:jc w:val="right"/>
              <w:outlineLvl w:val="6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95</w:t>
            </w:r>
          </w:p>
        </w:tc>
        <w:tc>
          <w:tcPr>
            <w:tcW w:w="61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624318" w:rsidR="00DF1AF7" w:rsidP="008F1CC2" w:rsidRDefault="00DF1AF7" w14:paraId="3BC5A2EB" w14:textId="77777777">
            <w:pPr>
              <w:pStyle w:val="TableText"/>
              <w:tabs>
                <w:tab w:val="decimal" w:pos="916"/>
              </w:tabs>
              <w:spacing w:before="60" w:after="60"/>
              <w:ind w:right="144"/>
              <w:jc w:val="right"/>
              <w:outlineLvl w:val="6"/>
              <w:rPr>
                <w:rFonts w:ascii="Arial" w:hAnsi="Arial" w:cs="Arial"/>
                <w:b/>
                <w:szCs w:val="20"/>
              </w:rPr>
            </w:pPr>
            <w:r w:rsidRPr="00624318">
              <w:rPr>
                <w:rFonts w:ascii="Arial" w:hAnsi="Arial" w:cs="Arial"/>
                <w:b/>
                <w:szCs w:val="20"/>
              </w:rPr>
              <w:t>--</w:t>
            </w:r>
          </w:p>
        </w:tc>
        <w:tc>
          <w:tcPr>
            <w:tcW w:w="61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624318" w:rsidR="00DF1AF7" w:rsidP="008F1CC2" w:rsidRDefault="00900020" w14:paraId="2807F7A6" w14:textId="4EF7AC2B">
            <w:pPr>
              <w:pStyle w:val="TableText"/>
              <w:tabs>
                <w:tab w:val="decimal" w:pos="496"/>
              </w:tabs>
              <w:spacing w:before="60" w:after="60"/>
              <w:ind w:right="144"/>
              <w:jc w:val="right"/>
              <w:outlineLvl w:val="6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129</w:t>
            </w:r>
          </w:p>
        </w:tc>
        <w:tc>
          <w:tcPr>
            <w:tcW w:w="61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624318" w:rsidR="00DF1AF7" w:rsidP="008F1CC2" w:rsidRDefault="00DF1AF7" w14:paraId="54B472D2" w14:textId="77777777">
            <w:pPr>
              <w:pStyle w:val="TableText"/>
              <w:tabs>
                <w:tab w:val="decimal" w:pos="496"/>
              </w:tabs>
              <w:spacing w:before="60" w:after="60"/>
              <w:ind w:right="144"/>
              <w:jc w:val="righ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624318" w:rsidR="00DF1AF7" w:rsidP="008F1CC2" w:rsidRDefault="00900020" w14:paraId="29A5C220" w14:textId="7B92212B">
            <w:pPr>
              <w:pStyle w:val="TableText"/>
              <w:tabs>
                <w:tab w:val="decimal" w:pos="489"/>
              </w:tabs>
              <w:spacing w:before="60" w:after="60"/>
              <w:ind w:right="144"/>
              <w:jc w:val="right"/>
              <w:outlineLvl w:val="6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124</w:t>
            </w:r>
          </w:p>
        </w:tc>
        <w:tc>
          <w:tcPr>
            <w:tcW w:w="52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624318" w:rsidR="00DF1AF7" w:rsidP="008F1CC2" w:rsidRDefault="00DF1AF7" w14:paraId="57150550" w14:textId="77777777">
            <w:pPr>
              <w:pStyle w:val="TableText"/>
              <w:tabs>
                <w:tab w:val="decimal" w:pos="512"/>
              </w:tabs>
              <w:spacing w:before="60" w:after="60"/>
              <w:ind w:right="144"/>
              <w:jc w:val="righ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6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624318" w:rsidR="00DF1AF7" w:rsidP="008F1CC2" w:rsidRDefault="00DF1AF7" w14:paraId="5C79B709" w14:textId="69094ADA">
            <w:pPr>
              <w:pStyle w:val="TableText"/>
              <w:tabs>
                <w:tab w:val="decimal" w:pos="836"/>
              </w:tabs>
              <w:spacing w:before="60" w:after="60"/>
              <w:ind w:right="144"/>
              <w:jc w:val="right"/>
              <w:outlineLvl w:val="6"/>
              <w:rPr>
                <w:rFonts w:ascii="Arial" w:hAnsi="Arial" w:cs="Arial"/>
                <w:b/>
                <w:szCs w:val="20"/>
              </w:rPr>
            </w:pPr>
            <w:r w:rsidRPr="00624318">
              <w:rPr>
                <w:rFonts w:ascii="Arial" w:hAnsi="Arial" w:cs="Arial"/>
                <w:color w:val="000000"/>
                <w:szCs w:val="20"/>
              </w:rPr>
              <w:t>$</w:t>
            </w:r>
            <w:r>
              <w:rPr>
                <w:rFonts w:ascii="Arial" w:hAnsi="Arial" w:cs="Arial"/>
                <w:color w:val="000000"/>
                <w:szCs w:val="20"/>
              </w:rPr>
              <w:t>5</w:t>
            </w:r>
            <w:r w:rsidRPr="00624318">
              <w:rPr>
                <w:rFonts w:ascii="Arial" w:hAnsi="Arial" w:cs="Arial"/>
                <w:color w:val="000000"/>
                <w:szCs w:val="20"/>
              </w:rPr>
              <w:t>,</w:t>
            </w:r>
            <w:r w:rsidR="00900020">
              <w:rPr>
                <w:rFonts w:ascii="Arial" w:hAnsi="Arial" w:cs="Arial"/>
                <w:color w:val="000000"/>
                <w:szCs w:val="20"/>
              </w:rPr>
              <w:t>444</w:t>
            </w:r>
          </w:p>
        </w:tc>
      </w:tr>
    </w:tbl>
    <w:p w:rsidR="00900020" w:rsidP="00DF1AF7" w:rsidRDefault="00900020" w14:paraId="6C443FFB" w14:textId="77777777">
      <w:pPr>
        <w:pStyle w:val="MarkforTableHeading"/>
        <w:rPr>
          <w:rFonts w:ascii="Times New Roman" w:hAnsi="Times New Roman"/>
          <w:b w:val="0"/>
          <w:sz w:val="20"/>
          <w:szCs w:val="20"/>
        </w:rPr>
      </w:pPr>
    </w:p>
    <w:p w:rsidRPr="00900020" w:rsidR="00900020" w:rsidP="00900020" w:rsidRDefault="00900020" w14:paraId="1CEE1590" w14:textId="6F1AA54C">
      <w:pPr>
        <w:pStyle w:val="MarkforTableHeading"/>
        <w:rPr>
          <w:rFonts w:ascii="Times New Roman" w:hAnsi="Times New Roman"/>
          <w:b w:val="0"/>
          <w:sz w:val="20"/>
          <w:szCs w:val="20"/>
        </w:rPr>
      </w:pPr>
      <w:r w:rsidRPr="00900020">
        <w:rPr>
          <w:rFonts w:ascii="Times New Roman" w:hAnsi="Times New Roman"/>
          <w:b w:val="0"/>
          <w:sz w:val="20"/>
          <w:szCs w:val="20"/>
        </w:rPr>
        <w:t>Note: The updated burden estimate is based on the actual average time per response observed during the survey’s first fielding in February 2020 (40-45 minutes). This is much less than the initially approved burden estimate (2 hours).</w:t>
      </w:r>
    </w:p>
    <w:p w:rsidRPr="00B1733A" w:rsidR="00DF1AF7" w:rsidP="00DF1AF7" w:rsidRDefault="00DF1AF7" w14:paraId="0E377A2A" w14:textId="46E366DD">
      <w:pPr>
        <w:pStyle w:val="MarkforTableHeading"/>
        <w:rPr>
          <w:rFonts w:ascii="Times New Roman" w:hAnsi="Times New Roman"/>
          <w:b w:val="0"/>
          <w:sz w:val="20"/>
          <w:szCs w:val="20"/>
        </w:rPr>
      </w:pPr>
      <w:r w:rsidRPr="00B1733A">
        <w:rPr>
          <w:rFonts w:ascii="Times New Roman" w:hAnsi="Times New Roman"/>
          <w:b w:val="0"/>
          <w:color w:val="000000"/>
          <w:sz w:val="20"/>
          <w:szCs w:val="20"/>
          <w:vertAlign w:val="superscript"/>
        </w:rPr>
        <w:t xml:space="preserve">a </w:t>
      </w:r>
      <w:r w:rsidR="00900020">
        <w:rPr>
          <w:rFonts w:ascii="Times New Roman" w:hAnsi="Times New Roman"/>
          <w:b w:val="0"/>
          <w:sz w:val="20"/>
          <w:szCs w:val="20"/>
        </w:rPr>
        <w:t>The hourly wage of $43.90</w:t>
      </w:r>
      <w:r w:rsidRPr="00B1733A">
        <w:rPr>
          <w:rFonts w:ascii="Times New Roman" w:hAnsi="Times New Roman"/>
          <w:b w:val="0"/>
          <w:sz w:val="20"/>
          <w:szCs w:val="20"/>
        </w:rPr>
        <w:t xml:space="preserve"> is </w:t>
      </w:r>
      <w:r w:rsidR="00900020">
        <w:rPr>
          <w:rFonts w:ascii="Times New Roman" w:hAnsi="Times New Roman"/>
          <w:b w:val="0"/>
          <w:sz w:val="20"/>
          <w:szCs w:val="20"/>
        </w:rPr>
        <w:t>the May 2019</w:t>
      </w:r>
      <w:r w:rsidRPr="00B1733A">
        <w:rPr>
          <w:rFonts w:ascii="Times New Roman" w:hAnsi="Times New Roman"/>
          <w:b w:val="0"/>
          <w:sz w:val="20"/>
          <w:szCs w:val="20"/>
        </w:rPr>
        <w:t xml:space="preserve"> median wage across Management Occupations – Other Management Occup</w:t>
      </w:r>
      <w:r w:rsidRPr="00CE2DF4">
        <w:rPr>
          <w:rFonts w:ascii="Times New Roman" w:hAnsi="Times New Roman"/>
          <w:b w:val="0"/>
          <w:sz w:val="20"/>
          <w:szCs w:val="20"/>
        </w:rPr>
        <w:t>a</w:t>
      </w:r>
      <w:r w:rsidRPr="00B1733A">
        <w:rPr>
          <w:rFonts w:ascii="Times New Roman" w:hAnsi="Times New Roman"/>
          <w:b w:val="0"/>
          <w:sz w:val="20"/>
          <w:szCs w:val="20"/>
        </w:rPr>
        <w:t xml:space="preserve">tions (see </w:t>
      </w:r>
      <w:hyperlink w:history="1" r:id="rId7">
        <w:r w:rsidRPr="00B1733A">
          <w:rPr>
            <w:rFonts w:ascii="Times New Roman" w:hAnsi="Times New Roman"/>
            <w:b w:val="0"/>
            <w:color w:val="0000FF"/>
            <w:sz w:val="20"/>
            <w:szCs w:val="20"/>
            <w:u w:val="single"/>
          </w:rPr>
          <w:t>http://www.bls.gov/oes/current/oes_nat.htm</w:t>
        </w:r>
      </w:hyperlink>
      <w:r w:rsidRPr="00B1733A">
        <w:rPr>
          <w:rFonts w:ascii="Times New Roman" w:hAnsi="Times New Roman"/>
          <w:b w:val="0"/>
          <w:sz w:val="20"/>
          <w:szCs w:val="20"/>
        </w:rPr>
        <w:t>)</w:t>
      </w:r>
    </w:p>
    <w:p w:rsidR="00CF09DF" w:rsidP="00CF09DF" w:rsidRDefault="00CF09DF" w14:paraId="274B69D0" w14:textId="1F6EB77A">
      <w:pPr>
        <w:pStyle w:val="NoSpacing"/>
      </w:pPr>
    </w:p>
    <w:p w:rsidRPr="0018095B" w:rsidR="00CF09DF" w:rsidP="00CF09DF" w:rsidRDefault="00CF09DF" w14:paraId="25EB9323" w14:textId="77777777">
      <w:pPr>
        <w:pStyle w:val="NoSpacing"/>
      </w:pPr>
    </w:p>
    <w:sectPr w:rsidRPr="0018095B" w:rsidR="00CF09DF" w:rsidSect="00193B1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D98C2" w14:textId="77777777" w:rsidR="00A171D7" w:rsidRDefault="00A171D7" w:rsidP="00940933">
      <w:pPr>
        <w:spacing w:after="0" w:line="240" w:lineRule="auto"/>
      </w:pPr>
      <w:r>
        <w:separator/>
      </w:r>
    </w:p>
  </w:endnote>
  <w:endnote w:type="continuationSeparator" w:id="0">
    <w:p w14:paraId="75198682" w14:textId="77777777" w:rsidR="00A171D7" w:rsidRDefault="00A171D7" w:rsidP="00940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ABFE2" w14:textId="77777777" w:rsidR="00A171D7" w:rsidRDefault="00A171D7" w:rsidP="00940933">
      <w:pPr>
        <w:spacing w:after="0" w:line="240" w:lineRule="auto"/>
      </w:pPr>
      <w:r>
        <w:separator/>
      </w:r>
    </w:p>
  </w:footnote>
  <w:footnote w:type="continuationSeparator" w:id="0">
    <w:p w14:paraId="3F8CA9A5" w14:textId="77777777" w:rsidR="00A171D7" w:rsidRDefault="00A171D7" w:rsidP="00940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0AA6"/>
    <w:multiLevelType w:val="hybridMultilevel"/>
    <w:tmpl w:val="7680715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51C83D80"/>
    <w:multiLevelType w:val="hybridMultilevel"/>
    <w:tmpl w:val="6BEC9334"/>
    <w:lvl w:ilvl="0" w:tplc="F9FE186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3DC"/>
    <w:rsid w:val="00012762"/>
    <w:rsid w:val="0002281C"/>
    <w:rsid w:val="0008681B"/>
    <w:rsid w:val="00086F2D"/>
    <w:rsid w:val="000A13DC"/>
    <w:rsid w:val="000B222D"/>
    <w:rsid w:val="001025F2"/>
    <w:rsid w:val="001105C8"/>
    <w:rsid w:val="00125D40"/>
    <w:rsid w:val="00136F25"/>
    <w:rsid w:val="00161412"/>
    <w:rsid w:val="0018095B"/>
    <w:rsid w:val="00193B1C"/>
    <w:rsid w:val="001F06A8"/>
    <w:rsid w:val="002123E0"/>
    <w:rsid w:val="00224D1B"/>
    <w:rsid w:val="002456F0"/>
    <w:rsid w:val="002468BA"/>
    <w:rsid w:val="002573F0"/>
    <w:rsid w:val="002826F1"/>
    <w:rsid w:val="002A6566"/>
    <w:rsid w:val="002D42CD"/>
    <w:rsid w:val="002F1F16"/>
    <w:rsid w:val="003019EB"/>
    <w:rsid w:val="003166D3"/>
    <w:rsid w:val="00320825"/>
    <w:rsid w:val="00333495"/>
    <w:rsid w:val="003640E9"/>
    <w:rsid w:val="00373D18"/>
    <w:rsid w:val="00393C89"/>
    <w:rsid w:val="003A6EF6"/>
    <w:rsid w:val="00436306"/>
    <w:rsid w:val="00470587"/>
    <w:rsid w:val="004870BF"/>
    <w:rsid w:val="004A6808"/>
    <w:rsid w:val="004E6FB5"/>
    <w:rsid w:val="004F32A8"/>
    <w:rsid w:val="004F34B6"/>
    <w:rsid w:val="004F6304"/>
    <w:rsid w:val="004F63A5"/>
    <w:rsid w:val="0050771A"/>
    <w:rsid w:val="005079EE"/>
    <w:rsid w:val="00510A5C"/>
    <w:rsid w:val="00522D3C"/>
    <w:rsid w:val="00543A77"/>
    <w:rsid w:val="005B172A"/>
    <w:rsid w:val="005B4D29"/>
    <w:rsid w:val="005D1B0B"/>
    <w:rsid w:val="005F7EA2"/>
    <w:rsid w:val="006042DB"/>
    <w:rsid w:val="00636430"/>
    <w:rsid w:val="00676DF7"/>
    <w:rsid w:val="00677E62"/>
    <w:rsid w:val="00686723"/>
    <w:rsid w:val="006B2128"/>
    <w:rsid w:val="006D7C64"/>
    <w:rsid w:val="00723065"/>
    <w:rsid w:val="00761E3D"/>
    <w:rsid w:val="007A30F3"/>
    <w:rsid w:val="007F02B6"/>
    <w:rsid w:val="008528E3"/>
    <w:rsid w:val="00852D3D"/>
    <w:rsid w:val="008571BD"/>
    <w:rsid w:val="00857AE6"/>
    <w:rsid w:val="008E2328"/>
    <w:rsid w:val="008F4574"/>
    <w:rsid w:val="00900020"/>
    <w:rsid w:val="00913EDA"/>
    <w:rsid w:val="0091439B"/>
    <w:rsid w:val="00930911"/>
    <w:rsid w:val="00940933"/>
    <w:rsid w:val="00942D49"/>
    <w:rsid w:val="009777DE"/>
    <w:rsid w:val="00980304"/>
    <w:rsid w:val="0099668F"/>
    <w:rsid w:val="009A33A8"/>
    <w:rsid w:val="009A72E9"/>
    <w:rsid w:val="009B30A5"/>
    <w:rsid w:val="009C0B74"/>
    <w:rsid w:val="009E26BF"/>
    <w:rsid w:val="00A171D7"/>
    <w:rsid w:val="00A26D91"/>
    <w:rsid w:val="00A27BEA"/>
    <w:rsid w:val="00A405B3"/>
    <w:rsid w:val="00A52AD1"/>
    <w:rsid w:val="00A737ED"/>
    <w:rsid w:val="00B46743"/>
    <w:rsid w:val="00B619CB"/>
    <w:rsid w:val="00B66A00"/>
    <w:rsid w:val="00B76CFE"/>
    <w:rsid w:val="00C40D42"/>
    <w:rsid w:val="00C56A66"/>
    <w:rsid w:val="00C62DEE"/>
    <w:rsid w:val="00C64949"/>
    <w:rsid w:val="00C87F1E"/>
    <w:rsid w:val="00CC1209"/>
    <w:rsid w:val="00CC15D2"/>
    <w:rsid w:val="00CC4E2A"/>
    <w:rsid w:val="00CD14A7"/>
    <w:rsid w:val="00CD45AE"/>
    <w:rsid w:val="00CE4A50"/>
    <w:rsid w:val="00CF09DF"/>
    <w:rsid w:val="00CF1345"/>
    <w:rsid w:val="00D023BF"/>
    <w:rsid w:val="00D10B17"/>
    <w:rsid w:val="00D34D82"/>
    <w:rsid w:val="00DB51B4"/>
    <w:rsid w:val="00DB762B"/>
    <w:rsid w:val="00DC7161"/>
    <w:rsid w:val="00DD3BF0"/>
    <w:rsid w:val="00DD60D2"/>
    <w:rsid w:val="00DE21BC"/>
    <w:rsid w:val="00DF1AF7"/>
    <w:rsid w:val="00DF3456"/>
    <w:rsid w:val="00DF6720"/>
    <w:rsid w:val="00E37C38"/>
    <w:rsid w:val="00E656CA"/>
    <w:rsid w:val="00E662F9"/>
    <w:rsid w:val="00E82B83"/>
    <w:rsid w:val="00EB6F40"/>
    <w:rsid w:val="00F42461"/>
    <w:rsid w:val="00F52161"/>
    <w:rsid w:val="00F64D84"/>
    <w:rsid w:val="00F823B1"/>
    <w:rsid w:val="00F85F23"/>
    <w:rsid w:val="00FA2805"/>
    <w:rsid w:val="00FD00ED"/>
    <w:rsid w:val="00FD10FB"/>
    <w:rsid w:val="00FD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E7241"/>
  <w15:docId w15:val="{542E6ECF-0F97-4685-8BBF-45F6FCA9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10F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F0"/>
    <w:rPr>
      <w:rFonts w:ascii="Tahoma" w:hAnsi="Tahoma" w:cs="Tahoma"/>
      <w:sz w:val="16"/>
      <w:szCs w:val="16"/>
    </w:rPr>
  </w:style>
  <w:style w:type="table" w:customStyle="1" w:styleId="SMPRTableBlue">
    <w:name w:val="SMPR_Table_Blue"/>
    <w:basedOn w:val="TableNormal"/>
    <w:uiPriority w:val="99"/>
    <w:rsid w:val="00436306"/>
    <w:pPr>
      <w:spacing w:after="0" w:line="240" w:lineRule="auto"/>
    </w:pPr>
    <w:rPr>
      <w:rFonts w:ascii="Lucida Sans" w:eastAsia="Times New Roman" w:hAnsi="Lucida Sans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CommentReference">
    <w:name w:val="annotation reference"/>
    <w:basedOn w:val="DefaultParagraphFont"/>
    <w:uiPriority w:val="99"/>
    <w:unhideWhenUsed/>
    <w:rsid w:val="00436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63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63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3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63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00ED"/>
    <w:pPr>
      <w:ind w:left="720"/>
      <w:contextualSpacing/>
    </w:p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qFormat/>
    <w:rsid w:val="00320825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320825"/>
    <w:rPr>
      <w:rFonts w:ascii="Times New Roman" w:eastAsia="Times New Roman" w:hAnsi="Times New Roman" w:cs="Times New Roman"/>
      <w:szCs w:val="20"/>
    </w:rPr>
  </w:style>
  <w:style w:type="character" w:styleId="FootnoteReference">
    <w:name w:val="footnote reference"/>
    <w:basedOn w:val="DefaultParagraphFont"/>
    <w:uiPriority w:val="99"/>
    <w:rsid w:val="00940933"/>
    <w:rPr>
      <w:vertAlign w:val="superscript"/>
    </w:rPr>
  </w:style>
  <w:style w:type="paragraph" w:styleId="FootnoteText">
    <w:name w:val="footnote text"/>
    <w:aliases w:val="F1"/>
    <w:basedOn w:val="Normal"/>
    <w:link w:val="FootnoteTextChar"/>
    <w:uiPriority w:val="99"/>
    <w:rsid w:val="00940933"/>
    <w:pPr>
      <w:spacing w:after="12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94093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CC15D2"/>
    <w:rPr>
      <w:color w:val="0000FF"/>
      <w:u w:val="single"/>
    </w:rPr>
  </w:style>
  <w:style w:type="paragraph" w:customStyle="1" w:styleId="ExhibitSource">
    <w:name w:val="Exhibit Source"/>
    <w:basedOn w:val="Normal"/>
    <w:qFormat/>
    <w:rsid w:val="00CC15D2"/>
    <w:pPr>
      <w:spacing w:before="60" w:after="0" w:line="264" w:lineRule="auto"/>
    </w:pPr>
    <w:rPr>
      <w:rFonts w:ascii="Arial Narrow" w:eastAsia="Times New Roman" w:hAnsi="Arial Narrow" w:cs="Arial"/>
      <w:sz w:val="18"/>
      <w:szCs w:val="20"/>
    </w:rPr>
  </w:style>
  <w:style w:type="paragraph" w:customStyle="1" w:styleId="ExhibitsourceLast">
    <w:name w:val="Exhibit source Last"/>
    <w:basedOn w:val="ExhibitSource"/>
    <w:qFormat/>
    <w:rsid w:val="00CC15D2"/>
    <w:pPr>
      <w:spacing w:after="240"/>
    </w:pPr>
    <w:rPr>
      <w:szCs w:val="18"/>
    </w:rPr>
  </w:style>
  <w:style w:type="paragraph" w:styleId="Caption">
    <w:name w:val="caption"/>
    <w:basedOn w:val="Normal"/>
    <w:next w:val="Normal"/>
    <w:qFormat/>
    <w:rsid w:val="00FA2805"/>
    <w:pPr>
      <w:keepNext/>
      <w:keepLines/>
      <w:widowControl w:val="0"/>
      <w:tabs>
        <w:tab w:val="left" w:pos="1440"/>
      </w:tabs>
      <w:spacing w:after="120" w:line="264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ExhibitText">
    <w:name w:val="Exhibit Text"/>
    <w:basedOn w:val="Normal"/>
    <w:qFormat/>
    <w:rsid w:val="00FA2805"/>
    <w:pPr>
      <w:spacing w:before="40" w:after="40" w:line="264" w:lineRule="auto"/>
    </w:pPr>
    <w:rPr>
      <w:rFonts w:ascii="Arial Narrow" w:eastAsia="Times New Roman" w:hAnsi="Arial Narrow" w:cs="Arial"/>
      <w:bCs/>
      <w:color w:val="000000"/>
      <w:sz w:val="18"/>
      <w:szCs w:val="20"/>
    </w:rPr>
  </w:style>
  <w:style w:type="paragraph" w:customStyle="1" w:styleId="ExhibitColumnHeader">
    <w:name w:val="Exhibit Column Header"/>
    <w:basedOn w:val="Normal"/>
    <w:qFormat/>
    <w:rsid w:val="00FA2805"/>
    <w:pPr>
      <w:spacing w:before="40" w:after="40" w:line="240" w:lineRule="auto"/>
      <w:jc w:val="center"/>
    </w:pPr>
    <w:rPr>
      <w:rFonts w:ascii="Arial Narrow" w:eastAsia="Times New Roman" w:hAnsi="Arial Narrow" w:cs="Arial"/>
      <w:b/>
      <w:color w:val="000000" w:themeColor="text1"/>
      <w:sz w:val="18"/>
      <w:szCs w:val="20"/>
    </w:rPr>
  </w:style>
  <w:style w:type="paragraph" w:customStyle="1" w:styleId="MarkforTableHeading">
    <w:name w:val="Mark for Table Heading"/>
    <w:basedOn w:val="Normal"/>
    <w:next w:val="Normal"/>
    <w:qFormat/>
    <w:rsid w:val="00DF1AF7"/>
    <w:pPr>
      <w:keepNext/>
      <w:tabs>
        <w:tab w:val="left" w:pos="432"/>
      </w:tabs>
      <w:spacing w:after="60" w:line="240" w:lineRule="auto"/>
    </w:pPr>
    <w:rPr>
      <w:rFonts w:ascii="Lucida Sans" w:eastAsia="Times New Roman" w:hAnsi="Lucida Sans" w:cs="Times New Roman"/>
      <w:b/>
      <w:sz w:val="18"/>
      <w:szCs w:val="24"/>
    </w:rPr>
  </w:style>
  <w:style w:type="paragraph" w:customStyle="1" w:styleId="TableText">
    <w:name w:val="Table Text"/>
    <w:basedOn w:val="Normal"/>
    <w:qFormat/>
    <w:rsid w:val="00DF1AF7"/>
    <w:pPr>
      <w:spacing w:after="0" w:line="240" w:lineRule="auto"/>
    </w:pPr>
    <w:rPr>
      <w:rFonts w:ascii="Lucida Sans" w:eastAsia="Times New Roman" w:hAnsi="Lucida Sans" w:cs="Times New Roman"/>
      <w:sz w:val="18"/>
      <w:szCs w:val="24"/>
    </w:rPr>
  </w:style>
  <w:style w:type="paragraph" w:customStyle="1" w:styleId="TableHeaderCenter">
    <w:name w:val="Table Header Center"/>
    <w:basedOn w:val="Normal"/>
    <w:qFormat/>
    <w:rsid w:val="00DF1AF7"/>
    <w:pPr>
      <w:tabs>
        <w:tab w:val="left" w:pos="432"/>
      </w:tabs>
      <w:spacing w:before="120" w:after="60" w:line="240" w:lineRule="auto"/>
      <w:jc w:val="center"/>
    </w:pPr>
    <w:rPr>
      <w:rFonts w:ascii="Lucida Sans" w:eastAsia="Times New Roman" w:hAnsi="Lucida Sans" w:cs="Times New Roman"/>
      <w:sz w:val="18"/>
      <w:szCs w:val="24"/>
    </w:rPr>
  </w:style>
  <w:style w:type="paragraph" w:customStyle="1" w:styleId="TableHeaderLeft">
    <w:name w:val="Table Header Left"/>
    <w:basedOn w:val="Normal"/>
    <w:qFormat/>
    <w:rsid w:val="00DF1AF7"/>
    <w:pPr>
      <w:tabs>
        <w:tab w:val="left" w:pos="432"/>
      </w:tabs>
      <w:spacing w:before="120" w:after="60" w:line="240" w:lineRule="auto"/>
    </w:pPr>
    <w:rPr>
      <w:rFonts w:ascii="Lucida Sans" w:eastAsia="Times New Roman" w:hAnsi="Lucida Sans" w:cs="Times New Roman"/>
      <w:sz w:val="18"/>
      <w:szCs w:val="24"/>
    </w:rPr>
  </w:style>
  <w:style w:type="table" w:customStyle="1" w:styleId="SMPRTableBlack">
    <w:name w:val="SMPR_Table_Black"/>
    <w:basedOn w:val="TableNormal"/>
    <w:uiPriority w:val="99"/>
    <w:rsid w:val="00DF1AF7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auto"/>
        <w:bottom w:val="single" w:sz="4" w:space="0" w:color="auto"/>
      </w:tblBorders>
    </w:tblPr>
    <w:tcPr>
      <w:vAlign w:val="bottom"/>
    </w:tc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ls.gov/oes/current/oes_na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Employment &amp; Training Administration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salas-kos.gloria</dc:creator>
  <cp:keywords/>
  <dc:description/>
  <cp:lastModifiedBy>Chayun Yi</cp:lastModifiedBy>
  <cp:revision>3</cp:revision>
  <cp:lastPrinted>2019-05-21T14:52:00Z</cp:lastPrinted>
  <dcterms:created xsi:type="dcterms:W3CDTF">2020-06-10T13:34:00Z</dcterms:created>
  <dcterms:modified xsi:type="dcterms:W3CDTF">2020-06-10T13:34:00Z</dcterms:modified>
</cp:coreProperties>
</file>