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B5890" w:rsidR="00A20ECF" w:rsidP="00A20ECF" w:rsidRDefault="00A20ECF">
      <w:pPr>
        <w:autoSpaceDE w:val="0"/>
        <w:autoSpaceDN w:val="0"/>
        <w:adjustRightInd w:val="0"/>
        <w:rPr>
          <w:rFonts w:ascii="Arial" w:hAnsi="Arial" w:cs="Arial"/>
          <w:b/>
          <w:sz w:val="20"/>
          <w14:shadow w14:blurRad="0" w14:dist="0" w14:dir="0" w14:sx="0" w14:sy="0" w14:kx="0" w14:ky="0" w14:algn="none">
            <w14:srgbClr w14:val="000000"/>
          </w14:shadow>
        </w:rPr>
      </w:pPr>
      <w:bookmarkStart w:name="_GoBack" w:id="0"/>
      <w:bookmarkEnd w:id="0"/>
      <w:r w:rsidRPr="001B5890">
        <w:rPr>
          <w:rFonts w:ascii="Arial" w:hAnsi="Arial" w:cs="Arial"/>
          <w:b/>
          <w:sz w:val="20"/>
          <w14:shadow w14:blurRad="0" w14:dist="0" w14:dir="0" w14:sx="0" w14:sy="0" w14:kx="0" w14:ky="0" w14:algn="none">
            <w14:srgbClr w14:val="000000"/>
          </w14:shadow>
        </w:rPr>
        <w:t>Supplemental Instructions:  Interim Final Rules and Notice Issued March 2020</w:t>
      </w:r>
    </w:p>
    <w:p w:rsidRPr="001B5890" w:rsidR="00A20ECF" w:rsidP="00A20ECF" w:rsidRDefault="00A20ECF">
      <w:pPr>
        <w:autoSpaceDE w:val="0"/>
        <w:autoSpaceDN w:val="0"/>
        <w:adjustRightInd w:val="0"/>
        <w:rPr>
          <w:rFonts w:ascii="Arial" w:hAnsi="Arial" w:cs="Arial"/>
          <w:sz w:val="20"/>
          <w14:shadow w14:blurRad="0" w14:dist="0" w14:dir="0" w14:sx="0" w14:sy="0" w14:kx="0" w14:ky="0" w14:algn="none">
            <w14:srgbClr w14:val="000000"/>
          </w14:shadow>
        </w:rPr>
      </w:pPr>
    </w:p>
    <w:p w:rsidRPr="001B5890" w:rsidR="00A20ECF" w:rsidP="00A20ECF" w:rsidRDefault="00A20ECF">
      <w:pPr>
        <w:autoSpaceDE w:val="0"/>
        <w:autoSpaceDN w:val="0"/>
        <w:adjustRightInd w:val="0"/>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In March 2020, in response to the impact on the financial markets by</w:t>
      </w:r>
      <w:r w:rsidR="00660F41">
        <w:rPr>
          <w:rFonts w:ascii="Arial" w:hAnsi="Arial" w:cs="Arial"/>
          <w:sz w:val="20"/>
          <w14:shadow w14:blurRad="0" w14:dist="0" w14:dir="0" w14:sx="0" w14:sy="0" w14:kx="0" w14:ky="0" w14:algn="none">
            <w14:srgbClr w14:val="000000"/>
          </w14:shadow>
        </w:rPr>
        <w:t xml:space="preserve"> Coronavirus Disease 2019 (also referred to as</w:t>
      </w:r>
      <w:r w:rsidRPr="001B5890">
        <w:rPr>
          <w:rFonts w:ascii="Arial" w:hAnsi="Arial" w:cs="Arial"/>
          <w:sz w:val="20"/>
          <w14:shadow w14:blurRad="0" w14:dist="0" w14:dir="0" w14:sx="0" w14:sy="0" w14:kx="0" w14:ky="0" w14:algn="none">
            <w14:srgbClr w14:val="000000"/>
          </w14:shadow>
        </w:rPr>
        <w:t xml:space="preserve"> COVID-19</w:t>
      </w:r>
      <w:r w:rsidR="00660F41">
        <w:rPr>
          <w:rFonts w:ascii="Arial" w:hAnsi="Arial" w:cs="Arial"/>
          <w:sz w:val="20"/>
          <w14:shadow w14:blurRad="0" w14:dist="0" w14:dir="0" w14:sx="0" w14:sy="0" w14:kx="0" w14:ky="0" w14:algn="none">
            <w14:srgbClr w14:val="000000"/>
          </w14:shadow>
        </w:rPr>
        <w:t>)</w:t>
      </w:r>
      <w:r w:rsidRPr="001B5890">
        <w:rPr>
          <w:rFonts w:ascii="Arial" w:hAnsi="Arial" w:cs="Arial"/>
          <w:sz w:val="20"/>
          <w14:shadow w14:blurRad="0" w14:dist="0" w14:dir="0" w14:sx="0" w14:sy="0" w14:kx="0" w14:ky="0" w14:algn="none">
            <w14:srgbClr w14:val="000000"/>
          </w14:shadow>
        </w:rPr>
        <w:t xml:space="preserve">, the Federal Deposit Insurance Corporation, the Federal Reserve Board, and the Office of the Comptroller of the Currency (collectively, the agencies), issued three interim final rules (IFR) and a notice that impact the reporting of regulatory capital in the Call Report.  These revisions impact the amounts reported on Schedule RC-R, Regulatory Capital, and apply to the three versions of the Call Report (FFIEC 031, FFIEC 041, and FFIEC 051). The IFRs have been, or soon will be, published in the </w:t>
      </w:r>
      <w:r w:rsidRPr="001B5890">
        <w:rPr>
          <w:rFonts w:ascii="Arial" w:hAnsi="Arial" w:cs="Arial"/>
          <w:i/>
          <w:sz w:val="20"/>
          <w14:shadow w14:blurRad="0" w14:dist="0" w14:dir="0" w14:sx="0" w14:sy="0" w14:kx="0" w14:ky="0" w14:algn="none">
            <w14:srgbClr w14:val="000000"/>
          </w14:shadow>
        </w:rPr>
        <w:t>Federal Register</w:t>
      </w:r>
      <w:r w:rsidRPr="001B5890">
        <w:rPr>
          <w:rFonts w:ascii="Arial" w:hAnsi="Arial" w:cs="Arial"/>
          <w:sz w:val="20"/>
          <w14:shadow w14:blurRad="0" w14:dist="0" w14:dir="0" w14:sx="0" w14:sy="0" w14:kx="0" w14:ky="0" w14:algn="none">
            <w14:srgbClr w14:val="000000"/>
          </w14:shadow>
        </w:rPr>
        <w:t>.</w:t>
      </w:r>
    </w:p>
    <w:p w:rsidRPr="001B5890" w:rsidR="00A20ECF" w:rsidP="00A20ECF" w:rsidRDefault="00A20ECF">
      <w:pPr>
        <w:autoSpaceDE w:val="0"/>
        <w:autoSpaceDN w:val="0"/>
        <w:adjustRightInd w:val="0"/>
        <w:rPr>
          <w:rFonts w:ascii="Arial" w:hAnsi="Arial" w:cs="Arial"/>
          <w:sz w:val="20"/>
          <w14:shadow w14:blurRad="0" w14:dist="0" w14:dir="0" w14:sx="0" w14:sy="0" w14:kx="0" w14:ky="0" w14:algn="none">
            <w14:srgbClr w14:val="000000"/>
          </w14:shadow>
        </w:rPr>
      </w:pPr>
    </w:p>
    <w:p w:rsidRPr="001B5890" w:rsidR="00A20ECF" w:rsidP="00A20ECF" w:rsidRDefault="00A20ECF">
      <w:pPr>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The agencies have requested [and have received] emergency clearance from the Office of Management and Budget to permit these revisions for the March 31, 2020, Call Report.  The agencies will request public comment on these changes in reporting through the standard Paperwork Reduction Act process on a later date.</w:t>
      </w:r>
    </w:p>
    <w:p w:rsidRPr="001B5890" w:rsidR="00A20ECF" w:rsidP="00A20ECF" w:rsidRDefault="00A20ECF">
      <w:pPr>
        <w:autoSpaceDE w:val="0"/>
        <w:autoSpaceDN w:val="0"/>
        <w:adjustRightInd w:val="0"/>
        <w:rPr>
          <w:rFonts w:ascii="Arial" w:hAnsi="Arial" w:cs="Arial"/>
          <w:sz w:val="20"/>
          <w14:shadow w14:blurRad="0" w14:dist="0" w14:dir="0" w14:sx="0" w14:sy="0" w14:kx="0" w14:ky="0" w14:algn="none">
            <w14:srgbClr w14:val="000000"/>
          </w14:shadow>
        </w:rPr>
      </w:pPr>
    </w:p>
    <w:p w:rsidRPr="001B5890" w:rsidR="00A20ECF" w:rsidP="00A20ECF" w:rsidRDefault="00A20ECF">
      <w:pPr>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 xml:space="preserve">The revisions include the following: </w:t>
      </w:r>
    </w:p>
    <w:p w:rsidRPr="001B5890" w:rsidR="00A20ECF" w:rsidP="00A20ECF" w:rsidRDefault="00A20ECF">
      <w:pPr>
        <w:rPr>
          <w:rFonts w:ascii="Arial" w:hAnsi="Arial" w:cs="Arial"/>
          <w:sz w:val="20"/>
          <w14:shadow w14:blurRad="0" w14:dist="0" w14:dir="0" w14:sx="0" w14:sy="0" w14:kx="0" w14:ky="0" w14:algn="none">
            <w14:srgbClr w14:val="000000"/>
          </w14:shadow>
        </w:rPr>
      </w:pPr>
    </w:p>
    <w:p w:rsidRPr="001B5890" w:rsidR="004F746C" w:rsidP="004F746C" w:rsidRDefault="004F746C">
      <w:pPr>
        <w:pStyle w:val="ListParagraph"/>
        <w:numPr>
          <w:ilvl w:val="0"/>
          <w:numId w:val="1"/>
        </w:numPr>
        <w:ind w:left="720"/>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Revising the definition of eligible retained income in the capital rule;</w:t>
      </w:r>
    </w:p>
    <w:p w:rsidRPr="001B5890" w:rsidR="004F746C" w:rsidP="004F746C" w:rsidRDefault="004F746C">
      <w:pPr>
        <w:pStyle w:val="ListParagraph"/>
        <w:numPr>
          <w:ilvl w:val="0"/>
          <w:numId w:val="1"/>
        </w:numPr>
        <w:ind w:left="720"/>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Permitting banking organizations to neutralize the effects of purchasing assets through the Money Market Mutual Fund Liquidity Facility (MMLF) on their risk-based and leverage capital ratios;</w:t>
      </w:r>
    </w:p>
    <w:p w:rsidRPr="001B5890" w:rsidR="004F746C" w:rsidP="004F746C" w:rsidRDefault="004F746C">
      <w:pPr>
        <w:pStyle w:val="ListParagraph"/>
        <w:numPr>
          <w:ilvl w:val="0"/>
          <w:numId w:val="1"/>
        </w:numPr>
        <w:ind w:left="720"/>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 xml:space="preserve">Providing banking organizations that implement Accounting Standards Update No. 2016-13, Financial Instruments – Credit Losses, Topic 326, Measurement of Credit Losses on Financial Instruments (CECL) before the end of 2020 the option to delay for two years an estimate of CECL’s effect on regulatory capital, relative to the incurred loss methodology’s effect on capital, followed by a three-year transition period; and </w:t>
      </w:r>
    </w:p>
    <w:p w:rsidRPr="001B5890" w:rsidR="004F746C" w:rsidP="004F746C" w:rsidRDefault="004F746C">
      <w:pPr>
        <w:pStyle w:val="ListParagraph"/>
        <w:numPr>
          <w:ilvl w:val="0"/>
          <w:numId w:val="1"/>
        </w:numPr>
        <w:ind w:left="720"/>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 xml:space="preserve">Allowing banking organizations to implement the final rule titled </w:t>
      </w:r>
      <w:r w:rsidRPr="001B5890">
        <w:rPr>
          <w:rFonts w:ascii="Arial" w:hAnsi="Arial" w:cs="Arial"/>
          <w:i/>
          <w:sz w:val="20"/>
          <w14:shadow w14:blurRad="0" w14:dist="0" w14:dir="0" w14:sx="0" w14:sy="0" w14:kx="0" w14:ky="0" w14:algn="none">
            <w14:srgbClr w14:val="000000"/>
          </w14:shadow>
        </w:rPr>
        <w:t xml:space="preserve">Standardized Approach for Calculating the Exposure </w:t>
      </w:r>
      <w:proofErr w:type="gramStart"/>
      <w:r w:rsidRPr="001B5890">
        <w:rPr>
          <w:rFonts w:ascii="Arial" w:hAnsi="Arial" w:cs="Arial"/>
          <w:i/>
          <w:sz w:val="20"/>
          <w14:shadow w14:blurRad="0" w14:dist="0" w14:dir="0" w14:sx="0" w14:sy="0" w14:kx="0" w14:ky="0" w14:algn="none">
            <w14:srgbClr w14:val="000000"/>
          </w14:shadow>
        </w:rPr>
        <w:t>Amount</w:t>
      </w:r>
      <w:proofErr w:type="gramEnd"/>
      <w:r w:rsidRPr="001B5890">
        <w:rPr>
          <w:rFonts w:ascii="Arial" w:hAnsi="Arial" w:cs="Arial"/>
          <w:i/>
          <w:sz w:val="20"/>
          <w14:shadow w14:blurRad="0" w14:dist="0" w14:dir="0" w14:sx="0" w14:sy="0" w14:kx="0" w14:ky="0" w14:algn="none">
            <w14:srgbClr w14:val="000000"/>
          </w14:shadow>
        </w:rPr>
        <w:t xml:space="preserve"> of Derivative Contracts</w:t>
      </w:r>
      <w:r w:rsidRPr="001B5890">
        <w:rPr>
          <w:rFonts w:ascii="Arial" w:hAnsi="Arial" w:cs="Arial"/>
          <w:sz w:val="20"/>
          <w14:shadow w14:blurRad="0" w14:dist="0" w14:dir="0" w14:sx="0" w14:sy="0" w14:kx="0" w14:ky="0" w14:algn="none">
            <w14:srgbClr w14:val="000000"/>
          </w14:shadow>
        </w:rPr>
        <w:t xml:space="preserve"> (SA-CCR rule) for the first quarter of 2020, on a best efforts basis.</w:t>
      </w:r>
    </w:p>
    <w:p w:rsidRPr="001B5890" w:rsidR="00A20ECF" w:rsidP="00A20ECF" w:rsidRDefault="00A20ECF">
      <w:pPr>
        <w:rPr>
          <w:rFonts w:ascii="Arial" w:hAnsi="Arial" w:cs="Arial"/>
          <w:sz w:val="20"/>
          <w14:shadow w14:blurRad="0" w14:dist="0" w14:dir="0" w14:sx="0" w14:sy="0" w14:kx="0" w14:ky="0" w14:algn="none">
            <w14:srgbClr w14:val="000000"/>
          </w14:shadow>
        </w:rPr>
      </w:pPr>
    </w:p>
    <w:p w:rsidR="00660F41" w:rsidP="00A20ECF" w:rsidRDefault="00660F41">
      <w:pPr>
        <w:rPr>
          <w:rFonts w:ascii="Arial" w:hAnsi="Arial" w:cs="Arial"/>
          <w:sz w:val="20"/>
          <w14:shadow w14:blurRad="0" w14:dist="0" w14:dir="0" w14:sx="0" w14:sy="0" w14:kx="0" w14:ky="0" w14:algn="none">
            <w14:srgbClr w14:val="000000"/>
          </w14:shadow>
        </w:rPr>
      </w:pPr>
    </w:p>
    <w:p w:rsidR="00660F41" w:rsidP="00A20ECF" w:rsidRDefault="00660F41">
      <w:pPr>
        <w:rPr>
          <w:rFonts w:ascii="Arial" w:hAnsi="Arial" w:cs="Arial"/>
          <w:sz w:val="20"/>
          <w14:shadow w14:blurRad="0" w14:dist="0" w14:dir="0" w14:sx="0" w14:sy="0" w14:kx="0" w14:ky="0" w14:algn="none">
            <w14:srgbClr w14:val="000000"/>
          </w14:shadow>
        </w:rPr>
      </w:pPr>
    </w:p>
    <w:p w:rsidR="00660F41" w:rsidP="00A20ECF" w:rsidRDefault="00660F41">
      <w:pPr>
        <w:rPr>
          <w:rFonts w:ascii="Arial" w:hAnsi="Arial" w:cs="Arial"/>
          <w:sz w:val="20"/>
          <w14:shadow w14:blurRad="0" w14:dist="0" w14:dir="0" w14:sx="0" w14:sy="0" w14:kx="0" w14:ky="0" w14:algn="none">
            <w14:srgbClr w14:val="000000"/>
          </w14:shadow>
        </w:rPr>
      </w:pPr>
    </w:p>
    <w:p w:rsidR="00660F41" w:rsidP="00A20ECF" w:rsidRDefault="00660F41">
      <w:pPr>
        <w:rPr>
          <w:rFonts w:ascii="Arial" w:hAnsi="Arial" w:cs="Arial"/>
          <w:sz w:val="20"/>
          <w14:shadow w14:blurRad="0" w14:dist="0" w14:dir="0" w14:sx="0" w14:sy="0" w14:kx="0" w14:ky="0" w14:algn="none">
            <w14:srgbClr w14:val="000000"/>
          </w14:shadow>
        </w:rPr>
      </w:pPr>
    </w:p>
    <w:p w:rsidR="00660F41" w:rsidP="00A20ECF" w:rsidRDefault="00660F41">
      <w:pPr>
        <w:rPr>
          <w:rFonts w:ascii="Arial" w:hAnsi="Arial" w:cs="Arial"/>
          <w:sz w:val="20"/>
          <w14:shadow w14:blurRad="0" w14:dist="0" w14:dir="0" w14:sx="0" w14:sy="0" w14:kx="0" w14:ky="0" w14:algn="none">
            <w14:srgbClr w14:val="000000"/>
          </w14:shadow>
        </w:rPr>
      </w:pPr>
    </w:p>
    <w:p w:rsidR="00660F41" w:rsidP="00A20ECF" w:rsidRDefault="00660F41">
      <w:pPr>
        <w:rPr>
          <w:rFonts w:ascii="Arial" w:hAnsi="Arial" w:cs="Arial"/>
          <w:sz w:val="20"/>
          <w14:shadow w14:blurRad="0" w14:dist="0" w14:dir="0" w14:sx="0" w14:sy="0" w14:kx="0" w14:ky="0" w14:algn="none">
            <w14:srgbClr w14:val="000000"/>
          </w14:shadow>
        </w:rPr>
      </w:pPr>
    </w:p>
    <w:p w:rsidR="00660F41" w:rsidP="00A20ECF" w:rsidRDefault="00660F41">
      <w:pPr>
        <w:rPr>
          <w:rFonts w:ascii="Arial" w:hAnsi="Arial" w:cs="Arial"/>
          <w:sz w:val="20"/>
          <w14:shadow w14:blurRad="0" w14:dist="0" w14:dir="0" w14:sx="0" w14:sy="0" w14:kx="0" w14:ky="0" w14:algn="none">
            <w14:srgbClr w14:val="000000"/>
          </w14:shadow>
        </w:rPr>
      </w:pPr>
    </w:p>
    <w:p w:rsidR="00660F41" w:rsidP="00A20ECF" w:rsidRDefault="00660F41">
      <w:pPr>
        <w:rPr>
          <w:rFonts w:ascii="Arial" w:hAnsi="Arial" w:cs="Arial"/>
          <w:sz w:val="20"/>
          <w14:shadow w14:blurRad="0" w14:dist="0" w14:dir="0" w14:sx="0" w14:sy="0" w14:kx="0" w14:ky="0" w14:algn="none">
            <w14:srgbClr w14:val="000000"/>
          </w14:shadow>
        </w:rPr>
      </w:pPr>
    </w:p>
    <w:p w:rsidR="00660F41" w:rsidP="00A20ECF" w:rsidRDefault="00660F41">
      <w:pPr>
        <w:rPr>
          <w:rFonts w:ascii="Arial" w:hAnsi="Arial" w:cs="Arial"/>
          <w:sz w:val="20"/>
          <w14:shadow w14:blurRad="0" w14:dist="0" w14:dir="0" w14:sx="0" w14:sy="0" w14:kx="0" w14:ky="0" w14:algn="none">
            <w14:srgbClr w14:val="000000"/>
          </w14:shadow>
        </w:rPr>
      </w:pPr>
    </w:p>
    <w:p w:rsidR="00FC4890" w:rsidP="00A20ECF" w:rsidRDefault="00FC4890">
      <w:pPr>
        <w:rPr>
          <w:rFonts w:ascii="Arial" w:hAnsi="Arial" w:cs="Arial"/>
          <w:sz w:val="20"/>
          <w14:shadow w14:blurRad="0" w14:dist="0" w14:dir="0" w14:sx="0" w14:sy="0" w14:kx="0" w14:ky="0" w14:algn="none">
            <w14:srgbClr w14:val="000000"/>
          </w14:shadow>
        </w:rPr>
      </w:pPr>
    </w:p>
    <w:p w:rsidR="00FC4890" w:rsidP="00A20ECF" w:rsidRDefault="00FC4890">
      <w:pPr>
        <w:rPr>
          <w:rFonts w:ascii="Arial" w:hAnsi="Arial" w:cs="Arial"/>
          <w:sz w:val="20"/>
          <w14:shadow w14:blurRad="0" w14:dist="0" w14:dir="0" w14:sx="0" w14:sy="0" w14:kx="0" w14:ky="0" w14:algn="none">
            <w14:srgbClr w14:val="000000"/>
          </w14:shadow>
        </w:rPr>
      </w:pPr>
    </w:p>
    <w:p w:rsidR="00FC4890" w:rsidP="00A20ECF" w:rsidRDefault="00FC4890">
      <w:pPr>
        <w:rPr>
          <w:rFonts w:ascii="Arial" w:hAnsi="Arial" w:cs="Arial"/>
          <w:sz w:val="20"/>
          <w14:shadow w14:blurRad="0" w14:dist="0" w14:dir="0" w14:sx="0" w14:sy="0" w14:kx="0" w14:ky="0" w14:algn="none">
            <w14:srgbClr w14:val="000000"/>
          </w14:shadow>
        </w:rPr>
      </w:pPr>
    </w:p>
    <w:p w:rsidR="00FC4890" w:rsidP="00A20ECF" w:rsidRDefault="00FC4890">
      <w:pPr>
        <w:rPr>
          <w:rFonts w:ascii="Arial" w:hAnsi="Arial" w:cs="Arial"/>
          <w:sz w:val="20"/>
          <w14:shadow w14:blurRad="0" w14:dist="0" w14:dir="0" w14:sx="0" w14:sy="0" w14:kx="0" w14:ky="0" w14:algn="none">
            <w14:srgbClr w14:val="000000"/>
          </w14:shadow>
        </w:rPr>
      </w:pPr>
    </w:p>
    <w:p w:rsidR="00660F41" w:rsidP="00A20ECF" w:rsidRDefault="00660F41">
      <w:pPr>
        <w:rPr>
          <w:rFonts w:ascii="Arial" w:hAnsi="Arial" w:cs="Arial"/>
          <w:sz w:val="20"/>
          <w14:shadow w14:blurRad="0" w14:dist="0" w14:dir="0" w14:sx="0" w14:sy="0" w14:kx="0" w14:ky="0" w14:algn="none">
            <w14:srgbClr w14:val="000000"/>
          </w14:shadow>
        </w:rPr>
      </w:pPr>
    </w:p>
    <w:p w:rsidRPr="001B5890" w:rsidR="00A20ECF" w:rsidP="00A20ECF" w:rsidRDefault="00A20ECF">
      <w:pPr>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w:t>
      </w:r>
    </w:p>
    <w:p w:rsidRPr="001B5890" w:rsidR="00A20ECF" w:rsidP="00A20ECF" w:rsidRDefault="00A20ECF">
      <w:pPr>
        <w:rPr>
          <w:rFonts w:ascii="Arial" w:hAnsi="Arial" w:cs="Arial"/>
          <w:szCs w:val="24"/>
          <w14:shadow w14:blurRad="0" w14:dist="0" w14:dir="0" w14:sx="0" w14:sy="0" w14:kx="0" w14:ky="0" w14:algn="none">
            <w14:srgbClr w14:val="000000"/>
          </w14:shadow>
        </w:rPr>
      </w:pPr>
    </w:p>
    <w:p w:rsidRPr="001B5890" w:rsidR="00A20ECF" w:rsidP="00A20ECF" w:rsidRDefault="00A20ECF">
      <w:pPr>
        <w:rPr>
          <w:rFonts w:ascii="Arial" w:hAnsi="Arial" w:cs="Arial"/>
          <w:szCs w:val="24"/>
          <w14:shadow w14:blurRad="0" w14:dist="0" w14:dir="0" w14:sx="0" w14:sy="0" w14:kx="0" w14:ky="0" w14:algn="none">
            <w14:srgbClr w14:val="000000"/>
          </w14:shadow>
        </w:rPr>
      </w:pPr>
    </w:p>
    <w:p w:rsidRPr="001B5890" w:rsidR="00A20ECF" w:rsidP="00A20ECF" w:rsidRDefault="00A20ECF">
      <w:pPr>
        <w:rPr>
          <w:rFonts w:ascii="Arial" w:hAnsi="Arial" w:cs="Arial"/>
          <w:szCs w:val="24"/>
          <w14:shadow w14:blurRad="0" w14:dist="0" w14:dir="0" w14:sx="0" w14:sy="0" w14:kx="0" w14:ky="0" w14:algn="none">
            <w14:srgbClr w14:val="000000"/>
          </w14:shadow>
        </w:rPr>
      </w:pPr>
    </w:p>
    <w:p w:rsidRPr="001B5890" w:rsidR="00A20ECF" w:rsidP="00A20ECF" w:rsidRDefault="00962FE2">
      <w:pPr>
        <w:rPr>
          <w:rFonts w:ascii="Arial" w:hAnsi="Arial" w:cs="Arial"/>
          <w:szCs w:val="24"/>
          <w14:shadow w14:blurRad="0" w14:dist="0" w14:dir="0" w14:sx="0" w14:sy="0" w14:kx="0" w14:ky="0" w14:algn="none">
            <w14:srgbClr w14:val="000000"/>
          </w14:shadow>
        </w:rPr>
      </w:pPr>
      <w:r>
        <w:rPr>
          <w:sz w:val="22"/>
          <w:szCs w:val="22"/>
          <w14:shadow w14:blurRad="0" w14:dist="0" w14:dir="0" w14:sx="0" w14:sy="0" w14:kx="0" w14:ky="0" w14:algn="none">
            <w14:srgbClr w14:val="000000"/>
          </w14:shadow>
        </w:rPr>
        <w:t xml:space="preserve">For further information on these revisions, see the following </w:t>
      </w:r>
      <w:r>
        <w:rPr>
          <w:i/>
          <w:sz w:val="22"/>
          <w:szCs w:val="22"/>
          <w14:shadow w14:blurRad="0" w14:dist="0" w14:dir="0" w14:sx="0" w14:sy="0" w14:kx="0" w14:ky="0" w14:algn="none">
            <w14:srgbClr w14:val="000000"/>
          </w14:shadow>
        </w:rPr>
        <w:t>Federal Register</w:t>
      </w:r>
      <w:r>
        <w:rPr>
          <w:sz w:val="22"/>
          <w:szCs w:val="22"/>
          <w14:shadow w14:blurRad="0" w14:dist="0" w14:dir="0" w14:sx="0" w14:sy="0" w14:kx="0" w14:ky="0" w14:algn="none">
            <w14:srgbClr w14:val="000000"/>
          </w14:shadow>
        </w:rPr>
        <w:t xml:space="preserve"> notices:</w:t>
      </w:r>
    </w:p>
    <w:p w:rsidRPr="00962FE2" w:rsidR="00A20ECF" w:rsidP="00962FE2" w:rsidRDefault="00D84E5A">
      <w:pPr>
        <w:pStyle w:val="NoSpacing"/>
        <w:rPr>
          <w:rFonts w:ascii="Times New Roman" w:hAnsi="Times New Roman"/>
        </w:rPr>
      </w:pPr>
      <w:hyperlink w:history="1" r:id="rId7">
        <w:r w:rsidRPr="00962FE2" w:rsidR="00962FE2">
          <w:rPr>
            <w:rStyle w:val="Hyperlink"/>
            <w:rFonts w:ascii="Times New Roman" w:hAnsi="Times New Roman"/>
          </w:rPr>
          <w:t xml:space="preserve"> Federal Register Notice – Eligible Retained Income</w:t>
        </w:r>
      </w:hyperlink>
      <w:r w:rsidR="00962FE2">
        <w:rPr>
          <w:rFonts w:ascii="Times New Roman" w:hAnsi="Times New Roman"/>
        </w:rPr>
        <w:t>,</w:t>
      </w:r>
      <w:r w:rsidRPr="00962FE2" w:rsidR="00962FE2">
        <w:rPr>
          <w:rFonts w:ascii="Times New Roman" w:hAnsi="Times New Roman"/>
        </w:rPr>
        <w:t xml:space="preserve"> </w:t>
      </w:r>
      <w:hyperlink w:history="1" r:id="rId8">
        <w:r w:rsidRPr="00962FE2" w:rsidR="00962FE2">
          <w:rPr>
            <w:rStyle w:val="Hyperlink"/>
            <w:rFonts w:ascii="Times New Roman" w:hAnsi="Times New Roman"/>
          </w:rPr>
          <w:t>Federal Register Notice - MMLF</w:t>
        </w:r>
      </w:hyperlink>
      <w:r w:rsidR="00962FE2">
        <w:rPr>
          <w:rStyle w:val="Hyperlink"/>
          <w:rFonts w:ascii="Times New Roman" w:hAnsi="Times New Roman"/>
          <w:color w:val="000000" w:themeColor="text1"/>
        </w:rPr>
        <w:t>,</w:t>
      </w:r>
    </w:p>
    <w:p w:rsidR="00660F41" w:rsidP="00660F41" w:rsidRDefault="00D84E5A">
      <w:pPr>
        <w:rPr>
          <w:sz w:val="22"/>
          <w:szCs w:val="22"/>
          <w14:shadow w14:blurRad="0" w14:dist="0" w14:dir="0" w14:sx="0" w14:sy="0" w14:kx="0" w14:ky="0" w14:algn="none">
            <w14:srgbClr w14:val="000000"/>
          </w14:shadow>
        </w:rPr>
      </w:pPr>
      <w:hyperlink w:history="1" r:id="rId9">
        <w:r w:rsidR="00660F41">
          <w:rPr>
            <w:rStyle w:val="Hyperlink"/>
            <w:sz w:val="22"/>
            <w:szCs w:val="22"/>
            <w14:shadow w14:blurRad="0" w14:dist="0" w14:dir="0" w14:sx="0" w14:sy="0" w14:kx="0" w14:ky="0" w14:algn="none">
              <w14:srgbClr w14:val="000000"/>
            </w14:shadow>
          </w:rPr>
          <w:t>Regulatory Capital Rule: Revised Transition of the Current Expected Credit losses Methodology for Allowances</w:t>
        </w:r>
      </w:hyperlink>
      <w:r w:rsidR="00962FE2">
        <w:rPr>
          <w:sz w:val="22"/>
          <w:szCs w:val="22"/>
          <w14:shadow w14:blurRad="0" w14:dist="0" w14:dir="0" w14:sx="0" w14:sy="0" w14:kx="0" w14:ky="0" w14:algn="none">
            <w14:srgbClr w14:val="000000"/>
          </w14:shadow>
        </w:rPr>
        <w:t xml:space="preserve">, </w:t>
      </w:r>
      <w:r w:rsidR="00660F41">
        <w:rPr>
          <w:sz w:val="22"/>
          <w:szCs w:val="22"/>
          <w14:shadow w14:blurRad="0" w14:dist="0" w14:dir="0" w14:sx="0" w14:sy="0" w14:kx="0" w14:ky="0" w14:algn="none">
            <w14:srgbClr w14:val="000000"/>
          </w14:shadow>
        </w:rPr>
        <w:t xml:space="preserve">and </w:t>
      </w:r>
      <w:hyperlink w:history="1" r:id="rId10">
        <w:r w:rsidR="00660F41">
          <w:rPr>
            <w:rStyle w:val="Hyperlink"/>
            <w:sz w:val="22"/>
            <w:szCs w:val="22"/>
            <w14:shadow w14:blurRad="0" w14:dist="0" w14:dir="0" w14:sx="0" w14:sy="0" w14:kx="0" w14:ky="0" w14:algn="none">
              <w14:srgbClr w14:val="000000"/>
            </w14:shadow>
          </w:rPr>
          <w:t>Standardized Approach for Calculating the Exposure Amount of Derivative Contracts</w:t>
        </w:r>
      </w:hyperlink>
      <w:r w:rsidR="00660F41">
        <w:rPr>
          <w:rFonts w:ascii="Arial" w:hAnsi="Arial" w:cs="Arial"/>
          <w:sz w:val="18"/>
          <w:szCs w:val="18"/>
          <w14:shadow w14:blurRad="0" w14:dist="0" w14:dir="0" w14:sx="0" w14:sy="0" w14:kx="0" w14:ky="0" w14:algn="none">
            <w14:srgbClr w14:val="000000"/>
          </w14:shadow>
        </w:rPr>
        <w:t>.</w:t>
      </w:r>
    </w:p>
    <w:p w:rsidR="001B5890" w:rsidP="00A20ECF" w:rsidRDefault="001B5890">
      <w:pPr>
        <w:rPr>
          <w:rFonts w:ascii="Arial" w:hAnsi="Arial" w:cs="Arial"/>
          <w:szCs w:val="24"/>
          <w14:shadow w14:blurRad="0" w14:dist="0" w14:dir="0" w14:sx="0" w14:sy="0" w14:kx="0" w14:ky="0" w14:algn="none">
            <w14:srgbClr w14:val="000000"/>
          </w14:shadow>
        </w:rPr>
      </w:pPr>
    </w:p>
    <w:p w:rsidR="001B5890" w:rsidP="00A20ECF" w:rsidRDefault="001B5890">
      <w:pPr>
        <w:rPr>
          <w:rFonts w:ascii="Arial" w:hAnsi="Arial" w:cs="Arial"/>
          <w:szCs w:val="24"/>
          <w14:shadow w14:blurRad="0" w14:dist="0" w14:dir="0" w14:sx="0" w14:sy="0" w14:kx="0" w14:ky="0" w14:algn="none">
            <w14:srgbClr w14:val="000000"/>
          </w14:shadow>
        </w:rPr>
      </w:pPr>
    </w:p>
    <w:p w:rsidR="001B5890" w:rsidP="00A20ECF" w:rsidRDefault="001B5890">
      <w:pPr>
        <w:rPr>
          <w:rFonts w:ascii="Arial" w:hAnsi="Arial" w:cs="Arial"/>
          <w:szCs w:val="24"/>
          <w14:shadow w14:blurRad="0" w14:dist="0" w14:dir="0" w14:sx="0" w14:sy="0" w14:kx="0" w14:ky="0" w14:algn="none">
            <w14:srgbClr w14:val="000000"/>
          </w14:shadow>
        </w:rPr>
      </w:pPr>
    </w:p>
    <w:p w:rsidR="001B5890" w:rsidP="00A20ECF" w:rsidRDefault="001B5890">
      <w:pPr>
        <w:rPr>
          <w:rFonts w:ascii="Arial" w:hAnsi="Arial" w:cs="Arial"/>
          <w:szCs w:val="24"/>
          <w14:shadow w14:blurRad="0" w14:dist="0" w14:dir="0" w14:sx="0" w14:sy="0" w14:kx="0" w14:ky="0" w14:algn="none">
            <w14:srgbClr w14:val="000000"/>
          </w14:shadow>
        </w:rPr>
      </w:pPr>
    </w:p>
    <w:p w:rsidR="001B5890" w:rsidP="00A20ECF" w:rsidRDefault="001B5890">
      <w:pPr>
        <w:rPr>
          <w:rFonts w:ascii="Arial" w:hAnsi="Arial" w:cs="Arial"/>
          <w:szCs w:val="24"/>
          <w14:shadow w14:blurRad="0" w14:dist="0" w14:dir="0" w14:sx="0" w14:sy="0" w14:kx="0" w14:ky="0" w14:algn="none">
            <w14:srgbClr w14:val="000000"/>
          </w14:shadow>
        </w:rPr>
      </w:pPr>
    </w:p>
    <w:p w:rsidRPr="001B5890" w:rsidR="00A20ECF" w:rsidP="00A20ECF" w:rsidRDefault="00A20ECF">
      <w:pPr>
        <w:jc w:val="center"/>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Table of Contents</w:t>
      </w:r>
    </w:p>
    <w:p w:rsidRPr="001B5890" w:rsidR="00A20ECF" w:rsidP="00A20ECF" w:rsidRDefault="00A20ECF">
      <w:pPr>
        <w:rPr>
          <w:rFonts w:ascii="Arial" w:hAnsi="Arial" w:cs="Arial"/>
          <w:sz w:val="20"/>
          <w14:shadow w14:blurRad="0" w14:dist="0" w14:dir="0" w14:sx="0" w14:sy="0" w14:kx="0" w14:ky="0" w14:algn="none">
            <w14:srgbClr w14:val="000000"/>
          </w14:shadow>
        </w:rPr>
      </w:pPr>
    </w:p>
    <w:p w:rsidRPr="001B5890" w:rsidR="00A20ECF" w:rsidP="00A20ECF" w:rsidRDefault="00A20ECF">
      <w:pPr>
        <w:rPr>
          <w:rFonts w:ascii="Arial" w:hAnsi="Arial" w:cs="Arial"/>
          <w:sz w:val="20"/>
          <w14:shadow w14:blurRad="0" w14:dist="0" w14:dir="0" w14:sx="0" w14:sy="0" w14:kx="0" w14:ky="0" w14:algn="none">
            <w14:srgbClr w14:val="000000"/>
          </w14:shadow>
        </w:rPr>
      </w:pPr>
    </w:p>
    <w:p w:rsidRPr="001B5890" w:rsidR="00A20ECF" w:rsidP="00A20ECF" w:rsidRDefault="00A20ECF">
      <w:pPr>
        <w:rPr>
          <w:rFonts w:ascii="Arial" w:hAnsi="Arial" w:cs="Arial"/>
          <w:sz w:val="20"/>
          <w14:shadow w14:blurRad="0" w14:dist="0" w14:dir="0" w14:sx="0" w14:sy="0" w14:kx="0" w14:ky="0" w14:algn="none">
            <w14:srgbClr w14:val="000000"/>
          </w14:shadow>
        </w:rPr>
      </w:pPr>
      <w:r w:rsidRPr="001B5890">
        <w:rPr>
          <w:rFonts w:ascii="Arial" w:hAnsi="Arial" w:cs="Arial"/>
          <w:sz w:val="20"/>
          <w:u w:val="single"/>
          <w14:shadow w14:blurRad="0" w14:dist="0" w14:dir="0" w14:sx="0" w14:sy="0" w14:kx="0" w14:ky="0" w14:algn="none">
            <w14:srgbClr w14:val="000000"/>
          </w14:shadow>
        </w:rPr>
        <w:t>Revision</w:t>
      </w:r>
      <w:r w:rsidRPr="001B5890">
        <w:rPr>
          <w:rFonts w:ascii="Arial" w:hAnsi="Arial" w:cs="Arial"/>
          <w:sz w:val="20"/>
          <w14:shadow w14:blurRad="0" w14:dist="0" w14:dir="0" w14:sx="0" w14:sy="0" w14:kx="0" w14:ky="0" w14:algn="none">
            <w14:srgbClr w14:val="000000"/>
          </w14:shadow>
        </w:rPr>
        <w:tab/>
      </w:r>
      <w:r w:rsidRPr="001B5890">
        <w:rPr>
          <w:rFonts w:ascii="Arial" w:hAnsi="Arial" w:cs="Arial"/>
          <w:sz w:val="20"/>
          <w14:shadow w14:blurRad="0" w14:dist="0" w14:dir="0" w14:sx="0" w14:sy="0" w14:kx="0" w14:ky="0" w14:algn="none">
            <w14:srgbClr w14:val="000000"/>
          </w14:shadow>
        </w:rPr>
        <w:tab/>
      </w:r>
      <w:r w:rsidRPr="001B5890">
        <w:rPr>
          <w:rFonts w:ascii="Arial" w:hAnsi="Arial" w:cs="Arial"/>
          <w:sz w:val="20"/>
          <w14:shadow w14:blurRad="0" w14:dist="0" w14:dir="0" w14:sx="0" w14:sy="0" w14:kx="0" w14:ky="0" w14:algn="none">
            <w14:srgbClr w14:val="000000"/>
          </w14:shadow>
        </w:rPr>
        <w:tab/>
      </w:r>
      <w:r w:rsidRPr="001B5890">
        <w:rPr>
          <w:rFonts w:ascii="Arial" w:hAnsi="Arial" w:cs="Arial"/>
          <w:sz w:val="20"/>
          <w14:shadow w14:blurRad="0" w14:dist="0" w14:dir="0" w14:sx="0" w14:sy="0" w14:kx="0" w14:ky="0" w14:algn="none">
            <w14:srgbClr w14:val="000000"/>
          </w14:shadow>
        </w:rPr>
        <w:tab/>
      </w:r>
      <w:r w:rsidRPr="001B5890">
        <w:rPr>
          <w:rFonts w:ascii="Arial" w:hAnsi="Arial" w:cs="Arial"/>
          <w:sz w:val="20"/>
          <w14:shadow w14:blurRad="0" w14:dist="0" w14:dir="0" w14:sx="0" w14:sy="0" w14:kx="0" w14:ky="0" w14:algn="none">
            <w14:srgbClr w14:val="000000"/>
          </w14:shadow>
        </w:rPr>
        <w:tab/>
      </w:r>
      <w:r w:rsidRPr="001B5890">
        <w:rPr>
          <w:rFonts w:ascii="Arial" w:hAnsi="Arial" w:cs="Arial"/>
          <w:sz w:val="20"/>
          <w14:shadow w14:blurRad="0" w14:dist="0" w14:dir="0" w14:sx="0" w14:sy="0" w14:kx="0" w14:ky="0" w14:algn="none">
            <w14:srgbClr w14:val="000000"/>
          </w14:shadow>
        </w:rPr>
        <w:tab/>
      </w:r>
      <w:r w:rsidRPr="001B5890">
        <w:rPr>
          <w:rFonts w:ascii="Arial" w:hAnsi="Arial" w:cs="Arial"/>
          <w:sz w:val="20"/>
          <w14:shadow w14:blurRad="0" w14:dist="0" w14:dir="0" w14:sx="0" w14:sy="0" w14:kx="0" w14:ky="0" w14:algn="none">
            <w14:srgbClr w14:val="000000"/>
          </w14:shadow>
        </w:rPr>
        <w:tab/>
      </w:r>
      <w:r w:rsidRPr="001B5890">
        <w:rPr>
          <w:rFonts w:ascii="Arial" w:hAnsi="Arial" w:cs="Arial"/>
          <w:sz w:val="20"/>
          <w14:shadow w14:blurRad="0" w14:dist="0" w14:dir="0" w14:sx="0" w14:sy="0" w14:kx="0" w14:ky="0" w14:algn="none">
            <w14:srgbClr w14:val="000000"/>
          </w14:shadow>
        </w:rPr>
        <w:tab/>
      </w:r>
      <w:r w:rsidRPr="001B5890">
        <w:rPr>
          <w:rFonts w:ascii="Arial" w:hAnsi="Arial" w:cs="Arial"/>
          <w:sz w:val="20"/>
          <w14:shadow w14:blurRad="0" w14:dist="0" w14:dir="0" w14:sx="0" w14:sy="0" w14:kx="0" w14:ky="0" w14:algn="none">
            <w14:srgbClr w14:val="000000"/>
          </w14:shadow>
        </w:rPr>
        <w:tab/>
      </w:r>
      <w:r w:rsidRPr="001B5890">
        <w:rPr>
          <w:rFonts w:ascii="Arial" w:hAnsi="Arial" w:cs="Arial"/>
          <w:sz w:val="20"/>
          <w:u w:val="single"/>
          <w14:shadow w14:blurRad="0" w14:dist="0" w14:dir="0" w14:sx="0" w14:sy="0" w14:kx="0" w14:ky="0" w14:algn="none">
            <w14:srgbClr w14:val="000000"/>
          </w14:shadow>
        </w:rPr>
        <w:t>Pages</w:t>
      </w:r>
    </w:p>
    <w:p w:rsidRPr="001B5890" w:rsidR="003E69DC" w:rsidP="00A20ECF" w:rsidRDefault="003E69DC">
      <w:pPr>
        <w:pStyle w:val="ListParagraph"/>
        <w:numPr>
          <w:ilvl w:val="0"/>
          <w:numId w:val="2"/>
        </w:numPr>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Revised instructions for the c</w:t>
      </w:r>
      <w:r w:rsidRPr="001B5890" w:rsidR="00A20ECF">
        <w:rPr>
          <w:rFonts w:ascii="Arial" w:hAnsi="Arial" w:cs="Arial"/>
          <w:sz w:val="20"/>
          <w14:shadow w14:blurRad="0" w14:dist="0" w14:dir="0" w14:sx="0" w14:sy="0" w14:kx="0" w14:ky="0" w14:algn="none">
            <w14:srgbClr w14:val="000000"/>
          </w14:shadow>
        </w:rPr>
        <w:t xml:space="preserve">hange in the definition </w:t>
      </w:r>
      <w:r w:rsidRPr="001B5890">
        <w:rPr>
          <w:rFonts w:ascii="Arial" w:hAnsi="Arial" w:cs="Arial"/>
          <w:sz w:val="20"/>
          <w14:shadow w14:blurRad="0" w14:dist="0" w14:dir="0" w14:sx="0" w14:sy="0" w14:kx="0" w14:ky="0" w14:algn="none">
            <w14:srgbClr w14:val="000000"/>
          </w14:shadow>
        </w:rPr>
        <w:tab/>
      </w:r>
      <w:r w:rsidRPr="001B5890">
        <w:rPr>
          <w:rFonts w:ascii="Arial" w:hAnsi="Arial" w:cs="Arial"/>
          <w:sz w:val="20"/>
          <w14:shadow w14:blurRad="0" w14:dist="0" w14:dir="0" w14:sx="0" w14:sy="0" w14:kx="0" w14:ky="0" w14:algn="none">
            <w14:srgbClr w14:val="000000"/>
          </w14:shadow>
        </w:rPr>
        <w:tab/>
      </w:r>
      <w:r w:rsidRPr="001B5890">
        <w:rPr>
          <w:rFonts w:ascii="Arial" w:hAnsi="Arial" w:cs="Arial"/>
          <w:sz w:val="20"/>
          <w14:shadow w14:blurRad="0" w14:dist="0" w14:dir="0" w14:sx="0" w14:sy="0" w14:kx="0" w14:ky="0" w14:algn="none">
            <w14:srgbClr w14:val="000000"/>
          </w14:shadow>
        </w:rPr>
        <w:tab/>
      </w:r>
      <w:r w:rsidR="001B5890">
        <w:rPr>
          <w:rFonts w:ascii="Arial" w:hAnsi="Arial" w:cs="Arial"/>
          <w:sz w:val="20"/>
          <w14:shadow w14:blurRad="0" w14:dist="0" w14:dir="0" w14:sx="0" w14:sy="0" w14:kx="0" w14:ky="0" w14:algn="none">
            <w14:srgbClr w14:val="000000"/>
          </w14:shadow>
        </w:rPr>
        <w:tab/>
      </w:r>
      <w:r w:rsidRPr="001B5890">
        <w:rPr>
          <w:rFonts w:ascii="Arial" w:hAnsi="Arial" w:cs="Arial"/>
          <w:sz w:val="20"/>
          <w14:shadow w14:blurRad="0" w14:dist="0" w14:dir="0" w14:sx="0" w14:sy="0" w14:kx="0" w14:ky="0" w14:algn="none">
            <w14:srgbClr w14:val="000000"/>
          </w14:shadow>
        </w:rPr>
        <w:t xml:space="preserve"> 3-4</w:t>
      </w:r>
    </w:p>
    <w:p w:rsidRPr="001B5890" w:rsidR="00A20ECF" w:rsidP="003E69DC" w:rsidRDefault="00A20ECF">
      <w:pPr>
        <w:pStyle w:val="ListParagraph"/>
        <w:ind w:left="360"/>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of eligible retained income</w:t>
      </w:r>
      <w:r w:rsidRPr="001B5890" w:rsidR="003E69DC">
        <w:rPr>
          <w:rFonts w:ascii="Arial" w:hAnsi="Arial" w:cs="Arial"/>
          <w:sz w:val="20"/>
          <w14:shadow w14:blurRad="0" w14:dist="0" w14:dir="0" w14:sx="0" w14:sy="0" w14:kx="0" w14:ky="0" w14:algn="none">
            <w14:srgbClr w14:val="000000"/>
          </w14:shadow>
        </w:rPr>
        <w:t xml:space="preserve"> to be used effective March 31, 2020</w:t>
      </w:r>
      <w:r w:rsidRPr="001B5890">
        <w:rPr>
          <w:rFonts w:ascii="Arial" w:hAnsi="Arial" w:cs="Arial"/>
          <w:sz w:val="20"/>
          <w14:shadow w14:blurRad="0" w14:dist="0" w14:dir="0" w14:sx="0" w14:sy="0" w14:kx="0" w14:ky="0" w14:algn="none">
            <w14:srgbClr w14:val="000000"/>
          </w14:shadow>
        </w:rPr>
        <w:tab/>
      </w:r>
    </w:p>
    <w:p w:rsidRPr="001B5890" w:rsidR="00063C4B" w:rsidP="00063C4B" w:rsidRDefault="00063C4B">
      <w:pPr>
        <w:pStyle w:val="ListParagraph"/>
        <w:ind w:left="360"/>
        <w:rPr>
          <w:rFonts w:ascii="Arial" w:hAnsi="Arial" w:cs="Arial"/>
          <w:sz w:val="20"/>
          <w14:shadow w14:blurRad="0" w14:dist="0" w14:dir="0" w14:sx="0" w14:sy="0" w14:kx="0" w14:ky="0" w14:algn="none">
            <w14:srgbClr w14:val="000000"/>
          </w14:shadow>
        </w:rPr>
      </w:pPr>
    </w:p>
    <w:p w:rsidRPr="001B5890" w:rsidR="00A20ECF" w:rsidP="00A20ECF" w:rsidRDefault="00A20ECF">
      <w:pPr>
        <w:pStyle w:val="ListParagraph"/>
        <w:numPr>
          <w:ilvl w:val="0"/>
          <w:numId w:val="2"/>
        </w:numPr>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Reporting on non-recourse exposures acquired as part of the MMLF</w:t>
      </w:r>
      <w:r w:rsidR="005745C4">
        <w:rPr>
          <w:rFonts w:ascii="Arial" w:hAnsi="Arial" w:cs="Arial"/>
          <w:sz w:val="20"/>
          <w14:shadow w14:blurRad="0" w14:dist="0" w14:dir="0" w14:sx="0" w14:sy="0" w14:kx="0" w14:ky="0" w14:algn="none">
            <w14:srgbClr w14:val="000000"/>
          </w14:shadow>
        </w:rPr>
        <w:tab/>
      </w:r>
      <w:proofErr w:type="gramStart"/>
      <w:r w:rsidR="005745C4">
        <w:rPr>
          <w:rFonts w:ascii="Arial" w:hAnsi="Arial" w:cs="Arial"/>
          <w:sz w:val="20"/>
          <w14:shadow w14:blurRad="0" w14:dist="0" w14:dir="0" w14:sx="0" w14:sy="0" w14:kx="0" w14:ky="0" w14:algn="none">
            <w14:srgbClr w14:val="000000"/>
          </w14:shadow>
        </w:rPr>
        <w:tab/>
        <w:t xml:space="preserve">  </w:t>
      </w:r>
      <w:r w:rsidR="00AF13B5">
        <w:rPr>
          <w:rFonts w:ascii="Arial" w:hAnsi="Arial" w:cs="Arial"/>
          <w:sz w:val="20"/>
          <w14:shadow w14:blurRad="0" w14:dist="0" w14:dir="0" w14:sx="0" w14:sy="0" w14:kx="0" w14:ky="0" w14:algn="none">
            <w14:srgbClr w14:val="000000"/>
          </w14:shadow>
        </w:rPr>
        <w:t>5</w:t>
      </w:r>
      <w:proofErr w:type="gramEnd"/>
    </w:p>
    <w:p w:rsidRPr="001B5890" w:rsidR="00063C4B" w:rsidP="00063C4B" w:rsidRDefault="00063C4B">
      <w:pPr>
        <w:pStyle w:val="ListParagraph"/>
        <w:ind w:left="360"/>
        <w:rPr>
          <w:rFonts w:ascii="Arial" w:hAnsi="Arial" w:cs="Arial"/>
          <w:sz w:val="20"/>
          <w14:shadow w14:blurRad="0" w14:dist="0" w14:dir="0" w14:sx="0" w14:sy="0" w14:kx="0" w14:ky="0" w14:algn="none">
            <w14:srgbClr w14:val="000000"/>
          </w14:shadow>
        </w:rPr>
      </w:pPr>
    </w:p>
    <w:p w:rsidRPr="001B5890" w:rsidR="00A20ECF" w:rsidP="00A20ECF" w:rsidRDefault="00A20ECF">
      <w:pPr>
        <w:pStyle w:val="ListParagraph"/>
        <w:numPr>
          <w:ilvl w:val="0"/>
          <w:numId w:val="2"/>
        </w:numPr>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2020 CECL Transition Provision</w:t>
      </w:r>
      <w:r w:rsidR="00361B78">
        <w:rPr>
          <w:rFonts w:ascii="Arial" w:hAnsi="Arial" w:cs="Arial"/>
          <w:sz w:val="20"/>
          <w14:shadow w14:blurRad="0" w14:dist="0" w14:dir="0" w14:sx="0" w14:sy="0" w14:kx="0" w14:ky="0" w14:algn="none">
            <w14:srgbClr w14:val="000000"/>
          </w14:shadow>
        </w:rPr>
        <w:tab/>
      </w:r>
      <w:r w:rsidR="00361B78">
        <w:rPr>
          <w:rFonts w:ascii="Arial" w:hAnsi="Arial" w:cs="Arial"/>
          <w:sz w:val="20"/>
          <w14:shadow w14:blurRad="0" w14:dist="0" w14:dir="0" w14:sx="0" w14:sy="0" w14:kx="0" w14:ky="0" w14:algn="none">
            <w14:srgbClr w14:val="000000"/>
          </w14:shadow>
        </w:rPr>
        <w:tab/>
      </w:r>
      <w:r w:rsidR="00361B78">
        <w:rPr>
          <w:rFonts w:ascii="Arial" w:hAnsi="Arial" w:cs="Arial"/>
          <w:sz w:val="20"/>
          <w14:shadow w14:blurRad="0" w14:dist="0" w14:dir="0" w14:sx="0" w14:sy="0" w14:kx="0" w14:ky="0" w14:algn="none">
            <w14:srgbClr w14:val="000000"/>
          </w14:shadow>
        </w:rPr>
        <w:tab/>
      </w:r>
      <w:r w:rsidR="00361B78">
        <w:rPr>
          <w:rFonts w:ascii="Arial" w:hAnsi="Arial" w:cs="Arial"/>
          <w:sz w:val="20"/>
          <w14:shadow w14:blurRad="0" w14:dist="0" w14:dir="0" w14:sx="0" w14:sy="0" w14:kx="0" w14:ky="0" w14:algn="none">
            <w14:srgbClr w14:val="000000"/>
          </w14:shadow>
        </w:rPr>
        <w:tab/>
      </w:r>
      <w:r w:rsidR="00361B78">
        <w:rPr>
          <w:rFonts w:ascii="Arial" w:hAnsi="Arial" w:cs="Arial"/>
          <w:sz w:val="20"/>
          <w14:shadow w14:blurRad="0" w14:dist="0" w14:dir="0" w14:sx="0" w14:sy="0" w14:kx="0" w14:ky="0" w14:algn="none">
            <w14:srgbClr w14:val="000000"/>
          </w14:shadow>
        </w:rPr>
        <w:tab/>
      </w:r>
      <w:r w:rsidR="00361B78">
        <w:rPr>
          <w:rFonts w:ascii="Arial" w:hAnsi="Arial" w:cs="Arial"/>
          <w:sz w:val="20"/>
          <w14:shadow w14:blurRad="0" w14:dist="0" w14:dir="0" w14:sx="0" w14:sy="0" w14:kx="0" w14:ky="0" w14:algn="none">
            <w14:srgbClr w14:val="000000"/>
          </w14:shadow>
        </w:rPr>
        <w:tab/>
        <w:t>XX</w:t>
      </w:r>
    </w:p>
    <w:p w:rsidRPr="001B5890" w:rsidR="00063C4B" w:rsidP="00361B78" w:rsidRDefault="00063C4B">
      <w:pPr>
        <w:pStyle w:val="ListParagraph"/>
        <w:rPr>
          <w:rFonts w:ascii="Arial" w:hAnsi="Arial" w:cs="Arial"/>
          <w:sz w:val="20"/>
          <w14:shadow w14:blurRad="0" w14:dist="0" w14:dir="0" w14:sx="0" w14:sy="0" w14:kx="0" w14:ky="0" w14:algn="none">
            <w14:srgbClr w14:val="000000"/>
          </w14:shadow>
        </w:rPr>
      </w:pPr>
    </w:p>
    <w:p w:rsidRPr="001B5890" w:rsidR="00A20ECF" w:rsidP="00A20ECF" w:rsidRDefault="00A20ECF">
      <w:pPr>
        <w:pStyle w:val="ListParagraph"/>
        <w:numPr>
          <w:ilvl w:val="0"/>
          <w:numId w:val="2"/>
        </w:numPr>
        <w:rPr>
          <w:rFonts w:ascii="Arial" w:hAnsi="Arial" w:cs="Arial"/>
          <w:sz w:val="20"/>
          <w14:shadow w14:blurRad="0" w14:dist="0" w14:dir="0" w14:sx="0" w14:sy="0" w14:kx="0" w14:ky="0" w14:algn="none">
            <w14:srgbClr w14:val="000000"/>
          </w14:shadow>
        </w:rPr>
      </w:pPr>
      <w:r w:rsidRPr="001B5890">
        <w:rPr>
          <w:rFonts w:ascii="Arial" w:hAnsi="Arial" w:cs="Arial"/>
          <w:sz w:val="20"/>
          <w14:shadow w14:blurRad="0" w14:dist="0" w14:dir="0" w14:sx="0" w14:sy="0" w14:kx="0" w14:ky="0" w14:algn="none">
            <w14:srgbClr w14:val="000000"/>
          </w14:shadow>
        </w:rPr>
        <w:t>Early adoption of SA-CCR</w:t>
      </w:r>
      <w:r w:rsidR="00361B78">
        <w:rPr>
          <w:rFonts w:ascii="Arial" w:hAnsi="Arial" w:cs="Arial"/>
          <w:sz w:val="20"/>
          <w14:shadow w14:blurRad="0" w14:dist="0" w14:dir="0" w14:sx="0" w14:sy="0" w14:kx="0" w14:ky="0" w14:algn="none">
            <w14:srgbClr w14:val="000000"/>
          </w14:shadow>
        </w:rPr>
        <w:tab/>
      </w:r>
      <w:r w:rsidR="00361B78">
        <w:rPr>
          <w:rFonts w:ascii="Arial" w:hAnsi="Arial" w:cs="Arial"/>
          <w:sz w:val="20"/>
          <w14:shadow w14:blurRad="0" w14:dist="0" w14:dir="0" w14:sx="0" w14:sy="0" w14:kx="0" w14:ky="0" w14:algn="none">
            <w14:srgbClr w14:val="000000"/>
          </w14:shadow>
        </w:rPr>
        <w:tab/>
      </w:r>
      <w:r w:rsidR="00361B78">
        <w:rPr>
          <w:rFonts w:ascii="Arial" w:hAnsi="Arial" w:cs="Arial"/>
          <w:sz w:val="20"/>
          <w14:shadow w14:blurRad="0" w14:dist="0" w14:dir="0" w14:sx="0" w14:sy="0" w14:kx="0" w14:ky="0" w14:algn="none">
            <w14:srgbClr w14:val="000000"/>
          </w14:shadow>
        </w:rPr>
        <w:tab/>
      </w:r>
      <w:r w:rsidR="00361B78">
        <w:rPr>
          <w:rFonts w:ascii="Arial" w:hAnsi="Arial" w:cs="Arial"/>
          <w:sz w:val="20"/>
          <w14:shadow w14:blurRad="0" w14:dist="0" w14:dir="0" w14:sx="0" w14:sy="0" w14:kx="0" w14:ky="0" w14:algn="none">
            <w14:srgbClr w14:val="000000"/>
          </w14:shadow>
        </w:rPr>
        <w:tab/>
      </w:r>
      <w:r w:rsidR="00361B78">
        <w:rPr>
          <w:rFonts w:ascii="Arial" w:hAnsi="Arial" w:cs="Arial"/>
          <w:sz w:val="20"/>
          <w14:shadow w14:blurRad="0" w14:dist="0" w14:dir="0" w14:sx="0" w14:sy="0" w14:kx="0" w14:ky="0" w14:algn="none">
            <w14:srgbClr w14:val="000000"/>
          </w14:shadow>
        </w:rPr>
        <w:tab/>
      </w:r>
      <w:r w:rsidR="00361B78">
        <w:rPr>
          <w:rFonts w:ascii="Arial" w:hAnsi="Arial" w:cs="Arial"/>
          <w:sz w:val="20"/>
          <w14:shadow w14:blurRad="0" w14:dist="0" w14:dir="0" w14:sx="0" w14:sy="0" w14:kx="0" w14:ky="0" w14:algn="none">
            <w14:srgbClr w14:val="000000"/>
          </w14:shadow>
        </w:rPr>
        <w:tab/>
      </w:r>
      <w:r w:rsidR="00361B78">
        <w:rPr>
          <w:rFonts w:ascii="Arial" w:hAnsi="Arial" w:cs="Arial"/>
          <w:sz w:val="20"/>
          <w14:shadow w14:blurRad="0" w14:dist="0" w14:dir="0" w14:sx="0" w14:sy="0" w14:kx="0" w14:ky="0" w14:algn="none">
            <w14:srgbClr w14:val="000000"/>
          </w14:shadow>
        </w:rPr>
        <w:tab/>
        <w:t>XX</w:t>
      </w:r>
    </w:p>
    <w:p w:rsidRPr="001B5890" w:rsidR="0092672F" w:rsidP="0092672F" w:rsidRDefault="0092672F">
      <w:pPr>
        <w:pStyle w:val="ListParagraph"/>
        <w:rPr>
          <w:rFonts w:ascii="Arial" w:hAnsi="Arial" w:cs="Arial"/>
          <w:sz w:val="20"/>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0092672F" w:rsidP="0092672F" w:rsidRDefault="0092672F">
      <w:pPr>
        <w:rPr>
          <w:rFonts w:ascii="Arial" w:hAnsi="Arial" w:cs="Arial"/>
          <w:szCs w:val="24"/>
          <w14:shadow w14:blurRad="0" w14:dist="0" w14:dir="0" w14:sx="0" w14:sy="0" w14:kx="0" w14:ky="0" w14:algn="none">
            <w14:srgbClr w14:val="000000"/>
          </w14:shadow>
        </w:rPr>
      </w:pPr>
    </w:p>
    <w:p w:rsidR="001B5890" w:rsidP="0092672F" w:rsidRDefault="001B5890">
      <w:pPr>
        <w:rPr>
          <w:rFonts w:ascii="Arial" w:hAnsi="Arial" w:cs="Arial"/>
          <w:szCs w:val="24"/>
          <w14:shadow w14:blurRad="0" w14:dist="0" w14:dir="0" w14:sx="0" w14:sy="0" w14:kx="0" w14:ky="0" w14:algn="none">
            <w14:srgbClr w14:val="000000"/>
          </w14:shadow>
        </w:rPr>
      </w:pPr>
    </w:p>
    <w:p w:rsidR="001B5890" w:rsidP="0092672F" w:rsidRDefault="001B5890">
      <w:pPr>
        <w:rPr>
          <w:rFonts w:ascii="Arial" w:hAnsi="Arial" w:cs="Arial"/>
          <w:szCs w:val="24"/>
          <w14:shadow w14:blurRad="0" w14:dist="0" w14:dir="0" w14:sx="0" w14:sy="0" w14:kx="0" w14:ky="0" w14:algn="none">
            <w14:srgbClr w14:val="000000"/>
          </w14:shadow>
        </w:rPr>
      </w:pPr>
    </w:p>
    <w:p w:rsidRPr="001B5890" w:rsidR="001B5890" w:rsidP="0092672F" w:rsidRDefault="001B5890">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Pr="001B5890" w:rsidR="0092672F" w:rsidP="0092672F" w:rsidRDefault="0092672F">
      <w:pPr>
        <w:rPr>
          <w:rFonts w:ascii="Arial" w:hAnsi="Arial" w:cs="Arial"/>
          <w:szCs w:val="24"/>
          <w14:shadow w14:blurRad="0" w14:dist="0" w14:dir="0" w14:sx="0" w14:sy="0" w14:kx="0" w14:ky="0" w14:algn="none">
            <w14:srgbClr w14:val="000000"/>
          </w14:shadow>
        </w:rPr>
      </w:pPr>
    </w:p>
    <w:p w:rsidR="0092672F" w:rsidP="0092672F" w:rsidRDefault="0092672F">
      <w:pPr>
        <w:rPr>
          <w:szCs w:val="24"/>
          <w14:shadow w14:blurRad="0" w14:dist="0" w14:dir="0" w14:sx="0" w14:sy="0" w14:kx="0" w14:ky="0" w14:algn="none">
            <w14:srgbClr w14:val="000000"/>
          </w14:shadow>
        </w:rPr>
      </w:pPr>
    </w:p>
    <w:p w:rsidR="0092672F" w:rsidP="0092672F" w:rsidRDefault="0092672F">
      <w:pPr>
        <w:rPr>
          <w:szCs w:val="24"/>
          <w14:shadow w14:blurRad="0" w14:dist="0" w14:dir="0" w14:sx="0" w14:sy="0" w14:kx="0" w14:ky="0" w14:algn="none">
            <w14:srgbClr w14:val="000000"/>
          </w14:shadow>
        </w:rPr>
      </w:pPr>
    </w:p>
    <w:p w:rsidR="0092672F" w:rsidP="0092672F" w:rsidRDefault="0092672F">
      <w:pPr>
        <w:rPr>
          <w:szCs w:val="24"/>
          <w14:shadow w14:blurRad="0" w14:dist="0" w14:dir="0" w14:sx="0" w14:sy="0" w14:kx="0" w14:ky="0" w14:algn="none">
            <w14:srgbClr w14:val="000000"/>
          </w14:shadow>
        </w:rPr>
      </w:pPr>
    </w:p>
    <w:p w:rsidR="0092672F" w:rsidP="0092672F" w:rsidRDefault="0092672F">
      <w:pPr>
        <w:rPr>
          <w:szCs w:val="24"/>
          <w14:shadow w14:blurRad="0" w14:dist="0" w14:dir="0" w14:sx="0" w14:sy="0" w14:kx="0" w14:ky="0" w14:algn="none">
            <w14:srgbClr w14:val="000000"/>
          </w14:shadow>
        </w:rPr>
      </w:pPr>
    </w:p>
    <w:p w:rsidR="0092672F" w:rsidP="0092672F" w:rsidRDefault="0092672F">
      <w:pPr>
        <w:rPr>
          <w:szCs w:val="24"/>
          <w14:shadow w14:blurRad="0" w14:dist="0" w14:dir="0" w14:sx="0" w14:sy="0" w14:kx="0" w14:ky="0" w14:algn="none">
            <w14:srgbClr w14:val="000000"/>
          </w14:shadow>
        </w:rPr>
      </w:pPr>
    </w:p>
    <w:p w:rsidR="0092672F" w:rsidP="0092672F" w:rsidRDefault="0092672F">
      <w:pPr>
        <w:rPr>
          <w:szCs w:val="24"/>
          <w14:shadow w14:blurRad="0" w14:dist="0" w14:dir="0" w14:sx="0" w14:sy="0" w14:kx="0" w14:ky="0" w14:algn="none">
            <w14:srgbClr w14:val="000000"/>
          </w14:shadow>
        </w:rPr>
      </w:pPr>
    </w:p>
    <w:p w:rsidR="0092672F" w:rsidP="0092672F" w:rsidRDefault="0092672F">
      <w:pPr>
        <w:rPr>
          <w:szCs w:val="24"/>
          <w14:shadow w14:blurRad="0" w14:dist="0" w14:dir="0" w14:sx="0" w14:sy="0" w14:kx="0" w14:ky="0" w14:algn="none">
            <w14:srgbClr w14:val="000000"/>
          </w14:shadow>
        </w:rPr>
      </w:pPr>
    </w:p>
    <w:p w:rsidR="0092672F" w:rsidP="0092672F" w:rsidRDefault="0092672F">
      <w:pPr>
        <w:rPr>
          <w:szCs w:val="24"/>
          <w14:shadow w14:blurRad="0" w14:dist="0" w14:dir="0" w14:sx="0" w14:sy="0" w14:kx="0" w14:ky="0" w14:algn="none">
            <w14:srgbClr w14:val="000000"/>
          </w14:shadow>
        </w:rPr>
      </w:pPr>
    </w:p>
    <w:p w:rsidR="0092672F" w:rsidP="0092672F" w:rsidRDefault="0092672F">
      <w:pPr>
        <w:rPr>
          <w:szCs w:val="24"/>
          <w14:shadow w14:blurRad="0" w14:dist="0" w14:dir="0" w14:sx="0" w14:sy="0" w14:kx="0" w14:ky="0" w14:algn="none">
            <w14:srgbClr w14:val="000000"/>
          </w14:shadow>
        </w:rPr>
      </w:pPr>
    </w:p>
    <w:p w:rsidR="0092672F" w:rsidP="0092672F" w:rsidRDefault="0092672F">
      <w:pPr>
        <w:rPr>
          <w:szCs w:val="24"/>
          <w14:shadow w14:blurRad="0" w14:dist="0" w14:dir="0" w14:sx="0" w14:sy="0" w14:kx="0" w14:ky="0" w14:algn="none">
            <w14:srgbClr w14:val="000000"/>
          </w14:shadow>
        </w:rPr>
      </w:pPr>
    </w:p>
    <w:p w:rsidR="00170B98" w:rsidP="00326056" w:rsidRDefault="00170B98">
      <w:pPr>
        <w:pStyle w:val="NoSpacing"/>
        <w:tabs>
          <w:tab w:val="left" w:pos="1080"/>
        </w:tabs>
        <w:rPr>
          <w:rFonts w:ascii="Arial" w:hAnsi="Arial" w:cs="Arial"/>
          <w:b/>
          <w:sz w:val="20"/>
          <w:szCs w:val="20"/>
          <w:u w:val="single"/>
        </w:rPr>
      </w:pPr>
      <w:r w:rsidRPr="00170B98">
        <w:rPr>
          <w:rFonts w:ascii="Arial" w:hAnsi="Arial" w:cs="Arial"/>
          <w:b/>
          <w:sz w:val="20"/>
          <w:szCs w:val="20"/>
          <w:u w:val="single"/>
        </w:rPr>
        <w:lastRenderedPageBreak/>
        <w:t>Change in the Definition of Eligible Retained Income</w:t>
      </w:r>
    </w:p>
    <w:p w:rsidRPr="00170B98" w:rsidR="00170B98" w:rsidP="00326056" w:rsidRDefault="00170B98">
      <w:pPr>
        <w:pStyle w:val="NoSpacing"/>
        <w:tabs>
          <w:tab w:val="left" w:pos="1080"/>
        </w:tabs>
        <w:rPr>
          <w:rFonts w:ascii="Arial" w:hAnsi="Arial" w:cs="Arial"/>
          <w:b/>
          <w:sz w:val="20"/>
          <w:szCs w:val="20"/>
          <w:u w:val="single"/>
        </w:rPr>
      </w:pPr>
    </w:p>
    <w:p w:rsidR="001B7554" w:rsidP="00326056" w:rsidRDefault="001B7554">
      <w:pPr>
        <w:pStyle w:val="NoSpacing"/>
        <w:tabs>
          <w:tab w:val="left" w:pos="1080"/>
        </w:tabs>
        <w:rPr>
          <w:rFonts w:ascii="Arial" w:hAnsi="Arial" w:cs="Arial"/>
          <w:sz w:val="20"/>
          <w:szCs w:val="20"/>
        </w:rPr>
      </w:pPr>
      <w:r w:rsidRPr="001B7554">
        <w:rPr>
          <w:rFonts w:ascii="Arial" w:hAnsi="Arial" w:cs="Arial"/>
          <w:sz w:val="20"/>
          <w:szCs w:val="20"/>
        </w:rPr>
        <w:t>The instructions for Schedule RC-R, Part I, item 53</w:t>
      </w:r>
      <w:r w:rsidR="005F2809">
        <w:rPr>
          <w:rFonts w:ascii="Arial" w:hAnsi="Arial" w:cs="Arial"/>
          <w:sz w:val="20"/>
          <w:szCs w:val="20"/>
        </w:rPr>
        <w:t>,</w:t>
      </w:r>
      <w:r w:rsidRPr="001B7554">
        <w:rPr>
          <w:rFonts w:ascii="Arial" w:hAnsi="Arial" w:cs="Arial"/>
          <w:sz w:val="20"/>
          <w:szCs w:val="20"/>
        </w:rPr>
        <w:t xml:space="preserve"> have been revised to incorporate </w:t>
      </w:r>
      <w:r>
        <w:rPr>
          <w:rFonts w:ascii="Arial" w:hAnsi="Arial" w:cs="Arial"/>
          <w:sz w:val="20"/>
          <w:szCs w:val="20"/>
        </w:rPr>
        <w:t xml:space="preserve">revisions reflected in </w:t>
      </w:r>
      <w:r w:rsidRPr="001B7554">
        <w:rPr>
          <w:rFonts w:ascii="Arial" w:hAnsi="Arial" w:cs="Arial"/>
          <w:sz w:val="20"/>
          <w:szCs w:val="20"/>
        </w:rPr>
        <w:t xml:space="preserve">the interim final rule published in the </w:t>
      </w:r>
      <w:hyperlink w:history="1" r:id="rId11">
        <w:r w:rsidRPr="001B7554">
          <w:rPr>
            <w:rStyle w:val="Hyperlink"/>
            <w:rFonts w:ascii="Arial" w:hAnsi="Arial" w:cs="Arial"/>
            <w:i/>
            <w:sz w:val="20"/>
            <w:szCs w:val="20"/>
          </w:rPr>
          <w:t>Federal Register</w:t>
        </w:r>
      </w:hyperlink>
      <w:r w:rsidRPr="001B7554">
        <w:rPr>
          <w:rFonts w:ascii="Arial" w:hAnsi="Arial" w:cs="Arial"/>
          <w:sz w:val="20"/>
          <w:szCs w:val="20"/>
        </w:rPr>
        <w:t xml:space="preserve"> on March 20, 2020</w:t>
      </w:r>
      <w:r>
        <w:rPr>
          <w:rFonts w:ascii="Arial" w:hAnsi="Arial" w:cs="Arial"/>
          <w:sz w:val="20"/>
          <w:szCs w:val="20"/>
        </w:rPr>
        <w:t>.</w:t>
      </w:r>
      <w:r w:rsidRPr="001B7554">
        <w:rPr>
          <w:rFonts w:ascii="Arial" w:hAnsi="Arial" w:cs="Arial"/>
          <w:sz w:val="20"/>
          <w:szCs w:val="20"/>
        </w:rPr>
        <w:t xml:space="preserve"> </w:t>
      </w:r>
      <w:r>
        <w:rPr>
          <w:rFonts w:ascii="Arial" w:hAnsi="Arial" w:cs="Arial"/>
          <w:sz w:val="20"/>
          <w:szCs w:val="20"/>
        </w:rPr>
        <w:t xml:space="preserve">Beginning </w:t>
      </w:r>
      <w:r w:rsidRPr="001B7554">
        <w:rPr>
          <w:rFonts w:ascii="Arial" w:hAnsi="Arial" w:cs="Arial"/>
          <w:sz w:val="20"/>
          <w:szCs w:val="20"/>
        </w:rPr>
        <w:t xml:space="preserve">with the March 31, 2020, </w:t>
      </w:r>
      <w:r w:rsidR="00A3635E">
        <w:rPr>
          <w:rFonts w:ascii="Arial" w:hAnsi="Arial" w:cs="Arial"/>
          <w:sz w:val="20"/>
          <w:szCs w:val="20"/>
        </w:rPr>
        <w:t xml:space="preserve">report date, </w:t>
      </w:r>
      <w:r>
        <w:rPr>
          <w:rFonts w:ascii="Arial" w:hAnsi="Arial" w:cs="Arial"/>
          <w:sz w:val="20"/>
          <w:szCs w:val="20"/>
        </w:rPr>
        <w:t>i</w:t>
      </w:r>
      <w:r w:rsidRPr="001B7554">
        <w:rPr>
          <w:rFonts w:ascii="Arial" w:hAnsi="Arial" w:cs="Arial"/>
          <w:sz w:val="20"/>
          <w:szCs w:val="20"/>
        </w:rPr>
        <w:t>nstitutions that are required to report amounts in item 53</w:t>
      </w:r>
      <w:r>
        <w:rPr>
          <w:rFonts w:ascii="Arial" w:hAnsi="Arial" w:cs="Arial"/>
          <w:sz w:val="20"/>
          <w:szCs w:val="20"/>
        </w:rPr>
        <w:t xml:space="preserve"> should using the following instructions.    </w:t>
      </w:r>
    </w:p>
    <w:p w:rsidRPr="001B7554" w:rsidR="001B7554" w:rsidP="00326056" w:rsidRDefault="001B7554">
      <w:pPr>
        <w:pStyle w:val="NoSpacing"/>
        <w:tabs>
          <w:tab w:val="left" w:pos="1080"/>
        </w:tabs>
        <w:rPr>
          <w:rFonts w:ascii="Arial" w:hAnsi="Arial" w:cs="Arial"/>
          <w:sz w:val="20"/>
          <w:szCs w:val="20"/>
        </w:rPr>
      </w:pPr>
    </w:p>
    <w:p w:rsidRPr="00FB289F" w:rsidR="001B7554" w:rsidP="00326056" w:rsidRDefault="001B7554">
      <w:pPr>
        <w:pStyle w:val="NoSpacing"/>
        <w:tabs>
          <w:tab w:val="left" w:pos="1080"/>
        </w:tabs>
        <w:rPr>
          <w:rFonts w:ascii="Arial" w:hAnsi="Arial" w:cs="Arial"/>
          <w:b/>
          <w:sz w:val="20"/>
          <w:szCs w:val="20"/>
          <w:u w:val="single"/>
        </w:rPr>
      </w:pPr>
      <w:r w:rsidRPr="00FB289F">
        <w:rPr>
          <w:rFonts w:ascii="Arial" w:hAnsi="Arial" w:cs="Arial"/>
          <w:b/>
          <w:sz w:val="20"/>
          <w:szCs w:val="20"/>
          <w:u w:val="single"/>
        </w:rPr>
        <w:t>Item No.</w:t>
      </w:r>
      <w:r w:rsidRPr="00AE18A6">
        <w:rPr>
          <w:rFonts w:ascii="Arial" w:hAnsi="Arial" w:cs="Arial"/>
          <w:b/>
          <w:sz w:val="20"/>
          <w:szCs w:val="20"/>
        </w:rPr>
        <w:tab/>
      </w:r>
      <w:r w:rsidRPr="00FB289F">
        <w:rPr>
          <w:rFonts w:ascii="Arial" w:hAnsi="Arial" w:cs="Arial"/>
          <w:b/>
          <w:sz w:val="20"/>
          <w:szCs w:val="20"/>
          <w:u w:val="single"/>
        </w:rPr>
        <w:t>Caption and Instructions</w:t>
      </w:r>
    </w:p>
    <w:p w:rsidRPr="00B3389F" w:rsidR="001B7554" w:rsidP="0030333D" w:rsidRDefault="001B7554">
      <w:pPr>
        <w:pStyle w:val="NoSpacing"/>
        <w:rPr>
          <w:rFonts w:ascii="Arial" w:hAnsi="Arial" w:cs="Arial"/>
          <w:sz w:val="20"/>
          <w:szCs w:val="20"/>
          <w:u w:val="single"/>
        </w:rPr>
      </w:pPr>
      <w:r>
        <w:rPr>
          <w:rFonts w:ascii="Arial" w:hAnsi="Arial" w:cs="Arial"/>
          <w:noProof/>
          <w:sz w:val="20"/>
          <w:szCs w:val="20"/>
          <w:u w:val="single"/>
        </w:rPr>
        <mc:AlternateContent>
          <mc:Choice Requires="wps">
            <w:drawing>
              <wp:anchor distT="0" distB="0" distL="114300" distR="114300" simplePos="0" relativeHeight="251659264" behindDoc="0" locked="0" layoutInCell="1" allowOverlap="1" wp14:editId="6394A15D" wp14:anchorId="18467F76">
                <wp:simplePos x="0" y="0"/>
                <wp:positionH relativeFrom="column">
                  <wp:posOffset>6475226</wp:posOffset>
                </wp:positionH>
                <wp:positionV relativeFrom="paragraph">
                  <wp:posOffset>140948</wp:posOffset>
                </wp:positionV>
                <wp:extent cx="0" cy="153281"/>
                <wp:effectExtent l="0" t="0" r="19050" b="37465"/>
                <wp:wrapNone/>
                <wp:docPr id="192" name="Straight Connector 192"/>
                <wp:cNvGraphicFramePr/>
                <a:graphic xmlns:a="http://schemas.openxmlformats.org/drawingml/2006/main">
                  <a:graphicData uri="http://schemas.microsoft.com/office/word/2010/wordprocessingShape">
                    <wps:wsp>
                      <wps:cNvCnPr/>
                      <wps:spPr>
                        <a:xfrm flipH="1">
                          <a:off x="0" y="0"/>
                          <a:ext cx="0" cy="1532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2"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09.85pt,11.1pt" to="509.85pt,23.15pt" w14:anchorId="5CBA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">
                <v:stroke joinstyle="miter"/>
              </v:line>
            </w:pict>
          </mc:Fallback>
        </mc:AlternateContent>
      </w:r>
    </w:p>
    <w:p w:rsidR="001B7554" w:rsidP="00326056" w:rsidRDefault="001B7554">
      <w:pPr>
        <w:pStyle w:val="NoSpacing"/>
        <w:tabs>
          <w:tab w:val="left" w:pos="1080"/>
        </w:tabs>
        <w:ind w:left="1080" w:hanging="1080"/>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14:editId="7B69EA13" wp14:anchorId="57FF6246">
                <wp:simplePos x="0" y="0"/>
                <wp:positionH relativeFrom="column">
                  <wp:posOffset>6475301</wp:posOffset>
                </wp:positionH>
                <wp:positionV relativeFrom="paragraph">
                  <wp:posOffset>428173</wp:posOffset>
                </wp:positionV>
                <wp:extent cx="0" cy="144001"/>
                <wp:effectExtent l="0" t="0" r="19050" b="27940"/>
                <wp:wrapNone/>
                <wp:docPr id="194" name="Straight Connector 194"/>
                <wp:cNvGraphicFramePr/>
                <a:graphic xmlns:a="http://schemas.openxmlformats.org/drawingml/2006/main">
                  <a:graphicData uri="http://schemas.microsoft.com/office/word/2010/wordprocessingShape">
                    <wps:wsp>
                      <wps:cNvCnPr/>
                      <wps:spPr>
                        <a:xfrm flipH="1">
                          <a:off x="0" y="0"/>
                          <a:ext cx="0" cy="1440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4"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09.85pt,33.7pt" to="509.85pt,45.05pt" w14:anchorId="085C3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">
                <v:stroke joinstyle="miter"/>
              </v:line>
            </w:pict>
          </mc:Fallback>
        </mc:AlternateContent>
      </w:r>
      <w:r>
        <w:rPr>
          <w:rFonts w:ascii="Arial" w:hAnsi="Arial" w:cs="Arial"/>
          <w:b/>
          <w:sz w:val="20"/>
          <w:szCs w:val="20"/>
        </w:rPr>
        <w:t xml:space="preserve">   53</w:t>
      </w:r>
      <w:r w:rsidRPr="00FB289F">
        <w:rPr>
          <w:rFonts w:ascii="Arial" w:hAnsi="Arial" w:cs="Arial"/>
          <w:sz w:val="20"/>
          <w:szCs w:val="20"/>
        </w:rPr>
        <w:tab/>
      </w:r>
      <w:r w:rsidRPr="00FB289F">
        <w:rPr>
          <w:rFonts w:ascii="Arial" w:hAnsi="Arial" w:cs="Arial"/>
          <w:b/>
          <w:sz w:val="20"/>
          <w:szCs w:val="20"/>
          <w:u w:val="single"/>
        </w:rPr>
        <w:t>Eligible retained income.</w:t>
      </w:r>
      <w:r w:rsidRPr="00FB289F">
        <w:rPr>
          <w:rFonts w:ascii="Arial" w:hAnsi="Arial" w:cs="Arial"/>
          <w:sz w:val="20"/>
          <w:szCs w:val="20"/>
        </w:rPr>
        <w:t xml:space="preserve">  Report the amount of eligible retained income </w:t>
      </w:r>
      <w:r w:rsidRPr="00A0646B">
        <w:rPr>
          <w:rFonts w:ascii="Arial" w:hAnsi="Arial" w:cs="Arial"/>
          <w:sz w:val="20"/>
          <w:szCs w:val="20"/>
          <w:u w:val="single"/>
        </w:rPr>
        <w:t>as the greater of</w:t>
      </w:r>
      <w:r>
        <w:rPr>
          <w:rFonts w:ascii="Arial" w:hAnsi="Arial" w:cs="Arial"/>
          <w:sz w:val="20"/>
          <w:szCs w:val="20"/>
        </w:rPr>
        <w:t xml:space="preserve"> (1) an institution’s </w:t>
      </w:r>
      <w:r w:rsidRPr="00FB289F">
        <w:rPr>
          <w:rFonts w:ascii="Arial" w:hAnsi="Arial" w:cs="Arial"/>
          <w:sz w:val="20"/>
          <w:szCs w:val="20"/>
        </w:rPr>
        <w:t xml:space="preserve">net income for the four </w:t>
      </w:r>
      <w:r>
        <w:rPr>
          <w:rFonts w:ascii="Arial" w:hAnsi="Arial" w:cs="Arial"/>
          <w:sz w:val="20"/>
          <w:szCs w:val="20"/>
        </w:rPr>
        <w:t xml:space="preserve">preceding </w:t>
      </w:r>
      <w:r w:rsidRPr="00FB289F">
        <w:rPr>
          <w:rFonts w:ascii="Arial" w:hAnsi="Arial" w:cs="Arial"/>
          <w:sz w:val="20"/>
          <w:szCs w:val="20"/>
        </w:rPr>
        <w:t>calendar quarters, net of any distributions and associated tax effects not already reflected in net income</w:t>
      </w:r>
      <w:r>
        <w:rPr>
          <w:rFonts w:ascii="Arial" w:hAnsi="Arial" w:cs="Arial"/>
          <w:sz w:val="20"/>
          <w:szCs w:val="20"/>
        </w:rPr>
        <w:t xml:space="preserve">, and </w:t>
      </w:r>
      <w:r w:rsidRPr="00A0646B">
        <w:rPr>
          <w:rFonts w:ascii="Arial" w:hAnsi="Arial" w:cs="Arial"/>
          <w:sz w:val="20"/>
          <w:szCs w:val="20"/>
          <w:u w:val="single"/>
        </w:rPr>
        <w:t>(2) the average of an institution’s net income over the four preceding calendar quarters</w:t>
      </w:r>
      <w:r w:rsidRPr="00FB289F">
        <w:rPr>
          <w:rFonts w:ascii="Arial" w:hAnsi="Arial" w:cs="Arial"/>
          <w:sz w:val="20"/>
          <w:szCs w:val="20"/>
        </w:rPr>
        <w:t>.</w:t>
      </w:r>
      <w:r>
        <w:rPr>
          <w:rFonts w:ascii="Arial" w:hAnsi="Arial" w:cs="Arial"/>
          <w:sz w:val="20"/>
          <w:szCs w:val="20"/>
        </w:rPr>
        <w:t xml:space="preserve">  (See the instructions for Schedule RC-R, Part I, item 54, for the definition of “distributions” from section 2 of the regulatory capital rules.)</w:t>
      </w:r>
    </w:p>
    <w:p w:rsidR="001B7554" w:rsidP="00326056" w:rsidRDefault="001B7554">
      <w:pPr>
        <w:pStyle w:val="NoSpacing"/>
        <w:tabs>
          <w:tab w:val="left" w:pos="1080"/>
        </w:tabs>
        <w:ind w:left="1080" w:hanging="1080"/>
        <w:rPr>
          <w:rFonts w:ascii="Arial" w:hAnsi="Arial" w:cs="Arial"/>
          <w:sz w:val="20"/>
          <w:szCs w:val="20"/>
        </w:rPr>
      </w:pPr>
    </w:p>
    <w:p w:rsidRPr="00FB289F" w:rsidR="001B7554" w:rsidP="00326056" w:rsidRDefault="001B7554">
      <w:pPr>
        <w:pStyle w:val="NoSpacing"/>
        <w:tabs>
          <w:tab w:val="left" w:pos="1080"/>
        </w:tabs>
        <w:ind w:left="1080" w:hanging="1080"/>
        <w:rPr>
          <w:rFonts w:ascii="Arial" w:hAnsi="Arial" w:cs="Arial"/>
          <w:sz w:val="20"/>
          <w:szCs w:val="20"/>
        </w:rPr>
      </w:pPr>
      <w:r>
        <w:rPr>
          <w:rFonts w:ascii="Arial" w:hAnsi="Arial" w:cs="Arial"/>
          <w:sz w:val="20"/>
          <w:szCs w:val="20"/>
        </w:rPr>
        <w:tab/>
        <w:t xml:space="preserve">For Schedule RC-R, Part I, </w:t>
      </w:r>
      <w:r w:rsidRPr="007C1A58">
        <w:rPr>
          <w:rFonts w:ascii="Arial" w:hAnsi="Arial" w:cs="Arial"/>
          <w:sz w:val="20"/>
          <w:szCs w:val="20"/>
        </w:rPr>
        <w:t>item 53</w:t>
      </w:r>
      <w:r>
        <w:rPr>
          <w:rFonts w:ascii="Arial" w:hAnsi="Arial" w:cs="Arial"/>
          <w:sz w:val="20"/>
          <w:szCs w:val="20"/>
        </w:rPr>
        <w:t xml:space="preserve">, the four preceding calendar quarters refers to the calendar quarter </w:t>
      </w:r>
      <w:r w:rsidRPr="003466D1">
        <w:rPr>
          <w:rFonts w:ascii="Arial" w:hAnsi="Arial" w:cs="Arial"/>
          <w:sz w:val="20"/>
          <w:szCs w:val="20"/>
        </w:rPr>
        <w:t>ending on the last date of the reporting period</w:t>
      </w:r>
      <w:r>
        <w:rPr>
          <w:rFonts w:ascii="Arial" w:hAnsi="Arial" w:cs="Arial"/>
          <w:sz w:val="20"/>
          <w:szCs w:val="20"/>
        </w:rPr>
        <w:t xml:space="preserve"> and the three</w:t>
      </w:r>
      <w:r w:rsidRPr="00FB289F">
        <w:rPr>
          <w:rFonts w:ascii="Arial" w:hAnsi="Arial" w:cs="Arial"/>
          <w:sz w:val="20"/>
          <w:szCs w:val="20"/>
        </w:rPr>
        <w:t xml:space="preserve"> </w:t>
      </w:r>
      <w:r w:rsidRPr="00325BC2">
        <w:rPr>
          <w:rFonts w:ascii="Arial" w:hAnsi="Arial" w:cs="Arial"/>
          <w:sz w:val="20"/>
          <w:szCs w:val="20"/>
        </w:rPr>
        <w:t xml:space="preserve">preceding </w:t>
      </w:r>
      <w:r w:rsidRPr="00FB289F">
        <w:rPr>
          <w:rFonts w:ascii="Arial" w:hAnsi="Arial" w:cs="Arial"/>
          <w:sz w:val="20"/>
          <w:szCs w:val="20"/>
        </w:rPr>
        <w:t>calendar quarters</w:t>
      </w:r>
      <w:r>
        <w:rPr>
          <w:rFonts w:ascii="Arial" w:hAnsi="Arial" w:cs="Arial"/>
          <w:sz w:val="20"/>
          <w:szCs w:val="20"/>
        </w:rPr>
        <w:t xml:space="preserve"> </w:t>
      </w:r>
      <w:r w:rsidRPr="006417C1">
        <w:rPr>
          <w:rFonts w:ascii="Arial" w:hAnsi="Arial" w:cs="Arial"/>
          <w:sz w:val="20"/>
          <w:szCs w:val="20"/>
        </w:rPr>
        <w:t>as illustrated in the example below</w:t>
      </w:r>
      <w:r w:rsidRPr="00280E80">
        <w:rPr>
          <w:rFonts w:ascii="Arial" w:hAnsi="Arial" w:cs="Arial"/>
          <w:sz w:val="20"/>
          <w:szCs w:val="20"/>
        </w:rPr>
        <w:t>.</w:t>
      </w:r>
      <w:r>
        <w:rPr>
          <w:rFonts w:ascii="Arial" w:hAnsi="Arial" w:cs="Arial"/>
          <w:sz w:val="20"/>
          <w:szCs w:val="20"/>
        </w:rPr>
        <w:t xml:space="preserve">  The average of an institution’s net income over the four preceding calendar quarters refers to average of three-month net income for the calendar quarter </w:t>
      </w:r>
      <w:r w:rsidRPr="003466D1">
        <w:rPr>
          <w:rFonts w:ascii="Arial" w:hAnsi="Arial" w:cs="Arial"/>
          <w:sz w:val="20"/>
          <w:szCs w:val="20"/>
        </w:rPr>
        <w:t>ending on the last date of the reporting period</w:t>
      </w:r>
      <w:r>
        <w:rPr>
          <w:rFonts w:ascii="Arial" w:hAnsi="Arial" w:cs="Arial"/>
          <w:sz w:val="20"/>
          <w:szCs w:val="20"/>
        </w:rPr>
        <w:t xml:space="preserve"> and the three-month net income for the three</w:t>
      </w:r>
      <w:r w:rsidRPr="00FB289F">
        <w:rPr>
          <w:rFonts w:ascii="Arial" w:hAnsi="Arial" w:cs="Arial"/>
          <w:sz w:val="20"/>
          <w:szCs w:val="20"/>
        </w:rPr>
        <w:t xml:space="preserve"> </w:t>
      </w:r>
      <w:r w:rsidRPr="00325BC2">
        <w:rPr>
          <w:rFonts w:ascii="Arial" w:hAnsi="Arial" w:cs="Arial"/>
          <w:sz w:val="20"/>
          <w:szCs w:val="20"/>
        </w:rPr>
        <w:t xml:space="preserve">preceding </w:t>
      </w:r>
      <w:r w:rsidRPr="00FB289F">
        <w:rPr>
          <w:rFonts w:ascii="Arial" w:hAnsi="Arial" w:cs="Arial"/>
          <w:sz w:val="20"/>
          <w:szCs w:val="20"/>
        </w:rPr>
        <w:t>calendar quarters</w:t>
      </w:r>
      <w:r>
        <w:rPr>
          <w:rFonts w:ascii="Arial" w:hAnsi="Arial" w:cs="Arial"/>
          <w:sz w:val="20"/>
          <w:szCs w:val="20"/>
        </w:rPr>
        <w:t xml:space="preserve"> </w:t>
      </w:r>
      <w:r w:rsidRPr="006417C1">
        <w:rPr>
          <w:rFonts w:ascii="Arial" w:hAnsi="Arial" w:cs="Arial"/>
          <w:sz w:val="20"/>
          <w:szCs w:val="20"/>
        </w:rPr>
        <w:t>as illustrated in the example below</w:t>
      </w:r>
      <w:r w:rsidRPr="00280E80">
        <w:rPr>
          <w:rFonts w:ascii="Arial" w:hAnsi="Arial" w:cs="Arial"/>
          <w:sz w:val="20"/>
          <w:szCs w:val="20"/>
        </w:rPr>
        <w:t>.</w:t>
      </w:r>
    </w:p>
    <w:p w:rsidR="001B7554" w:rsidP="00B828C7" w:rsidRDefault="001B7554">
      <w:pPr>
        <w:pStyle w:val="NoSpacing"/>
        <w:tabs>
          <w:tab w:val="left" w:pos="1080"/>
        </w:tabs>
        <w:ind w:left="1080" w:hanging="1080"/>
        <w:rPr>
          <w:b/>
          <w:sz w:val="20"/>
          <w:u w:val="single"/>
        </w:rPr>
      </w:pPr>
    </w:p>
    <w:p w:rsidR="001B7554" w:rsidP="00B828C7" w:rsidRDefault="001B7554">
      <w:pPr>
        <w:pStyle w:val="NoSpacing"/>
        <w:tabs>
          <w:tab w:val="left" w:pos="1080"/>
        </w:tabs>
        <w:ind w:left="1080"/>
        <w:rPr>
          <w:rFonts w:ascii="Arial" w:hAnsi="Arial" w:cs="Arial"/>
          <w:sz w:val="20"/>
          <w:szCs w:val="20"/>
        </w:rPr>
      </w:pPr>
      <w:bookmarkStart w:name="_Hlk35935766" w:id="1"/>
      <w:r w:rsidRPr="00AF5222">
        <w:rPr>
          <w:rFonts w:ascii="Arial" w:hAnsi="Arial" w:cs="Arial"/>
          <w:b/>
          <w:i/>
          <w:sz w:val="20"/>
          <w:szCs w:val="20"/>
        </w:rPr>
        <w:t>Example</w:t>
      </w:r>
      <w:r w:rsidRPr="00313BCF">
        <w:rPr>
          <w:rFonts w:ascii="Arial" w:hAnsi="Arial"/>
          <w:b/>
          <w:i/>
          <w:sz w:val="20"/>
        </w:rPr>
        <w:t xml:space="preserve"> and </w:t>
      </w:r>
      <w:r w:rsidRPr="00AF5222">
        <w:rPr>
          <w:rFonts w:ascii="Arial" w:hAnsi="Arial" w:cs="Arial"/>
          <w:b/>
          <w:i/>
          <w:sz w:val="20"/>
          <w:szCs w:val="20"/>
        </w:rPr>
        <w:t>a worksheet calculation:</w:t>
      </w:r>
      <w:r w:rsidRPr="00AF5222">
        <w:rPr>
          <w:rFonts w:cs="Arial"/>
          <w:sz w:val="20"/>
        </w:rPr>
        <w:t xml:space="preserve">  </w:t>
      </w:r>
      <w:bookmarkEnd w:id="1"/>
      <w:r>
        <w:rPr>
          <w:rFonts w:ascii="Arial" w:hAnsi="Arial" w:cs="Arial"/>
          <w:sz w:val="20"/>
          <w:szCs w:val="20"/>
        </w:rPr>
        <w:t xml:space="preserve"> </w:t>
      </w:r>
    </w:p>
    <w:p w:rsidRPr="00313BCF" w:rsidR="001B7554" w:rsidP="00313BCF" w:rsidRDefault="001B7554">
      <w:pPr>
        <w:pStyle w:val="Heading7"/>
        <w:ind w:left="0"/>
      </w:pPr>
      <w:r>
        <w:rPr>
          <w:rFonts w:cs="Arial"/>
        </w:rPr>
        <w:tab/>
      </w:r>
      <w:bookmarkStart w:name="_Hlk35935750" w:id="2"/>
    </w:p>
    <w:p w:rsidRPr="0099617C" w:rsidR="001B7554" w:rsidP="00AF5222" w:rsidRDefault="001B7554">
      <w:pPr>
        <w:pStyle w:val="Heading7"/>
        <w:ind w:left="360" w:firstLine="720"/>
        <w:rPr>
          <w:rFonts w:eastAsia="Calibri"/>
        </w:rPr>
      </w:pPr>
      <w:r w:rsidRPr="0099617C">
        <w:rPr>
          <w:rFonts w:eastAsia="Calibri"/>
        </w:rPr>
        <w:t xml:space="preserve">Assumptions: </w:t>
      </w:r>
      <w:r>
        <w:rPr>
          <w:rFonts w:eastAsia="Calibri"/>
        </w:rPr>
        <w:t xml:space="preserve"> </w:t>
      </w:r>
    </w:p>
    <w:p w:rsidRPr="0099617C" w:rsidR="001B7554" w:rsidP="00902A1E" w:rsidRDefault="001B7554">
      <w:pPr>
        <w:tabs>
          <w:tab w:val="left" w:pos="1080"/>
        </w:tabs>
        <w:ind w:left="1080" w:hanging="1080"/>
        <w:rPr>
          <w:rFonts w:eastAsia="Calibri" w:cs="Arial"/>
          <w:sz w:val="20"/>
        </w:rPr>
      </w:pPr>
    </w:p>
    <w:p w:rsidRPr="00B95D07" w:rsidR="001B7554" w:rsidP="000F6B5E" w:rsidRDefault="001B7554">
      <w:pPr>
        <w:pStyle w:val="NoSpacing"/>
        <w:numPr>
          <w:ilvl w:val="0"/>
          <w:numId w:val="3"/>
        </w:numPr>
      </w:pPr>
      <w:r w:rsidRPr="00B95D07">
        <w:t>Eligible retained income is calculated for Call Report date of March 31, 2020.</w:t>
      </w:r>
    </w:p>
    <w:p w:rsidR="001B7554" w:rsidP="001B7554" w:rsidRDefault="001B7554">
      <w:pPr>
        <w:pStyle w:val="NoSpacing"/>
        <w:numPr>
          <w:ilvl w:val="0"/>
          <w:numId w:val="3"/>
        </w:numPr>
        <w:tabs>
          <w:tab w:val="left" w:pos="1080"/>
        </w:tabs>
        <w:rPr>
          <w:rFonts w:ascii="Arial" w:hAnsi="Arial" w:cs="Arial"/>
          <w:sz w:val="20"/>
          <w:szCs w:val="20"/>
        </w:rPr>
      </w:pPr>
      <w:r>
        <w:rPr>
          <w:rFonts w:ascii="Arial" w:hAnsi="Arial" w:cs="Arial"/>
          <w:sz w:val="20"/>
          <w:szCs w:val="20"/>
        </w:rPr>
        <w:t xml:space="preserve">The institution reported the following on its Call Reports in Schedule RI, </w:t>
      </w:r>
      <w:r w:rsidRPr="00586A69">
        <w:rPr>
          <w:rFonts w:ascii="Arial" w:hAnsi="Arial" w:cs="Arial"/>
          <w:i/>
          <w:sz w:val="20"/>
          <w:szCs w:val="20"/>
        </w:rPr>
        <w:t>Income Statement</w:t>
      </w:r>
      <w:r>
        <w:rPr>
          <w:rFonts w:ascii="Arial" w:hAnsi="Arial" w:cs="Arial"/>
          <w:sz w:val="20"/>
          <w:szCs w:val="20"/>
        </w:rPr>
        <w:t>, item 14, “Net income (loss) attributable to bank (item 12 minus item 13)”:</w:t>
      </w:r>
    </w:p>
    <w:p w:rsidR="001B7554" w:rsidP="00B91E5B" w:rsidRDefault="001B7554">
      <w:pPr>
        <w:pStyle w:val="NoSpacing"/>
        <w:tabs>
          <w:tab w:val="left" w:pos="1080"/>
        </w:tabs>
        <w:ind w:left="2160"/>
        <w:rPr>
          <w:rFonts w:ascii="Arial" w:hAnsi="Arial" w:cs="Arial"/>
          <w:sz w:val="20"/>
          <w:szCs w:val="20"/>
        </w:rPr>
      </w:pPr>
    </w:p>
    <w:tbl>
      <w:tblPr>
        <w:tblStyle w:val="TableGrid"/>
        <w:tblW w:w="0" w:type="auto"/>
        <w:tblInd w:w="2160" w:type="dxa"/>
        <w:tblLook w:val="04A0" w:firstRow="1" w:lastRow="0" w:firstColumn="1" w:lastColumn="0" w:noHBand="0" w:noVBand="1"/>
      </w:tblPr>
      <w:tblGrid>
        <w:gridCol w:w="2442"/>
        <w:gridCol w:w="2388"/>
        <w:gridCol w:w="2360"/>
      </w:tblGrid>
      <w:tr w:rsidR="001B7554" w:rsidTr="004C6960">
        <w:tc>
          <w:tcPr>
            <w:tcW w:w="2442" w:type="dxa"/>
            <w:vAlign w:val="bottom"/>
          </w:tcPr>
          <w:p w:rsidRPr="004C6960" w:rsidR="001B7554" w:rsidP="00586A69" w:rsidRDefault="001B7554">
            <w:pPr>
              <w:pStyle w:val="NoSpacing"/>
              <w:tabs>
                <w:tab w:val="left" w:pos="1080"/>
              </w:tabs>
              <w:rPr>
                <w:rFonts w:ascii="Arial" w:hAnsi="Arial" w:cs="Arial"/>
                <w:b/>
              </w:rPr>
            </w:pPr>
            <w:r w:rsidRPr="004C6960">
              <w:rPr>
                <w:rFonts w:ascii="Arial" w:hAnsi="Arial" w:cs="Arial"/>
                <w:b/>
              </w:rPr>
              <w:t>Call Report Date</w:t>
            </w:r>
          </w:p>
          <w:p w:rsidRPr="004C6960" w:rsidR="001B7554" w:rsidP="00586A69" w:rsidRDefault="001B7554">
            <w:pPr>
              <w:pStyle w:val="NoSpacing"/>
              <w:tabs>
                <w:tab w:val="left" w:pos="1080"/>
              </w:tabs>
              <w:rPr>
                <w:rFonts w:ascii="Arial" w:hAnsi="Arial" w:cs="Arial"/>
                <w:b/>
              </w:rPr>
            </w:pPr>
          </w:p>
        </w:tc>
        <w:tc>
          <w:tcPr>
            <w:tcW w:w="2388" w:type="dxa"/>
            <w:vAlign w:val="bottom"/>
          </w:tcPr>
          <w:p w:rsidRPr="004C6960" w:rsidR="001B7554" w:rsidP="00586A69" w:rsidRDefault="001B7554">
            <w:pPr>
              <w:pStyle w:val="NoSpacing"/>
              <w:tabs>
                <w:tab w:val="left" w:pos="1080"/>
              </w:tabs>
              <w:rPr>
                <w:rFonts w:ascii="Arial" w:hAnsi="Arial" w:cs="Arial"/>
                <w:b/>
              </w:rPr>
            </w:pPr>
            <w:r w:rsidRPr="004C6960">
              <w:rPr>
                <w:rFonts w:ascii="Arial" w:hAnsi="Arial" w:cs="Arial"/>
                <w:b/>
              </w:rPr>
              <w:t xml:space="preserve">Amount Reported in Item 14 </w:t>
            </w:r>
          </w:p>
        </w:tc>
        <w:tc>
          <w:tcPr>
            <w:tcW w:w="2360" w:type="dxa"/>
            <w:vAlign w:val="bottom"/>
          </w:tcPr>
          <w:p w:rsidRPr="004C6960" w:rsidR="001B7554" w:rsidP="00586A69" w:rsidRDefault="001B7554">
            <w:pPr>
              <w:pStyle w:val="NoSpacing"/>
              <w:tabs>
                <w:tab w:val="left" w:pos="1080"/>
              </w:tabs>
              <w:rPr>
                <w:rFonts w:ascii="Arial" w:hAnsi="Arial" w:cs="Arial"/>
                <w:b/>
              </w:rPr>
            </w:pPr>
            <w:r>
              <w:rPr>
                <w:rFonts w:ascii="Arial" w:hAnsi="Arial" w:cs="Arial"/>
                <w:b/>
              </w:rPr>
              <w:t>Three Month N</w:t>
            </w:r>
            <w:r w:rsidRPr="004C6960">
              <w:rPr>
                <w:rFonts w:ascii="Arial" w:hAnsi="Arial" w:cs="Arial"/>
                <w:b/>
              </w:rPr>
              <w:t xml:space="preserve">et Income </w:t>
            </w:r>
          </w:p>
        </w:tc>
      </w:tr>
      <w:tr w:rsidR="001B7554" w:rsidTr="00C14C30">
        <w:tc>
          <w:tcPr>
            <w:tcW w:w="2442" w:type="dxa"/>
          </w:tcPr>
          <w:p w:rsidR="001B7554" w:rsidP="00586A69" w:rsidRDefault="001B7554">
            <w:pPr>
              <w:pStyle w:val="NoSpacing"/>
              <w:tabs>
                <w:tab w:val="left" w:pos="1080"/>
              </w:tabs>
              <w:rPr>
                <w:rFonts w:ascii="Arial" w:hAnsi="Arial" w:cs="Arial"/>
              </w:rPr>
            </w:pPr>
            <w:r>
              <w:rPr>
                <w:rFonts w:ascii="Arial" w:hAnsi="Arial" w:cs="Arial"/>
              </w:rPr>
              <w:t>March 31, 2019</w:t>
            </w:r>
          </w:p>
        </w:tc>
        <w:tc>
          <w:tcPr>
            <w:tcW w:w="2388" w:type="dxa"/>
          </w:tcPr>
          <w:p w:rsidR="001B7554" w:rsidP="00586A69" w:rsidRDefault="001B7554">
            <w:pPr>
              <w:pStyle w:val="NoSpacing"/>
              <w:tabs>
                <w:tab w:val="left" w:pos="1080"/>
              </w:tabs>
              <w:rPr>
                <w:rFonts w:ascii="Arial" w:hAnsi="Arial" w:cs="Arial"/>
              </w:rPr>
            </w:pPr>
            <w:r>
              <w:rPr>
                <w:rFonts w:ascii="Arial" w:hAnsi="Arial" w:cs="Arial"/>
              </w:rPr>
              <w:t>$400 (A)</w:t>
            </w:r>
          </w:p>
        </w:tc>
        <w:tc>
          <w:tcPr>
            <w:tcW w:w="2360" w:type="dxa"/>
          </w:tcPr>
          <w:p w:rsidR="001B7554" w:rsidP="00586A69" w:rsidRDefault="001B7554">
            <w:pPr>
              <w:pStyle w:val="NoSpacing"/>
              <w:tabs>
                <w:tab w:val="left" w:pos="1080"/>
              </w:tabs>
              <w:rPr>
                <w:rFonts w:ascii="Arial" w:hAnsi="Arial" w:cs="Arial"/>
              </w:rPr>
            </w:pPr>
            <w:r>
              <w:rPr>
                <w:rFonts w:ascii="Arial" w:hAnsi="Arial" w:cs="Arial"/>
              </w:rPr>
              <w:t>$400</w:t>
            </w:r>
          </w:p>
        </w:tc>
      </w:tr>
      <w:tr w:rsidR="001B7554" w:rsidTr="00C14C30">
        <w:tc>
          <w:tcPr>
            <w:tcW w:w="2442" w:type="dxa"/>
          </w:tcPr>
          <w:p w:rsidR="001B7554" w:rsidP="00586A69" w:rsidRDefault="001B7554">
            <w:pPr>
              <w:pStyle w:val="NoSpacing"/>
              <w:tabs>
                <w:tab w:val="left" w:pos="1080"/>
              </w:tabs>
              <w:rPr>
                <w:rFonts w:ascii="Arial" w:hAnsi="Arial" w:cs="Arial"/>
              </w:rPr>
            </w:pPr>
            <w:r>
              <w:rPr>
                <w:rFonts w:ascii="Arial" w:hAnsi="Arial" w:cs="Arial"/>
              </w:rPr>
              <w:t>June 30, 2019</w:t>
            </w:r>
          </w:p>
        </w:tc>
        <w:tc>
          <w:tcPr>
            <w:tcW w:w="2388" w:type="dxa"/>
          </w:tcPr>
          <w:p w:rsidR="001B7554" w:rsidP="00586A69" w:rsidRDefault="001B7554">
            <w:pPr>
              <w:pStyle w:val="NoSpacing"/>
              <w:tabs>
                <w:tab w:val="left" w:pos="1080"/>
              </w:tabs>
              <w:rPr>
                <w:rFonts w:ascii="Arial" w:hAnsi="Arial" w:cs="Arial"/>
              </w:rPr>
            </w:pPr>
            <w:r>
              <w:rPr>
                <w:rFonts w:ascii="Arial" w:hAnsi="Arial" w:cs="Arial"/>
              </w:rPr>
              <w:t>$900 (B)</w:t>
            </w:r>
          </w:p>
        </w:tc>
        <w:tc>
          <w:tcPr>
            <w:tcW w:w="2360" w:type="dxa"/>
          </w:tcPr>
          <w:p w:rsidR="001B7554" w:rsidP="00586A69" w:rsidRDefault="001B7554">
            <w:pPr>
              <w:pStyle w:val="NoSpacing"/>
              <w:tabs>
                <w:tab w:val="left" w:pos="1080"/>
              </w:tabs>
              <w:rPr>
                <w:rFonts w:ascii="Arial" w:hAnsi="Arial" w:cs="Arial"/>
              </w:rPr>
            </w:pPr>
            <w:r>
              <w:rPr>
                <w:rFonts w:ascii="Arial" w:hAnsi="Arial" w:cs="Arial"/>
              </w:rPr>
              <w:t>$500 (B-A)</w:t>
            </w:r>
          </w:p>
        </w:tc>
      </w:tr>
      <w:tr w:rsidR="001B7554" w:rsidTr="00C14C30">
        <w:tc>
          <w:tcPr>
            <w:tcW w:w="2442" w:type="dxa"/>
          </w:tcPr>
          <w:p w:rsidR="001B7554" w:rsidP="00586A69" w:rsidRDefault="001B7554">
            <w:pPr>
              <w:pStyle w:val="NoSpacing"/>
              <w:tabs>
                <w:tab w:val="left" w:pos="1080"/>
              </w:tabs>
              <w:rPr>
                <w:rFonts w:ascii="Arial" w:hAnsi="Arial" w:cs="Arial"/>
              </w:rPr>
            </w:pPr>
            <w:r>
              <w:rPr>
                <w:rFonts w:ascii="Arial" w:hAnsi="Arial" w:cs="Arial"/>
              </w:rPr>
              <w:t>September 30, 2019</w:t>
            </w:r>
          </w:p>
        </w:tc>
        <w:tc>
          <w:tcPr>
            <w:tcW w:w="2388" w:type="dxa"/>
          </w:tcPr>
          <w:p w:rsidR="001B7554" w:rsidP="00586A69" w:rsidRDefault="001B7554">
            <w:pPr>
              <w:pStyle w:val="NoSpacing"/>
              <w:tabs>
                <w:tab w:val="left" w:pos="1080"/>
              </w:tabs>
              <w:rPr>
                <w:rFonts w:ascii="Arial" w:hAnsi="Arial" w:cs="Arial"/>
              </w:rPr>
            </w:pPr>
            <w:r>
              <w:rPr>
                <w:rFonts w:ascii="Arial" w:hAnsi="Arial" w:cs="Arial"/>
              </w:rPr>
              <w:t>$1,500 (C)</w:t>
            </w:r>
          </w:p>
        </w:tc>
        <w:tc>
          <w:tcPr>
            <w:tcW w:w="2360" w:type="dxa"/>
          </w:tcPr>
          <w:p w:rsidR="001B7554" w:rsidP="00586A69" w:rsidRDefault="001B7554">
            <w:pPr>
              <w:pStyle w:val="NoSpacing"/>
              <w:tabs>
                <w:tab w:val="left" w:pos="1080"/>
              </w:tabs>
              <w:rPr>
                <w:rFonts w:ascii="Arial" w:hAnsi="Arial" w:cs="Arial"/>
              </w:rPr>
            </w:pPr>
            <w:r>
              <w:rPr>
                <w:rFonts w:ascii="Arial" w:hAnsi="Arial" w:cs="Arial"/>
              </w:rPr>
              <w:t>$600 (C-B)</w:t>
            </w:r>
          </w:p>
        </w:tc>
      </w:tr>
      <w:tr w:rsidR="001B7554" w:rsidTr="00C14C30">
        <w:tc>
          <w:tcPr>
            <w:tcW w:w="2442" w:type="dxa"/>
          </w:tcPr>
          <w:p w:rsidR="001B7554" w:rsidP="00586A69" w:rsidRDefault="001B7554">
            <w:pPr>
              <w:pStyle w:val="NoSpacing"/>
              <w:tabs>
                <w:tab w:val="left" w:pos="1080"/>
              </w:tabs>
              <w:rPr>
                <w:rFonts w:ascii="Arial" w:hAnsi="Arial" w:cs="Arial"/>
              </w:rPr>
            </w:pPr>
            <w:r>
              <w:rPr>
                <w:rFonts w:ascii="Arial" w:hAnsi="Arial" w:cs="Arial"/>
              </w:rPr>
              <w:t>December 31, 2019</w:t>
            </w:r>
          </w:p>
        </w:tc>
        <w:tc>
          <w:tcPr>
            <w:tcW w:w="2388" w:type="dxa"/>
          </w:tcPr>
          <w:p w:rsidR="001B7554" w:rsidP="00586A69" w:rsidRDefault="001B7554">
            <w:pPr>
              <w:pStyle w:val="NoSpacing"/>
              <w:tabs>
                <w:tab w:val="left" w:pos="1080"/>
              </w:tabs>
              <w:rPr>
                <w:rFonts w:ascii="Arial" w:hAnsi="Arial" w:cs="Arial"/>
              </w:rPr>
            </w:pPr>
            <w:r>
              <w:rPr>
                <w:rFonts w:ascii="Arial" w:hAnsi="Arial" w:cs="Arial"/>
              </w:rPr>
              <w:t>$1,900 (D)</w:t>
            </w:r>
          </w:p>
        </w:tc>
        <w:tc>
          <w:tcPr>
            <w:tcW w:w="2360" w:type="dxa"/>
          </w:tcPr>
          <w:p w:rsidR="001B7554" w:rsidP="00586A69" w:rsidRDefault="001B7554">
            <w:pPr>
              <w:pStyle w:val="NoSpacing"/>
              <w:tabs>
                <w:tab w:val="left" w:pos="1080"/>
              </w:tabs>
              <w:rPr>
                <w:rFonts w:ascii="Arial" w:hAnsi="Arial" w:cs="Arial"/>
              </w:rPr>
            </w:pPr>
            <w:r>
              <w:rPr>
                <w:rFonts w:ascii="Arial" w:hAnsi="Arial" w:cs="Arial"/>
              </w:rPr>
              <w:t>$400 (D-C)</w:t>
            </w:r>
          </w:p>
        </w:tc>
      </w:tr>
      <w:tr w:rsidR="001B7554" w:rsidTr="00C14C30">
        <w:tc>
          <w:tcPr>
            <w:tcW w:w="2442" w:type="dxa"/>
          </w:tcPr>
          <w:p w:rsidR="001B7554" w:rsidP="00586A69" w:rsidRDefault="001B7554">
            <w:pPr>
              <w:pStyle w:val="NoSpacing"/>
              <w:tabs>
                <w:tab w:val="left" w:pos="1080"/>
              </w:tabs>
              <w:rPr>
                <w:rFonts w:ascii="Arial" w:hAnsi="Arial" w:cs="Arial"/>
              </w:rPr>
            </w:pPr>
            <w:r>
              <w:rPr>
                <w:rFonts w:ascii="Arial" w:hAnsi="Arial" w:cs="Arial"/>
              </w:rPr>
              <w:t>March 31, 2020</w:t>
            </w:r>
          </w:p>
        </w:tc>
        <w:tc>
          <w:tcPr>
            <w:tcW w:w="2388" w:type="dxa"/>
          </w:tcPr>
          <w:p w:rsidR="001B7554" w:rsidP="00586A69" w:rsidRDefault="001B7554">
            <w:pPr>
              <w:pStyle w:val="NoSpacing"/>
              <w:tabs>
                <w:tab w:val="left" w:pos="1080"/>
              </w:tabs>
              <w:rPr>
                <w:rFonts w:ascii="Arial" w:hAnsi="Arial" w:cs="Arial"/>
              </w:rPr>
            </w:pPr>
            <w:r>
              <w:rPr>
                <w:rFonts w:ascii="Arial" w:hAnsi="Arial" w:cs="Arial"/>
              </w:rPr>
              <w:t>$200 (E)</w:t>
            </w:r>
          </w:p>
        </w:tc>
        <w:tc>
          <w:tcPr>
            <w:tcW w:w="2360" w:type="dxa"/>
          </w:tcPr>
          <w:p w:rsidR="001B7554" w:rsidP="00586A69" w:rsidRDefault="001B7554">
            <w:pPr>
              <w:pStyle w:val="NoSpacing"/>
              <w:tabs>
                <w:tab w:val="left" w:pos="1080"/>
              </w:tabs>
              <w:rPr>
                <w:rFonts w:ascii="Arial" w:hAnsi="Arial" w:cs="Arial"/>
              </w:rPr>
            </w:pPr>
            <w:r>
              <w:rPr>
                <w:rFonts w:ascii="Arial" w:hAnsi="Arial" w:cs="Arial"/>
              </w:rPr>
              <w:t>$200 (E)</w:t>
            </w:r>
          </w:p>
        </w:tc>
      </w:tr>
    </w:tbl>
    <w:p w:rsidR="001B7554" w:rsidP="004C6960" w:rsidRDefault="001B7554">
      <w:pPr>
        <w:pStyle w:val="NoSpacing"/>
        <w:tabs>
          <w:tab w:val="left" w:pos="1080"/>
        </w:tabs>
        <w:ind w:left="2160"/>
        <w:rPr>
          <w:rFonts w:cs="Arial"/>
          <w:sz w:val="20"/>
        </w:rPr>
      </w:pPr>
    </w:p>
    <w:p w:rsidR="001B7554" w:rsidP="001B7554" w:rsidRDefault="001B7554">
      <w:pPr>
        <w:pStyle w:val="NoSpacing"/>
        <w:numPr>
          <w:ilvl w:val="0"/>
          <w:numId w:val="4"/>
        </w:numPr>
        <w:tabs>
          <w:tab w:val="left" w:pos="1080"/>
        </w:tabs>
        <w:rPr>
          <w:rFonts w:ascii="Arial" w:hAnsi="Arial" w:cs="Arial"/>
          <w:sz w:val="20"/>
          <w:szCs w:val="20"/>
        </w:rPr>
      </w:pPr>
      <w:r>
        <w:rPr>
          <w:rFonts w:ascii="Arial" w:hAnsi="Arial" w:cs="Arial"/>
          <w:sz w:val="20"/>
          <w:szCs w:val="20"/>
        </w:rPr>
        <w:t xml:space="preserve">The distributions and associated tax effects not already reflected in net income (e.g., dividends declared on the institution’s common stock between April 1, 2019, and March 31, 2020) in this example are $400 per each of the four preceding calendar quarters.  </w:t>
      </w:r>
    </w:p>
    <w:p w:rsidR="001B7554" w:rsidP="00894D76" w:rsidRDefault="001B7554">
      <w:pPr>
        <w:pStyle w:val="NoSpacing"/>
        <w:tabs>
          <w:tab w:val="left" w:pos="1080"/>
        </w:tabs>
        <w:ind w:left="1440"/>
        <w:rPr>
          <w:rFonts w:ascii="Arial" w:hAnsi="Arial" w:cs="Arial"/>
          <w:sz w:val="20"/>
          <w:szCs w:val="20"/>
        </w:rPr>
      </w:pPr>
    </w:p>
    <w:tbl>
      <w:tblPr>
        <w:tblStyle w:val="TableGrid"/>
        <w:tblW w:w="0" w:type="auto"/>
        <w:tblInd w:w="1080" w:type="dxa"/>
        <w:tblLook w:val="04A0" w:firstRow="1" w:lastRow="0" w:firstColumn="1" w:lastColumn="0" w:noHBand="0" w:noVBand="1"/>
      </w:tblPr>
      <w:tblGrid>
        <w:gridCol w:w="2155"/>
        <w:gridCol w:w="1206"/>
        <w:gridCol w:w="1636"/>
        <w:gridCol w:w="1636"/>
        <w:gridCol w:w="1637"/>
      </w:tblGrid>
      <w:tr w:rsidR="001B7554" w:rsidTr="000F6B5E">
        <w:tc>
          <w:tcPr>
            <w:tcW w:w="2155" w:type="dxa"/>
          </w:tcPr>
          <w:p w:rsidR="001B7554" w:rsidP="000852C3" w:rsidRDefault="001B7554">
            <w:pPr>
              <w:pStyle w:val="NoSpacing"/>
              <w:tabs>
                <w:tab w:val="left" w:pos="1080"/>
              </w:tabs>
              <w:rPr>
                <w:rFonts w:ascii="Arial" w:hAnsi="Arial" w:cs="Arial"/>
              </w:rPr>
            </w:pPr>
          </w:p>
        </w:tc>
        <w:tc>
          <w:tcPr>
            <w:tcW w:w="1206" w:type="dxa"/>
          </w:tcPr>
          <w:p w:rsidRPr="00AA0D6B" w:rsidR="001B7554" w:rsidP="000852C3" w:rsidRDefault="001B7554">
            <w:pPr>
              <w:pStyle w:val="NoSpacing"/>
              <w:tabs>
                <w:tab w:val="left" w:pos="1080"/>
              </w:tabs>
              <w:jc w:val="center"/>
              <w:rPr>
                <w:rFonts w:ascii="Arial" w:hAnsi="Arial" w:cs="Arial"/>
                <w:u w:val="single"/>
              </w:rPr>
            </w:pPr>
            <w:r w:rsidRPr="00AA0D6B">
              <w:rPr>
                <w:rFonts w:ascii="Arial" w:hAnsi="Arial" w:cs="Arial"/>
                <w:u w:val="single"/>
              </w:rPr>
              <w:t>Q</w:t>
            </w:r>
            <w:r>
              <w:rPr>
                <w:rFonts w:ascii="Arial" w:hAnsi="Arial" w:cs="Arial"/>
                <w:u w:val="single"/>
              </w:rPr>
              <w:t>2</w:t>
            </w:r>
            <w:r w:rsidRPr="00AA0D6B">
              <w:rPr>
                <w:rFonts w:ascii="Arial" w:hAnsi="Arial" w:cs="Arial"/>
                <w:u w:val="single"/>
              </w:rPr>
              <w:t xml:space="preserve"> 2019</w:t>
            </w:r>
          </w:p>
        </w:tc>
        <w:tc>
          <w:tcPr>
            <w:tcW w:w="1636" w:type="dxa"/>
          </w:tcPr>
          <w:p w:rsidRPr="00AA0D6B" w:rsidR="001B7554" w:rsidP="000852C3" w:rsidRDefault="001B7554">
            <w:pPr>
              <w:pStyle w:val="NoSpacing"/>
              <w:tabs>
                <w:tab w:val="left" w:pos="1080"/>
              </w:tabs>
              <w:jc w:val="center"/>
              <w:rPr>
                <w:rFonts w:ascii="Arial" w:hAnsi="Arial" w:cs="Arial"/>
                <w:u w:val="single"/>
              </w:rPr>
            </w:pPr>
            <w:r w:rsidRPr="00AA0D6B">
              <w:rPr>
                <w:rFonts w:ascii="Arial" w:hAnsi="Arial" w:cs="Arial"/>
                <w:u w:val="single"/>
              </w:rPr>
              <w:t>Q</w:t>
            </w:r>
            <w:r>
              <w:rPr>
                <w:rFonts w:ascii="Arial" w:hAnsi="Arial" w:cs="Arial"/>
                <w:u w:val="single"/>
              </w:rPr>
              <w:t>3</w:t>
            </w:r>
            <w:r w:rsidRPr="00AA0D6B">
              <w:rPr>
                <w:rFonts w:ascii="Arial" w:hAnsi="Arial" w:cs="Arial"/>
                <w:u w:val="single"/>
              </w:rPr>
              <w:t xml:space="preserve"> 2019</w:t>
            </w:r>
          </w:p>
        </w:tc>
        <w:tc>
          <w:tcPr>
            <w:tcW w:w="1636" w:type="dxa"/>
          </w:tcPr>
          <w:p w:rsidRPr="00AA0D6B" w:rsidR="001B7554" w:rsidP="000852C3" w:rsidRDefault="001B7554">
            <w:pPr>
              <w:pStyle w:val="NoSpacing"/>
              <w:tabs>
                <w:tab w:val="left" w:pos="1080"/>
              </w:tabs>
              <w:jc w:val="center"/>
              <w:rPr>
                <w:rFonts w:ascii="Arial" w:hAnsi="Arial" w:cs="Arial"/>
                <w:u w:val="single"/>
              </w:rPr>
            </w:pPr>
            <w:r w:rsidRPr="00AA0D6B">
              <w:rPr>
                <w:rFonts w:ascii="Arial" w:hAnsi="Arial" w:cs="Arial"/>
                <w:u w:val="single"/>
              </w:rPr>
              <w:t>Q</w:t>
            </w:r>
            <w:r>
              <w:rPr>
                <w:rFonts w:ascii="Arial" w:hAnsi="Arial" w:cs="Arial"/>
                <w:u w:val="single"/>
              </w:rPr>
              <w:t>4</w:t>
            </w:r>
            <w:r w:rsidRPr="00AA0D6B">
              <w:rPr>
                <w:rFonts w:ascii="Arial" w:hAnsi="Arial" w:cs="Arial"/>
                <w:u w:val="single"/>
              </w:rPr>
              <w:t xml:space="preserve"> 2019</w:t>
            </w:r>
          </w:p>
        </w:tc>
        <w:tc>
          <w:tcPr>
            <w:tcW w:w="1637" w:type="dxa"/>
          </w:tcPr>
          <w:p w:rsidRPr="00AA0D6B" w:rsidR="001B7554" w:rsidP="000852C3" w:rsidRDefault="001B7554">
            <w:pPr>
              <w:pStyle w:val="NoSpacing"/>
              <w:tabs>
                <w:tab w:val="left" w:pos="1080"/>
              </w:tabs>
              <w:jc w:val="center"/>
              <w:rPr>
                <w:rFonts w:ascii="Arial" w:hAnsi="Arial" w:cs="Arial"/>
                <w:u w:val="single"/>
              </w:rPr>
            </w:pPr>
            <w:r w:rsidRPr="00AA0D6B">
              <w:rPr>
                <w:rFonts w:ascii="Arial" w:hAnsi="Arial" w:cs="Arial"/>
                <w:u w:val="single"/>
              </w:rPr>
              <w:t>Q</w:t>
            </w:r>
            <w:r>
              <w:rPr>
                <w:rFonts w:ascii="Arial" w:hAnsi="Arial" w:cs="Arial"/>
                <w:u w:val="single"/>
              </w:rPr>
              <w:t>1</w:t>
            </w:r>
            <w:r w:rsidRPr="00AA0D6B">
              <w:rPr>
                <w:rFonts w:ascii="Arial" w:hAnsi="Arial" w:cs="Arial"/>
                <w:u w:val="single"/>
              </w:rPr>
              <w:t xml:space="preserve"> 20</w:t>
            </w:r>
            <w:r>
              <w:rPr>
                <w:rFonts w:ascii="Arial" w:hAnsi="Arial" w:cs="Arial"/>
                <w:u w:val="single"/>
              </w:rPr>
              <w:t>20</w:t>
            </w:r>
          </w:p>
        </w:tc>
      </w:tr>
      <w:tr w:rsidR="001B7554" w:rsidTr="000F6B5E">
        <w:tc>
          <w:tcPr>
            <w:tcW w:w="2155" w:type="dxa"/>
          </w:tcPr>
          <w:p w:rsidR="001B7554" w:rsidP="000852C3" w:rsidRDefault="001B7554">
            <w:pPr>
              <w:pStyle w:val="NoSpacing"/>
              <w:tabs>
                <w:tab w:val="left" w:pos="1080"/>
              </w:tabs>
              <w:rPr>
                <w:rFonts w:ascii="Arial" w:hAnsi="Arial" w:cs="Arial"/>
              </w:rPr>
            </w:pPr>
            <w:r>
              <w:rPr>
                <w:rFonts w:ascii="Arial" w:hAnsi="Arial" w:cs="Arial"/>
              </w:rPr>
              <w:t>Net Income</w:t>
            </w:r>
          </w:p>
        </w:tc>
        <w:tc>
          <w:tcPr>
            <w:tcW w:w="1206" w:type="dxa"/>
          </w:tcPr>
          <w:p w:rsidR="001B7554" w:rsidP="000852C3" w:rsidRDefault="001B7554">
            <w:pPr>
              <w:pStyle w:val="NoSpacing"/>
              <w:tabs>
                <w:tab w:val="left" w:pos="1080"/>
              </w:tabs>
              <w:jc w:val="center"/>
              <w:rPr>
                <w:rFonts w:ascii="Arial" w:hAnsi="Arial" w:cs="Arial"/>
              </w:rPr>
            </w:pPr>
            <w:r>
              <w:rPr>
                <w:rFonts w:ascii="Arial" w:hAnsi="Arial" w:cs="Arial"/>
              </w:rPr>
              <w:t>$500</w:t>
            </w:r>
          </w:p>
        </w:tc>
        <w:tc>
          <w:tcPr>
            <w:tcW w:w="1636" w:type="dxa"/>
          </w:tcPr>
          <w:p w:rsidR="001B7554" w:rsidP="000852C3" w:rsidRDefault="001B7554">
            <w:pPr>
              <w:pStyle w:val="NoSpacing"/>
              <w:tabs>
                <w:tab w:val="left" w:pos="1080"/>
              </w:tabs>
              <w:jc w:val="center"/>
              <w:rPr>
                <w:rFonts w:ascii="Arial" w:hAnsi="Arial" w:cs="Arial"/>
              </w:rPr>
            </w:pPr>
            <w:r>
              <w:rPr>
                <w:rFonts w:ascii="Arial" w:hAnsi="Arial" w:cs="Arial"/>
              </w:rPr>
              <w:t>$600</w:t>
            </w:r>
          </w:p>
        </w:tc>
        <w:tc>
          <w:tcPr>
            <w:tcW w:w="1636" w:type="dxa"/>
          </w:tcPr>
          <w:p w:rsidR="001B7554" w:rsidP="000852C3" w:rsidRDefault="001B7554">
            <w:pPr>
              <w:pStyle w:val="NoSpacing"/>
              <w:tabs>
                <w:tab w:val="left" w:pos="1080"/>
              </w:tabs>
              <w:jc w:val="center"/>
              <w:rPr>
                <w:rFonts w:ascii="Arial" w:hAnsi="Arial" w:cs="Arial"/>
              </w:rPr>
            </w:pPr>
            <w:r>
              <w:rPr>
                <w:rFonts w:ascii="Arial" w:hAnsi="Arial" w:cs="Arial"/>
              </w:rPr>
              <w:t>$400</w:t>
            </w:r>
          </w:p>
        </w:tc>
        <w:tc>
          <w:tcPr>
            <w:tcW w:w="1637" w:type="dxa"/>
          </w:tcPr>
          <w:p w:rsidR="001B7554" w:rsidP="000852C3" w:rsidRDefault="001B7554">
            <w:pPr>
              <w:pStyle w:val="NoSpacing"/>
              <w:tabs>
                <w:tab w:val="left" w:pos="1080"/>
              </w:tabs>
              <w:jc w:val="center"/>
              <w:rPr>
                <w:rFonts w:ascii="Arial" w:hAnsi="Arial" w:cs="Arial"/>
              </w:rPr>
            </w:pPr>
            <w:r>
              <w:rPr>
                <w:rFonts w:ascii="Arial" w:hAnsi="Arial" w:cs="Arial"/>
              </w:rPr>
              <w:t>$200</w:t>
            </w:r>
          </w:p>
        </w:tc>
      </w:tr>
      <w:tr w:rsidR="001B7554" w:rsidTr="000F6B5E">
        <w:tc>
          <w:tcPr>
            <w:tcW w:w="2155" w:type="dxa"/>
          </w:tcPr>
          <w:p w:rsidR="001B7554" w:rsidP="000852C3" w:rsidRDefault="001B7554">
            <w:pPr>
              <w:pStyle w:val="NoSpacing"/>
              <w:tabs>
                <w:tab w:val="left" w:pos="1080"/>
              </w:tabs>
              <w:rPr>
                <w:rFonts w:ascii="Arial" w:hAnsi="Arial" w:cs="Arial"/>
              </w:rPr>
            </w:pPr>
            <w:r>
              <w:rPr>
                <w:rFonts w:ascii="Arial" w:hAnsi="Arial" w:cs="Arial"/>
              </w:rPr>
              <w:t>Adjustments for distributions and associated tax effects not already reflected in net income</w:t>
            </w:r>
          </w:p>
        </w:tc>
        <w:tc>
          <w:tcPr>
            <w:tcW w:w="1206" w:type="dxa"/>
          </w:tcPr>
          <w:p w:rsidR="001B7554" w:rsidP="000852C3" w:rsidRDefault="001B7554">
            <w:pPr>
              <w:pStyle w:val="NoSpacing"/>
              <w:tabs>
                <w:tab w:val="left" w:pos="1080"/>
              </w:tabs>
              <w:jc w:val="center"/>
              <w:rPr>
                <w:rFonts w:ascii="Arial" w:hAnsi="Arial" w:cs="Arial"/>
              </w:rPr>
            </w:pPr>
            <w:r>
              <w:rPr>
                <w:rFonts w:ascii="Arial" w:hAnsi="Arial" w:cs="Arial"/>
              </w:rPr>
              <w:t>($400)</w:t>
            </w:r>
          </w:p>
        </w:tc>
        <w:tc>
          <w:tcPr>
            <w:tcW w:w="1636" w:type="dxa"/>
          </w:tcPr>
          <w:p w:rsidR="001B7554" w:rsidP="000852C3" w:rsidRDefault="001B7554">
            <w:pPr>
              <w:pStyle w:val="NoSpacing"/>
              <w:tabs>
                <w:tab w:val="left" w:pos="1080"/>
              </w:tabs>
              <w:jc w:val="center"/>
              <w:rPr>
                <w:rFonts w:ascii="Arial" w:hAnsi="Arial" w:cs="Arial"/>
              </w:rPr>
            </w:pPr>
            <w:r>
              <w:rPr>
                <w:rFonts w:ascii="Arial" w:hAnsi="Arial" w:cs="Arial"/>
              </w:rPr>
              <w:t>($400)</w:t>
            </w:r>
          </w:p>
        </w:tc>
        <w:tc>
          <w:tcPr>
            <w:tcW w:w="1636" w:type="dxa"/>
          </w:tcPr>
          <w:p w:rsidR="001B7554" w:rsidP="000852C3" w:rsidRDefault="001B7554">
            <w:pPr>
              <w:pStyle w:val="NoSpacing"/>
              <w:tabs>
                <w:tab w:val="left" w:pos="1080"/>
              </w:tabs>
              <w:jc w:val="center"/>
              <w:rPr>
                <w:rFonts w:ascii="Arial" w:hAnsi="Arial" w:cs="Arial"/>
              </w:rPr>
            </w:pPr>
            <w:r>
              <w:rPr>
                <w:rFonts w:ascii="Arial" w:hAnsi="Arial" w:cs="Arial"/>
              </w:rPr>
              <w:t>($400)</w:t>
            </w:r>
          </w:p>
        </w:tc>
        <w:tc>
          <w:tcPr>
            <w:tcW w:w="1637" w:type="dxa"/>
          </w:tcPr>
          <w:p w:rsidR="001B7554" w:rsidP="000852C3" w:rsidRDefault="001B7554">
            <w:pPr>
              <w:pStyle w:val="NoSpacing"/>
              <w:tabs>
                <w:tab w:val="left" w:pos="1080"/>
              </w:tabs>
              <w:jc w:val="center"/>
              <w:rPr>
                <w:rFonts w:ascii="Arial" w:hAnsi="Arial" w:cs="Arial"/>
              </w:rPr>
            </w:pPr>
            <w:r>
              <w:rPr>
                <w:rFonts w:ascii="Arial" w:hAnsi="Arial" w:cs="Arial"/>
              </w:rPr>
              <w:t>($400)</w:t>
            </w:r>
          </w:p>
        </w:tc>
      </w:tr>
      <w:tr w:rsidR="001B7554" w:rsidTr="000F6B5E">
        <w:tc>
          <w:tcPr>
            <w:tcW w:w="2155" w:type="dxa"/>
          </w:tcPr>
          <w:p w:rsidR="001B7554" w:rsidP="000852C3" w:rsidRDefault="001B7554">
            <w:pPr>
              <w:pStyle w:val="NoSpacing"/>
              <w:tabs>
                <w:tab w:val="left" w:pos="1080"/>
              </w:tabs>
              <w:rPr>
                <w:rFonts w:ascii="Arial" w:hAnsi="Arial" w:cs="Arial"/>
              </w:rPr>
            </w:pPr>
            <w:r>
              <w:rPr>
                <w:rFonts w:ascii="Arial" w:hAnsi="Arial" w:cs="Arial"/>
              </w:rPr>
              <w:t xml:space="preserve">Adjusted Net Income </w:t>
            </w:r>
          </w:p>
          <w:p w:rsidR="001B7554" w:rsidP="000852C3" w:rsidRDefault="001B7554">
            <w:pPr>
              <w:pStyle w:val="NoSpacing"/>
              <w:tabs>
                <w:tab w:val="left" w:pos="1080"/>
              </w:tabs>
              <w:rPr>
                <w:rFonts w:ascii="Arial" w:hAnsi="Arial" w:cs="Arial"/>
              </w:rPr>
            </w:pPr>
            <w:r>
              <w:rPr>
                <w:rFonts w:ascii="Arial" w:hAnsi="Arial" w:cs="Arial"/>
              </w:rPr>
              <w:t>(Net Income – Adjustments)</w:t>
            </w:r>
          </w:p>
        </w:tc>
        <w:tc>
          <w:tcPr>
            <w:tcW w:w="1206" w:type="dxa"/>
          </w:tcPr>
          <w:p w:rsidR="001B7554" w:rsidP="000852C3" w:rsidRDefault="001B7554">
            <w:pPr>
              <w:pStyle w:val="NoSpacing"/>
              <w:tabs>
                <w:tab w:val="left" w:pos="1080"/>
              </w:tabs>
              <w:jc w:val="center"/>
              <w:rPr>
                <w:rFonts w:ascii="Arial" w:hAnsi="Arial" w:cs="Arial"/>
              </w:rPr>
            </w:pPr>
            <w:r>
              <w:rPr>
                <w:rFonts w:ascii="Arial" w:hAnsi="Arial" w:cs="Arial"/>
              </w:rPr>
              <w:t>$100</w:t>
            </w:r>
          </w:p>
        </w:tc>
        <w:tc>
          <w:tcPr>
            <w:tcW w:w="1636" w:type="dxa"/>
          </w:tcPr>
          <w:p w:rsidR="001B7554" w:rsidP="000852C3" w:rsidRDefault="001B7554">
            <w:pPr>
              <w:pStyle w:val="NoSpacing"/>
              <w:tabs>
                <w:tab w:val="left" w:pos="1080"/>
              </w:tabs>
              <w:jc w:val="center"/>
              <w:rPr>
                <w:rFonts w:ascii="Arial" w:hAnsi="Arial" w:cs="Arial"/>
              </w:rPr>
            </w:pPr>
            <w:r>
              <w:rPr>
                <w:rFonts w:ascii="Arial" w:hAnsi="Arial" w:cs="Arial"/>
              </w:rPr>
              <w:t>$200</w:t>
            </w:r>
          </w:p>
        </w:tc>
        <w:tc>
          <w:tcPr>
            <w:tcW w:w="1636" w:type="dxa"/>
          </w:tcPr>
          <w:p w:rsidR="001B7554" w:rsidP="000852C3" w:rsidRDefault="001B7554">
            <w:pPr>
              <w:pStyle w:val="NoSpacing"/>
              <w:tabs>
                <w:tab w:val="left" w:pos="1080"/>
              </w:tabs>
              <w:jc w:val="center"/>
              <w:rPr>
                <w:rFonts w:ascii="Arial" w:hAnsi="Arial" w:cs="Arial"/>
              </w:rPr>
            </w:pPr>
            <w:r>
              <w:rPr>
                <w:rFonts w:ascii="Arial" w:hAnsi="Arial" w:cs="Arial"/>
              </w:rPr>
              <w:t>$0</w:t>
            </w:r>
          </w:p>
        </w:tc>
        <w:tc>
          <w:tcPr>
            <w:tcW w:w="1637" w:type="dxa"/>
          </w:tcPr>
          <w:p w:rsidR="001B7554" w:rsidP="000852C3" w:rsidRDefault="001B7554">
            <w:pPr>
              <w:pStyle w:val="NoSpacing"/>
              <w:tabs>
                <w:tab w:val="left" w:pos="1080"/>
              </w:tabs>
              <w:jc w:val="center"/>
              <w:rPr>
                <w:rFonts w:ascii="Arial" w:hAnsi="Arial" w:cs="Arial"/>
              </w:rPr>
            </w:pPr>
            <w:r>
              <w:rPr>
                <w:rFonts w:ascii="Arial" w:hAnsi="Arial" w:cs="Arial"/>
              </w:rPr>
              <w:t>($200)</w:t>
            </w:r>
          </w:p>
        </w:tc>
      </w:tr>
    </w:tbl>
    <w:p w:rsidR="000F6B5E" w:rsidP="00B828C7" w:rsidRDefault="000F6B5E">
      <w:pPr>
        <w:pStyle w:val="NoSpacing"/>
        <w:tabs>
          <w:tab w:val="left" w:pos="1080"/>
        </w:tabs>
        <w:rPr>
          <w:rFonts w:ascii="Arial" w:hAnsi="Arial" w:cs="Arial"/>
          <w:b/>
          <w:sz w:val="20"/>
          <w:szCs w:val="20"/>
        </w:rPr>
      </w:pPr>
    </w:p>
    <w:p w:rsidRPr="00A3635E" w:rsidR="001B7554" w:rsidP="00B828C7" w:rsidRDefault="00A3635E">
      <w:pPr>
        <w:pStyle w:val="NoSpacing"/>
        <w:tabs>
          <w:tab w:val="left" w:pos="1080"/>
        </w:tabs>
        <w:rPr>
          <w:rFonts w:ascii="Arial" w:hAnsi="Arial" w:cs="Arial"/>
          <w:b/>
          <w:sz w:val="20"/>
          <w:szCs w:val="20"/>
        </w:rPr>
      </w:pPr>
      <w:r w:rsidRPr="00A3635E">
        <w:rPr>
          <w:rFonts w:ascii="Arial" w:hAnsi="Arial" w:cs="Arial"/>
          <w:b/>
          <w:sz w:val="20"/>
          <w:szCs w:val="20"/>
        </w:rPr>
        <w:lastRenderedPageBreak/>
        <w:t>Schedule RC-R, Part I</w:t>
      </w:r>
    </w:p>
    <w:p w:rsidR="00A3635E" w:rsidP="00B828C7" w:rsidRDefault="00A3635E">
      <w:pPr>
        <w:pStyle w:val="NoSpacing"/>
        <w:tabs>
          <w:tab w:val="left" w:pos="1080"/>
        </w:tabs>
        <w:rPr>
          <w:rFonts w:ascii="Arial" w:hAnsi="Arial" w:cs="Arial"/>
          <w:b/>
          <w:sz w:val="20"/>
          <w:szCs w:val="20"/>
          <w:u w:val="single"/>
        </w:rPr>
      </w:pPr>
    </w:p>
    <w:p w:rsidRPr="00FB289F" w:rsidR="001B7554" w:rsidP="00B828C7" w:rsidRDefault="001B7554">
      <w:pPr>
        <w:pStyle w:val="NoSpacing"/>
        <w:tabs>
          <w:tab w:val="left" w:pos="1080"/>
        </w:tabs>
        <w:rPr>
          <w:rFonts w:ascii="Arial" w:hAnsi="Arial" w:cs="Arial"/>
          <w:b/>
          <w:sz w:val="20"/>
          <w:szCs w:val="20"/>
          <w:u w:val="single"/>
        </w:rPr>
      </w:pPr>
      <w:r w:rsidRPr="00FB289F">
        <w:rPr>
          <w:rFonts w:ascii="Arial" w:hAnsi="Arial" w:cs="Arial"/>
          <w:b/>
          <w:sz w:val="20"/>
          <w:szCs w:val="20"/>
          <w:u w:val="single"/>
        </w:rPr>
        <w:t>Item No.</w:t>
      </w:r>
      <w:r w:rsidRPr="00AE18A6">
        <w:rPr>
          <w:rFonts w:ascii="Arial" w:hAnsi="Arial" w:cs="Arial"/>
          <w:b/>
          <w:sz w:val="20"/>
          <w:szCs w:val="20"/>
        </w:rPr>
        <w:tab/>
      </w:r>
      <w:r w:rsidRPr="00FB289F">
        <w:rPr>
          <w:rFonts w:ascii="Arial" w:hAnsi="Arial" w:cs="Arial"/>
          <w:b/>
          <w:sz w:val="20"/>
          <w:szCs w:val="20"/>
          <w:u w:val="single"/>
        </w:rPr>
        <w:t>Caption and Instructions</w:t>
      </w:r>
    </w:p>
    <w:p w:rsidRPr="00B3389F" w:rsidR="001B7554" w:rsidP="00B828C7" w:rsidRDefault="001B7554">
      <w:pPr>
        <w:pStyle w:val="NoSpacing"/>
        <w:rPr>
          <w:rFonts w:ascii="Arial" w:hAnsi="Arial" w:cs="Arial"/>
          <w:sz w:val="20"/>
          <w:szCs w:val="20"/>
          <w:u w:val="single"/>
        </w:rPr>
      </w:pPr>
    </w:p>
    <w:p w:rsidR="001B7554" w:rsidP="00D41E72" w:rsidRDefault="001B7554">
      <w:pPr>
        <w:pStyle w:val="NoSpacing"/>
      </w:pPr>
      <w:r>
        <w:t xml:space="preserve">   53</w:t>
      </w:r>
    </w:p>
    <w:p w:rsidRPr="0099617C" w:rsidR="001B7554" w:rsidP="00D41E72" w:rsidRDefault="001B7554">
      <w:pPr>
        <w:pStyle w:val="NoSpacing"/>
        <w:rPr>
          <w:i/>
        </w:rPr>
      </w:pPr>
      <w:r>
        <w:rPr>
          <w:i/>
        </w:rPr>
        <w:t>(cont.)</w:t>
      </w:r>
    </w:p>
    <w:tbl>
      <w:tblPr>
        <w:tblW w:w="891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0"/>
        <w:gridCol w:w="6930"/>
        <w:gridCol w:w="1440"/>
      </w:tblGrid>
      <w:tr w:rsidRPr="00FB289F" w:rsidR="001B7554" w:rsidTr="000852C3">
        <w:tc>
          <w:tcPr>
            <w:tcW w:w="540" w:type="dxa"/>
            <w:shd w:val="clear" w:color="auto" w:fill="auto"/>
          </w:tcPr>
          <w:p w:rsidRPr="004F42EA" w:rsidR="001B7554" w:rsidP="000852C3" w:rsidRDefault="001B7554">
            <w:pPr>
              <w:rPr>
                <w:rFonts w:eastAsia="Calibri" w:cs="Arial"/>
                <w:sz w:val="20"/>
                <w:szCs w:val="22"/>
              </w:rPr>
            </w:pPr>
            <w:r w:rsidRPr="004F42EA">
              <w:rPr>
                <w:rFonts w:eastAsia="Calibri" w:cs="Arial"/>
                <w:sz w:val="20"/>
                <w:szCs w:val="22"/>
              </w:rPr>
              <w:br w:type="page"/>
              <w:t>(1)</w:t>
            </w:r>
          </w:p>
        </w:tc>
        <w:tc>
          <w:tcPr>
            <w:tcW w:w="6930" w:type="dxa"/>
            <w:shd w:val="clear" w:color="auto" w:fill="auto"/>
          </w:tcPr>
          <w:p w:rsidRPr="00314953" w:rsidR="001B7554" w:rsidP="000F6B5E" w:rsidRDefault="001B7554">
            <w:pPr>
              <w:pStyle w:val="NoSpacing"/>
              <w:rPr>
                <w:rFonts w:ascii="Arial" w:hAnsi="Arial" w:cs="Arial"/>
                <w:sz w:val="20"/>
                <w:szCs w:val="20"/>
              </w:rPr>
            </w:pPr>
            <w:r w:rsidRPr="00314953">
              <w:rPr>
                <w:rFonts w:ascii="Arial" w:hAnsi="Arial" w:cs="Arial"/>
                <w:sz w:val="20"/>
                <w:szCs w:val="20"/>
              </w:rPr>
              <w:t>Calculate an institution’s net income for the four preceding calendar quarters, net of any distributions and associated tax effects not already reflected in net income</w:t>
            </w:r>
          </w:p>
        </w:tc>
        <w:tc>
          <w:tcPr>
            <w:tcW w:w="1440" w:type="dxa"/>
            <w:shd w:val="clear" w:color="auto" w:fill="auto"/>
          </w:tcPr>
          <w:p w:rsidRPr="00314953" w:rsidR="001B7554" w:rsidP="000F6B5E" w:rsidRDefault="001B7554">
            <w:pPr>
              <w:pStyle w:val="NoSpacing"/>
              <w:rPr>
                <w:rFonts w:ascii="Arial" w:hAnsi="Arial" w:cs="Arial"/>
                <w:sz w:val="20"/>
                <w:szCs w:val="20"/>
              </w:rPr>
            </w:pPr>
            <w:r w:rsidRPr="00314953">
              <w:rPr>
                <w:rFonts w:ascii="Arial" w:hAnsi="Arial" w:cs="Arial"/>
                <w:sz w:val="20"/>
                <w:szCs w:val="20"/>
              </w:rPr>
              <w:t>$100 + $200 + $0 + ($200) = $100</w:t>
            </w:r>
          </w:p>
        </w:tc>
      </w:tr>
      <w:tr w:rsidRPr="00FB289F" w:rsidR="001B7554" w:rsidTr="000852C3">
        <w:tc>
          <w:tcPr>
            <w:tcW w:w="540" w:type="dxa"/>
            <w:shd w:val="clear" w:color="auto" w:fill="auto"/>
          </w:tcPr>
          <w:p w:rsidRPr="004F42EA" w:rsidR="001B7554" w:rsidP="000852C3" w:rsidRDefault="001B7554">
            <w:pPr>
              <w:rPr>
                <w:rFonts w:eastAsia="Calibri" w:cs="Arial"/>
                <w:sz w:val="20"/>
                <w:szCs w:val="22"/>
              </w:rPr>
            </w:pPr>
            <w:r w:rsidRPr="004F42EA">
              <w:rPr>
                <w:rFonts w:eastAsia="Calibri" w:cs="Arial"/>
                <w:sz w:val="20"/>
                <w:szCs w:val="22"/>
              </w:rPr>
              <w:t>(2)</w:t>
            </w:r>
          </w:p>
        </w:tc>
        <w:tc>
          <w:tcPr>
            <w:tcW w:w="6930" w:type="dxa"/>
            <w:shd w:val="clear" w:color="auto" w:fill="auto"/>
          </w:tcPr>
          <w:p w:rsidRPr="00314953" w:rsidR="001B7554" w:rsidP="000F6B5E" w:rsidRDefault="001B7554">
            <w:pPr>
              <w:pStyle w:val="NoSpacing"/>
              <w:rPr>
                <w:rFonts w:ascii="Arial" w:hAnsi="Arial" w:cs="Arial"/>
                <w:sz w:val="20"/>
                <w:szCs w:val="20"/>
              </w:rPr>
            </w:pPr>
            <w:r w:rsidRPr="00314953">
              <w:rPr>
                <w:rFonts w:ascii="Arial" w:hAnsi="Arial" w:cs="Arial"/>
                <w:sz w:val="20"/>
                <w:szCs w:val="20"/>
              </w:rPr>
              <w:t>Calculate the average of an institution’s three-month net income over the four preceding calendar quarters</w:t>
            </w:r>
          </w:p>
        </w:tc>
        <w:tc>
          <w:tcPr>
            <w:tcW w:w="1440" w:type="dxa"/>
            <w:shd w:val="clear" w:color="auto" w:fill="auto"/>
          </w:tcPr>
          <w:p w:rsidRPr="00314953" w:rsidR="001B7554" w:rsidP="000F6B5E" w:rsidRDefault="001B7554">
            <w:pPr>
              <w:pStyle w:val="NoSpacing"/>
              <w:rPr>
                <w:rFonts w:ascii="Arial" w:hAnsi="Arial" w:cs="Arial"/>
                <w:sz w:val="20"/>
                <w:szCs w:val="20"/>
              </w:rPr>
            </w:pPr>
            <w:r w:rsidRPr="00314953">
              <w:rPr>
                <w:rFonts w:ascii="Arial" w:hAnsi="Arial" w:cs="Arial"/>
                <w:sz w:val="20"/>
                <w:szCs w:val="20"/>
              </w:rPr>
              <w:t>($500 + $600 + $400 + $200) / 4 = $425*</w:t>
            </w:r>
          </w:p>
        </w:tc>
      </w:tr>
      <w:tr w:rsidRPr="00FB289F" w:rsidR="001B7554" w:rsidTr="000852C3">
        <w:tc>
          <w:tcPr>
            <w:tcW w:w="540" w:type="dxa"/>
            <w:shd w:val="clear" w:color="auto" w:fill="auto"/>
          </w:tcPr>
          <w:p w:rsidRPr="004F42EA" w:rsidR="001B7554" w:rsidP="000852C3" w:rsidRDefault="001B7554">
            <w:pPr>
              <w:rPr>
                <w:rFonts w:eastAsia="Calibri" w:cs="Arial"/>
                <w:sz w:val="20"/>
                <w:szCs w:val="22"/>
              </w:rPr>
            </w:pPr>
            <w:r w:rsidRPr="004F42EA">
              <w:rPr>
                <w:rFonts w:eastAsia="Calibri" w:cs="Arial"/>
                <w:sz w:val="20"/>
                <w:szCs w:val="22"/>
              </w:rPr>
              <w:t>(3)</w:t>
            </w:r>
          </w:p>
        </w:tc>
        <w:tc>
          <w:tcPr>
            <w:tcW w:w="6930" w:type="dxa"/>
            <w:shd w:val="clear" w:color="auto" w:fill="auto"/>
          </w:tcPr>
          <w:p w:rsidRPr="00314953" w:rsidR="001B7554" w:rsidP="000F6B5E" w:rsidRDefault="001B7554">
            <w:pPr>
              <w:pStyle w:val="NoSpacing"/>
              <w:rPr>
                <w:rFonts w:ascii="Arial" w:hAnsi="Arial" w:cs="Arial"/>
                <w:sz w:val="20"/>
                <w:szCs w:val="20"/>
              </w:rPr>
            </w:pPr>
            <w:r w:rsidRPr="00314953">
              <w:rPr>
                <w:rFonts w:ascii="Arial" w:hAnsi="Arial" w:cs="Arial"/>
                <w:sz w:val="20"/>
                <w:szCs w:val="20"/>
              </w:rPr>
              <w:t xml:space="preserve">Take the greater of step (1) and step (2) and report in Schedule RC-R, Part I, item 53. </w:t>
            </w:r>
          </w:p>
        </w:tc>
        <w:tc>
          <w:tcPr>
            <w:tcW w:w="1440" w:type="dxa"/>
            <w:shd w:val="clear" w:color="auto" w:fill="auto"/>
          </w:tcPr>
          <w:p w:rsidRPr="00314953" w:rsidR="001B7554" w:rsidP="000F6B5E" w:rsidRDefault="001B7554">
            <w:pPr>
              <w:pStyle w:val="NoSpacing"/>
              <w:rPr>
                <w:rFonts w:ascii="Arial" w:hAnsi="Arial" w:cs="Arial"/>
                <w:sz w:val="20"/>
                <w:szCs w:val="20"/>
              </w:rPr>
            </w:pPr>
            <w:r w:rsidRPr="00314953">
              <w:rPr>
                <w:rFonts w:ascii="Arial" w:hAnsi="Arial" w:cs="Arial"/>
                <w:sz w:val="20"/>
                <w:szCs w:val="20"/>
              </w:rPr>
              <w:t>$425</w:t>
            </w:r>
          </w:p>
        </w:tc>
      </w:tr>
    </w:tbl>
    <w:p w:rsidRPr="00FB289F" w:rsidR="001B7554" w:rsidP="00902A1E" w:rsidRDefault="001B7554">
      <w:pPr>
        <w:pStyle w:val="NoSpacing"/>
        <w:tabs>
          <w:tab w:val="left" w:pos="1080"/>
        </w:tabs>
        <w:ind w:left="1080" w:hanging="1080"/>
        <w:rPr>
          <w:rFonts w:ascii="Arial" w:hAnsi="Arial" w:cs="Arial"/>
          <w:sz w:val="20"/>
          <w:szCs w:val="20"/>
        </w:rPr>
      </w:pPr>
    </w:p>
    <w:bookmarkEnd w:id="2"/>
    <w:p w:rsidRPr="00FB289F" w:rsidR="001B7554" w:rsidP="00902A1E" w:rsidRDefault="001B7554">
      <w:pPr>
        <w:pStyle w:val="NoSpacing"/>
        <w:tabs>
          <w:tab w:val="left" w:pos="1080"/>
        </w:tabs>
        <w:ind w:left="1080" w:hanging="1080"/>
        <w:rPr>
          <w:rFonts w:ascii="Arial" w:hAnsi="Arial" w:cs="Arial"/>
          <w:sz w:val="20"/>
          <w:szCs w:val="20"/>
        </w:rPr>
      </w:pPr>
      <w:r>
        <w:rPr>
          <w:rFonts w:cs="Arial"/>
          <w:sz w:val="20"/>
        </w:rPr>
        <w:t xml:space="preserve"> </w:t>
      </w:r>
      <w:r>
        <w:rPr>
          <w:rFonts w:cs="Arial"/>
          <w:sz w:val="20"/>
        </w:rPr>
        <w:tab/>
        <w:t>*</w:t>
      </w:r>
      <w:r w:rsidRPr="00EC65CF">
        <w:rPr>
          <w:rFonts w:ascii="Arial" w:hAnsi="Arial" w:cs="Arial"/>
          <w:sz w:val="20"/>
        </w:rPr>
        <w:t xml:space="preserve">From a practical perspective, an institution can </w:t>
      </w:r>
      <w:r>
        <w:rPr>
          <w:rFonts w:ascii="Arial" w:hAnsi="Arial" w:cs="Arial"/>
          <w:sz w:val="20"/>
        </w:rPr>
        <w:t>use</w:t>
      </w:r>
      <w:r w:rsidRPr="00EC65CF">
        <w:rPr>
          <w:rFonts w:ascii="Arial" w:hAnsi="Arial" w:cs="Arial"/>
          <w:sz w:val="20"/>
        </w:rPr>
        <w:t xml:space="preserve"> the year</w:t>
      </w:r>
      <w:r>
        <w:rPr>
          <w:rFonts w:ascii="Arial" w:hAnsi="Arial" w:cs="Arial"/>
          <w:sz w:val="20"/>
        </w:rPr>
        <w:t>-</w:t>
      </w:r>
      <w:r w:rsidRPr="00EC65CF">
        <w:rPr>
          <w:rFonts w:ascii="Arial" w:hAnsi="Arial" w:cs="Arial"/>
          <w:sz w:val="20"/>
        </w:rPr>
        <w:t>to</w:t>
      </w:r>
      <w:r>
        <w:rPr>
          <w:rFonts w:ascii="Arial" w:hAnsi="Arial" w:cs="Arial"/>
          <w:sz w:val="20"/>
        </w:rPr>
        <w:t>-</w:t>
      </w:r>
      <w:r w:rsidRPr="00EC65CF">
        <w:rPr>
          <w:rFonts w:ascii="Arial" w:hAnsi="Arial" w:cs="Arial"/>
          <w:sz w:val="20"/>
        </w:rPr>
        <w:t xml:space="preserve">date </w:t>
      </w:r>
      <w:r>
        <w:rPr>
          <w:rFonts w:ascii="Arial" w:hAnsi="Arial" w:cs="Arial"/>
          <w:sz w:val="20"/>
        </w:rPr>
        <w:t xml:space="preserve">net </w:t>
      </w:r>
      <w:r w:rsidRPr="00EC65CF">
        <w:rPr>
          <w:rFonts w:ascii="Arial" w:hAnsi="Arial" w:cs="Arial"/>
          <w:sz w:val="20"/>
        </w:rPr>
        <w:t>income reflected in Schedule RI, item 14, for December 31, 2019</w:t>
      </w:r>
      <w:r>
        <w:rPr>
          <w:rFonts w:ascii="Arial" w:hAnsi="Arial" w:cs="Arial"/>
          <w:sz w:val="20"/>
        </w:rPr>
        <w:t>,</w:t>
      </w:r>
      <w:r w:rsidRPr="00EC65CF">
        <w:rPr>
          <w:rFonts w:ascii="Arial" w:hAnsi="Arial" w:cs="Arial"/>
          <w:sz w:val="20"/>
        </w:rPr>
        <w:t xml:space="preserve"> subtract</w:t>
      </w:r>
      <w:r>
        <w:rPr>
          <w:rFonts w:ascii="Arial" w:hAnsi="Arial" w:cs="Arial"/>
          <w:sz w:val="20"/>
        </w:rPr>
        <w:t xml:space="preserve"> from it the net income reflected</w:t>
      </w:r>
      <w:r w:rsidRPr="00EC65CF">
        <w:rPr>
          <w:rFonts w:ascii="Arial" w:hAnsi="Arial" w:cs="Arial"/>
          <w:sz w:val="20"/>
        </w:rPr>
        <w:t xml:space="preserve"> in Schedule RI, item 14, for March 31, 2019</w:t>
      </w:r>
      <w:r>
        <w:rPr>
          <w:rFonts w:ascii="Arial" w:hAnsi="Arial" w:cs="Arial"/>
          <w:sz w:val="20"/>
        </w:rPr>
        <w:t>,</w:t>
      </w:r>
      <w:r w:rsidRPr="00EC65CF">
        <w:rPr>
          <w:rFonts w:ascii="Arial" w:hAnsi="Arial" w:cs="Arial"/>
          <w:sz w:val="20"/>
        </w:rPr>
        <w:t xml:space="preserve"> and then add</w:t>
      </w:r>
      <w:r>
        <w:rPr>
          <w:rFonts w:ascii="Arial" w:hAnsi="Arial" w:cs="Arial"/>
          <w:sz w:val="20"/>
        </w:rPr>
        <w:t xml:space="preserve"> the net income</w:t>
      </w:r>
      <w:r w:rsidRPr="00EC65CF">
        <w:rPr>
          <w:rFonts w:ascii="Arial" w:hAnsi="Arial" w:cs="Arial"/>
          <w:sz w:val="20"/>
        </w:rPr>
        <w:t xml:space="preserve"> in Schedule RI, item 14, for March 31, 2020 to calculate the numerator in the step 2, above.</w:t>
      </w:r>
      <w:r>
        <w:rPr>
          <w:rFonts w:ascii="Arial" w:hAnsi="Arial" w:cs="Arial"/>
          <w:sz w:val="20"/>
        </w:rPr>
        <w:t xml:space="preserve">  For the example above, the average of an institution’s three-month net income over the four preceding calendar quarters: ($1,900 (D) less $400 (A) plus $200 (E)) divided by 4 = $425.</w:t>
      </w:r>
    </w:p>
    <w:p w:rsidR="001B7554" w:rsidP="008D6702" w:rsidRDefault="001B7554">
      <w:pPr>
        <w:pStyle w:val="NoSpacing"/>
        <w:tabs>
          <w:tab w:val="left" w:pos="1080"/>
        </w:tabs>
        <w:ind w:left="1080" w:hanging="1080"/>
        <w:rPr>
          <w:rFonts w:ascii="Arial" w:hAnsi="Arial" w:cs="Arial"/>
          <w:sz w:val="20"/>
          <w:szCs w:val="20"/>
        </w:rPr>
      </w:pPr>
    </w:p>
    <w:p w:rsidRPr="003C035F" w:rsidR="001B7554" w:rsidP="003C035F" w:rsidRDefault="001B7554">
      <w:pPr>
        <w:pStyle w:val="NoSpacing"/>
        <w:tabs>
          <w:tab w:val="left" w:pos="1080"/>
        </w:tabs>
        <w:ind w:left="1080" w:hanging="1080"/>
        <w:rPr>
          <w:rFonts w:ascii="Arial" w:hAnsi="Arial" w:cs="Arial"/>
          <w:sz w:val="20"/>
          <w:szCs w:val="20"/>
        </w:rPr>
      </w:pPr>
    </w:p>
    <w:p w:rsidR="00362AF2" w:rsidP="008F50CB" w:rsidRDefault="00362AF2">
      <w:pPr>
        <w:rPr>
          <w:szCs w:val="24"/>
          <w14:shadow w14:blurRad="0" w14:dist="0" w14:dir="0" w14:sx="0" w14:sy="0" w14:kx="0" w14:ky="0" w14:algn="none">
            <w14:srgbClr w14:val="000000"/>
          </w14:shadow>
        </w:rPr>
      </w:pPr>
    </w:p>
    <w:p w:rsidR="00362AF2" w:rsidRDefault="00362AF2">
      <w:pPr>
        <w:spacing w:after="160" w:line="259" w:lineRule="auto"/>
        <w:rPr>
          <w:szCs w:val="24"/>
          <w14:shadow w14:blurRad="0" w14:dist="0" w14:dir="0" w14:sx="0" w14:sy="0" w14:kx="0" w14:ky="0" w14:algn="none">
            <w14:srgbClr w14:val="000000"/>
          </w14:shadow>
        </w:rPr>
      </w:pPr>
      <w:r>
        <w:rPr>
          <w:szCs w:val="24"/>
          <w14:shadow w14:blurRad="0" w14:dist="0" w14:dir="0" w14:sx="0" w14:sy="0" w14:kx="0" w14:ky="0" w14:algn="none">
            <w14:srgbClr w14:val="000000"/>
          </w14:shadow>
        </w:rPr>
        <w:br w:type="page"/>
      </w:r>
    </w:p>
    <w:p w:rsidRPr="00660F41" w:rsidR="00362AF2" w:rsidP="00362AF2" w:rsidRDefault="00362AF2">
      <w:pPr>
        <w:pStyle w:val="NoSpacing"/>
        <w:rPr>
          <w:rFonts w:ascii="Arial" w:hAnsi="Arial" w:cs="Arial"/>
          <w:b/>
          <w:sz w:val="20"/>
          <w:szCs w:val="20"/>
          <w:u w:val="single"/>
        </w:rPr>
      </w:pPr>
      <w:r w:rsidRPr="00660F41">
        <w:rPr>
          <w:rFonts w:ascii="Arial" w:hAnsi="Arial" w:cs="Arial"/>
          <w:b/>
          <w:sz w:val="20"/>
          <w:szCs w:val="20"/>
          <w:u w:val="single"/>
        </w:rPr>
        <w:lastRenderedPageBreak/>
        <w:t>Interim Final Rule for Money Market Liquidity Facility</w:t>
      </w:r>
    </w:p>
    <w:p w:rsidRPr="00660F41" w:rsidR="00362AF2" w:rsidP="00362AF2" w:rsidRDefault="00362AF2">
      <w:pPr>
        <w:pStyle w:val="NoSpacing"/>
        <w:rPr>
          <w:rFonts w:ascii="Arial" w:hAnsi="Arial" w:cs="Arial"/>
          <w:sz w:val="20"/>
          <w:szCs w:val="20"/>
        </w:rPr>
      </w:pPr>
    </w:p>
    <w:p w:rsidRPr="00660F41" w:rsidR="00362AF2" w:rsidP="00362AF2" w:rsidRDefault="00362AF2">
      <w:pPr>
        <w:pStyle w:val="NoSpacing"/>
        <w:rPr>
          <w:rFonts w:ascii="Arial" w:hAnsi="Arial" w:cs="Arial"/>
          <w:sz w:val="20"/>
          <w:szCs w:val="20"/>
        </w:rPr>
      </w:pPr>
      <w:r w:rsidRPr="00660F41">
        <w:rPr>
          <w:rFonts w:ascii="Arial" w:hAnsi="Arial" w:cs="Arial"/>
          <w:sz w:val="20"/>
          <w:szCs w:val="20"/>
        </w:rPr>
        <w:t xml:space="preserve">To enhance the liquidity and functioning of money markets, the Federal Reserve Bank of Boston </w:t>
      </w:r>
      <w:hyperlink w:history="1" r:id="rId12">
        <w:r w:rsidRPr="00660F41">
          <w:rPr>
            <w:rStyle w:val="Hyperlink"/>
            <w:rFonts w:ascii="Arial" w:hAnsi="Arial" w:cs="Arial"/>
            <w:sz w:val="20"/>
            <w:szCs w:val="20"/>
          </w:rPr>
          <w:t>launched</w:t>
        </w:r>
      </w:hyperlink>
      <w:r w:rsidRPr="00660F41">
        <w:rPr>
          <w:rFonts w:ascii="Arial" w:hAnsi="Arial" w:cs="Arial"/>
          <w:sz w:val="20"/>
          <w:szCs w:val="20"/>
        </w:rPr>
        <w:t xml:space="preserve"> the Money Market Mutual Fund Liquidity Facility, or MMLF, on March 18, 2020.  On March 23, 2020, the agencies published an </w:t>
      </w:r>
      <w:hyperlink w:history="1" r:id="rId13">
        <w:r w:rsidRPr="00660F41">
          <w:rPr>
            <w:rStyle w:val="Hyperlink"/>
            <w:rFonts w:ascii="Arial" w:hAnsi="Arial" w:cs="Arial"/>
            <w:sz w:val="20"/>
            <w:szCs w:val="20"/>
          </w:rPr>
          <w:t>interim final rule</w:t>
        </w:r>
      </w:hyperlink>
      <w:r w:rsidRPr="00660F41">
        <w:rPr>
          <w:rFonts w:ascii="Arial" w:hAnsi="Arial" w:cs="Arial"/>
          <w:sz w:val="20"/>
          <w:szCs w:val="20"/>
        </w:rPr>
        <w:t>, which permits banking organizations to exclude from regulatory capital requirements exposures related to the MMLF.</w:t>
      </w:r>
    </w:p>
    <w:p w:rsidRPr="00660F41" w:rsidR="00362AF2" w:rsidP="00362AF2" w:rsidRDefault="00362AF2">
      <w:pPr>
        <w:pStyle w:val="NoSpacing"/>
        <w:rPr>
          <w:rFonts w:ascii="Arial" w:hAnsi="Arial" w:cs="Arial"/>
          <w:sz w:val="20"/>
          <w:szCs w:val="20"/>
        </w:rPr>
      </w:pPr>
    </w:p>
    <w:p w:rsidRPr="00660F41" w:rsidR="00362AF2" w:rsidP="00362AF2" w:rsidRDefault="00362AF2">
      <w:pPr>
        <w:pStyle w:val="NoSpacing"/>
        <w:rPr>
          <w:rFonts w:ascii="Arial" w:hAnsi="Arial" w:cs="Arial"/>
          <w:sz w:val="20"/>
          <w:szCs w:val="20"/>
        </w:rPr>
      </w:pPr>
      <w:r w:rsidRPr="00660F41">
        <w:rPr>
          <w:rFonts w:ascii="Arial" w:hAnsi="Arial" w:cs="Arial"/>
          <w:sz w:val="20"/>
          <w:szCs w:val="20"/>
        </w:rPr>
        <w:t>The interim final rule modifies the agencies’ capital rule to allow banking organizations to neutralize the effects of purchasing assets through the MMLF on their risk-based and leverage capital ratios.  This treatment extends to the community bank leverage ratio.  Specifically, a banking organization may exclude from its total leverage exposure, average total consolidated assets, standardized total risk-weighted assets, and advanced approaches total risk-weighted assets, as applicable, any exposure acquired pursuant to a non-recourse loan from the MMLF.  The interim final rule only applies to activities with the MMLF.  The facility is scheduled to terminate on September 30, 2020, unless the facility is extended by the Federal Reserve Board.</w:t>
      </w:r>
    </w:p>
    <w:p w:rsidRPr="00660F41" w:rsidR="00362AF2" w:rsidP="00362AF2" w:rsidRDefault="00362AF2">
      <w:pPr>
        <w:pStyle w:val="NoSpacing"/>
        <w:rPr>
          <w:rFonts w:ascii="Arial" w:hAnsi="Arial" w:cs="Arial"/>
          <w:sz w:val="20"/>
          <w:szCs w:val="20"/>
        </w:rPr>
      </w:pPr>
    </w:p>
    <w:p w:rsidRPr="00660F41" w:rsidR="00362AF2" w:rsidP="00362AF2" w:rsidRDefault="00362AF2">
      <w:pPr>
        <w:pStyle w:val="NoSpacing"/>
        <w:rPr>
          <w:rFonts w:ascii="Arial" w:hAnsi="Arial" w:cs="Arial"/>
          <w:sz w:val="20"/>
          <w:szCs w:val="20"/>
        </w:rPr>
      </w:pPr>
      <w:r w:rsidRPr="00660F41">
        <w:rPr>
          <w:rFonts w:ascii="Arial" w:hAnsi="Arial" w:cs="Arial"/>
          <w:sz w:val="20"/>
          <w:szCs w:val="20"/>
        </w:rPr>
        <w:t>Consistent with generally accepted accounting principles (GAAP), the agencies would expect banking organizations to report assets purchased through the MMLF on their balance sheets.  These assets would be reflected at the time of purchase at amortized cost or fair value.  The non-recourse nature of the transaction would impact the valuation of the liability to the Federal Reserve.  After reflecting any appropriate discounts on the assets and associated liabilities, organizations are not expected to report any material net gains or losses (if any) at the time of purchase.  Any discounts generally would be accreted over time into income and expense.</w:t>
      </w:r>
    </w:p>
    <w:p w:rsidRPr="00660F41" w:rsidR="00362AF2" w:rsidP="00362AF2" w:rsidRDefault="00362AF2">
      <w:pPr>
        <w:pStyle w:val="NoSpacing"/>
        <w:rPr>
          <w:rFonts w:ascii="Arial" w:hAnsi="Arial" w:cs="Arial"/>
          <w:sz w:val="20"/>
          <w:szCs w:val="20"/>
        </w:rPr>
      </w:pPr>
    </w:p>
    <w:p w:rsidRPr="00660F41" w:rsidR="00362AF2" w:rsidP="00362AF2" w:rsidRDefault="00362AF2">
      <w:pPr>
        <w:pStyle w:val="NoSpacing"/>
        <w:rPr>
          <w:rFonts w:ascii="Arial" w:hAnsi="Arial" w:cs="Arial"/>
          <w:sz w:val="20"/>
          <w:szCs w:val="20"/>
        </w:rPr>
      </w:pPr>
      <w:r w:rsidRPr="00660F41">
        <w:rPr>
          <w:rFonts w:ascii="Arial" w:hAnsi="Arial" w:cs="Arial"/>
          <w:sz w:val="20"/>
          <w:szCs w:val="20"/>
        </w:rPr>
        <w:t xml:space="preserve">Starting with the March 31, 2020 reporting date, banking organizations would include the amount of assets purchased from the MMLF in Schedule RC-B and Schedule RC-R, as appropriate.  </w:t>
      </w:r>
    </w:p>
    <w:p w:rsidRPr="00660F41" w:rsidR="00362AF2" w:rsidP="00362AF2" w:rsidRDefault="00362AF2">
      <w:pPr>
        <w:pStyle w:val="NoSpacing"/>
        <w:rPr>
          <w:rFonts w:ascii="Arial" w:hAnsi="Arial" w:cs="Arial"/>
          <w:sz w:val="20"/>
          <w:szCs w:val="20"/>
        </w:rPr>
      </w:pPr>
    </w:p>
    <w:p w:rsidRPr="00660F41" w:rsidR="00362AF2" w:rsidP="00362AF2" w:rsidRDefault="00362AF2">
      <w:pPr>
        <w:pStyle w:val="NoSpacing"/>
        <w:rPr>
          <w:rFonts w:ascii="Arial" w:hAnsi="Arial" w:cs="Arial"/>
          <w:sz w:val="20"/>
          <w:szCs w:val="20"/>
        </w:rPr>
      </w:pPr>
      <w:r w:rsidRPr="00660F41">
        <w:rPr>
          <w:rFonts w:ascii="Arial" w:hAnsi="Arial" w:cs="Arial"/>
          <w:sz w:val="20"/>
          <w:szCs w:val="20"/>
        </w:rPr>
        <w:t>For regulatory capital reporting, assets purchased from the MMLF should be reported in either Schedule RC-R, Part II, item 2.a., “Held-to-maturity securities,” or Schedule RC-R, Part II, item 2.b., “Available-for-sale debt securities and equity securities with readily determinable fair values not held for trading,” as appropriate, in both Column A (Totals) and Column C (0% risk-weight category)</w:t>
      </w:r>
      <w:r w:rsidRPr="00660F41">
        <w:rPr>
          <w:rStyle w:val="FootnoteReference"/>
          <w:rFonts w:ascii="Arial" w:hAnsi="Arial" w:cs="Arial"/>
          <w:sz w:val="20"/>
          <w:szCs w:val="20"/>
        </w:rPr>
        <w:footnoteReference w:id="1"/>
      </w:r>
      <w:r w:rsidRPr="00660F41">
        <w:rPr>
          <w:rFonts w:ascii="Arial" w:hAnsi="Arial" w:cs="Arial"/>
          <w:sz w:val="20"/>
          <w:szCs w:val="20"/>
        </w:rPr>
        <w:t xml:space="preserve">.  The average of such assets purchased would be reported in Schedule RC-R, part I, item 29, “LESS: Other deductions from (additions to) assets for leverage ratio purposes,” and thus excluded from Schedule RC-R, item 30, “Total assets for the leverage ratio.”  </w:t>
      </w:r>
    </w:p>
    <w:p w:rsidRPr="00660F41" w:rsidR="00362AF2" w:rsidP="00362AF2" w:rsidRDefault="00362AF2">
      <w:pPr>
        <w:pStyle w:val="NoSpacing"/>
        <w:rPr>
          <w:rFonts w:ascii="Arial" w:hAnsi="Arial" w:cs="Arial"/>
          <w:sz w:val="20"/>
          <w:szCs w:val="20"/>
        </w:rPr>
      </w:pPr>
    </w:p>
    <w:p w:rsidRPr="00660F41" w:rsidR="00362AF2" w:rsidP="00362AF2" w:rsidRDefault="00362AF2">
      <w:pPr>
        <w:pStyle w:val="NoSpacing"/>
        <w:rPr>
          <w:rFonts w:ascii="Arial" w:hAnsi="Arial" w:cs="Arial"/>
          <w:sz w:val="20"/>
          <w:szCs w:val="20"/>
        </w:rPr>
      </w:pPr>
      <w:r w:rsidRPr="00660F41">
        <w:rPr>
          <w:rFonts w:ascii="Arial" w:hAnsi="Arial" w:cs="Arial"/>
          <w:sz w:val="20"/>
          <w:szCs w:val="20"/>
        </w:rPr>
        <w:t xml:space="preserve">Advanced approaches banking organizations should </w:t>
      </w:r>
      <w:r w:rsidRPr="00660F41">
        <w:rPr>
          <w:rFonts w:ascii="Arial" w:hAnsi="Arial" w:cs="Arial"/>
          <w:sz w:val="20"/>
          <w:szCs w:val="20"/>
          <w:u w:val="single"/>
        </w:rPr>
        <w:t>not</w:t>
      </w:r>
      <w:r w:rsidRPr="00660F41">
        <w:rPr>
          <w:rFonts w:ascii="Arial" w:hAnsi="Arial" w:cs="Arial"/>
          <w:sz w:val="20"/>
          <w:szCs w:val="20"/>
        </w:rPr>
        <w:t xml:space="preserve"> include assets purchased from the MMLF in “total risk-weight assets (RWAs)” reported in the FFIEC 101, Schedule A, item 60 or Schedule, RC-R, Part I, item 48.b.  For banking organizations subject to the supplementary leverage ratio requirement, assets purchased from the MMLF would receive similar treatment as under the “leverage ratio” and should be reported in the FFIEC 101, Schedule A, SLR Table 2, item 2.2.b, “Deductions of qualifying central bank deposits from total on-balance sheet exposures for custodial banking organizations,” even if a banking organization is not a custodial banking organization.  Banking organizations would report their adjusted “Total leverage exposure” and “Supplementary leverage ratio” in Schedule RC-R, Part I, item 55.a and 55.b.</w:t>
      </w:r>
    </w:p>
    <w:p w:rsidRPr="00660F41" w:rsidR="00362AF2" w:rsidP="00362AF2" w:rsidRDefault="00362AF2">
      <w:pPr>
        <w:pStyle w:val="NoSpacing"/>
        <w:rPr>
          <w:rFonts w:ascii="Arial" w:hAnsi="Arial" w:cs="Arial"/>
          <w:sz w:val="20"/>
          <w:szCs w:val="20"/>
        </w:rPr>
      </w:pPr>
    </w:p>
    <w:p w:rsidRPr="00660F41" w:rsidR="00362AF2" w:rsidP="00362AF2" w:rsidRDefault="00362AF2">
      <w:pPr>
        <w:pStyle w:val="NoSpacing"/>
        <w:rPr>
          <w:rFonts w:ascii="Arial" w:hAnsi="Arial" w:cs="Arial"/>
          <w:sz w:val="20"/>
          <w:szCs w:val="20"/>
        </w:rPr>
      </w:pPr>
      <w:r w:rsidRPr="00660F41">
        <w:rPr>
          <w:rFonts w:ascii="Arial" w:hAnsi="Arial" w:cs="Arial"/>
          <w:sz w:val="20"/>
          <w:szCs w:val="20"/>
        </w:rPr>
        <w:t>Borrowings from the Federal Reserve Bank of Boston would be included in Schedule RC, item 16, “Other borrowed money,” and included in Schedule RC-M, item 5.b.(1)(a), “Other borrowed money with a remaining maturity of one year or less.”</w:t>
      </w:r>
    </w:p>
    <w:p w:rsidRPr="00660F41" w:rsidR="00362AF2" w:rsidP="00362AF2" w:rsidRDefault="00362AF2">
      <w:pPr>
        <w:pStyle w:val="NoSpacing"/>
        <w:rPr>
          <w:rFonts w:ascii="Arial" w:hAnsi="Arial" w:cs="Arial"/>
          <w:sz w:val="20"/>
          <w:szCs w:val="20"/>
        </w:rPr>
      </w:pPr>
    </w:p>
    <w:p w:rsidRPr="00660F41" w:rsidR="00362AF2" w:rsidP="00362AF2" w:rsidRDefault="00362AF2">
      <w:pPr>
        <w:pStyle w:val="NoSpacing"/>
        <w:rPr>
          <w:rFonts w:ascii="Arial" w:hAnsi="Arial" w:cs="Arial"/>
          <w:color w:val="000000" w:themeColor="text1"/>
          <w:sz w:val="20"/>
          <w:szCs w:val="20"/>
        </w:rPr>
      </w:pPr>
      <w:r w:rsidRPr="00660F41">
        <w:rPr>
          <w:rFonts w:ascii="Arial" w:hAnsi="Arial" w:cs="Arial"/>
          <w:sz w:val="20"/>
          <w:szCs w:val="20"/>
        </w:rPr>
        <w:t>Furthermore, banking organizations are encouraged to separately disclose in a “Narrative Statement Concerning the Amounts Reported in the Reports of Condition and Income,” the amount of assets purchased from the MMLF included in Schedule RC-R, Part II, item 2.a. or 2.b.  In addition, banking organizations are encouraged to separately disclose in a similar narrative, the average amount of assets purchased from the MMLF that were excluded from Schedule RC-R, item 30.</w:t>
      </w:r>
    </w:p>
    <w:p w:rsidRPr="00660F41" w:rsidR="001B5890" w:rsidP="00362AF2" w:rsidRDefault="008F50CB">
      <w:pPr>
        <w:pStyle w:val="NoSpacing"/>
        <w:rPr>
          <w:b/>
          <w:szCs w:val="24"/>
          <w:u w:val="single"/>
        </w:rPr>
      </w:pPr>
      <w:r w:rsidRPr="00660F41">
        <w:rPr>
          <w:rFonts w:ascii="Arial" w:hAnsi="Arial" w:cs="Arial"/>
          <w:sz w:val="20"/>
          <w:szCs w:val="20"/>
        </w:rPr>
        <w:br w:type="page"/>
      </w:r>
      <w:r w:rsidRPr="00660F41" w:rsidR="00170B98">
        <w:rPr>
          <w:b/>
          <w:szCs w:val="24"/>
          <w:u w:val="single"/>
        </w:rPr>
        <w:lastRenderedPageBreak/>
        <w:t xml:space="preserve">Early Adoption of the </w:t>
      </w:r>
      <w:r w:rsidRPr="00660F41" w:rsidR="00170B98">
        <w:rPr>
          <w:b/>
          <w:i/>
          <w:szCs w:val="24"/>
          <w:u w:val="single"/>
        </w:rPr>
        <w:t xml:space="preserve">Standardized Approach for Calculating the Exposure </w:t>
      </w:r>
      <w:proofErr w:type="gramStart"/>
      <w:r w:rsidRPr="00660F41" w:rsidR="00170B98">
        <w:rPr>
          <w:b/>
          <w:i/>
          <w:szCs w:val="24"/>
          <w:u w:val="single"/>
        </w:rPr>
        <w:t>Amount</w:t>
      </w:r>
      <w:proofErr w:type="gramEnd"/>
      <w:r w:rsidRPr="00660F41" w:rsidR="00170B98">
        <w:rPr>
          <w:b/>
          <w:i/>
          <w:szCs w:val="24"/>
          <w:u w:val="single"/>
        </w:rPr>
        <w:t xml:space="preserve"> of Derivative Contracts</w:t>
      </w:r>
      <w:r w:rsidRPr="00660F41" w:rsidR="00170B98">
        <w:rPr>
          <w:b/>
          <w:szCs w:val="24"/>
          <w:u w:val="single"/>
        </w:rPr>
        <w:t xml:space="preserve"> (SA-CCR rule) </w:t>
      </w:r>
    </w:p>
    <w:p w:rsidR="001B5890" w:rsidP="008F50CB" w:rsidRDefault="001B5890">
      <w:pPr>
        <w:rPr>
          <w:szCs w:val="24"/>
          <w14:shadow w14:blurRad="0" w14:dist="0" w14:dir="0" w14:sx="0" w14:sy="0" w14:kx="0" w14:ky="0" w14:algn="none">
            <w14:srgbClr w14:val="000000"/>
          </w14:shadow>
        </w:rPr>
      </w:pPr>
    </w:p>
    <w:p w:rsidR="008F50CB" w:rsidP="008F50CB" w:rsidRDefault="008F50CB">
      <w:pPr>
        <w:rPr>
          <w:szCs w:val="24"/>
          <w14:shadow w14:blurRad="0" w14:dist="0" w14:dir="0" w14:sx="0" w14:sy="0" w14:kx="0" w14:ky="0" w14:algn="none">
            <w14:srgbClr w14:val="000000"/>
          </w14:shadow>
        </w:rPr>
      </w:pPr>
      <w:r>
        <w:rPr>
          <w:szCs w:val="24"/>
          <w14:shadow w14:blurRad="0" w14:dist="0" w14:dir="0" w14:sx="0" w14:sy="0" w14:kx="0" w14:ky="0" w14:algn="none">
            <w14:srgbClr w14:val="000000"/>
          </w14:shadow>
        </w:rPr>
        <w:t xml:space="preserve">On March 23, </w:t>
      </w:r>
      <w:r w:rsidR="00660F41">
        <w:rPr>
          <w:szCs w:val="24"/>
          <w14:shadow w14:blurRad="0" w14:dist="0" w14:dir="0" w14:sx="0" w14:sy="0" w14:kx="0" w14:ky="0" w14:algn="none">
            <w14:srgbClr w14:val="000000"/>
          </w14:shadow>
        </w:rPr>
        <w:t xml:space="preserve">2020, </w:t>
      </w:r>
      <w:r>
        <w:rPr>
          <w:szCs w:val="24"/>
          <w14:shadow w14:blurRad="0" w14:dist="0" w14:dir="0" w14:sx="0" w14:sy="0" w14:kx="0" w14:ky="0" w14:algn="none">
            <w14:srgbClr w14:val="000000"/>
          </w14:shadow>
        </w:rPr>
        <w:t xml:space="preserve">the federal banking agencies published an IFR in the </w:t>
      </w:r>
      <w:r w:rsidRPr="00361B78">
        <w:rPr>
          <w:i/>
          <w:szCs w:val="24"/>
          <w14:shadow w14:blurRad="0" w14:dist="0" w14:dir="0" w14:sx="0" w14:sy="0" w14:kx="0" w14:ky="0" w14:algn="none">
            <w14:srgbClr w14:val="000000"/>
          </w14:shadow>
        </w:rPr>
        <w:t>Federal Register</w:t>
      </w:r>
      <w:r>
        <w:rPr>
          <w:szCs w:val="24"/>
          <w14:shadow w14:blurRad="0" w14:dist="0" w14:dir="0" w14:sx="0" w14:sy="0" w14:kx="0" w14:ky="0" w14:algn="none">
            <w14:srgbClr w14:val="000000"/>
          </w14:shadow>
        </w:rPr>
        <w:t xml:space="preserve"> that a</w:t>
      </w:r>
      <w:r w:rsidRPr="008F50CB">
        <w:rPr>
          <w:szCs w:val="24"/>
          <w14:shadow w14:blurRad="0" w14:dist="0" w14:dir="0" w14:sx="0" w14:sy="0" w14:kx="0" w14:ky="0" w14:algn="none">
            <w14:srgbClr w14:val="000000"/>
          </w14:shadow>
        </w:rPr>
        <w:t>llow</w:t>
      </w:r>
      <w:r>
        <w:rPr>
          <w:szCs w:val="24"/>
          <w14:shadow w14:blurRad="0" w14:dist="0" w14:dir="0" w14:sx="0" w14:sy="0" w14:kx="0" w14:ky="0" w14:algn="none">
            <w14:srgbClr w14:val="000000"/>
          </w14:shadow>
        </w:rPr>
        <w:t>s</w:t>
      </w:r>
      <w:r w:rsidRPr="008F50CB">
        <w:rPr>
          <w:szCs w:val="24"/>
          <w14:shadow w14:blurRad="0" w14:dist="0" w14:dir="0" w14:sx="0" w14:sy="0" w14:kx="0" w14:ky="0" w14:algn="none">
            <w14:srgbClr w14:val="000000"/>
          </w14:shadow>
        </w:rPr>
        <w:t xml:space="preserve"> banking organizations to implement the final rule titled </w:t>
      </w:r>
      <w:r w:rsidRPr="008F50CB">
        <w:rPr>
          <w:i/>
          <w:szCs w:val="24"/>
          <w14:shadow w14:blurRad="0" w14:dist="0" w14:dir="0" w14:sx="0" w14:sy="0" w14:kx="0" w14:ky="0" w14:algn="none">
            <w14:srgbClr w14:val="000000"/>
          </w14:shadow>
        </w:rPr>
        <w:t xml:space="preserve">Standardized Approach for Calculating the Exposure </w:t>
      </w:r>
      <w:proofErr w:type="gramStart"/>
      <w:r w:rsidRPr="008F50CB">
        <w:rPr>
          <w:i/>
          <w:szCs w:val="24"/>
          <w14:shadow w14:blurRad="0" w14:dist="0" w14:dir="0" w14:sx="0" w14:sy="0" w14:kx="0" w14:ky="0" w14:algn="none">
            <w14:srgbClr w14:val="000000"/>
          </w14:shadow>
        </w:rPr>
        <w:t>Amount</w:t>
      </w:r>
      <w:proofErr w:type="gramEnd"/>
      <w:r w:rsidRPr="008F50CB">
        <w:rPr>
          <w:i/>
          <w:szCs w:val="24"/>
          <w14:shadow w14:blurRad="0" w14:dist="0" w14:dir="0" w14:sx="0" w14:sy="0" w14:kx="0" w14:ky="0" w14:algn="none">
            <w14:srgbClr w14:val="000000"/>
          </w14:shadow>
        </w:rPr>
        <w:t xml:space="preserve"> of Derivative Contracts</w:t>
      </w:r>
      <w:r w:rsidRPr="008F50CB">
        <w:rPr>
          <w:szCs w:val="24"/>
          <w14:shadow w14:blurRad="0" w14:dist="0" w14:dir="0" w14:sx="0" w14:sy="0" w14:kx="0" w14:ky="0" w14:algn="none">
            <w14:srgbClr w14:val="000000"/>
          </w14:shadow>
        </w:rPr>
        <w:t xml:space="preserve"> (SA-CCR rule) for the first quarter of 2020, on a best efforts basis.</w:t>
      </w:r>
      <w:r w:rsidR="0084302F">
        <w:rPr>
          <w:szCs w:val="24"/>
          <w14:shadow w14:blurRad="0" w14:dist="0" w14:dir="0" w14:sx="0" w14:sy="0" w14:kx="0" w14:ky="0" w14:algn="none">
            <w14:srgbClr w14:val="000000"/>
          </w14:shadow>
        </w:rPr>
        <w:t xml:space="preserve">  The instructions that were approved for the second quarter Call Report can be used by institutions who choose to adopt the SA-CCR rule for the March 31, 2020, report date. </w:t>
      </w:r>
      <w:r w:rsidR="001B5890">
        <w:rPr>
          <w:szCs w:val="24"/>
          <w14:shadow w14:blurRad="0" w14:dist="0" w14:dir="0" w14:sx="0" w14:sy="0" w14:kx="0" w14:ky="0" w14:algn="none">
            <w14:srgbClr w14:val="000000"/>
          </w14:shadow>
        </w:rPr>
        <w:t>for further information on these revisions, i</w:t>
      </w:r>
      <w:r w:rsidR="0084302F">
        <w:rPr>
          <w:szCs w:val="24"/>
          <w14:shadow w14:blurRad="0" w14:dist="0" w14:dir="0" w14:sx="0" w14:sy="0" w14:kx="0" w14:ky="0" w14:algn="none">
            <w14:srgbClr w14:val="000000"/>
          </w14:shadow>
        </w:rPr>
        <w:t>nstitutions can review the final 30-day Paper Reduction Act</w:t>
      </w:r>
      <w:hyperlink w:history="1" r:id="rId14">
        <w:r w:rsidRPr="0084302F" w:rsidR="0084302F">
          <w:rPr>
            <w:rStyle w:val="Hyperlink"/>
            <w:szCs w:val="24"/>
            <w14:shadow w14:blurRad="0" w14:dist="0" w14:dir="0" w14:sx="0" w14:sy="0" w14:kx="0" w14:ky="0" w14:algn="none">
              <w14:srgbClr w14:val="000000"/>
            </w14:shadow>
          </w:rPr>
          <w:t xml:space="preserve"> </w:t>
        </w:r>
        <w:r w:rsidRPr="00B120D1" w:rsidR="0084302F">
          <w:rPr>
            <w:rStyle w:val="Hyperlink"/>
            <w:i/>
            <w:szCs w:val="24"/>
            <w14:shadow w14:blurRad="0" w14:dist="0" w14:dir="0" w14:sx="0" w14:sy="0" w14:kx="0" w14:ky="0" w14:algn="none">
              <w14:srgbClr w14:val="000000"/>
            </w14:shadow>
          </w:rPr>
          <w:t>Federal Register</w:t>
        </w:r>
      </w:hyperlink>
      <w:r w:rsidR="0084302F">
        <w:rPr>
          <w:szCs w:val="24"/>
          <w14:shadow w14:blurRad="0" w14:dist="0" w14:dir="0" w14:sx="0" w14:sy="0" w14:kx="0" w14:ky="0" w14:algn="none">
            <w14:srgbClr w14:val="000000"/>
          </w14:shadow>
        </w:rPr>
        <w:t xml:space="preserve"> notice published on January 27, 2020.</w:t>
      </w:r>
    </w:p>
    <w:p w:rsidR="008F50CB" w:rsidP="008F50CB" w:rsidRDefault="008F50CB">
      <w:pPr>
        <w:rPr>
          <w:szCs w:val="24"/>
          <w14:shadow w14:blurRad="0" w14:dist="0" w14:dir="0" w14:sx="0" w14:sy="0" w14:kx="0" w14:ky="0" w14:algn="none">
            <w14:srgbClr w14:val="000000"/>
          </w14:shadow>
        </w:rPr>
      </w:pPr>
    </w:p>
    <w:p w:rsidRPr="008F50CB" w:rsidR="008F50CB" w:rsidP="008F50CB" w:rsidRDefault="008F50CB">
      <w:pPr>
        <w:rPr>
          <w:szCs w:val="24"/>
          <w14:shadow w14:blurRad="0" w14:dist="0" w14:dir="0" w14:sx="0" w14:sy="0" w14:kx="0" w14:ky="0" w14:algn="none">
            <w14:srgbClr w14:val="000000"/>
          </w14:shadow>
        </w:rPr>
      </w:pPr>
    </w:p>
    <w:p w:rsidRPr="008F50CB" w:rsidR="008F50CB" w:rsidRDefault="008F50CB">
      <w:pPr>
        <w:spacing w:after="160" w:line="259" w:lineRule="auto"/>
        <w:rPr>
          <w:rFonts w:ascii="Arial" w:hAnsi="Arial" w:cs="Arial"/>
          <w:sz w:val="20"/>
          <w14:shadow w14:blurRad="0" w14:dist="0" w14:dir="0" w14:sx="0" w14:sy="0" w14:kx="0" w14:ky="0" w14:algn="none">
            <w14:srgbClr w14:val="000000"/>
          </w14:shadow>
        </w:rPr>
      </w:pPr>
    </w:p>
    <w:sectPr w:rsidRPr="008F50CB" w:rsidR="008F50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EDE" w:rsidRDefault="004D5EDE" w:rsidP="008F50CB">
      <w:r>
        <w:separator/>
      </w:r>
    </w:p>
  </w:endnote>
  <w:endnote w:type="continuationSeparator" w:id="0">
    <w:p w:rsidR="004D5EDE" w:rsidRDefault="004D5EDE" w:rsidP="008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EDE" w:rsidRDefault="004D5EDE" w:rsidP="008F50CB">
      <w:r>
        <w:separator/>
      </w:r>
    </w:p>
  </w:footnote>
  <w:footnote w:type="continuationSeparator" w:id="0">
    <w:p w:rsidR="004D5EDE" w:rsidRDefault="004D5EDE" w:rsidP="008F50CB">
      <w:r>
        <w:continuationSeparator/>
      </w:r>
    </w:p>
  </w:footnote>
  <w:footnote w:id="1">
    <w:p w:rsidR="00362AF2" w:rsidRPr="00660F41" w:rsidRDefault="00362AF2">
      <w:pPr>
        <w:pStyle w:val="FootnoteText"/>
        <w:rPr>
          <w:rFonts w:ascii="Arial" w:hAnsi="Arial" w:cs="Arial"/>
          <w:sz w:val="18"/>
          <w:szCs w:val="18"/>
        </w:rPr>
      </w:pPr>
      <w:r w:rsidRPr="00660F41">
        <w:rPr>
          <w:rStyle w:val="FootnoteReference"/>
          <w:rFonts w:ascii="Arial" w:hAnsi="Arial" w:cs="Arial"/>
          <w:sz w:val="18"/>
          <w:szCs w:val="18"/>
        </w:rPr>
        <w:footnoteRef/>
      </w:r>
      <w:r w:rsidRPr="00660F41">
        <w:rPr>
          <w:rFonts w:ascii="Arial" w:hAnsi="Arial" w:cs="Arial"/>
          <w:sz w:val="18"/>
          <w:szCs w:val="18"/>
        </w:rPr>
        <w:t xml:space="preserve">Reporting in Schedule RC-R, Part II, only applies to non CBLR banking institutions.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CEF"/>
    <w:multiLevelType w:val="hybridMultilevel"/>
    <w:tmpl w:val="E64A33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431348"/>
    <w:multiLevelType w:val="hybridMultilevel"/>
    <w:tmpl w:val="E64A33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D67E1"/>
    <w:multiLevelType w:val="hybridMultilevel"/>
    <w:tmpl w:val="5944FE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D83FE2"/>
    <w:multiLevelType w:val="hybridMultilevel"/>
    <w:tmpl w:val="050AB0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4414D7"/>
    <w:multiLevelType w:val="hybridMultilevel"/>
    <w:tmpl w:val="57805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9D"/>
    <w:rsid w:val="00055DC6"/>
    <w:rsid w:val="00063C4B"/>
    <w:rsid w:val="000F6B5E"/>
    <w:rsid w:val="00170B98"/>
    <w:rsid w:val="0019649A"/>
    <w:rsid w:val="001B5890"/>
    <w:rsid w:val="001B7554"/>
    <w:rsid w:val="0028598D"/>
    <w:rsid w:val="002A0D08"/>
    <w:rsid w:val="002B6971"/>
    <w:rsid w:val="002F5E6C"/>
    <w:rsid w:val="00314953"/>
    <w:rsid w:val="00361B78"/>
    <w:rsid w:val="00362AF2"/>
    <w:rsid w:val="003E69DC"/>
    <w:rsid w:val="004B15CC"/>
    <w:rsid w:val="004D368C"/>
    <w:rsid w:val="004D5EDE"/>
    <w:rsid w:val="004F746C"/>
    <w:rsid w:val="005745C4"/>
    <w:rsid w:val="005F2809"/>
    <w:rsid w:val="00660F41"/>
    <w:rsid w:val="00690AA1"/>
    <w:rsid w:val="0084302F"/>
    <w:rsid w:val="008F2C50"/>
    <w:rsid w:val="008F50CB"/>
    <w:rsid w:val="0092672F"/>
    <w:rsid w:val="00962FE2"/>
    <w:rsid w:val="00A20ECF"/>
    <w:rsid w:val="00A3635E"/>
    <w:rsid w:val="00AF13B5"/>
    <w:rsid w:val="00B120D1"/>
    <w:rsid w:val="00CC4F9C"/>
    <w:rsid w:val="00D41E72"/>
    <w:rsid w:val="00D84E5A"/>
    <w:rsid w:val="00E9309D"/>
    <w:rsid w:val="00FC4890"/>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45130-B103-4BF2-A155-C6FDEA37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ECF"/>
    <w:pPr>
      <w:spacing w:after="0" w:line="240" w:lineRule="auto"/>
    </w:pPr>
    <w:rPr>
      <w:rFonts w:ascii="Times New Roman" w:eastAsia="Times New Roman" w:hAnsi="Times New Roman" w:cs="Times New Roman"/>
      <w:sz w:val="24"/>
      <w:szCs w:val="20"/>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1B7554"/>
    <w:pPr>
      <w:keepNext/>
      <w:ind w:left="720"/>
      <w:outlineLvl w:val="6"/>
    </w:pPr>
    <w:rPr>
      <w:rFonts w:ascii="Arial" w:hAnsi="Arial"/>
      <w:i/>
      <w:snapToGrid w:val="0"/>
      <w:sz w:val="20"/>
      <w14:shadow w14:blurRad="0" w14:dist="0" w14:dir="0" w14:sx="0" w14:sy="0" w14:kx="0" w14:ky="0" w14:algn="none">
        <w14:srgbClr w14:val="000000"/>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0ECF"/>
    <w:rPr>
      <w:color w:val="0000FF"/>
      <w:u w:val="single"/>
    </w:rPr>
  </w:style>
  <w:style w:type="paragraph" w:styleId="ListParagraph">
    <w:name w:val="List Paragraph"/>
    <w:basedOn w:val="Normal"/>
    <w:uiPriority w:val="34"/>
    <w:qFormat/>
    <w:rsid w:val="00A20ECF"/>
    <w:pPr>
      <w:ind w:left="720"/>
      <w:contextualSpacing/>
    </w:pPr>
  </w:style>
  <w:style w:type="character" w:styleId="CommentReference">
    <w:name w:val="annotation reference"/>
    <w:uiPriority w:val="99"/>
    <w:rsid w:val="004F746C"/>
    <w:rPr>
      <w:sz w:val="16"/>
      <w:szCs w:val="16"/>
    </w:rPr>
  </w:style>
  <w:style w:type="paragraph" w:styleId="CommentText">
    <w:name w:val="annotation text"/>
    <w:basedOn w:val="Normal"/>
    <w:link w:val="CommentTextChar"/>
    <w:uiPriority w:val="99"/>
    <w:rsid w:val="004F746C"/>
    <w:rPr>
      <w:sz w:val="20"/>
    </w:rPr>
  </w:style>
  <w:style w:type="character" w:customStyle="1" w:styleId="CommentTextChar">
    <w:name w:val="Comment Text Char"/>
    <w:basedOn w:val="DefaultParagraphFont"/>
    <w:link w:val="CommentText"/>
    <w:uiPriority w:val="99"/>
    <w:rsid w:val="004F746C"/>
    <w:rPr>
      <w:rFonts w:ascii="Times New Roman" w:eastAsia="Times New Roman" w:hAnsi="Times New Roman" w:cs="Times New Roman"/>
      <w:sz w:val="20"/>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sid w:val="004F7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46C"/>
    <w:rPr>
      <w:rFonts w:ascii="Segoe UI" w:eastAsia="Times New Roman" w:hAnsi="Segoe UI" w:cs="Segoe UI"/>
      <w:sz w:val="18"/>
      <w:szCs w:val="18"/>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1B7554"/>
    <w:rPr>
      <w:rFonts w:ascii="Arial" w:eastAsia="Times New Roman" w:hAnsi="Arial" w:cs="Times New Roman"/>
      <w:i/>
      <w:snapToGrid w:val="0"/>
      <w:sz w:val="20"/>
      <w:szCs w:val="20"/>
    </w:rPr>
  </w:style>
  <w:style w:type="paragraph" w:styleId="NoSpacing">
    <w:name w:val="No Spacing"/>
    <w:uiPriority w:val="99"/>
    <w:qFormat/>
    <w:rsid w:val="001B7554"/>
    <w:pPr>
      <w:spacing w:after="0" w:line="240" w:lineRule="auto"/>
    </w:pPr>
    <w:rPr>
      <w:rFonts w:ascii="Calibri" w:eastAsia="Calibri" w:hAnsi="Calibri" w:cs="Times New Roman"/>
    </w:rPr>
  </w:style>
  <w:style w:type="table" w:styleId="TableGrid">
    <w:name w:val="Table Grid"/>
    <w:basedOn w:val="TableNormal"/>
    <w:uiPriority w:val="99"/>
    <w:rsid w:val="001B75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7554"/>
    <w:rPr>
      <w:color w:val="605E5C"/>
      <w:shd w:val="clear" w:color="auto" w:fill="E1DFDD"/>
    </w:rPr>
  </w:style>
  <w:style w:type="paragraph" w:styleId="FootnoteText">
    <w:name w:val="footnote text"/>
    <w:basedOn w:val="Normal"/>
    <w:link w:val="FootnoteTextChar"/>
    <w:uiPriority w:val="99"/>
    <w:semiHidden/>
    <w:unhideWhenUsed/>
    <w:rsid w:val="008F50CB"/>
    <w:pPr>
      <w:widowControl w:val="0"/>
    </w:pPr>
    <w:rPr>
      <w:rFonts w:ascii="Courier" w:hAnsi="Courier"/>
      <w:snapToGrid w:val="0"/>
      <w:sz w:val="20"/>
      <w14:shadow w14:blurRad="0" w14:dist="0" w14:dir="0" w14:sx="0" w14:sy="0" w14:kx="0" w14:ky="0" w14:algn="none">
        <w14:srgbClr w14:val="000000"/>
      </w14:shadow>
    </w:rPr>
  </w:style>
  <w:style w:type="character" w:customStyle="1" w:styleId="FootnoteTextChar">
    <w:name w:val="Footnote Text Char"/>
    <w:basedOn w:val="DefaultParagraphFont"/>
    <w:link w:val="FootnoteText"/>
    <w:uiPriority w:val="99"/>
    <w:semiHidden/>
    <w:rsid w:val="008F50CB"/>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8F50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0/03/23/2020-06156/regulatory-capital-rule-money-market-mutual-fund-liquidity-facility" TargetMode="External"/><Relationship Id="rId13" Type="http://schemas.openxmlformats.org/officeDocument/2006/relationships/hyperlink" Target="https://www.govinfo.gov/content/pkg/FR-2020-03-23/pdf/2020-06156.pdf" TargetMode="External"/><Relationship Id="rId3" Type="http://schemas.openxmlformats.org/officeDocument/2006/relationships/settings" Target="settings.xml"/><Relationship Id="rId7" Type="http://schemas.openxmlformats.org/officeDocument/2006/relationships/hyperlink" Target="https://www.federalregister.gov/documents/2020/03/20/2020-06051/regulatory-capital-rule-eligible-retained-income" TargetMode="External"/><Relationship Id="rId12" Type="http://schemas.openxmlformats.org/officeDocument/2006/relationships/hyperlink" Target="https://www.federalreserve.gov/newsevents/pressreleases/monetary20200318a.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deralregister.gov/documents/2020/03/20/2020-06051/regulatory-capital-rule-eligible-retained-inco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ederalregister.gov/documents/2020/03/31/2020-06755/standardized-approach-for-calculating-the-exposure-amount-of-derivative-contracts" TargetMode="External"/><Relationship Id="rId4" Type="http://schemas.openxmlformats.org/officeDocument/2006/relationships/webSettings" Target="webSettings.xml"/><Relationship Id="rId9" Type="http://schemas.openxmlformats.org/officeDocument/2006/relationships/hyperlink" Target="https://www.federalregister.gov/documents/2020/03/31/2020-06770/regulatory-capital-rule-revised-transition-of-the-current-expected-credit-losses-methodology-for" TargetMode="External"/><Relationship Id="rId14" Type="http://schemas.openxmlformats.org/officeDocument/2006/relationships/hyperlink" Target="https://www.federalregister.gov/documents/2020/01/27/2020-01292/agency-information-collection-activities-submission-for-omb-review-comment-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10558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the Comptroller of the Currency</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OCC</dc:creator>
  <cp:keywords/>
  <dc:description/>
  <cp:lastModifiedBy>Gottlieb, Mary</cp:lastModifiedBy>
  <cp:revision>2</cp:revision>
  <dcterms:created xsi:type="dcterms:W3CDTF">2020-04-01T20:44:00Z</dcterms:created>
  <dcterms:modified xsi:type="dcterms:W3CDTF">2020-04-01T20:44:00Z</dcterms:modified>
</cp:coreProperties>
</file>