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2CF7" w:rsidR="001A69A7" w:rsidP="001A69A7" w:rsidRDefault="004764DE" w14:paraId="3C9B8702" w14:textId="484EF368">
      <w:pPr>
        <w:pStyle w:val="Title"/>
        <w:ind w:firstLine="720"/>
        <w:jc w:val="right"/>
        <w:rPr>
          <w:color w:val="000000"/>
          <w:sz w:val="28"/>
        </w:rPr>
      </w:pPr>
      <w:r>
        <w:rPr>
          <w:color w:val="000000"/>
          <w:sz w:val="28"/>
        </w:rPr>
        <w:t>April</w:t>
      </w:r>
      <w:r w:rsidR="00A36CAE">
        <w:rPr>
          <w:color w:val="000000"/>
          <w:sz w:val="28"/>
        </w:rPr>
        <w:t xml:space="preserve"> 10, 20</w:t>
      </w:r>
      <w:r>
        <w:rPr>
          <w:color w:val="000000"/>
          <w:sz w:val="28"/>
        </w:rPr>
        <w:t>20</w:t>
      </w:r>
    </w:p>
    <w:p w:rsidR="001A69A7" w:rsidP="001A69A7" w:rsidRDefault="001A69A7" w14:paraId="35972282" w14:textId="77777777">
      <w:pPr>
        <w:pStyle w:val="Title"/>
      </w:pPr>
    </w:p>
    <w:p w:rsidR="000A6018" w:rsidP="001A69A7" w:rsidRDefault="00842E74" w14:paraId="02139359" w14:textId="77777777">
      <w:pPr>
        <w:pStyle w:val="Title"/>
        <w:rPr>
          <w:rFonts w:ascii="Arial" w:hAnsi="Arial" w:cs="Arial"/>
        </w:rPr>
      </w:pPr>
      <w:r w:rsidRPr="007263B4">
        <w:rPr>
          <w:rFonts w:ascii="Arial" w:hAnsi="Arial" w:cs="Arial"/>
        </w:rPr>
        <w:t xml:space="preserve">Supporting Statement for </w:t>
      </w:r>
    </w:p>
    <w:p w:rsidR="00842E74" w:rsidP="00FC57CB" w:rsidRDefault="00842E74" w14:paraId="440860B3" w14:textId="77777777">
      <w:pPr>
        <w:pStyle w:val="Title"/>
        <w:rPr>
          <w:rFonts w:ascii="Arial" w:hAnsi="Arial" w:cs="Arial"/>
        </w:rPr>
      </w:pPr>
      <w:r w:rsidRPr="007263B4">
        <w:rPr>
          <w:rFonts w:ascii="Arial" w:hAnsi="Arial" w:cs="Arial"/>
        </w:rPr>
        <w:t>Paperwork Reduction Act Submissions</w:t>
      </w:r>
    </w:p>
    <w:p w:rsidR="00FC57CB" w:rsidP="00FC57CB" w:rsidRDefault="00FC57CB" w14:paraId="107282AF" w14:textId="77777777">
      <w:pPr>
        <w:pStyle w:val="Title"/>
        <w:rPr>
          <w:b w:val="0"/>
          <w:sz w:val="28"/>
        </w:rPr>
      </w:pPr>
    </w:p>
    <w:p w:rsidR="00842E74" w:rsidRDefault="00842E74" w14:paraId="140C1AEA" w14:textId="77777777">
      <w:pPr>
        <w:tabs>
          <w:tab w:val="left" w:pos="-720"/>
        </w:tabs>
        <w:suppressAutoHyphens/>
        <w:rPr>
          <w:b/>
          <w:color w:val="000000"/>
          <w:sz w:val="28"/>
        </w:rPr>
      </w:pPr>
      <w:r>
        <w:rPr>
          <w:b/>
          <w:sz w:val="28"/>
        </w:rPr>
        <w:t xml:space="preserve">OMB Control Number:  </w:t>
      </w:r>
      <w:r w:rsidRPr="00C92CF7">
        <w:rPr>
          <w:b/>
          <w:color w:val="000000"/>
          <w:sz w:val="28"/>
        </w:rPr>
        <w:t>1660</w:t>
      </w:r>
      <w:r w:rsidRPr="00C92CF7" w:rsidR="0046431C">
        <w:rPr>
          <w:b/>
          <w:color w:val="000000"/>
          <w:sz w:val="28"/>
        </w:rPr>
        <w:t xml:space="preserve"> </w:t>
      </w:r>
      <w:r w:rsidR="00FC57CB">
        <w:rPr>
          <w:b/>
          <w:color w:val="000000"/>
          <w:sz w:val="28"/>
        </w:rPr>
        <w:t>–</w:t>
      </w:r>
      <w:r w:rsidRPr="00C92CF7" w:rsidR="0046431C">
        <w:rPr>
          <w:b/>
          <w:color w:val="000000"/>
          <w:sz w:val="28"/>
        </w:rPr>
        <w:t xml:space="preserve"> </w:t>
      </w:r>
      <w:r w:rsidRPr="00C92CF7" w:rsidR="005B42AD">
        <w:rPr>
          <w:b/>
          <w:color w:val="000000"/>
          <w:sz w:val="28"/>
        </w:rPr>
        <w:t>0113</w:t>
      </w:r>
    </w:p>
    <w:p w:rsidRPr="00C92CF7" w:rsidR="00FC57CB" w:rsidRDefault="00FC57CB" w14:paraId="2F714459" w14:textId="77777777">
      <w:pPr>
        <w:tabs>
          <w:tab w:val="left" w:pos="-720"/>
        </w:tabs>
        <w:suppressAutoHyphens/>
        <w:rPr>
          <w:b/>
          <w:color w:val="000000"/>
          <w:sz w:val="28"/>
        </w:rPr>
      </w:pPr>
    </w:p>
    <w:p w:rsidR="00842E74" w:rsidRDefault="00842E74" w14:paraId="2757CCCC" w14:textId="77777777">
      <w:pPr>
        <w:tabs>
          <w:tab w:val="left" w:pos="-720"/>
        </w:tabs>
        <w:suppressAutoHyphens/>
        <w:rPr>
          <w:b/>
          <w:color w:val="000000"/>
          <w:sz w:val="28"/>
        </w:rPr>
      </w:pPr>
      <w:r w:rsidRPr="00C92CF7">
        <w:rPr>
          <w:b/>
          <w:color w:val="000000"/>
          <w:sz w:val="28"/>
        </w:rPr>
        <w:t xml:space="preserve">Title: </w:t>
      </w:r>
      <w:r w:rsidR="00F67E6C">
        <w:rPr>
          <w:b/>
          <w:color w:val="000000"/>
          <w:sz w:val="28"/>
        </w:rPr>
        <w:t xml:space="preserve">FEMA Preparedness Grants: </w:t>
      </w:r>
      <w:r w:rsidR="00FC57CB">
        <w:rPr>
          <w:b/>
          <w:color w:val="000000"/>
          <w:sz w:val="28"/>
        </w:rPr>
        <w:t>Tribal Homeland Security Grant Program</w:t>
      </w:r>
      <w:r w:rsidRPr="00C92CF7">
        <w:rPr>
          <w:b/>
          <w:color w:val="000000"/>
          <w:sz w:val="28"/>
        </w:rPr>
        <w:t xml:space="preserve"> </w:t>
      </w:r>
      <w:r w:rsidR="00F67E6C">
        <w:rPr>
          <w:b/>
          <w:color w:val="000000"/>
          <w:sz w:val="28"/>
        </w:rPr>
        <w:t>(THSGP)</w:t>
      </w:r>
    </w:p>
    <w:p w:rsidRPr="00C92CF7" w:rsidR="00F67E6C" w:rsidRDefault="00F67E6C" w14:paraId="6E586601" w14:textId="77777777">
      <w:pPr>
        <w:tabs>
          <w:tab w:val="left" w:pos="-720"/>
        </w:tabs>
        <w:suppressAutoHyphens/>
        <w:rPr>
          <w:b/>
          <w:color w:val="000000"/>
          <w:sz w:val="28"/>
        </w:rPr>
      </w:pPr>
    </w:p>
    <w:p w:rsidRPr="00C92CF7" w:rsidR="00842E74" w:rsidRDefault="00842E74" w14:paraId="504E2188" w14:textId="77777777">
      <w:pPr>
        <w:tabs>
          <w:tab w:val="left" w:pos="-720"/>
        </w:tabs>
        <w:suppressAutoHyphens/>
        <w:rPr>
          <w:color w:val="000000"/>
          <w:sz w:val="28"/>
        </w:rPr>
      </w:pPr>
      <w:r w:rsidRPr="00C92CF7">
        <w:rPr>
          <w:b/>
          <w:color w:val="000000"/>
          <w:sz w:val="28"/>
        </w:rPr>
        <w:t xml:space="preserve">Form Number(s):  </w:t>
      </w:r>
      <w:r w:rsidRPr="00C92CF7" w:rsidR="00FF322E">
        <w:rPr>
          <w:b/>
          <w:color w:val="000000"/>
          <w:sz w:val="28"/>
        </w:rPr>
        <w:t xml:space="preserve">FEMA Form </w:t>
      </w:r>
      <w:r w:rsidRPr="00C92CF7" w:rsidR="005B42AD">
        <w:rPr>
          <w:b/>
          <w:color w:val="000000"/>
          <w:sz w:val="28"/>
        </w:rPr>
        <w:t>089-22</w:t>
      </w:r>
    </w:p>
    <w:p w:rsidR="00842E74" w:rsidRDefault="00842E74" w14:paraId="60695145" w14:textId="77777777">
      <w:pPr>
        <w:tabs>
          <w:tab w:val="left" w:pos="-720"/>
        </w:tabs>
        <w:suppressAutoHyphens/>
      </w:pPr>
    </w:p>
    <w:p w:rsidR="00842E74" w:rsidRDefault="00842E74" w14:paraId="435FAF5D" w14:textId="77777777">
      <w:pPr>
        <w:pStyle w:val="Heading1"/>
      </w:pPr>
      <w:r>
        <w:t>General Instructions</w:t>
      </w:r>
    </w:p>
    <w:p w:rsidR="00842E74" w:rsidRDefault="00842E74" w14:paraId="48D760D2" w14:textId="77777777">
      <w:pPr>
        <w:tabs>
          <w:tab w:val="left" w:pos="-720"/>
        </w:tabs>
        <w:suppressAutoHyphens/>
      </w:pPr>
    </w:p>
    <w:p w:rsidR="00842E74" w:rsidRDefault="00842E74" w14:paraId="09AA308F" w14:textId="77777777">
      <w:pPr>
        <w:tabs>
          <w:tab w:val="left" w:pos="-720"/>
        </w:tabs>
        <w:suppressAutoHyphens/>
      </w:pPr>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14:paraId="61159060" w14:textId="77777777">
      <w:pPr>
        <w:tabs>
          <w:tab w:val="left" w:pos="-720"/>
        </w:tabs>
        <w:suppressAutoHyphens/>
      </w:pPr>
    </w:p>
    <w:p w:rsidR="00842E74" w:rsidRDefault="00842E74" w14:paraId="13509615" w14:textId="77777777">
      <w:pPr>
        <w:pStyle w:val="Heading1"/>
      </w:pPr>
      <w:r>
        <w:t>Specific Instructions</w:t>
      </w:r>
    </w:p>
    <w:p w:rsidR="00842E74" w:rsidRDefault="00842E74" w14:paraId="159A69FD" w14:textId="77777777">
      <w:pPr>
        <w:tabs>
          <w:tab w:val="left" w:pos="-720"/>
        </w:tabs>
        <w:suppressAutoHyphens/>
      </w:pPr>
    </w:p>
    <w:p w:rsidR="00842E74" w:rsidRDefault="00842E74" w14:paraId="5FE0D7E4" w14:textId="77777777">
      <w:pPr>
        <w:pStyle w:val="Heading1"/>
        <w:rPr>
          <w:sz w:val="24"/>
        </w:rPr>
      </w:pPr>
      <w:r>
        <w:t>A.  Justification</w:t>
      </w:r>
    </w:p>
    <w:p w:rsidR="00842E74" w:rsidRDefault="00842E74" w14:paraId="4FC71C85" w14:textId="77777777"/>
    <w:p w:rsidR="00232C69" w:rsidP="00232C69" w:rsidRDefault="00842E74" w14:paraId="249DFA3A" w14:textId="77777777">
      <w:pPr>
        <w:numPr>
          <w:ilvl w:val="0"/>
          <w:numId w:val="10"/>
        </w:numPr>
        <w:rPr>
          <w:b/>
          <w:bCs/>
        </w:rPr>
      </w:pPr>
      <w:r>
        <w:rPr>
          <w:b/>
          <w:bCs/>
        </w:rPr>
        <w:fldChar w:fldCharType="begin"/>
      </w:r>
      <w:r>
        <w:rPr>
          <w:b/>
          <w:bCs/>
        </w:rPr>
        <w:instrText>ADVANCE \R 0.95</w:instrText>
      </w:r>
      <w:r>
        <w:rPr>
          <w:b/>
          <w:bCs/>
        </w:rPr>
        <w:fldChar w:fldCharType="end"/>
      </w:r>
      <w:r>
        <w:rPr>
          <w:b/>
          <w:bCs/>
        </w:rPr>
        <w:t>Explain the circumstances that make the collection of information necessary</w:t>
      </w:r>
      <w:r>
        <w:rPr>
          <w:b/>
          <w:bCs/>
          <w:color w:val="000000"/>
        </w:rPr>
        <w:t>.</w:t>
      </w:r>
      <w:r>
        <w:rPr>
          <w:b/>
          <w:bCs/>
        </w:rPr>
        <w:t xml:space="preserve"> </w:t>
      </w:r>
    </w:p>
    <w:p w:rsidR="00842E74" w:rsidP="00232C69" w:rsidRDefault="00842E74" w14:paraId="5B9549BA" w14:textId="77777777">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5B42AD" w:rsidP="00232C69" w:rsidRDefault="005B42AD" w14:paraId="093A496D" w14:textId="77777777">
      <w:pPr>
        <w:rPr>
          <w:b/>
          <w:bCs/>
          <w:color w:val="000000"/>
        </w:rPr>
      </w:pPr>
    </w:p>
    <w:p w:rsidRPr="00131AD8" w:rsidR="00C926CD" w:rsidP="00C926CD" w:rsidRDefault="005B42AD" w14:paraId="1C1FA0CF" w14:textId="49FA524F">
      <w:r w:rsidRPr="00AA4BDD">
        <w:t xml:space="preserve">FEMA’s </w:t>
      </w:r>
      <w:r>
        <w:t xml:space="preserve">Tribal Homeland Security Grant Program (THSGP) (formerly the </w:t>
      </w:r>
      <w:r w:rsidRPr="00AA4BDD">
        <w:t xml:space="preserve">State Homeland Security Program (SHSP) </w:t>
      </w:r>
      <w:r>
        <w:t xml:space="preserve">– </w:t>
      </w:r>
      <w:r w:rsidRPr="00AA4BDD">
        <w:t>Tribal</w:t>
      </w:r>
      <w:r>
        <w:t>)</w:t>
      </w:r>
      <w:r w:rsidRPr="00AA4BDD">
        <w:t xml:space="preserve"> </w:t>
      </w:r>
      <w:r w:rsidRPr="00AA4BDD">
        <w:rPr>
          <w:color w:val="000000"/>
        </w:rPr>
        <w:t xml:space="preserve">is </w:t>
      </w:r>
      <w:r w:rsidRPr="00AA4BDD">
        <w:t xml:space="preserve">authorized by </w:t>
      </w:r>
      <w:r>
        <w:t xml:space="preserve">Sections 2004 and 2005 of the Homeland Security Act of 2002, as amended by </w:t>
      </w:r>
      <w:r w:rsidRPr="00AA4BDD">
        <w:rPr>
          <w:bCs/>
          <w:iCs/>
        </w:rPr>
        <w:t>Section 101, Title I of the Implementing Recommendations of the 9/11 Commission Act of 2007</w:t>
      </w:r>
      <w:r>
        <w:rPr>
          <w:bCs/>
          <w:iCs/>
        </w:rPr>
        <w:t>,</w:t>
      </w:r>
      <w:r w:rsidRPr="00AA4BDD">
        <w:rPr>
          <w:bCs/>
          <w:iCs/>
        </w:rPr>
        <w:t xml:space="preserve"> </w:t>
      </w:r>
      <w:r w:rsidRPr="00AA4BDD">
        <w:t>Public Law 110-53</w:t>
      </w:r>
      <w:r>
        <w:t>,</w:t>
      </w:r>
      <w:r w:rsidRPr="00AA4BDD">
        <w:t xml:space="preserve"> </w:t>
      </w:r>
      <w:r w:rsidRPr="00AA4BDD">
        <w:rPr>
          <w:bCs/>
          <w:iCs/>
        </w:rPr>
        <w:t>(6 U.S.C. §605</w:t>
      </w:r>
      <w:r>
        <w:rPr>
          <w:bCs/>
          <w:iCs/>
        </w:rPr>
        <w:t xml:space="preserve"> and 606</w:t>
      </w:r>
      <w:r w:rsidRPr="00AA4BDD">
        <w:rPr>
          <w:bCs/>
          <w:iCs/>
        </w:rPr>
        <w:t>).</w:t>
      </w:r>
      <w:r>
        <w:rPr>
          <w:bCs/>
          <w:iCs/>
        </w:rPr>
        <w:t xml:space="preserve">  THSGP provides supplemental funding to eligible tribes to help strengthen the Nation against risks associated with potential terrorist attacks.  THSGP supports building and sustaining capabilities through planning, equipment, training, and exercise activities</w:t>
      </w:r>
      <w:r w:rsidRPr="00C926CD">
        <w:rPr>
          <w:bCs/>
          <w:iCs/>
        </w:rPr>
        <w:t>.</w:t>
      </w:r>
      <w:r w:rsidRPr="00C926CD" w:rsidR="00C926CD">
        <w:rPr>
          <w:bCs/>
          <w:iCs/>
        </w:rPr>
        <w:t xml:space="preserve">  </w:t>
      </w:r>
      <w:r w:rsidRPr="00131AD8" w:rsidR="00C926CD">
        <w:t>The FY 20</w:t>
      </w:r>
      <w:r w:rsidR="00A36CAE">
        <w:t>20</w:t>
      </w:r>
      <w:r w:rsidRPr="00131AD8" w:rsidR="00C926CD">
        <w:t xml:space="preserve"> THSGP plays an important role in the implementation of Presidential Policy Directive 8 (PPD-8) by supporting the development and sustainment of core capabilities.  Core capabilities are essential for the execution of each of the five mission areas outlined in the </w:t>
      </w:r>
      <w:r w:rsidRPr="00131AD8" w:rsidR="00C926CD">
        <w:rPr>
          <w:i/>
          <w:iCs/>
        </w:rPr>
        <w:t>National Preparedness Goal</w:t>
      </w:r>
      <w:r w:rsidRPr="00131AD8" w:rsidR="00C926CD">
        <w:t xml:space="preserve"> </w:t>
      </w:r>
      <w:r w:rsidRPr="00131AD8" w:rsidR="00C926CD">
        <w:lastRenderedPageBreak/>
        <w:t>(</w:t>
      </w:r>
      <w:r w:rsidR="00733EA2">
        <w:t>the Goal</w:t>
      </w:r>
      <w:r w:rsidRPr="00131AD8" w:rsidR="00C926CD">
        <w:t>).  The development and sustainment of these core capabilities are not exclusive to any single level of government or organization, but rather require the combined effort of the whole community.  The FY 20</w:t>
      </w:r>
      <w:r w:rsidR="00A36CAE">
        <w:t>20</w:t>
      </w:r>
      <w:r w:rsidRPr="00131AD8" w:rsidR="00C926CD">
        <w:t xml:space="preserve"> THSGP supports all core capabilities in the Prevention, Protection, Mitigation, Response, and Recovery mission areas based on allowable costs.  Files and information on PPD-8 can be found at </w:t>
      </w:r>
      <w:hyperlink w:history="1" r:id="rId7">
        <w:r w:rsidRPr="00131AD8" w:rsidR="00C926CD">
          <w:rPr>
            <w:rStyle w:val="Hyperlink"/>
            <w:i/>
          </w:rPr>
          <w:t>http://www.fema.gov/ppd8</w:t>
        </w:r>
      </w:hyperlink>
      <w:r w:rsidRPr="00131AD8" w:rsidR="00C926CD">
        <w:t xml:space="preserve">. </w:t>
      </w:r>
    </w:p>
    <w:p w:rsidR="005B42AD" w:rsidP="005B42AD" w:rsidRDefault="005B42AD" w14:paraId="0468E03F" w14:textId="77777777">
      <w:pPr>
        <w:pStyle w:val="HTMLPreformatted"/>
        <w:rPr>
          <w:rFonts w:ascii="Times New Roman" w:hAnsi="Times New Roman" w:cs="Times New Roman"/>
          <w:sz w:val="24"/>
          <w:szCs w:val="24"/>
        </w:rPr>
      </w:pPr>
    </w:p>
    <w:p w:rsidR="005B42AD" w:rsidP="005B42AD" w:rsidRDefault="005B42AD" w14:paraId="466F8975" w14:textId="77777777">
      <w:pPr>
        <w:pStyle w:val="HTMLPreformatted"/>
        <w:rPr>
          <w:rFonts w:ascii="Times New Roman" w:hAnsi="Times New Roman" w:cs="Times New Roman"/>
          <w:sz w:val="24"/>
          <w:szCs w:val="24"/>
        </w:rPr>
      </w:pPr>
      <w:r w:rsidRPr="000D260F">
        <w:rPr>
          <w:rFonts w:ascii="Times New Roman" w:hAnsi="Times New Roman" w:cs="Times New Roman"/>
          <w:sz w:val="24"/>
          <w:szCs w:val="24"/>
        </w:rPr>
        <w:t>This law</w:t>
      </w:r>
      <w:r>
        <w:rPr>
          <w:rFonts w:ascii="Times New Roman" w:hAnsi="Times New Roman" w:cs="Times New Roman"/>
          <w:sz w:val="24"/>
          <w:szCs w:val="24"/>
        </w:rPr>
        <w:t xml:space="preserve"> empowers the FEMA Administrator to make grant awards directly to eligible tribes and</w:t>
      </w:r>
      <w:r w:rsidRPr="000D260F">
        <w:rPr>
          <w:rFonts w:ascii="Times New Roman" w:hAnsi="Times New Roman" w:cs="Times New Roman"/>
          <w:sz w:val="24"/>
          <w:szCs w:val="24"/>
        </w:rPr>
        <w:t xml:space="preserve"> requires the</w:t>
      </w:r>
      <w:r w:rsidRPr="000D260F">
        <w:rPr>
          <w:rFonts w:ascii="Times New Roman" w:hAnsi="Times New Roman" w:cs="Times New Roman"/>
          <w:i/>
          <w:sz w:val="24"/>
          <w:szCs w:val="24"/>
        </w:rPr>
        <w:t xml:space="preserve"> </w:t>
      </w:r>
      <w:r w:rsidRPr="000D260F">
        <w:rPr>
          <w:rFonts w:ascii="Times New Roman" w:hAnsi="Times New Roman" w:cs="Times New Roman"/>
          <w:sz w:val="24"/>
          <w:szCs w:val="24"/>
        </w:rPr>
        <w:t>Administrator to accept appropriate application data submitted by eligible tribes</w:t>
      </w:r>
      <w:r>
        <w:rPr>
          <w:rFonts w:ascii="Times New Roman" w:hAnsi="Times New Roman" w:cs="Times New Roman"/>
          <w:sz w:val="24"/>
          <w:szCs w:val="24"/>
        </w:rPr>
        <w:t>, including:</w:t>
      </w:r>
    </w:p>
    <w:p w:rsidRPr="002C1545" w:rsidR="005B42AD" w:rsidP="005B42AD" w:rsidRDefault="005B42AD" w14:paraId="3FF92CAA" w14:textId="77777777">
      <w:pPr>
        <w:pStyle w:val="HTMLPreformatted"/>
        <w:numPr>
          <w:ilvl w:val="1"/>
          <w:numId w:val="15"/>
        </w:numPr>
        <w:rPr>
          <w:rFonts w:ascii="Times New Roman" w:hAnsi="Times New Roman" w:cs="Times New Roman"/>
          <w:sz w:val="24"/>
          <w:szCs w:val="24"/>
        </w:rPr>
      </w:pPr>
      <w:r w:rsidRPr="002C1545">
        <w:rPr>
          <w:rFonts w:ascii="Times New Roman" w:hAnsi="Times New Roman" w:cs="Times New Roman"/>
          <w:sz w:val="24"/>
          <w:szCs w:val="24"/>
        </w:rPr>
        <w:t xml:space="preserve">the purpose for which the </w:t>
      </w:r>
      <w:r>
        <w:rPr>
          <w:rFonts w:ascii="Times New Roman" w:hAnsi="Times New Roman" w:cs="Times New Roman"/>
          <w:sz w:val="24"/>
          <w:szCs w:val="24"/>
        </w:rPr>
        <w:t>Tribe</w:t>
      </w:r>
      <w:r w:rsidRPr="002C1545">
        <w:rPr>
          <w:rFonts w:ascii="Times New Roman" w:hAnsi="Times New Roman" w:cs="Times New Roman"/>
          <w:sz w:val="24"/>
          <w:szCs w:val="24"/>
        </w:rPr>
        <w:t xml:space="preserve"> seeks grant fun</w:t>
      </w:r>
      <w:r>
        <w:rPr>
          <w:rFonts w:ascii="Times New Roman" w:hAnsi="Times New Roman" w:cs="Times New Roman"/>
          <w:sz w:val="24"/>
          <w:szCs w:val="24"/>
        </w:rPr>
        <w:t>ds and the reasons why the Tribe</w:t>
      </w:r>
      <w:r w:rsidRPr="002C1545">
        <w:rPr>
          <w:rFonts w:ascii="Times New Roman" w:hAnsi="Times New Roman" w:cs="Times New Roman"/>
          <w:sz w:val="24"/>
          <w:szCs w:val="24"/>
        </w:rPr>
        <w:t xml:space="preserve"> needs the grant to meet its </w:t>
      </w:r>
      <w:r>
        <w:rPr>
          <w:rFonts w:ascii="Times New Roman" w:hAnsi="Times New Roman" w:cs="Times New Roman"/>
          <w:sz w:val="24"/>
          <w:szCs w:val="24"/>
        </w:rPr>
        <w:t>target</w:t>
      </w:r>
      <w:r w:rsidRPr="002C1545">
        <w:rPr>
          <w:rFonts w:ascii="Times New Roman" w:hAnsi="Times New Roman" w:cs="Times New Roman"/>
          <w:sz w:val="24"/>
          <w:szCs w:val="24"/>
        </w:rPr>
        <w:t xml:space="preserve"> capabilities;</w:t>
      </w:r>
    </w:p>
    <w:p w:rsidR="005B42AD" w:rsidP="005B42AD" w:rsidRDefault="005B42AD" w14:paraId="55334375" w14:textId="77777777">
      <w:pPr>
        <w:numPr>
          <w:ilvl w:val="1"/>
          <w:numId w:val="15"/>
        </w:numPr>
      </w:pPr>
      <w:r w:rsidRPr="002C1545">
        <w:t xml:space="preserve">a description of how the </w:t>
      </w:r>
      <w:r>
        <w:t>Tribe</w:t>
      </w:r>
      <w:r w:rsidRPr="002C1545">
        <w:t xml:space="preserve"> plans to </w:t>
      </w:r>
      <w:r>
        <w:t>implement</w:t>
      </w:r>
      <w:r w:rsidRPr="002C1545">
        <w:t xml:space="preserve"> the grant funds to </w:t>
      </w:r>
      <w:r>
        <w:t>fill gaps and address needs;</w:t>
      </w:r>
    </w:p>
    <w:p w:rsidR="005B42AD" w:rsidP="005B42AD" w:rsidRDefault="005B42AD" w14:paraId="2AAFC735" w14:textId="77777777">
      <w:pPr>
        <w:numPr>
          <w:ilvl w:val="1"/>
          <w:numId w:val="15"/>
        </w:numPr>
      </w:pPr>
      <w:r>
        <w:t>an indication of the National Preparedness</w:t>
      </w:r>
      <w:r w:rsidR="000C1A4F">
        <w:t xml:space="preserve"> Goal </w:t>
      </w:r>
      <w:r>
        <w:t>core capabilities</w:t>
      </w:r>
      <w:r w:rsidR="000C1A4F">
        <w:t xml:space="preserve"> that will be supported</w:t>
      </w:r>
    </w:p>
    <w:p w:rsidRPr="002C1545" w:rsidR="000C1A4F" w:rsidP="005B42AD" w:rsidRDefault="000C1A4F" w14:paraId="3479FEB7" w14:textId="77777777">
      <w:pPr>
        <w:numPr>
          <w:ilvl w:val="1"/>
          <w:numId w:val="15"/>
        </w:numPr>
      </w:pPr>
      <w:r>
        <w:t>an indication of the mission areas that will be supported</w:t>
      </w:r>
    </w:p>
    <w:p w:rsidRPr="001F2853" w:rsidR="005B42AD" w:rsidP="005B42AD" w:rsidRDefault="005B42AD" w14:paraId="472D90BD" w14:textId="77777777">
      <w:pPr>
        <w:numPr>
          <w:ilvl w:val="1"/>
          <w:numId w:val="15"/>
        </w:numPr>
      </w:pPr>
      <w:r w:rsidRPr="002C1545">
        <w:t xml:space="preserve">a budget showing how </w:t>
      </w:r>
      <w:r w:rsidRPr="001F2853">
        <w:t xml:space="preserve">the </w:t>
      </w:r>
      <w:r w:rsidR="000C1A4F">
        <w:t>Tribe</w:t>
      </w:r>
      <w:r w:rsidRPr="001F2853">
        <w:t xml:space="preserve"> intends to expend the grant funds; and</w:t>
      </w:r>
    </w:p>
    <w:p w:rsidRPr="001F2853" w:rsidR="005B42AD" w:rsidP="005B42AD" w:rsidRDefault="005B42AD" w14:paraId="3A168FD5" w14:textId="77777777">
      <w:pPr>
        <w:numPr>
          <w:ilvl w:val="1"/>
          <w:numId w:val="15"/>
        </w:numPr>
      </w:pPr>
      <w:r w:rsidRPr="001F2853">
        <w:t>a directly eligible tribe must provide a copy of its application to each State within which any part of the tribe is located for review before the tribe submits such application to the Department.</w:t>
      </w:r>
    </w:p>
    <w:p w:rsidR="00842E74" w:rsidRDefault="00842E74" w14:paraId="0E98AACF" w14:textId="77777777">
      <w:pPr>
        <w:rPr>
          <w:spacing w:val="-3"/>
          <w:u w:val="single"/>
        </w:rPr>
      </w:pPr>
    </w:p>
    <w:p w:rsidR="00842E74" w:rsidRDefault="00842E74" w14:paraId="11DD852B" w14:textId="77777777">
      <w:pPr>
        <w:rPr>
          <w:b/>
          <w:bCs/>
          <w:color w:val="000000"/>
        </w:rPr>
      </w:pPr>
      <w:r>
        <w:rPr>
          <w:b/>
          <w:bCs/>
        </w:rPr>
        <w:fldChar w:fldCharType="begin"/>
      </w:r>
      <w:r>
        <w:rPr>
          <w:b/>
          <w:bCs/>
        </w:rPr>
        <w:instrText>ADVANCE \R 0.95</w:instrText>
      </w:r>
      <w:r>
        <w:rPr>
          <w:b/>
          <w:bCs/>
        </w:rPr>
        <w:fldChar w:fldCharType="end"/>
      </w:r>
      <w:r>
        <w:rPr>
          <w:b/>
          <w:bCs/>
        </w:rPr>
        <w:t xml:space="preserve">2.  Indicate how, by whom, and for what purpose the information is to be used.  Except for a new collection, indicate the actual use the agency has made of the information received from the current collection. </w:t>
      </w:r>
      <w:r>
        <w:rPr>
          <w:b/>
          <w:bCs/>
          <w:color w:val="0000FF"/>
        </w:rPr>
        <w:t xml:space="preserve"> </w:t>
      </w:r>
      <w:r>
        <w:rPr>
          <w:b/>
          <w:bCs/>
          <w:color w:val="000000"/>
        </w:rPr>
        <w:t>Provide a detailed description of: how the information will be shared, if applicable, and for</w:t>
      </w:r>
      <w:r>
        <w:rPr>
          <w:b/>
          <w:bCs/>
          <w:color w:val="0000FF"/>
        </w:rPr>
        <w:t xml:space="preserve"> </w:t>
      </w:r>
      <w:r>
        <w:rPr>
          <w:b/>
          <w:bCs/>
          <w:color w:val="000000"/>
        </w:rPr>
        <w:t xml:space="preserve">what programmatic purpose.       </w:t>
      </w:r>
    </w:p>
    <w:p w:rsidR="000C1A4F" w:rsidRDefault="000C1A4F" w14:paraId="7A4A7E69" w14:textId="77777777">
      <w:pPr>
        <w:rPr>
          <w:b/>
          <w:bCs/>
          <w:color w:val="000000"/>
          <w:spacing w:val="-3"/>
        </w:rPr>
      </w:pPr>
    </w:p>
    <w:p w:rsidR="000C1A4F" w:rsidP="000C1A4F" w:rsidRDefault="000C1A4F" w14:paraId="16E08067" w14:textId="77777777">
      <w:r>
        <w:rPr>
          <w:b/>
        </w:rPr>
        <w:t xml:space="preserve">FEMA Form 089-22, Tribal Homeland Security Grant Program </w:t>
      </w:r>
      <w:r w:rsidR="001216B8">
        <w:rPr>
          <w:b/>
        </w:rPr>
        <w:t xml:space="preserve">(THSGP) </w:t>
      </w:r>
      <w:r w:rsidRPr="00956525">
        <w:rPr>
          <w:b/>
        </w:rPr>
        <w:t>Investment Justification</w:t>
      </w:r>
      <w:r>
        <w:rPr>
          <w:b/>
        </w:rPr>
        <w:t xml:space="preserve"> Template</w:t>
      </w:r>
      <w:r w:rsidRPr="00C771D8">
        <w:t xml:space="preserve"> </w:t>
      </w:r>
      <w:r>
        <w:t xml:space="preserve">– Submitted with the application, this document provides narrative detail on proposed activities (Investments) that will be accomplished with grant funds.  Investment Justifications must demonstrate how proposed projects address gaps and deficiencies in current programs and capabilities and the ability to provide enhancements consistent </w:t>
      </w:r>
      <w:r w:rsidRPr="001F25D8">
        <w:t>with the purpose of the program and guidance provided by FEMA. The data from the IJ is collected to assist decision-making at all levels, although, it is primarily used by individual application reviewers through a national review process.  This process results in the scoring of eligible tribal applications based on the anticipated effectiveness of proposed investments and how well the proposed investments address the identified need(s) or capability shortfall(s). The national review is comprised of subject matter experts familiar with tribal issues.  These reviewers then</w:t>
      </w:r>
      <w:r w:rsidR="007F32DF">
        <w:t xml:space="preserve"> </w:t>
      </w:r>
      <w:r w:rsidRPr="001F25D8">
        <w:t>determine whether proposed activities identified in the application and IJ help achieve core missions of the respective grant program.</w:t>
      </w:r>
    </w:p>
    <w:p w:rsidR="0005794F" w:rsidP="000C1A4F" w:rsidRDefault="0005794F" w14:paraId="3DAAA571" w14:textId="77777777"/>
    <w:p w:rsidRPr="005E79C4" w:rsidR="00580FAC" w:rsidP="00580FAC" w:rsidRDefault="00580FAC" w14:paraId="5699B877" w14:textId="77777777">
      <w:pPr>
        <w:autoSpaceDE w:val="0"/>
        <w:autoSpaceDN w:val="0"/>
        <w:adjustRightInd w:val="0"/>
      </w:pPr>
      <w:r w:rsidRPr="000A601B">
        <w:rPr>
          <w:b/>
        </w:rPr>
        <w:t xml:space="preserve">Copy of Application provided to State prior to submission – </w:t>
      </w:r>
      <w:r w:rsidRPr="000A601B">
        <w:rPr>
          <w:bCs/>
          <w:color w:val="000000"/>
        </w:rPr>
        <w:t xml:space="preserve">Eligible tribes are required to submit a copy of their application for </w:t>
      </w:r>
      <w:r w:rsidRPr="000A601B" w:rsidR="007F32DF">
        <w:rPr>
          <w:bCs/>
          <w:color w:val="000000"/>
        </w:rPr>
        <w:t>THSGP</w:t>
      </w:r>
      <w:r w:rsidRPr="000A601B">
        <w:rPr>
          <w:bCs/>
          <w:color w:val="000000"/>
        </w:rPr>
        <w:t xml:space="preserve"> funds to each State within which any part of the tribe is located for review before the tribe submits it to </w:t>
      </w:r>
      <w:hyperlink w:history="1" r:id="rId8">
        <w:r w:rsidRPr="000A601B">
          <w:rPr>
            <w:rStyle w:val="Hyperlink"/>
            <w:bCs/>
            <w:iCs/>
          </w:rPr>
          <w:t>http://www.grants.gov</w:t>
        </w:r>
      </w:hyperlink>
      <w:r w:rsidRPr="000A601B">
        <w:rPr>
          <w:bCs/>
          <w:iCs/>
          <w:color w:val="0000FF"/>
        </w:rPr>
        <w:t xml:space="preserve">. </w:t>
      </w:r>
      <w:r w:rsidRPr="000A601B">
        <w:t xml:space="preserve">This coordination ensures consistency with State plans. This information is used by FEMA to verify applicants’ compliance with all administrative and eligibility criteria identified in the </w:t>
      </w:r>
      <w:r w:rsidRPr="000A601B" w:rsidR="007F32DF">
        <w:t>THSGP</w:t>
      </w:r>
      <w:r w:rsidRPr="000A601B">
        <w:t xml:space="preserve"> grant guidance.</w:t>
      </w:r>
    </w:p>
    <w:p w:rsidR="00580FAC" w:rsidP="000C1A4F" w:rsidRDefault="00580FAC" w14:paraId="624693F5" w14:textId="77777777"/>
    <w:p w:rsidR="00441FBE" w:rsidP="00441FBE" w:rsidRDefault="0005794F" w14:paraId="48A6F8F7" w14:textId="20D3A763">
      <w:r w:rsidRPr="00487DD2">
        <w:rPr>
          <w:b/>
          <w:bCs/>
        </w:rPr>
        <w:t xml:space="preserve">Biannual Strategy Implementation Report (BSIR) </w:t>
      </w:r>
      <w:r>
        <w:rPr>
          <w:b/>
          <w:bCs/>
        </w:rPr>
        <w:t xml:space="preserve">– </w:t>
      </w:r>
      <w:r w:rsidRPr="006B6EFB">
        <w:t xml:space="preserve">The BSIR serves as the reporting format for the </w:t>
      </w:r>
      <w:r>
        <w:t xml:space="preserve">Semiannual </w:t>
      </w:r>
      <w:r w:rsidRPr="006B6EFB">
        <w:t>Progr</w:t>
      </w:r>
      <w:r>
        <w:t xml:space="preserve">ess Report, formerly known as the Categorical Assistance </w:t>
      </w:r>
      <w:r w:rsidRPr="005E6FE9">
        <w:t xml:space="preserve">Progress Report (CAPR). The </w:t>
      </w:r>
      <w:r>
        <w:t>grantee</w:t>
      </w:r>
      <w:r w:rsidRPr="005E6FE9">
        <w:t xml:space="preserve"> is responsible for providing FEMA with BSIR reports to account for</w:t>
      </w:r>
      <w:r>
        <w:t xml:space="preserve"> grant funding.</w:t>
      </w:r>
      <w:r w:rsidRPr="005E6FE9">
        <w:t xml:space="preserve"> The BSIRs are due within 30 days of the end of the reporting periods (June 30 and December 31), for the life of the award. A close-out BSIR is due 120 days after the end date</w:t>
      </w:r>
      <w:r w:rsidRPr="006B6EFB">
        <w:t xml:space="preserve"> of the award period.  The submission of a completed BSIR satisfies </w:t>
      </w:r>
      <w:r>
        <w:t xml:space="preserve">programmatic reporting </w:t>
      </w:r>
      <w:r w:rsidRPr="006B6EFB">
        <w:t>requirements</w:t>
      </w:r>
      <w:r>
        <w:t xml:space="preserve"> as outlined in the grant p</w:t>
      </w:r>
      <w:r w:rsidRPr="006B6EFB">
        <w:t>rogram</w:t>
      </w:r>
      <w:r>
        <w:t xml:space="preserve"> guidance to ensure legal and prudent use of federal funds.  </w:t>
      </w:r>
      <w:r w:rsidRPr="004042B0">
        <w:t xml:space="preserve">All funds provided to the </w:t>
      </w:r>
      <w:r>
        <w:t>Tribe</w:t>
      </w:r>
      <w:r w:rsidRPr="004042B0">
        <w:t xml:space="preserve"> must be accounted for and linked to one or more projects.</w:t>
      </w:r>
      <w:r w:rsidRPr="006B6EFB">
        <w:t xml:space="preserve"> </w:t>
      </w:r>
      <w:r>
        <w:t xml:space="preserve"> This, in </w:t>
      </w:r>
      <w:r w:rsidRPr="006B6EFB">
        <w:t xml:space="preserve">turn, must support specific goals and objectives </w:t>
      </w:r>
      <w:r>
        <w:t>identified in the Investment Justification</w:t>
      </w:r>
      <w:r w:rsidRPr="006B6EFB">
        <w:t xml:space="preserve">, as detailed in the special conditions of the grant award.  </w:t>
      </w:r>
      <w:r>
        <w:t>The BSIR data is submitted electronically</w:t>
      </w:r>
      <w:r w:rsidRPr="004042B0">
        <w:t xml:space="preserve"> </w:t>
      </w:r>
      <w:r>
        <w:t>in a FEMA-sponsored system, the Grants Reporting Tool (GRT).</w:t>
      </w:r>
      <w:r w:rsidRPr="004042B0">
        <w:t xml:space="preserve"> </w:t>
      </w:r>
      <w:r w:rsidR="00441FBE">
        <w:rPr>
          <w:bCs/>
        </w:rPr>
        <w:t xml:space="preserve">This collection activity </w:t>
      </w:r>
      <w:r w:rsidR="00441FBE">
        <w:t xml:space="preserve">is approved under OMB Control Number 1660-0117, which </w:t>
      </w:r>
      <w:r w:rsidRPr="000A601B" w:rsidR="00441FBE">
        <w:t xml:space="preserve">expires on </w:t>
      </w:r>
      <w:r w:rsidR="00C40261">
        <w:t>5/31/2020</w:t>
      </w:r>
      <w:r w:rsidRPr="000A601B" w:rsidR="00441FBE">
        <w:t>.</w:t>
      </w:r>
    </w:p>
    <w:p w:rsidR="0005794F" w:rsidP="0005794F" w:rsidRDefault="0005794F" w14:paraId="48AA0933" w14:textId="77777777"/>
    <w:p w:rsidR="00FC57CB" w:rsidP="00FC57CB" w:rsidRDefault="00FC57CB" w14:paraId="3E2FD1D4" w14:textId="77777777"/>
    <w:p w:rsidR="00FC57CB" w:rsidP="00FC57CB" w:rsidRDefault="00FC57CB" w14:paraId="4B9185DC" w14:textId="39DB0EB1">
      <w:r>
        <w:rPr>
          <w:b/>
          <w:bCs/>
        </w:rPr>
        <w:t xml:space="preserve">FEMA Form 024-0-1, Environmental and Historic Preservation (EHP) Environmental Screening Form (ESF) - </w:t>
      </w:r>
      <w:r w:rsidRPr="00036845">
        <w:t xml:space="preserve">The Environmental and Historic Preservation Environmental Screening </w:t>
      </w:r>
      <w:r>
        <w:t>Form</w:t>
      </w:r>
      <w:r w:rsidRPr="00036845">
        <w:t xml:space="preserve"> </w:t>
      </w:r>
      <w:r>
        <w:t xml:space="preserve">is a paper form </w:t>
      </w:r>
      <w:r w:rsidRPr="00036845">
        <w:t>used by FEMA</w:t>
      </w:r>
      <w:r>
        <w:t>’s</w:t>
      </w:r>
      <w:r w:rsidRPr="00036845">
        <w:t xml:space="preserve"> </w:t>
      </w:r>
      <w:r w:rsidRPr="00B816D7">
        <w:t xml:space="preserve">Grant Programs Directorate </w:t>
      </w:r>
      <w:r>
        <w:t xml:space="preserve">(GPD) </w:t>
      </w:r>
      <w:r w:rsidRPr="00036845">
        <w:t xml:space="preserve">and is </w:t>
      </w:r>
      <w:r>
        <w:t xml:space="preserve">utilized when following the requirements for grant packages that utilize this instrument. </w:t>
      </w:r>
      <w:r w:rsidRPr="00B816D7">
        <w:t>T</w:t>
      </w:r>
      <w:r>
        <w:t>his form</w:t>
      </w:r>
      <w:r w:rsidRPr="00B816D7">
        <w:t xml:space="preserve"> should be attached to all project information sent to </w:t>
      </w:r>
      <w:r>
        <w:t>GPD</w:t>
      </w:r>
      <w:r w:rsidRPr="00B816D7">
        <w:t xml:space="preserve"> for an </w:t>
      </w:r>
      <w:r>
        <w:t>E</w:t>
      </w:r>
      <w:r w:rsidRPr="00B816D7">
        <w:t xml:space="preserve">nvironmental and </w:t>
      </w:r>
      <w:r>
        <w:t>H</w:t>
      </w:r>
      <w:r w:rsidRPr="00B816D7">
        <w:t xml:space="preserve">istoric </w:t>
      </w:r>
      <w:r>
        <w:t>P</w:t>
      </w:r>
      <w:r w:rsidRPr="00B816D7">
        <w:t>reservation (EHP) regulatory compliance review.</w:t>
      </w:r>
      <w:r>
        <w:t xml:space="preserve"> </w:t>
      </w:r>
      <w:r>
        <w:rPr>
          <w:bCs/>
        </w:rPr>
        <w:t xml:space="preserve">This collection activity </w:t>
      </w:r>
      <w:r>
        <w:t xml:space="preserve">is </w:t>
      </w:r>
      <w:r w:rsidR="002B7A17">
        <w:t xml:space="preserve">approved under </w:t>
      </w:r>
      <w:r w:rsidR="001125F3">
        <w:t xml:space="preserve">OMB Control Number 1660-0115, which </w:t>
      </w:r>
      <w:r w:rsidRPr="000A601B" w:rsidR="001125F3">
        <w:t xml:space="preserve">expires on </w:t>
      </w:r>
      <w:r w:rsidR="00C40261">
        <w:t>4/30/2020</w:t>
      </w:r>
      <w:r w:rsidRPr="000A601B" w:rsidR="001125F3">
        <w:t>.</w:t>
      </w:r>
    </w:p>
    <w:p w:rsidR="00FC57CB" w:rsidP="00FC57CB" w:rsidRDefault="00FC57CB" w14:paraId="28C92C94" w14:textId="77777777"/>
    <w:p w:rsidRPr="000A601B" w:rsidR="00FC57CB" w:rsidP="00FC57CB" w:rsidRDefault="00FC57CB" w14:paraId="48BFF392" w14:textId="77777777">
      <w:r w:rsidRPr="000A601B">
        <w:rPr>
          <w:b/>
        </w:rPr>
        <w:t xml:space="preserve">Homeland Security Exercise and Evaluation Program (HSEEP) After-Action Report (AAR) and Improvement Plan (IP) </w:t>
      </w:r>
      <w:r w:rsidRPr="000A601B">
        <w:rPr>
          <w:b/>
          <w:i/>
        </w:rPr>
        <w:t>–</w:t>
      </w:r>
      <w:r w:rsidRPr="000A601B">
        <w:rPr>
          <w:b/>
        </w:rPr>
        <w:t xml:space="preserve"> </w:t>
      </w:r>
      <w:r w:rsidRPr="000A601B">
        <w:t xml:space="preserve">The information contained within this report identifies areas where expectations for preparedness to respond to an emergency situation are met as well as areas where improvement is required.  This information is used by the Secretary of Homeland Security and shared with heads of other Federal Departments including FEMA’s National Preparedness Directorate to allow for planning methods to increase levels of preparedness, establishing mechanisms for improved delivery of Federal preparedness assistance to State and local governments, and outlining actions to strengthen preparedness capabilities of Federal, State and local entities.  </w:t>
      </w:r>
    </w:p>
    <w:p w:rsidRPr="000A601B" w:rsidR="00FC57CB" w:rsidP="00FC57CB" w:rsidRDefault="00FC57CB" w14:paraId="06EFFEA9" w14:textId="77777777">
      <w:pPr>
        <w:rPr>
          <w:b/>
          <w:i/>
        </w:rPr>
      </w:pPr>
    </w:p>
    <w:p w:rsidR="00FC57CB" w:rsidP="00FC57CB" w:rsidRDefault="00FC57CB" w14:paraId="40094BF9" w14:textId="5D099461">
      <w:r w:rsidRPr="000A601B">
        <w:t xml:space="preserve">This initiative is managed by FEMA’s National Preparedness Directorate (NPD).  Grant recipients must report on scheduled exercises and ensure that an HSEEP After-Action Report (AAR) and Improvement Plan (IP) are prepared for each exercise conducted with FEMA support.  This information must be submitted to the FEMA within 60 days following completion of an exercise.  There are two separate templates that support this data collection effort: (1) </w:t>
      </w:r>
      <w:r w:rsidRPr="000A601B">
        <w:rPr>
          <w:b/>
          <w:bCs/>
        </w:rPr>
        <w:t>Discussion-Based Exercise template</w:t>
      </w:r>
      <w:r w:rsidRPr="000A601B">
        <w:rPr>
          <w:bCs/>
        </w:rPr>
        <w:t xml:space="preserve">; 2) </w:t>
      </w:r>
      <w:r w:rsidRPr="000A601B">
        <w:rPr>
          <w:b/>
          <w:bCs/>
        </w:rPr>
        <w:t>Operations-Based Exercise template</w:t>
      </w:r>
      <w:r w:rsidRPr="000A601B">
        <w:rPr>
          <w:bCs/>
        </w:rPr>
        <w:t>.</w:t>
      </w:r>
      <w:r w:rsidRPr="000A601B" w:rsidDel="006409C7">
        <w:rPr>
          <w:bCs/>
        </w:rPr>
        <w:t xml:space="preserve"> </w:t>
      </w:r>
      <w:r w:rsidRPr="000A601B">
        <w:rPr>
          <w:bCs/>
        </w:rPr>
        <w:t xml:space="preserve">This collection activity </w:t>
      </w:r>
      <w:r w:rsidRPr="000A601B">
        <w:t xml:space="preserve">is </w:t>
      </w:r>
      <w:r w:rsidRPr="000A601B" w:rsidR="001125F3">
        <w:t xml:space="preserve">approved under OMB Control Number 1660-0118, which expires on </w:t>
      </w:r>
      <w:r w:rsidR="00C40261">
        <w:t>7/31/2020</w:t>
      </w:r>
      <w:r w:rsidRPr="000A601B" w:rsidR="001125F3">
        <w:t>.</w:t>
      </w:r>
    </w:p>
    <w:p w:rsidR="00590CE5" w:rsidP="00590CE5" w:rsidRDefault="00590CE5" w14:paraId="3FB45A3C" w14:textId="1D524724">
      <w:pPr>
        <w:pStyle w:val="PlainText"/>
        <w:rPr>
          <w:rFonts w:ascii="Times New Roman" w:hAnsi="Times New Roman"/>
          <w:bCs/>
          <w:iCs/>
          <w:sz w:val="24"/>
          <w:szCs w:val="24"/>
        </w:rPr>
      </w:pPr>
      <w:r w:rsidRPr="006A7670">
        <w:rPr>
          <w:rFonts w:ascii="Times New Roman" w:hAnsi="Times New Roman"/>
          <w:b/>
          <w:bCs/>
          <w:sz w:val="24"/>
          <w:szCs w:val="24"/>
        </w:rPr>
        <w:lastRenderedPageBreak/>
        <w:t>Threat and Hazard Identification and Risk Assessment (</w:t>
      </w:r>
      <w:r w:rsidRPr="006A7670">
        <w:rPr>
          <w:rFonts w:ascii="Times New Roman" w:hAnsi="Times New Roman"/>
          <w:b/>
          <w:sz w:val="24"/>
          <w:szCs w:val="24"/>
        </w:rPr>
        <w:t xml:space="preserve">THIRA) – State Preparedness Report (SPR) Unified Reporting Tool </w:t>
      </w:r>
      <w:r w:rsidRPr="006A7670">
        <w:rPr>
          <w:rFonts w:ascii="Times New Roman" w:hAnsi="Times New Roman"/>
          <w:sz w:val="24"/>
          <w:szCs w:val="24"/>
        </w:rPr>
        <w:t xml:space="preserve">– States and territories must submit a THIRA every year they receive </w:t>
      </w:r>
      <w:r w:rsidRPr="00590CE5">
        <w:rPr>
          <w:rFonts w:ascii="Times New Roman" w:hAnsi="Times New Roman"/>
          <w:sz w:val="24"/>
          <w:szCs w:val="24"/>
        </w:rPr>
        <w:t>THSGP</w:t>
      </w:r>
      <w:r w:rsidRPr="006A7670">
        <w:rPr>
          <w:rFonts w:ascii="Times New Roman" w:hAnsi="Times New Roman"/>
          <w:sz w:val="24"/>
          <w:szCs w:val="24"/>
        </w:rPr>
        <w:t xml:space="preserve"> grant funding.  </w:t>
      </w:r>
      <w:r w:rsidRPr="006A7670">
        <w:rPr>
          <w:rFonts w:ascii="Times New Roman" w:hAnsi="Times New Roman"/>
          <w:iCs/>
          <w:sz w:val="24"/>
          <w:szCs w:val="24"/>
        </w:rPr>
        <w:t>Urban Areas are required to complete one (1) THIRA for each grant award. This submission is valid for the entire period of performance of the individual grant award. If an Urban Area does not receive additional fiscal year grants, the award year THIRA submission covers the requirement for the entire period of performance.  The THIRA is a tool developed and managed by Protection and National Preparedness.</w:t>
      </w:r>
      <w:r w:rsidRPr="006A7670">
        <w:rPr>
          <w:rFonts w:ascii="Times New Roman" w:hAnsi="Times New Roman" w:eastAsia="Times New Roman"/>
          <w:bCs/>
          <w:sz w:val="24"/>
          <w:szCs w:val="24"/>
        </w:rPr>
        <w:t xml:space="preserve">  Additionally, r</w:t>
      </w:r>
      <w:r w:rsidRPr="006A7670">
        <w:rPr>
          <w:rFonts w:ascii="Times New Roman" w:hAnsi="Times New Roman"/>
          <w:sz w:val="24"/>
          <w:szCs w:val="24"/>
        </w:rPr>
        <w:t xml:space="preserve">ecipients shall develop and maintain, jurisdiction-wide, all threats and hazards </w:t>
      </w:r>
      <w:r>
        <w:rPr>
          <w:rFonts w:ascii="Times New Roman" w:hAnsi="Times New Roman"/>
          <w:sz w:val="24"/>
          <w:szCs w:val="24"/>
        </w:rPr>
        <w:t>Emergency Operations Plans (</w:t>
      </w:r>
      <w:r w:rsidRPr="006A7670">
        <w:rPr>
          <w:rFonts w:ascii="Times New Roman" w:hAnsi="Times New Roman"/>
          <w:sz w:val="24"/>
          <w:szCs w:val="24"/>
        </w:rPr>
        <w:t>EOPs</w:t>
      </w:r>
      <w:r>
        <w:rPr>
          <w:rFonts w:ascii="Times New Roman" w:hAnsi="Times New Roman"/>
          <w:sz w:val="24"/>
          <w:szCs w:val="24"/>
        </w:rPr>
        <w:t>)</w:t>
      </w:r>
      <w:r w:rsidRPr="006A7670">
        <w:rPr>
          <w:rFonts w:ascii="Times New Roman" w:hAnsi="Times New Roman"/>
          <w:sz w:val="24"/>
          <w:szCs w:val="24"/>
        </w:rPr>
        <w:t xml:space="preserve"> consistent with CPG 101 v.2.  Recipients must update their EOP at least once every two years in the SPR.  </w:t>
      </w:r>
      <w:r w:rsidRPr="006A7670">
        <w:rPr>
          <w:rFonts w:ascii="Times New Roman" w:hAnsi="Times New Roman"/>
          <w:bCs/>
          <w:iCs/>
          <w:sz w:val="24"/>
          <w:szCs w:val="24"/>
        </w:rPr>
        <w:t xml:space="preserve">This collection activity is approved under OMB Control Number 1660-0131, which expires </w:t>
      </w:r>
      <w:r w:rsidR="00C40261">
        <w:rPr>
          <w:rFonts w:ascii="Times New Roman" w:hAnsi="Times New Roman"/>
          <w:sz w:val="24"/>
        </w:rPr>
        <w:t>2/28/2022</w:t>
      </w:r>
      <w:r w:rsidRPr="006A7670">
        <w:rPr>
          <w:rFonts w:ascii="Times New Roman" w:hAnsi="Times New Roman"/>
          <w:bCs/>
          <w:iCs/>
          <w:sz w:val="24"/>
          <w:szCs w:val="24"/>
        </w:rPr>
        <w:t>.</w:t>
      </w:r>
    </w:p>
    <w:p w:rsidR="007D1A84" w:rsidRDefault="00842E74" w14:paraId="04F69448" w14:textId="77777777">
      <w:pPr>
        <w:rPr>
          <w:b/>
          <w:bCs/>
        </w:rPr>
      </w:pPr>
      <w:r w:rsidRPr="000A601B">
        <w:rPr>
          <w:b/>
          <w:bCs/>
        </w:rPr>
        <w:fldChar w:fldCharType="begin"/>
      </w:r>
      <w:r w:rsidRPr="000A601B">
        <w:rPr>
          <w:b/>
          <w:bCs/>
        </w:rPr>
        <w:instrText>ADVANCE \R 0.95</w:instrText>
      </w:r>
      <w:r w:rsidRPr="000A601B">
        <w:rPr>
          <w:b/>
          <w:bCs/>
        </w:rPr>
        <w:fldChar w:fldCharType="end"/>
      </w:r>
    </w:p>
    <w:p w:rsidR="00842E74" w:rsidRDefault="00842E74" w14:paraId="02A33187" w14:textId="77777777">
      <w:pPr>
        <w:rPr>
          <w:b/>
          <w:bCs/>
        </w:rPr>
      </w:pPr>
      <w:r>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Pr>
          <w:b/>
          <w:bCs/>
        </w:rPr>
        <w:t>electronic submission of responses, and the basis for the decision for adopting this means of collection.  Also describe any consideration of using</w:t>
      </w:r>
      <w:r w:rsidR="006A4787">
        <w:rPr>
          <w:b/>
          <w:bCs/>
        </w:rPr>
        <w:t xml:space="preserve"> </w:t>
      </w:r>
      <w:r>
        <w:rPr>
          <w:b/>
          <w:bCs/>
        </w:rPr>
        <w:t xml:space="preserve">information technology to reduce burden. </w:t>
      </w:r>
    </w:p>
    <w:p w:rsidR="00842E74" w:rsidRDefault="00842E74" w14:paraId="49AFB154" w14:textId="77777777">
      <w:pPr>
        <w:rPr>
          <w:color w:val="000000"/>
        </w:rPr>
      </w:pPr>
    </w:p>
    <w:p w:rsidR="000C1A4F" w:rsidP="000C1A4F" w:rsidRDefault="000C1A4F" w14:paraId="7432C093" w14:textId="77777777">
      <w:r w:rsidRPr="00344B70">
        <w:rPr>
          <w:lang w:val="en"/>
        </w:rPr>
        <w:t xml:space="preserve">FEMA posts most of </w:t>
      </w:r>
      <w:r>
        <w:t xml:space="preserve">its grant application packages on </w:t>
      </w:r>
      <w:hyperlink w:history="1" r:id="rId9">
        <w:r w:rsidRPr="00A50861">
          <w:rPr>
            <w:rStyle w:val="Hyperlink"/>
          </w:rPr>
          <w:t>www.Grants.gov</w:t>
        </w:r>
      </w:hyperlink>
      <w:r>
        <w:t>.  This</w:t>
      </w:r>
      <w:r w:rsidRPr="00BF3580">
        <w:t xml:space="preserve"> </w:t>
      </w:r>
      <w:r>
        <w:rPr>
          <w:lang w:val="en"/>
        </w:rPr>
        <w:t xml:space="preserve">allows applicants to download the application package and complete it offline.  After applicants have completed all required forms, they can electronically submit the package to FEMA through </w:t>
      </w:r>
      <w:hyperlink w:history="1" r:id="rId10">
        <w:r w:rsidRPr="00A50861">
          <w:rPr>
            <w:rStyle w:val="Hyperlink"/>
            <w:lang w:val="en"/>
          </w:rPr>
          <w:t>www.Grants.gov</w:t>
        </w:r>
      </w:hyperlink>
      <w:r>
        <w:rPr>
          <w:lang w:val="en"/>
        </w:rPr>
        <w:t>.</w:t>
      </w:r>
      <w:r w:rsidRPr="00F2225D">
        <w:t xml:space="preserve"> </w:t>
      </w:r>
      <w:r>
        <w:t xml:space="preserve"> Applicants must create their Investment Justifications (IJ) in MS </w:t>
      </w:r>
      <w:r w:rsidR="0005794F">
        <w:t>Excel</w:t>
      </w:r>
      <w:r>
        <w:t xml:space="preserve"> and upload the information as an attachment to the </w:t>
      </w:r>
      <w:r w:rsidR="0005794F">
        <w:t>THSGP</w:t>
      </w:r>
      <w:r>
        <w:t xml:space="preserve"> application, which is electronically submitted via </w:t>
      </w:r>
      <w:hyperlink w:history="1" r:id="rId11">
        <w:r w:rsidRPr="00A50861">
          <w:rPr>
            <w:rStyle w:val="Hyperlink"/>
          </w:rPr>
          <w:t>www.grants.gov</w:t>
        </w:r>
      </w:hyperlink>
      <w:r>
        <w:t>. The c</w:t>
      </w:r>
      <w:r w:rsidRPr="001F25D8">
        <w:t xml:space="preserve">opy of </w:t>
      </w:r>
      <w:r>
        <w:t>the a</w:t>
      </w:r>
      <w:r w:rsidRPr="001F25D8">
        <w:t xml:space="preserve">pplication provided to </w:t>
      </w:r>
      <w:r>
        <w:t xml:space="preserve">the </w:t>
      </w:r>
      <w:r w:rsidRPr="001F25D8">
        <w:t xml:space="preserve">State prior to submission </w:t>
      </w:r>
      <w:r>
        <w:t xml:space="preserve">is transmitted as an attachment in </w:t>
      </w:r>
      <w:hyperlink w:history="1" r:id="rId12">
        <w:r w:rsidRPr="008C77AA">
          <w:rPr>
            <w:rStyle w:val="Hyperlink"/>
          </w:rPr>
          <w:t>www.Grants.gov</w:t>
        </w:r>
      </w:hyperlink>
      <w:r>
        <w:t>.</w:t>
      </w:r>
    </w:p>
    <w:p w:rsidR="000C1A4F" w:rsidP="000C1A4F" w:rsidRDefault="000C1A4F" w14:paraId="5A12CF2C" w14:textId="77777777"/>
    <w:p w:rsidR="00441FBE" w:rsidP="00441FBE" w:rsidRDefault="000C1A4F" w14:paraId="1EA2A9EC" w14:textId="6CD6A486">
      <w:r>
        <w:t>Additionally, grant a</w:t>
      </w:r>
      <w:r w:rsidRPr="005114D5">
        <w:t xml:space="preserve">pplicants must </w:t>
      </w:r>
      <w:r>
        <w:t xml:space="preserve">use </w:t>
      </w:r>
      <w:r w:rsidRPr="005114D5">
        <w:t xml:space="preserve">the FEMA-sponsored Grants Reporting Tool (GRT) to submit </w:t>
      </w:r>
      <w:r>
        <w:t xml:space="preserve">data for the Investment Justification(s) (IJ) and the </w:t>
      </w:r>
      <w:r w:rsidRPr="00D934BD">
        <w:rPr>
          <w:bCs/>
        </w:rPr>
        <w:t>Biannual Strategy Implementation Report (BSIR)</w:t>
      </w:r>
      <w:r>
        <w:rPr>
          <w:bCs/>
        </w:rPr>
        <w:t xml:space="preserve"> to report on funds awarded</w:t>
      </w:r>
      <w:r w:rsidRPr="00D934BD">
        <w:t>.</w:t>
      </w:r>
      <w:r>
        <w:t xml:space="preserve">  </w:t>
      </w:r>
      <w:r w:rsidRPr="005114D5">
        <w:t>The GRT provides grantees the ability to electro</w:t>
      </w:r>
      <w:r>
        <w:t xml:space="preserve">nically create and submit these data collection requirements. </w:t>
      </w:r>
      <w:r w:rsidRPr="008E7F24">
        <w:t>The GRT homepage is (</w:t>
      </w:r>
      <w:r w:rsidRPr="008E7F24">
        <w:rPr>
          <w:color w:val="0000FF"/>
          <w:u w:val="single"/>
        </w:rPr>
        <w:t>https://www.reporting.odp.dhs.gov/</w:t>
      </w:r>
      <w:r w:rsidRPr="008E7F24">
        <w:t xml:space="preserve">). The GRT is used to capture FEMA’s annual award and biannual grant reporting data. The GRT was designed to help the </w:t>
      </w:r>
      <w:r w:rsidR="0005794F">
        <w:t>g</w:t>
      </w:r>
      <w:r w:rsidRPr="008E7F24">
        <w:t xml:space="preserve">rantees meet all reporting requirements identified by DHS FEMA’s Grant Program Directorate (GPD) as well as to streamline the reporting process for grantees.  </w:t>
      </w:r>
      <w:r>
        <w:t xml:space="preserve">This </w:t>
      </w:r>
      <w:r w:rsidRPr="005114D5">
        <w:t>system was developed in response to customer feedb</w:t>
      </w:r>
      <w:r>
        <w:t>ack concerning difficulties using</w:t>
      </w:r>
      <w:r w:rsidRPr="005114D5">
        <w:t xml:space="preserve"> other </w:t>
      </w:r>
      <w:r>
        <w:t>means of providing progress report data</w:t>
      </w:r>
      <w:r w:rsidRPr="005114D5">
        <w:t>.  The Department developed the GRT</w:t>
      </w:r>
      <w:r>
        <w:t xml:space="preserve"> </w:t>
      </w:r>
      <w:r w:rsidRPr="005114D5">
        <w:t xml:space="preserve">as a tool to streamline the </w:t>
      </w:r>
      <w:r>
        <w:t xml:space="preserve">reporting </w:t>
      </w:r>
      <w:r w:rsidRPr="005114D5">
        <w:t>process for grant</w:t>
      </w:r>
      <w:r>
        <w:t>ees</w:t>
      </w:r>
      <w:r w:rsidRPr="005114D5">
        <w:t>.  The</w:t>
      </w:r>
      <w:r>
        <w:t xml:space="preserve"> GRT </w:t>
      </w:r>
      <w:r w:rsidRPr="005114D5">
        <w:t xml:space="preserve">is user-friendly with a web-based format, thus reducing burden on </w:t>
      </w:r>
      <w:r>
        <w:t xml:space="preserve">the grantees </w:t>
      </w:r>
      <w:r w:rsidRPr="005114D5">
        <w:t>by providing increased flexibility yet ensuring adherence to agency guidelines.</w:t>
      </w:r>
      <w:r w:rsidR="00441FBE">
        <w:t xml:space="preserve"> </w:t>
      </w:r>
      <w:r w:rsidR="00441FBE">
        <w:rPr>
          <w:bCs/>
        </w:rPr>
        <w:t xml:space="preserve">This collection activity </w:t>
      </w:r>
      <w:r w:rsidR="00441FBE">
        <w:t xml:space="preserve">is approved under OMB Control Number 1660-0117, which expires </w:t>
      </w:r>
      <w:r w:rsidRPr="000A601B" w:rsidR="00441FBE">
        <w:t xml:space="preserve">on </w:t>
      </w:r>
      <w:r w:rsidR="00C40261">
        <w:t>5/31/2020</w:t>
      </w:r>
      <w:r w:rsidRPr="000A601B" w:rsidR="00441FBE">
        <w:t>.</w:t>
      </w:r>
    </w:p>
    <w:p w:rsidRPr="005114D5" w:rsidR="000C1A4F" w:rsidP="000C1A4F" w:rsidRDefault="000C1A4F" w14:paraId="615D7B87" w14:textId="77777777">
      <w:pPr>
        <w:pStyle w:val="ListBullet"/>
        <w:numPr>
          <w:ilvl w:val="0"/>
          <w:numId w:val="0"/>
        </w:numPr>
        <w:rPr>
          <w:sz w:val="24"/>
          <w:szCs w:val="24"/>
        </w:rPr>
      </w:pPr>
    </w:p>
    <w:p w:rsidR="00842E74" w:rsidRDefault="00842E74" w14:paraId="5A58DE1B" w14:textId="77777777">
      <w:pPr>
        <w:rPr>
          <w:b/>
          <w:bCs/>
        </w:rPr>
      </w:pPr>
      <w:r>
        <w:fldChar w:fldCharType="begin"/>
      </w:r>
      <w:r>
        <w:instrText>ADVANCE \R 0.95</w:instrText>
      </w:r>
      <w:r>
        <w:fldChar w:fldCharType="end"/>
      </w:r>
      <w:r>
        <w:rPr>
          <w:b/>
          <w:bCs/>
        </w:rPr>
        <w:t xml:space="preserve">4.  Describe efforts to identify duplication.   Show specifically why any similar information already available cannot be used or modified for use for the purposes described in Item 2 above.  </w:t>
      </w:r>
    </w:p>
    <w:p w:rsidR="00842E74" w:rsidRDefault="00842E74" w14:paraId="1E4D9983" w14:textId="77777777">
      <w:r>
        <w:lastRenderedPageBreak/>
        <w:fldChar w:fldCharType="begin"/>
      </w:r>
      <w:r>
        <w:instrText>ADVANCE \R 0.95</w:instrText>
      </w:r>
      <w:r>
        <w:fldChar w:fldCharType="end"/>
      </w:r>
    </w:p>
    <w:p w:rsidR="0005794F" w:rsidRDefault="0005794F" w14:paraId="2206F90E" w14:textId="77777777">
      <w:r w:rsidRPr="0092044F">
        <w:t>This information is not collected in any form, and therefore is not duplicated elsewhere.</w:t>
      </w:r>
    </w:p>
    <w:p w:rsidR="0005794F" w:rsidRDefault="0005794F" w14:paraId="008D45FD" w14:textId="77777777"/>
    <w:p w:rsidR="00842E74" w:rsidRDefault="00842E74" w14:paraId="46C29B5B" w14:textId="77777777">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842E74" w:rsidRDefault="00842E74" w14:paraId="32CEBE7D" w14:textId="77777777">
      <w:pPr>
        <w:rPr>
          <w:spacing w:val="-3"/>
        </w:rPr>
      </w:pPr>
    </w:p>
    <w:p w:rsidRPr="0092044F" w:rsidR="0005794F" w:rsidP="0005794F" w:rsidRDefault="0005794F" w14:paraId="406E8AD7" w14:textId="77777777">
      <w:r w:rsidRPr="0092044F">
        <w:t>This information collection does not have an impact on small businesses or other small entities.</w:t>
      </w:r>
    </w:p>
    <w:p w:rsidR="0005794F" w:rsidRDefault="0005794F" w14:paraId="6BD1343E" w14:textId="77777777">
      <w:pPr>
        <w:rPr>
          <w:b/>
          <w:bCs/>
        </w:rPr>
      </w:pPr>
    </w:p>
    <w:p w:rsidR="00842E74" w:rsidRDefault="00842E74" w14:paraId="53CE1C11" w14:textId="77777777">
      <w:pPr>
        <w:rPr>
          <w:b/>
          <w:bCs/>
        </w:rPr>
      </w:pPr>
      <w:r>
        <w:rPr>
          <w:b/>
          <w:bCs/>
        </w:rPr>
        <w:t>6.  Describe the consequence to Federal/FEMA program or policy activities if the collection of information is not conducted, or is conducted less frequently</w:t>
      </w:r>
      <w:r w:rsidR="009F46CE">
        <w:rPr>
          <w:b/>
          <w:bCs/>
        </w:rPr>
        <w:t xml:space="preserve"> </w:t>
      </w:r>
      <w:r>
        <w:rPr>
          <w:b/>
          <w:bCs/>
        </w:rPr>
        <w:t xml:space="preserve">as well as any technical or legal obstacles to reducing burden.  </w:t>
      </w:r>
    </w:p>
    <w:p w:rsidR="00842E74" w:rsidRDefault="00842E74" w14:paraId="2517A799" w14:textId="77777777">
      <w:pPr>
        <w:rPr>
          <w:spacing w:val="-3"/>
        </w:rPr>
      </w:pPr>
    </w:p>
    <w:p w:rsidR="0005794F" w:rsidP="0005794F" w:rsidRDefault="0005794F" w14:paraId="17854FE2" w14:textId="77777777">
      <w:r w:rsidRPr="00CE0198">
        <w:t>If FEMA could not request and obtain this information, FEMA could not exercise comprehensive financial management and ensure the efficient and effective use of Federal funds.  If FEMA was not able to receive information collected from grant recipients, the agency could not fulfill monitoring requirement</w:t>
      </w:r>
      <w:r>
        <w:t>s</w:t>
      </w:r>
      <w:r w:rsidRPr="00CE0198">
        <w:t xml:space="preserve">. </w:t>
      </w:r>
    </w:p>
    <w:p w:rsidR="0005794F" w:rsidRDefault="0005794F" w14:paraId="70564686" w14:textId="77777777">
      <w:pPr>
        <w:rPr>
          <w:spacing w:val="-3"/>
        </w:rPr>
      </w:pPr>
    </w:p>
    <w:p w:rsidR="00842E74" w:rsidRDefault="00842E74" w14:paraId="38DC7013" w14:textId="77777777">
      <w:pPr>
        <w:rPr>
          <w:b/>
          <w:bCs/>
        </w:rPr>
      </w:pPr>
      <w:r>
        <w:rPr>
          <w:b/>
          <w:bCs/>
        </w:rPr>
        <w:fldChar w:fldCharType="begin"/>
      </w:r>
      <w:r>
        <w:rPr>
          <w:b/>
          <w:bCs/>
        </w:rPr>
        <w:instrText>ADVANCE \R 0.95</w:instrText>
      </w:r>
      <w:r>
        <w:rPr>
          <w:b/>
          <w:bCs/>
        </w:rPr>
        <w:fldChar w:fldCharType="end"/>
      </w:r>
      <w:r>
        <w:rPr>
          <w:b/>
          <w:bCs/>
        </w:rPr>
        <w:t>7.  Explain any special circumstances that would cause an information collection to be conducted in a manner:</w:t>
      </w:r>
    </w:p>
    <w:p w:rsidR="00842E74" w:rsidRDefault="00842E74" w14:paraId="7BC46A3B" w14:textId="77777777">
      <w:pPr>
        <w:rPr>
          <w:b/>
          <w:bCs/>
        </w:rPr>
      </w:pPr>
    </w:p>
    <w:p w:rsidRPr="007F32DF" w:rsidR="00842E74" w:rsidP="00583540" w:rsidRDefault="00842E74" w14:paraId="392C57C3" w14:textId="77777777">
      <w:pPr>
        <w:numPr>
          <w:ilvl w:val="0"/>
          <w:numId w:val="11"/>
        </w:numPr>
        <w:rPr>
          <w:b/>
          <w:bCs/>
        </w:rPr>
      </w:pPr>
      <w:r w:rsidRPr="007F32DF">
        <w:rPr>
          <w:b/>
          <w:bCs/>
        </w:rPr>
        <w:fldChar w:fldCharType="begin"/>
      </w:r>
      <w:r w:rsidRPr="007F32DF">
        <w:rPr>
          <w:b/>
          <w:bCs/>
        </w:rPr>
        <w:instrText>ADVANCE \R 0.95</w:instrText>
      </w:r>
      <w:r w:rsidRPr="007F32DF">
        <w:rPr>
          <w:b/>
          <w:bCs/>
        </w:rPr>
        <w:fldChar w:fldCharType="end"/>
      </w:r>
      <w:r w:rsidRPr="007F32DF">
        <w:rPr>
          <w:b/>
          <w:bCs/>
        </w:rPr>
        <w:t>Requiring respondents to report information to the agency more</w:t>
      </w:r>
      <w:r w:rsidR="007F32DF">
        <w:rPr>
          <w:b/>
          <w:bCs/>
        </w:rPr>
        <w:t xml:space="preserve"> </w:t>
      </w:r>
      <w:r w:rsidRPr="007F32DF">
        <w:rPr>
          <w:b/>
          <w:bCs/>
        </w:rPr>
        <w:t>often than quarterly.</w:t>
      </w:r>
    </w:p>
    <w:p w:rsidR="00CD0CD6" w:rsidRDefault="00842E74" w14:paraId="752FB744" w14:textId="77777777">
      <w:r>
        <w:fldChar w:fldCharType="begin"/>
      </w:r>
      <w:r>
        <w:instrText>ADVANCE \R 0.95</w:instrText>
      </w:r>
      <w:r>
        <w:fldChar w:fldCharType="end"/>
      </w:r>
    </w:p>
    <w:p w:rsidR="0005794F" w:rsidRDefault="0005794F" w14:paraId="4296AD54" w14:textId="77777777">
      <w:pPr>
        <w:rPr>
          <w:color w:val="000000"/>
        </w:rPr>
      </w:pPr>
      <w:r>
        <w:t>No data collection elements are required more often than quarterly. Most collection elements are only required once per year per grant application.</w:t>
      </w:r>
      <w:r w:rsidRPr="00CE0198">
        <w:rPr>
          <w:color w:val="000000"/>
        </w:rPr>
        <w:t xml:space="preserve">      </w:t>
      </w:r>
    </w:p>
    <w:p w:rsidR="0005794F" w:rsidRDefault="0005794F" w14:paraId="298452A6" w14:textId="77777777"/>
    <w:p w:rsidR="00842E74" w:rsidRDefault="00842E74" w14:paraId="546369B1" w14:textId="77777777">
      <w:pPr>
        <w:rPr>
          <w:b/>
          <w:bCs/>
        </w:rPr>
      </w:pPr>
      <w:r>
        <w:fldChar w:fldCharType="begin"/>
      </w:r>
      <w:r>
        <w:instrText>ADVANCE \R 0.95</w:instrText>
      </w:r>
      <w:r>
        <w:fldChar w:fldCharType="end"/>
      </w:r>
      <w:r w:rsidR="00CD0CD6">
        <w:tab/>
      </w:r>
      <w:r>
        <w:rPr>
          <w:b/>
          <w:bCs/>
        </w:rPr>
        <w:t>(b) Requiring respondents to prepare a written response to a</w:t>
      </w:r>
      <w:r w:rsidR="007F32DF">
        <w:rPr>
          <w:b/>
          <w:bCs/>
        </w:rPr>
        <w:t xml:space="preserve"> </w:t>
      </w:r>
      <w:r w:rsidR="00232C69">
        <w:rPr>
          <w:b/>
          <w:bCs/>
        </w:rPr>
        <w:t>col</w:t>
      </w:r>
      <w:r>
        <w:rPr>
          <w:b/>
          <w:bCs/>
        </w:rPr>
        <w:t>lection of</w:t>
      </w:r>
      <w:r w:rsidR="0026549A">
        <w:rPr>
          <w:b/>
          <w:bCs/>
        </w:rPr>
        <w:t xml:space="preserve"> </w:t>
      </w:r>
      <w:r>
        <w:rPr>
          <w:b/>
          <w:bCs/>
        </w:rPr>
        <w:t>information in fewer than 30 days after receipt of it.</w:t>
      </w:r>
    </w:p>
    <w:p w:rsidR="00842E74" w:rsidRDefault="00842E74" w14:paraId="04DA9EC5" w14:textId="77777777">
      <w:r>
        <w:fldChar w:fldCharType="begin"/>
      </w:r>
      <w:r>
        <w:instrText>ADVANCE \R 0.95</w:instrText>
      </w:r>
      <w:r>
        <w:fldChar w:fldCharType="end"/>
      </w:r>
    </w:p>
    <w:p w:rsidRPr="00CE0198" w:rsidR="0005794F" w:rsidP="0005794F" w:rsidRDefault="0005794F" w14:paraId="52099B85" w14:textId="77777777">
      <w:r w:rsidRPr="00CE0198">
        <w:t>There are no requirements for respondents to prepare a written response to this collection of information in fewer than 30 days after receipt of it.</w:t>
      </w:r>
    </w:p>
    <w:p w:rsidR="0005794F" w:rsidRDefault="0005794F" w14:paraId="55A020BF" w14:textId="77777777"/>
    <w:p w:rsidRPr="007F32DF" w:rsidR="00842E74" w:rsidP="00583540" w:rsidRDefault="00842E74" w14:paraId="7B151AA5" w14:textId="77777777">
      <w:pPr>
        <w:numPr>
          <w:ilvl w:val="0"/>
          <w:numId w:val="12"/>
        </w:numPr>
        <w:rPr>
          <w:b/>
          <w:bCs/>
        </w:rPr>
      </w:pPr>
      <w:r>
        <w:fldChar w:fldCharType="begin"/>
      </w:r>
      <w:r>
        <w:instrText>ADVANCE \R 0.95</w:instrText>
      </w:r>
      <w:r>
        <w:fldChar w:fldCharType="end"/>
      </w:r>
      <w:r w:rsidRPr="007F32DF">
        <w:rPr>
          <w:b/>
          <w:bCs/>
        </w:rPr>
        <w:t>Requiring respondents to submit more than an original and two</w:t>
      </w:r>
      <w:r w:rsidR="007F32DF">
        <w:rPr>
          <w:b/>
          <w:bCs/>
        </w:rPr>
        <w:t xml:space="preserve"> </w:t>
      </w:r>
      <w:r w:rsidRPr="007F32DF">
        <w:rPr>
          <w:b/>
          <w:bCs/>
        </w:rPr>
        <w:t>copies of any document.</w:t>
      </w:r>
    </w:p>
    <w:p w:rsidR="00842E74" w:rsidRDefault="00842E74" w14:paraId="73AC3548" w14:textId="77777777">
      <w:pPr>
        <w:rPr>
          <w:b/>
          <w:bCs/>
        </w:rPr>
      </w:pPr>
      <w:r>
        <w:rPr>
          <w:b/>
          <w:bCs/>
        </w:rPr>
        <w:fldChar w:fldCharType="begin"/>
      </w:r>
      <w:r>
        <w:rPr>
          <w:b/>
          <w:bCs/>
        </w:rPr>
        <w:instrText>ADVANCE \R 0.95</w:instrText>
      </w:r>
      <w:r>
        <w:rPr>
          <w:b/>
          <w:bCs/>
        </w:rPr>
        <w:fldChar w:fldCharType="end"/>
      </w:r>
    </w:p>
    <w:p w:rsidR="0005794F" w:rsidRDefault="0005794F" w14:paraId="30850969" w14:textId="77777777">
      <w:r w:rsidRPr="00CE0198">
        <w:rPr>
          <w:bCs/>
        </w:rPr>
        <w:t>T</w:t>
      </w:r>
      <w:r w:rsidRPr="00CE0198">
        <w:t>here are no requirements for a respondent to submit more than an original and t</w:t>
      </w:r>
      <w:r>
        <w:t>w</w:t>
      </w:r>
      <w:r w:rsidRPr="00CE0198">
        <w:t>o copies of any document</w:t>
      </w:r>
      <w:r>
        <w:t>.</w:t>
      </w:r>
    </w:p>
    <w:p w:rsidR="0005794F" w:rsidRDefault="0005794F" w14:paraId="7AC6DD87" w14:textId="77777777"/>
    <w:p w:rsidR="00842E74" w:rsidP="00583540" w:rsidRDefault="00842E74" w14:paraId="3A2D82D3" w14:textId="77777777">
      <w:pPr>
        <w:numPr>
          <w:ilvl w:val="0"/>
          <w:numId w:val="12"/>
        </w:numPr>
      </w:pPr>
      <w:r>
        <w:fldChar w:fldCharType="begin"/>
      </w:r>
      <w:r>
        <w:instrText>ADVANCE \R 0.95</w:instrText>
      </w:r>
      <w:r>
        <w:fldChar w:fldCharType="end"/>
      </w:r>
      <w:r w:rsidRPr="007F32DF">
        <w:rPr>
          <w:b/>
          <w:bCs/>
        </w:rPr>
        <w:t>Requiring respondents to retain records, other than health,</w:t>
      </w:r>
      <w:r w:rsidR="007F32DF">
        <w:rPr>
          <w:b/>
          <w:bCs/>
        </w:rPr>
        <w:t xml:space="preserve"> </w:t>
      </w:r>
      <w:r w:rsidRPr="007F32DF">
        <w:rPr>
          <w:b/>
          <w:bCs/>
        </w:rPr>
        <w:t>medical, government contract, grant-in-aid, or tax records for more</w:t>
      </w:r>
      <w:r w:rsidRPr="007F32DF" w:rsidR="00232C69">
        <w:rPr>
          <w:b/>
          <w:bCs/>
        </w:rPr>
        <w:t xml:space="preserve"> </w:t>
      </w:r>
      <w:r w:rsidRPr="007F32DF">
        <w:rPr>
          <w:b/>
          <w:bCs/>
        </w:rPr>
        <w:t>than three years</w:t>
      </w:r>
      <w:r>
        <w:t>.</w:t>
      </w:r>
    </w:p>
    <w:p w:rsidR="00842E74" w:rsidRDefault="00842E74" w14:paraId="7F009903" w14:textId="77777777">
      <w:r>
        <w:fldChar w:fldCharType="begin"/>
      </w:r>
      <w:r>
        <w:instrText>ADVANCE \R 0.95</w:instrText>
      </w:r>
      <w:r>
        <w:fldChar w:fldCharType="end"/>
      </w:r>
    </w:p>
    <w:p w:rsidRPr="004E1A66" w:rsidR="004E1A66" w:rsidP="0005794F" w:rsidRDefault="004E1A66" w14:paraId="54FB096A" w14:textId="77777777">
      <w:r>
        <w:t xml:space="preserve">Generally, </w:t>
      </w:r>
      <w:r w:rsidRPr="004E1A66">
        <w:t>r</w:t>
      </w:r>
      <w:r w:rsidRPr="004E1A66" w:rsidR="0005794F">
        <w:t xml:space="preserve">ecords must be retained for three years after close-out. </w:t>
      </w:r>
      <w:r w:rsidRPr="004E1A66">
        <w:t xml:space="preserve"> The only exceptions are the following:</w:t>
      </w:r>
    </w:p>
    <w:p w:rsidRPr="004E1A66" w:rsidR="004E1A66" w:rsidP="004E1A66" w:rsidRDefault="004E1A66" w14:paraId="3DA51521" w14:textId="77777777">
      <w:pPr>
        <w:spacing w:before="100" w:beforeAutospacing="1" w:after="100" w:afterAutospacing="1"/>
        <w:ind w:left="720"/>
      </w:pPr>
      <w:r w:rsidRPr="004E1A66">
        <w:lastRenderedPageBreak/>
        <w:t>(a) If any litigation, claim, or audit is started before the expiration of the 3-year period, the records must be retained until all litigation, claims, or audit findings involving the records have been resolved and final action taken.</w:t>
      </w:r>
    </w:p>
    <w:p w:rsidRPr="004E1A66" w:rsidR="004E1A66" w:rsidP="004E1A66" w:rsidRDefault="004E1A66" w14:paraId="012862DE" w14:textId="77777777">
      <w:pPr>
        <w:spacing w:before="100" w:beforeAutospacing="1" w:after="100" w:afterAutospacing="1"/>
        <w:ind w:left="720"/>
      </w:pPr>
      <w:r w:rsidRPr="004E1A66">
        <w:t>(b) When the non-Federal entity is notified in writing by the Federal awarding agency, cognizant agency for audit, oversight agency for audit, cognizant agency for indirect costs, or pass-through entity to extend the retention period.</w:t>
      </w:r>
    </w:p>
    <w:p w:rsidRPr="004E1A66" w:rsidR="004E1A66" w:rsidP="004E1A66" w:rsidRDefault="004E1A66" w14:paraId="056583E4" w14:textId="77777777">
      <w:pPr>
        <w:spacing w:before="100" w:beforeAutospacing="1" w:after="100" w:afterAutospacing="1"/>
        <w:ind w:left="720"/>
      </w:pPr>
      <w:r w:rsidRPr="004E1A66">
        <w:t>(c) Records for real property and equipment acquired with Federal funds must be retained for 3 years after final disposition.</w:t>
      </w:r>
    </w:p>
    <w:p w:rsidRPr="004E1A66" w:rsidR="004E1A66" w:rsidP="004E1A66" w:rsidRDefault="004E1A66" w14:paraId="22817FDF" w14:textId="77777777">
      <w:pPr>
        <w:spacing w:before="100" w:beforeAutospacing="1" w:after="100" w:afterAutospacing="1"/>
        <w:ind w:left="720"/>
      </w:pPr>
      <w:r w:rsidRPr="004E1A66">
        <w:t>(d) When records are transferred to or maintained by the Federal awarding agency or pass-through entity, the 3-year retention requirement is not applicable to the non-Federal entity.</w:t>
      </w:r>
    </w:p>
    <w:p w:rsidRPr="004E1A66" w:rsidR="004E1A66" w:rsidP="004E1A66" w:rsidRDefault="004E1A66" w14:paraId="5D135C45" w14:textId="77777777">
      <w:pPr>
        <w:spacing w:before="100" w:beforeAutospacing="1" w:after="100" w:afterAutospacing="1"/>
        <w:ind w:left="720"/>
      </w:pPr>
      <w:r w:rsidRPr="004E1A66">
        <w:t>(e) Records for program income transactions after the period of performance. In some cases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rsidRPr="004E1A66" w:rsidR="004E1A66" w:rsidP="004E1A66" w:rsidRDefault="004E1A66" w14:paraId="4AC79DD7" w14:textId="77777777">
      <w:pPr>
        <w:spacing w:before="100" w:beforeAutospacing="1" w:after="100" w:afterAutospacing="1"/>
        <w:ind w:left="720"/>
      </w:pPr>
      <w:r w:rsidRPr="004E1A66">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rsidRPr="004E1A66" w:rsidR="004E1A66" w:rsidP="004E1A66" w:rsidRDefault="004E1A66" w14:paraId="66FF304C" w14:textId="77777777">
      <w:pPr>
        <w:spacing w:before="100" w:beforeAutospacing="1" w:after="100" w:afterAutospacing="1"/>
        <w:ind w:left="1440"/>
      </w:pPr>
      <w:r w:rsidRPr="004E1A66">
        <w:t xml:space="preserve">(1) </w:t>
      </w:r>
      <w:r w:rsidRPr="004E1A66">
        <w:rPr>
          <w:i/>
          <w:iCs/>
        </w:rPr>
        <w:t>If submitted for negotiation.</w:t>
      </w:r>
      <w:r w:rsidRPr="004E1A66">
        <w:t xml:space="preserve">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rsidRPr="004E1A66" w:rsidR="004E1A66" w:rsidP="00DC4A0C" w:rsidRDefault="004E1A66" w14:paraId="66ECC2BA" w14:textId="77777777">
      <w:pPr>
        <w:ind w:left="1440"/>
      </w:pPr>
      <w:r w:rsidRPr="004E1A66">
        <w:t xml:space="preserve">(2) </w:t>
      </w:r>
      <w:r w:rsidRPr="004E1A66">
        <w:rPr>
          <w:i/>
          <w:iCs/>
        </w:rPr>
        <w:t>If not submitted for negotiation.</w:t>
      </w:r>
      <w:r w:rsidRPr="004E1A66">
        <w:t xml:space="preserve">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p w:rsidRPr="004E1A66" w:rsidR="004E1A66" w:rsidP="0005794F" w:rsidRDefault="004E1A66" w14:paraId="23F741B9" w14:textId="77777777"/>
    <w:p w:rsidR="00842E74" w:rsidP="00612A01" w:rsidRDefault="00842E74" w14:paraId="5FA11C1D" w14:textId="77777777">
      <w:pPr>
        <w:numPr>
          <w:ilvl w:val="0"/>
          <w:numId w:val="12"/>
        </w:numPr>
      </w:pPr>
      <w:r>
        <w:fldChar w:fldCharType="begin"/>
      </w:r>
      <w:r>
        <w:instrText>ADVANCE \R 0.95</w:instrText>
      </w:r>
      <w:r>
        <w:fldChar w:fldCharType="end"/>
      </w:r>
      <w:r w:rsidRPr="0075557B">
        <w:rPr>
          <w:b/>
          <w:bCs/>
        </w:rPr>
        <w:t>In connection with a statistical survey, that is not designed to</w:t>
      </w:r>
      <w:r w:rsidR="0075557B">
        <w:rPr>
          <w:b/>
          <w:bCs/>
        </w:rPr>
        <w:t xml:space="preserve"> </w:t>
      </w:r>
      <w:r w:rsidRPr="0075557B">
        <w:rPr>
          <w:b/>
          <w:bCs/>
        </w:rPr>
        <w:t>produce valid and reliable results that can be generalized to the</w:t>
      </w:r>
      <w:r w:rsidRPr="0075557B" w:rsidR="00232C69">
        <w:rPr>
          <w:b/>
          <w:bCs/>
        </w:rPr>
        <w:t xml:space="preserve"> </w:t>
      </w:r>
      <w:r w:rsidRPr="0075557B">
        <w:rPr>
          <w:b/>
          <w:bCs/>
        </w:rPr>
        <w:t>universe of study</w:t>
      </w:r>
      <w:r>
        <w:t>.</w:t>
      </w:r>
    </w:p>
    <w:p w:rsidR="00842E74" w:rsidRDefault="00842E74" w14:paraId="42C0706F" w14:textId="77777777">
      <w:r>
        <w:fldChar w:fldCharType="begin"/>
      </w:r>
      <w:r>
        <w:instrText>ADVANCE \R 0.95</w:instrText>
      </w:r>
      <w:r>
        <w:fldChar w:fldCharType="end"/>
      </w:r>
    </w:p>
    <w:p w:rsidR="0005794F" w:rsidP="0005794F" w:rsidRDefault="0005794F" w14:paraId="6BA61B61" w14:textId="77777777">
      <w:r>
        <w:t>There is no statistical survey involved with this data collection.</w:t>
      </w:r>
    </w:p>
    <w:p w:rsidR="0005794F" w:rsidRDefault="0005794F" w14:paraId="5E7535E6" w14:textId="77777777"/>
    <w:p w:rsidR="00842E74" w:rsidRDefault="00842E74" w14:paraId="51A1947E" w14:textId="77777777">
      <w:pPr>
        <w:rPr>
          <w:b/>
          <w:bCs/>
        </w:rPr>
      </w:pPr>
      <w:r>
        <w:lastRenderedPageBreak/>
        <w:fldChar w:fldCharType="begin"/>
      </w:r>
      <w:r>
        <w:instrText>ADVANCE \R 0.95</w:instrText>
      </w:r>
      <w:r>
        <w:fldChar w:fldCharType="end"/>
      </w:r>
      <w:r w:rsidR="00CD0CD6">
        <w:tab/>
      </w:r>
      <w:r>
        <w:rPr>
          <w:b/>
          <w:bCs/>
        </w:rPr>
        <w:t>(f) Requiring the use of a statistical data classification that has not</w:t>
      </w:r>
      <w:r w:rsidR="00232C69">
        <w:rPr>
          <w:b/>
          <w:bCs/>
        </w:rPr>
        <w:t xml:space="preserve"> </w:t>
      </w:r>
      <w:r>
        <w:rPr>
          <w:b/>
          <w:bCs/>
        </w:rPr>
        <w:t>been reviewed and approved by OMB.</w:t>
      </w:r>
    </w:p>
    <w:p w:rsidR="00842E74" w:rsidRDefault="00842E74" w14:paraId="3ECA7ABE" w14:textId="77777777"/>
    <w:p w:rsidRPr="00CE0198" w:rsidR="0005794F" w:rsidP="0005794F" w:rsidRDefault="0005794F" w14:paraId="78D3A41C" w14:textId="77777777">
      <w:r w:rsidRPr="00CE0198">
        <w:t>There is no use for statistical data classification in this data collection.</w:t>
      </w:r>
    </w:p>
    <w:p w:rsidR="0005794F" w:rsidRDefault="0005794F" w14:paraId="6A4BC53F" w14:textId="77777777"/>
    <w:p w:rsidR="00842E74" w:rsidRDefault="00842E74" w14:paraId="77DB047C" w14:textId="77777777">
      <w:pPr>
        <w:rPr>
          <w:b/>
          <w:bCs/>
        </w:rPr>
      </w:pPr>
      <w:r>
        <w:fldChar w:fldCharType="begin"/>
      </w:r>
      <w:r>
        <w:instrText>ADVANCE \R 0.95</w:instrText>
      </w:r>
      <w:r>
        <w:fldChar w:fldCharType="end"/>
      </w:r>
      <w:r w:rsidR="00CD0CD6">
        <w:tab/>
      </w:r>
      <w:r>
        <w:rPr>
          <w:b/>
          <w:bCs/>
        </w:rPr>
        <w:t>(g) That includes a pledge of confidentiality that is not supported by</w:t>
      </w:r>
      <w:r w:rsidR="0075557B">
        <w:rPr>
          <w:b/>
          <w:bCs/>
        </w:rPr>
        <w:t xml:space="preserve"> </w:t>
      </w:r>
      <w:r>
        <w:rPr>
          <w:b/>
          <w:bCs/>
        </w:rPr>
        <w:t xml:space="preserve">authority established in statute or regulation, that is not supported by </w:t>
      </w:r>
      <w:r w:rsidR="0026549A">
        <w:rPr>
          <w:b/>
          <w:bCs/>
        </w:rPr>
        <w:tab/>
      </w:r>
      <w:r>
        <w:rPr>
          <w:b/>
          <w:bCs/>
        </w:rPr>
        <w:t>disclosure and data security policies that are consistent with the pledge, or which unnecessarily impedes sharing of data with other agencies for compatible confidential use.</w:t>
      </w:r>
    </w:p>
    <w:p w:rsidR="00842E74" w:rsidRDefault="00842E74" w14:paraId="2847F9E4" w14:textId="77777777">
      <w:r>
        <w:fldChar w:fldCharType="begin"/>
      </w:r>
      <w:r>
        <w:instrText>ADVANCE \R 0.95</w:instrText>
      </w:r>
      <w:r>
        <w:fldChar w:fldCharType="end"/>
      </w:r>
    </w:p>
    <w:p w:rsidRPr="00CE0198" w:rsidR="00A42316" w:rsidP="00A42316" w:rsidRDefault="00A42316" w14:paraId="6C4A6895" w14:textId="77777777">
      <w:r w:rsidRPr="00CE0198">
        <w:t>There is no pledge of confidentiality that is not supported by authority established in statu</w:t>
      </w:r>
      <w:r>
        <w:t>t</w:t>
      </w:r>
      <w:r w:rsidRPr="00CE0198">
        <w:t>e or regulation for this data collection.</w:t>
      </w:r>
    </w:p>
    <w:p w:rsidR="00A42316" w:rsidRDefault="00A42316" w14:paraId="7D9B0447" w14:textId="77777777"/>
    <w:p w:rsidR="00842E74" w:rsidRDefault="00842E74" w14:paraId="3F000437" w14:textId="77777777">
      <w:pPr>
        <w:rPr>
          <w:b/>
          <w:bCs/>
        </w:rPr>
      </w:pPr>
      <w:r>
        <w:fldChar w:fldCharType="begin"/>
      </w:r>
      <w:r>
        <w:instrText>ADVANCE \R 0.95</w:instrText>
      </w:r>
      <w:r>
        <w:fldChar w:fldCharType="end"/>
      </w:r>
      <w:r w:rsidR="00CD0CD6">
        <w:tab/>
      </w:r>
      <w:r>
        <w:rPr>
          <w:b/>
          <w:bCs/>
        </w:rPr>
        <w:t>(h) Requiring respondents to submit proprietary trade secret, or other confidential information unless the agency can demonstrate that it has instituted procedures to protect the information’s confidentiality to the extent permitted by law.</w:t>
      </w:r>
    </w:p>
    <w:p w:rsidRPr="00CE0198" w:rsidR="00A42316" w:rsidP="00A42316" w:rsidRDefault="00842E74" w14:paraId="7EAE8586" w14:textId="77777777">
      <w:r>
        <w:fldChar w:fldCharType="begin"/>
      </w:r>
      <w:r>
        <w:instrText>ADVANCE \R 0.95</w:instrText>
      </w:r>
      <w:r>
        <w:fldChar w:fldCharType="end"/>
      </w:r>
      <w:r w:rsidRPr="00A42316" w:rsidR="00A42316">
        <w:t xml:space="preserve"> </w:t>
      </w:r>
      <w:r w:rsidRPr="00CE0198" w:rsidR="00A42316">
        <w:t>There are no requirements for respondents to submit proprietary trade secret, or other confidential information for this data collection.</w:t>
      </w:r>
    </w:p>
    <w:p w:rsidR="00842E74" w:rsidRDefault="00842E74" w14:paraId="084553D4" w14:textId="77777777"/>
    <w:p w:rsidR="00842E74" w:rsidRDefault="00842E74" w14:paraId="66ADA017" w14:textId="77777777">
      <w:pPr>
        <w:rPr>
          <w:b/>
          <w:bCs/>
        </w:rPr>
      </w:pPr>
      <w:r>
        <w:rPr>
          <w:b/>
          <w:bCs/>
        </w:rPr>
        <w:fldChar w:fldCharType="begin"/>
      </w:r>
      <w:r>
        <w:rPr>
          <w:b/>
          <w:bCs/>
        </w:rPr>
        <w:instrText>ADVANCE \R 0.95</w:instrText>
      </w:r>
      <w:r>
        <w:rPr>
          <w:b/>
          <w:bCs/>
        </w:rPr>
        <w:fldChar w:fldCharType="end"/>
      </w:r>
      <w:r>
        <w:rPr>
          <w:b/>
          <w:bCs/>
        </w:rPr>
        <w:t xml:space="preserve">8.  Federal Register Notice: </w:t>
      </w:r>
    </w:p>
    <w:p w:rsidR="00842E74" w:rsidRDefault="00842E74" w14:paraId="2DE37569" w14:textId="77777777">
      <w:pPr>
        <w:rPr>
          <w:b/>
          <w:bCs/>
        </w:rPr>
      </w:pPr>
      <w:r>
        <w:rPr>
          <w:b/>
          <w:bCs/>
        </w:rPr>
        <w:fldChar w:fldCharType="begin"/>
      </w:r>
      <w:r>
        <w:rPr>
          <w:b/>
          <w:bCs/>
        </w:rPr>
        <w:instrText>ADVANCE \R 0.95</w:instrText>
      </w:r>
      <w:r>
        <w:rPr>
          <w:b/>
          <w:bCs/>
        </w:rPr>
        <w:fldChar w:fldCharType="end"/>
      </w:r>
    </w:p>
    <w:p w:rsidR="00842E74" w:rsidRDefault="00842E74" w14:paraId="0A1C1BEF" w14:textId="77777777">
      <w:pPr>
        <w:rPr>
          <w:b/>
          <w:bCs/>
        </w:rPr>
      </w:pPr>
      <w:r>
        <w:rPr>
          <w:b/>
          <w:bCs/>
        </w:rPr>
        <w:fldChar w:fldCharType="begin"/>
      </w:r>
      <w:r>
        <w:rPr>
          <w:b/>
          <w:bCs/>
        </w:rPr>
        <w:instrText>ADVANCE \R 0.95</w:instrText>
      </w:r>
      <w:r>
        <w:rPr>
          <w:b/>
          <w:bCs/>
        </w:rPr>
        <w:fldChar w:fldCharType="end"/>
      </w:r>
      <w:r>
        <w:rPr>
          <w:b/>
          <w:bCs/>
        </w:rPr>
        <w:t xml:space="preserve">            a.   Provide a copy and identify the date and page number of publication in the Federal Register of the agency’s notice soliciting comments on the </w:t>
      </w:r>
      <w:r w:rsidR="00920A21">
        <w:rPr>
          <w:b/>
          <w:bCs/>
        </w:rPr>
        <w:tab/>
      </w:r>
      <w:r>
        <w:rPr>
          <w:b/>
          <w:bCs/>
        </w:rPr>
        <w:t>information collection prior to submission to OMB.  Summarize public</w:t>
      </w:r>
      <w:r w:rsidR="00232C69">
        <w:rPr>
          <w:b/>
          <w:bCs/>
        </w:rPr>
        <w:t xml:space="preserve"> </w:t>
      </w:r>
      <w:r>
        <w:rPr>
          <w:b/>
          <w:bCs/>
        </w:rPr>
        <w:t>comments received in response to that notice and describe actions taken by</w:t>
      </w:r>
      <w:r w:rsidR="00232C69">
        <w:rPr>
          <w:b/>
          <w:bCs/>
        </w:rPr>
        <w:t xml:space="preserve"> </w:t>
      </w:r>
      <w:r>
        <w:rPr>
          <w:b/>
          <w:bCs/>
        </w:rPr>
        <w:t>the agency in response to these comments.  Specifically address comments</w:t>
      </w:r>
      <w:r w:rsidR="00232C69">
        <w:rPr>
          <w:b/>
          <w:bCs/>
        </w:rPr>
        <w:t xml:space="preserve"> </w:t>
      </w:r>
      <w:r>
        <w:rPr>
          <w:b/>
          <w:bCs/>
        </w:rPr>
        <w:t>received on cost and hour burden.</w:t>
      </w:r>
    </w:p>
    <w:p w:rsidR="00842E74" w:rsidRDefault="00842E74" w14:paraId="73684AAE" w14:textId="77777777">
      <w:r>
        <w:fldChar w:fldCharType="begin"/>
      </w:r>
      <w:r>
        <w:instrText>ADVANCE \R 0.95</w:instrText>
      </w:r>
      <w:r>
        <w:fldChar w:fldCharType="end"/>
      </w:r>
    </w:p>
    <w:p w:rsidRPr="004764DE" w:rsidR="00C40261" w:rsidP="00C40261" w:rsidRDefault="00C40261" w14:paraId="50DACF89" w14:textId="0E847FB1">
      <w:r w:rsidRPr="004764DE">
        <w:t xml:space="preserve">A 60-day Federal Register Notice inviting public comments was published on </w:t>
      </w:r>
      <w:r w:rsidRPr="004764DE" w:rsidR="004764DE">
        <w:t>January 22, 2020</w:t>
      </w:r>
      <w:r w:rsidRPr="004764DE">
        <w:t xml:space="preserve">, </w:t>
      </w:r>
      <w:r w:rsidRPr="004764DE" w:rsidR="004764DE">
        <w:t>85</w:t>
      </w:r>
      <w:r w:rsidRPr="004764DE">
        <w:t xml:space="preserve"> FR pp </w:t>
      </w:r>
      <w:r w:rsidRPr="004764DE" w:rsidR="004764DE">
        <w:t>3711</w:t>
      </w:r>
      <w:r w:rsidRPr="004764DE">
        <w:t xml:space="preserve">.  </w:t>
      </w:r>
    </w:p>
    <w:p w:rsidRPr="004764DE" w:rsidR="00C40261" w:rsidP="00C40261" w:rsidRDefault="00C40261" w14:paraId="75589D4C" w14:textId="431596B1">
      <w:pPr>
        <w:rPr>
          <w:b/>
          <w:bCs/>
        </w:rPr>
      </w:pPr>
      <w:r w:rsidRPr="004764DE">
        <w:rPr>
          <w:b/>
          <w:bCs/>
        </w:rPr>
        <w:t xml:space="preserve">No comments were received.  </w:t>
      </w:r>
    </w:p>
    <w:p w:rsidRPr="006625E7" w:rsidR="00C40261" w:rsidP="00C40261" w:rsidRDefault="00C40261" w14:paraId="63976757" w14:textId="77777777">
      <w:pPr>
        <w:pStyle w:val="Footer"/>
        <w:tabs>
          <w:tab w:val="clear" w:pos="4320"/>
          <w:tab w:val="clear" w:pos="8640"/>
        </w:tabs>
      </w:pPr>
    </w:p>
    <w:p w:rsidRPr="004764DE" w:rsidR="00C40261" w:rsidP="00C40261" w:rsidRDefault="00C40261" w14:paraId="426462D3" w14:textId="29B8A25D">
      <w:r w:rsidRPr="004764DE">
        <w:t xml:space="preserve">A 30-day Federal Register Notice inviting public comments was published on </w:t>
      </w:r>
      <w:r w:rsidR="00B01C56">
        <w:t>May 14, 2020</w:t>
      </w:r>
      <w:r w:rsidRPr="004764DE">
        <w:t xml:space="preserve">, </w:t>
      </w:r>
      <w:r w:rsidR="00B01C56">
        <w:t>85</w:t>
      </w:r>
      <w:r w:rsidRPr="004764DE">
        <w:t xml:space="preserve"> FR </w:t>
      </w:r>
      <w:r w:rsidR="00B01C56">
        <w:t>28969</w:t>
      </w:r>
      <w:r w:rsidRPr="004764DE">
        <w:t xml:space="preserve">.  </w:t>
      </w:r>
    </w:p>
    <w:p w:rsidRPr="004764DE" w:rsidR="00C40261" w:rsidP="00C40261" w:rsidRDefault="00C40261" w14:paraId="203019E9" w14:textId="59EE6956">
      <w:pPr>
        <w:rPr>
          <w:b/>
          <w:bCs/>
        </w:rPr>
      </w:pPr>
      <w:r w:rsidRPr="004764DE">
        <w:rPr>
          <w:b/>
          <w:bCs/>
        </w:rPr>
        <w:t>No comments were received</w:t>
      </w:r>
      <w:bookmarkStart w:name="_GoBack" w:id="0"/>
      <w:bookmarkEnd w:id="0"/>
      <w:r w:rsidRPr="004764DE">
        <w:rPr>
          <w:b/>
          <w:bCs/>
        </w:rPr>
        <w:t xml:space="preserve">.  </w:t>
      </w:r>
    </w:p>
    <w:p w:rsidRPr="003B32DB" w:rsidR="003B32DB" w:rsidP="003B32DB" w:rsidRDefault="003B32DB" w14:paraId="0E2A0D06" w14:textId="77777777">
      <w:pPr>
        <w:rPr>
          <w:rFonts w:eastAsia="Calibri"/>
          <w:b/>
          <w:bCs/>
          <w:color w:val="000000"/>
        </w:rPr>
      </w:pPr>
    </w:p>
    <w:p w:rsidR="00842E74" w:rsidRDefault="00842E74" w14:paraId="7E42598C" w14:textId="77777777">
      <w:pPr>
        <w:tabs>
          <w:tab w:val="left" w:pos="360"/>
        </w:tabs>
        <w:rPr>
          <w:b/>
          <w:bCs/>
        </w:rPr>
      </w:pPr>
      <w:r>
        <w:fldChar w:fldCharType="begin"/>
      </w:r>
      <w:r>
        <w:instrText>ADVANCE \R 0.95</w:instrText>
      </w:r>
      <w:r>
        <w:fldChar w:fldCharType="end"/>
      </w:r>
      <w:r>
        <w:tab/>
      </w:r>
      <w:r>
        <w:tab/>
      </w:r>
      <w:r>
        <w:rPr>
          <w:b/>
          <w:bCs/>
        </w:rPr>
        <w:t xml:space="preserve">b.  Describe efforts to consult with persons outside the agency to obtain their views on the availability of data, frequency of collection, the clarity of </w:t>
      </w:r>
      <w:r w:rsidR="00232C69">
        <w:rPr>
          <w:b/>
          <w:bCs/>
        </w:rPr>
        <w:t>ins</w:t>
      </w:r>
      <w:r>
        <w:rPr>
          <w:b/>
          <w:bCs/>
        </w:rPr>
        <w:t>tructions and recordkeeping, disclosure, or reporting format (if any), and on the data elements to be recorded, disclosed, or reported.</w:t>
      </w:r>
    </w:p>
    <w:p w:rsidR="00372ED0" w:rsidRDefault="00372ED0" w14:paraId="52723CCE" w14:textId="77777777">
      <w:pPr>
        <w:rPr>
          <w:color w:val="FF0000"/>
        </w:rPr>
      </w:pPr>
    </w:p>
    <w:p w:rsidR="00A42316" w:rsidP="00A42316" w:rsidRDefault="00A42316" w14:paraId="039388E0" w14:textId="77777777">
      <w:pPr>
        <w:pStyle w:val="ListParagraph"/>
        <w:ind w:left="0"/>
        <w:rPr>
          <w:rFonts w:ascii="Times New Roman" w:hAnsi="Times New Roman"/>
          <w:bCs/>
          <w:sz w:val="24"/>
          <w:szCs w:val="24"/>
        </w:rPr>
      </w:pPr>
      <w:r w:rsidRPr="008E0315">
        <w:rPr>
          <w:rFonts w:ascii="Times New Roman" w:hAnsi="Times New Roman"/>
          <w:sz w:val="24"/>
          <w:szCs w:val="24"/>
        </w:rPr>
        <w:t xml:space="preserve">FEMA meets with the National Governors Association (NGA), the National Emergency Management Association (NEMA), </w:t>
      </w:r>
      <w:r>
        <w:rPr>
          <w:rFonts w:ascii="Times New Roman" w:hAnsi="Times New Roman"/>
          <w:sz w:val="24"/>
          <w:szCs w:val="24"/>
        </w:rPr>
        <w:t xml:space="preserve">and </w:t>
      </w:r>
      <w:r w:rsidRPr="008E0315">
        <w:rPr>
          <w:rFonts w:ascii="Times New Roman" w:hAnsi="Times New Roman"/>
          <w:sz w:val="24"/>
          <w:szCs w:val="24"/>
        </w:rPr>
        <w:t>the International Association of Emergency Managers (IAEM)</w:t>
      </w:r>
      <w:r>
        <w:rPr>
          <w:rFonts w:ascii="Times New Roman" w:hAnsi="Times New Roman"/>
          <w:sz w:val="24"/>
          <w:szCs w:val="24"/>
        </w:rPr>
        <w:t xml:space="preserve"> n</w:t>
      </w:r>
      <w:r w:rsidRPr="008E0315">
        <w:rPr>
          <w:rFonts w:ascii="Times New Roman" w:hAnsi="Times New Roman"/>
          <w:sz w:val="24"/>
          <w:szCs w:val="24"/>
        </w:rPr>
        <w:t>ational associations that represent these entities, as well as individual grantees, through regular program-specific conferences and workshops.  Additionally, teleconferences and e-mail communications are also used. </w:t>
      </w:r>
      <w:r w:rsidRPr="008E0315">
        <w:rPr>
          <w:rFonts w:ascii="Times New Roman" w:hAnsi="Times New Roman"/>
          <w:bCs/>
          <w:sz w:val="24"/>
          <w:szCs w:val="24"/>
        </w:rPr>
        <w:t xml:space="preserve">Throughout the grant lifecycle </w:t>
      </w:r>
      <w:r w:rsidRPr="008E0315">
        <w:rPr>
          <w:rFonts w:ascii="Times New Roman" w:hAnsi="Times New Roman"/>
          <w:bCs/>
          <w:sz w:val="24"/>
          <w:szCs w:val="24"/>
        </w:rPr>
        <w:lastRenderedPageBreak/>
        <w:t xml:space="preserve">of past years, FEMA met and consulted directly with grant recipients on a number of occasions to discuss the whole range of grant administration matters, including reporting requirements.  </w:t>
      </w:r>
    </w:p>
    <w:p w:rsidR="00C926CD" w:rsidP="00A42316" w:rsidRDefault="00C926CD" w14:paraId="4DF6AB47" w14:textId="77777777">
      <w:pPr>
        <w:pStyle w:val="ListParagraph"/>
        <w:ind w:left="0"/>
        <w:rPr>
          <w:rFonts w:ascii="Times New Roman" w:hAnsi="Times New Roman"/>
          <w:bCs/>
          <w:sz w:val="24"/>
          <w:szCs w:val="24"/>
        </w:rPr>
      </w:pPr>
    </w:p>
    <w:p w:rsidR="00C926CD" w:rsidP="00A42316" w:rsidRDefault="00C926CD" w14:paraId="0B159B96" w14:textId="77777777">
      <w:pPr>
        <w:pStyle w:val="ListParagraph"/>
        <w:ind w:left="0"/>
        <w:rPr>
          <w:rFonts w:ascii="Times New Roman" w:hAnsi="Times New Roman"/>
          <w:bCs/>
          <w:sz w:val="24"/>
          <w:szCs w:val="24"/>
        </w:rPr>
      </w:pPr>
      <w:r>
        <w:rPr>
          <w:rFonts w:ascii="Times New Roman" w:hAnsi="Times New Roman"/>
          <w:bCs/>
          <w:sz w:val="24"/>
          <w:szCs w:val="24"/>
        </w:rPr>
        <w:t>As a result of these consultations, FEMA took the following measures to improve the THSGP Investment Justification template.  First, the Introduction page was expanded to provide additional instructions on how to complete the form, application submission instructions and the self-certification requirement.  Second, a five point bonus section was added to the Investment Justification template to assist tribes who have not received THSGP funding.</w:t>
      </w:r>
    </w:p>
    <w:p w:rsidR="00A42316" w:rsidRDefault="00A42316" w14:paraId="56FE8655" w14:textId="77777777">
      <w:pPr>
        <w:rPr>
          <w:color w:val="FF0000"/>
        </w:rPr>
      </w:pPr>
    </w:p>
    <w:p w:rsidR="00842E74" w:rsidRDefault="00842E74" w14:paraId="7D745799" w14:textId="77777777">
      <w:pPr>
        <w:tabs>
          <w:tab w:val="left" w:pos="360"/>
        </w:tabs>
        <w:rPr>
          <w:b/>
          <w:bCs/>
        </w:rPr>
      </w:pPr>
      <w:r>
        <w:rPr>
          <w:b/>
          <w:bCs/>
        </w:rPr>
        <w:tab/>
      </w:r>
      <w:r w:rsidR="00920A21">
        <w:rPr>
          <w:b/>
          <w:bCs/>
        </w:rPr>
        <w:tab/>
      </w:r>
      <w:r w:rsidR="007F32DF">
        <w:rPr>
          <w:b/>
          <w:bCs/>
        </w:rPr>
        <w:t xml:space="preserve">c. </w:t>
      </w:r>
      <w:r>
        <w:rPr>
          <w:b/>
          <w:bCs/>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A42316" w:rsidRDefault="00A42316" w14:paraId="735177EC" w14:textId="77777777"/>
    <w:p w:rsidR="00A42316" w:rsidP="00A42316" w:rsidRDefault="00A42316" w14:paraId="177295F1" w14:textId="77777777">
      <w:r>
        <w:rPr>
          <w:bCs/>
        </w:rPr>
        <w:t xml:space="preserve">FEMA consults on a regular basis with Federal, State, local, tribal stakeholders on a variety of issues. </w:t>
      </w:r>
      <w:r>
        <w:t>These consultations involve discussions regarding the nature of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w:t>
      </w:r>
      <w:r w:rsidR="00C926CD">
        <w:t xml:space="preserve">  Reporting requirement tools were streamlined to reduce the number of forms needed to meet the requirements.</w:t>
      </w:r>
    </w:p>
    <w:p w:rsidR="00842E74" w:rsidRDefault="00842E74" w14:paraId="21EF061C" w14:textId="77777777">
      <w:r>
        <w:t xml:space="preserve">          </w:t>
      </w:r>
    </w:p>
    <w:p w:rsidR="00842E74" w:rsidP="00C313FA" w:rsidRDefault="00842E74" w14:paraId="69CA258E" w14:textId="77777777">
      <w:pPr>
        <w:rPr>
          <w:b/>
          <w:bCs/>
        </w:rPr>
      </w:pPr>
      <w:r>
        <w:rPr>
          <w:b/>
          <w:bCs/>
        </w:rPr>
        <w:fldChar w:fldCharType="begin"/>
      </w:r>
      <w:r>
        <w:rPr>
          <w:b/>
          <w:bCs/>
        </w:rPr>
        <w:instrText>ADVANCE \R 0.95</w:instrText>
      </w:r>
      <w:r>
        <w:rPr>
          <w:b/>
          <w:bCs/>
        </w:rPr>
        <w:fldChar w:fldCharType="end"/>
      </w:r>
      <w:r>
        <w:rPr>
          <w:b/>
          <w:bCs/>
        </w:rPr>
        <w:t>9.  Explain any decision to provide any payment or gift to respondents, other than remuneration of contractors or grantees.</w:t>
      </w:r>
    </w:p>
    <w:p w:rsidR="00842E74" w:rsidRDefault="00842E74" w14:paraId="0B0F9A12" w14:textId="77777777"/>
    <w:p w:rsidR="00A42316" w:rsidP="00A42316" w:rsidRDefault="00A42316" w14:paraId="70966413" w14:textId="77777777">
      <w:r w:rsidRPr="0092044F">
        <w:t>FEMA does not provide payments or gifts to respondents in exchange for a benefit sought.</w:t>
      </w:r>
    </w:p>
    <w:p w:rsidR="00A42316" w:rsidRDefault="00A42316" w14:paraId="548A2E4D" w14:textId="77777777"/>
    <w:p w:rsidR="009736B8" w:rsidRDefault="00C313FA" w14:paraId="541F347C" w14:textId="77777777">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Pr="003F2092" w:rsidR="009736B8" w:rsidRDefault="009736B8" w14:paraId="4C2D6432" w14:textId="77777777">
      <w:pPr>
        <w:tabs>
          <w:tab w:val="left" w:pos="360"/>
        </w:tabs>
        <w:rPr>
          <w:b/>
          <w:bCs/>
        </w:rPr>
      </w:pPr>
    </w:p>
    <w:p w:rsidRPr="00B85BA0" w:rsidR="00B85BA0" w:rsidP="00B85BA0" w:rsidRDefault="00B85BA0" w14:paraId="0469A244" w14:textId="719D4AE2">
      <w:pPr>
        <w:autoSpaceDE w:val="0"/>
        <w:autoSpaceDN w:val="0"/>
        <w:adjustRightInd w:val="0"/>
        <w:rPr>
          <w:rFonts w:eastAsia="Calibri"/>
          <w:color w:val="000000"/>
        </w:rPr>
      </w:pPr>
      <w:r w:rsidRPr="00B85BA0">
        <w:rPr>
          <w:rFonts w:eastAsia="Calibri"/>
          <w:bCs/>
          <w:color w:val="000000"/>
        </w:rPr>
        <w:t xml:space="preserve">A Privacy Threshold Analysis (PTA) was completed by FEMA and adjudicated by the DHS Privacy Office on </w:t>
      </w:r>
      <w:r w:rsidRPr="004764DE" w:rsidR="004764DE">
        <w:rPr>
          <w:rFonts w:eastAsia="Calibri"/>
          <w:bCs/>
          <w:iCs/>
          <w:color w:val="000000"/>
        </w:rPr>
        <w:t>September 24, 2019</w:t>
      </w:r>
      <w:r w:rsidRPr="00B85BA0">
        <w:rPr>
          <w:rFonts w:eastAsia="Calibri"/>
          <w:color w:val="000000"/>
        </w:rPr>
        <w:t xml:space="preserve">. </w:t>
      </w:r>
    </w:p>
    <w:p w:rsidRPr="00B85BA0" w:rsidR="00B85BA0" w:rsidP="00B85BA0" w:rsidRDefault="00B85BA0" w14:paraId="6382C4D8" w14:textId="77777777">
      <w:pPr>
        <w:autoSpaceDE w:val="0"/>
        <w:autoSpaceDN w:val="0"/>
        <w:adjustRightInd w:val="0"/>
        <w:rPr>
          <w:rFonts w:eastAsia="Calibri"/>
          <w:color w:val="000000"/>
        </w:rPr>
      </w:pPr>
    </w:p>
    <w:p w:rsidRPr="00B85BA0" w:rsidR="00B85BA0" w:rsidP="00B85BA0" w:rsidRDefault="00B85BA0" w14:paraId="2AC690E0" w14:textId="77777777">
      <w:pPr>
        <w:autoSpaceDE w:val="0"/>
        <w:autoSpaceDN w:val="0"/>
        <w:adjustRightInd w:val="0"/>
        <w:rPr>
          <w:rFonts w:eastAsia="Calibri"/>
          <w:color w:val="000000"/>
        </w:rPr>
      </w:pPr>
      <w:r w:rsidRPr="00B85BA0">
        <w:rPr>
          <w:rFonts w:eastAsia="Calibri"/>
          <w:color w:val="000000"/>
        </w:rPr>
        <w:t xml:space="preserve">The THSGP Investment Justification, FEMA Form 089-22 is a privacy sensitive collection requiring Privacy Impact Assessment, PIA coverage. This form is covered by an existing PIA, DHS/FEMA 013 – Grant Management Programs, approved by DHS on February 19, 2015. No Privacy Act Statement nor SORN coverage is required for the form. </w:t>
      </w:r>
    </w:p>
    <w:p w:rsidRPr="00B85BA0" w:rsidR="00B85BA0" w:rsidP="00B85BA0" w:rsidRDefault="00B85BA0" w14:paraId="1EB0A543" w14:textId="77777777">
      <w:pPr>
        <w:tabs>
          <w:tab w:val="left" w:pos="360"/>
        </w:tabs>
      </w:pPr>
    </w:p>
    <w:p w:rsidRPr="00B85BA0" w:rsidR="00B85BA0" w:rsidP="00B85BA0" w:rsidRDefault="00B85BA0" w14:paraId="79C0C48B" w14:textId="77777777">
      <w:pPr>
        <w:tabs>
          <w:tab w:val="left" w:pos="360"/>
        </w:tabs>
      </w:pPr>
      <w:r w:rsidRPr="00B85BA0">
        <w:lastRenderedPageBreak/>
        <w:t>There are no assurances of confidentiality provided to the respondents for this information collection.</w:t>
      </w:r>
    </w:p>
    <w:p w:rsidR="00B85BA0" w:rsidP="00C313FA" w:rsidRDefault="00B85BA0" w14:paraId="7340F417" w14:textId="77777777">
      <w:pPr>
        <w:tabs>
          <w:tab w:val="left" w:pos="360"/>
        </w:tabs>
        <w:rPr>
          <w:b/>
          <w:bCs/>
        </w:rPr>
      </w:pPr>
    </w:p>
    <w:p w:rsidR="00842E74" w:rsidP="00C313FA" w:rsidRDefault="00842E74" w14:paraId="1DE11044" w14:textId="77777777">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42E74" w:rsidRDefault="00842E74" w14:paraId="5E39C88F" w14:textId="77777777"/>
    <w:p w:rsidR="00A42316" w:rsidP="00A42316" w:rsidRDefault="00A42316" w14:paraId="69CFF734" w14:textId="77777777">
      <w:pPr>
        <w:rPr>
          <w:b/>
          <w:bCs/>
        </w:rPr>
      </w:pPr>
      <w:r w:rsidRPr="00F1798C">
        <w:t>There are no questions of sensitive nature.</w:t>
      </w:r>
      <w:r w:rsidRPr="00F1798C">
        <w:rPr>
          <w:b/>
          <w:bCs/>
        </w:rPr>
        <w:t xml:space="preserve"> </w:t>
      </w:r>
    </w:p>
    <w:p w:rsidR="00A42316" w:rsidRDefault="00A42316" w14:paraId="6A4B7D40" w14:textId="77777777"/>
    <w:p w:rsidR="00842E74" w:rsidRDefault="00842E74" w14:paraId="6D10E7A6" w14:textId="77777777">
      <w:pPr>
        <w:rPr>
          <w:b/>
          <w:bCs/>
        </w:rPr>
      </w:pPr>
      <w:r>
        <w:rPr>
          <w:b/>
          <w:bCs/>
        </w:rPr>
        <w:fldChar w:fldCharType="begin"/>
      </w:r>
      <w:r>
        <w:rPr>
          <w:b/>
          <w:bCs/>
        </w:rPr>
        <w:instrText>ADVANCE \R 0.95</w:instrText>
      </w:r>
      <w:r>
        <w:rPr>
          <w:b/>
          <w:bCs/>
        </w:rPr>
        <w:fldChar w:fldCharType="end"/>
      </w:r>
      <w:r>
        <w:rPr>
          <w:b/>
          <w:bCs/>
        </w:rPr>
        <w:fldChar w:fldCharType="begin"/>
      </w:r>
      <w:r>
        <w:rPr>
          <w:b/>
          <w:bCs/>
        </w:rPr>
        <w:instrText>ADVANCE \R 0.95</w:instrText>
      </w:r>
      <w:r>
        <w:rPr>
          <w:b/>
          <w:bCs/>
        </w:rPr>
        <w:fldChar w:fldCharType="end"/>
      </w:r>
      <w:r>
        <w:rPr>
          <w:b/>
          <w:bCs/>
        </w:rPr>
        <w:t xml:space="preserve"> 12. </w:t>
      </w:r>
      <w:r w:rsidR="00763992">
        <w:rPr>
          <w:b/>
          <w:bCs/>
        </w:rPr>
        <w:t xml:space="preserve"> </w:t>
      </w:r>
      <w:r>
        <w:rPr>
          <w:b/>
          <w:bCs/>
        </w:rPr>
        <w:t>Provide estimates of the hour burden of the collection of information.  The statement should:</w:t>
      </w:r>
    </w:p>
    <w:p w:rsidR="00842E74" w:rsidRDefault="00842E74" w14:paraId="3C93BE9F" w14:textId="77777777">
      <w:pPr>
        <w:rPr>
          <w:b/>
          <w:bCs/>
          <w:color w:val="FF0000"/>
        </w:rPr>
      </w:pPr>
      <w:r>
        <w:rPr>
          <w:b/>
          <w:bCs/>
        </w:rPr>
        <w:fldChar w:fldCharType="begin"/>
      </w:r>
      <w:r>
        <w:rPr>
          <w:b/>
          <w:bCs/>
        </w:rPr>
        <w:instrText>ADVANCE \R 0.95</w:instrText>
      </w:r>
      <w:r>
        <w:rPr>
          <w:b/>
          <w:bCs/>
        </w:rPr>
        <w:fldChar w:fldCharType="end"/>
      </w:r>
      <w:r>
        <w:rPr>
          <w:b/>
          <w:bCs/>
        </w:rPr>
        <w:t xml:space="preserve">                                             </w:t>
      </w:r>
    </w:p>
    <w:p w:rsidR="00842E74" w:rsidRDefault="00842E74" w14:paraId="0B04A239" w14:textId="77777777">
      <w:pPr>
        <w:rPr>
          <w:b/>
          <w:bCs/>
        </w:rPr>
      </w:pPr>
      <w:r>
        <w:rPr>
          <w:b/>
          <w:bCs/>
        </w:rPr>
        <w:fldChar w:fldCharType="begin"/>
      </w:r>
      <w:r>
        <w:rPr>
          <w:b/>
          <w:bCs/>
        </w:rPr>
        <w:instrText>ADVANCE \R 0.95</w:instrText>
      </w:r>
      <w:r>
        <w:rPr>
          <w:b/>
          <w:bCs/>
        </w:rPr>
        <w:fldChar w:fldCharType="end"/>
      </w:r>
      <w:r w:rsidR="00920A21">
        <w:rPr>
          <w:b/>
          <w:bCs/>
        </w:rPr>
        <w:tab/>
      </w:r>
      <w:r w:rsidR="001722DA">
        <w:rPr>
          <w:b/>
          <w:bCs/>
        </w:rPr>
        <w:t xml:space="preserve">a. </w:t>
      </w:r>
      <w:r>
        <w:rPr>
          <w:b/>
          <w:bCs/>
        </w:rPr>
        <w:t>Indicate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Pr>
          <w:b/>
          <w:bCs/>
        </w:rPr>
        <w:t>.  Unless</w:t>
      </w:r>
      <w:r w:rsidR="00920A21">
        <w:rPr>
          <w:b/>
          <w:bCs/>
        </w:rPr>
        <w:tab/>
      </w:r>
      <w:r>
        <w:rPr>
          <w:b/>
          <w:bCs/>
        </w:rPr>
        <w:t>directed to do so, agencies should not conduct special surveys to obtain</w:t>
      </w:r>
      <w:r w:rsidR="00232C69">
        <w:rPr>
          <w:b/>
          <w:bCs/>
        </w:rPr>
        <w:t xml:space="preserve"> </w:t>
      </w:r>
      <w:r>
        <w:rPr>
          <w:b/>
          <w:bCs/>
        </w:rPr>
        <w:t xml:space="preserve">information on which to base hour burden </w:t>
      </w:r>
      <w:r w:rsidR="00763992">
        <w:rPr>
          <w:b/>
          <w:bCs/>
        </w:rPr>
        <w:t>estimates.  Consultation with a</w:t>
      </w:r>
      <w:r w:rsidR="00FD6C8B">
        <w:rPr>
          <w:b/>
          <w:bCs/>
        </w:rPr>
        <w:t xml:space="preserve"> </w:t>
      </w:r>
      <w:r>
        <w:rPr>
          <w:b/>
          <w:bCs/>
        </w:rPr>
        <w:t>sample (fewer than 10) of potential respondents is desired.  If the hour</w:t>
      </w:r>
      <w:r w:rsidR="00920A21">
        <w:rPr>
          <w:b/>
          <w:bCs/>
        </w:rPr>
        <w:tab/>
      </w:r>
      <w:r>
        <w:rPr>
          <w:b/>
          <w:bCs/>
        </w:rPr>
        <w:t>burden on respondents is expected to vary widely because of differences in</w:t>
      </w:r>
      <w:r w:rsidR="00232C69">
        <w:rPr>
          <w:b/>
          <w:bCs/>
        </w:rPr>
        <w:t xml:space="preserve"> </w:t>
      </w:r>
      <w:r>
        <w:rPr>
          <w:b/>
          <w:bCs/>
        </w:rPr>
        <w:t>activity, size, or complexity, show the range of estimated hour burden, and explain the reasons for the variance.  Generally, estimates should not include</w:t>
      </w:r>
      <w:r w:rsidR="00232C69">
        <w:rPr>
          <w:b/>
          <w:bCs/>
        </w:rPr>
        <w:t xml:space="preserve"> </w:t>
      </w:r>
      <w:r>
        <w:rPr>
          <w:b/>
          <w:bCs/>
        </w:rPr>
        <w:t>burden hours for customary and usual business practices.</w:t>
      </w:r>
    </w:p>
    <w:p w:rsidR="00233D68" w:rsidRDefault="00233D68" w14:paraId="4BD00A9F" w14:textId="77777777">
      <w:pPr>
        <w:rPr>
          <w:b/>
          <w:bCs/>
        </w:rPr>
      </w:pPr>
    </w:p>
    <w:p w:rsidR="00A42316" w:rsidP="00A42316" w:rsidRDefault="00A42316" w14:paraId="07344C28" w14:textId="77777777">
      <w:r>
        <w:t xml:space="preserve">The THSGP is an </w:t>
      </w:r>
      <w:r w:rsidRPr="005A68C2">
        <w:t>existing grant program that use</w:t>
      </w:r>
      <w:r>
        <w:t>s</w:t>
      </w:r>
      <w:r w:rsidRPr="005A68C2">
        <w:t xml:space="preserve"> the forms outlined in this collection</w:t>
      </w:r>
      <w:r>
        <w:rPr>
          <w:bCs/>
        </w:rPr>
        <w:t xml:space="preserve">.  The burden hour estimates shown on the following pages are based upon internal and external subject matter expertise. </w:t>
      </w:r>
      <w:r>
        <w:t>The burden estimated to collect the necessary information has estimated to be 18,010 total annual burden hours.</w:t>
      </w:r>
    </w:p>
    <w:p w:rsidR="00A42316" w:rsidRDefault="00A42316" w14:paraId="7C5A5E90" w14:textId="77777777">
      <w:pPr>
        <w:rPr>
          <w:b/>
          <w:bCs/>
        </w:rPr>
      </w:pPr>
    </w:p>
    <w:p w:rsidR="00842E74" w:rsidRDefault="00842E74" w14:paraId="31EAB7D2" w14:textId="77777777">
      <w:pPr>
        <w:rPr>
          <w:b/>
          <w:bCs/>
        </w:rPr>
      </w:pPr>
      <w:r>
        <w:fldChar w:fldCharType="begin"/>
      </w:r>
      <w:r>
        <w:instrText>ADVANCE \R 0.95</w:instrText>
      </w:r>
      <w:r>
        <w:fldChar w:fldCharType="end"/>
      </w:r>
      <w:r>
        <w:tab/>
      </w:r>
      <w:r>
        <w:rPr>
          <w:b/>
          <w:bCs/>
        </w:rPr>
        <w:t>b.  If this request for approval covers more than one form, provide separate hour burden estimates for each form and aggregate the hour burdens in Item 13 of OMB Form 83-I.</w:t>
      </w:r>
    </w:p>
    <w:p w:rsidR="00842E74" w:rsidRDefault="00842E74" w14:paraId="149AB05C" w14:textId="77777777">
      <w:pPr>
        <w:rPr>
          <w:b/>
          <w:bCs/>
        </w:rPr>
      </w:pPr>
    </w:p>
    <w:p w:rsidR="000F0E33" w:rsidP="00883BF5" w:rsidRDefault="00842E74" w14:paraId="0D6C6E53" w14:textId="77777777">
      <w:pPr>
        <w:rPr>
          <w:b/>
          <w:bCs/>
        </w:rPr>
      </w:pPr>
      <w:r>
        <w:rPr>
          <w:b/>
          <w:bCs/>
        </w:rPr>
        <w:tab/>
        <w:t xml:space="preserve">c. Provide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NOTE: The wage-rate category for each respondent must be multiplied by 1.4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FC0120" w:rsidP="00883BF5" w:rsidRDefault="00FC0120" w14:paraId="13D122C6" w14:textId="77777777">
      <w:pPr>
        <w:rPr>
          <w:b/>
          <w:bCs/>
        </w:rPr>
      </w:pPr>
    </w:p>
    <w:p w:rsidR="00FC0120" w:rsidP="00883BF5" w:rsidRDefault="00FC0120" w14:paraId="592FB762" w14:textId="77777777">
      <w:pPr>
        <w:rPr>
          <w:b/>
          <w:bCs/>
        </w:rPr>
      </w:pPr>
    </w:p>
    <w:p w:rsidR="00462B17" w:rsidP="00883BF5" w:rsidRDefault="00462B17" w14:paraId="169AFFF3" w14:textId="77777777">
      <w:pPr>
        <w:rPr>
          <w:b/>
          <w:bCs/>
        </w:rPr>
      </w:pPr>
    </w:p>
    <w:p w:rsidR="00462B17" w:rsidP="00883BF5" w:rsidRDefault="00462B17" w14:paraId="5359BC7B" w14:textId="77777777">
      <w:pPr>
        <w:rPr>
          <w:b/>
          <w:bCs/>
        </w:rPr>
      </w:pPr>
    </w:p>
    <w:tbl>
      <w:tblPr>
        <w:tblW w:w="9990" w:type="dxa"/>
        <w:tblInd w:w="-972" w:type="dxa"/>
        <w:tblLook w:val="04A0" w:firstRow="1" w:lastRow="0" w:firstColumn="1" w:lastColumn="0" w:noHBand="0" w:noVBand="1"/>
      </w:tblPr>
      <w:tblGrid>
        <w:gridCol w:w="1366"/>
        <w:gridCol w:w="1356"/>
        <w:gridCol w:w="936"/>
        <w:gridCol w:w="936"/>
        <w:gridCol w:w="1256"/>
        <w:gridCol w:w="1080"/>
        <w:gridCol w:w="893"/>
        <w:gridCol w:w="817"/>
        <w:gridCol w:w="1350"/>
      </w:tblGrid>
      <w:tr w:rsidRPr="00FB0EAE" w:rsidR="00FB0EAE" w:rsidTr="00282F08" w14:paraId="11ECCDA5" w14:textId="77777777">
        <w:trPr>
          <w:trHeight w:val="315"/>
        </w:trPr>
        <w:tc>
          <w:tcPr>
            <w:tcW w:w="9990" w:type="dxa"/>
            <w:gridSpan w:val="9"/>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B0EAE" w:rsidR="00FB0EAE" w:rsidP="00FB0EAE" w:rsidRDefault="00FB0EAE" w14:paraId="34A0A528" w14:textId="77777777">
            <w:pPr>
              <w:jc w:val="center"/>
              <w:rPr>
                <w:rFonts w:ascii="Arial" w:hAnsi="Arial" w:cs="Arial"/>
                <w:color w:val="000000"/>
                <w:sz w:val="18"/>
                <w:szCs w:val="18"/>
              </w:rPr>
            </w:pPr>
            <w:r w:rsidRPr="00FB0EAE">
              <w:rPr>
                <w:rFonts w:ascii="Arial" w:hAnsi="Arial" w:cs="Arial"/>
                <w:color w:val="000000"/>
                <w:sz w:val="18"/>
                <w:szCs w:val="18"/>
              </w:rPr>
              <w:lastRenderedPageBreak/>
              <w:t>Estimated Annualized Burden Hours and Costs</w:t>
            </w:r>
          </w:p>
        </w:tc>
      </w:tr>
      <w:tr w:rsidRPr="00FB0EAE" w:rsidR="00FB0EAE" w:rsidTr="0058268F" w14:paraId="34568D2C" w14:textId="77777777">
        <w:trPr>
          <w:trHeight w:val="1230"/>
        </w:trPr>
        <w:tc>
          <w:tcPr>
            <w:tcW w:w="1366" w:type="dxa"/>
            <w:tcBorders>
              <w:top w:val="nil"/>
              <w:left w:val="single" w:color="auto" w:sz="8" w:space="0"/>
              <w:bottom w:val="single" w:color="auto" w:sz="8" w:space="0"/>
              <w:right w:val="single" w:color="auto" w:sz="8" w:space="0"/>
            </w:tcBorders>
            <w:shd w:val="clear" w:color="auto" w:fill="0070C0"/>
            <w:vAlign w:val="bottom"/>
            <w:hideMark/>
          </w:tcPr>
          <w:p w:rsidRPr="00FB0EAE" w:rsidR="00FB0EAE" w:rsidP="00FB0EAE" w:rsidRDefault="00FB0EAE" w14:paraId="4499EBD0" w14:textId="77777777">
            <w:pPr>
              <w:jc w:val="center"/>
              <w:rPr>
                <w:rFonts w:ascii="Arial" w:hAnsi="Arial" w:cs="Arial"/>
                <w:b/>
                <w:bCs/>
                <w:color w:val="000000"/>
                <w:sz w:val="18"/>
                <w:szCs w:val="18"/>
              </w:rPr>
            </w:pPr>
            <w:r w:rsidRPr="00FB0EAE">
              <w:rPr>
                <w:rFonts w:ascii="Arial" w:hAnsi="Arial" w:cs="Arial"/>
                <w:b/>
                <w:bCs/>
                <w:color w:val="000000"/>
                <w:sz w:val="18"/>
                <w:szCs w:val="18"/>
              </w:rPr>
              <w:t>Type of Respondent</w:t>
            </w:r>
          </w:p>
        </w:tc>
        <w:tc>
          <w:tcPr>
            <w:tcW w:w="1356"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5FF85F3B" w14:textId="77777777">
            <w:pPr>
              <w:jc w:val="center"/>
              <w:rPr>
                <w:rFonts w:ascii="Arial" w:hAnsi="Arial" w:cs="Arial"/>
                <w:b/>
                <w:bCs/>
                <w:color w:val="000000"/>
                <w:sz w:val="18"/>
                <w:szCs w:val="18"/>
              </w:rPr>
            </w:pPr>
            <w:r w:rsidRPr="00FB0EAE">
              <w:rPr>
                <w:rFonts w:ascii="Arial" w:hAnsi="Arial" w:cs="Arial"/>
                <w:b/>
                <w:bCs/>
                <w:color w:val="000000"/>
                <w:sz w:val="18"/>
                <w:szCs w:val="18"/>
              </w:rPr>
              <w:t>Form Name / Form Number</w:t>
            </w:r>
          </w:p>
        </w:tc>
        <w:tc>
          <w:tcPr>
            <w:tcW w:w="936"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566A3E03" w14:textId="77777777">
            <w:pPr>
              <w:jc w:val="center"/>
              <w:rPr>
                <w:rFonts w:ascii="Arial" w:hAnsi="Arial" w:cs="Arial"/>
                <w:b/>
                <w:bCs/>
                <w:color w:val="000000"/>
                <w:sz w:val="18"/>
                <w:szCs w:val="18"/>
              </w:rPr>
            </w:pPr>
            <w:r w:rsidRPr="00FB0EAE">
              <w:rPr>
                <w:rFonts w:ascii="Arial" w:hAnsi="Arial" w:cs="Arial"/>
                <w:b/>
                <w:bCs/>
                <w:color w:val="000000"/>
                <w:sz w:val="18"/>
                <w:szCs w:val="18"/>
              </w:rPr>
              <w:t>No. of Respon-dents</w:t>
            </w:r>
          </w:p>
        </w:tc>
        <w:tc>
          <w:tcPr>
            <w:tcW w:w="936"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44D9E24A" w14:textId="77777777">
            <w:pPr>
              <w:jc w:val="center"/>
              <w:rPr>
                <w:rFonts w:ascii="Arial" w:hAnsi="Arial" w:cs="Arial"/>
                <w:b/>
                <w:bCs/>
                <w:color w:val="000000"/>
                <w:sz w:val="18"/>
                <w:szCs w:val="18"/>
              </w:rPr>
            </w:pPr>
            <w:r w:rsidRPr="00FB0EAE">
              <w:rPr>
                <w:rFonts w:ascii="Arial" w:hAnsi="Arial" w:cs="Arial"/>
                <w:b/>
                <w:bCs/>
                <w:color w:val="000000"/>
                <w:sz w:val="18"/>
                <w:szCs w:val="18"/>
              </w:rPr>
              <w:t>No. of Respon-ses per Respon-dent</w:t>
            </w:r>
          </w:p>
        </w:tc>
        <w:tc>
          <w:tcPr>
            <w:tcW w:w="1256"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75CB0B9E" w14:textId="77777777">
            <w:pPr>
              <w:jc w:val="center"/>
              <w:rPr>
                <w:rFonts w:ascii="Arial" w:hAnsi="Arial" w:cs="Arial"/>
                <w:b/>
                <w:bCs/>
                <w:color w:val="000000"/>
                <w:sz w:val="18"/>
                <w:szCs w:val="18"/>
              </w:rPr>
            </w:pPr>
            <w:r w:rsidRPr="00FB0EAE">
              <w:rPr>
                <w:rFonts w:ascii="Arial" w:hAnsi="Arial" w:cs="Arial"/>
                <w:b/>
                <w:bCs/>
                <w:color w:val="000000"/>
                <w:sz w:val="18"/>
                <w:szCs w:val="18"/>
              </w:rPr>
              <w:t>Total No. of Responses</w:t>
            </w:r>
          </w:p>
        </w:tc>
        <w:tc>
          <w:tcPr>
            <w:tcW w:w="1080"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0989AB55" w14:textId="77777777">
            <w:pPr>
              <w:jc w:val="center"/>
              <w:rPr>
                <w:rFonts w:ascii="Arial" w:hAnsi="Arial" w:cs="Arial"/>
                <w:b/>
                <w:bCs/>
                <w:color w:val="000000"/>
                <w:sz w:val="18"/>
                <w:szCs w:val="18"/>
              </w:rPr>
            </w:pPr>
            <w:r w:rsidRPr="00FB0EAE">
              <w:rPr>
                <w:rFonts w:ascii="Arial" w:hAnsi="Arial" w:cs="Arial"/>
                <w:b/>
                <w:bCs/>
                <w:color w:val="000000"/>
                <w:sz w:val="18"/>
                <w:szCs w:val="18"/>
              </w:rPr>
              <w:t>Avg. Burden per Response (in hours)</w:t>
            </w:r>
          </w:p>
        </w:tc>
        <w:tc>
          <w:tcPr>
            <w:tcW w:w="893"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017E83F8" w14:textId="77777777">
            <w:pPr>
              <w:jc w:val="center"/>
              <w:rPr>
                <w:rFonts w:ascii="Arial" w:hAnsi="Arial" w:cs="Arial"/>
                <w:b/>
                <w:bCs/>
                <w:color w:val="000000"/>
                <w:sz w:val="18"/>
                <w:szCs w:val="18"/>
              </w:rPr>
            </w:pPr>
            <w:r w:rsidRPr="00FB0EAE">
              <w:rPr>
                <w:rFonts w:ascii="Arial" w:hAnsi="Arial" w:cs="Arial"/>
                <w:b/>
                <w:bCs/>
                <w:color w:val="000000"/>
                <w:sz w:val="18"/>
                <w:szCs w:val="18"/>
              </w:rPr>
              <w:t>Total Annual Burden (in hours)</w:t>
            </w:r>
          </w:p>
        </w:tc>
        <w:tc>
          <w:tcPr>
            <w:tcW w:w="817"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6D997B63" w14:textId="77777777">
            <w:pPr>
              <w:jc w:val="center"/>
              <w:rPr>
                <w:rFonts w:ascii="Arial" w:hAnsi="Arial" w:cs="Arial"/>
                <w:b/>
                <w:bCs/>
                <w:color w:val="000000"/>
                <w:sz w:val="18"/>
                <w:szCs w:val="18"/>
              </w:rPr>
            </w:pPr>
            <w:r w:rsidRPr="00FB0EAE">
              <w:rPr>
                <w:rFonts w:ascii="Arial" w:hAnsi="Arial" w:cs="Arial"/>
                <w:b/>
                <w:bCs/>
                <w:color w:val="000000"/>
                <w:sz w:val="18"/>
                <w:szCs w:val="18"/>
              </w:rPr>
              <w:t>Avg. Hourly Wage Rate</w:t>
            </w:r>
          </w:p>
        </w:tc>
        <w:tc>
          <w:tcPr>
            <w:tcW w:w="1350" w:type="dxa"/>
            <w:tcBorders>
              <w:top w:val="nil"/>
              <w:left w:val="nil"/>
              <w:bottom w:val="single" w:color="auto" w:sz="8" w:space="0"/>
              <w:right w:val="single" w:color="auto" w:sz="8" w:space="0"/>
            </w:tcBorders>
            <w:shd w:val="clear" w:color="auto" w:fill="0070C0"/>
            <w:vAlign w:val="bottom"/>
            <w:hideMark/>
          </w:tcPr>
          <w:p w:rsidRPr="00FB0EAE" w:rsidR="00FB0EAE" w:rsidP="00FB0EAE" w:rsidRDefault="00FB0EAE" w14:paraId="341F6AF2" w14:textId="77777777">
            <w:pPr>
              <w:jc w:val="center"/>
              <w:rPr>
                <w:rFonts w:ascii="Arial" w:hAnsi="Arial" w:cs="Arial"/>
                <w:b/>
                <w:bCs/>
                <w:color w:val="000000"/>
                <w:sz w:val="18"/>
                <w:szCs w:val="18"/>
              </w:rPr>
            </w:pPr>
            <w:r w:rsidRPr="00FB0EAE">
              <w:rPr>
                <w:rFonts w:ascii="Arial" w:hAnsi="Arial" w:cs="Arial"/>
                <w:b/>
                <w:bCs/>
                <w:color w:val="000000"/>
                <w:sz w:val="18"/>
                <w:szCs w:val="18"/>
              </w:rPr>
              <w:t>Total Annual Respondent Cost</w:t>
            </w:r>
          </w:p>
        </w:tc>
      </w:tr>
      <w:tr w:rsidRPr="00FB0EAE" w:rsidR="00FB0EAE" w:rsidTr="00282F08" w14:paraId="44E8E5E7" w14:textId="77777777">
        <w:trPr>
          <w:trHeight w:val="315"/>
        </w:trPr>
        <w:tc>
          <w:tcPr>
            <w:tcW w:w="1366" w:type="dxa"/>
            <w:tcBorders>
              <w:top w:val="nil"/>
              <w:left w:val="single" w:color="auto" w:sz="8" w:space="0"/>
              <w:bottom w:val="single" w:color="auto" w:sz="8" w:space="0"/>
              <w:right w:val="single" w:color="auto" w:sz="8" w:space="0"/>
            </w:tcBorders>
            <w:shd w:val="clear" w:color="auto" w:fill="auto"/>
            <w:vAlign w:val="bottom"/>
            <w:hideMark/>
          </w:tcPr>
          <w:p w:rsidRPr="00FB0EAE" w:rsidR="00FB0EAE" w:rsidP="00FB0EAE" w:rsidRDefault="00FB0EAE" w14:paraId="7772A0DB" w14:textId="77777777">
            <w:pPr>
              <w:rPr>
                <w:rFonts w:ascii="Arial" w:hAnsi="Arial" w:cs="Arial"/>
                <w:color w:val="000000"/>
                <w:sz w:val="18"/>
                <w:szCs w:val="18"/>
              </w:rPr>
            </w:pPr>
            <w:r w:rsidRPr="00FB0EAE">
              <w:rPr>
                <w:sz w:val="18"/>
                <w:szCs w:val="18"/>
              </w:rPr>
              <w:t>State, Local or Tribal Government</w:t>
            </w:r>
          </w:p>
        </w:tc>
        <w:tc>
          <w:tcPr>
            <w:tcW w:w="135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AC48E2" w14:paraId="0391E387" w14:textId="77777777">
            <w:pPr>
              <w:rPr>
                <w:sz w:val="18"/>
                <w:szCs w:val="18"/>
              </w:rPr>
            </w:pPr>
            <w:r w:rsidRPr="00AC48E2">
              <w:rPr>
                <w:sz w:val="18"/>
                <w:szCs w:val="18"/>
              </w:rPr>
              <w:t xml:space="preserve">Tribal Homeland Security Grant Program (THSGP) Investment Justification Template </w:t>
            </w:r>
            <w:r w:rsidRPr="00FB0EAE" w:rsidR="00FB0EAE">
              <w:rPr>
                <w:sz w:val="18"/>
                <w:szCs w:val="18"/>
              </w:rPr>
              <w:t>/</w:t>
            </w:r>
          </w:p>
          <w:p w:rsidRPr="00FB0EAE" w:rsidR="00FB0EAE" w:rsidP="00FB0EAE" w:rsidRDefault="00FB0EAE" w14:paraId="0ED27029" w14:textId="77777777">
            <w:pPr>
              <w:rPr>
                <w:rFonts w:ascii="Arial" w:hAnsi="Arial" w:cs="Arial"/>
                <w:color w:val="000000"/>
                <w:sz w:val="18"/>
                <w:szCs w:val="18"/>
              </w:rPr>
            </w:pPr>
            <w:r w:rsidRPr="00FB0EAE">
              <w:rPr>
                <w:sz w:val="18"/>
                <w:szCs w:val="18"/>
              </w:rPr>
              <w:t>FEMA Form 089-22</w:t>
            </w:r>
          </w:p>
        </w:tc>
        <w:tc>
          <w:tcPr>
            <w:tcW w:w="93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3A259EA0" w14:textId="77777777">
            <w:pPr>
              <w:jc w:val="center"/>
              <w:rPr>
                <w:rFonts w:ascii="Arial" w:hAnsi="Arial" w:cs="Arial"/>
                <w:color w:val="000000"/>
                <w:sz w:val="18"/>
                <w:szCs w:val="18"/>
              </w:rPr>
            </w:pPr>
            <w:r w:rsidRPr="00FB0EAE">
              <w:rPr>
                <w:rFonts w:ascii="Arial" w:hAnsi="Arial" w:cs="Arial"/>
                <w:color w:val="000000"/>
                <w:sz w:val="18"/>
                <w:szCs w:val="18"/>
              </w:rPr>
              <w:t>60</w:t>
            </w:r>
          </w:p>
        </w:tc>
        <w:tc>
          <w:tcPr>
            <w:tcW w:w="93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50432FC6" w14:textId="77777777">
            <w:pPr>
              <w:jc w:val="center"/>
              <w:rPr>
                <w:rFonts w:ascii="Arial" w:hAnsi="Arial" w:cs="Arial"/>
                <w:color w:val="000000"/>
                <w:sz w:val="18"/>
                <w:szCs w:val="18"/>
              </w:rPr>
            </w:pPr>
            <w:r w:rsidRPr="00FB0EAE">
              <w:rPr>
                <w:rFonts w:ascii="Arial" w:hAnsi="Arial" w:cs="Arial"/>
                <w:color w:val="000000"/>
                <w:sz w:val="18"/>
                <w:szCs w:val="18"/>
              </w:rPr>
              <w:t>1</w:t>
            </w:r>
          </w:p>
        </w:tc>
        <w:tc>
          <w:tcPr>
            <w:tcW w:w="125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3C8C9BFE" w14:textId="77777777">
            <w:pPr>
              <w:jc w:val="center"/>
              <w:rPr>
                <w:rFonts w:ascii="Arial" w:hAnsi="Arial" w:cs="Arial"/>
                <w:color w:val="000000"/>
                <w:sz w:val="18"/>
                <w:szCs w:val="18"/>
              </w:rPr>
            </w:pPr>
            <w:r w:rsidRPr="00FB0EAE">
              <w:rPr>
                <w:rFonts w:ascii="Arial" w:hAnsi="Arial" w:cs="Arial"/>
                <w:color w:val="000000"/>
                <w:sz w:val="18"/>
                <w:szCs w:val="18"/>
              </w:rPr>
              <w:t>60</w:t>
            </w:r>
          </w:p>
        </w:tc>
        <w:tc>
          <w:tcPr>
            <w:tcW w:w="1080"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794929AD" w14:textId="77777777">
            <w:pPr>
              <w:jc w:val="center"/>
              <w:rPr>
                <w:rFonts w:ascii="Arial" w:hAnsi="Arial" w:cs="Arial"/>
                <w:color w:val="000000"/>
                <w:sz w:val="18"/>
                <w:szCs w:val="18"/>
              </w:rPr>
            </w:pPr>
            <w:r w:rsidRPr="00FB0EAE">
              <w:rPr>
                <w:rFonts w:ascii="Arial" w:hAnsi="Arial" w:cs="Arial"/>
                <w:color w:val="000000"/>
                <w:sz w:val="18"/>
                <w:szCs w:val="18"/>
              </w:rPr>
              <w:t>300 hours</w:t>
            </w:r>
          </w:p>
        </w:tc>
        <w:tc>
          <w:tcPr>
            <w:tcW w:w="893"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06D0B9DA" w14:textId="77777777">
            <w:pPr>
              <w:jc w:val="center"/>
              <w:rPr>
                <w:rFonts w:ascii="Arial" w:hAnsi="Arial" w:cs="Arial"/>
                <w:color w:val="000000"/>
                <w:sz w:val="18"/>
                <w:szCs w:val="18"/>
              </w:rPr>
            </w:pPr>
            <w:r w:rsidRPr="00FB0EAE">
              <w:rPr>
                <w:rFonts w:ascii="Arial" w:hAnsi="Arial" w:cs="Arial"/>
                <w:color w:val="000000"/>
                <w:sz w:val="18"/>
                <w:szCs w:val="18"/>
              </w:rPr>
              <w:t>18,000</w:t>
            </w:r>
          </w:p>
        </w:tc>
        <w:tc>
          <w:tcPr>
            <w:tcW w:w="817"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1076982C" w14:textId="77777777">
            <w:pPr>
              <w:jc w:val="center"/>
              <w:rPr>
                <w:rFonts w:ascii="Arial" w:hAnsi="Arial" w:cs="Arial"/>
                <w:color w:val="000000"/>
                <w:sz w:val="18"/>
                <w:szCs w:val="18"/>
              </w:rPr>
            </w:pPr>
          </w:p>
          <w:p w:rsidRPr="00FB0EAE" w:rsidR="00FB0EAE" w:rsidP="00FB0EAE" w:rsidRDefault="00FB0EAE" w14:paraId="30B87766" w14:textId="77777777">
            <w:pPr>
              <w:jc w:val="center"/>
              <w:rPr>
                <w:rFonts w:ascii="Arial" w:hAnsi="Arial" w:cs="Arial"/>
                <w:color w:val="000000"/>
                <w:sz w:val="18"/>
                <w:szCs w:val="18"/>
              </w:rPr>
            </w:pPr>
          </w:p>
          <w:p w:rsidRPr="00FB0EAE" w:rsidR="00FB0EAE" w:rsidP="00FB0EAE" w:rsidRDefault="00FB0EAE" w14:paraId="2FC94C5D" w14:textId="77777777">
            <w:pPr>
              <w:jc w:val="center"/>
              <w:rPr>
                <w:rFonts w:ascii="Arial" w:hAnsi="Arial" w:cs="Arial"/>
                <w:color w:val="000000"/>
                <w:sz w:val="18"/>
                <w:szCs w:val="18"/>
              </w:rPr>
            </w:pPr>
          </w:p>
          <w:p w:rsidRPr="00FB0EAE" w:rsidR="00FB0EAE" w:rsidP="00FB0EAE" w:rsidRDefault="00FB0EAE" w14:paraId="58834A20" w14:textId="77777777">
            <w:pPr>
              <w:jc w:val="center"/>
              <w:rPr>
                <w:rFonts w:ascii="Arial" w:hAnsi="Arial" w:cs="Arial"/>
                <w:color w:val="000000"/>
                <w:sz w:val="18"/>
                <w:szCs w:val="18"/>
              </w:rPr>
            </w:pPr>
          </w:p>
          <w:p w:rsidRPr="00FB0EAE" w:rsidR="00FB0EAE" w:rsidP="00FB0EAE" w:rsidRDefault="00FB0EAE" w14:paraId="3FBF8C43" w14:textId="77777777">
            <w:pPr>
              <w:jc w:val="center"/>
              <w:rPr>
                <w:rFonts w:ascii="Arial" w:hAnsi="Arial" w:cs="Arial"/>
                <w:color w:val="000000"/>
                <w:sz w:val="18"/>
                <w:szCs w:val="18"/>
              </w:rPr>
            </w:pPr>
          </w:p>
          <w:p w:rsidRPr="00FB0EAE" w:rsidR="00FB0EAE" w:rsidP="00602587" w:rsidRDefault="00FB0EAE" w14:paraId="3274A9A0" w14:textId="4E33971E">
            <w:pPr>
              <w:jc w:val="center"/>
              <w:rPr>
                <w:rFonts w:ascii="Arial" w:hAnsi="Arial" w:cs="Arial"/>
                <w:color w:val="000000"/>
                <w:sz w:val="18"/>
                <w:szCs w:val="18"/>
              </w:rPr>
            </w:pPr>
            <w:r w:rsidRPr="00FB0EAE">
              <w:rPr>
                <w:rFonts w:ascii="Arial" w:hAnsi="Arial" w:cs="Arial"/>
                <w:color w:val="000000"/>
                <w:sz w:val="18"/>
                <w:szCs w:val="18"/>
              </w:rPr>
              <w:t>$</w:t>
            </w:r>
            <w:r w:rsidR="009C16E7">
              <w:rPr>
                <w:rFonts w:ascii="Arial" w:hAnsi="Arial" w:cs="Arial"/>
                <w:color w:val="000000"/>
                <w:sz w:val="18"/>
                <w:szCs w:val="18"/>
              </w:rPr>
              <w:t>40.60</w:t>
            </w:r>
            <w:r w:rsidRPr="00FB0EAE">
              <w:rPr>
                <w:rFonts w:ascii="Arial" w:hAnsi="Arial" w:cs="Arial"/>
                <w:color w:val="000000"/>
                <w:sz w:val="18"/>
                <w:szCs w:val="18"/>
              </w:rPr>
              <w:t> </w:t>
            </w:r>
          </w:p>
        </w:tc>
        <w:tc>
          <w:tcPr>
            <w:tcW w:w="1350" w:type="dxa"/>
            <w:tcBorders>
              <w:top w:val="nil"/>
              <w:left w:val="nil"/>
              <w:bottom w:val="single" w:color="auto" w:sz="8" w:space="0"/>
              <w:right w:val="single" w:color="auto" w:sz="8" w:space="0"/>
            </w:tcBorders>
            <w:shd w:val="clear" w:color="auto" w:fill="auto"/>
            <w:vAlign w:val="bottom"/>
            <w:hideMark/>
          </w:tcPr>
          <w:p w:rsidRPr="00FB0EAE" w:rsidR="00FB0EAE" w:rsidP="00602587" w:rsidRDefault="00FB0EAE" w14:paraId="409C3D4F" w14:textId="3F0602DD">
            <w:pPr>
              <w:jc w:val="center"/>
              <w:rPr>
                <w:rFonts w:ascii="Arial" w:hAnsi="Arial" w:cs="Arial"/>
                <w:color w:val="000000"/>
                <w:sz w:val="18"/>
                <w:szCs w:val="18"/>
              </w:rPr>
            </w:pPr>
            <w:r w:rsidRPr="00FB0EAE">
              <w:rPr>
                <w:rFonts w:ascii="Arial" w:hAnsi="Arial" w:cs="Arial"/>
                <w:color w:val="000000"/>
                <w:sz w:val="18"/>
                <w:szCs w:val="18"/>
              </w:rPr>
              <w:t>$</w:t>
            </w:r>
            <w:r w:rsidR="00602587">
              <w:rPr>
                <w:rFonts w:ascii="Arial" w:hAnsi="Arial" w:cs="Arial"/>
                <w:color w:val="000000"/>
                <w:sz w:val="18"/>
                <w:szCs w:val="18"/>
              </w:rPr>
              <w:t>7</w:t>
            </w:r>
            <w:r w:rsidR="009C16E7">
              <w:rPr>
                <w:rFonts w:ascii="Arial" w:hAnsi="Arial" w:cs="Arial"/>
                <w:color w:val="000000"/>
                <w:sz w:val="18"/>
                <w:szCs w:val="18"/>
              </w:rPr>
              <w:t>3</w:t>
            </w:r>
            <w:r w:rsidR="00602587">
              <w:rPr>
                <w:rFonts w:ascii="Arial" w:hAnsi="Arial" w:cs="Arial"/>
                <w:color w:val="000000"/>
                <w:sz w:val="18"/>
                <w:szCs w:val="18"/>
              </w:rPr>
              <w:t>0,</w:t>
            </w:r>
            <w:r w:rsidR="009C16E7">
              <w:rPr>
                <w:rFonts w:ascii="Arial" w:hAnsi="Arial" w:cs="Arial"/>
                <w:color w:val="000000"/>
                <w:sz w:val="18"/>
                <w:szCs w:val="18"/>
              </w:rPr>
              <w:t>800</w:t>
            </w:r>
          </w:p>
        </w:tc>
      </w:tr>
      <w:tr w:rsidRPr="00FB0EAE" w:rsidR="00FB0EAE" w:rsidTr="00282F08" w14:paraId="7E25E382" w14:textId="77777777">
        <w:trPr>
          <w:trHeight w:val="315"/>
        </w:trPr>
        <w:tc>
          <w:tcPr>
            <w:tcW w:w="1366" w:type="dxa"/>
            <w:tcBorders>
              <w:top w:val="nil"/>
              <w:left w:val="single" w:color="auto" w:sz="8" w:space="0"/>
              <w:bottom w:val="single" w:color="auto" w:sz="8" w:space="0"/>
              <w:right w:val="single" w:color="auto" w:sz="8" w:space="0"/>
            </w:tcBorders>
            <w:shd w:val="clear" w:color="auto" w:fill="auto"/>
            <w:vAlign w:val="bottom"/>
            <w:hideMark/>
          </w:tcPr>
          <w:p w:rsidRPr="00FB0EAE" w:rsidR="00FB0EAE" w:rsidP="00FB0EAE" w:rsidRDefault="00FB0EAE" w14:paraId="35C89F78" w14:textId="77777777">
            <w:pPr>
              <w:jc w:val="center"/>
              <w:rPr>
                <w:rFonts w:ascii="Arial" w:hAnsi="Arial" w:cs="Arial"/>
                <w:color w:val="000000"/>
                <w:sz w:val="18"/>
                <w:szCs w:val="18"/>
              </w:rPr>
            </w:pPr>
            <w:r w:rsidRPr="00FB0EAE">
              <w:rPr>
                <w:sz w:val="18"/>
                <w:szCs w:val="18"/>
              </w:rPr>
              <w:t>State, Local or Tribal Government</w:t>
            </w:r>
            <w:r w:rsidRPr="00FB0EAE">
              <w:rPr>
                <w:rFonts w:ascii="Arial" w:hAnsi="Arial" w:cs="Arial"/>
                <w:color w:val="000000"/>
                <w:sz w:val="18"/>
                <w:szCs w:val="18"/>
              </w:rPr>
              <w:t> </w:t>
            </w:r>
          </w:p>
        </w:tc>
        <w:tc>
          <w:tcPr>
            <w:tcW w:w="135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6C9A7C2F" w14:textId="77777777">
            <w:pPr>
              <w:rPr>
                <w:rFonts w:ascii="Arial" w:hAnsi="Arial" w:cs="Arial"/>
                <w:color w:val="000000"/>
                <w:sz w:val="18"/>
                <w:szCs w:val="18"/>
              </w:rPr>
            </w:pPr>
            <w:r w:rsidRPr="00FB0EAE">
              <w:rPr>
                <w:sz w:val="18"/>
                <w:szCs w:val="18"/>
              </w:rPr>
              <w:t>Copy of Application provided to State prior to submission  / No Form</w:t>
            </w:r>
          </w:p>
        </w:tc>
        <w:tc>
          <w:tcPr>
            <w:tcW w:w="93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7D9AFCC0" w14:textId="77777777">
            <w:pPr>
              <w:jc w:val="center"/>
              <w:rPr>
                <w:rFonts w:ascii="Arial" w:hAnsi="Arial" w:cs="Arial"/>
                <w:color w:val="000000"/>
                <w:sz w:val="18"/>
                <w:szCs w:val="18"/>
              </w:rPr>
            </w:pPr>
            <w:r w:rsidRPr="00FB0EAE">
              <w:rPr>
                <w:rFonts w:ascii="Arial" w:hAnsi="Arial" w:cs="Arial"/>
                <w:color w:val="000000"/>
                <w:sz w:val="18"/>
                <w:szCs w:val="18"/>
              </w:rPr>
              <w:t>60</w:t>
            </w:r>
          </w:p>
        </w:tc>
        <w:tc>
          <w:tcPr>
            <w:tcW w:w="93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3DDF3E52" w14:textId="77777777">
            <w:pPr>
              <w:jc w:val="center"/>
              <w:rPr>
                <w:rFonts w:ascii="Arial" w:hAnsi="Arial" w:cs="Arial"/>
                <w:color w:val="000000"/>
                <w:sz w:val="18"/>
                <w:szCs w:val="18"/>
              </w:rPr>
            </w:pPr>
            <w:r w:rsidRPr="00FB0EAE">
              <w:rPr>
                <w:rFonts w:ascii="Arial" w:hAnsi="Arial" w:cs="Arial"/>
                <w:color w:val="000000"/>
                <w:sz w:val="18"/>
                <w:szCs w:val="18"/>
              </w:rPr>
              <w:t>1</w:t>
            </w:r>
          </w:p>
        </w:tc>
        <w:tc>
          <w:tcPr>
            <w:tcW w:w="125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3866B146" w14:textId="77777777">
            <w:pPr>
              <w:jc w:val="center"/>
              <w:rPr>
                <w:rFonts w:ascii="Arial" w:hAnsi="Arial" w:cs="Arial"/>
                <w:color w:val="000000"/>
                <w:sz w:val="18"/>
                <w:szCs w:val="18"/>
              </w:rPr>
            </w:pPr>
            <w:r w:rsidRPr="00FB0EAE">
              <w:rPr>
                <w:rFonts w:ascii="Arial" w:hAnsi="Arial" w:cs="Arial"/>
                <w:color w:val="000000"/>
                <w:sz w:val="18"/>
                <w:szCs w:val="18"/>
              </w:rPr>
              <w:t>60</w:t>
            </w:r>
          </w:p>
        </w:tc>
        <w:tc>
          <w:tcPr>
            <w:tcW w:w="1080"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56AB89F8" w14:textId="77777777">
            <w:pPr>
              <w:jc w:val="center"/>
              <w:rPr>
                <w:rFonts w:ascii="Arial" w:hAnsi="Arial" w:cs="Arial"/>
                <w:color w:val="000000"/>
                <w:sz w:val="18"/>
                <w:szCs w:val="18"/>
              </w:rPr>
            </w:pPr>
            <w:r w:rsidRPr="00FB0EAE">
              <w:rPr>
                <w:rFonts w:ascii="Arial" w:hAnsi="Arial" w:cs="Arial"/>
                <w:sz w:val="18"/>
                <w:szCs w:val="18"/>
              </w:rPr>
              <w:t>0.167 hr</w:t>
            </w:r>
            <w:r w:rsidRPr="00FB0EAE">
              <w:rPr>
                <w:rFonts w:ascii="Arial" w:hAnsi="Arial" w:cs="Arial"/>
                <w:color w:val="000000"/>
                <w:sz w:val="18"/>
                <w:szCs w:val="18"/>
              </w:rPr>
              <w:t xml:space="preserve"> (10 minutes)</w:t>
            </w:r>
          </w:p>
        </w:tc>
        <w:tc>
          <w:tcPr>
            <w:tcW w:w="893"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2A7E7F" w14:paraId="0DD8CA23" w14:textId="77777777">
            <w:pPr>
              <w:jc w:val="center"/>
              <w:rPr>
                <w:rFonts w:ascii="Arial" w:hAnsi="Arial" w:cs="Arial"/>
                <w:color w:val="000000"/>
                <w:sz w:val="18"/>
                <w:szCs w:val="18"/>
              </w:rPr>
            </w:pPr>
            <w:r>
              <w:rPr>
                <w:rFonts w:ascii="Arial" w:hAnsi="Arial" w:cs="Arial"/>
                <w:color w:val="000000"/>
                <w:sz w:val="18"/>
                <w:szCs w:val="18"/>
              </w:rPr>
              <w:t>10</w:t>
            </w:r>
          </w:p>
        </w:tc>
        <w:tc>
          <w:tcPr>
            <w:tcW w:w="817" w:type="dxa"/>
            <w:tcBorders>
              <w:top w:val="nil"/>
              <w:left w:val="nil"/>
              <w:bottom w:val="single" w:color="auto" w:sz="8" w:space="0"/>
              <w:right w:val="single" w:color="auto" w:sz="8" w:space="0"/>
            </w:tcBorders>
            <w:shd w:val="clear" w:color="auto" w:fill="auto"/>
            <w:vAlign w:val="bottom"/>
            <w:hideMark/>
          </w:tcPr>
          <w:p w:rsidRPr="00FB0EAE" w:rsidR="00FB0EAE" w:rsidP="00602587" w:rsidRDefault="00FB0EAE" w14:paraId="50CF486D" w14:textId="671990AC">
            <w:pPr>
              <w:jc w:val="center"/>
              <w:rPr>
                <w:rFonts w:ascii="Arial" w:hAnsi="Arial" w:cs="Arial"/>
                <w:color w:val="000000"/>
                <w:sz w:val="18"/>
                <w:szCs w:val="18"/>
              </w:rPr>
            </w:pPr>
            <w:r w:rsidRPr="00FB0EAE">
              <w:rPr>
                <w:rFonts w:ascii="Arial" w:hAnsi="Arial" w:cs="Arial"/>
                <w:color w:val="000000"/>
                <w:sz w:val="18"/>
                <w:szCs w:val="18"/>
              </w:rPr>
              <w:t>$</w:t>
            </w:r>
            <w:r w:rsidR="009C16E7">
              <w:rPr>
                <w:rFonts w:ascii="Arial" w:hAnsi="Arial" w:cs="Arial"/>
                <w:color w:val="000000"/>
                <w:sz w:val="18"/>
                <w:szCs w:val="18"/>
              </w:rPr>
              <w:t>40.60</w:t>
            </w:r>
          </w:p>
        </w:tc>
        <w:tc>
          <w:tcPr>
            <w:tcW w:w="1350" w:type="dxa"/>
            <w:tcBorders>
              <w:top w:val="nil"/>
              <w:left w:val="nil"/>
              <w:bottom w:val="single" w:color="auto" w:sz="8" w:space="0"/>
              <w:right w:val="single" w:color="auto" w:sz="8" w:space="0"/>
            </w:tcBorders>
            <w:shd w:val="clear" w:color="auto" w:fill="auto"/>
            <w:vAlign w:val="bottom"/>
            <w:hideMark/>
          </w:tcPr>
          <w:p w:rsidRPr="00FB0EAE" w:rsidR="00FB0EAE" w:rsidP="00602587" w:rsidRDefault="00A21E8A" w14:paraId="3B1A61C7" w14:textId="52469C47">
            <w:pPr>
              <w:jc w:val="center"/>
              <w:rPr>
                <w:rFonts w:ascii="Arial" w:hAnsi="Arial" w:cs="Arial"/>
                <w:color w:val="000000"/>
                <w:sz w:val="18"/>
                <w:szCs w:val="18"/>
              </w:rPr>
            </w:pPr>
            <w:r>
              <w:rPr>
                <w:rFonts w:ascii="Arial" w:hAnsi="Arial" w:cs="Arial"/>
                <w:color w:val="000000"/>
                <w:sz w:val="18"/>
                <w:szCs w:val="18"/>
              </w:rPr>
              <w:t>$</w:t>
            </w:r>
            <w:r w:rsidR="009C16E7">
              <w:rPr>
                <w:rFonts w:ascii="Arial" w:hAnsi="Arial" w:cs="Arial"/>
                <w:color w:val="000000"/>
                <w:sz w:val="18"/>
                <w:szCs w:val="18"/>
              </w:rPr>
              <w:t>406</w:t>
            </w:r>
          </w:p>
        </w:tc>
      </w:tr>
      <w:tr w:rsidRPr="00FB0EAE" w:rsidR="00FB0EAE" w:rsidTr="00282F08" w14:paraId="4989D5E6" w14:textId="77777777">
        <w:trPr>
          <w:trHeight w:val="315"/>
        </w:trPr>
        <w:tc>
          <w:tcPr>
            <w:tcW w:w="1366" w:type="dxa"/>
            <w:tcBorders>
              <w:top w:val="nil"/>
              <w:left w:val="single" w:color="auto" w:sz="8" w:space="0"/>
              <w:bottom w:val="single" w:color="auto" w:sz="8" w:space="0"/>
              <w:right w:val="single" w:color="auto" w:sz="8" w:space="0"/>
            </w:tcBorders>
            <w:shd w:val="clear" w:color="auto" w:fill="auto"/>
            <w:vAlign w:val="bottom"/>
            <w:hideMark/>
          </w:tcPr>
          <w:p w:rsidRPr="00FB0EAE" w:rsidR="00FB0EAE" w:rsidP="00FB0EAE" w:rsidRDefault="00FB0EAE" w14:paraId="0E95F8BA" w14:textId="77777777">
            <w:pPr>
              <w:jc w:val="center"/>
              <w:rPr>
                <w:rFonts w:ascii="Arial" w:hAnsi="Arial" w:cs="Arial"/>
                <w:b/>
                <w:bCs/>
                <w:color w:val="000000"/>
                <w:sz w:val="18"/>
                <w:szCs w:val="18"/>
              </w:rPr>
            </w:pPr>
            <w:r w:rsidRPr="00FB0EAE">
              <w:rPr>
                <w:rFonts w:ascii="Arial" w:hAnsi="Arial" w:cs="Arial"/>
                <w:b/>
                <w:bCs/>
                <w:color w:val="000000"/>
                <w:sz w:val="18"/>
                <w:szCs w:val="18"/>
              </w:rPr>
              <w:t>Total</w:t>
            </w:r>
          </w:p>
        </w:tc>
        <w:tc>
          <w:tcPr>
            <w:tcW w:w="1356" w:type="dxa"/>
            <w:tcBorders>
              <w:top w:val="nil"/>
              <w:left w:val="nil"/>
              <w:bottom w:val="single" w:color="auto" w:sz="8" w:space="0"/>
              <w:right w:val="single" w:color="auto" w:sz="8" w:space="0"/>
            </w:tcBorders>
            <w:shd w:val="clear" w:color="000000" w:fill="000000"/>
            <w:vAlign w:val="bottom"/>
            <w:hideMark/>
          </w:tcPr>
          <w:p w:rsidRPr="00FB0EAE" w:rsidR="00FB0EAE" w:rsidP="00FB0EAE" w:rsidRDefault="00FB0EAE" w14:paraId="2A73ACD9" w14:textId="77777777">
            <w:pPr>
              <w:jc w:val="center"/>
              <w:rPr>
                <w:rFonts w:ascii="Arial" w:hAnsi="Arial" w:cs="Arial"/>
                <w:color w:val="000000"/>
                <w:sz w:val="18"/>
                <w:szCs w:val="18"/>
              </w:rPr>
            </w:pPr>
            <w:r w:rsidRPr="00FB0EAE">
              <w:rPr>
                <w:rFonts w:ascii="Arial" w:hAnsi="Arial" w:cs="Arial"/>
                <w:color w:val="000000"/>
                <w:sz w:val="18"/>
                <w:szCs w:val="18"/>
              </w:rPr>
              <w:t> </w:t>
            </w:r>
          </w:p>
        </w:tc>
        <w:tc>
          <w:tcPr>
            <w:tcW w:w="936"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FB0EAE" w14:paraId="32BAB9EE" w14:textId="77777777">
            <w:pPr>
              <w:jc w:val="center"/>
              <w:rPr>
                <w:rFonts w:ascii="Arial" w:hAnsi="Arial" w:cs="Arial"/>
                <w:b/>
                <w:bCs/>
                <w:color w:val="000000"/>
                <w:sz w:val="18"/>
                <w:szCs w:val="18"/>
              </w:rPr>
            </w:pPr>
            <w:r w:rsidRPr="00FB0EAE">
              <w:rPr>
                <w:rFonts w:ascii="Arial" w:hAnsi="Arial" w:cs="Arial"/>
                <w:b/>
                <w:bCs/>
                <w:color w:val="000000"/>
                <w:sz w:val="18"/>
                <w:szCs w:val="18"/>
              </w:rPr>
              <w:t>60</w:t>
            </w:r>
          </w:p>
        </w:tc>
        <w:tc>
          <w:tcPr>
            <w:tcW w:w="936" w:type="dxa"/>
            <w:tcBorders>
              <w:top w:val="nil"/>
              <w:left w:val="nil"/>
              <w:bottom w:val="single" w:color="auto" w:sz="8" w:space="0"/>
              <w:right w:val="single" w:color="auto" w:sz="8" w:space="0"/>
            </w:tcBorders>
            <w:shd w:val="clear" w:color="000000" w:fill="000000"/>
            <w:vAlign w:val="bottom"/>
            <w:hideMark/>
          </w:tcPr>
          <w:p w:rsidRPr="00FB0EAE" w:rsidR="00FB0EAE" w:rsidP="00FB0EAE" w:rsidRDefault="00FB0EAE" w14:paraId="407BA2AC" w14:textId="77777777">
            <w:pPr>
              <w:jc w:val="center"/>
              <w:rPr>
                <w:rFonts w:ascii="Arial" w:hAnsi="Arial" w:cs="Arial"/>
                <w:color w:val="000000"/>
                <w:sz w:val="18"/>
                <w:szCs w:val="18"/>
              </w:rPr>
            </w:pPr>
            <w:r w:rsidRPr="00FB0EAE">
              <w:rPr>
                <w:rFonts w:ascii="Arial" w:hAnsi="Arial" w:cs="Arial"/>
                <w:color w:val="000000"/>
                <w:sz w:val="18"/>
                <w:szCs w:val="18"/>
              </w:rPr>
              <w:t> </w:t>
            </w:r>
          </w:p>
        </w:tc>
        <w:tc>
          <w:tcPr>
            <w:tcW w:w="1256" w:type="dxa"/>
            <w:tcBorders>
              <w:top w:val="nil"/>
              <w:left w:val="nil"/>
              <w:bottom w:val="single" w:color="auto" w:sz="8" w:space="0"/>
              <w:right w:val="single" w:color="auto" w:sz="8" w:space="0"/>
            </w:tcBorders>
            <w:shd w:val="clear" w:color="000000" w:fill="FFFFFF"/>
            <w:vAlign w:val="bottom"/>
            <w:hideMark/>
          </w:tcPr>
          <w:p w:rsidRPr="00FB0EAE" w:rsidR="00FB0EAE" w:rsidP="00FB0EAE" w:rsidRDefault="005D360E" w14:paraId="621C77B3" w14:textId="77777777">
            <w:pPr>
              <w:jc w:val="center"/>
              <w:rPr>
                <w:rFonts w:ascii="Arial" w:hAnsi="Arial" w:cs="Arial"/>
                <w:color w:val="000000"/>
                <w:sz w:val="18"/>
                <w:szCs w:val="18"/>
              </w:rPr>
            </w:pPr>
            <w:r>
              <w:rPr>
                <w:rFonts w:ascii="Arial" w:hAnsi="Arial" w:cs="Arial"/>
                <w:color w:val="000000"/>
                <w:sz w:val="18"/>
                <w:szCs w:val="18"/>
              </w:rPr>
              <w:t>120</w:t>
            </w:r>
          </w:p>
        </w:tc>
        <w:tc>
          <w:tcPr>
            <w:tcW w:w="1080" w:type="dxa"/>
            <w:tcBorders>
              <w:top w:val="nil"/>
              <w:left w:val="nil"/>
              <w:bottom w:val="single" w:color="auto" w:sz="8" w:space="0"/>
              <w:right w:val="single" w:color="auto" w:sz="8" w:space="0"/>
            </w:tcBorders>
            <w:shd w:val="clear" w:color="000000" w:fill="000000"/>
            <w:vAlign w:val="bottom"/>
            <w:hideMark/>
          </w:tcPr>
          <w:p w:rsidRPr="00FB0EAE" w:rsidR="00FB0EAE" w:rsidP="00FB0EAE" w:rsidRDefault="00FB0EAE" w14:paraId="7928F859" w14:textId="77777777">
            <w:pPr>
              <w:jc w:val="center"/>
              <w:rPr>
                <w:rFonts w:ascii="Arial" w:hAnsi="Arial" w:cs="Arial"/>
                <w:color w:val="000000"/>
                <w:sz w:val="18"/>
                <w:szCs w:val="18"/>
              </w:rPr>
            </w:pPr>
            <w:r w:rsidRPr="00FB0EAE">
              <w:rPr>
                <w:rFonts w:ascii="Arial" w:hAnsi="Arial" w:cs="Arial"/>
                <w:color w:val="000000"/>
                <w:sz w:val="18"/>
                <w:szCs w:val="18"/>
              </w:rPr>
              <w:t> </w:t>
            </w:r>
          </w:p>
        </w:tc>
        <w:tc>
          <w:tcPr>
            <w:tcW w:w="893" w:type="dxa"/>
            <w:tcBorders>
              <w:top w:val="nil"/>
              <w:left w:val="nil"/>
              <w:bottom w:val="single" w:color="auto" w:sz="8" w:space="0"/>
              <w:right w:val="single" w:color="auto" w:sz="8" w:space="0"/>
            </w:tcBorders>
            <w:shd w:val="clear" w:color="auto" w:fill="auto"/>
            <w:vAlign w:val="bottom"/>
            <w:hideMark/>
          </w:tcPr>
          <w:p w:rsidRPr="00FB0EAE" w:rsidR="00FB0EAE" w:rsidP="00FB0EAE" w:rsidRDefault="002A7E7F" w14:paraId="33CC64DF" w14:textId="77777777">
            <w:pPr>
              <w:jc w:val="center"/>
              <w:rPr>
                <w:rFonts w:ascii="Arial" w:hAnsi="Arial" w:cs="Arial"/>
                <w:b/>
                <w:bCs/>
                <w:color w:val="000000"/>
                <w:sz w:val="18"/>
                <w:szCs w:val="18"/>
              </w:rPr>
            </w:pPr>
            <w:r>
              <w:rPr>
                <w:rFonts w:ascii="Arial" w:hAnsi="Arial" w:cs="Arial"/>
                <w:b/>
                <w:bCs/>
                <w:color w:val="000000"/>
                <w:sz w:val="18"/>
                <w:szCs w:val="18"/>
              </w:rPr>
              <w:t>18,010</w:t>
            </w:r>
            <w:r w:rsidRPr="00FB0EAE" w:rsidR="00FB0EAE">
              <w:rPr>
                <w:rFonts w:ascii="Arial" w:hAnsi="Arial" w:cs="Arial"/>
                <w:b/>
                <w:bCs/>
                <w:color w:val="000000"/>
                <w:sz w:val="18"/>
                <w:szCs w:val="18"/>
              </w:rPr>
              <w:t> </w:t>
            </w:r>
          </w:p>
        </w:tc>
        <w:tc>
          <w:tcPr>
            <w:tcW w:w="817" w:type="dxa"/>
            <w:tcBorders>
              <w:top w:val="nil"/>
              <w:left w:val="nil"/>
              <w:bottom w:val="single" w:color="auto" w:sz="8" w:space="0"/>
              <w:right w:val="single" w:color="auto" w:sz="8" w:space="0"/>
            </w:tcBorders>
            <w:shd w:val="clear" w:color="000000" w:fill="000000"/>
            <w:vAlign w:val="bottom"/>
            <w:hideMark/>
          </w:tcPr>
          <w:p w:rsidRPr="00FB0EAE" w:rsidR="00FB0EAE" w:rsidP="00FB0EAE" w:rsidRDefault="00FB0EAE" w14:paraId="43468046" w14:textId="77777777">
            <w:pPr>
              <w:jc w:val="center"/>
              <w:rPr>
                <w:rFonts w:ascii="Arial" w:hAnsi="Arial" w:cs="Arial"/>
                <w:color w:val="000000"/>
                <w:sz w:val="18"/>
                <w:szCs w:val="18"/>
              </w:rPr>
            </w:pPr>
            <w:r w:rsidRPr="00FB0EAE">
              <w:rPr>
                <w:rFonts w:ascii="Arial" w:hAnsi="Arial" w:cs="Arial"/>
                <w:color w:val="000000"/>
                <w:sz w:val="18"/>
                <w:szCs w:val="18"/>
              </w:rPr>
              <w:t> </w:t>
            </w:r>
          </w:p>
        </w:tc>
        <w:tc>
          <w:tcPr>
            <w:tcW w:w="1350" w:type="dxa"/>
            <w:tcBorders>
              <w:top w:val="nil"/>
              <w:left w:val="nil"/>
              <w:bottom w:val="single" w:color="auto" w:sz="8" w:space="0"/>
              <w:right w:val="single" w:color="auto" w:sz="8" w:space="0"/>
            </w:tcBorders>
            <w:shd w:val="clear" w:color="auto" w:fill="auto"/>
            <w:vAlign w:val="bottom"/>
            <w:hideMark/>
          </w:tcPr>
          <w:p w:rsidRPr="00FB0EAE" w:rsidR="00FB0EAE" w:rsidP="00602587" w:rsidRDefault="00A21E8A" w14:paraId="02B3DF4A" w14:textId="5E5D02CF">
            <w:pPr>
              <w:jc w:val="center"/>
              <w:rPr>
                <w:rFonts w:ascii="Arial" w:hAnsi="Arial" w:cs="Arial"/>
                <w:b/>
                <w:bCs/>
                <w:color w:val="000000"/>
                <w:sz w:val="18"/>
                <w:szCs w:val="18"/>
              </w:rPr>
            </w:pPr>
            <w:r>
              <w:rPr>
                <w:rFonts w:ascii="Arial" w:hAnsi="Arial" w:cs="Arial"/>
                <w:b/>
                <w:bCs/>
                <w:color w:val="000000"/>
                <w:sz w:val="18"/>
                <w:szCs w:val="18"/>
              </w:rPr>
              <w:t>$</w:t>
            </w:r>
            <w:r w:rsidR="00602587">
              <w:rPr>
                <w:rFonts w:ascii="Arial" w:hAnsi="Arial" w:cs="Arial"/>
                <w:b/>
                <w:bCs/>
                <w:color w:val="000000"/>
                <w:sz w:val="18"/>
                <w:szCs w:val="18"/>
              </w:rPr>
              <w:t>7</w:t>
            </w:r>
            <w:r w:rsidR="009C16E7">
              <w:rPr>
                <w:rFonts w:ascii="Arial" w:hAnsi="Arial" w:cs="Arial"/>
                <w:b/>
                <w:bCs/>
                <w:color w:val="000000"/>
                <w:sz w:val="18"/>
                <w:szCs w:val="18"/>
              </w:rPr>
              <w:t>3</w:t>
            </w:r>
            <w:r w:rsidR="00602587">
              <w:rPr>
                <w:rFonts w:ascii="Arial" w:hAnsi="Arial" w:cs="Arial"/>
                <w:b/>
                <w:bCs/>
                <w:color w:val="000000"/>
                <w:sz w:val="18"/>
                <w:szCs w:val="18"/>
              </w:rPr>
              <w:t>1,</w:t>
            </w:r>
            <w:r w:rsidR="009C16E7">
              <w:rPr>
                <w:rFonts w:ascii="Arial" w:hAnsi="Arial" w:cs="Arial"/>
                <w:b/>
                <w:bCs/>
                <w:color w:val="000000"/>
                <w:sz w:val="18"/>
                <w:szCs w:val="18"/>
              </w:rPr>
              <w:t>206</w:t>
            </w:r>
          </w:p>
        </w:tc>
      </w:tr>
    </w:tbl>
    <w:p w:rsidRPr="00FB0EAE" w:rsidR="00FB0EAE" w:rsidP="00FB0EAE" w:rsidRDefault="00FB0EAE" w14:paraId="47DFC55A" w14:textId="77777777">
      <w:pPr>
        <w:numPr>
          <w:ilvl w:val="0"/>
          <w:numId w:val="13"/>
        </w:numPr>
        <w:tabs>
          <w:tab w:val="left" w:pos="-720"/>
        </w:tabs>
        <w:suppressAutoHyphens/>
        <w:rPr>
          <w:sz w:val="16"/>
          <w:szCs w:val="16"/>
        </w:rPr>
      </w:pPr>
      <w:r w:rsidRPr="00FB0EAE">
        <w:rPr>
          <w:sz w:val="16"/>
          <w:szCs w:val="16"/>
        </w:rPr>
        <w:t>Note: The “Avg. Hourly Wage Rate” for each respondent includes a 1.4 multiplier to reflect a fully-loaded wage rate.</w:t>
      </w:r>
    </w:p>
    <w:p w:rsidR="00FB0EAE" w:rsidP="00883BF5" w:rsidRDefault="00FB0EAE" w14:paraId="6EA2F4A5" w14:textId="77777777">
      <w:pPr>
        <w:rPr>
          <w:b/>
          <w:bCs/>
        </w:rPr>
      </w:pPr>
    </w:p>
    <w:p w:rsidRPr="00602587" w:rsidR="006D73DA" w:rsidP="006D73DA" w:rsidRDefault="006D73DA" w14:paraId="7C904DCE" w14:textId="4C5D78A4">
      <w:pPr>
        <w:rPr>
          <w:color w:val="0000FF"/>
        </w:rPr>
      </w:pPr>
      <w:r w:rsidRPr="00EA298D">
        <w:t>According to the U.S. Department of Labor, Bureau of Labor Statistics Web site (</w:t>
      </w:r>
      <w:hyperlink w:history="1" w:anchor="1-0000" r:id="rId13">
        <w:r w:rsidRPr="0047614A" w:rsidR="00B908AA">
          <w:rPr>
            <w:rStyle w:val="Hyperlink"/>
          </w:rPr>
          <w:t>http://www.bls.gov/oes/current/naics4_999300.htm#1-0000</w:t>
        </w:r>
      </w:hyperlink>
      <w:r w:rsidRPr="00EA298D">
        <w:t>) the wage rate category for Local Representatives is estimated to be $27</w:t>
      </w:r>
      <w:r w:rsidR="00EA298D">
        <w:t>.</w:t>
      </w:r>
      <w:r w:rsidR="00602587">
        <w:t>81</w:t>
      </w:r>
      <w:r w:rsidRPr="00EA298D">
        <w:t xml:space="preserve"> per hour, </w:t>
      </w:r>
      <w:r w:rsidRPr="00EA298D">
        <w:rPr>
          <w:color w:val="000000"/>
        </w:rPr>
        <w:t>with the addition of the 1.4</w:t>
      </w:r>
      <w:r w:rsidR="00C40261">
        <w:rPr>
          <w:color w:val="000000"/>
        </w:rPr>
        <w:t>6</w:t>
      </w:r>
      <w:r w:rsidRPr="00EA298D">
        <w:rPr>
          <w:color w:val="000000"/>
        </w:rPr>
        <w:t xml:space="preserve"> multiplier, the total wage rate is $</w:t>
      </w:r>
      <w:r w:rsidR="009C16E7">
        <w:rPr>
          <w:color w:val="000000"/>
        </w:rPr>
        <w:t>40.60</w:t>
      </w:r>
      <w:r w:rsidR="00602587">
        <w:rPr>
          <w:color w:val="000000"/>
        </w:rPr>
        <w:t xml:space="preserve"> </w:t>
      </w:r>
      <w:r w:rsidRPr="00EA298D">
        <w:t xml:space="preserve">for completing and submitting the FEMA grant information to FEMA for review and approval.  Therefore, the estimated total burden hour cost to Local Representatives is estimated to </w:t>
      </w:r>
      <w:r w:rsidRPr="00602587" w:rsidR="00602587">
        <w:t>$7</w:t>
      </w:r>
      <w:r w:rsidR="009C16E7">
        <w:t>3</w:t>
      </w:r>
      <w:r w:rsidRPr="00602587" w:rsidR="00602587">
        <w:t>1,</w:t>
      </w:r>
      <w:r w:rsidR="009C16E7">
        <w:t>206</w:t>
      </w:r>
      <w:r w:rsidR="002A7E7F">
        <w:t xml:space="preserve"> </w:t>
      </w:r>
      <w:r w:rsidRPr="00EA298D">
        <w:t>annually.</w:t>
      </w:r>
      <w:r>
        <w:t xml:space="preserve">  </w:t>
      </w:r>
    </w:p>
    <w:p w:rsidR="00602587" w:rsidP="00602587" w:rsidRDefault="00602587" w14:paraId="4705DF62" w14:textId="77777777">
      <w:pPr>
        <w:rPr>
          <w:color w:val="1F497D"/>
          <w:sz w:val="22"/>
          <w:szCs w:val="22"/>
        </w:rPr>
      </w:pPr>
    </w:p>
    <w:p w:rsidR="00602587" w:rsidP="00602587" w:rsidRDefault="00602587" w14:paraId="47577CB5" w14:textId="77777777">
      <w:r>
        <w:rPr>
          <w:b/>
          <w:bCs/>
        </w:rPr>
        <w:t xml:space="preserve">Local </w:t>
      </w:r>
      <w:r>
        <w:t>government salaries</w:t>
      </w:r>
    </w:p>
    <w:p w:rsidR="00602587" w:rsidP="00602587" w:rsidRDefault="00B01C56" w14:paraId="0257F7E3" w14:textId="77777777">
      <w:pPr>
        <w:rPr>
          <w:color w:val="0000FF"/>
        </w:rPr>
      </w:pPr>
      <w:hyperlink w:history="1" w:anchor="11-0000" r:id="rId14">
        <w:r w:rsidR="00602587">
          <w:rPr>
            <w:rStyle w:val="Hyperlink"/>
          </w:rPr>
          <w:t>http://www.bls.gov/oes/current/naics4_999300.htm#11-0000</w:t>
        </w:r>
      </w:hyperlink>
    </w:p>
    <w:p w:rsidR="00602587" w:rsidP="00602587" w:rsidRDefault="00602587" w14:paraId="03CD6190" w14:textId="77777777"/>
    <w:tbl>
      <w:tblPr>
        <w:tblW w:w="5000" w:type="pct"/>
        <w:tblCellSpacing w:w="18" w:type="dxa"/>
        <w:tblBorders>
          <w:top w:val="single" w:color="CCCCCC" w:sz="8" w:space="0"/>
          <w:left w:val="single" w:color="CCCCCC" w:sz="8" w:space="0"/>
          <w:bottom w:val="single" w:color="CCCCCC" w:sz="8" w:space="0"/>
          <w:right w:val="single" w:color="CCCCCC" w:sz="8" w:space="0"/>
        </w:tblBorders>
        <w:tblCellMar>
          <w:left w:w="0" w:type="dxa"/>
          <w:right w:w="0" w:type="dxa"/>
        </w:tblCellMar>
        <w:tblLook w:val="04A0" w:firstRow="1" w:lastRow="0" w:firstColumn="1" w:lastColumn="0" w:noHBand="0" w:noVBand="1"/>
      </w:tblPr>
      <w:tblGrid>
        <w:gridCol w:w="635"/>
        <w:gridCol w:w="1555"/>
        <w:gridCol w:w="1555"/>
        <w:gridCol w:w="534"/>
        <w:gridCol w:w="642"/>
        <w:gridCol w:w="530"/>
        <w:gridCol w:w="622"/>
        <w:gridCol w:w="642"/>
        <w:gridCol w:w="642"/>
        <w:gridCol w:w="735"/>
        <w:gridCol w:w="548"/>
      </w:tblGrid>
      <w:tr w:rsidR="00602587" w:rsidTr="00602587" w14:paraId="79E92FB2" w14:textId="77777777">
        <w:trPr>
          <w:tblCellSpacing w:w="18" w:type="dxa"/>
        </w:trPr>
        <w:tc>
          <w:tcPr>
            <w:tcW w:w="0" w:type="auto"/>
            <w:gridSpan w:val="2"/>
            <w:tcBorders>
              <w:top w:val="nil"/>
              <w:left w:val="nil"/>
              <w:bottom w:val="nil"/>
              <w:right w:val="nil"/>
            </w:tcBorders>
            <w:shd w:val="clear" w:color="auto" w:fill="FFFFFF"/>
            <w:tcMar>
              <w:top w:w="45" w:type="dxa"/>
              <w:left w:w="45" w:type="dxa"/>
              <w:bottom w:w="45" w:type="dxa"/>
              <w:right w:w="45" w:type="dxa"/>
            </w:tcMar>
            <w:vAlign w:val="center"/>
            <w:hideMark/>
          </w:tcPr>
          <w:p w:rsidR="00602587" w:rsidRDefault="00602587" w14:paraId="7924773A" w14:textId="77777777">
            <w:pPr>
              <w:spacing w:after="120"/>
              <w:jc w:val="center"/>
              <w:rPr>
                <w:rFonts w:ascii="Tahoma" w:hAnsi="Tahoma" w:cs="Tahoma"/>
                <w:sz w:val="17"/>
                <w:szCs w:val="17"/>
              </w:rPr>
            </w:pPr>
            <w:r>
              <w:rPr>
                <w:rFonts w:ascii="Tahoma" w:hAnsi="Tahoma" w:cs="Tahoma"/>
                <w:sz w:val="17"/>
                <w:szCs w:val="17"/>
              </w:rPr>
              <w:t>43-0000</w:t>
            </w:r>
          </w:p>
        </w:tc>
        <w:tc>
          <w:tcPr>
            <w:tcW w:w="0" w:type="auto"/>
            <w:gridSpan w:val="9"/>
            <w:tcBorders>
              <w:top w:val="nil"/>
              <w:left w:val="nil"/>
              <w:bottom w:val="nil"/>
              <w:right w:val="nil"/>
            </w:tcBorders>
            <w:shd w:val="clear" w:color="auto" w:fill="FFFFFF"/>
            <w:tcMar>
              <w:top w:w="45" w:type="dxa"/>
              <w:left w:w="45" w:type="dxa"/>
              <w:bottom w:w="45" w:type="dxa"/>
              <w:right w:w="45" w:type="dxa"/>
            </w:tcMar>
            <w:vAlign w:val="center"/>
            <w:hideMark/>
          </w:tcPr>
          <w:p w:rsidR="00602587" w:rsidRDefault="00B01C56" w14:paraId="06FED976" w14:textId="77777777">
            <w:pPr>
              <w:spacing w:after="120"/>
              <w:rPr>
                <w:rFonts w:ascii="Tahoma" w:hAnsi="Tahoma" w:cs="Tahoma"/>
                <w:sz w:val="17"/>
                <w:szCs w:val="17"/>
              </w:rPr>
            </w:pPr>
            <w:hyperlink w:history="1" r:id="rId15">
              <w:r w:rsidR="00602587">
                <w:rPr>
                  <w:rStyle w:val="Hyperlink"/>
                  <w:rFonts w:ascii="Tahoma" w:hAnsi="Tahoma" w:cs="Tahoma"/>
                  <w:sz w:val="17"/>
                  <w:szCs w:val="17"/>
                </w:rPr>
                <w:t>Office and Administrative Support Occupations</w:t>
              </w:r>
            </w:hyperlink>
            <w:r w:rsidR="00602587">
              <w:rPr>
                <w:rFonts w:ascii="Tahoma" w:hAnsi="Tahoma" w:cs="Tahoma"/>
                <w:sz w:val="17"/>
                <w:szCs w:val="17"/>
              </w:rPr>
              <w:t xml:space="preserve"> </w:t>
            </w:r>
          </w:p>
        </w:tc>
      </w:tr>
      <w:tr w:rsidR="00602587" w:rsidTr="00602587" w14:paraId="688A5419" w14:textId="77777777">
        <w:trPr>
          <w:tblCellSpacing w:w="18" w:type="dxa"/>
        </w:trPr>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01D7C9D6" w14:textId="77777777">
            <w:pPr>
              <w:spacing w:after="120"/>
              <w:jc w:val="center"/>
              <w:rPr>
                <w:rFonts w:ascii="Tahoma" w:hAnsi="Tahoma" w:cs="Tahoma"/>
                <w:sz w:val="17"/>
                <w:szCs w:val="17"/>
              </w:rPr>
            </w:pPr>
            <w:r>
              <w:rPr>
                <w:rFonts w:ascii="Tahoma" w:hAnsi="Tahoma" w:cs="Tahoma"/>
                <w:sz w:val="17"/>
                <w:szCs w:val="17"/>
              </w:rPr>
              <w:t>43-1011</w:t>
            </w:r>
          </w:p>
        </w:tc>
        <w:tc>
          <w:tcPr>
            <w:tcW w:w="0" w:type="auto"/>
            <w:gridSpan w:val="2"/>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B01C56" w14:paraId="4E66C81F" w14:textId="77777777">
            <w:pPr>
              <w:spacing w:after="120"/>
              <w:rPr>
                <w:rFonts w:ascii="Tahoma" w:hAnsi="Tahoma" w:cs="Tahoma"/>
                <w:sz w:val="17"/>
                <w:szCs w:val="17"/>
              </w:rPr>
            </w:pPr>
            <w:hyperlink w:history="1" r:id="rId16">
              <w:r w:rsidR="00602587">
                <w:rPr>
                  <w:rStyle w:val="Hyperlink"/>
                  <w:rFonts w:ascii="Tahoma" w:hAnsi="Tahoma" w:cs="Tahoma"/>
                  <w:sz w:val="17"/>
                  <w:szCs w:val="17"/>
                </w:rPr>
                <w:t>First-Line Supervisors of Office and Administrative Support Workers</w:t>
              </w:r>
            </w:hyperlink>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58181BA3" w14:textId="77777777">
            <w:pPr>
              <w:spacing w:after="120"/>
              <w:jc w:val="center"/>
              <w:rPr>
                <w:rFonts w:ascii="Tahoma" w:hAnsi="Tahoma" w:cs="Tahoma"/>
                <w:sz w:val="17"/>
                <w:szCs w:val="17"/>
              </w:rPr>
            </w:pPr>
            <w:r>
              <w:rPr>
                <w:rFonts w:ascii="Tahoma" w:hAnsi="Tahoma" w:cs="Tahoma"/>
                <w:sz w:val="17"/>
                <w:szCs w:val="17"/>
              </w:rPr>
              <w:t>detail</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2FE92CE9" w14:textId="77777777">
            <w:pPr>
              <w:spacing w:after="120"/>
              <w:jc w:val="right"/>
              <w:rPr>
                <w:rFonts w:ascii="Tahoma" w:hAnsi="Tahoma" w:cs="Tahoma"/>
                <w:sz w:val="17"/>
                <w:szCs w:val="17"/>
              </w:rPr>
            </w:pPr>
            <w:r>
              <w:rPr>
                <w:rFonts w:ascii="Tahoma" w:hAnsi="Tahoma" w:cs="Tahoma"/>
                <w:sz w:val="17"/>
                <w:szCs w:val="17"/>
              </w:rPr>
              <w:t>58,270</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1F6CA151" w14:textId="77777777">
            <w:pPr>
              <w:spacing w:after="120"/>
              <w:jc w:val="right"/>
              <w:rPr>
                <w:rFonts w:ascii="Tahoma" w:hAnsi="Tahoma" w:cs="Tahoma"/>
                <w:sz w:val="17"/>
                <w:szCs w:val="17"/>
              </w:rPr>
            </w:pPr>
            <w:r>
              <w:rPr>
                <w:rFonts w:ascii="Tahoma" w:hAnsi="Tahoma" w:cs="Tahoma"/>
                <w:sz w:val="17"/>
                <w:szCs w:val="17"/>
              </w:rPr>
              <w:t>1.2%</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25755C85" w14:textId="77777777">
            <w:pPr>
              <w:spacing w:after="120"/>
              <w:jc w:val="right"/>
              <w:rPr>
                <w:rFonts w:ascii="Tahoma" w:hAnsi="Tahoma" w:cs="Tahoma"/>
                <w:sz w:val="17"/>
                <w:szCs w:val="17"/>
              </w:rPr>
            </w:pPr>
            <w:r>
              <w:rPr>
                <w:rFonts w:ascii="Tahoma" w:hAnsi="Tahoma" w:cs="Tahoma"/>
                <w:sz w:val="17"/>
                <w:szCs w:val="17"/>
              </w:rPr>
              <w:t>1.09%</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226B27B8" w14:textId="77777777">
            <w:pPr>
              <w:spacing w:after="120"/>
              <w:jc w:val="right"/>
              <w:rPr>
                <w:rFonts w:ascii="Tahoma" w:hAnsi="Tahoma" w:cs="Tahoma"/>
                <w:sz w:val="17"/>
                <w:szCs w:val="17"/>
              </w:rPr>
            </w:pPr>
            <w:r>
              <w:rPr>
                <w:rFonts w:ascii="Tahoma" w:hAnsi="Tahoma" w:cs="Tahoma"/>
                <w:sz w:val="17"/>
                <w:szCs w:val="17"/>
              </w:rPr>
              <w:t>$26.79</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03DF89AD" w14:textId="77777777">
            <w:pPr>
              <w:spacing w:after="120"/>
              <w:jc w:val="right"/>
              <w:rPr>
                <w:rFonts w:ascii="Tahoma" w:hAnsi="Tahoma" w:cs="Tahoma"/>
                <w:sz w:val="17"/>
                <w:szCs w:val="17"/>
              </w:rPr>
            </w:pPr>
            <w:r>
              <w:rPr>
                <w:rFonts w:ascii="Tahoma" w:hAnsi="Tahoma" w:cs="Tahoma"/>
                <w:sz w:val="17"/>
                <w:szCs w:val="17"/>
                <w:highlight w:val="yellow"/>
              </w:rPr>
              <w:t>$27.81</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31B15E6E" w14:textId="77777777">
            <w:pPr>
              <w:spacing w:after="120"/>
              <w:jc w:val="right"/>
              <w:rPr>
                <w:rFonts w:ascii="Tahoma" w:hAnsi="Tahoma" w:cs="Tahoma"/>
                <w:sz w:val="17"/>
                <w:szCs w:val="17"/>
              </w:rPr>
            </w:pPr>
            <w:r>
              <w:rPr>
                <w:rFonts w:ascii="Tahoma" w:hAnsi="Tahoma" w:cs="Tahoma"/>
                <w:sz w:val="17"/>
                <w:szCs w:val="17"/>
              </w:rPr>
              <w:t>$57,840</w:t>
            </w:r>
          </w:p>
        </w:tc>
        <w:tc>
          <w:tcPr>
            <w:tcW w:w="0" w:type="auto"/>
            <w:tcBorders>
              <w:top w:val="nil"/>
              <w:left w:val="nil"/>
              <w:bottom w:val="nil"/>
              <w:right w:val="nil"/>
            </w:tcBorders>
            <w:shd w:val="clear" w:color="auto" w:fill="EEF4FF"/>
            <w:tcMar>
              <w:top w:w="45" w:type="dxa"/>
              <w:left w:w="45" w:type="dxa"/>
              <w:bottom w:w="45" w:type="dxa"/>
              <w:right w:w="45" w:type="dxa"/>
            </w:tcMar>
            <w:vAlign w:val="center"/>
            <w:hideMark/>
          </w:tcPr>
          <w:p w:rsidR="00602587" w:rsidRDefault="00602587" w14:paraId="7C807EB8" w14:textId="77777777">
            <w:pPr>
              <w:spacing w:after="120"/>
              <w:jc w:val="right"/>
              <w:rPr>
                <w:rFonts w:ascii="Tahoma" w:hAnsi="Tahoma" w:cs="Tahoma"/>
                <w:sz w:val="17"/>
                <w:szCs w:val="17"/>
              </w:rPr>
            </w:pPr>
            <w:r>
              <w:rPr>
                <w:rFonts w:ascii="Tahoma" w:hAnsi="Tahoma" w:cs="Tahoma"/>
                <w:sz w:val="17"/>
                <w:szCs w:val="17"/>
              </w:rPr>
              <w:t>0.5%</w:t>
            </w:r>
          </w:p>
        </w:tc>
      </w:tr>
    </w:tbl>
    <w:p w:rsidR="00602587" w:rsidP="006D73DA" w:rsidRDefault="00602587" w14:paraId="1DC93BA5" w14:textId="77777777"/>
    <w:p w:rsidR="00551F24" w:rsidP="00EB737E" w:rsidRDefault="00551F24" w14:paraId="4C01E662" w14:textId="77777777">
      <w:pPr>
        <w:tabs>
          <w:tab w:val="left" w:pos="-720"/>
        </w:tabs>
        <w:suppressAutoHyphens/>
      </w:pPr>
    </w:p>
    <w:p w:rsidR="00551F24" w:rsidP="00EB737E" w:rsidRDefault="00551F24" w14:paraId="7FF01557" w14:textId="77777777">
      <w:pPr>
        <w:tabs>
          <w:tab w:val="left" w:pos="-720"/>
        </w:tabs>
        <w:suppressAutoHyphens/>
      </w:pPr>
    </w:p>
    <w:p w:rsidR="00B85BA0" w:rsidP="00EB737E" w:rsidRDefault="00B85BA0" w14:paraId="386F9F58" w14:textId="77777777">
      <w:pPr>
        <w:tabs>
          <w:tab w:val="left" w:pos="-720"/>
        </w:tabs>
        <w:suppressAutoHyphens/>
      </w:pPr>
    </w:p>
    <w:p w:rsidR="0016434C" w:rsidP="0016434C" w:rsidRDefault="00EA298D" w14:paraId="2D40CCCF" w14:textId="77777777">
      <w:pPr>
        <w:tabs>
          <w:tab w:val="left" w:pos="-720"/>
        </w:tabs>
        <w:suppressAutoHyphens/>
        <w:rPr>
          <w:b/>
        </w:rPr>
      </w:pPr>
      <w:r>
        <w:rPr>
          <w:b/>
        </w:rPr>
        <w:t>T</w:t>
      </w:r>
      <w:r w:rsidRPr="00F611CD" w:rsidR="0016434C">
        <w:rPr>
          <w:b/>
        </w:rPr>
        <w:t xml:space="preserve">he Standard Forms listed in the table below are used in FEMA </w:t>
      </w:r>
      <w:r w:rsidR="0016434C">
        <w:rPr>
          <w:b/>
        </w:rPr>
        <w:t>administration of g</w:t>
      </w:r>
      <w:r w:rsidRPr="00F611CD" w:rsidR="0016434C">
        <w:rPr>
          <w:b/>
        </w:rPr>
        <w:t xml:space="preserve">rant </w:t>
      </w:r>
      <w:r w:rsidR="0016434C">
        <w:rPr>
          <w:b/>
        </w:rPr>
        <w:t>p</w:t>
      </w:r>
      <w:r w:rsidRPr="00F611CD" w:rsidR="0016434C">
        <w:rPr>
          <w:b/>
        </w:rPr>
        <w:t xml:space="preserve">rograms collections of information.  </w:t>
      </w:r>
      <w:r w:rsidR="0016434C">
        <w:rPr>
          <w:b/>
        </w:rPr>
        <w:t>T</w:t>
      </w:r>
      <w:r w:rsidRPr="00F611CD" w:rsidR="0016434C">
        <w:rPr>
          <w:b/>
        </w:rPr>
        <w:t>hese burden estimates are captured under the OMB government-wide collections of information for Standard Forms</w:t>
      </w:r>
      <w:r w:rsidR="0016434C">
        <w:rPr>
          <w:b/>
        </w:rPr>
        <w:t xml:space="preserve"> (SF).  Other data collection activities approved by OMB are also identified in the table below.</w:t>
      </w:r>
    </w:p>
    <w:p w:rsidR="00EA298D" w:rsidP="0016434C" w:rsidRDefault="00EA298D" w14:paraId="29FDF2DF" w14:textId="77777777">
      <w:pPr>
        <w:tabs>
          <w:tab w:val="left" w:pos="-720"/>
        </w:tabs>
        <w:suppressAutoHyphens/>
        <w:rPr>
          <w:b/>
        </w:rPr>
      </w:pPr>
    </w:p>
    <w:tbl>
      <w:tblPr>
        <w:tblpPr w:leftFromText="180" w:rightFromText="180" w:vertAnchor="text" w:horzAnchor="margin" w:tblpXSpec="center" w:tblpY="131"/>
        <w:tblW w:w="10238" w:type="dxa"/>
        <w:tblLook w:val="0000" w:firstRow="0" w:lastRow="0" w:firstColumn="0" w:lastColumn="0" w:noHBand="0" w:noVBand="0"/>
      </w:tblPr>
      <w:tblGrid>
        <w:gridCol w:w="1317"/>
        <w:gridCol w:w="1339"/>
        <w:gridCol w:w="1016"/>
        <w:gridCol w:w="1128"/>
        <w:gridCol w:w="1128"/>
        <w:gridCol w:w="1172"/>
        <w:gridCol w:w="916"/>
        <w:gridCol w:w="850"/>
        <w:gridCol w:w="1372"/>
      </w:tblGrid>
      <w:tr w:rsidR="0016434C" w:rsidTr="0058268F" w14:paraId="2E2CDA45" w14:textId="77777777">
        <w:trPr>
          <w:trHeight w:val="1545"/>
        </w:trPr>
        <w:tc>
          <w:tcPr>
            <w:tcW w:w="1317" w:type="dxa"/>
            <w:tcBorders>
              <w:top w:val="nil"/>
              <w:left w:val="single" w:color="auto" w:sz="8" w:space="0"/>
              <w:bottom w:val="single" w:color="auto" w:sz="8" w:space="0"/>
              <w:right w:val="single" w:color="auto" w:sz="8" w:space="0"/>
            </w:tcBorders>
            <w:shd w:val="clear" w:color="auto" w:fill="0070C0"/>
            <w:vAlign w:val="bottom"/>
          </w:tcPr>
          <w:p w:rsidR="0016434C" w:rsidP="00820F0A" w:rsidRDefault="0016434C" w14:paraId="0E5B2E68" w14:textId="77777777">
            <w:pPr>
              <w:jc w:val="center"/>
              <w:rPr>
                <w:rFonts w:ascii="Arial" w:hAnsi="Arial" w:cs="Arial"/>
                <w:b/>
                <w:bCs/>
                <w:sz w:val="20"/>
                <w:szCs w:val="20"/>
              </w:rPr>
            </w:pPr>
            <w:r>
              <w:rPr>
                <w:rFonts w:ascii="Arial" w:hAnsi="Arial" w:cs="Arial"/>
                <w:b/>
                <w:bCs/>
                <w:sz w:val="20"/>
                <w:szCs w:val="20"/>
              </w:rPr>
              <w:lastRenderedPageBreak/>
              <w:t>Type of Respon-dent</w:t>
            </w:r>
          </w:p>
        </w:tc>
        <w:tc>
          <w:tcPr>
            <w:tcW w:w="1339" w:type="dxa"/>
            <w:tcBorders>
              <w:top w:val="nil"/>
              <w:left w:val="nil"/>
              <w:bottom w:val="single" w:color="auto" w:sz="8" w:space="0"/>
              <w:right w:val="single" w:color="auto" w:sz="8" w:space="0"/>
            </w:tcBorders>
            <w:shd w:val="clear" w:color="auto" w:fill="0070C0"/>
            <w:vAlign w:val="bottom"/>
          </w:tcPr>
          <w:p w:rsidR="0016434C" w:rsidP="00820F0A" w:rsidRDefault="0016434C" w14:paraId="5B0FF3A4" w14:textId="77777777">
            <w:pPr>
              <w:jc w:val="center"/>
              <w:rPr>
                <w:rFonts w:ascii="Arial" w:hAnsi="Arial" w:cs="Arial"/>
                <w:b/>
                <w:bCs/>
                <w:sz w:val="20"/>
                <w:szCs w:val="20"/>
              </w:rPr>
            </w:pPr>
            <w:r>
              <w:rPr>
                <w:rFonts w:ascii="Arial" w:hAnsi="Arial" w:cs="Arial"/>
                <w:b/>
                <w:bCs/>
                <w:sz w:val="20"/>
                <w:szCs w:val="20"/>
              </w:rPr>
              <w:t>Form Name / Form Number</w:t>
            </w:r>
          </w:p>
        </w:tc>
        <w:tc>
          <w:tcPr>
            <w:tcW w:w="1016" w:type="dxa"/>
            <w:tcBorders>
              <w:top w:val="nil"/>
              <w:left w:val="nil"/>
              <w:bottom w:val="single" w:color="auto" w:sz="8" w:space="0"/>
              <w:right w:val="single" w:color="auto" w:sz="8" w:space="0"/>
            </w:tcBorders>
            <w:shd w:val="clear" w:color="auto" w:fill="0070C0"/>
            <w:vAlign w:val="bottom"/>
          </w:tcPr>
          <w:p w:rsidR="0016434C" w:rsidP="00820F0A" w:rsidRDefault="0016434C" w14:paraId="0E02CCB3" w14:textId="77777777">
            <w:pPr>
              <w:jc w:val="center"/>
              <w:rPr>
                <w:rFonts w:ascii="Arial" w:hAnsi="Arial" w:cs="Arial"/>
                <w:b/>
                <w:bCs/>
                <w:sz w:val="20"/>
                <w:szCs w:val="20"/>
              </w:rPr>
            </w:pPr>
            <w:r>
              <w:rPr>
                <w:rFonts w:ascii="Arial" w:hAnsi="Arial" w:cs="Arial"/>
                <w:b/>
                <w:bCs/>
                <w:sz w:val="20"/>
                <w:szCs w:val="20"/>
              </w:rPr>
              <w:t>No. of Respon-dents</w:t>
            </w:r>
          </w:p>
        </w:tc>
        <w:tc>
          <w:tcPr>
            <w:tcW w:w="1128" w:type="dxa"/>
            <w:tcBorders>
              <w:top w:val="nil"/>
              <w:left w:val="nil"/>
              <w:bottom w:val="single" w:color="auto" w:sz="8" w:space="0"/>
              <w:right w:val="single" w:color="auto" w:sz="8" w:space="0"/>
            </w:tcBorders>
            <w:shd w:val="clear" w:color="auto" w:fill="0070C0"/>
            <w:vAlign w:val="bottom"/>
          </w:tcPr>
          <w:p w:rsidR="0016434C" w:rsidP="00820F0A" w:rsidRDefault="0016434C" w14:paraId="1C7394A5" w14:textId="77777777">
            <w:pPr>
              <w:jc w:val="center"/>
              <w:rPr>
                <w:rFonts w:ascii="Arial" w:hAnsi="Arial" w:cs="Arial"/>
                <w:b/>
                <w:bCs/>
                <w:sz w:val="20"/>
                <w:szCs w:val="20"/>
              </w:rPr>
            </w:pPr>
            <w:r>
              <w:rPr>
                <w:rFonts w:ascii="Arial" w:hAnsi="Arial" w:cs="Arial"/>
                <w:b/>
                <w:bCs/>
                <w:sz w:val="20"/>
                <w:szCs w:val="20"/>
              </w:rPr>
              <w:t>No. of Respons-es per Respon-dent</w:t>
            </w:r>
          </w:p>
        </w:tc>
        <w:tc>
          <w:tcPr>
            <w:tcW w:w="1128" w:type="dxa"/>
            <w:tcBorders>
              <w:top w:val="nil"/>
              <w:left w:val="nil"/>
              <w:bottom w:val="single" w:color="auto" w:sz="8" w:space="0"/>
              <w:right w:val="single" w:color="auto" w:sz="8" w:space="0"/>
            </w:tcBorders>
            <w:shd w:val="clear" w:color="auto" w:fill="0070C0"/>
            <w:vAlign w:val="bottom"/>
          </w:tcPr>
          <w:p w:rsidR="0016434C" w:rsidP="00820F0A" w:rsidRDefault="0016434C" w14:paraId="191A3877" w14:textId="77777777">
            <w:pPr>
              <w:jc w:val="center"/>
              <w:rPr>
                <w:rFonts w:ascii="Arial" w:hAnsi="Arial" w:cs="Arial"/>
                <w:b/>
                <w:bCs/>
                <w:sz w:val="20"/>
                <w:szCs w:val="20"/>
              </w:rPr>
            </w:pPr>
            <w:r>
              <w:rPr>
                <w:rFonts w:ascii="Arial" w:hAnsi="Arial" w:cs="Arial"/>
                <w:b/>
                <w:bCs/>
                <w:sz w:val="20"/>
                <w:szCs w:val="20"/>
              </w:rPr>
              <w:t>Total Number of Respons-es</w:t>
            </w:r>
          </w:p>
        </w:tc>
        <w:tc>
          <w:tcPr>
            <w:tcW w:w="1172" w:type="dxa"/>
            <w:tcBorders>
              <w:top w:val="nil"/>
              <w:left w:val="nil"/>
              <w:bottom w:val="single" w:color="auto" w:sz="8" w:space="0"/>
              <w:right w:val="single" w:color="auto" w:sz="8" w:space="0"/>
            </w:tcBorders>
            <w:shd w:val="clear" w:color="auto" w:fill="0070C0"/>
            <w:vAlign w:val="bottom"/>
          </w:tcPr>
          <w:p w:rsidR="0016434C" w:rsidP="00820F0A" w:rsidRDefault="0016434C" w14:paraId="1DF4DB64" w14:textId="77777777">
            <w:pPr>
              <w:jc w:val="center"/>
              <w:rPr>
                <w:rFonts w:ascii="Arial" w:hAnsi="Arial" w:cs="Arial"/>
                <w:b/>
                <w:bCs/>
                <w:sz w:val="20"/>
                <w:szCs w:val="20"/>
              </w:rPr>
            </w:pPr>
            <w:r>
              <w:rPr>
                <w:rFonts w:ascii="Arial" w:hAnsi="Arial" w:cs="Arial"/>
                <w:b/>
                <w:bCs/>
                <w:sz w:val="20"/>
                <w:szCs w:val="20"/>
              </w:rPr>
              <w:t>Avg. Burden per Response (in hours)</w:t>
            </w:r>
          </w:p>
        </w:tc>
        <w:tc>
          <w:tcPr>
            <w:tcW w:w="916" w:type="dxa"/>
            <w:tcBorders>
              <w:top w:val="nil"/>
              <w:left w:val="nil"/>
              <w:bottom w:val="single" w:color="auto" w:sz="8" w:space="0"/>
              <w:right w:val="single" w:color="auto" w:sz="8" w:space="0"/>
            </w:tcBorders>
            <w:shd w:val="clear" w:color="auto" w:fill="0070C0"/>
            <w:vAlign w:val="bottom"/>
          </w:tcPr>
          <w:p w:rsidR="0016434C" w:rsidP="00820F0A" w:rsidRDefault="0016434C" w14:paraId="55913A9B" w14:textId="77777777">
            <w:pPr>
              <w:jc w:val="center"/>
              <w:rPr>
                <w:rFonts w:ascii="Arial" w:hAnsi="Arial" w:cs="Arial"/>
                <w:b/>
                <w:bCs/>
                <w:sz w:val="20"/>
                <w:szCs w:val="20"/>
              </w:rPr>
            </w:pPr>
            <w:r>
              <w:rPr>
                <w:rFonts w:ascii="Arial" w:hAnsi="Arial" w:cs="Arial"/>
                <w:b/>
                <w:bCs/>
                <w:sz w:val="20"/>
                <w:szCs w:val="20"/>
              </w:rPr>
              <w:t>Total Annual Burden (in hours)</w:t>
            </w:r>
          </w:p>
        </w:tc>
        <w:tc>
          <w:tcPr>
            <w:tcW w:w="850" w:type="dxa"/>
            <w:tcBorders>
              <w:top w:val="nil"/>
              <w:left w:val="nil"/>
              <w:bottom w:val="single" w:color="auto" w:sz="8" w:space="0"/>
              <w:right w:val="single" w:color="auto" w:sz="8" w:space="0"/>
            </w:tcBorders>
            <w:shd w:val="clear" w:color="auto" w:fill="0070C0"/>
            <w:vAlign w:val="bottom"/>
          </w:tcPr>
          <w:p w:rsidR="0016434C" w:rsidP="00820F0A" w:rsidRDefault="0016434C" w14:paraId="3F823DC0" w14:textId="77777777">
            <w:pPr>
              <w:jc w:val="center"/>
              <w:rPr>
                <w:rFonts w:ascii="Arial" w:hAnsi="Arial" w:cs="Arial"/>
                <w:b/>
                <w:bCs/>
                <w:sz w:val="20"/>
                <w:szCs w:val="20"/>
              </w:rPr>
            </w:pPr>
            <w:r>
              <w:rPr>
                <w:rFonts w:ascii="Arial" w:hAnsi="Arial" w:cs="Arial"/>
                <w:b/>
                <w:bCs/>
                <w:sz w:val="20"/>
                <w:szCs w:val="20"/>
              </w:rPr>
              <w:t>Avg. Hourly Wage Rate ($)</w:t>
            </w:r>
          </w:p>
        </w:tc>
        <w:tc>
          <w:tcPr>
            <w:tcW w:w="1372" w:type="dxa"/>
            <w:tcBorders>
              <w:top w:val="nil"/>
              <w:left w:val="nil"/>
              <w:bottom w:val="single" w:color="auto" w:sz="8" w:space="0"/>
              <w:right w:val="single" w:color="auto" w:sz="8" w:space="0"/>
            </w:tcBorders>
            <w:shd w:val="clear" w:color="auto" w:fill="0070C0"/>
            <w:vAlign w:val="bottom"/>
          </w:tcPr>
          <w:p w:rsidR="0016434C" w:rsidP="00820F0A" w:rsidRDefault="0016434C" w14:paraId="0287C8BE" w14:textId="77777777">
            <w:pPr>
              <w:jc w:val="center"/>
              <w:rPr>
                <w:rFonts w:ascii="Arial" w:hAnsi="Arial" w:cs="Arial"/>
                <w:b/>
                <w:bCs/>
                <w:sz w:val="20"/>
                <w:szCs w:val="20"/>
              </w:rPr>
            </w:pPr>
            <w:r>
              <w:rPr>
                <w:rFonts w:ascii="Arial" w:hAnsi="Arial" w:cs="Arial"/>
                <w:b/>
                <w:bCs/>
                <w:sz w:val="20"/>
                <w:szCs w:val="20"/>
              </w:rPr>
              <w:t>Total Annual Respondent Cost ($)</w:t>
            </w:r>
          </w:p>
        </w:tc>
      </w:tr>
      <w:tr w:rsidR="0016434C" w:rsidTr="00820F0A" w14:paraId="6697D5F5" w14:textId="77777777">
        <w:trPr>
          <w:trHeight w:val="688"/>
        </w:trPr>
        <w:tc>
          <w:tcPr>
            <w:tcW w:w="10238" w:type="dxa"/>
            <w:gridSpan w:val="9"/>
            <w:tcBorders>
              <w:top w:val="nil"/>
              <w:left w:val="single" w:color="auto" w:sz="8" w:space="0"/>
              <w:bottom w:val="single" w:color="auto" w:sz="8" w:space="0"/>
              <w:right w:val="single" w:color="auto" w:sz="8" w:space="0"/>
            </w:tcBorders>
            <w:shd w:val="clear" w:color="auto" w:fill="auto"/>
            <w:vAlign w:val="bottom"/>
          </w:tcPr>
          <w:p w:rsidR="0016434C" w:rsidP="00820F0A" w:rsidRDefault="0016434C" w14:paraId="09BE5A38" w14:textId="77777777">
            <w:pPr>
              <w:jc w:val="center"/>
              <w:rPr>
                <w:rFonts w:ascii="Arial" w:hAnsi="Arial" w:cs="Arial"/>
                <w:sz w:val="20"/>
                <w:szCs w:val="20"/>
              </w:rPr>
            </w:pPr>
            <w:r w:rsidRPr="00704462">
              <w:rPr>
                <w:b/>
              </w:rPr>
              <w:t>Standard Forms</w:t>
            </w:r>
          </w:p>
        </w:tc>
      </w:tr>
      <w:tr w:rsidR="0016434C" w:rsidTr="00820F0A" w14:paraId="46A5BAF7" w14:textId="77777777">
        <w:trPr>
          <w:trHeight w:val="1035"/>
        </w:trPr>
        <w:tc>
          <w:tcPr>
            <w:tcW w:w="1317" w:type="dxa"/>
            <w:tcBorders>
              <w:top w:val="nil"/>
              <w:left w:val="single" w:color="auto" w:sz="8" w:space="0"/>
              <w:bottom w:val="single" w:color="auto" w:sz="8" w:space="0"/>
              <w:right w:val="single" w:color="auto" w:sz="8" w:space="0"/>
            </w:tcBorders>
            <w:shd w:val="clear" w:color="auto" w:fill="auto"/>
            <w:vAlign w:val="bottom"/>
          </w:tcPr>
          <w:p w:rsidRPr="00AE21A6" w:rsidR="0016434C" w:rsidP="00820F0A" w:rsidRDefault="0016434C" w14:paraId="69F7FA02" w14:textId="77777777">
            <w:pPr>
              <w:jc w:val="cente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16434C" w:rsidP="00820F0A" w:rsidRDefault="0016434C" w14:paraId="693F0F0B" w14:textId="77777777">
            <w:pPr>
              <w:jc w:val="center"/>
              <w:rPr>
                <w:rFonts w:ascii="Arial" w:hAnsi="Arial" w:cs="Arial"/>
                <w:sz w:val="20"/>
                <w:szCs w:val="20"/>
              </w:rPr>
            </w:pPr>
            <w:r>
              <w:rPr>
                <w:rFonts w:ascii="Arial" w:hAnsi="Arial" w:cs="Arial"/>
                <w:sz w:val="20"/>
                <w:szCs w:val="20"/>
              </w:rPr>
              <w:t>Application for Federal Assistance / SF 424</w:t>
            </w:r>
          </w:p>
        </w:tc>
        <w:tc>
          <w:tcPr>
            <w:tcW w:w="1016" w:type="dxa"/>
            <w:tcBorders>
              <w:top w:val="nil"/>
              <w:left w:val="nil"/>
              <w:bottom w:val="single" w:color="auto" w:sz="8" w:space="0"/>
              <w:right w:val="single" w:color="auto" w:sz="8" w:space="0"/>
            </w:tcBorders>
            <w:shd w:val="clear" w:color="auto" w:fill="auto"/>
            <w:vAlign w:val="bottom"/>
          </w:tcPr>
          <w:p w:rsidR="0016434C" w:rsidP="00820F0A" w:rsidRDefault="00634404" w14:paraId="3330FD8D" w14:textId="77777777">
            <w:pPr>
              <w:jc w:val="center"/>
              <w:rPr>
                <w:rFonts w:ascii="Arial" w:hAnsi="Arial" w:cs="Arial"/>
                <w:sz w:val="20"/>
                <w:szCs w:val="20"/>
              </w:rPr>
            </w:pPr>
            <w:r>
              <w:rPr>
                <w:rFonts w:ascii="Arial" w:hAnsi="Arial" w:cs="Arial"/>
                <w:sz w:val="20"/>
                <w:szCs w:val="20"/>
              </w:rPr>
              <w:t>6</w:t>
            </w:r>
            <w:r w:rsidR="0016434C">
              <w:rPr>
                <w:rFonts w:ascii="Arial" w:hAnsi="Arial" w:cs="Arial"/>
                <w:sz w:val="20"/>
                <w:szCs w:val="20"/>
              </w:rPr>
              <w:t>0</w:t>
            </w:r>
          </w:p>
        </w:tc>
        <w:tc>
          <w:tcPr>
            <w:tcW w:w="1128" w:type="dxa"/>
            <w:tcBorders>
              <w:top w:val="nil"/>
              <w:left w:val="nil"/>
              <w:bottom w:val="single" w:color="auto" w:sz="8" w:space="0"/>
              <w:right w:val="single" w:color="auto" w:sz="8" w:space="0"/>
            </w:tcBorders>
            <w:shd w:val="clear" w:color="auto" w:fill="auto"/>
            <w:vAlign w:val="bottom"/>
          </w:tcPr>
          <w:p w:rsidR="0016434C" w:rsidP="00820F0A" w:rsidRDefault="0016434C" w14:paraId="797BDAEB"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16434C" w:rsidP="00820F0A" w:rsidRDefault="00634404" w14:paraId="1F8A5B44" w14:textId="77777777">
            <w:pPr>
              <w:jc w:val="center"/>
              <w:rPr>
                <w:rFonts w:ascii="Arial" w:hAnsi="Arial" w:cs="Arial"/>
                <w:sz w:val="20"/>
                <w:szCs w:val="20"/>
              </w:rPr>
            </w:pPr>
            <w:r>
              <w:rPr>
                <w:rFonts w:ascii="Arial" w:hAnsi="Arial" w:cs="Arial"/>
                <w:sz w:val="20"/>
                <w:szCs w:val="20"/>
              </w:rPr>
              <w:t>6</w:t>
            </w:r>
            <w:r w:rsidR="0016434C">
              <w:rPr>
                <w:rFonts w:ascii="Arial" w:hAnsi="Arial" w:cs="Arial"/>
                <w:sz w:val="20"/>
                <w:szCs w:val="20"/>
              </w:rPr>
              <w:t>0</w:t>
            </w:r>
          </w:p>
        </w:tc>
        <w:tc>
          <w:tcPr>
            <w:tcW w:w="1172" w:type="dxa"/>
            <w:tcBorders>
              <w:top w:val="nil"/>
              <w:left w:val="nil"/>
              <w:bottom w:val="single" w:color="auto" w:sz="8" w:space="0"/>
              <w:right w:val="single" w:color="auto" w:sz="8" w:space="0"/>
            </w:tcBorders>
            <w:shd w:val="clear" w:color="auto" w:fill="auto"/>
            <w:vAlign w:val="bottom"/>
          </w:tcPr>
          <w:p w:rsidR="0016434C" w:rsidP="00820F0A" w:rsidRDefault="0016434C" w14:paraId="19DBF6C7" w14:textId="77777777">
            <w:pPr>
              <w:jc w:val="center"/>
              <w:rPr>
                <w:rFonts w:ascii="Arial" w:hAnsi="Arial" w:cs="Arial"/>
                <w:sz w:val="20"/>
                <w:szCs w:val="20"/>
              </w:rPr>
            </w:pPr>
            <w:r>
              <w:rPr>
                <w:rFonts w:ascii="Arial" w:hAnsi="Arial" w:cs="Arial"/>
                <w:sz w:val="20"/>
                <w:szCs w:val="20"/>
              </w:rPr>
              <w:t>0.75</w:t>
            </w:r>
          </w:p>
        </w:tc>
        <w:tc>
          <w:tcPr>
            <w:tcW w:w="916" w:type="dxa"/>
            <w:tcBorders>
              <w:top w:val="nil"/>
              <w:left w:val="nil"/>
              <w:bottom w:val="single" w:color="auto" w:sz="8" w:space="0"/>
              <w:right w:val="single" w:color="auto" w:sz="8" w:space="0"/>
            </w:tcBorders>
            <w:shd w:val="clear" w:color="auto" w:fill="auto"/>
            <w:vAlign w:val="bottom"/>
          </w:tcPr>
          <w:p w:rsidR="0016434C" w:rsidP="00820F0A" w:rsidRDefault="00634404" w14:paraId="2696F72D" w14:textId="77777777">
            <w:pPr>
              <w:jc w:val="center"/>
              <w:rPr>
                <w:rFonts w:ascii="Arial" w:hAnsi="Arial" w:cs="Arial"/>
                <w:sz w:val="20"/>
                <w:szCs w:val="20"/>
              </w:rPr>
            </w:pPr>
            <w:r>
              <w:rPr>
                <w:rFonts w:ascii="Arial" w:hAnsi="Arial" w:cs="Arial"/>
                <w:sz w:val="20"/>
                <w:szCs w:val="20"/>
              </w:rPr>
              <w:t>45</w:t>
            </w:r>
          </w:p>
        </w:tc>
        <w:tc>
          <w:tcPr>
            <w:tcW w:w="850" w:type="dxa"/>
            <w:tcBorders>
              <w:top w:val="nil"/>
              <w:left w:val="nil"/>
              <w:bottom w:val="single" w:color="auto" w:sz="8" w:space="0"/>
              <w:right w:val="single" w:color="auto" w:sz="8" w:space="0"/>
            </w:tcBorders>
            <w:shd w:val="clear" w:color="auto" w:fill="auto"/>
            <w:vAlign w:val="bottom"/>
          </w:tcPr>
          <w:p w:rsidR="0016434C" w:rsidP="00634404" w:rsidRDefault="0016434C" w14:paraId="08954CBF" w14:textId="40F4704F">
            <w:pPr>
              <w:jc w:val="center"/>
              <w:rPr>
                <w:rFonts w:ascii="Arial" w:hAnsi="Arial" w:cs="Arial"/>
                <w:sz w:val="20"/>
                <w:szCs w:val="20"/>
              </w:rPr>
            </w:pPr>
            <w:r>
              <w:rPr>
                <w:rFonts w:ascii="Arial" w:hAnsi="Arial" w:cs="Arial"/>
                <w:sz w:val="20"/>
                <w:szCs w:val="20"/>
              </w:rPr>
              <w:t>$</w:t>
            </w:r>
            <w:r w:rsidR="0042304F">
              <w:rPr>
                <w:rFonts w:ascii="Arial" w:hAnsi="Arial" w:cs="Arial"/>
                <w:sz w:val="20"/>
                <w:szCs w:val="20"/>
              </w:rPr>
              <w:t>40.60</w:t>
            </w:r>
            <w:r>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16434C" w:rsidP="00634404" w:rsidRDefault="0016434C" w14:paraId="62ADF53B" w14:textId="00684612">
            <w:pPr>
              <w:jc w:val="center"/>
              <w:rPr>
                <w:rFonts w:ascii="Arial" w:hAnsi="Arial" w:cs="Arial"/>
                <w:sz w:val="20"/>
                <w:szCs w:val="20"/>
              </w:rPr>
            </w:pPr>
            <w:r>
              <w:rPr>
                <w:rFonts w:ascii="Arial" w:hAnsi="Arial" w:cs="Arial"/>
                <w:sz w:val="20"/>
                <w:szCs w:val="20"/>
              </w:rPr>
              <w:t>$1,</w:t>
            </w:r>
            <w:r w:rsidR="00037287">
              <w:rPr>
                <w:rFonts w:ascii="Arial" w:hAnsi="Arial" w:cs="Arial"/>
                <w:sz w:val="20"/>
                <w:szCs w:val="20"/>
              </w:rPr>
              <w:t>827</w:t>
            </w:r>
          </w:p>
        </w:tc>
      </w:tr>
      <w:tr w:rsidR="00634404" w:rsidTr="00634404" w14:paraId="52E7DEFF" w14:textId="77777777">
        <w:trPr>
          <w:trHeight w:val="1545"/>
        </w:trPr>
        <w:tc>
          <w:tcPr>
            <w:tcW w:w="1317" w:type="dxa"/>
            <w:tcBorders>
              <w:top w:val="nil"/>
              <w:left w:val="single" w:color="auto" w:sz="8" w:space="0"/>
              <w:bottom w:val="single" w:color="auto" w:sz="8" w:space="0"/>
              <w:right w:val="single" w:color="auto" w:sz="8" w:space="0"/>
            </w:tcBorders>
            <w:shd w:val="clear" w:color="auto" w:fill="auto"/>
            <w:vAlign w:val="bottom"/>
          </w:tcPr>
          <w:p w:rsidR="00634404" w:rsidP="00820F0A" w:rsidRDefault="00634404" w14:paraId="5F026A19" w14:textId="77777777">
            <w:pPr>
              <w:jc w:val="cente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634404" w:rsidP="00820F0A" w:rsidRDefault="00634404" w14:paraId="7AAD2F26" w14:textId="77777777">
            <w:pPr>
              <w:jc w:val="center"/>
              <w:rPr>
                <w:rFonts w:ascii="Arial" w:hAnsi="Arial" w:cs="Arial"/>
                <w:sz w:val="20"/>
                <w:szCs w:val="20"/>
              </w:rPr>
            </w:pPr>
            <w:r>
              <w:rPr>
                <w:rFonts w:ascii="Arial" w:hAnsi="Arial" w:cs="Arial"/>
                <w:sz w:val="20"/>
                <w:szCs w:val="20"/>
              </w:rPr>
              <w:t>Budget Information - Non-Construction Programs / SF 424A</w:t>
            </w:r>
          </w:p>
        </w:tc>
        <w:tc>
          <w:tcPr>
            <w:tcW w:w="1016" w:type="dxa"/>
            <w:tcBorders>
              <w:top w:val="nil"/>
              <w:left w:val="nil"/>
              <w:bottom w:val="single" w:color="auto" w:sz="8" w:space="0"/>
              <w:right w:val="single" w:color="auto" w:sz="8" w:space="0"/>
            </w:tcBorders>
            <w:shd w:val="clear" w:color="auto" w:fill="auto"/>
            <w:vAlign w:val="bottom"/>
          </w:tcPr>
          <w:p w:rsidR="00634404" w:rsidP="00820F0A" w:rsidRDefault="00634404" w14:paraId="60F6BE7D" w14:textId="77777777">
            <w:pPr>
              <w:jc w:val="center"/>
              <w:rPr>
                <w:rFonts w:ascii="Arial" w:hAnsi="Arial" w:cs="Arial"/>
                <w:sz w:val="20"/>
                <w:szCs w:val="20"/>
              </w:rPr>
            </w:pPr>
            <w:r>
              <w:rPr>
                <w:rFonts w:ascii="Arial" w:hAnsi="Arial" w:cs="Arial"/>
                <w:sz w:val="20"/>
                <w:szCs w:val="20"/>
              </w:rPr>
              <w:t>60</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74F69AA6"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3397B8F5" w14:textId="77777777">
            <w:pPr>
              <w:jc w:val="center"/>
              <w:rPr>
                <w:rFonts w:ascii="Arial" w:hAnsi="Arial" w:cs="Arial"/>
                <w:sz w:val="20"/>
                <w:szCs w:val="20"/>
              </w:rPr>
            </w:pPr>
            <w:r>
              <w:rPr>
                <w:rFonts w:ascii="Arial" w:hAnsi="Arial" w:cs="Arial"/>
                <w:sz w:val="20"/>
                <w:szCs w:val="20"/>
              </w:rPr>
              <w:t>60</w:t>
            </w:r>
          </w:p>
        </w:tc>
        <w:tc>
          <w:tcPr>
            <w:tcW w:w="1172" w:type="dxa"/>
            <w:tcBorders>
              <w:top w:val="nil"/>
              <w:left w:val="nil"/>
              <w:bottom w:val="single" w:color="auto" w:sz="8" w:space="0"/>
              <w:right w:val="single" w:color="auto" w:sz="8" w:space="0"/>
            </w:tcBorders>
            <w:shd w:val="clear" w:color="auto" w:fill="auto"/>
            <w:vAlign w:val="bottom"/>
          </w:tcPr>
          <w:p w:rsidR="00634404" w:rsidP="00820F0A" w:rsidRDefault="00634404" w14:paraId="5E9F6326" w14:textId="77777777">
            <w:pPr>
              <w:jc w:val="center"/>
              <w:rPr>
                <w:rFonts w:ascii="Arial" w:hAnsi="Arial" w:cs="Arial"/>
                <w:sz w:val="20"/>
                <w:szCs w:val="20"/>
              </w:rPr>
            </w:pPr>
            <w:r>
              <w:rPr>
                <w:rFonts w:ascii="Arial" w:hAnsi="Arial" w:cs="Arial"/>
                <w:sz w:val="20"/>
                <w:szCs w:val="20"/>
              </w:rPr>
              <w:t>3</w:t>
            </w:r>
          </w:p>
        </w:tc>
        <w:tc>
          <w:tcPr>
            <w:tcW w:w="916" w:type="dxa"/>
            <w:tcBorders>
              <w:top w:val="nil"/>
              <w:left w:val="nil"/>
              <w:bottom w:val="single" w:color="auto" w:sz="8" w:space="0"/>
              <w:right w:val="single" w:color="auto" w:sz="8" w:space="0"/>
            </w:tcBorders>
            <w:shd w:val="clear" w:color="auto" w:fill="auto"/>
            <w:vAlign w:val="bottom"/>
          </w:tcPr>
          <w:p w:rsidR="00634404" w:rsidP="00634404" w:rsidRDefault="00634404" w14:paraId="23AB81F9" w14:textId="77777777">
            <w:pPr>
              <w:jc w:val="center"/>
              <w:rPr>
                <w:rFonts w:ascii="Arial" w:hAnsi="Arial" w:cs="Arial"/>
                <w:sz w:val="20"/>
                <w:szCs w:val="20"/>
              </w:rPr>
            </w:pPr>
            <w:r>
              <w:rPr>
                <w:rFonts w:ascii="Arial" w:hAnsi="Arial" w:cs="Arial"/>
                <w:sz w:val="20"/>
                <w:szCs w:val="20"/>
              </w:rPr>
              <w:t>180</w:t>
            </w:r>
          </w:p>
        </w:tc>
        <w:tc>
          <w:tcPr>
            <w:tcW w:w="850" w:type="dxa"/>
            <w:tcBorders>
              <w:top w:val="nil"/>
              <w:left w:val="nil"/>
              <w:bottom w:val="single" w:color="auto" w:sz="8" w:space="0"/>
              <w:right w:val="single" w:color="auto" w:sz="8" w:space="0"/>
            </w:tcBorders>
            <w:shd w:val="clear" w:color="auto" w:fill="auto"/>
            <w:vAlign w:val="bottom"/>
          </w:tcPr>
          <w:p w:rsidR="00634404" w:rsidP="00634404" w:rsidRDefault="00634404" w14:paraId="05A5E6C8" w14:textId="6964B63F">
            <w:r w:rsidRPr="0075705B">
              <w:rPr>
                <w:rFonts w:ascii="Arial" w:hAnsi="Arial" w:cs="Arial"/>
                <w:sz w:val="20"/>
                <w:szCs w:val="20"/>
              </w:rPr>
              <w:t>$</w:t>
            </w:r>
            <w:r w:rsidR="00037287">
              <w:rPr>
                <w:rFonts w:ascii="Arial" w:hAnsi="Arial" w:cs="Arial"/>
                <w:sz w:val="20"/>
                <w:szCs w:val="20"/>
              </w:rPr>
              <w:t>40.60</w:t>
            </w:r>
            <w:r w:rsidRPr="0075705B">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634404" w:rsidP="00634404" w:rsidRDefault="00634404" w14:paraId="48933869" w14:textId="11EFBE0A">
            <w:pPr>
              <w:jc w:val="center"/>
              <w:rPr>
                <w:rFonts w:ascii="Arial" w:hAnsi="Arial" w:cs="Arial"/>
                <w:sz w:val="20"/>
                <w:szCs w:val="20"/>
              </w:rPr>
            </w:pPr>
            <w:r>
              <w:rPr>
                <w:rFonts w:ascii="Arial" w:hAnsi="Arial" w:cs="Arial"/>
                <w:sz w:val="20"/>
                <w:szCs w:val="20"/>
              </w:rPr>
              <w:t>$</w:t>
            </w:r>
            <w:r w:rsidR="00037287">
              <w:rPr>
                <w:rFonts w:ascii="Arial" w:hAnsi="Arial" w:cs="Arial"/>
                <w:sz w:val="20"/>
                <w:szCs w:val="20"/>
              </w:rPr>
              <w:t>7</w:t>
            </w:r>
            <w:r>
              <w:rPr>
                <w:rFonts w:ascii="Arial" w:hAnsi="Arial" w:cs="Arial"/>
                <w:sz w:val="20"/>
                <w:szCs w:val="20"/>
              </w:rPr>
              <w:t>,</w:t>
            </w:r>
            <w:r w:rsidR="00037287">
              <w:rPr>
                <w:rFonts w:ascii="Arial" w:hAnsi="Arial" w:cs="Arial"/>
                <w:sz w:val="20"/>
                <w:szCs w:val="20"/>
              </w:rPr>
              <w:t>308</w:t>
            </w:r>
          </w:p>
        </w:tc>
      </w:tr>
      <w:tr w:rsidR="00634404" w:rsidTr="00634404" w14:paraId="57EA1DFF" w14:textId="77777777">
        <w:trPr>
          <w:trHeight w:val="1290"/>
        </w:trPr>
        <w:tc>
          <w:tcPr>
            <w:tcW w:w="1317" w:type="dxa"/>
            <w:tcBorders>
              <w:top w:val="nil"/>
              <w:left w:val="single" w:color="auto" w:sz="8" w:space="0"/>
              <w:bottom w:val="single" w:color="auto" w:sz="8" w:space="0"/>
              <w:right w:val="single" w:color="auto" w:sz="8" w:space="0"/>
            </w:tcBorders>
            <w:shd w:val="clear" w:color="auto" w:fill="auto"/>
            <w:vAlign w:val="bottom"/>
          </w:tcPr>
          <w:p w:rsidR="00634404" w:rsidP="00820F0A" w:rsidRDefault="00634404" w14:paraId="2462C816" w14:textId="77777777">
            <w:pPr>
              <w:jc w:val="cente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634404" w:rsidP="00820F0A" w:rsidRDefault="00634404" w14:paraId="7CA2B999" w14:textId="77777777">
            <w:pPr>
              <w:jc w:val="center"/>
              <w:rPr>
                <w:rFonts w:ascii="Arial" w:hAnsi="Arial" w:cs="Arial"/>
                <w:sz w:val="20"/>
                <w:szCs w:val="20"/>
              </w:rPr>
            </w:pPr>
            <w:r>
              <w:rPr>
                <w:rFonts w:ascii="Arial" w:hAnsi="Arial" w:cs="Arial"/>
                <w:sz w:val="20"/>
                <w:szCs w:val="20"/>
              </w:rPr>
              <w:t>Assurances - Non-Construction Programs / SF 424B</w:t>
            </w:r>
          </w:p>
        </w:tc>
        <w:tc>
          <w:tcPr>
            <w:tcW w:w="1016" w:type="dxa"/>
            <w:tcBorders>
              <w:top w:val="nil"/>
              <w:left w:val="nil"/>
              <w:bottom w:val="single" w:color="auto" w:sz="8" w:space="0"/>
              <w:right w:val="single" w:color="auto" w:sz="8" w:space="0"/>
            </w:tcBorders>
            <w:shd w:val="clear" w:color="auto" w:fill="auto"/>
            <w:vAlign w:val="bottom"/>
          </w:tcPr>
          <w:p w:rsidR="00634404" w:rsidP="00820F0A" w:rsidRDefault="00634404" w14:paraId="09B718F9" w14:textId="77777777">
            <w:pPr>
              <w:jc w:val="center"/>
              <w:rPr>
                <w:rFonts w:ascii="Arial" w:hAnsi="Arial" w:cs="Arial"/>
                <w:sz w:val="20"/>
                <w:szCs w:val="20"/>
              </w:rPr>
            </w:pPr>
            <w:r>
              <w:rPr>
                <w:rFonts w:ascii="Arial" w:hAnsi="Arial" w:cs="Arial"/>
                <w:sz w:val="20"/>
                <w:szCs w:val="20"/>
              </w:rPr>
              <w:t>60</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5045BBA2"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1E3C1204" w14:textId="77777777">
            <w:pPr>
              <w:jc w:val="center"/>
              <w:rPr>
                <w:rFonts w:ascii="Arial" w:hAnsi="Arial" w:cs="Arial"/>
                <w:sz w:val="20"/>
                <w:szCs w:val="20"/>
              </w:rPr>
            </w:pPr>
            <w:r>
              <w:rPr>
                <w:rFonts w:ascii="Arial" w:hAnsi="Arial" w:cs="Arial"/>
                <w:sz w:val="20"/>
                <w:szCs w:val="20"/>
              </w:rPr>
              <w:t>60</w:t>
            </w:r>
          </w:p>
        </w:tc>
        <w:tc>
          <w:tcPr>
            <w:tcW w:w="1172" w:type="dxa"/>
            <w:tcBorders>
              <w:top w:val="nil"/>
              <w:left w:val="nil"/>
              <w:bottom w:val="single" w:color="auto" w:sz="8" w:space="0"/>
              <w:right w:val="single" w:color="auto" w:sz="8" w:space="0"/>
            </w:tcBorders>
            <w:shd w:val="clear" w:color="auto" w:fill="auto"/>
            <w:vAlign w:val="bottom"/>
          </w:tcPr>
          <w:p w:rsidR="00634404" w:rsidP="00820F0A" w:rsidRDefault="00634404" w14:paraId="018BE6F8" w14:textId="77777777">
            <w:pPr>
              <w:jc w:val="center"/>
              <w:rPr>
                <w:rFonts w:ascii="Arial" w:hAnsi="Arial" w:cs="Arial"/>
                <w:sz w:val="20"/>
                <w:szCs w:val="20"/>
              </w:rPr>
            </w:pPr>
            <w:r>
              <w:rPr>
                <w:rFonts w:ascii="Arial" w:hAnsi="Arial" w:cs="Arial"/>
                <w:sz w:val="20"/>
                <w:szCs w:val="20"/>
              </w:rPr>
              <w:t>0.25</w:t>
            </w:r>
          </w:p>
        </w:tc>
        <w:tc>
          <w:tcPr>
            <w:tcW w:w="916" w:type="dxa"/>
            <w:tcBorders>
              <w:top w:val="nil"/>
              <w:left w:val="nil"/>
              <w:bottom w:val="single" w:color="auto" w:sz="8" w:space="0"/>
              <w:right w:val="single" w:color="auto" w:sz="8" w:space="0"/>
            </w:tcBorders>
            <w:shd w:val="clear" w:color="auto" w:fill="auto"/>
            <w:vAlign w:val="bottom"/>
          </w:tcPr>
          <w:p w:rsidR="00634404" w:rsidP="00634404" w:rsidRDefault="00634404" w14:paraId="6F285E74" w14:textId="77777777">
            <w:pPr>
              <w:jc w:val="center"/>
              <w:rPr>
                <w:rFonts w:ascii="Arial" w:hAnsi="Arial" w:cs="Arial"/>
                <w:sz w:val="20"/>
                <w:szCs w:val="20"/>
              </w:rPr>
            </w:pPr>
            <w:r>
              <w:rPr>
                <w:rFonts w:ascii="Arial" w:hAnsi="Arial" w:cs="Arial"/>
                <w:sz w:val="20"/>
                <w:szCs w:val="20"/>
              </w:rPr>
              <w:t>15</w:t>
            </w:r>
          </w:p>
        </w:tc>
        <w:tc>
          <w:tcPr>
            <w:tcW w:w="850" w:type="dxa"/>
            <w:tcBorders>
              <w:top w:val="nil"/>
              <w:left w:val="nil"/>
              <w:bottom w:val="single" w:color="auto" w:sz="8" w:space="0"/>
              <w:right w:val="single" w:color="auto" w:sz="8" w:space="0"/>
            </w:tcBorders>
            <w:shd w:val="clear" w:color="auto" w:fill="auto"/>
            <w:vAlign w:val="bottom"/>
          </w:tcPr>
          <w:p w:rsidR="00634404" w:rsidP="00634404" w:rsidRDefault="00634404" w14:paraId="7ABC8857" w14:textId="5D482064">
            <w:r w:rsidRPr="0075705B">
              <w:rPr>
                <w:rFonts w:ascii="Arial" w:hAnsi="Arial" w:cs="Arial"/>
                <w:sz w:val="20"/>
                <w:szCs w:val="20"/>
              </w:rPr>
              <w:t>$</w:t>
            </w:r>
            <w:r w:rsidR="00037287">
              <w:rPr>
                <w:rFonts w:ascii="Arial" w:hAnsi="Arial" w:cs="Arial"/>
                <w:sz w:val="20"/>
                <w:szCs w:val="20"/>
              </w:rPr>
              <w:t>40.60</w:t>
            </w:r>
            <w:r w:rsidRPr="0075705B">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634404" w:rsidP="00634404" w:rsidRDefault="00634404" w14:paraId="2DC77542" w14:textId="2380A486">
            <w:pPr>
              <w:jc w:val="center"/>
              <w:rPr>
                <w:rFonts w:ascii="Arial" w:hAnsi="Arial" w:cs="Arial"/>
                <w:sz w:val="20"/>
                <w:szCs w:val="20"/>
              </w:rPr>
            </w:pPr>
            <w:r>
              <w:rPr>
                <w:rFonts w:ascii="Arial" w:hAnsi="Arial" w:cs="Arial"/>
                <w:sz w:val="20"/>
                <w:szCs w:val="20"/>
              </w:rPr>
              <w:t>$</w:t>
            </w:r>
            <w:r w:rsidR="00037287">
              <w:rPr>
                <w:rFonts w:ascii="Arial" w:hAnsi="Arial" w:cs="Arial"/>
                <w:sz w:val="20"/>
                <w:szCs w:val="20"/>
              </w:rPr>
              <w:t>609</w:t>
            </w:r>
          </w:p>
        </w:tc>
      </w:tr>
      <w:tr w:rsidR="00634404" w:rsidTr="00634404" w14:paraId="2EFB6BC7" w14:textId="77777777">
        <w:trPr>
          <w:trHeight w:val="1290"/>
        </w:trPr>
        <w:tc>
          <w:tcPr>
            <w:tcW w:w="1317" w:type="dxa"/>
            <w:tcBorders>
              <w:top w:val="nil"/>
              <w:left w:val="single" w:color="auto" w:sz="8" w:space="0"/>
              <w:bottom w:val="single" w:color="auto" w:sz="8" w:space="0"/>
              <w:right w:val="single" w:color="auto" w:sz="8" w:space="0"/>
            </w:tcBorders>
            <w:shd w:val="clear" w:color="auto" w:fill="auto"/>
            <w:vAlign w:val="bottom"/>
          </w:tcPr>
          <w:p w:rsidR="00634404" w:rsidP="00820F0A" w:rsidRDefault="00634404" w14:paraId="4B8DA23E" w14:textId="77777777">
            <w:pP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634404" w:rsidP="00820F0A" w:rsidRDefault="00634404" w14:paraId="1395FFDD" w14:textId="77777777">
            <w:pPr>
              <w:jc w:val="center"/>
              <w:rPr>
                <w:rFonts w:ascii="Arial" w:hAnsi="Arial" w:cs="Arial"/>
                <w:sz w:val="20"/>
                <w:szCs w:val="20"/>
              </w:rPr>
            </w:pPr>
            <w:r>
              <w:rPr>
                <w:rFonts w:ascii="Arial" w:hAnsi="Arial" w:cs="Arial"/>
                <w:sz w:val="20"/>
                <w:szCs w:val="20"/>
              </w:rPr>
              <w:t>Budget Information - Construction Programs / SF 424C</w:t>
            </w:r>
          </w:p>
        </w:tc>
        <w:tc>
          <w:tcPr>
            <w:tcW w:w="1016" w:type="dxa"/>
            <w:tcBorders>
              <w:top w:val="nil"/>
              <w:left w:val="nil"/>
              <w:bottom w:val="single" w:color="auto" w:sz="8" w:space="0"/>
              <w:right w:val="single" w:color="auto" w:sz="8" w:space="0"/>
            </w:tcBorders>
            <w:shd w:val="clear" w:color="auto" w:fill="auto"/>
            <w:vAlign w:val="bottom"/>
          </w:tcPr>
          <w:p w:rsidR="00634404" w:rsidP="00820F0A" w:rsidRDefault="00634404" w14:paraId="7C8584DE" w14:textId="77777777">
            <w:pPr>
              <w:jc w:val="center"/>
              <w:rPr>
                <w:rFonts w:ascii="Arial" w:hAnsi="Arial" w:cs="Arial"/>
                <w:sz w:val="20"/>
                <w:szCs w:val="20"/>
              </w:rPr>
            </w:pPr>
            <w:r>
              <w:rPr>
                <w:rFonts w:ascii="Arial" w:hAnsi="Arial" w:cs="Arial"/>
                <w:sz w:val="20"/>
                <w:szCs w:val="20"/>
              </w:rPr>
              <w:t>60</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294732B5"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2B711F8C" w14:textId="77777777">
            <w:pPr>
              <w:jc w:val="center"/>
              <w:rPr>
                <w:rFonts w:ascii="Arial" w:hAnsi="Arial" w:cs="Arial"/>
                <w:sz w:val="20"/>
                <w:szCs w:val="20"/>
              </w:rPr>
            </w:pPr>
            <w:r>
              <w:rPr>
                <w:rFonts w:ascii="Arial" w:hAnsi="Arial" w:cs="Arial"/>
                <w:sz w:val="20"/>
                <w:szCs w:val="20"/>
              </w:rPr>
              <w:t>60</w:t>
            </w:r>
          </w:p>
        </w:tc>
        <w:tc>
          <w:tcPr>
            <w:tcW w:w="1172" w:type="dxa"/>
            <w:tcBorders>
              <w:top w:val="nil"/>
              <w:left w:val="nil"/>
              <w:bottom w:val="single" w:color="auto" w:sz="8" w:space="0"/>
              <w:right w:val="single" w:color="auto" w:sz="8" w:space="0"/>
            </w:tcBorders>
            <w:shd w:val="clear" w:color="auto" w:fill="auto"/>
            <w:vAlign w:val="bottom"/>
          </w:tcPr>
          <w:p w:rsidR="00634404" w:rsidP="00820F0A" w:rsidRDefault="00634404" w14:paraId="2DD416E0" w14:textId="77777777">
            <w:pPr>
              <w:jc w:val="center"/>
              <w:rPr>
                <w:rFonts w:ascii="Arial" w:hAnsi="Arial" w:cs="Arial"/>
                <w:sz w:val="20"/>
                <w:szCs w:val="20"/>
              </w:rPr>
            </w:pPr>
            <w:r>
              <w:rPr>
                <w:rFonts w:ascii="Arial" w:hAnsi="Arial" w:cs="Arial"/>
                <w:sz w:val="20"/>
                <w:szCs w:val="20"/>
              </w:rPr>
              <w:t>3</w:t>
            </w:r>
          </w:p>
        </w:tc>
        <w:tc>
          <w:tcPr>
            <w:tcW w:w="916" w:type="dxa"/>
            <w:tcBorders>
              <w:top w:val="nil"/>
              <w:left w:val="nil"/>
              <w:bottom w:val="single" w:color="auto" w:sz="8" w:space="0"/>
              <w:right w:val="single" w:color="auto" w:sz="8" w:space="0"/>
            </w:tcBorders>
            <w:shd w:val="clear" w:color="auto" w:fill="auto"/>
            <w:vAlign w:val="bottom"/>
          </w:tcPr>
          <w:p w:rsidR="00634404" w:rsidP="00634404" w:rsidRDefault="00634404" w14:paraId="3C7E611F" w14:textId="77777777">
            <w:pPr>
              <w:jc w:val="center"/>
              <w:rPr>
                <w:rFonts w:ascii="Arial" w:hAnsi="Arial" w:cs="Arial"/>
                <w:sz w:val="20"/>
                <w:szCs w:val="20"/>
              </w:rPr>
            </w:pPr>
            <w:r>
              <w:rPr>
                <w:rFonts w:ascii="Arial" w:hAnsi="Arial" w:cs="Arial"/>
                <w:sz w:val="20"/>
                <w:szCs w:val="20"/>
              </w:rPr>
              <w:t>180</w:t>
            </w:r>
          </w:p>
        </w:tc>
        <w:tc>
          <w:tcPr>
            <w:tcW w:w="850" w:type="dxa"/>
            <w:tcBorders>
              <w:top w:val="nil"/>
              <w:left w:val="nil"/>
              <w:bottom w:val="single" w:color="auto" w:sz="8" w:space="0"/>
              <w:right w:val="single" w:color="auto" w:sz="8" w:space="0"/>
            </w:tcBorders>
            <w:shd w:val="clear" w:color="auto" w:fill="auto"/>
            <w:vAlign w:val="bottom"/>
          </w:tcPr>
          <w:p w:rsidR="00634404" w:rsidP="00634404" w:rsidRDefault="00634404" w14:paraId="5760C29E" w14:textId="7C38E868">
            <w:r w:rsidRPr="0075705B">
              <w:rPr>
                <w:rFonts w:ascii="Arial" w:hAnsi="Arial" w:cs="Arial"/>
                <w:sz w:val="20"/>
                <w:szCs w:val="20"/>
              </w:rPr>
              <w:t>$</w:t>
            </w:r>
            <w:r w:rsidR="00037287">
              <w:rPr>
                <w:rFonts w:ascii="Arial" w:hAnsi="Arial" w:cs="Arial"/>
                <w:sz w:val="20"/>
                <w:szCs w:val="20"/>
              </w:rPr>
              <w:t>40.60</w:t>
            </w:r>
            <w:r w:rsidRPr="0075705B">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634404" w:rsidP="00634404" w:rsidRDefault="00634404" w14:paraId="361717DE" w14:textId="302F0399">
            <w:pPr>
              <w:jc w:val="center"/>
              <w:rPr>
                <w:rFonts w:ascii="Arial" w:hAnsi="Arial" w:cs="Arial"/>
                <w:sz w:val="20"/>
                <w:szCs w:val="20"/>
              </w:rPr>
            </w:pPr>
            <w:r>
              <w:rPr>
                <w:rFonts w:ascii="Arial" w:hAnsi="Arial" w:cs="Arial"/>
                <w:sz w:val="20"/>
                <w:szCs w:val="20"/>
              </w:rPr>
              <w:t>$</w:t>
            </w:r>
            <w:r w:rsidR="00037287">
              <w:rPr>
                <w:rFonts w:ascii="Arial" w:hAnsi="Arial" w:cs="Arial"/>
                <w:sz w:val="20"/>
                <w:szCs w:val="20"/>
              </w:rPr>
              <w:t>7,308</w:t>
            </w:r>
          </w:p>
        </w:tc>
      </w:tr>
      <w:tr w:rsidR="00634404" w:rsidTr="00634404" w14:paraId="63C23F91" w14:textId="77777777">
        <w:trPr>
          <w:trHeight w:val="1290"/>
        </w:trPr>
        <w:tc>
          <w:tcPr>
            <w:tcW w:w="1317" w:type="dxa"/>
            <w:tcBorders>
              <w:top w:val="nil"/>
              <w:left w:val="single" w:color="auto" w:sz="8" w:space="0"/>
              <w:bottom w:val="single" w:color="auto" w:sz="8" w:space="0"/>
              <w:right w:val="single" w:color="auto" w:sz="8" w:space="0"/>
            </w:tcBorders>
            <w:shd w:val="clear" w:color="auto" w:fill="auto"/>
            <w:vAlign w:val="bottom"/>
          </w:tcPr>
          <w:p w:rsidR="00634404" w:rsidP="00820F0A" w:rsidRDefault="00634404" w14:paraId="7E6279BF" w14:textId="77777777">
            <w:pP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634404" w:rsidP="00820F0A" w:rsidRDefault="00634404" w14:paraId="22E58707" w14:textId="77777777">
            <w:pPr>
              <w:jc w:val="center"/>
              <w:rPr>
                <w:rFonts w:ascii="Arial" w:hAnsi="Arial" w:cs="Arial"/>
                <w:sz w:val="20"/>
                <w:szCs w:val="20"/>
              </w:rPr>
            </w:pPr>
            <w:r>
              <w:rPr>
                <w:rFonts w:ascii="Arial" w:hAnsi="Arial" w:cs="Arial"/>
                <w:sz w:val="20"/>
                <w:szCs w:val="20"/>
              </w:rPr>
              <w:t>Assurances - Construction Programs / SF 424D</w:t>
            </w:r>
          </w:p>
        </w:tc>
        <w:tc>
          <w:tcPr>
            <w:tcW w:w="1016" w:type="dxa"/>
            <w:tcBorders>
              <w:top w:val="nil"/>
              <w:left w:val="nil"/>
              <w:bottom w:val="single" w:color="auto" w:sz="8" w:space="0"/>
              <w:right w:val="single" w:color="auto" w:sz="8" w:space="0"/>
            </w:tcBorders>
            <w:shd w:val="clear" w:color="auto" w:fill="auto"/>
            <w:vAlign w:val="bottom"/>
          </w:tcPr>
          <w:p w:rsidR="00634404" w:rsidP="00820F0A" w:rsidRDefault="00634404" w14:paraId="5A79EE15" w14:textId="77777777">
            <w:pPr>
              <w:jc w:val="center"/>
              <w:rPr>
                <w:rFonts w:ascii="Arial" w:hAnsi="Arial" w:cs="Arial"/>
                <w:sz w:val="20"/>
                <w:szCs w:val="20"/>
              </w:rPr>
            </w:pPr>
            <w:r>
              <w:rPr>
                <w:rFonts w:ascii="Arial" w:hAnsi="Arial" w:cs="Arial"/>
                <w:sz w:val="20"/>
                <w:szCs w:val="20"/>
              </w:rPr>
              <w:t>60</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12AF93F8"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74CC39A1" w14:textId="77777777">
            <w:pPr>
              <w:jc w:val="center"/>
              <w:rPr>
                <w:rFonts w:ascii="Arial" w:hAnsi="Arial" w:cs="Arial"/>
                <w:sz w:val="20"/>
                <w:szCs w:val="20"/>
              </w:rPr>
            </w:pPr>
            <w:r>
              <w:rPr>
                <w:rFonts w:ascii="Arial" w:hAnsi="Arial" w:cs="Arial"/>
                <w:sz w:val="20"/>
                <w:szCs w:val="20"/>
              </w:rPr>
              <w:t>60</w:t>
            </w:r>
          </w:p>
        </w:tc>
        <w:tc>
          <w:tcPr>
            <w:tcW w:w="1172" w:type="dxa"/>
            <w:tcBorders>
              <w:top w:val="nil"/>
              <w:left w:val="nil"/>
              <w:bottom w:val="single" w:color="auto" w:sz="8" w:space="0"/>
              <w:right w:val="single" w:color="auto" w:sz="8" w:space="0"/>
            </w:tcBorders>
            <w:shd w:val="clear" w:color="auto" w:fill="auto"/>
            <w:vAlign w:val="bottom"/>
          </w:tcPr>
          <w:p w:rsidR="00634404" w:rsidP="00820F0A" w:rsidRDefault="00634404" w14:paraId="59CBB997" w14:textId="77777777">
            <w:pPr>
              <w:jc w:val="center"/>
              <w:rPr>
                <w:rFonts w:ascii="Arial" w:hAnsi="Arial" w:cs="Arial"/>
                <w:sz w:val="20"/>
                <w:szCs w:val="20"/>
              </w:rPr>
            </w:pPr>
            <w:r>
              <w:rPr>
                <w:rFonts w:ascii="Arial" w:hAnsi="Arial" w:cs="Arial"/>
                <w:sz w:val="20"/>
                <w:szCs w:val="20"/>
              </w:rPr>
              <w:t>0.25</w:t>
            </w:r>
          </w:p>
        </w:tc>
        <w:tc>
          <w:tcPr>
            <w:tcW w:w="916" w:type="dxa"/>
            <w:tcBorders>
              <w:top w:val="nil"/>
              <w:left w:val="nil"/>
              <w:bottom w:val="single" w:color="auto" w:sz="8" w:space="0"/>
              <w:right w:val="single" w:color="auto" w:sz="8" w:space="0"/>
            </w:tcBorders>
            <w:shd w:val="clear" w:color="auto" w:fill="auto"/>
            <w:vAlign w:val="bottom"/>
          </w:tcPr>
          <w:p w:rsidR="00634404" w:rsidP="00634404" w:rsidRDefault="00634404" w14:paraId="779BC977" w14:textId="77777777">
            <w:pPr>
              <w:jc w:val="center"/>
              <w:rPr>
                <w:rFonts w:ascii="Arial" w:hAnsi="Arial" w:cs="Arial"/>
                <w:sz w:val="20"/>
                <w:szCs w:val="20"/>
              </w:rPr>
            </w:pPr>
            <w:r>
              <w:rPr>
                <w:rFonts w:ascii="Arial" w:hAnsi="Arial" w:cs="Arial"/>
                <w:sz w:val="20"/>
                <w:szCs w:val="20"/>
              </w:rPr>
              <w:t>15</w:t>
            </w:r>
          </w:p>
        </w:tc>
        <w:tc>
          <w:tcPr>
            <w:tcW w:w="850" w:type="dxa"/>
            <w:tcBorders>
              <w:top w:val="nil"/>
              <w:left w:val="nil"/>
              <w:bottom w:val="single" w:color="auto" w:sz="8" w:space="0"/>
              <w:right w:val="single" w:color="auto" w:sz="8" w:space="0"/>
            </w:tcBorders>
            <w:shd w:val="clear" w:color="auto" w:fill="auto"/>
            <w:vAlign w:val="bottom"/>
          </w:tcPr>
          <w:p w:rsidR="00634404" w:rsidP="00634404" w:rsidRDefault="00634404" w14:paraId="2E8CE4D9" w14:textId="66AA562E">
            <w:r w:rsidRPr="0075705B">
              <w:rPr>
                <w:rFonts w:ascii="Arial" w:hAnsi="Arial" w:cs="Arial"/>
                <w:sz w:val="20"/>
                <w:szCs w:val="20"/>
              </w:rPr>
              <w:t>$</w:t>
            </w:r>
            <w:r w:rsidR="00037287">
              <w:rPr>
                <w:rFonts w:ascii="Arial" w:hAnsi="Arial" w:cs="Arial"/>
                <w:sz w:val="20"/>
                <w:szCs w:val="20"/>
              </w:rPr>
              <w:t>40.60</w:t>
            </w:r>
            <w:r w:rsidRPr="0075705B">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634404" w:rsidP="00634404" w:rsidRDefault="00634404" w14:paraId="6E34342B" w14:textId="74D3F5BA">
            <w:pPr>
              <w:jc w:val="center"/>
              <w:rPr>
                <w:rFonts w:ascii="Arial" w:hAnsi="Arial" w:cs="Arial"/>
                <w:sz w:val="20"/>
                <w:szCs w:val="20"/>
              </w:rPr>
            </w:pPr>
            <w:r>
              <w:rPr>
                <w:rFonts w:ascii="Arial" w:hAnsi="Arial" w:cs="Arial"/>
                <w:sz w:val="20"/>
                <w:szCs w:val="20"/>
              </w:rPr>
              <w:t>$</w:t>
            </w:r>
            <w:r w:rsidR="00037287">
              <w:rPr>
                <w:rFonts w:ascii="Arial" w:hAnsi="Arial" w:cs="Arial"/>
                <w:sz w:val="20"/>
                <w:szCs w:val="20"/>
              </w:rPr>
              <w:t>609</w:t>
            </w:r>
          </w:p>
        </w:tc>
      </w:tr>
      <w:tr w:rsidR="00634404" w:rsidTr="00634404" w14:paraId="563D1D81" w14:textId="77777777">
        <w:trPr>
          <w:trHeight w:val="1035"/>
        </w:trPr>
        <w:tc>
          <w:tcPr>
            <w:tcW w:w="1317" w:type="dxa"/>
            <w:tcBorders>
              <w:top w:val="nil"/>
              <w:left w:val="single" w:color="auto" w:sz="8" w:space="0"/>
              <w:bottom w:val="single" w:color="auto" w:sz="8" w:space="0"/>
              <w:right w:val="single" w:color="auto" w:sz="8" w:space="0"/>
            </w:tcBorders>
            <w:shd w:val="clear" w:color="auto" w:fill="auto"/>
            <w:vAlign w:val="bottom"/>
          </w:tcPr>
          <w:p w:rsidR="00634404" w:rsidP="00820F0A" w:rsidRDefault="00634404" w14:paraId="2E0D97E3" w14:textId="77777777">
            <w:pPr>
              <w:jc w:val="cente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634404" w:rsidP="00820F0A" w:rsidRDefault="00634404" w14:paraId="5A889CC1" w14:textId="77777777">
            <w:pPr>
              <w:jc w:val="center"/>
              <w:rPr>
                <w:rFonts w:ascii="Arial" w:hAnsi="Arial" w:cs="Arial"/>
                <w:sz w:val="20"/>
                <w:szCs w:val="20"/>
              </w:rPr>
            </w:pPr>
            <w:r>
              <w:rPr>
                <w:rFonts w:ascii="Arial" w:hAnsi="Arial" w:cs="Arial"/>
                <w:sz w:val="20"/>
                <w:szCs w:val="20"/>
              </w:rPr>
              <w:t>Disclosure of Lobbying Activities / SF LLL</w:t>
            </w:r>
          </w:p>
        </w:tc>
        <w:tc>
          <w:tcPr>
            <w:tcW w:w="1016" w:type="dxa"/>
            <w:tcBorders>
              <w:top w:val="nil"/>
              <w:left w:val="nil"/>
              <w:bottom w:val="single" w:color="auto" w:sz="8" w:space="0"/>
              <w:right w:val="single" w:color="auto" w:sz="8" w:space="0"/>
            </w:tcBorders>
            <w:shd w:val="clear" w:color="auto" w:fill="auto"/>
            <w:vAlign w:val="bottom"/>
          </w:tcPr>
          <w:p w:rsidR="00634404" w:rsidP="00820F0A" w:rsidRDefault="00634404" w14:paraId="45F28848" w14:textId="77777777">
            <w:pPr>
              <w:jc w:val="center"/>
              <w:rPr>
                <w:rFonts w:ascii="Arial" w:hAnsi="Arial" w:cs="Arial"/>
                <w:sz w:val="20"/>
                <w:szCs w:val="20"/>
              </w:rPr>
            </w:pPr>
            <w:r>
              <w:rPr>
                <w:rFonts w:ascii="Arial" w:hAnsi="Arial" w:cs="Arial"/>
                <w:sz w:val="20"/>
                <w:szCs w:val="20"/>
              </w:rPr>
              <w:t>60</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046308C7"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66546CDE" w14:textId="77777777">
            <w:pPr>
              <w:jc w:val="center"/>
              <w:rPr>
                <w:rFonts w:ascii="Arial" w:hAnsi="Arial" w:cs="Arial"/>
                <w:sz w:val="20"/>
                <w:szCs w:val="20"/>
              </w:rPr>
            </w:pPr>
            <w:r>
              <w:rPr>
                <w:rFonts w:ascii="Arial" w:hAnsi="Arial" w:cs="Arial"/>
                <w:sz w:val="20"/>
                <w:szCs w:val="20"/>
              </w:rPr>
              <w:t>60</w:t>
            </w:r>
          </w:p>
        </w:tc>
        <w:tc>
          <w:tcPr>
            <w:tcW w:w="1172" w:type="dxa"/>
            <w:tcBorders>
              <w:top w:val="nil"/>
              <w:left w:val="nil"/>
              <w:bottom w:val="single" w:color="auto" w:sz="8" w:space="0"/>
              <w:right w:val="single" w:color="auto" w:sz="8" w:space="0"/>
            </w:tcBorders>
            <w:shd w:val="clear" w:color="auto" w:fill="auto"/>
            <w:vAlign w:val="bottom"/>
          </w:tcPr>
          <w:p w:rsidR="00634404" w:rsidP="00820F0A" w:rsidRDefault="00634404" w14:paraId="4FE171CA" w14:textId="77777777">
            <w:pPr>
              <w:jc w:val="center"/>
              <w:rPr>
                <w:rFonts w:ascii="Arial" w:hAnsi="Arial" w:cs="Arial"/>
                <w:sz w:val="20"/>
                <w:szCs w:val="20"/>
              </w:rPr>
            </w:pPr>
            <w:r>
              <w:rPr>
                <w:rFonts w:ascii="Arial" w:hAnsi="Arial" w:cs="Arial"/>
                <w:sz w:val="20"/>
                <w:szCs w:val="20"/>
              </w:rPr>
              <w:t>0.167</w:t>
            </w:r>
          </w:p>
        </w:tc>
        <w:tc>
          <w:tcPr>
            <w:tcW w:w="916" w:type="dxa"/>
            <w:tcBorders>
              <w:top w:val="nil"/>
              <w:left w:val="nil"/>
              <w:bottom w:val="single" w:color="auto" w:sz="8" w:space="0"/>
              <w:right w:val="single" w:color="auto" w:sz="8" w:space="0"/>
            </w:tcBorders>
            <w:shd w:val="clear" w:color="auto" w:fill="auto"/>
            <w:vAlign w:val="bottom"/>
          </w:tcPr>
          <w:p w:rsidR="00634404" w:rsidP="00820F0A" w:rsidRDefault="00634404" w14:paraId="16D736DD" w14:textId="1E8EBD25">
            <w:pPr>
              <w:jc w:val="center"/>
              <w:rPr>
                <w:rFonts w:ascii="Arial" w:hAnsi="Arial" w:cs="Arial"/>
                <w:sz w:val="20"/>
                <w:szCs w:val="20"/>
              </w:rPr>
            </w:pPr>
            <w:r>
              <w:rPr>
                <w:rFonts w:ascii="Arial" w:hAnsi="Arial" w:cs="Arial"/>
                <w:sz w:val="20"/>
                <w:szCs w:val="20"/>
              </w:rPr>
              <w:t>10</w:t>
            </w:r>
          </w:p>
        </w:tc>
        <w:tc>
          <w:tcPr>
            <w:tcW w:w="850" w:type="dxa"/>
            <w:tcBorders>
              <w:top w:val="nil"/>
              <w:left w:val="nil"/>
              <w:bottom w:val="single" w:color="auto" w:sz="8" w:space="0"/>
              <w:right w:val="single" w:color="auto" w:sz="8" w:space="0"/>
            </w:tcBorders>
            <w:shd w:val="clear" w:color="auto" w:fill="auto"/>
            <w:vAlign w:val="bottom"/>
          </w:tcPr>
          <w:p w:rsidR="00634404" w:rsidP="00634404" w:rsidRDefault="00634404" w14:paraId="59608603" w14:textId="5CBE079C">
            <w:r w:rsidRPr="0075705B">
              <w:rPr>
                <w:rFonts w:ascii="Arial" w:hAnsi="Arial" w:cs="Arial"/>
                <w:sz w:val="20"/>
                <w:szCs w:val="20"/>
              </w:rPr>
              <w:t>$</w:t>
            </w:r>
            <w:r w:rsidR="00037287">
              <w:rPr>
                <w:rFonts w:ascii="Arial" w:hAnsi="Arial" w:cs="Arial"/>
                <w:sz w:val="20"/>
                <w:szCs w:val="20"/>
              </w:rPr>
              <w:t>40.60</w:t>
            </w:r>
            <w:r w:rsidRPr="0075705B">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634404" w:rsidP="00634404" w:rsidRDefault="00634404" w14:paraId="6702171A" w14:textId="4CE92349">
            <w:pPr>
              <w:jc w:val="center"/>
              <w:rPr>
                <w:rFonts w:ascii="Arial" w:hAnsi="Arial" w:cs="Arial"/>
                <w:sz w:val="20"/>
                <w:szCs w:val="20"/>
              </w:rPr>
            </w:pPr>
            <w:r>
              <w:rPr>
                <w:rFonts w:ascii="Arial" w:hAnsi="Arial" w:cs="Arial"/>
                <w:sz w:val="20"/>
                <w:szCs w:val="20"/>
              </w:rPr>
              <w:t>$</w:t>
            </w:r>
            <w:r w:rsidR="00037287">
              <w:rPr>
                <w:rFonts w:ascii="Arial" w:hAnsi="Arial" w:cs="Arial"/>
                <w:sz w:val="20"/>
                <w:szCs w:val="20"/>
              </w:rPr>
              <w:t>406</w:t>
            </w:r>
          </w:p>
        </w:tc>
      </w:tr>
      <w:tr w:rsidR="00634404" w:rsidTr="00634404" w14:paraId="65473FC2" w14:textId="77777777">
        <w:trPr>
          <w:trHeight w:val="1035"/>
        </w:trPr>
        <w:tc>
          <w:tcPr>
            <w:tcW w:w="1317" w:type="dxa"/>
            <w:tcBorders>
              <w:top w:val="nil"/>
              <w:left w:val="single" w:color="auto" w:sz="8" w:space="0"/>
              <w:bottom w:val="single" w:color="auto" w:sz="8" w:space="0"/>
              <w:right w:val="single" w:color="auto" w:sz="8" w:space="0"/>
            </w:tcBorders>
            <w:shd w:val="clear" w:color="auto" w:fill="auto"/>
            <w:vAlign w:val="bottom"/>
          </w:tcPr>
          <w:p w:rsidR="00634404" w:rsidP="00820F0A" w:rsidRDefault="00634404" w14:paraId="01A1CEA2" w14:textId="77777777">
            <w:pPr>
              <w:jc w:val="center"/>
              <w:rPr>
                <w:rFonts w:ascii="Arial" w:hAnsi="Arial" w:cs="Arial"/>
                <w:sz w:val="20"/>
                <w:szCs w:val="20"/>
              </w:rPr>
            </w:pPr>
            <w:r w:rsidRPr="00AE21A6">
              <w:rPr>
                <w:rFonts w:ascii="Arial" w:hAnsi="Arial" w:cs="Arial"/>
                <w:sz w:val="20"/>
                <w:szCs w:val="20"/>
              </w:rPr>
              <w:t>State, Local or Tribal Government</w:t>
            </w:r>
          </w:p>
        </w:tc>
        <w:tc>
          <w:tcPr>
            <w:tcW w:w="1339" w:type="dxa"/>
            <w:tcBorders>
              <w:top w:val="nil"/>
              <w:left w:val="nil"/>
              <w:bottom w:val="single" w:color="auto" w:sz="8" w:space="0"/>
              <w:right w:val="single" w:color="auto" w:sz="8" w:space="0"/>
            </w:tcBorders>
            <w:shd w:val="clear" w:color="auto" w:fill="auto"/>
            <w:vAlign w:val="bottom"/>
          </w:tcPr>
          <w:p w:rsidR="00634404" w:rsidP="00820F0A" w:rsidRDefault="00634404" w14:paraId="3780DE7D" w14:textId="77777777">
            <w:pPr>
              <w:jc w:val="center"/>
              <w:rPr>
                <w:rFonts w:ascii="Arial" w:hAnsi="Arial" w:cs="Arial"/>
                <w:sz w:val="20"/>
                <w:szCs w:val="20"/>
              </w:rPr>
            </w:pPr>
            <w:r>
              <w:rPr>
                <w:rFonts w:ascii="Arial" w:hAnsi="Arial" w:cs="Arial"/>
                <w:sz w:val="20"/>
                <w:szCs w:val="20"/>
              </w:rPr>
              <w:t>Direct Deposit Sign-Up Form / SF 1199A</w:t>
            </w:r>
          </w:p>
        </w:tc>
        <w:tc>
          <w:tcPr>
            <w:tcW w:w="1016" w:type="dxa"/>
            <w:tcBorders>
              <w:top w:val="nil"/>
              <w:left w:val="nil"/>
              <w:bottom w:val="single" w:color="auto" w:sz="8" w:space="0"/>
              <w:right w:val="single" w:color="auto" w:sz="8" w:space="0"/>
            </w:tcBorders>
            <w:shd w:val="clear" w:color="auto" w:fill="auto"/>
            <w:vAlign w:val="bottom"/>
          </w:tcPr>
          <w:p w:rsidR="00634404" w:rsidP="00820F0A" w:rsidRDefault="00634404" w14:paraId="65E43FBE" w14:textId="77777777">
            <w:pPr>
              <w:jc w:val="center"/>
              <w:rPr>
                <w:rFonts w:ascii="Arial" w:hAnsi="Arial" w:cs="Arial"/>
                <w:sz w:val="20"/>
                <w:szCs w:val="20"/>
              </w:rPr>
            </w:pPr>
            <w:r>
              <w:rPr>
                <w:rFonts w:ascii="Arial" w:hAnsi="Arial" w:cs="Arial"/>
                <w:sz w:val="20"/>
                <w:szCs w:val="20"/>
              </w:rPr>
              <w:t>60</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006E5BA1" w14:textId="77777777">
            <w:pPr>
              <w:jc w:val="center"/>
              <w:rPr>
                <w:rFonts w:ascii="Arial" w:hAnsi="Arial" w:cs="Arial"/>
                <w:sz w:val="20"/>
                <w:szCs w:val="20"/>
              </w:rPr>
            </w:pPr>
            <w:r>
              <w:rPr>
                <w:rFonts w:ascii="Arial" w:hAnsi="Arial" w:cs="Arial"/>
                <w:sz w:val="20"/>
                <w:szCs w:val="20"/>
              </w:rPr>
              <w:t>1</w:t>
            </w:r>
          </w:p>
        </w:tc>
        <w:tc>
          <w:tcPr>
            <w:tcW w:w="1128" w:type="dxa"/>
            <w:tcBorders>
              <w:top w:val="nil"/>
              <w:left w:val="nil"/>
              <w:bottom w:val="single" w:color="auto" w:sz="8" w:space="0"/>
              <w:right w:val="single" w:color="auto" w:sz="8" w:space="0"/>
            </w:tcBorders>
            <w:shd w:val="clear" w:color="auto" w:fill="auto"/>
            <w:vAlign w:val="bottom"/>
          </w:tcPr>
          <w:p w:rsidR="00634404" w:rsidP="00820F0A" w:rsidRDefault="00634404" w14:paraId="24BDEFC7" w14:textId="77777777">
            <w:pPr>
              <w:jc w:val="center"/>
              <w:rPr>
                <w:rFonts w:ascii="Arial" w:hAnsi="Arial" w:cs="Arial"/>
                <w:sz w:val="20"/>
                <w:szCs w:val="20"/>
              </w:rPr>
            </w:pPr>
            <w:r>
              <w:rPr>
                <w:rFonts w:ascii="Arial" w:hAnsi="Arial" w:cs="Arial"/>
                <w:sz w:val="20"/>
                <w:szCs w:val="20"/>
              </w:rPr>
              <w:t>60</w:t>
            </w:r>
          </w:p>
        </w:tc>
        <w:tc>
          <w:tcPr>
            <w:tcW w:w="1172" w:type="dxa"/>
            <w:tcBorders>
              <w:top w:val="nil"/>
              <w:left w:val="nil"/>
              <w:bottom w:val="single" w:color="auto" w:sz="8" w:space="0"/>
              <w:right w:val="single" w:color="auto" w:sz="8" w:space="0"/>
            </w:tcBorders>
            <w:shd w:val="clear" w:color="auto" w:fill="auto"/>
            <w:vAlign w:val="bottom"/>
          </w:tcPr>
          <w:p w:rsidR="00634404" w:rsidP="00820F0A" w:rsidRDefault="00634404" w14:paraId="25A4794A" w14:textId="77777777">
            <w:pPr>
              <w:jc w:val="center"/>
              <w:rPr>
                <w:rFonts w:ascii="Arial" w:hAnsi="Arial" w:cs="Arial"/>
                <w:sz w:val="20"/>
                <w:szCs w:val="20"/>
              </w:rPr>
            </w:pPr>
            <w:r>
              <w:rPr>
                <w:rFonts w:ascii="Arial" w:hAnsi="Arial" w:cs="Arial"/>
                <w:sz w:val="20"/>
                <w:szCs w:val="20"/>
              </w:rPr>
              <w:t>0.167</w:t>
            </w:r>
          </w:p>
        </w:tc>
        <w:tc>
          <w:tcPr>
            <w:tcW w:w="916" w:type="dxa"/>
            <w:tcBorders>
              <w:top w:val="nil"/>
              <w:left w:val="nil"/>
              <w:bottom w:val="single" w:color="auto" w:sz="8" w:space="0"/>
              <w:right w:val="single" w:color="auto" w:sz="8" w:space="0"/>
            </w:tcBorders>
            <w:shd w:val="clear" w:color="auto" w:fill="auto"/>
            <w:vAlign w:val="bottom"/>
          </w:tcPr>
          <w:p w:rsidR="00634404" w:rsidP="00820F0A" w:rsidRDefault="00634404" w14:paraId="31CDE29D" w14:textId="24182465">
            <w:pPr>
              <w:jc w:val="center"/>
              <w:rPr>
                <w:rFonts w:ascii="Arial" w:hAnsi="Arial" w:cs="Arial"/>
                <w:sz w:val="20"/>
                <w:szCs w:val="20"/>
              </w:rPr>
            </w:pPr>
            <w:r>
              <w:rPr>
                <w:rFonts w:ascii="Arial" w:hAnsi="Arial" w:cs="Arial"/>
                <w:sz w:val="20"/>
                <w:szCs w:val="20"/>
              </w:rPr>
              <w:t>10</w:t>
            </w:r>
          </w:p>
        </w:tc>
        <w:tc>
          <w:tcPr>
            <w:tcW w:w="850" w:type="dxa"/>
            <w:tcBorders>
              <w:top w:val="nil"/>
              <w:left w:val="nil"/>
              <w:bottom w:val="single" w:color="auto" w:sz="8" w:space="0"/>
              <w:right w:val="single" w:color="auto" w:sz="8" w:space="0"/>
            </w:tcBorders>
            <w:shd w:val="clear" w:color="auto" w:fill="auto"/>
            <w:vAlign w:val="bottom"/>
          </w:tcPr>
          <w:p w:rsidR="00634404" w:rsidP="00634404" w:rsidRDefault="00634404" w14:paraId="427B713F" w14:textId="3BD97FBA">
            <w:r w:rsidRPr="0075705B">
              <w:rPr>
                <w:rFonts w:ascii="Arial" w:hAnsi="Arial" w:cs="Arial"/>
                <w:sz w:val="20"/>
                <w:szCs w:val="20"/>
              </w:rPr>
              <w:t>$</w:t>
            </w:r>
            <w:r w:rsidR="00037287">
              <w:rPr>
                <w:rFonts w:ascii="Arial" w:hAnsi="Arial" w:cs="Arial"/>
                <w:sz w:val="20"/>
                <w:szCs w:val="20"/>
              </w:rPr>
              <w:t>40.60</w:t>
            </w:r>
            <w:r w:rsidRPr="0075705B">
              <w:rPr>
                <w:rFonts w:ascii="Arial" w:hAnsi="Arial" w:cs="Arial"/>
                <w:sz w:val="20"/>
                <w:szCs w:val="20"/>
              </w:rPr>
              <w:t xml:space="preserve"> </w:t>
            </w:r>
          </w:p>
        </w:tc>
        <w:tc>
          <w:tcPr>
            <w:tcW w:w="1372" w:type="dxa"/>
            <w:tcBorders>
              <w:top w:val="nil"/>
              <w:left w:val="nil"/>
              <w:bottom w:val="single" w:color="auto" w:sz="8" w:space="0"/>
              <w:right w:val="single" w:color="auto" w:sz="8" w:space="0"/>
            </w:tcBorders>
            <w:shd w:val="clear" w:color="auto" w:fill="auto"/>
            <w:vAlign w:val="bottom"/>
          </w:tcPr>
          <w:p w:rsidR="00634404" w:rsidP="00634404" w:rsidRDefault="00634404" w14:paraId="14B455AB" w14:textId="285EB002">
            <w:pPr>
              <w:jc w:val="center"/>
              <w:rPr>
                <w:rFonts w:ascii="Arial" w:hAnsi="Arial" w:cs="Arial"/>
                <w:sz w:val="20"/>
                <w:szCs w:val="20"/>
              </w:rPr>
            </w:pPr>
            <w:r>
              <w:rPr>
                <w:rFonts w:ascii="Arial" w:hAnsi="Arial" w:cs="Arial"/>
                <w:sz w:val="20"/>
                <w:szCs w:val="20"/>
              </w:rPr>
              <w:t>$</w:t>
            </w:r>
            <w:r w:rsidR="00037287">
              <w:rPr>
                <w:rFonts w:ascii="Arial" w:hAnsi="Arial" w:cs="Arial"/>
                <w:sz w:val="20"/>
                <w:szCs w:val="20"/>
              </w:rPr>
              <w:t>406</w:t>
            </w:r>
          </w:p>
        </w:tc>
      </w:tr>
      <w:tr w:rsidR="0016434C" w:rsidTr="00820F0A" w14:paraId="7E9F4059" w14:textId="77777777">
        <w:trPr>
          <w:trHeight w:val="270"/>
        </w:trPr>
        <w:tc>
          <w:tcPr>
            <w:tcW w:w="1317" w:type="dxa"/>
            <w:tcBorders>
              <w:top w:val="nil"/>
              <w:left w:val="single" w:color="auto" w:sz="8" w:space="0"/>
              <w:bottom w:val="single" w:color="auto" w:sz="8" w:space="0"/>
              <w:right w:val="single" w:color="auto" w:sz="8" w:space="0"/>
            </w:tcBorders>
            <w:shd w:val="clear" w:color="auto" w:fill="auto"/>
            <w:vAlign w:val="bottom"/>
          </w:tcPr>
          <w:p w:rsidR="0016434C" w:rsidP="00820F0A" w:rsidRDefault="0016434C" w14:paraId="7965EFFB" w14:textId="77777777">
            <w:pPr>
              <w:jc w:val="center"/>
              <w:rPr>
                <w:rFonts w:ascii="Arial" w:hAnsi="Arial" w:cs="Arial"/>
                <w:b/>
                <w:bCs/>
                <w:sz w:val="20"/>
                <w:szCs w:val="20"/>
              </w:rPr>
            </w:pPr>
            <w:r>
              <w:rPr>
                <w:rFonts w:ascii="Arial" w:hAnsi="Arial" w:cs="Arial"/>
                <w:b/>
                <w:bCs/>
                <w:sz w:val="20"/>
                <w:szCs w:val="20"/>
              </w:rPr>
              <w:t>Total</w:t>
            </w:r>
          </w:p>
        </w:tc>
        <w:tc>
          <w:tcPr>
            <w:tcW w:w="1339" w:type="dxa"/>
            <w:tcBorders>
              <w:top w:val="nil"/>
              <w:left w:val="nil"/>
              <w:bottom w:val="single" w:color="auto" w:sz="8" w:space="0"/>
              <w:right w:val="single" w:color="auto" w:sz="8" w:space="0"/>
            </w:tcBorders>
            <w:shd w:val="clear" w:color="auto" w:fill="000000"/>
            <w:vAlign w:val="bottom"/>
          </w:tcPr>
          <w:p w:rsidR="0016434C" w:rsidP="00820F0A" w:rsidRDefault="0016434C" w14:paraId="56B46FB6" w14:textId="77777777">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000000"/>
            <w:vAlign w:val="bottom"/>
          </w:tcPr>
          <w:p w:rsidR="0016434C" w:rsidP="00820F0A" w:rsidRDefault="0016434C" w14:paraId="632E78F3" w14:textId="77777777">
            <w:pPr>
              <w:jc w:val="center"/>
              <w:rPr>
                <w:rFonts w:ascii="Arial" w:hAnsi="Arial" w:cs="Arial"/>
                <w:sz w:val="20"/>
                <w:szCs w:val="20"/>
              </w:rPr>
            </w:pPr>
            <w:r>
              <w:rPr>
                <w:rFonts w:ascii="Arial" w:hAnsi="Arial" w:cs="Arial"/>
                <w:sz w:val="20"/>
                <w:szCs w:val="20"/>
              </w:rPr>
              <w:t> </w:t>
            </w:r>
          </w:p>
        </w:tc>
        <w:tc>
          <w:tcPr>
            <w:tcW w:w="1128" w:type="dxa"/>
            <w:tcBorders>
              <w:top w:val="nil"/>
              <w:left w:val="nil"/>
              <w:bottom w:val="single" w:color="auto" w:sz="8" w:space="0"/>
              <w:right w:val="single" w:color="auto" w:sz="8" w:space="0"/>
            </w:tcBorders>
            <w:shd w:val="clear" w:color="auto" w:fill="000000"/>
            <w:vAlign w:val="bottom"/>
          </w:tcPr>
          <w:p w:rsidR="0016434C" w:rsidP="00820F0A" w:rsidRDefault="0016434C" w14:paraId="08E2E855" w14:textId="77777777">
            <w:pPr>
              <w:jc w:val="center"/>
              <w:rPr>
                <w:rFonts w:ascii="Arial" w:hAnsi="Arial" w:cs="Arial"/>
                <w:sz w:val="20"/>
                <w:szCs w:val="20"/>
              </w:rPr>
            </w:pPr>
            <w:r>
              <w:rPr>
                <w:rFonts w:ascii="Arial" w:hAnsi="Arial" w:cs="Arial"/>
                <w:sz w:val="20"/>
                <w:szCs w:val="20"/>
              </w:rPr>
              <w:t> </w:t>
            </w:r>
          </w:p>
        </w:tc>
        <w:tc>
          <w:tcPr>
            <w:tcW w:w="1128" w:type="dxa"/>
            <w:tcBorders>
              <w:top w:val="nil"/>
              <w:left w:val="nil"/>
              <w:bottom w:val="single" w:color="auto" w:sz="8" w:space="0"/>
              <w:right w:val="single" w:color="auto" w:sz="8" w:space="0"/>
            </w:tcBorders>
            <w:shd w:val="clear" w:color="auto" w:fill="auto"/>
            <w:vAlign w:val="bottom"/>
          </w:tcPr>
          <w:p w:rsidR="0016434C" w:rsidP="00820F0A" w:rsidRDefault="005D360E" w14:paraId="03F7C77F" w14:textId="77777777">
            <w:pPr>
              <w:jc w:val="center"/>
              <w:rPr>
                <w:rFonts w:ascii="Arial" w:hAnsi="Arial" w:cs="Arial"/>
                <w:sz w:val="20"/>
                <w:szCs w:val="20"/>
              </w:rPr>
            </w:pPr>
            <w:r>
              <w:rPr>
                <w:rFonts w:ascii="Arial" w:hAnsi="Arial" w:cs="Arial"/>
                <w:sz w:val="20"/>
                <w:szCs w:val="20"/>
              </w:rPr>
              <w:t>420</w:t>
            </w:r>
          </w:p>
        </w:tc>
        <w:tc>
          <w:tcPr>
            <w:tcW w:w="1172" w:type="dxa"/>
            <w:tcBorders>
              <w:top w:val="nil"/>
              <w:left w:val="nil"/>
              <w:bottom w:val="single" w:color="auto" w:sz="8" w:space="0"/>
              <w:right w:val="single" w:color="auto" w:sz="8" w:space="0"/>
            </w:tcBorders>
            <w:shd w:val="clear" w:color="auto" w:fill="000000"/>
            <w:vAlign w:val="bottom"/>
          </w:tcPr>
          <w:p w:rsidR="0016434C" w:rsidP="00820F0A" w:rsidRDefault="0016434C" w14:paraId="53ACF29B" w14:textId="77777777">
            <w:pPr>
              <w:jc w:val="center"/>
              <w:rPr>
                <w:rFonts w:ascii="Arial" w:hAnsi="Arial" w:cs="Arial"/>
                <w:sz w:val="20"/>
                <w:szCs w:val="20"/>
              </w:rPr>
            </w:pPr>
            <w:r>
              <w:rPr>
                <w:rFonts w:ascii="Arial" w:hAnsi="Arial" w:cs="Arial"/>
                <w:sz w:val="20"/>
                <w:szCs w:val="20"/>
              </w:rPr>
              <w:t> </w:t>
            </w:r>
          </w:p>
        </w:tc>
        <w:tc>
          <w:tcPr>
            <w:tcW w:w="916" w:type="dxa"/>
            <w:tcBorders>
              <w:top w:val="nil"/>
              <w:left w:val="nil"/>
              <w:bottom w:val="single" w:color="auto" w:sz="8" w:space="0"/>
              <w:right w:val="single" w:color="auto" w:sz="8" w:space="0"/>
            </w:tcBorders>
            <w:shd w:val="clear" w:color="auto" w:fill="auto"/>
            <w:vAlign w:val="bottom"/>
          </w:tcPr>
          <w:p w:rsidR="0016434C" w:rsidP="00820F0A" w:rsidRDefault="00634404" w14:paraId="2CE4093D" w14:textId="01A4ECF2">
            <w:pPr>
              <w:jc w:val="center"/>
              <w:rPr>
                <w:rFonts w:ascii="Arial" w:hAnsi="Arial" w:cs="Arial"/>
                <w:b/>
                <w:bCs/>
                <w:sz w:val="20"/>
                <w:szCs w:val="20"/>
              </w:rPr>
            </w:pPr>
            <w:r>
              <w:rPr>
                <w:rFonts w:ascii="Arial" w:hAnsi="Arial" w:cs="Arial"/>
                <w:b/>
                <w:bCs/>
                <w:sz w:val="20"/>
                <w:szCs w:val="20"/>
              </w:rPr>
              <w:t>455</w:t>
            </w:r>
          </w:p>
        </w:tc>
        <w:tc>
          <w:tcPr>
            <w:tcW w:w="850" w:type="dxa"/>
            <w:tcBorders>
              <w:top w:val="nil"/>
              <w:left w:val="nil"/>
              <w:bottom w:val="single" w:color="auto" w:sz="8" w:space="0"/>
              <w:right w:val="single" w:color="auto" w:sz="8" w:space="0"/>
            </w:tcBorders>
            <w:shd w:val="clear" w:color="auto" w:fill="000000"/>
            <w:vAlign w:val="bottom"/>
          </w:tcPr>
          <w:p w:rsidR="0016434C" w:rsidP="00820F0A" w:rsidRDefault="0016434C" w14:paraId="43433656" w14:textId="77777777">
            <w:pPr>
              <w:jc w:val="center"/>
              <w:rPr>
                <w:rFonts w:ascii="Arial" w:hAnsi="Arial" w:cs="Arial"/>
                <w:sz w:val="20"/>
                <w:szCs w:val="20"/>
              </w:rPr>
            </w:pPr>
            <w:r>
              <w:rPr>
                <w:rFonts w:ascii="Arial" w:hAnsi="Arial" w:cs="Arial"/>
                <w:sz w:val="20"/>
                <w:szCs w:val="20"/>
              </w:rPr>
              <w:t> </w:t>
            </w:r>
          </w:p>
        </w:tc>
        <w:tc>
          <w:tcPr>
            <w:tcW w:w="1372" w:type="dxa"/>
            <w:tcBorders>
              <w:top w:val="nil"/>
              <w:left w:val="nil"/>
              <w:bottom w:val="single" w:color="auto" w:sz="8" w:space="0"/>
              <w:right w:val="single" w:color="auto" w:sz="8" w:space="0"/>
            </w:tcBorders>
            <w:shd w:val="clear" w:color="auto" w:fill="auto"/>
            <w:vAlign w:val="bottom"/>
          </w:tcPr>
          <w:p w:rsidR="0016434C" w:rsidP="00FB0EAE" w:rsidRDefault="0016434C" w14:paraId="04885E88" w14:textId="4C0F7012">
            <w:pPr>
              <w:jc w:val="center"/>
              <w:rPr>
                <w:rFonts w:ascii="Arial" w:hAnsi="Arial" w:cs="Arial"/>
                <w:b/>
                <w:bCs/>
                <w:sz w:val="20"/>
                <w:szCs w:val="20"/>
              </w:rPr>
            </w:pPr>
            <w:r>
              <w:rPr>
                <w:rFonts w:ascii="Arial" w:hAnsi="Arial" w:cs="Arial"/>
                <w:b/>
                <w:bCs/>
                <w:sz w:val="20"/>
                <w:szCs w:val="20"/>
              </w:rPr>
              <w:t>$</w:t>
            </w:r>
            <w:r w:rsidR="00037287">
              <w:rPr>
                <w:rFonts w:ascii="Arial" w:hAnsi="Arial" w:cs="Arial"/>
                <w:b/>
                <w:bCs/>
                <w:sz w:val="20"/>
                <w:szCs w:val="20"/>
              </w:rPr>
              <w:t>18,473</w:t>
            </w:r>
            <w:r>
              <w:rPr>
                <w:rFonts w:ascii="Arial" w:hAnsi="Arial" w:cs="Arial"/>
                <w:b/>
                <w:bCs/>
                <w:sz w:val="20"/>
                <w:szCs w:val="20"/>
              </w:rPr>
              <w:t xml:space="preserve"> </w:t>
            </w:r>
          </w:p>
        </w:tc>
      </w:tr>
    </w:tbl>
    <w:p w:rsidRPr="00820F0A" w:rsidR="00820F0A" w:rsidP="00820F0A" w:rsidRDefault="00820F0A" w14:paraId="3E749855" w14:textId="77777777">
      <w:pPr>
        <w:rPr>
          <w:vanish/>
        </w:rPr>
      </w:pPr>
    </w:p>
    <w:tbl>
      <w:tblPr>
        <w:tblW w:w="10260" w:type="dxa"/>
        <w:tblInd w:w="-702" w:type="dxa"/>
        <w:tblLook w:val="0000" w:firstRow="0" w:lastRow="0" w:firstColumn="0" w:lastColumn="0" w:noHBand="0" w:noVBand="0"/>
      </w:tblPr>
      <w:tblGrid>
        <w:gridCol w:w="1620"/>
        <w:gridCol w:w="1747"/>
        <w:gridCol w:w="1016"/>
        <w:gridCol w:w="1017"/>
        <w:gridCol w:w="1260"/>
        <w:gridCol w:w="990"/>
        <w:gridCol w:w="900"/>
        <w:gridCol w:w="810"/>
        <w:gridCol w:w="900"/>
      </w:tblGrid>
      <w:tr w:rsidRPr="003F5BB6" w:rsidR="0016434C" w:rsidTr="00820F0A" w14:paraId="2E01C3F4" w14:textId="77777777">
        <w:trPr>
          <w:trHeight w:val="745"/>
        </w:trPr>
        <w:tc>
          <w:tcPr>
            <w:tcW w:w="10260" w:type="dxa"/>
            <w:gridSpan w:val="9"/>
            <w:tcBorders>
              <w:top w:val="nil"/>
              <w:left w:val="single" w:color="auto" w:sz="8" w:space="0"/>
              <w:bottom w:val="single" w:color="auto" w:sz="8" w:space="0"/>
              <w:right w:val="single" w:color="auto" w:sz="8" w:space="0"/>
            </w:tcBorders>
            <w:shd w:val="clear" w:color="auto" w:fill="FFFFFF"/>
            <w:vAlign w:val="bottom"/>
          </w:tcPr>
          <w:p w:rsidR="00634404" w:rsidP="00820F0A" w:rsidRDefault="00634404" w14:paraId="1A04D46A" w14:textId="77777777">
            <w:pPr>
              <w:jc w:val="center"/>
              <w:rPr>
                <w:b/>
              </w:rPr>
            </w:pPr>
          </w:p>
          <w:p w:rsidR="00634404" w:rsidP="00820F0A" w:rsidRDefault="00634404" w14:paraId="4655B0B0" w14:textId="77777777">
            <w:pPr>
              <w:jc w:val="center"/>
              <w:rPr>
                <w:b/>
              </w:rPr>
            </w:pPr>
          </w:p>
          <w:p w:rsidR="00634404" w:rsidP="00820F0A" w:rsidRDefault="00634404" w14:paraId="60682308" w14:textId="77777777">
            <w:pPr>
              <w:jc w:val="center"/>
              <w:rPr>
                <w:b/>
              </w:rPr>
            </w:pPr>
          </w:p>
          <w:p w:rsidR="00634404" w:rsidP="00820F0A" w:rsidRDefault="00634404" w14:paraId="1614D49B" w14:textId="77777777">
            <w:pPr>
              <w:jc w:val="center"/>
              <w:rPr>
                <w:b/>
              </w:rPr>
            </w:pPr>
          </w:p>
          <w:p w:rsidR="0029322C" w:rsidP="0029322C" w:rsidRDefault="0029322C" w14:paraId="0FA76CB3" w14:textId="77777777">
            <w:pPr>
              <w:jc w:val="center"/>
              <w:rPr>
                <w:b/>
              </w:rPr>
            </w:pPr>
          </w:p>
          <w:p w:rsidRPr="001B2F8A" w:rsidR="0029322C" w:rsidP="0029322C" w:rsidRDefault="0029322C" w14:paraId="073792B7" w14:textId="7A043D0F">
            <w:pPr>
              <w:jc w:val="center"/>
              <w:rPr>
                <w:b/>
              </w:rPr>
            </w:pPr>
            <w:r w:rsidRPr="001B2F8A">
              <w:rPr>
                <w:b/>
              </w:rPr>
              <w:lastRenderedPageBreak/>
              <w:t>Other Departments/</w:t>
            </w:r>
          </w:p>
          <w:p w:rsidRPr="003F5BB6" w:rsidR="0016434C" w:rsidP="00820F0A" w:rsidRDefault="0016434C" w14:paraId="330A523D" w14:textId="77777777">
            <w:pPr>
              <w:jc w:val="center"/>
              <w:rPr>
                <w:sz w:val="18"/>
                <w:szCs w:val="18"/>
              </w:rPr>
            </w:pPr>
            <w:r w:rsidRPr="001B2F8A">
              <w:rPr>
                <w:b/>
              </w:rPr>
              <w:t>Agencies Data Collection Activities</w:t>
            </w:r>
          </w:p>
        </w:tc>
      </w:tr>
      <w:tr w:rsidRPr="003F5BB6" w:rsidR="0016434C" w:rsidTr="00820F0A" w14:paraId="66961BEF" w14:textId="77777777">
        <w:trPr>
          <w:trHeight w:val="1290"/>
        </w:trPr>
        <w:tc>
          <w:tcPr>
            <w:tcW w:w="1620" w:type="dxa"/>
            <w:tcBorders>
              <w:top w:val="nil"/>
              <w:left w:val="single" w:color="auto" w:sz="8" w:space="0"/>
              <w:bottom w:val="single" w:color="auto" w:sz="8" w:space="0"/>
              <w:right w:val="single" w:color="auto" w:sz="8" w:space="0"/>
            </w:tcBorders>
            <w:shd w:val="clear" w:color="auto" w:fill="auto"/>
            <w:vAlign w:val="bottom"/>
          </w:tcPr>
          <w:p w:rsidRPr="003F5BB6" w:rsidR="0016434C" w:rsidP="00820F0A" w:rsidRDefault="0016434C" w14:paraId="14C740A9" w14:textId="77777777">
            <w:pPr>
              <w:jc w:val="center"/>
              <w:rPr>
                <w:sz w:val="18"/>
                <w:szCs w:val="18"/>
              </w:rPr>
            </w:pPr>
            <w:r>
              <w:rPr>
                <w:sz w:val="18"/>
                <w:szCs w:val="18"/>
              </w:rPr>
              <w:lastRenderedPageBreak/>
              <w:t>State, Local or Tribal Government</w:t>
            </w:r>
          </w:p>
        </w:tc>
        <w:tc>
          <w:tcPr>
            <w:tcW w:w="1747" w:type="dxa"/>
            <w:tcBorders>
              <w:top w:val="nil"/>
              <w:left w:val="nil"/>
              <w:bottom w:val="single" w:color="auto" w:sz="8" w:space="0"/>
              <w:right w:val="single" w:color="auto" w:sz="8" w:space="0"/>
            </w:tcBorders>
            <w:shd w:val="clear" w:color="auto" w:fill="auto"/>
            <w:vAlign w:val="bottom"/>
          </w:tcPr>
          <w:p w:rsidRPr="003F5BB6" w:rsidR="0016434C" w:rsidP="00FB0EAE" w:rsidRDefault="0016434C" w14:paraId="3B083EC7" w14:textId="77777777">
            <w:pPr>
              <w:jc w:val="center"/>
              <w:rPr>
                <w:sz w:val="18"/>
                <w:szCs w:val="18"/>
              </w:rPr>
            </w:pPr>
            <w:r w:rsidRPr="00596130">
              <w:rPr>
                <w:sz w:val="18"/>
                <w:szCs w:val="18"/>
              </w:rPr>
              <w:t>Biannual Strategy Implementation Report</w:t>
            </w:r>
            <w:r>
              <w:rPr>
                <w:sz w:val="18"/>
                <w:szCs w:val="18"/>
              </w:rPr>
              <w:t xml:space="preserve"> (BSIR)</w:t>
            </w:r>
            <w:r w:rsidRPr="00596130">
              <w:rPr>
                <w:sz w:val="18"/>
                <w:szCs w:val="18"/>
              </w:rPr>
              <w:t xml:space="preserve"> / No Form; FEMA OMB Number 1660-</w:t>
            </w:r>
            <w:r w:rsidR="00FB0EAE">
              <w:rPr>
                <w:sz w:val="18"/>
                <w:szCs w:val="18"/>
              </w:rPr>
              <w:t>0117</w:t>
            </w:r>
          </w:p>
        </w:tc>
        <w:tc>
          <w:tcPr>
            <w:tcW w:w="1016" w:type="dxa"/>
            <w:tcBorders>
              <w:top w:val="nil"/>
              <w:left w:val="nil"/>
              <w:bottom w:val="single" w:color="auto" w:sz="8" w:space="0"/>
              <w:right w:val="single" w:color="auto" w:sz="8" w:space="0"/>
            </w:tcBorders>
            <w:shd w:val="clear" w:color="auto" w:fill="auto"/>
            <w:vAlign w:val="bottom"/>
          </w:tcPr>
          <w:p w:rsidRPr="004E2072" w:rsidR="0016434C" w:rsidP="00820F0A" w:rsidRDefault="00634404" w14:paraId="465D38A7" w14:textId="77777777">
            <w:pPr>
              <w:jc w:val="center"/>
              <w:rPr>
                <w:sz w:val="18"/>
                <w:szCs w:val="18"/>
              </w:rPr>
            </w:pPr>
            <w:r>
              <w:rPr>
                <w:sz w:val="18"/>
                <w:szCs w:val="18"/>
              </w:rPr>
              <w:t>6</w:t>
            </w:r>
            <w:r w:rsidRPr="004E2072" w:rsidR="0016434C">
              <w:rPr>
                <w:sz w:val="18"/>
                <w:szCs w:val="18"/>
              </w:rPr>
              <w:t>0</w:t>
            </w:r>
          </w:p>
        </w:tc>
        <w:tc>
          <w:tcPr>
            <w:tcW w:w="1017" w:type="dxa"/>
            <w:tcBorders>
              <w:top w:val="nil"/>
              <w:left w:val="nil"/>
              <w:bottom w:val="single" w:color="auto" w:sz="8" w:space="0"/>
              <w:right w:val="single" w:color="auto" w:sz="8" w:space="0"/>
            </w:tcBorders>
            <w:shd w:val="clear" w:color="auto" w:fill="auto"/>
            <w:vAlign w:val="bottom"/>
          </w:tcPr>
          <w:p w:rsidRPr="004E2072" w:rsidR="0016434C" w:rsidP="00820F0A" w:rsidRDefault="0016434C" w14:paraId="015328C7" w14:textId="77777777">
            <w:pPr>
              <w:jc w:val="center"/>
              <w:rPr>
                <w:sz w:val="18"/>
                <w:szCs w:val="18"/>
              </w:rPr>
            </w:pPr>
            <w:r w:rsidRPr="004E2072">
              <w:rPr>
                <w:sz w:val="18"/>
                <w:szCs w:val="18"/>
              </w:rPr>
              <w:t>2</w:t>
            </w:r>
          </w:p>
        </w:tc>
        <w:tc>
          <w:tcPr>
            <w:tcW w:w="1260" w:type="dxa"/>
            <w:tcBorders>
              <w:top w:val="nil"/>
              <w:left w:val="nil"/>
              <w:bottom w:val="single" w:color="auto" w:sz="8" w:space="0"/>
              <w:right w:val="single" w:color="auto" w:sz="8" w:space="0"/>
            </w:tcBorders>
            <w:shd w:val="clear" w:color="auto" w:fill="auto"/>
            <w:vAlign w:val="bottom"/>
          </w:tcPr>
          <w:p w:rsidRPr="004E2072" w:rsidR="0016434C" w:rsidP="00820F0A" w:rsidRDefault="00634404" w14:paraId="6E50000E" w14:textId="77777777">
            <w:pPr>
              <w:jc w:val="center"/>
              <w:rPr>
                <w:sz w:val="18"/>
                <w:szCs w:val="18"/>
              </w:rPr>
            </w:pPr>
            <w:r>
              <w:rPr>
                <w:sz w:val="18"/>
                <w:szCs w:val="18"/>
              </w:rPr>
              <w:t>12</w:t>
            </w:r>
            <w:r w:rsidRPr="004E2072" w:rsidR="0016434C">
              <w:rPr>
                <w:sz w:val="18"/>
                <w:szCs w:val="18"/>
              </w:rPr>
              <w:t>0</w:t>
            </w:r>
          </w:p>
        </w:tc>
        <w:tc>
          <w:tcPr>
            <w:tcW w:w="99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0E1F07E9" w14:textId="77777777">
            <w:pPr>
              <w:jc w:val="center"/>
              <w:rPr>
                <w:sz w:val="18"/>
                <w:szCs w:val="18"/>
              </w:rPr>
            </w:pPr>
          </w:p>
        </w:tc>
        <w:tc>
          <w:tcPr>
            <w:tcW w:w="90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577F272C" w14:textId="77777777">
            <w:pPr>
              <w:jc w:val="center"/>
              <w:rPr>
                <w:sz w:val="18"/>
                <w:szCs w:val="18"/>
              </w:rPr>
            </w:pPr>
          </w:p>
        </w:tc>
        <w:tc>
          <w:tcPr>
            <w:tcW w:w="81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440E9F4C" w14:textId="77777777">
            <w:pPr>
              <w:jc w:val="center"/>
              <w:rPr>
                <w:sz w:val="18"/>
                <w:szCs w:val="18"/>
              </w:rPr>
            </w:pPr>
          </w:p>
        </w:tc>
        <w:tc>
          <w:tcPr>
            <w:tcW w:w="90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0001F810" w14:textId="77777777">
            <w:pPr>
              <w:jc w:val="center"/>
              <w:rPr>
                <w:sz w:val="18"/>
                <w:szCs w:val="18"/>
              </w:rPr>
            </w:pPr>
          </w:p>
        </w:tc>
      </w:tr>
      <w:tr w:rsidRPr="003F5BB6" w:rsidR="0016434C" w:rsidTr="00820F0A" w14:paraId="21EEBA0A" w14:textId="77777777">
        <w:trPr>
          <w:trHeight w:val="880"/>
        </w:trPr>
        <w:tc>
          <w:tcPr>
            <w:tcW w:w="1620" w:type="dxa"/>
            <w:tcBorders>
              <w:top w:val="nil"/>
              <w:left w:val="single" w:color="auto" w:sz="8" w:space="0"/>
              <w:bottom w:val="single" w:color="auto" w:sz="8" w:space="0"/>
              <w:right w:val="single" w:color="auto" w:sz="8" w:space="0"/>
            </w:tcBorders>
            <w:shd w:val="clear" w:color="auto" w:fill="auto"/>
            <w:vAlign w:val="bottom"/>
          </w:tcPr>
          <w:p w:rsidRPr="003F5BB6" w:rsidR="0016434C" w:rsidP="00820F0A" w:rsidRDefault="0016434C" w14:paraId="27BA7A6A" w14:textId="77777777">
            <w:pPr>
              <w:jc w:val="center"/>
              <w:rPr>
                <w:sz w:val="18"/>
                <w:szCs w:val="18"/>
              </w:rPr>
            </w:pPr>
            <w:r>
              <w:rPr>
                <w:sz w:val="18"/>
                <w:szCs w:val="18"/>
              </w:rPr>
              <w:t>State, Local or Tribal Government</w:t>
            </w:r>
          </w:p>
        </w:tc>
        <w:tc>
          <w:tcPr>
            <w:tcW w:w="1747" w:type="dxa"/>
            <w:tcBorders>
              <w:top w:val="nil"/>
              <w:left w:val="nil"/>
              <w:bottom w:val="single" w:color="auto" w:sz="8" w:space="0"/>
              <w:right w:val="single" w:color="auto" w:sz="8" w:space="0"/>
            </w:tcBorders>
            <w:shd w:val="clear" w:color="auto" w:fill="auto"/>
            <w:vAlign w:val="bottom"/>
          </w:tcPr>
          <w:p w:rsidRPr="00525DFE" w:rsidR="0016434C" w:rsidP="00FB0EAE" w:rsidRDefault="0016434C" w14:paraId="37F70D00" w14:textId="77777777">
            <w:pPr>
              <w:jc w:val="center"/>
              <w:rPr>
                <w:sz w:val="18"/>
                <w:szCs w:val="18"/>
              </w:rPr>
            </w:pPr>
            <w:r w:rsidRPr="003F5BB6">
              <w:rPr>
                <w:sz w:val="18"/>
                <w:szCs w:val="18"/>
              </w:rPr>
              <w:t xml:space="preserve">EHP - Environmental Screening </w:t>
            </w:r>
            <w:r>
              <w:rPr>
                <w:sz w:val="18"/>
                <w:szCs w:val="18"/>
              </w:rPr>
              <w:t>Form</w:t>
            </w:r>
            <w:r w:rsidRPr="003F5BB6">
              <w:rPr>
                <w:sz w:val="18"/>
                <w:szCs w:val="18"/>
              </w:rPr>
              <w:t xml:space="preserve"> / </w:t>
            </w:r>
            <w:r>
              <w:rPr>
                <w:sz w:val="18"/>
                <w:szCs w:val="18"/>
              </w:rPr>
              <w:t xml:space="preserve">FEMA </w:t>
            </w:r>
            <w:r w:rsidRPr="003F5BB6">
              <w:rPr>
                <w:sz w:val="18"/>
                <w:szCs w:val="18"/>
              </w:rPr>
              <w:t>Form</w:t>
            </w:r>
            <w:r>
              <w:rPr>
                <w:sz w:val="18"/>
                <w:szCs w:val="18"/>
              </w:rPr>
              <w:t xml:space="preserve"> 024-0-1; OMB Number 1660-</w:t>
            </w:r>
            <w:r w:rsidR="00FB0EAE">
              <w:rPr>
                <w:sz w:val="18"/>
                <w:szCs w:val="18"/>
              </w:rPr>
              <w:t>0115</w:t>
            </w:r>
          </w:p>
        </w:tc>
        <w:tc>
          <w:tcPr>
            <w:tcW w:w="1016" w:type="dxa"/>
            <w:tcBorders>
              <w:top w:val="nil"/>
              <w:left w:val="nil"/>
              <w:bottom w:val="single" w:color="auto" w:sz="8" w:space="0"/>
              <w:right w:val="single" w:color="auto" w:sz="8" w:space="0"/>
            </w:tcBorders>
            <w:shd w:val="clear" w:color="auto" w:fill="auto"/>
            <w:vAlign w:val="bottom"/>
          </w:tcPr>
          <w:p w:rsidRPr="003F5BB6" w:rsidR="0016434C" w:rsidP="00820F0A" w:rsidRDefault="00634404" w14:paraId="1BBA8056" w14:textId="77777777">
            <w:pPr>
              <w:jc w:val="center"/>
              <w:rPr>
                <w:sz w:val="18"/>
                <w:szCs w:val="18"/>
              </w:rPr>
            </w:pPr>
            <w:r>
              <w:rPr>
                <w:sz w:val="18"/>
                <w:szCs w:val="18"/>
              </w:rPr>
              <w:t>6</w:t>
            </w:r>
            <w:r w:rsidR="0016434C">
              <w:rPr>
                <w:sz w:val="18"/>
                <w:szCs w:val="18"/>
              </w:rPr>
              <w:t>0</w:t>
            </w:r>
          </w:p>
        </w:tc>
        <w:tc>
          <w:tcPr>
            <w:tcW w:w="1017"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5CDA13B8" w14:textId="77777777">
            <w:pPr>
              <w:jc w:val="center"/>
              <w:rPr>
                <w:sz w:val="18"/>
                <w:szCs w:val="18"/>
              </w:rPr>
            </w:pPr>
            <w:r w:rsidRPr="003F5BB6">
              <w:rPr>
                <w:sz w:val="18"/>
                <w:szCs w:val="18"/>
              </w:rPr>
              <w:t>1</w:t>
            </w:r>
          </w:p>
        </w:tc>
        <w:tc>
          <w:tcPr>
            <w:tcW w:w="1260" w:type="dxa"/>
            <w:tcBorders>
              <w:top w:val="nil"/>
              <w:left w:val="nil"/>
              <w:bottom w:val="single" w:color="auto" w:sz="8" w:space="0"/>
              <w:right w:val="single" w:color="auto" w:sz="8" w:space="0"/>
            </w:tcBorders>
            <w:shd w:val="clear" w:color="auto" w:fill="auto"/>
            <w:vAlign w:val="bottom"/>
          </w:tcPr>
          <w:p w:rsidRPr="003F5BB6" w:rsidR="0016434C" w:rsidP="00820F0A" w:rsidRDefault="00634404" w14:paraId="353367B1" w14:textId="77777777">
            <w:pPr>
              <w:jc w:val="center"/>
              <w:rPr>
                <w:sz w:val="18"/>
                <w:szCs w:val="18"/>
              </w:rPr>
            </w:pPr>
            <w:r>
              <w:rPr>
                <w:sz w:val="18"/>
                <w:szCs w:val="18"/>
              </w:rPr>
              <w:t>6</w:t>
            </w:r>
            <w:r w:rsidR="0016434C">
              <w:rPr>
                <w:sz w:val="18"/>
                <w:szCs w:val="18"/>
              </w:rPr>
              <w:t>0</w:t>
            </w:r>
          </w:p>
        </w:tc>
        <w:tc>
          <w:tcPr>
            <w:tcW w:w="99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101DAFB8" w14:textId="77777777">
            <w:pPr>
              <w:jc w:val="center"/>
              <w:rPr>
                <w:sz w:val="18"/>
                <w:szCs w:val="18"/>
              </w:rPr>
            </w:pPr>
          </w:p>
        </w:tc>
        <w:tc>
          <w:tcPr>
            <w:tcW w:w="90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5DEAE515" w14:textId="77777777">
            <w:pPr>
              <w:jc w:val="center"/>
              <w:rPr>
                <w:sz w:val="18"/>
                <w:szCs w:val="18"/>
              </w:rPr>
            </w:pPr>
          </w:p>
        </w:tc>
        <w:tc>
          <w:tcPr>
            <w:tcW w:w="81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17633C29" w14:textId="77777777">
            <w:pPr>
              <w:jc w:val="center"/>
              <w:rPr>
                <w:sz w:val="18"/>
                <w:szCs w:val="18"/>
              </w:rPr>
            </w:pPr>
          </w:p>
        </w:tc>
        <w:tc>
          <w:tcPr>
            <w:tcW w:w="900" w:type="dxa"/>
            <w:tcBorders>
              <w:top w:val="nil"/>
              <w:left w:val="nil"/>
              <w:bottom w:val="single" w:color="auto" w:sz="8" w:space="0"/>
              <w:right w:val="single" w:color="auto" w:sz="8" w:space="0"/>
            </w:tcBorders>
            <w:shd w:val="clear" w:color="auto" w:fill="auto"/>
            <w:vAlign w:val="bottom"/>
          </w:tcPr>
          <w:p w:rsidRPr="003F5BB6" w:rsidR="0016434C" w:rsidP="00820F0A" w:rsidRDefault="0016434C" w14:paraId="5507A917" w14:textId="77777777">
            <w:pPr>
              <w:jc w:val="center"/>
              <w:rPr>
                <w:sz w:val="18"/>
                <w:szCs w:val="18"/>
              </w:rPr>
            </w:pPr>
          </w:p>
        </w:tc>
      </w:tr>
      <w:tr w:rsidRPr="003F5BB6" w:rsidR="00590CE5" w:rsidTr="00820F0A" w14:paraId="5F1A54F0" w14:textId="77777777">
        <w:trPr>
          <w:trHeight w:val="880"/>
        </w:trPr>
        <w:tc>
          <w:tcPr>
            <w:tcW w:w="1620" w:type="dxa"/>
            <w:tcBorders>
              <w:top w:val="nil"/>
              <w:left w:val="single" w:color="auto" w:sz="8" w:space="0"/>
              <w:bottom w:val="single" w:color="auto" w:sz="8" w:space="0"/>
              <w:right w:val="single" w:color="auto" w:sz="8" w:space="0"/>
            </w:tcBorders>
            <w:shd w:val="clear" w:color="auto" w:fill="auto"/>
            <w:vAlign w:val="bottom"/>
          </w:tcPr>
          <w:p w:rsidR="00590CE5" w:rsidP="00820F0A" w:rsidRDefault="00590CE5" w14:paraId="5E63CD93" w14:textId="77777777">
            <w:pPr>
              <w:jc w:val="center"/>
              <w:rPr>
                <w:sz w:val="18"/>
                <w:szCs w:val="18"/>
              </w:rPr>
            </w:pPr>
            <w:r>
              <w:rPr>
                <w:sz w:val="18"/>
                <w:szCs w:val="18"/>
              </w:rPr>
              <w:t>State, Local or Tribal Government</w:t>
            </w:r>
          </w:p>
        </w:tc>
        <w:tc>
          <w:tcPr>
            <w:tcW w:w="1747" w:type="dxa"/>
            <w:tcBorders>
              <w:top w:val="nil"/>
              <w:left w:val="nil"/>
              <w:bottom w:val="single" w:color="auto" w:sz="8" w:space="0"/>
              <w:right w:val="single" w:color="auto" w:sz="8" w:space="0"/>
            </w:tcBorders>
            <w:shd w:val="clear" w:color="auto" w:fill="auto"/>
            <w:vAlign w:val="bottom"/>
          </w:tcPr>
          <w:p w:rsidRPr="003F5BB6" w:rsidR="00590CE5" w:rsidP="00590CE5" w:rsidRDefault="00590CE5" w14:paraId="35D2663B" w14:textId="77777777">
            <w:pPr>
              <w:jc w:val="center"/>
              <w:rPr>
                <w:sz w:val="18"/>
                <w:szCs w:val="18"/>
              </w:rPr>
            </w:pPr>
            <w:r w:rsidRPr="00590CE5">
              <w:rPr>
                <w:sz w:val="18"/>
                <w:szCs w:val="18"/>
              </w:rPr>
              <w:t>Threat and Hazard Identification and Risk Assessment (THIRA) – State Preparedness Report (SPR) Unified Reporting Tool</w:t>
            </w:r>
            <w:r w:rsidR="002D0477">
              <w:rPr>
                <w:sz w:val="18"/>
                <w:szCs w:val="18"/>
              </w:rPr>
              <w:t xml:space="preserve"> </w:t>
            </w:r>
            <w:r w:rsidRPr="00590CE5">
              <w:rPr>
                <w:sz w:val="18"/>
                <w:szCs w:val="18"/>
              </w:rPr>
              <w:t xml:space="preserve">/ FEMA Form 008-0-20 (SPR) / FEMA OMB Number </w:t>
            </w:r>
            <w:r w:rsidRPr="00590CE5">
              <w:rPr>
                <w:rFonts w:eastAsia="Calibri"/>
                <w:sz w:val="18"/>
                <w:szCs w:val="18"/>
              </w:rPr>
              <w:t>1660-0131</w:t>
            </w:r>
          </w:p>
        </w:tc>
        <w:tc>
          <w:tcPr>
            <w:tcW w:w="1016" w:type="dxa"/>
            <w:tcBorders>
              <w:top w:val="nil"/>
              <w:left w:val="nil"/>
              <w:bottom w:val="single" w:color="auto" w:sz="8" w:space="0"/>
              <w:right w:val="single" w:color="auto" w:sz="8" w:space="0"/>
            </w:tcBorders>
            <w:shd w:val="clear" w:color="auto" w:fill="auto"/>
            <w:vAlign w:val="bottom"/>
          </w:tcPr>
          <w:p w:rsidR="00590CE5" w:rsidP="00820F0A" w:rsidRDefault="00590CE5" w14:paraId="63A8B980" w14:textId="77777777">
            <w:pPr>
              <w:jc w:val="center"/>
              <w:rPr>
                <w:sz w:val="18"/>
                <w:szCs w:val="18"/>
              </w:rPr>
            </w:pPr>
            <w:r>
              <w:rPr>
                <w:sz w:val="18"/>
                <w:szCs w:val="18"/>
              </w:rPr>
              <w:t>60</w:t>
            </w:r>
          </w:p>
        </w:tc>
        <w:tc>
          <w:tcPr>
            <w:tcW w:w="1017" w:type="dxa"/>
            <w:tcBorders>
              <w:top w:val="nil"/>
              <w:left w:val="nil"/>
              <w:bottom w:val="single" w:color="auto" w:sz="8" w:space="0"/>
              <w:right w:val="single" w:color="auto" w:sz="8" w:space="0"/>
            </w:tcBorders>
            <w:shd w:val="clear" w:color="auto" w:fill="auto"/>
            <w:vAlign w:val="bottom"/>
          </w:tcPr>
          <w:p w:rsidRPr="003F5BB6" w:rsidR="00590CE5" w:rsidP="00820F0A" w:rsidRDefault="00590CE5" w14:paraId="5AE15C0F" w14:textId="77777777">
            <w:pPr>
              <w:jc w:val="center"/>
              <w:rPr>
                <w:sz w:val="18"/>
                <w:szCs w:val="18"/>
              </w:rPr>
            </w:pPr>
            <w:r>
              <w:rPr>
                <w:sz w:val="18"/>
                <w:szCs w:val="18"/>
              </w:rPr>
              <w:t>1</w:t>
            </w:r>
          </w:p>
        </w:tc>
        <w:tc>
          <w:tcPr>
            <w:tcW w:w="1260" w:type="dxa"/>
            <w:tcBorders>
              <w:top w:val="nil"/>
              <w:left w:val="nil"/>
              <w:bottom w:val="single" w:color="auto" w:sz="8" w:space="0"/>
              <w:right w:val="single" w:color="auto" w:sz="8" w:space="0"/>
            </w:tcBorders>
            <w:shd w:val="clear" w:color="auto" w:fill="auto"/>
            <w:vAlign w:val="bottom"/>
          </w:tcPr>
          <w:p w:rsidR="00590CE5" w:rsidP="00820F0A" w:rsidRDefault="00590CE5" w14:paraId="12958F42" w14:textId="77777777">
            <w:pPr>
              <w:jc w:val="center"/>
              <w:rPr>
                <w:sz w:val="18"/>
                <w:szCs w:val="18"/>
              </w:rPr>
            </w:pPr>
            <w:r>
              <w:rPr>
                <w:sz w:val="18"/>
                <w:szCs w:val="18"/>
              </w:rPr>
              <w:t>60</w:t>
            </w:r>
          </w:p>
        </w:tc>
        <w:tc>
          <w:tcPr>
            <w:tcW w:w="990" w:type="dxa"/>
            <w:tcBorders>
              <w:top w:val="nil"/>
              <w:left w:val="nil"/>
              <w:bottom w:val="single" w:color="auto" w:sz="8" w:space="0"/>
              <w:right w:val="single" w:color="auto" w:sz="8" w:space="0"/>
            </w:tcBorders>
            <w:shd w:val="clear" w:color="auto" w:fill="auto"/>
            <w:vAlign w:val="bottom"/>
          </w:tcPr>
          <w:p w:rsidRPr="003F5BB6" w:rsidR="00590CE5" w:rsidP="00820F0A" w:rsidRDefault="00590CE5" w14:paraId="0EA5885C" w14:textId="77777777">
            <w:pPr>
              <w:jc w:val="center"/>
              <w:rPr>
                <w:sz w:val="18"/>
                <w:szCs w:val="18"/>
              </w:rPr>
            </w:pPr>
          </w:p>
        </w:tc>
        <w:tc>
          <w:tcPr>
            <w:tcW w:w="900" w:type="dxa"/>
            <w:tcBorders>
              <w:top w:val="nil"/>
              <w:left w:val="nil"/>
              <w:bottom w:val="single" w:color="auto" w:sz="8" w:space="0"/>
              <w:right w:val="single" w:color="auto" w:sz="8" w:space="0"/>
            </w:tcBorders>
            <w:shd w:val="clear" w:color="auto" w:fill="auto"/>
            <w:vAlign w:val="bottom"/>
          </w:tcPr>
          <w:p w:rsidRPr="003F5BB6" w:rsidR="00590CE5" w:rsidP="00820F0A" w:rsidRDefault="00590CE5" w14:paraId="7F6CD96E" w14:textId="77777777">
            <w:pPr>
              <w:jc w:val="center"/>
              <w:rPr>
                <w:sz w:val="18"/>
                <w:szCs w:val="18"/>
              </w:rPr>
            </w:pPr>
          </w:p>
        </w:tc>
        <w:tc>
          <w:tcPr>
            <w:tcW w:w="810" w:type="dxa"/>
            <w:tcBorders>
              <w:top w:val="nil"/>
              <w:left w:val="nil"/>
              <w:bottom w:val="single" w:color="auto" w:sz="8" w:space="0"/>
              <w:right w:val="single" w:color="auto" w:sz="8" w:space="0"/>
            </w:tcBorders>
            <w:shd w:val="clear" w:color="auto" w:fill="auto"/>
            <w:vAlign w:val="bottom"/>
          </w:tcPr>
          <w:p w:rsidRPr="003F5BB6" w:rsidR="00590CE5" w:rsidP="00820F0A" w:rsidRDefault="00590CE5" w14:paraId="0DDE5104" w14:textId="77777777">
            <w:pPr>
              <w:jc w:val="center"/>
              <w:rPr>
                <w:sz w:val="18"/>
                <w:szCs w:val="18"/>
              </w:rPr>
            </w:pPr>
          </w:p>
        </w:tc>
        <w:tc>
          <w:tcPr>
            <w:tcW w:w="900" w:type="dxa"/>
            <w:tcBorders>
              <w:top w:val="nil"/>
              <w:left w:val="nil"/>
              <w:bottom w:val="single" w:color="auto" w:sz="8" w:space="0"/>
              <w:right w:val="single" w:color="auto" w:sz="8" w:space="0"/>
            </w:tcBorders>
            <w:shd w:val="clear" w:color="auto" w:fill="auto"/>
            <w:vAlign w:val="bottom"/>
          </w:tcPr>
          <w:p w:rsidRPr="003F5BB6" w:rsidR="00590CE5" w:rsidP="00820F0A" w:rsidRDefault="00590CE5" w14:paraId="24D6CA44" w14:textId="77777777">
            <w:pPr>
              <w:jc w:val="center"/>
              <w:rPr>
                <w:sz w:val="18"/>
                <w:szCs w:val="18"/>
              </w:rPr>
            </w:pPr>
          </w:p>
        </w:tc>
      </w:tr>
      <w:tr w:rsidRPr="003F5BB6" w:rsidR="0016434C" w:rsidTr="00820F0A" w14:paraId="06DB3BEB" w14:textId="77777777">
        <w:trPr>
          <w:trHeight w:val="1290"/>
        </w:trPr>
        <w:tc>
          <w:tcPr>
            <w:tcW w:w="1620" w:type="dxa"/>
            <w:tcBorders>
              <w:top w:val="nil"/>
              <w:left w:val="single" w:color="auto" w:sz="8" w:space="0"/>
              <w:bottom w:val="single" w:color="auto" w:sz="8" w:space="0"/>
              <w:right w:val="single" w:color="auto" w:sz="8" w:space="0"/>
            </w:tcBorders>
            <w:shd w:val="clear" w:color="auto" w:fill="auto"/>
            <w:vAlign w:val="bottom"/>
          </w:tcPr>
          <w:p w:rsidRPr="007066D2" w:rsidR="0016434C" w:rsidP="00820F0A" w:rsidRDefault="0016434C" w14:paraId="10396AE9" w14:textId="77777777">
            <w:pPr>
              <w:jc w:val="center"/>
              <w:rPr>
                <w:sz w:val="18"/>
                <w:szCs w:val="18"/>
              </w:rPr>
            </w:pPr>
            <w:r>
              <w:rPr>
                <w:sz w:val="18"/>
                <w:szCs w:val="18"/>
              </w:rPr>
              <w:t>State, Local or Tribal Government</w:t>
            </w:r>
          </w:p>
        </w:tc>
        <w:tc>
          <w:tcPr>
            <w:tcW w:w="1747" w:type="dxa"/>
            <w:tcBorders>
              <w:top w:val="nil"/>
              <w:left w:val="nil"/>
              <w:bottom w:val="single" w:color="auto" w:sz="8" w:space="0"/>
              <w:right w:val="single" w:color="auto" w:sz="8" w:space="0"/>
            </w:tcBorders>
            <w:shd w:val="clear" w:color="auto" w:fill="auto"/>
            <w:vAlign w:val="bottom"/>
          </w:tcPr>
          <w:p w:rsidRPr="007066D2" w:rsidR="0016434C" w:rsidP="00FB0EAE" w:rsidRDefault="0016434C" w14:paraId="05C71975" w14:textId="77777777">
            <w:pPr>
              <w:jc w:val="center"/>
              <w:rPr>
                <w:sz w:val="18"/>
                <w:szCs w:val="18"/>
              </w:rPr>
            </w:pPr>
            <w:r w:rsidRPr="007066D2">
              <w:rPr>
                <w:sz w:val="18"/>
                <w:szCs w:val="18"/>
              </w:rPr>
              <w:t xml:space="preserve">Homeland Security Exercise &amp; Evaluation Program (HSEEP) After Action Report (AAR) and Improvement Plan (IP) / </w:t>
            </w:r>
            <w:r>
              <w:rPr>
                <w:sz w:val="18"/>
                <w:szCs w:val="18"/>
              </w:rPr>
              <w:t>FEMA</w:t>
            </w:r>
            <w:r w:rsidRPr="007066D2">
              <w:rPr>
                <w:sz w:val="18"/>
                <w:szCs w:val="18"/>
              </w:rPr>
              <w:t xml:space="preserve"> Form</w:t>
            </w:r>
            <w:r>
              <w:rPr>
                <w:sz w:val="18"/>
                <w:szCs w:val="18"/>
              </w:rPr>
              <w:t xml:space="preserve"> 091-0; FEMA OMB Number 1660-</w:t>
            </w:r>
            <w:r w:rsidR="00FB0EAE">
              <w:rPr>
                <w:sz w:val="18"/>
                <w:szCs w:val="18"/>
              </w:rPr>
              <w:t>0118</w:t>
            </w:r>
          </w:p>
        </w:tc>
        <w:tc>
          <w:tcPr>
            <w:tcW w:w="1016" w:type="dxa"/>
            <w:tcBorders>
              <w:top w:val="nil"/>
              <w:left w:val="nil"/>
              <w:bottom w:val="single" w:color="auto" w:sz="8" w:space="0"/>
              <w:right w:val="single" w:color="auto" w:sz="8" w:space="0"/>
            </w:tcBorders>
            <w:shd w:val="clear" w:color="auto" w:fill="auto"/>
            <w:vAlign w:val="bottom"/>
          </w:tcPr>
          <w:p w:rsidRPr="007066D2" w:rsidR="0016434C" w:rsidP="00820F0A" w:rsidRDefault="00634404" w14:paraId="42284272" w14:textId="77777777">
            <w:pPr>
              <w:jc w:val="center"/>
              <w:rPr>
                <w:sz w:val="18"/>
                <w:szCs w:val="18"/>
              </w:rPr>
            </w:pPr>
            <w:r>
              <w:rPr>
                <w:sz w:val="18"/>
                <w:szCs w:val="18"/>
              </w:rPr>
              <w:t>6</w:t>
            </w:r>
            <w:r w:rsidR="0016434C">
              <w:rPr>
                <w:sz w:val="18"/>
                <w:szCs w:val="18"/>
              </w:rPr>
              <w:t>0</w:t>
            </w:r>
          </w:p>
        </w:tc>
        <w:tc>
          <w:tcPr>
            <w:tcW w:w="1017" w:type="dxa"/>
            <w:tcBorders>
              <w:top w:val="nil"/>
              <w:left w:val="nil"/>
              <w:bottom w:val="single" w:color="auto" w:sz="8" w:space="0"/>
              <w:right w:val="single" w:color="auto" w:sz="8" w:space="0"/>
            </w:tcBorders>
            <w:shd w:val="clear" w:color="auto" w:fill="auto"/>
            <w:vAlign w:val="bottom"/>
          </w:tcPr>
          <w:p w:rsidRPr="007066D2" w:rsidR="0016434C" w:rsidP="00820F0A" w:rsidRDefault="0016434C" w14:paraId="1D89D7F2" w14:textId="77777777">
            <w:pPr>
              <w:jc w:val="center"/>
              <w:rPr>
                <w:sz w:val="18"/>
                <w:szCs w:val="18"/>
              </w:rPr>
            </w:pPr>
            <w:r w:rsidRPr="007066D2">
              <w:rPr>
                <w:sz w:val="18"/>
                <w:szCs w:val="18"/>
              </w:rPr>
              <w:t>1</w:t>
            </w:r>
          </w:p>
        </w:tc>
        <w:tc>
          <w:tcPr>
            <w:tcW w:w="1260" w:type="dxa"/>
            <w:tcBorders>
              <w:top w:val="nil"/>
              <w:left w:val="nil"/>
              <w:bottom w:val="single" w:color="auto" w:sz="8" w:space="0"/>
              <w:right w:val="single" w:color="auto" w:sz="8" w:space="0"/>
            </w:tcBorders>
            <w:shd w:val="clear" w:color="auto" w:fill="auto"/>
            <w:vAlign w:val="bottom"/>
          </w:tcPr>
          <w:p w:rsidRPr="007066D2" w:rsidR="0016434C" w:rsidP="00820F0A" w:rsidRDefault="00634404" w14:paraId="4C2E3229" w14:textId="77777777">
            <w:pPr>
              <w:jc w:val="center"/>
              <w:rPr>
                <w:sz w:val="18"/>
                <w:szCs w:val="18"/>
              </w:rPr>
            </w:pPr>
            <w:r>
              <w:rPr>
                <w:sz w:val="18"/>
                <w:szCs w:val="18"/>
              </w:rPr>
              <w:t>6</w:t>
            </w:r>
            <w:r w:rsidR="0016434C">
              <w:rPr>
                <w:sz w:val="18"/>
                <w:szCs w:val="18"/>
              </w:rPr>
              <w:t>0</w:t>
            </w:r>
          </w:p>
        </w:tc>
        <w:tc>
          <w:tcPr>
            <w:tcW w:w="990" w:type="dxa"/>
            <w:tcBorders>
              <w:top w:val="nil"/>
              <w:left w:val="nil"/>
              <w:bottom w:val="single" w:color="auto" w:sz="8" w:space="0"/>
              <w:right w:val="single" w:color="auto" w:sz="8" w:space="0"/>
            </w:tcBorders>
            <w:shd w:val="clear" w:color="auto" w:fill="auto"/>
            <w:vAlign w:val="bottom"/>
          </w:tcPr>
          <w:p w:rsidRPr="007066D2" w:rsidR="0016434C" w:rsidP="00820F0A" w:rsidRDefault="0016434C" w14:paraId="2347212B" w14:textId="77777777">
            <w:pPr>
              <w:jc w:val="center"/>
              <w:rPr>
                <w:sz w:val="18"/>
                <w:szCs w:val="18"/>
              </w:rPr>
            </w:pPr>
            <w:r w:rsidRPr="007066D2">
              <w:rPr>
                <w:sz w:val="18"/>
                <w:szCs w:val="18"/>
              </w:rPr>
              <w:t> </w:t>
            </w:r>
          </w:p>
        </w:tc>
        <w:tc>
          <w:tcPr>
            <w:tcW w:w="900" w:type="dxa"/>
            <w:tcBorders>
              <w:top w:val="nil"/>
              <w:left w:val="nil"/>
              <w:bottom w:val="single" w:color="auto" w:sz="8" w:space="0"/>
              <w:right w:val="single" w:color="auto" w:sz="8" w:space="0"/>
            </w:tcBorders>
            <w:shd w:val="clear" w:color="auto" w:fill="auto"/>
            <w:vAlign w:val="bottom"/>
          </w:tcPr>
          <w:p w:rsidRPr="007066D2" w:rsidR="0016434C" w:rsidP="00820F0A" w:rsidRDefault="0016434C" w14:paraId="7AD03307" w14:textId="77777777">
            <w:pPr>
              <w:jc w:val="center"/>
              <w:rPr>
                <w:sz w:val="18"/>
                <w:szCs w:val="18"/>
              </w:rPr>
            </w:pPr>
            <w:r w:rsidRPr="007066D2">
              <w:rPr>
                <w:sz w:val="18"/>
                <w:szCs w:val="18"/>
              </w:rPr>
              <w:t> </w:t>
            </w:r>
          </w:p>
        </w:tc>
        <w:tc>
          <w:tcPr>
            <w:tcW w:w="810" w:type="dxa"/>
            <w:tcBorders>
              <w:top w:val="nil"/>
              <w:left w:val="nil"/>
              <w:bottom w:val="single" w:color="auto" w:sz="8" w:space="0"/>
              <w:right w:val="single" w:color="auto" w:sz="8" w:space="0"/>
            </w:tcBorders>
            <w:shd w:val="clear" w:color="auto" w:fill="auto"/>
            <w:vAlign w:val="bottom"/>
          </w:tcPr>
          <w:p w:rsidRPr="007066D2" w:rsidR="0016434C" w:rsidP="00820F0A" w:rsidRDefault="0016434C" w14:paraId="20428D87" w14:textId="77777777">
            <w:pPr>
              <w:jc w:val="center"/>
              <w:rPr>
                <w:sz w:val="18"/>
                <w:szCs w:val="18"/>
              </w:rPr>
            </w:pPr>
            <w:r w:rsidRPr="007066D2">
              <w:rPr>
                <w:sz w:val="18"/>
                <w:szCs w:val="18"/>
              </w:rPr>
              <w:t> </w:t>
            </w:r>
          </w:p>
        </w:tc>
        <w:tc>
          <w:tcPr>
            <w:tcW w:w="900" w:type="dxa"/>
            <w:tcBorders>
              <w:top w:val="nil"/>
              <w:left w:val="nil"/>
              <w:bottom w:val="single" w:color="auto" w:sz="8" w:space="0"/>
              <w:right w:val="single" w:color="auto" w:sz="8" w:space="0"/>
            </w:tcBorders>
            <w:shd w:val="clear" w:color="auto" w:fill="auto"/>
            <w:vAlign w:val="bottom"/>
          </w:tcPr>
          <w:p w:rsidRPr="007066D2" w:rsidR="0016434C" w:rsidP="00820F0A" w:rsidRDefault="0016434C" w14:paraId="343C42CB" w14:textId="77777777">
            <w:pPr>
              <w:jc w:val="center"/>
              <w:rPr>
                <w:sz w:val="18"/>
                <w:szCs w:val="18"/>
              </w:rPr>
            </w:pPr>
            <w:r w:rsidRPr="007066D2">
              <w:rPr>
                <w:sz w:val="18"/>
                <w:szCs w:val="18"/>
              </w:rPr>
              <w:t> </w:t>
            </w:r>
          </w:p>
        </w:tc>
      </w:tr>
      <w:tr w:rsidRPr="00A7714C" w:rsidR="0016434C" w:rsidTr="00820F0A" w14:paraId="4AC88F6D" w14:textId="77777777">
        <w:trPr>
          <w:trHeight w:val="270"/>
        </w:trPr>
        <w:tc>
          <w:tcPr>
            <w:tcW w:w="1620" w:type="dxa"/>
            <w:tcBorders>
              <w:top w:val="single" w:color="auto" w:sz="8" w:space="0"/>
              <w:left w:val="single" w:color="auto" w:sz="8" w:space="0"/>
              <w:bottom w:val="single" w:color="auto" w:sz="8" w:space="0"/>
              <w:right w:val="single" w:color="auto" w:sz="8" w:space="0"/>
            </w:tcBorders>
            <w:shd w:val="clear" w:color="auto" w:fill="auto"/>
            <w:vAlign w:val="bottom"/>
          </w:tcPr>
          <w:p w:rsidRPr="00A7714C" w:rsidR="0016434C" w:rsidP="00820F0A" w:rsidRDefault="0016434C" w14:paraId="23965581" w14:textId="77777777">
            <w:pPr>
              <w:jc w:val="center"/>
              <w:rPr>
                <w:b/>
                <w:bCs/>
                <w:color w:val="000000"/>
                <w:sz w:val="18"/>
                <w:szCs w:val="18"/>
              </w:rPr>
            </w:pPr>
            <w:r w:rsidRPr="00A7714C">
              <w:rPr>
                <w:b/>
                <w:bCs/>
                <w:color w:val="000000"/>
                <w:sz w:val="18"/>
                <w:szCs w:val="18"/>
              </w:rPr>
              <w:t>Total</w:t>
            </w:r>
          </w:p>
        </w:tc>
        <w:tc>
          <w:tcPr>
            <w:tcW w:w="1747" w:type="dxa"/>
            <w:tcBorders>
              <w:top w:val="single" w:color="auto" w:sz="8" w:space="0"/>
              <w:left w:val="nil"/>
              <w:bottom w:val="single" w:color="auto" w:sz="8" w:space="0"/>
              <w:right w:val="single" w:color="auto" w:sz="8" w:space="0"/>
            </w:tcBorders>
            <w:shd w:val="clear" w:color="auto" w:fill="000000"/>
            <w:vAlign w:val="bottom"/>
          </w:tcPr>
          <w:p w:rsidRPr="00A7714C" w:rsidR="0016434C" w:rsidP="00820F0A" w:rsidRDefault="0016434C" w14:paraId="595AF301" w14:textId="77777777">
            <w:pPr>
              <w:jc w:val="center"/>
              <w:rPr>
                <w:b/>
                <w:color w:val="FFFFFF"/>
                <w:sz w:val="18"/>
                <w:szCs w:val="18"/>
              </w:rPr>
            </w:pPr>
            <w:r w:rsidRPr="00A7714C">
              <w:rPr>
                <w:b/>
                <w:color w:val="FFFFFF"/>
                <w:sz w:val="18"/>
                <w:szCs w:val="18"/>
              </w:rPr>
              <w:t> </w:t>
            </w:r>
          </w:p>
        </w:tc>
        <w:tc>
          <w:tcPr>
            <w:tcW w:w="1016" w:type="dxa"/>
            <w:tcBorders>
              <w:top w:val="single" w:color="auto" w:sz="8" w:space="0"/>
              <w:left w:val="nil"/>
              <w:bottom w:val="single" w:color="auto" w:sz="8" w:space="0"/>
              <w:right w:val="single" w:color="auto" w:sz="8" w:space="0"/>
            </w:tcBorders>
            <w:shd w:val="clear" w:color="auto" w:fill="000000"/>
            <w:vAlign w:val="bottom"/>
          </w:tcPr>
          <w:p w:rsidRPr="00A7714C" w:rsidR="0016434C" w:rsidP="00820F0A" w:rsidRDefault="0016434C" w14:paraId="11294F99" w14:textId="77777777">
            <w:pPr>
              <w:jc w:val="center"/>
              <w:rPr>
                <w:b/>
                <w:color w:val="FFFFFF"/>
                <w:sz w:val="18"/>
                <w:szCs w:val="18"/>
              </w:rPr>
            </w:pPr>
            <w:r w:rsidRPr="00A7714C">
              <w:rPr>
                <w:b/>
                <w:color w:val="FFFFFF"/>
                <w:sz w:val="18"/>
                <w:szCs w:val="18"/>
              </w:rPr>
              <w:t> </w:t>
            </w:r>
          </w:p>
        </w:tc>
        <w:tc>
          <w:tcPr>
            <w:tcW w:w="1017" w:type="dxa"/>
            <w:tcBorders>
              <w:top w:val="single" w:color="auto" w:sz="8" w:space="0"/>
              <w:left w:val="nil"/>
              <w:bottom w:val="single" w:color="auto" w:sz="8" w:space="0"/>
              <w:right w:val="single" w:color="auto" w:sz="8" w:space="0"/>
            </w:tcBorders>
            <w:shd w:val="solid" w:color="auto" w:fill="auto"/>
            <w:vAlign w:val="bottom"/>
          </w:tcPr>
          <w:p w:rsidRPr="00A7714C" w:rsidR="0016434C" w:rsidP="00820F0A" w:rsidRDefault="0016434C" w14:paraId="78DF5913" w14:textId="77777777">
            <w:pPr>
              <w:jc w:val="center"/>
              <w:rPr>
                <w:b/>
                <w:color w:val="FFFFFF"/>
                <w:sz w:val="18"/>
                <w:szCs w:val="18"/>
              </w:rPr>
            </w:pPr>
            <w:r w:rsidRPr="00A7714C">
              <w:rPr>
                <w:b/>
                <w:color w:val="FFFFFF"/>
                <w:sz w:val="18"/>
                <w:szCs w:val="18"/>
              </w:rPr>
              <w:t> </w:t>
            </w:r>
          </w:p>
        </w:tc>
        <w:tc>
          <w:tcPr>
            <w:tcW w:w="1260" w:type="dxa"/>
            <w:tcBorders>
              <w:top w:val="single" w:color="auto" w:sz="8" w:space="0"/>
              <w:left w:val="nil"/>
              <w:bottom w:val="single" w:color="auto" w:sz="8" w:space="0"/>
              <w:right w:val="single" w:color="auto" w:sz="8" w:space="0"/>
            </w:tcBorders>
            <w:shd w:val="clear" w:color="auto" w:fill="auto"/>
            <w:vAlign w:val="bottom"/>
          </w:tcPr>
          <w:p w:rsidRPr="00A7714C" w:rsidR="0016434C" w:rsidP="00917D7B" w:rsidRDefault="00590CE5" w14:paraId="2B692C75" w14:textId="77777777">
            <w:pPr>
              <w:jc w:val="center"/>
              <w:rPr>
                <w:b/>
                <w:color w:val="000000"/>
                <w:sz w:val="18"/>
                <w:szCs w:val="18"/>
              </w:rPr>
            </w:pPr>
            <w:r>
              <w:rPr>
                <w:b/>
                <w:color w:val="000000"/>
                <w:sz w:val="18"/>
                <w:szCs w:val="18"/>
              </w:rPr>
              <w:t>300</w:t>
            </w:r>
          </w:p>
        </w:tc>
        <w:tc>
          <w:tcPr>
            <w:tcW w:w="990" w:type="dxa"/>
            <w:tcBorders>
              <w:top w:val="single" w:color="auto" w:sz="8" w:space="0"/>
              <w:left w:val="nil"/>
              <w:bottom w:val="single" w:color="auto" w:sz="8" w:space="0"/>
              <w:right w:val="single" w:color="auto" w:sz="8" w:space="0"/>
            </w:tcBorders>
            <w:shd w:val="solid" w:color="auto" w:fill="auto"/>
            <w:vAlign w:val="bottom"/>
          </w:tcPr>
          <w:p w:rsidRPr="00A7714C" w:rsidR="0016434C" w:rsidP="00820F0A" w:rsidRDefault="0016434C" w14:paraId="7CDB5666" w14:textId="77777777">
            <w:pPr>
              <w:jc w:val="center"/>
              <w:rPr>
                <w:b/>
                <w:color w:val="FFFFFF"/>
                <w:sz w:val="18"/>
                <w:szCs w:val="18"/>
              </w:rPr>
            </w:pPr>
            <w:r w:rsidRPr="00A7714C">
              <w:rPr>
                <w:b/>
                <w:color w:val="FFFFFF"/>
                <w:sz w:val="18"/>
                <w:szCs w:val="18"/>
              </w:rPr>
              <w:t> </w:t>
            </w:r>
          </w:p>
        </w:tc>
        <w:tc>
          <w:tcPr>
            <w:tcW w:w="900" w:type="dxa"/>
            <w:tcBorders>
              <w:top w:val="single" w:color="auto" w:sz="8" w:space="0"/>
              <w:left w:val="nil"/>
              <w:bottom w:val="single" w:color="auto" w:sz="8" w:space="0"/>
              <w:right w:val="single" w:color="auto" w:sz="8" w:space="0"/>
            </w:tcBorders>
            <w:shd w:val="clear" w:color="auto" w:fill="auto"/>
            <w:vAlign w:val="bottom"/>
          </w:tcPr>
          <w:p w:rsidRPr="00A7714C" w:rsidR="0016434C" w:rsidP="00820F0A" w:rsidRDefault="0016434C" w14:paraId="058E755A" w14:textId="77777777">
            <w:pPr>
              <w:jc w:val="center"/>
              <w:rPr>
                <w:b/>
                <w:bCs/>
                <w:color w:val="000000"/>
                <w:sz w:val="18"/>
                <w:szCs w:val="18"/>
              </w:rPr>
            </w:pPr>
          </w:p>
        </w:tc>
        <w:tc>
          <w:tcPr>
            <w:tcW w:w="810" w:type="dxa"/>
            <w:tcBorders>
              <w:top w:val="single" w:color="auto" w:sz="8" w:space="0"/>
              <w:left w:val="nil"/>
              <w:bottom w:val="single" w:color="auto" w:sz="8" w:space="0"/>
              <w:right w:val="single" w:color="auto" w:sz="8" w:space="0"/>
            </w:tcBorders>
            <w:shd w:val="solid" w:color="auto" w:fill="auto"/>
            <w:vAlign w:val="bottom"/>
          </w:tcPr>
          <w:p w:rsidRPr="00A7714C" w:rsidR="0016434C" w:rsidP="00820F0A" w:rsidRDefault="0016434C" w14:paraId="4538BF8F" w14:textId="77777777">
            <w:pPr>
              <w:jc w:val="center"/>
              <w:rPr>
                <w:b/>
                <w:color w:val="FFFFFF"/>
                <w:sz w:val="18"/>
                <w:szCs w:val="18"/>
              </w:rPr>
            </w:pPr>
            <w:r w:rsidRPr="00A7714C">
              <w:rPr>
                <w:b/>
                <w:color w:val="FFFFFF"/>
                <w:sz w:val="18"/>
                <w:szCs w:val="18"/>
              </w:rPr>
              <w:t> </w:t>
            </w:r>
          </w:p>
        </w:tc>
        <w:tc>
          <w:tcPr>
            <w:tcW w:w="900" w:type="dxa"/>
            <w:tcBorders>
              <w:top w:val="single" w:color="auto" w:sz="8" w:space="0"/>
              <w:left w:val="nil"/>
              <w:bottom w:val="single" w:color="auto" w:sz="8" w:space="0"/>
              <w:right w:val="single" w:color="auto" w:sz="8" w:space="0"/>
            </w:tcBorders>
            <w:shd w:val="clear" w:color="auto" w:fill="auto"/>
            <w:vAlign w:val="bottom"/>
          </w:tcPr>
          <w:p w:rsidRPr="00A7714C" w:rsidR="0016434C" w:rsidP="00820F0A" w:rsidRDefault="0016434C" w14:paraId="2D199DD4" w14:textId="77777777">
            <w:pPr>
              <w:jc w:val="center"/>
              <w:rPr>
                <w:b/>
                <w:bCs/>
                <w:color w:val="000000"/>
                <w:sz w:val="18"/>
                <w:szCs w:val="18"/>
              </w:rPr>
            </w:pPr>
          </w:p>
        </w:tc>
      </w:tr>
    </w:tbl>
    <w:p w:rsidR="0016434C" w:rsidP="00EB737E" w:rsidRDefault="0016434C" w14:paraId="0B333865" w14:textId="77777777">
      <w:pPr>
        <w:tabs>
          <w:tab w:val="left" w:pos="-720"/>
        </w:tabs>
        <w:suppressAutoHyphens/>
        <w:rPr>
          <w:b/>
        </w:rPr>
      </w:pPr>
    </w:p>
    <w:p w:rsidR="00842E74" w:rsidRDefault="00842E74" w14:paraId="47072E77" w14:textId="77777777">
      <w:pPr>
        <w:rPr>
          <w:b/>
          <w:bCs/>
        </w:rPr>
      </w:pPr>
      <w:r>
        <w:fldChar w:fldCharType="begin"/>
      </w:r>
      <w:r>
        <w:instrText>ADVANCE \R 0.95</w:instrText>
      </w:r>
      <w:r>
        <w:fldChar w:fldCharType="end"/>
      </w:r>
      <w:r>
        <w:rPr>
          <w:b/>
        </w:rPr>
        <w:t>13.</w:t>
      </w:r>
      <w:r>
        <w:t xml:space="preserve">  </w:t>
      </w:r>
      <w:r>
        <w:rPr>
          <w:b/>
          <w:bCs/>
        </w:rPr>
        <w:t xml:space="preserve">Provide an estimate of the total annual cost burden to respondents or recordkeepers resulting from the collection of information.  The cost of purchasing or contracting out information collection services should be a part of this cost burden estimate.  </w:t>
      </w:r>
      <w:r w:rsidR="00E202DC">
        <w:rPr>
          <w:b/>
          <w:bCs/>
        </w:rPr>
        <w:t>(</w:t>
      </w:r>
      <w:r>
        <w:rPr>
          <w:b/>
          <w:bCs/>
        </w:rPr>
        <w:t>Do not include the cost of any hour burden shown in Items 12 and 14.</w:t>
      </w:r>
      <w:r w:rsidR="00E202DC">
        <w:rPr>
          <w:b/>
          <w:bCs/>
        </w:rPr>
        <w:t>)</w:t>
      </w:r>
    </w:p>
    <w:p w:rsidR="00361118" w:rsidP="00DD0BCE" w:rsidRDefault="00361118" w14:paraId="798E78C6" w14:textId="77777777">
      <w:pPr>
        <w:rPr>
          <w:b/>
          <w:bCs/>
        </w:rPr>
      </w:pPr>
    </w:p>
    <w:p w:rsidR="00DD0BCE" w:rsidP="00DD0BCE" w:rsidRDefault="00361118" w14:paraId="69BC3332" w14:textId="77777777">
      <w:pPr>
        <w:rPr>
          <w:b/>
          <w:bCs/>
        </w:rPr>
      </w:pPr>
      <w:r>
        <w:rPr>
          <w:b/>
          <w:bCs/>
        </w:rPr>
        <w:t>The cost estimates should be split into two components:</w:t>
      </w:r>
    </w:p>
    <w:p w:rsidR="009D59D6" w:rsidP="00DD0BCE" w:rsidRDefault="009D59D6" w14:paraId="7404FB53" w14:textId="77777777">
      <w:pPr>
        <w:rPr>
          <w:b/>
          <w:bCs/>
          <w:color w:val="FF0000"/>
        </w:rPr>
      </w:pPr>
    </w:p>
    <w:p w:rsidR="00DD0BCE" w:rsidP="00DD0BCE" w:rsidRDefault="00DD0BCE" w14:paraId="7E2A8A25" w14:textId="77777777">
      <w:pPr>
        <w:rPr>
          <w:b/>
          <w:bCs/>
          <w:color w:val="FF0000"/>
        </w:rPr>
      </w:pPr>
      <w:r>
        <w:rPr>
          <w:b/>
          <w:bCs/>
          <w:color w:val="FF0000"/>
        </w:rPr>
        <w:tab/>
      </w:r>
      <w:r w:rsidR="001722DA">
        <w:rPr>
          <w:b/>
          <w:bCs/>
        </w:rPr>
        <w:t xml:space="preserve">a. </w:t>
      </w:r>
      <w:r w:rsidRPr="00DD0BCE" w:rsidR="00842E74">
        <w:rPr>
          <w:b/>
          <w:bCs/>
        </w:rPr>
        <w:t>Operation</w:t>
      </w:r>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rsidR="00DD0BCE" w:rsidP="00DD0BCE" w:rsidRDefault="00DD0BCE" w14:paraId="4102BC54" w14:textId="77777777">
      <w:pPr>
        <w:rPr>
          <w:b/>
          <w:bCs/>
          <w:color w:val="FF0000"/>
        </w:rPr>
      </w:pPr>
    </w:p>
    <w:p w:rsidRPr="00DD0BCE" w:rsidR="00842E74" w:rsidP="00DD0BCE" w:rsidRDefault="00DD0BCE" w14:paraId="20FFCB58" w14:textId="77777777">
      <w:pPr>
        <w:rPr>
          <w:b/>
          <w:bCs/>
          <w:color w:val="FF0000"/>
        </w:rPr>
      </w:pPr>
      <w:r>
        <w:rPr>
          <w:b/>
          <w:bCs/>
          <w:color w:val="FF0000"/>
        </w:rPr>
        <w:lastRenderedPageBreak/>
        <w:tab/>
      </w:r>
      <w:r w:rsidR="001722DA">
        <w:rPr>
          <w:b/>
          <w:bCs/>
        </w:rPr>
        <w:t xml:space="preserve">b. </w:t>
      </w:r>
      <w:r w:rsidRPr="00DD0BCE" w:rsidR="00842E74">
        <w:rPr>
          <w:b/>
          <w:bCs/>
        </w:rPr>
        <w:t>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842E74" w:rsidRDefault="00842E74" w14:paraId="1028A6DE" w14:textId="77777777"/>
    <w:p w:rsidRPr="00F96427" w:rsidR="00580FAC" w:rsidP="001216B8" w:rsidRDefault="00580FAC" w14:paraId="02965976" w14:textId="77777777">
      <w:r w:rsidRPr="00F96427">
        <w:t>There are no record keeping, capital, start-up or maintenance costs associated with this</w:t>
      </w:r>
      <w:r>
        <w:t xml:space="preserve"> </w:t>
      </w:r>
      <w:r w:rsidRPr="00F96427">
        <w:t>information collection.</w:t>
      </w:r>
    </w:p>
    <w:p w:rsidR="00580FAC" w:rsidP="002A4B95" w:rsidRDefault="00580FAC" w14:paraId="5CF2A9EE" w14:textId="77777777"/>
    <w:p w:rsidRPr="002A4B95" w:rsidR="00842E74" w:rsidP="002A4B95" w:rsidRDefault="00842E74" w14:paraId="646DF3CA" w14:textId="77777777">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842E74" w:rsidRDefault="00842E74" w14:paraId="692E858A" w14:textId="77777777">
      <w:pPr>
        <w:tabs>
          <w:tab w:val="left" w:pos="360"/>
        </w:tabs>
        <w:rPr>
          <w:b/>
          <w:bCs/>
        </w:rPr>
      </w:pPr>
    </w:p>
    <w:p w:rsidR="00580FAC" w:rsidP="00580FAC" w:rsidRDefault="00580FAC" w14:paraId="38C5F452" w14:textId="77777777">
      <w:pPr>
        <w:spacing w:after="120"/>
        <w:rPr>
          <w:b/>
          <w:bCs/>
        </w:rPr>
      </w:pPr>
      <w:r w:rsidRPr="00CE0198">
        <w:t xml:space="preserve">The total cost to FEMA is </w:t>
      </w:r>
      <w:r>
        <w:t>$</w:t>
      </w:r>
      <w:r w:rsidR="00023CDB">
        <w:t>3</w:t>
      </w:r>
      <w:r w:rsidR="00627495">
        <w:t>99</w:t>
      </w:r>
      <w:r w:rsidR="00023CDB">
        <w:t>,</w:t>
      </w:r>
      <w:r w:rsidR="00627495">
        <w:t>576.50</w:t>
      </w:r>
      <w:r>
        <w:t xml:space="preserve">.  Approximately 15 staff members with an estimated grade level of GS-13 </w:t>
      </w:r>
      <w:r w:rsidRPr="00EC0347">
        <w:t>review and analyze the information collected by these forms.</w:t>
      </w:r>
      <w:r>
        <w:t xml:space="preserve">  </w:t>
      </w:r>
    </w:p>
    <w:p w:rsidR="00580FAC" w:rsidRDefault="00580FAC" w14:paraId="1D3ACAED" w14:textId="77777777">
      <w:pPr>
        <w:tabs>
          <w:tab w:val="left" w:pos="360"/>
        </w:tabs>
        <w:rPr>
          <w:b/>
          <w:bCs/>
        </w:rPr>
      </w:pPr>
    </w:p>
    <w:p w:rsidR="00934767" w:rsidP="00600089" w:rsidRDefault="00934767" w14:paraId="7387B778" w14:textId="77777777">
      <w:pPr>
        <w:tabs>
          <w:tab w:val="left" w:pos="360"/>
        </w:tabs>
        <w:jc w:val="center"/>
        <w:rPr>
          <w:b/>
          <w:bCs/>
        </w:rPr>
      </w:pPr>
      <w:r w:rsidRPr="00877531">
        <w:rPr>
          <w:b/>
          <w:bCs/>
        </w:rPr>
        <w:t xml:space="preserve">Annual Cost to </w:t>
      </w:r>
      <w:r w:rsidRPr="00877531" w:rsidR="00CB49A4">
        <w:rPr>
          <w:b/>
          <w:bCs/>
        </w:rPr>
        <w:t>the</w:t>
      </w:r>
      <w:r w:rsidRPr="00877531">
        <w:rPr>
          <w:b/>
          <w:bCs/>
        </w:rPr>
        <w:t xml:space="preserve"> Federal Government</w:t>
      </w:r>
    </w:p>
    <w:tbl>
      <w:tblPr>
        <w:tblW w:w="8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0"/>
        <w:gridCol w:w="1106"/>
      </w:tblGrid>
      <w:tr w:rsidRPr="00E85166" w:rsidR="00106F37" w:rsidTr="0058268F" w14:paraId="23EAF43F" w14:textId="77777777">
        <w:trPr>
          <w:trHeight w:val="70"/>
        </w:trPr>
        <w:tc>
          <w:tcPr>
            <w:tcW w:w="7680" w:type="dxa"/>
            <w:shd w:val="clear" w:color="auto" w:fill="0070C0"/>
            <w:noWrap/>
            <w:vAlign w:val="center"/>
          </w:tcPr>
          <w:p w:rsidRPr="00E85166" w:rsidR="00106F37" w:rsidP="00E85166" w:rsidRDefault="00106F37" w14:paraId="38965A79" w14:textId="77777777">
            <w:pPr>
              <w:jc w:val="center"/>
              <w:rPr>
                <w:rFonts w:ascii="Arial" w:hAnsi="Arial" w:cs="Arial"/>
                <w:b/>
                <w:bCs/>
                <w:sz w:val="20"/>
                <w:szCs w:val="20"/>
              </w:rPr>
            </w:pPr>
            <w:r w:rsidRPr="00E85166">
              <w:rPr>
                <w:rFonts w:ascii="Arial" w:hAnsi="Arial" w:cs="Arial"/>
                <w:b/>
                <w:bCs/>
                <w:sz w:val="20"/>
                <w:szCs w:val="20"/>
              </w:rPr>
              <w:t>Item</w:t>
            </w:r>
          </w:p>
        </w:tc>
        <w:tc>
          <w:tcPr>
            <w:tcW w:w="960" w:type="dxa"/>
            <w:shd w:val="clear" w:color="auto" w:fill="0070C0"/>
            <w:noWrap/>
          </w:tcPr>
          <w:p w:rsidRPr="00E85166" w:rsidR="00106F37" w:rsidP="00E85166" w:rsidRDefault="00106F37" w14:paraId="7B19B2BD" w14:textId="77777777">
            <w:pPr>
              <w:jc w:val="center"/>
              <w:rPr>
                <w:rFonts w:ascii="Arial" w:hAnsi="Arial" w:cs="Arial"/>
                <w:b/>
                <w:bCs/>
                <w:sz w:val="20"/>
                <w:szCs w:val="20"/>
              </w:rPr>
            </w:pPr>
            <w:r w:rsidRPr="00E85166">
              <w:rPr>
                <w:rFonts w:ascii="Arial" w:hAnsi="Arial" w:cs="Arial"/>
                <w:b/>
                <w:bCs/>
                <w:sz w:val="20"/>
                <w:szCs w:val="20"/>
              </w:rPr>
              <w:t>Cost ($)</w:t>
            </w:r>
          </w:p>
        </w:tc>
      </w:tr>
      <w:tr w:rsidRPr="00E85166" w:rsidR="00106F37" w:rsidTr="00E85166" w14:paraId="6F00C094" w14:textId="77777777">
        <w:trPr>
          <w:trHeight w:val="495"/>
        </w:trPr>
        <w:tc>
          <w:tcPr>
            <w:tcW w:w="7680" w:type="dxa"/>
          </w:tcPr>
          <w:p w:rsidR="00106F37" w:rsidP="00D951D4" w:rsidRDefault="00106F37" w14:paraId="07A8EAD5" w14:textId="77777777">
            <w:r w:rsidRPr="00D951D4">
              <w:t>Contract Costs</w:t>
            </w:r>
          </w:p>
          <w:p w:rsidR="00580FAC" w:rsidP="00580FAC" w:rsidRDefault="00580FAC" w14:paraId="7645ADF7" w14:textId="77777777">
            <w:pPr>
              <w:rPr>
                <w:b/>
                <w:sz w:val="18"/>
                <w:szCs w:val="18"/>
              </w:rPr>
            </w:pPr>
            <w:r>
              <w:rPr>
                <w:b/>
                <w:sz w:val="18"/>
                <w:szCs w:val="18"/>
              </w:rPr>
              <w:t>There are 2 contracts that support this effort: The Technical Assistance and Program Development Contract and the Grant Operations Support Contract.  These contracts support the development of the programs &amp; provide guidance/assistance to grantees, collect &amp; review information, and the cost for these contracts are:</w:t>
            </w:r>
          </w:p>
          <w:p w:rsidR="00580FAC" w:rsidP="00580FAC" w:rsidRDefault="00580FAC" w14:paraId="6A2FCC99" w14:textId="77777777">
            <w:pPr>
              <w:rPr>
                <w:b/>
                <w:sz w:val="18"/>
                <w:szCs w:val="18"/>
              </w:rPr>
            </w:pPr>
            <w:r>
              <w:rPr>
                <w:b/>
                <w:sz w:val="18"/>
                <w:szCs w:val="18"/>
              </w:rPr>
              <w:t>Technical Assistance and Program Development: $119,192.00</w:t>
            </w:r>
          </w:p>
          <w:p w:rsidR="00580FAC" w:rsidP="00580FAC" w:rsidRDefault="00580FAC" w14:paraId="46C8EAC4" w14:textId="77777777">
            <w:pPr>
              <w:rPr>
                <w:b/>
                <w:sz w:val="18"/>
                <w:szCs w:val="18"/>
              </w:rPr>
            </w:pPr>
            <w:r>
              <w:rPr>
                <w:b/>
                <w:sz w:val="18"/>
                <w:szCs w:val="18"/>
              </w:rPr>
              <w:t>Grant Operations Support: $86,880.00</w:t>
            </w:r>
          </w:p>
          <w:p w:rsidRPr="00D951D4" w:rsidR="00580FAC" w:rsidP="00580FAC" w:rsidRDefault="00580FAC" w14:paraId="24E32B3C" w14:textId="77777777">
            <w:r>
              <w:rPr>
                <w:b/>
                <w:sz w:val="18"/>
                <w:szCs w:val="18"/>
              </w:rPr>
              <w:t>Total: $206,072.00</w:t>
            </w:r>
          </w:p>
        </w:tc>
        <w:tc>
          <w:tcPr>
            <w:tcW w:w="960" w:type="dxa"/>
          </w:tcPr>
          <w:p w:rsidRPr="00E85166" w:rsidR="00106F37" w:rsidP="005F79C4" w:rsidRDefault="00106F37" w14:paraId="39FE61F5" w14:textId="77777777">
            <w:pPr>
              <w:rPr>
                <w:rFonts w:ascii="Arial" w:hAnsi="Arial" w:cs="Arial"/>
                <w:sz w:val="20"/>
                <w:szCs w:val="20"/>
              </w:rPr>
            </w:pPr>
            <w:r w:rsidRPr="00E85166">
              <w:rPr>
                <w:rFonts w:ascii="Arial" w:hAnsi="Arial" w:cs="Arial"/>
                <w:sz w:val="20"/>
                <w:szCs w:val="20"/>
              </w:rPr>
              <w:t> </w:t>
            </w:r>
            <w:r w:rsidR="00580FAC">
              <w:rPr>
                <w:rFonts w:ascii="Arial" w:hAnsi="Arial" w:cs="Arial"/>
                <w:sz w:val="20"/>
                <w:szCs w:val="20"/>
              </w:rPr>
              <w:t>$206,072</w:t>
            </w:r>
          </w:p>
        </w:tc>
      </w:tr>
      <w:tr w:rsidRPr="00E85166" w:rsidR="00106F37" w:rsidTr="00E85166" w14:paraId="28A69E5F" w14:textId="77777777">
        <w:trPr>
          <w:trHeight w:val="510"/>
        </w:trPr>
        <w:tc>
          <w:tcPr>
            <w:tcW w:w="7680" w:type="dxa"/>
          </w:tcPr>
          <w:p w:rsidRPr="001525DC" w:rsidR="00580FAC" w:rsidP="00580FAC" w:rsidRDefault="00106F37" w14:paraId="0AE8E009" w14:textId="77777777">
            <w:pPr>
              <w:rPr>
                <w:b/>
                <w:bCs/>
                <w:sz w:val="18"/>
                <w:szCs w:val="18"/>
              </w:rPr>
            </w:pPr>
            <w:r w:rsidRPr="00D951D4">
              <w:t>Staff Salaries</w:t>
            </w:r>
            <w:r w:rsidR="009B4E88">
              <w:t>*</w:t>
            </w:r>
            <w:r w:rsidRPr="00D951D4">
              <w:t xml:space="preserve"> </w:t>
            </w:r>
            <w:r w:rsidRPr="001525DC" w:rsidR="00580FAC">
              <w:rPr>
                <w:b/>
                <w:bCs/>
                <w:sz w:val="18"/>
                <w:szCs w:val="18"/>
              </w:rPr>
              <w:t>15 GS-13</w:t>
            </w:r>
            <w:r w:rsidR="00580FAC">
              <w:rPr>
                <w:b/>
                <w:bCs/>
                <w:sz w:val="18"/>
                <w:szCs w:val="18"/>
              </w:rPr>
              <w:t>, step 1</w:t>
            </w:r>
            <w:r w:rsidRPr="001525DC" w:rsidR="00580FAC">
              <w:rPr>
                <w:b/>
                <w:bCs/>
                <w:sz w:val="18"/>
                <w:szCs w:val="18"/>
              </w:rPr>
              <w:t xml:space="preserve"> employees spending approximately 10% of time annually for this administrative and financial data collection]</w:t>
            </w:r>
          </w:p>
          <w:p w:rsidRPr="00D951D4" w:rsidR="00106F37" w:rsidP="00627495" w:rsidRDefault="00580FAC" w14:paraId="22E76CE6" w14:textId="6890CEC7">
            <w:r w:rsidRPr="001525DC">
              <w:rPr>
                <w:sz w:val="20"/>
                <w:szCs w:val="20"/>
              </w:rPr>
              <w:t>=15 x $</w:t>
            </w:r>
            <w:r w:rsidR="00627495">
              <w:rPr>
                <w:sz w:val="20"/>
                <w:szCs w:val="20"/>
              </w:rPr>
              <w:t>92,145</w:t>
            </w:r>
            <w:r w:rsidRPr="001525DC">
              <w:rPr>
                <w:sz w:val="20"/>
                <w:szCs w:val="20"/>
              </w:rPr>
              <w:t>= $1,3</w:t>
            </w:r>
            <w:r w:rsidR="00627495">
              <w:rPr>
                <w:sz w:val="20"/>
                <w:szCs w:val="20"/>
              </w:rPr>
              <w:t>82</w:t>
            </w:r>
            <w:r w:rsidRPr="001525DC">
              <w:rPr>
                <w:sz w:val="20"/>
                <w:szCs w:val="20"/>
              </w:rPr>
              <w:t>,</w:t>
            </w:r>
            <w:r w:rsidR="00627495">
              <w:rPr>
                <w:sz w:val="20"/>
                <w:szCs w:val="20"/>
              </w:rPr>
              <w:t>17</w:t>
            </w:r>
            <w:r w:rsidRPr="001525DC">
              <w:rPr>
                <w:sz w:val="20"/>
                <w:szCs w:val="20"/>
              </w:rPr>
              <w:t>5</w:t>
            </w:r>
            <w:r>
              <w:rPr>
                <w:sz w:val="20"/>
                <w:szCs w:val="20"/>
              </w:rPr>
              <w:t>.00</w:t>
            </w:r>
            <w:r w:rsidRPr="001525DC">
              <w:rPr>
                <w:sz w:val="20"/>
                <w:szCs w:val="20"/>
              </w:rPr>
              <w:t xml:space="preserve"> x 1.4</w:t>
            </w:r>
            <w:r w:rsidR="00037287">
              <w:rPr>
                <w:sz w:val="20"/>
                <w:szCs w:val="20"/>
              </w:rPr>
              <w:t>6</w:t>
            </w:r>
            <w:r w:rsidRPr="001525DC">
              <w:rPr>
                <w:sz w:val="20"/>
                <w:szCs w:val="20"/>
              </w:rPr>
              <w:t xml:space="preserve"> = $</w:t>
            </w:r>
            <w:r w:rsidR="00F834E4">
              <w:rPr>
                <w:sz w:val="20"/>
                <w:szCs w:val="20"/>
              </w:rPr>
              <w:t>2,017,975</w:t>
            </w:r>
            <w:r w:rsidRPr="001525DC">
              <w:rPr>
                <w:sz w:val="20"/>
                <w:szCs w:val="20"/>
              </w:rPr>
              <w:t xml:space="preserve"> x .10 = $</w:t>
            </w:r>
            <w:r w:rsidR="00F834E4">
              <w:rPr>
                <w:sz w:val="20"/>
                <w:szCs w:val="20"/>
              </w:rPr>
              <w:t>201</w:t>
            </w:r>
            <w:r w:rsidR="00627495">
              <w:rPr>
                <w:sz w:val="20"/>
                <w:szCs w:val="20"/>
              </w:rPr>
              <w:t>,</w:t>
            </w:r>
            <w:r w:rsidR="00F834E4">
              <w:rPr>
                <w:sz w:val="20"/>
                <w:szCs w:val="20"/>
              </w:rPr>
              <w:t>797</w:t>
            </w:r>
          </w:p>
        </w:tc>
        <w:tc>
          <w:tcPr>
            <w:tcW w:w="960" w:type="dxa"/>
            <w:noWrap/>
          </w:tcPr>
          <w:p w:rsidR="00106F37" w:rsidP="00627495" w:rsidRDefault="00CA18F1" w14:paraId="23496CCD" w14:textId="788A3649">
            <w:pPr>
              <w:rPr>
                <w:rFonts w:ascii="Arial" w:hAnsi="Arial" w:cs="Arial"/>
                <w:sz w:val="20"/>
                <w:szCs w:val="20"/>
              </w:rPr>
            </w:pPr>
            <w:r>
              <w:rPr>
                <w:rFonts w:ascii="Arial" w:hAnsi="Arial" w:cs="Arial"/>
                <w:sz w:val="20"/>
                <w:szCs w:val="20"/>
              </w:rPr>
              <w:t>$</w:t>
            </w:r>
            <w:r w:rsidR="00F834E4">
              <w:rPr>
                <w:rFonts w:ascii="Arial" w:hAnsi="Arial" w:cs="Arial"/>
                <w:sz w:val="20"/>
                <w:szCs w:val="20"/>
              </w:rPr>
              <w:t>201,797</w:t>
            </w:r>
          </w:p>
          <w:p w:rsidR="00627495" w:rsidP="00627495" w:rsidRDefault="00627495" w14:paraId="52DFC59F" w14:textId="77777777">
            <w:pPr>
              <w:rPr>
                <w:rFonts w:ascii="Arial" w:hAnsi="Arial" w:cs="Arial"/>
                <w:sz w:val="20"/>
                <w:szCs w:val="20"/>
              </w:rPr>
            </w:pPr>
          </w:p>
          <w:p w:rsidRPr="00E85166" w:rsidR="00627495" w:rsidP="00627495" w:rsidRDefault="00627495" w14:paraId="6DAD33BC" w14:textId="77777777">
            <w:pPr>
              <w:rPr>
                <w:rFonts w:ascii="Arial" w:hAnsi="Arial" w:cs="Arial"/>
                <w:sz w:val="20"/>
                <w:szCs w:val="20"/>
              </w:rPr>
            </w:pPr>
          </w:p>
        </w:tc>
      </w:tr>
      <w:tr w:rsidRPr="00E85166" w:rsidR="00106F37" w:rsidTr="00E85166" w14:paraId="1C60CDD0" w14:textId="77777777">
        <w:trPr>
          <w:trHeight w:val="270"/>
        </w:trPr>
        <w:tc>
          <w:tcPr>
            <w:tcW w:w="7680" w:type="dxa"/>
            <w:noWrap/>
          </w:tcPr>
          <w:p w:rsidRPr="00D951D4" w:rsidR="00106F37" w:rsidP="00D951D4" w:rsidRDefault="00106F37" w14:paraId="1B166BB8" w14:textId="77777777">
            <w:r w:rsidRPr="00D951D4">
              <w:t>Facilities</w:t>
            </w:r>
            <w:r w:rsidR="0015054F">
              <w:t xml:space="preserve"> </w:t>
            </w:r>
            <w:r w:rsidR="00783968">
              <w:rPr>
                <w:b/>
                <w:sz w:val="18"/>
                <w:szCs w:val="18"/>
              </w:rPr>
              <w:t>[cost for renting, overhead, e</w:t>
            </w:r>
            <w:r w:rsidRPr="00E85166" w:rsidR="0015054F">
              <w:rPr>
                <w:b/>
                <w:sz w:val="18"/>
                <w:szCs w:val="18"/>
              </w:rPr>
              <w:t>t</w:t>
            </w:r>
            <w:r w:rsidR="00783968">
              <w:rPr>
                <w:b/>
                <w:sz w:val="18"/>
                <w:szCs w:val="18"/>
              </w:rPr>
              <w:t>c</w:t>
            </w:r>
            <w:r w:rsidRPr="00E85166" w:rsidR="0015054F">
              <w:rPr>
                <w:b/>
                <w:sz w:val="18"/>
                <w:szCs w:val="18"/>
              </w:rPr>
              <w:t>. for data collection activity]</w:t>
            </w:r>
          </w:p>
        </w:tc>
        <w:tc>
          <w:tcPr>
            <w:tcW w:w="960" w:type="dxa"/>
            <w:noWrap/>
          </w:tcPr>
          <w:p w:rsidRPr="00E85166" w:rsidR="00106F37" w:rsidP="005F79C4" w:rsidRDefault="00106F37" w14:paraId="462F3714" w14:textId="77777777">
            <w:pPr>
              <w:rPr>
                <w:rFonts w:ascii="Arial" w:hAnsi="Arial" w:cs="Arial"/>
                <w:sz w:val="20"/>
                <w:szCs w:val="20"/>
              </w:rPr>
            </w:pPr>
          </w:p>
        </w:tc>
      </w:tr>
      <w:tr w:rsidRPr="00E85166" w:rsidR="00106F37" w:rsidTr="00E85166" w14:paraId="0AFD2719" w14:textId="77777777">
        <w:trPr>
          <w:trHeight w:val="240"/>
        </w:trPr>
        <w:tc>
          <w:tcPr>
            <w:tcW w:w="7680" w:type="dxa"/>
            <w:noWrap/>
          </w:tcPr>
          <w:p w:rsidRPr="00D951D4" w:rsidR="00106F37" w:rsidP="00D951D4" w:rsidRDefault="00106F37" w14:paraId="48C46C58" w14:textId="77777777">
            <w:r w:rsidRPr="00D951D4">
              <w:t>Computer Hardware and Software</w:t>
            </w:r>
            <w:r w:rsidR="00D951D4">
              <w:t xml:space="preserve"> </w:t>
            </w:r>
            <w:r w:rsidRPr="00E85166" w:rsidR="00D951D4">
              <w:rPr>
                <w:b/>
                <w:sz w:val="18"/>
                <w:szCs w:val="18"/>
              </w:rPr>
              <w:t>[cost of equipment annual lifecycle]</w:t>
            </w:r>
          </w:p>
        </w:tc>
        <w:tc>
          <w:tcPr>
            <w:tcW w:w="960" w:type="dxa"/>
            <w:noWrap/>
          </w:tcPr>
          <w:p w:rsidRPr="00E85166" w:rsidR="00106F37" w:rsidP="005F79C4" w:rsidRDefault="00106F37" w14:paraId="327D4642" w14:textId="77777777">
            <w:pPr>
              <w:rPr>
                <w:rFonts w:ascii="Arial" w:hAnsi="Arial" w:cs="Arial"/>
                <w:sz w:val="20"/>
                <w:szCs w:val="20"/>
              </w:rPr>
            </w:pPr>
          </w:p>
        </w:tc>
      </w:tr>
      <w:tr w:rsidRPr="00E85166" w:rsidR="00106F37" w:rsidTr="00E85166" w14:paraId="70D5A1E8" w14:textId="77777777">
        <w:trPr>
          <w:trHeight w:val="255"/>
        </w:trPr>
        <w:tc>
          <w:tcPr>
            <w:tcW w:w="7680" w:type="dxa"/>
            <w:noWrap/>
          </w:tcPr>
          <w:p w:rsidRPr="00D951D4" w:rsidR="00106F37" w:rsidP="00D951D4" w:rsidRDefault="00106F37" w14:paraId="2CD1AABF" w14:textId="77777777">
            <w:r w:rsidRPr="00D951D4">
              <w:t>Equipment Maintenance</w:t>
            </w:r>
            <w:r w:rsidR="00D951D4">
              <w:t xml:space="preserve"> </w:t>
            </w:r>
            <w:r w:rsidRPr="00E85166" w:rsidR="00D951D4">
              <w:rPr>
                <w:b/>
                <w:sz w:val="18"/>
                <w:szCs w:val="18"/>
              </w:rPr>
              <w:t>[cost of annual maintenance/service agreements for equipment]</w:t>
            </w:r>
          </w:p>
        </w:tc>
        <w:tc>
          <w:tcPr>
            <w:tcW w:w="960" w:type="dxa"/>
            <w:noWrap/>
          </w:tcPr>
          <w:p w:rsidRPr="00E85166" w:rsidR="00106F37" w:rsidP="005F79C4" w:rsidRDefault="00106F37" w14:paraId="029031DD" w14:textId="77777777">
            <w:pPr>
              <w:rPr>
                <w:rFonts w:ascii="Arial" w:hAnsi="Arial" w:cs="Arial"/>
                <w:sz w:val="20"/>
                <w:szCs w:val="20"/>
              </w:rPr>
            </w:pPr>
          </w:p>
        </w:tc>
      </w:tr>
      <w:tr w:rsidRPr="00E85166" w:rsidR="00106F37" w:rsidTr="00E85166" w14:paraId="7B152E17" w14:textId="77777777">
        <w:trPr>
          <w:trHeight w:val="255"/>
        </w:trPr>
        <w:tc>
          <w:tcPr>
            <w:tcW w:w="7680" w:type="dxa"/>
            <w:noWrap/>
          </w:tcPr>
          <w:p w:rsidRPr="00D951D4" w:rsidR="00106F37" w:rsidP="00D951D4" w:rsidRDefault="00106F37" w14:paraId="4EB12B15" w14:textId="77777777">
            <w:r w:rsidRPr="00D951D4">
              <w:t xml:space="preserve">Travel </w:t>
            </w:r>
          </w:p>
        </w:tc>
        <w:tc>
          <w:tcPr>
            <w:tcW w:w="960" w:type="dxa"/>
            <w:noWrap/>
          </w:tcPr>
          <w:p w:rsidRPr="00E85166" w:rsidR="00106F37" w:rsidP="005F79C4" w:rsidRDefault="00106F37" w14:paraId="7DCEA176" w14:textId="77777777">
            <w:pPr>
              <w:rPr>
                <w:rFonts w:ascii="Arial" w:hAnsi="Arial" w:cs="Arial"/>
                <w:sz w:val="20"/>
                <w:szCs w:val="20"/>
              </w:rPr>
            </w:pPr>
          </w:p>
        </w:tc>
      </w:tr>
      <w:tr w:rsidRPr="00E85166" w:rsidR="00106F37" w:rsidTr="00E85166" w14:paraId="28775128" w14:textId="77777777">
        <w:trPr>
          <w:trHeight w:val="255"/>
        </w:trPr>
        <w:tc>
          <w:tcPr>
            <w:tcW w:w="7680" w:type="dxa"/>
            <w:noWrap/>
          </w:tcPr>
          <w:p w:rsidRPr="00D951D4" w:rsidR="00106F37" w:rsidP="005F79C4" w:rsidRDefault="00106F37" w14:paraId="76961CDE" w14:textId="77777777">
            <w:r w:rsidRPr="00D951D4">
              <w:t xml:space="preserve">Printing </w:t>
            </w:r>
            <w:r w:rsidRPr="00E85166" w:rsidR="0015054F">
              <w:rPr>
                <w:b/>
                <w:sz w:val="18"/>
                <w:szCs w:val="18"/>
              </w:rPr>
              <w:t>[</w:t>
            </w:r>
            <w:r w:rsidRPr="00E85166" w:rsidR="00A643EA">
              <w:rPr>
                <w:b/>
                <w:sz w:val="18"/>
                <w:szCs w:val="18"/>
              </w:rPr>
              <w:t>number of data collection instruments annually]</w:t>
            </w:r>
          </w:p>
        </w:tc>
        <w:tc>
          <w:tcPr>
            <w:tcW w:w="960" w:type="dxa"/>
            <w:noWrap/>
          </w:tcPr>
          <w:p w:rsidRPr="00E85166" w:rsidR="00106F37" w:rsidP="005F79C4" w:rsidRDefault="00106F37" w14:paraId="77DE5BDE" w14:textId="77777777">
            <w:pPr>
              <w:rPr>
                <w:rFonts w:ascii="Arial" w:hAnsi="Arial" w:cs="Arial"/>
                <w:sz w:val="20"/>
                <w:szCs w:val="20"/>
              </w:rPr>
            </w:pPr>
          </w:p>
        </w:tc>
      </w:tr>
      <w:tr w:rsidRPr="00E85166" w:rsidR="00106F37" w:rsidTr="00E85166" w14:paraId="263D5173" w14:textId="77777777">
        <w:trPr>
          <w:trHeight w:val="255"/>
        </w:trPr>
        <w:tc>
          <w:tcPr>
            <w:tcW w:w="7680" w:type="dxa"/>
            <w:noWrap/>
          </w:tcPr>
          <w:p w:rsidRPr="00E85166" w:rsidR="00106F37" w:rsidP="005F79C4" w:rsidRDefault="00106F37" w14:paraId="0471289A" w14:textId="77777777">
            <w:pPr>
              <w:rPr>
                <w:rFonts w:ascii="Arial" w:hAnsi="Arial" w:cs="Arial"/>
                <w:sz w:val="20"/>
                <w:szCs w:val="20"/>
              </w:rPr>
            </w:pPr>
            <w:r w:rsidRPr="00E85166">
              <w:rPr>
                <w:rFonts w:ascii="Arial" w:hAnsi="Arial" w:cs="Arial"/>
                <w:sz w:val="20"/>
                <w:szCs w:val="20"/>
              </w:rPr>
              <w:t xml:space="preserve">Postage </w:t>
            </w:r>
            <w:r w:rsidRPr="00E85166" w:rsidR="0015054F">
              <w:rPr>
                <w:rFonts w:ascii="Arial" w:hAnsi="Arial" w:cs="Arial"/>
                <w:b/>
                <w:sz w:val="18"/>
                <w:szCs w:val="18"/>
              </w:rPr>
              <w:t>[</w:t>
            </w:r>
            <w:r w:rsidRPr="00E85166" w:rsidR="00A643EA">
              <w:rPr>
                <w:rFonts w:ascii="Arial" w:hAnsi="Arial" w:cs="Arial"/>
                <w:b/>
                <w:sz w:val="18"/>
                <w:szCs w:val="18"/>
              </w:rPr>
              <w:t xml:space="preserve">annual </w:t>
            </w:r>
            <w:r w:rsidRPr="00E85166" w:rsidR="0015054F">
              <w:rPr>
                <w:rFonts w:ascii="Arial" w:hAnsi="Arial" w:cs="Arial"/>
                <w:b/>
                <w:sz w:val="18"/>
                <w:szCs w:val="18"/>
              </w:rPr>
              <w:t>number of data collection instruments x postage</w:t>
            </w:r>
            <w:r w:rsidRPr="00E85166" w:rsidR="00A643EA">
              <w:rPr>
                <w:rFonts w:ascii="Arial" w:hAnsi="Arial" w:cs="Arial"/>
                <w:b/>
                <w:sz w:val="18"/>
                <w:szCs w:val="18"/>
              </w:rPr>
              <w:t>]</w:t>
            </w:r>
          </w:p>
        </w:tc>
        <w:tc>
          <w:tcPr>
            <w:tcW w:w="960" w:type="dxa"/>
            <w:noWrap/>
          </w:tcPr>
          <w:p w:rsidRPr="00E85166" w:rsidR="00106F37" w:rsidP="005F79C4" w:rsidRDefault="00106F37" w14:paraId="042F50D9" w14:textId="77777777">
            <w:pPr>
              <w:rPr>
                <w:rFonts w:ascii="Arial" w:hAnsi="Arial" w:cs="Arial"/>
                <w:sz w:val="20"/>
                <w:szCs w:val="20"/>
              </w:rPr>
            </w:pPr>
          </w:p>
        </w:tc>
      </w:tr>
      <w:tr w:rsidRPr="00E85166" w:rsidR="00106F37" w:rsidTr="00E85166" w14:paraId="555895E1" w14:textId="77777777">
        <w:trPr>
          <w:trHeight w:val="255"/>
        </w:trPr>
        <w:tc>
          <w:tcPr>
            <w:tcW w:w="7680" w:type="dxa"/>
            <w:noWrap/>
          </w:tcPr>
          <w:p w:rsidRPr="00E85166" w:rsidR="00106F37" w:rsidP="005F79C4" w:rsidRDefault="00106F37" w14:paraId="196A8099" w14:textId="77777777">
            <w:pPr>
              <w:rPr>
                <w:rFonts w:ascii="Arial" w:hAnsi="Arial" w:cs="Arial"/>
                <w:sz w:val="20"/>
                <w:szCs w:val="20"/>
              </w:rPr>
            </w:pPr>
            <w:r w:rsidRPr="00E85166">
              <w:rPr>
                <w:rFonts w:ascii="Arial" w:hAnsi="Arial" w:cs="Arial"/>
                <w:sz w:val="20"/>
                <w:szCs w:val="20"/>
              </w:rPr>
              <w:t>Other</w:t>
            </w:r>
          </w:p>
        </w:tc>
        <w:tc>
          <w:tcPr>
            <w:tcW w:w="960" w:type="dxa"/>
            <w:noWrap/>
          </w:tcPr>
          <w:p w:rsidRPr="00E85166" w:rsidR="00106F37" w:rsidP="005F79C4" w:rsidRDefault="00106F37" w14:paraId="25D41C90" w14:textId="77777777">
            <w:pPr>
              <w:rPr>
                <w:rFonts w:ascii="Arial" w:hAnsi="Arial" w:cs="Arial"/>
                <w:sz w:val="20"/>
                <w:szCs w:val="20"/>
              </w:rPr>
            </w:pPr>
          </w:p>
        </w:tc>
      </w:tr>
      <w:tr w:rsidRPr="00E85166" w:rsidR="00106F37" w:rsidTr="00E85166" w14:paraId="5F7DDACD" w14:textId="77777777">
        <w:trPr>
          <w:trHeight w:val="270"/>
        </w:trPr>
        <w:tc>
          <w:tcPr>
            <w:tcW w:w="7680" w:type="dxa"/>
            <w:noWrap/>
          </w:tcPr>
          <w:p w:rsidRPr="00E85166" w:rsidR="00106F37" w:rsidP="005F79C4" w:rsidRDefault="00106F37" w14:paraId="427AC336" w14:textId="77777777">
            <w:pPr>
              <w:rPr>
                <w:rFonts w:ascii="Arial" w:hAnsi="Arial" w:cs="Arial"/>
                <w:b/>
                <w:bCs/>
                <w:sz w:val="20"/>
                <w:szCs w:val="20"/>
              </w:rPr>
            </w:pPr>
            <w:r w:rsidRPr="00E85166">
              <w:rPr>
                <w:rFonts w:ascii="Arial" w:hAnsi="Arial" w:cs="Arial"/>
                <w:b/>
                <w:bCs/>
                <w:sz w:val="20"/>
                <w:szCs w:val="20"/>
              </w:rPr>
              <w:t>Total</w:t>
            </w:r>
          </w:p>
        </w:tc>
        <w:tc>
          <w:tcPr>
            <w:tcW w:w="960" w:type="dxa"/>
            <w:noWrap/>
          </w:tcPr>
          <w:p w:rsidRPr="00E85166" w:rsidR="00106F37" w:rsidP="005F79C4" w:rsidRDefault="00106F37" w14:paraId="7A9FCCB9" w14:textId="31B25129">
            <w:pPr>
              <w:rPr>
                <w:rFonts w:ascii="Arial" w:hAnsi="Arial" w:cs="Arial"/>
                <w:b/>
                <w:bCs/>
                <w:sz w:val="20"/>
                <w:szCs w:val="20"/>
              </w:rPr>
            </w:pPr>
            <w:r w:rsidRPr="00E85166">
              <w:rPr>
                <w:rFonts w:ascii="Arial" w:hAnsi="Arial" w:cs="Arial"/>
                <w:b/>
                <w:bCs/>
                <w:sz w:val="20"/>
                <w:szCs w:val="20"/>
              </w:rPr>
              <w:t>$</w:t>
            </w:r>
            <w:r w:rsidR="00F834E4">
              <w:rPr>
                <w:rFonts w:ascii="Arial" w:hAnsi="Arial" w:cs="Arial"/>
                <w:b/>
                <w:bCs/>
                <w:sz w:val="20"/>
                <w:szCs w:val="20"/>
              </w:rPr>
              <w:t>407</w:t>
            </w:r>
            <w:r w:rsidR="00627495">
              <w:rPr>
                <w:rFonts w:ascii="Arial" w:hAnsi="Arial" w:cs="Arial"/>
                <w:b/>
                <w:bCs/>
                <w:sz w:val="20"/>
                <w:szCs w:val="20"/>
              </w:rPr>
              <w:t>,</w:t>
            </w:r>
            <w:r w:rsidR="00F834E4">
              <w:rPr>
                <w:rFonts w:ascii="Arial" w:hAnsi="Arial" w:cs="Arial"/>
                <w:b/>
                <w:bCs/>
                <w:sz w:val="20"/>
                <w:szCs w:val="20"/>
              </w:rPr>
              <w:t>869</w:t>
            </w:r>
          </w:p>
        </w:tc>
      </w:tr>
    </w:tbl>
    <w:p w:rsidRPr="009B69D3" w:rsidR="009B4E88" w:rsidP="009B4E88" w:rsidRDefault="009B4E88" w14:paraId="7A3FE594" w14:textId="78D26043">
      <w:pPr>
        <w:tabs>
          <w:tab w:val="left" w:pos="-720"/>
        </w:tabs>
        <w:suppressAutoHyphens/>
        <w:rPr>
          <w:sz w:val="16"/>
          <w:szCs w:val="16"/>
        </w:rPr>
      </w:pPr>
      <w:r w:rsidRPr="009B69D3">
        <w:rPr>
          <w:sz w:val="16"/>
          <w:szCs w:val="16"/>
        </w:rPr>
        <w:t>* Note: The “</w:t>
      </w:r>
      <w:r>
        <w:rPr>
          <w:sz w:val="16"/>
          <w:szCs w:val="16"/>
        </w:rPr>
        <w:t>Salary</w:t>
      </w:r>
      <w:r w:rsidR="00602587">
        <w:rPr>
          <w:sz w:val="16"/>
          <w:szCs w:val="16"/>
        </w:rPr>
        <w:t xml:space="preserve"> Rate” </w:t>
      </w:r>
      <w:r w:rsidRPr="009B69D3">
        <w:rPr>
          <w:sz w:val="16"/>
          <w:szCs w:val="16"/>
        </w:rPr>
        <w:t>includes a 1.4</w:t>
      </w:r>
      <w:r w:rsidR="00037287">
        <w:rPr>
          <w:sz w:val="16"/>
          <w:szCs w:val="16"/>
        </w:rPr>
        <w:t>6</w:t>
      </w:r>
      <w:r w:rsidRPr="009B69D3">
        <w:rPr>
          <w:sz w:val="16"/>
          <w:szCs w:val="16"/>
        </w:rPr>
        <w:t xml:space="preserve"> multiplier to reflect a fully-loaded wage rate.</w:t>
      </w:r>
    </w:p>
    <w:p w:rsidR="00106F37" w:rsidRDefault="00106F37" w14:paraId="00574951" w14:textId="77777777">
      <w:pPr>
        <w:tabs>
          <w:tab w:val="left" w:pos="360"/>
        </w:tabs>
        <w:rPr>
          <w:b/>
          <w:bCs/>
        </w:rPr>
      </w:pPr>
    </w:p>
    <w:p w:rsidR="005E21C2" w:rsidP="005E21C2" w:rsidRDefault="00842E74" w14:paraId="2FA4674B" w14:textId="77777777">
      <w:pPr>
        <w:rPr>
          <w:b/>
        </w:rPr>
      </w:pPr>
      <w:r>
        <w:fldChar w:fldCharType="begin"/>
      </w:r>
      <w:r>
        <w:instrText>ADVANCE \R 0.95</w:instrText>
      </w:r>
      <w:r>
        <w:fldChar w:fldCharType="end"/>
      </w:r>
      <w:r w:rsidR="00677CAD">
        <w:fldChar w:fldCharType="begin"/>
      </w:r>
      <w:r w:rsidR="00677CAD">
        <w:instrText>ADVANCE \R 0.95</w:instrText>
      </w:r>
      <w:r w:rsidR="00677CAD">
        <w:fldChar w:fldCharType="end"/>
      </w:r>
      <w:r w:rsidR="00677CAD">
        <w:t xml:space="preserve">     </w:t>
      </w:r>
      <w:r w:rsidRPr="00974EA8" w:rsidR="005E21C2">
        <w:rPr>
          <w:b/>
        </w:rPr>
        <w:t xml:space="preserve">15.  Explain the reasons for any program changes or adjustments reported in Items 13 or 14 of the OMB Form 83-I in a narrative form.  Present the </w:t>
      </w:r>
      <w:r w:rsidR="005E21C2">
        <w:rPr>
          <w:b/>
        </w:rPr>
        <w:t xml:space="preserve">itemized </w:t>
      </w:r>
      <w:r w:rsidRPr="00974EA8" w:rsidR="005E21C2">
        <w:rPr>
          <w:b/>
        </w:rPr>
        <w:t xml:space="preserve">changes in hour burden and cost burden according to program changes or adjustments in </w:t>
      </w:r>
      <w:r w:rsidR="005E21C2">
        <w:rPr>
          <w:b/>
        </w:rPr>
        <w:t>T</w:t>
      </w:r>
      <w:r w:rsidRPr="00974EA8" w:rsidR="005E21C2">
        <w:rPr>
          <w:b/>
        </w:rPr>
        <w:t>able 5.  Denote a program increase as a positive number, and a progra</w:t>
      </w:r>
      <w:r w:rsidR="005E21C2">
        <w:rPr>
          <w:b/>
        </w:rPr>
        <w:t>m decrease as a negative number</w:t>
      </w:r>
      <w:r w:rsidRPr="00974EA8" w:rsidR="005E21C2">
        <w:rPr>
          <w:b/>
        </w:rPr>
        <w:t xml:space="preserve">.  </w:t>
      </w:r>
    </w:p>
    <w:p w:rsidRPr="003B1C2C" w:rsidR="005E21C2" w:rsidP="005E21C2" w:rsidRDefault="005E21C2" w14:paraId="511B6AEF" w14:textId="77777777">
      <w:pPr>
        <w:pStyle w:val="NormalWeb"/>
        <w:rPr>
          <w:i/>
          <w:sz w:val="20"/>
          <w:szCs w:val="20"/>
        </w:rPr>
      </w:pPr>
      <w:r w:rsidRPr="003B1C2C">
        <w:rPr>
          <w:i/>
          <w:sz w:val="20"/>
          <w:szCs w:val="20"/>
        </w:rPr>
        <w:lastRenderedPageBreak/>
        <w:t xml:space="preserve">A </w:t>
      </w:r>
      <w:r w:rsidRPr="003B1C2C">
        <w:rPr>
          <w:b/>
          <w:bCs/>
          <w:i/>
          <w:sz w:val="20"/>
          <w:szCs w:val="20"/>
        </w:rPr>
        <w:t>"Program increase"</w:t>
      </w:r>
      <w:r w:rsidRPr="003B1C2C">
        <w:rPr>
          <w:i/>
          <w:sz w:val="20"/>
          <w:szCs w:val="20"/>
        </w:rPr>
        <w:t xml:space="preserve"> is an additional burden resulting from a</w:t>
      </w:r>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(e.g., an increase in sample size or coverage, amount of information, reporting frequency, or expanded use of an</w:t>
      </w:r>
      <w:r w:rsidR="00A643EA">
        <w:rPr>
          <w:i/>
          <w:sz w:val="20"/>
          <w:szCs w:val="20"/>
        </w:rPr>
        <w:t xml:space="preserve"> </w:t>
      </w:r>
      <w:r w:rsidRPr="003B1C2C">
        <w:rPr>
          <w:i/>
          <w:sz w:val="20"/>
          <w:szCs w:val="20"/>
        </w:rPr>
        <w:t>existing form).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Pr="003B1C2C" w:rsidR="005E21C2" w:rsidP="005E21C2" w:rsidRDefault="005E21C2" w14:paraId="23E22E04" w14:textId="77777777">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592840" w:rsidP="00A643EA" w:rsidRDefault="005E21C2" w14:paraId="370C051A" w14:textId="77777777">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B05348" w:rsidTr="004D56F0" w14:paraId="3FF88E92" w14:textId="77777777">
        <w:trPr>
          <w:trHeight w:val="270"/>
          <w:jc w:val="center"/>
        </w:trPr>
        <w:tc>
          <w:tcPr>
            <w:tcW w:w="1036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00B05348" w:rsidRDefault="00B05348" w14:paraId="632C9261" w14:textId="77777777">
            <w:pPr>
              <w:jc w:val="center"/>
              <w:rPr>
                <w:b/>
                <w:bCs/>
                <w:sz w:val="18"/>
                <w:szCs w:val="18"/>
              </w:rPr>
            </w:pPr>
            <w:r>
              <w:rPr>
                <w:b/>
                <w:bCs/>
                <w:sz w:val="18"/>
                <w:szCs w:val="18"/>
              </w:rPr>
              <w:t>Itemized Changes in Annual Burden Hours</w:t>
            </w:r>
          </w:p>
        </w:tc>
      </w:tr>
      <w:tr w:rsidR="00C40261" w:rsidTr="0058268F" w14:paraId="15BFE787" w14:textId="77777777">
        <w:trPr>
          <w:trHeight w:val="1455"/>
          <w:jc w:val="center"/>
        </w:trPr>
        <w:tc>
          <w:tcPr>
            <w:tcW w:w="2340" w:type="dxa"/>
            <w:tcBorders>
              <w:top w:val="nil"/>
              <w:left w:val="single" w:color="auto" w:sz="8" w:space="0"/>
              <w:bottom w:val="single" w:color="auto" w:sz="8" w:space="0"/>
              <w:right w:val="single" w:color="auto" w:sz="8" w:space="0"/>
            </w:tcBorders>
            <w:shd w:val="clear" w:color="auto" w:fill="0070C0"/>
            <w:vAlign w:val="bottom"/>
          </w:tcPr>
          <w:p w:rsidR="00B05348" w:rsidRDefault="00B05348" w14:paraId="3D825021" w14:textId="77777777">
            <w:pPr>
              <w:jc w:val="center"/>
              <w:rPr>
                <w:b/>
                <w:bCs/>
                <w:sz w:val="18"/>
                <w:szCs w:val="18"/>
              </w:rPr>
            </w:pPr>
            <w:r>
              <w:rPr>
                <w:b/>
                <w:bCs/>
                <w:sz w:val="18"/>
                <w:szCs w:val="18"/>
              </w:rPr>
              <w:t>Data collection Activity/Instrument</w:t>
            </w:r>
          </w:p>
        </w:tc>
        <w:tc>
          <w:tcPr>
            <w:tcW w:w="1240" w:type="dxa"/>
            <w:tcBorders>
              <w:top w:val="nil"/>
              <w:left w:val="nil"/>
              <w:bottom w:val="single" w:color="auto" w:sz="8" w:space="0"/>
              <w:right w:val="single" w:color="auto" w:sz="8" w:space="0"/>
            </w:tcBorders>
            <w:shd w:val="clear" w:color="auto" w:fill="0070C0"/>
            <w:vAlign w:val="bottom"/>
          </w:tcPr>
          <w:p w:rsidR="00B05348" w:rsidRDefault="00B05348" w14:paraId="4B48DAB4" w14:textId="77777777">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color="auto" w:sz="8" w:space="0"/>
              <w:right w:val="single" w:color="auto" w:sz="8" w:space="0"/>
            </w:tcBorders>
            <w:shd w:val="clear" w:color="auto" w:fill="0070C0"/>
            <w:vAlign w:val="bottom"/>
          </w:tcPr>
          <w:p w:rsidR="00B05348" w:rsidRDefault="00B05348" w14:paraId="44FB07A1" w14:textId="77777777">
            <w:pPr>
              <w:jc w:val="center"/>
              <w:rPr>
                <w:b/>
                <w:bCs/>
                <w:sz w:val="18"/>
                <w:szCs w:val="18"/>
              </w:rPr>
            </w:pPr>
            <w:r>
              <w:rPr>
                <w:b/>
                <w:bCs/>
                <w:sz w:val="18"/>
                <w:szCs w:val="18"/>
              </w:rPr>
              <w:t xml:space="preserve">Program Change (New) </w:t>
            </w:r>
          </w:p>
        </w:tc>
        <w:tc>
          <w:tcPr>
            <w:tcW w:w="1260" w:type="dxa"/>
            <w:tcBorders>
              <w:top w:val="nil"/>
              <w:left w:val="nil"/>
              <w:bottom w:val="single" w:color="auto" w:sz="8" w:space="0"/>
              <w:right w:val="single" w:color="auto" w:sz="8" w:space="0"/>
            </w:tcBorders>
            <w:shd w:val="clear" w:color="auto" w:fill="0070C0"/>
            <w:vAlign w:val="bottom"/>
          </w:tcPr>
          <w:p w:rsidR="00B05348" w:rsidRDefault="00B05348" w14:paraId="6D6075F7" w14:textId="77777777">
            <w:pPr>
              <w:jc w:val="center"/>
              <w:rPr>
                <w:b/>
                <w:bCs/>
                <w:sz w:val="18"/>
                <w:szCs w:val="18"/>
              </w:rPr>
            </w:pPr>
            <w:r>
              <w:rPr>
                <w:b/>
                <w:bCs/>
                <w:sz w:val="18"/>
                <w:szCs w:val="18"/>
              </w:rPr>
              <w:t>Difference</w:t>
            </w:r>
          </w:p>
        </w:tc>
        <w:tc>
          <w:tcPr>
            <w:tcW w:w="1400" w:type="dxa"/>
            <w:tcBorders>
              <w:top w:val="nil"/>
              <w:left w:val="nil"/>
              <w:bottom w:val="single" w:color="auto" w:sz="8" w:space="0"/>
              <w:right w:val="single" w:color="auto" w:sz="8" w:space="0"/>
            </w:tcBorders>
            <w:shd w:val="clear" w:color="auto" w:fill="0070C0"/>
            <w:vAlign w:val="bottom"/>
          </w:tcPr>
          <w:p w:rsidR="00B05348" w:rsidRDefault="00B05348" w14:paraId="289A73B3" w14:textId="77777777">
            <w:pPr>
              <w:jc w:val="center"/>
              <w:rPr>
                <w:b/>
                <w:bCs/>
                <w:sz w:val="18"/>
                <w:szCs w:val="18"/>
              </w:rPr>
            </w:pPr>
            <w:r>
              <w:rPr>
                <w:b/>
                <w:bCs/>
                <w:sz w:val="18"/>
                <w:szCs w:val="18"/>
              </w:rPr>
              <w:t>Adjustment (hours currently on OMB Inventory)</w:t>
            </w:r>
          </w:p>
        </w:tc>
        <w:tc>
          <w:tcPr>
            <w:tcW w:w="1420" w:type="dxa"/>
            <w:tcBorders>
              <w:top w:val="nil"/>
              <w:left w:val="nil"/>
              <w:bottom w:val="single" w:color="auto" w:sz="8" w:space="0"/>
              <w:right w:val="single" w:color="auto" w:sz="8" w:space="0"/>
            </w:tcBorders>
            <w:shd w:val="clear" w:color="auto" w:fill="0070C0"/>
            <w:vAlign w:val="bottom"/>
          </w:tcPr>
          <w:p w:rsidR="00B05348" w:rsidRDefault="00B05348" w14:paraId="48557451" w14:textId="77777777">
            <w:pPr>
              <w:jc w:val="center"/>
              <w:rPr>
                <w:b/>
                <w:bCs/>
                <w:sz w:val="18"/>
                <w:szCs w:val="18"/>
              </w:rPr>
            </w:pPr>
            <w:r>
              <w:rPr>
                <w:b/>
                <w:bCs/>
                <w:sz w:val="18"/>
                <w:szCs w:val="18"/>
              </w:rPr>
              <w:t xml:space="preserve">Adjustment (New) </w:t>
            </w:r>
          </w:p>
        </w:tc>
        <w:tc>
          <w:tcPr>
            <w:tcW w:w="1740" w:type="dxa"/>
            <w:tcBorders>
              <w:top w:val="nil"/>
              <w:left w:val="nil"/>
              <w:bottom w:val="single" w:color="auto" w:sz="8" w:space="0"/>
              <w:right w:val="single" w:color="auto" w:sz="8" w:space="0"/>
            </w:tcBorders>
            <w:shd w:val="clear" w:color="auto" w:fill="0070C0"/>
            <w:vAlign w:val="bottom"/>
          </w:tcPr>
          <w:p w:rsidR="00B05348" w:rsidRDefault="00B05348" w14:paraId="115C1C8C" w14:textId="77777777">
            <w:pPr>
              <w:jc w:val="center"/>
              <w:rPr>
                <w:b/>
                <w:bCs/>
                <w:sz w:val="18"/>
                <w:szCs w:val="18"/>
              </w:rPr>
            </w:pPr>
            <w:r>
              <w:rPr>
                <w:b/>
                <w:bCs/>
                <w:sz w:val="18"/>
                <w:szCs w:val="18"/>
              </w:rPr>
              <w:t>Difference</w:t>
            </w:r>
          </w:p>
        </w:tc>
      </w:tr>
      <w:tr w:rsidR="00B05348" w:rsidTr="004D56F0" w14:paraId="69389779"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3E0399" w:rsidR="003E0399" w:rsidP="003E0399" w:rsidRDefault="00AC48E2" w14:paraId="7E21D026" w14:textId="77777777">
            <w:pPr>
              <w:rPr>
                <w:sz w:val="18"/>
                <w:szCs w:val="18"/>
              </w:rPr>
            </w:pPr>
            <w:r w:rsidRPr="00AC48E2">
              <w:rPr>
                <w:sz w:val="18"/>
                <w:szCs w:val="18"/>
              </w:rPr>
              <w:t xml:space="preserve">Tribal Homeland Security Grant Program (THSGP) Investment Justification Template </w:t>
            </w:r>
            <w:r w:rsidRPr="003E0399" w:rsidR="003E0399">
              <w:rPr>
                <w:sz w:val="18"/>
                <w:szCs w:val="18"/>
              </w:rPr>
              <w:t>/</w:t>
            </w:r>
          </w:p>
          <w:p w:rsidR="00B05348" w:rsidP="003E0399" w:rsidRDefault="003E0399" w14:paraId="723B4527" w14:textId="77777777">
            <w:pPr>
              <w:rPr>
                <w:rFonts w:ascii="Arial" w:hAnsi="Arial" w:cs="Arial"/>
                <w:sz w:val="18"/>
                <w:szCs w:val="18"/>
              </w:rPr>
            </w:pPr>
            <w:r w:rsidRPr="003E0399">
              <w:rPr>
                <w:sz w:val="18"/>
                <w:szCs w:val="18"/>
              </w:rPr>
              <w:t>FEMA Form 089-22</w:t>
            </w:r>
          </w:p>
        </w:tc>
        <w:tc>
          <w:tcPr>
            <w:tcW w:w="1240" w:type="dxa"/>
            <w:tcBorders>
              <w:top w:val="nil"/>
              <w:left w:val="nil"/>
              <w:bottom w:val="single" w:color="auto" w:sz="8" w:space="0"/>
              <w:right w:val="single" w:color="auto" w:sz="8" w:space="0"/>
            </w:tcBorders>
            <w:shd w:val="clear" w:color="auto" w:fill="auto"/>
            <w:vAlign w:val="bottom"/>
          </w:tcPr>
          <w:p w:rsidR="00B05348" w:rsidRDefault="00B05348" w14:paraId="66D8D30A" w14:textId="77777777">
            <w:pPr>
              <w:jc w:val="center"/>
              <w:rPr>
                <w:rFonts w:ascii="Arial" w:hAnsi="Arial" w:cs="Arial"/>
                <w:sz w:val="18"/>
                <w:szCs w:val="18"/>
              </w:rPr>
            </w:pPr>
          </w:p>
        </w:tc>
        <w:tc>
          <w:tcPr>
            <w:tcW w:w="960" w:type="dxa"/>
            <w:tcBorders>
              <w:top w:val="nil"/>
              <w:left w:val="nil"/>
              <w:bottom w:val="single" w:color="auto" w:sz="8" w:space="0"/>
              <w:right w:val="single" w:color="auto" w:sz="8" w:space="0"/>
            </w:tcBorders>
            <w:shd w:val="clear" w:color="auto" w:fill="auto"/>
            <w:vAlign w:val="bottom"/>
          </w:tcPr>
          <w:p w:rsidR="00B05348" w:rsidRDefault="00B05348" w14:paraId="272519CD" w14:textId="77777777">
            <w:pPr>
              <w:jc w:val="center"/>
              <w:rPr>
                <w:sz w:val="18"/>
                <w:szCs w:val="18"/>
              </w:rPr>
            </w:pPr>
          </w:p>
        </w:tc>
        <w:tc>
          <w:tcPr>
            <w:tcW w:w="1260" w:type="dxa"/>
            <w:tcBorders>
              <w:top w:val="nil"/>
              <w:left w:val="nil"/>
              <w:bottom w:val="single" w:color="auto" w:sz="8" w:space="0"/>
              <w:right w:val="single" w:color="auto" w:sz="8" w:space="0"/>
            </w:tcBorders>
            <w:shd w:val="clear" w:color="auto" w:fill="auto"/>
            <w:vAlign w:val="bottom"/>
          </w:tcPr>
          <w:p w:rsidR="00B05348" w:rsidRDefault="00B05348" w14:paraId="555B87EA" w14:textId="77777777">
            <w:pPr>
              <w:jc w:val="center"/>
              <w:rPr>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3E0399" w:rsidR="00B05348" w:rsidRDefault="00B05348" w14:paraId="337A0FEC" w14:textId="3028919F">
            <w:pPr>
              <w:jc w:val="center"/>
              <w:rPr>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3E0399" w:rsidR="00B05348" w:rsidRDefault="00B05348" w14:paraId="6CC1AA7F" w14:textId="08550922">
            <w:pPr>
              <w:jc w:val="center"/>
              <w:rPr>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3E0399" w:rsidR="00B05348" w:rsidRDefault="00B05348" w14:paraId="5CB6BB34" w14:textId="3E3D7034">
            <w:pPr>
              <w:jc w:val="center"/>
              <w:rPr>
                <w:sz w:val="18"/>
                <w:szCs w:val="18"/>
              </w:rPr>
            </w:pPr>
          </w:p>
        </w:tc>
      </w:tr>
      <w:tr w:rsidR="00B05348" w:rsidTr="004D56F0" w14:paraId="1A6D56EC"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00B05348" w:rsidP="003E0399" w:rsidRDefault="003E0399" w14:paraId="3B17F824" w14:textId="77777777">
            <w:pPr>
              <w:rPr>
                <w:sz w:val="18"/>
                <w:szCs w:val="18"/>
              </w:rPr>
            </w:pPr>
            <w:r w:rsidRPr="003E0399">
              <w:rPr>
                <w:sz w:val="18"/>
                <w:szCs w:val="18"/>
              </w:rPr>
              <w:t>Copy of Application provided to State prior to submission  / No Form</w:t>
            </w:r>
          </w:p>
        </w:tc>
        <w:tc>
          <w:tcPr>
            <w:tcW w:w="1240" w:type="dxa"/>
            <w:tcBorders>
              <w:top w:val="nil"/>
              <w:left w:val="nil"/>
              <w:bottom w:val="single" w:color="auto" w:sz="8" w:space="0"/>
              <w:right w:val="single" w:color="auto" w:sz="8" w:space="0"/>
            </w:tcBorders>
            <w:shd w:val="clear" w:color="auto" w:fill="auto"/>
            <w:vAlign w:val="bottom"/>
          </w:tcPr>
          <w:p w:rsidR="00B05348" w:rsidRDefault="00B05348" w14:paraId="2197483C" w14:textId="77777777">
            <w:pPr>
              <w:jc w:val="center"/>
              <w:rPr>
                <w:sz w:val="18"/>
                <w:szCs w:val="18"/>
              </w:rPr>
            </w:pPr>
            <w:r>
              <w:rPr>
                <w:sz w:val="18"/>
                <w:szCs w:val="18"/>
              </w:rPr>
              <w:t> </w:t>
            </w:r>
          </w:p>
        </w:tc>
        <w:tc>
          <w:tcPr>
            <w:tcW w:w="960" w:type="dxa"/>
            <w:tcBorders>
              <w:top w:val="nil"/>
              <w:left w:val="nil"/>
              <w:bottom w:val="single" w:color="auto" w:sz="8" w:space="0"/>
              <w:right w:val="single" w:color="auto" w:sz="8" w:space="0"/>
            </w:tcBorders>
            <w:shd w:val="clear" w:color="auto" w:fill="auto"/>
            <w:vAlign w:val="bottom"/>
          </w:tcPr>
          <w:p w:rsidR="00B05348" w:rsidRDefault="00B05348" w14:paraId="43BAE064" w14:textId="77777777">
            <w:pPr>
              <w:jc w:val="center"/>
              <w:rPr>
                <w:sz w:val="18"/>
                <w:szCs w:val="18"/>
              </w:rPr>
            </w:pPr>
          </w:p>
        </w:tc>
        <w:tc>
          <w:tcPr>
            <w:tcW w:w="1260" w:type="dxa"/>
            <w:tcBorders>
              <w:top w:val="nil"/>
              <w:left w:val="nil"/>
              <w:bottom w:val="single" w:color="auto" w:sz="8" w:space="0"/>
              <w:right w:val="single" w:color="auto" w:sz="8" w:space="0"/>
            </w:tcBorders>
            <w:shd w:val="clear" w:color="auto" w:fill="auto"/>
            <w:vAlign w:val="bottom"/>
          </w:tcPr>
          <w:p w:rsidR="00B05348" w:rsidRDefault="00B05348" w14:paraId="733F37D0" w14:textId="77777777">
            <w:pPr>
              <w:jc w:val="center"/>
              <w:rPr>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3E0399" w:rsidR="00B05348" w:rsidP="00DF0DA7" w:rsidRDefault="00B05348" w14:paraId="5B4D1E72" w14:textId="414C11BA">
            <w:pPr>
              <w:jc w:val="center"/>
              <w:rPr>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3E0399" w:rsidR="00B05348" w:rsidP="00DF0DA7" w:rsidRDefault="00B05348" w14:paraId="3895ED3B" w14:textId="1E50E523">
            <w:pPr>
              <w:jc w:val="center"/>
              <w:rPr>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3E0399" w:rsidR="00B05348" w:rsidRDefault="00B05348" w14:paraId="6ABAC6E6" w14:textId="56065C26">
            <w:pPr>
              <w:jc w:val="center"/>
              <w:rPr>
                <w:sz w:val="18"/>
                <w:szCs w:val="18"/>
              </w:rPr>
            </w:pPr>
          </w:p>
        </w:tc>
      </w:tr>
      <w:tr w:rsidR="00B05348" w:rsidTr="004D56F0" w14:paraId="29B1FA5F" w14:textId="7777777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00B05348" w:rsidRDefault="00B05348" w14:paraId="6FAC6EC1" w14:textId="77777777">
            <w:pPr>
              <w:jc w:val="center"/>
              <w:rPr>
                <w:b/>
                <w:bCs/>
                <w:sz w:val="18"/>
                <w:szCs w:val="18"/>
              </w:rPr>
            </w:pPr>
            <w:r>
              <w:rPr>
                <w:b/>
                <w:bCs/>
                <w:sz w:val="18"/>
                <w:szCs w:val="18"/>
              </w:rPr>
              <w:t>Total(s)</w:t>
            </w:r>
          </w:p>
        </w:tc>
        <w:tc>
          <w:tcPr>
            <w:tcW w:w="1240" w:type="dxa"/>
            <w:tcBorders>
              <w:top w:val="nil"/>
              <w:left w:val="nil"/>
              <w:bottom w:val="single" w:color="auto" w:sz="8" w:space="0"/>
              <w:right w:val="single" w:color="auto" w:sz="8" w:space="0"/>
            </w:tcBorders>
            <w:shd w:val="clear" w:color="auto" w:fill="auto"/>
            <w:vAlign w:val="bottom"/>
          </w:tcPr>
          <w:p w:rsidR="00B05348" w:rsidRDefault="00B05348" w14:paraId="4521C5D8" w14:textId="77777777">
            <w:pPr>
              <w:jc w:val="center"/>
              <w:rPr>
                <w:b/>
                <w:bCs/>
                <w:sz w:val="18"/>
                <w:szCs w:val="18"/>
              </w:rPr>
            </w:pPr>
          </w:p>
        </w:tc>
        <w:tc>
          <w:tcPr>
            <w:tcW w:w="960" w:type="dxa"/>
            <w:tcBorders>
              <w:top w:val="nil"/>
              <w:left w:val="nil"/>
              <w:bottom w:val="single" w:color="auto" w:sz="8" w:space="0"/>
              <w:right w:val="single" w:color="auto" w:sz="8" w:space="0"/>
            </w:tcBorders>
            <w:shd w:val="clear" w:color="auto" w:fill="auto"/>
            <w:vAlign w:val="bottom"/>
          </w:tcPr>
          <w:p w:rsidR="00B05348" w:rsidRDefault="00B05348" w14:paraId="3BAFC051" w14:textId="77777777">
            <w:pPr>
              <w:jc w:val="center"/>
              <w:rPr>
                <w:b/>
                <w:bCs/>
                <w:sz w:val="18"/>
                <w:szCs w:val="18"/>
              </w:rPr>
            </w:pPr>
          </w:p>
        </w:tc>
        <w:tc>
          <w:tcPr>
            <w:tcW w:w="1260" w:type="dxa"/>
            <w:tcBorders>
              <w:top w:val="nil"/>
              <w:left w:val="nil"/>
              <w:bottom w:val="single" w:color="auto" w:sz="8" w:space="0"/>
              <w:right w:val="single" w:color="auto" w:sz="8" w:space="0"/>
            </w:tcBorders>
            <w:shd w:val="clear" w:color="auto" w:fill="auto"/>
            <w:vAlign w:val="bottom"/>
          </w:tcPr>
          <w:p w:rsidR="00B05348" w:rsidRDefault="00B05348" w14:paraId="6071BCE3" w14:textId="77777777">
            <w:pPr>
              <w:jc w:val="center"/>
              <w:rPr>
                <w:b/>
                <w:bCs/>
                <w:sz w:val="18"/>
                <w:szCs w:val="18"/>
              </w:rPr>
            </w:pPr>
          </w:p>
        </w:tc>
        <w:tc>
          <w:tcPr>
            <w:tcW w:w="1400" w:type="dxa"/>
            <w:tcBorders>
              <w:top w:val="nil"/>
              <w:left w:val="nil"/>
              <w:bottom w:val="single" w:color="auto" w:sz="8" w:space="0"/>
              <w:right w:val="single" w:color="auto" w:sz="8" w:space="0"/>
            </w:tcBorders>
            <w:shd w:val="clear" w:color="auto" w:fill="auto"/>
            <w:vAlign w:val="bottom"/>
          </w:tcPr>
          <w:p w:rsidRPr="003E0399" w:rsidR="00B05348" w:rsidRDefault="00B05348" w14:paraId="06684C07" w14:textId="20733E04">
            <w:pPr>
              <w:jc w:val="center"/>
              <w:rPr>
                <w:b/>
                <w:bCs/>
                <w:sz w:val="18"/>
                <w:szCs w:val="18"/>
              </w:rPr>
            </w:pPr>
          </w:p>
        </w:tc>
        <w:tc>
          <w:tcPr>
            <w:tcW w:w="1420" w:type="dxa"/>
            <w:tcBorders>
              <w:top w:val="nil"/>
              <w:left w:val="nil"/>
              <w:bottom w:val="single" w:color="auto" w:sz="8" w:space="0"/>
              <w:right w:val="single" w:color="auto" w:sz="8" w:space="0"/>
            </w:tcBorders>
            <w:shd w:val="clear" w:color="auto" w:fill="auto"/>
            <w:vAlign w:val="bottom"/>
          </w:tcPr>
          <w:p w:rsidRPr="003E0399" w:rsidR="00B05348" w:rsidP="00DF0DA7" w:rsidRDefault="00B05348" w14:paraId="6A3949CF" w14:textId="001EF22E">
            <w:pPr>
              <w:jc w:val="center"/>
              <w:rPr>
                <w:b/>
                <w:bCs/>
                <w:sz w:val="18"/>
                <w:szCs w:val="18"/>
              </w:rPr>
            </w:pPr>
          </w:p>
        </w:tc>
        <w:tc>
          <w:tcPr>
            <w:tcW w:w="1740" w:type="dxa"/>
            <w:tcBorders>
              <w:top w:val="nil"/>
              <w:left w:val="nil"/>
              <w:bottom w:val="single" w:color="auto" w:sz="8" w:space="0"/>
              <w:right w:val="single" w:color="auto" w:sz="8" w:space="0"/>
            </w:tcBorders>
            <w:shd w:val="clear" w:color="auto" w:fill="auto"/>
            <w:vAlign w:val="bottom"/>
          </w:tcPr>
          <w:p w:rsidRPr="003E0399" w:rsidR="00B05348" w:rsidP="003E0399" w:rsidRDefault="00B05348" w14:paraId="32D17CEA" w14:textId="4D09FD30">
            <w:pPr>
              <w:jc w:val="center"/>
              <w:rPr>
                <w:b/>
                <w:bCs/>
                <w:sz w:val="18"/>
                <w:szCs w:val="18"/>
              </w:rPr>
            </w:pPr>
          </w:p>
        </w:tc>
      </w:tr>
    </w:tbl>
    <w:p w:rsidR="00DF0DA7" w:rsidP="00677CAD" w:rsidRDefault="00DF0DA7" w14:paraId="2BDECE6D" w14:textId="77777777">
      <w:pPr>
        <w:rPr>
          <w:b/>
          <w:bCs/>
          <w:i/>
        </w:rPr>
      </w:pPr>
    </w:p>
    <w:p w:rsidR="001216B8" w:rsidP="00677CAD" w:rsidRDefault="00B666DB" w14:paraId="1DA2031E" w14:textId="77777777">
      <w:pPr>
        <w:rPr>
          <w:b/>
          <w:bCs/>
          <w:i/>
        </w:rPr>
      </w:pPr>
      <w:r w:rsidRPr="00DA72BA">
        <w:rPr>
          <w:b/>
          <w:bCs/>
          <w:i/>
        </w:rPr>
        <w:t>Explain</w:t>
      </w:r>
      <w:r w:rsidR="0046759A">
        <w:rPr>
          <w:b/>
          <w:bCs/>
          <w:i/>
        </w:rPr>
        <w:t>:</w:t>
      </w:r>
      <w:r w:rsidR="00DF0DA7">
        <w:rPr>
          <w:b/>
          <w:bCs/>
          <w:i/>
        </w:rPr>
        <w:t xml:space="preserve"> </w:t>
      </w:r>
    </w:p>
    <w:p w:rsidR="001216B8" w:rsidP="00677CAD" w:rsidRDefault="001216B8" w14:paraId="6B5E4F5E" w14:textId="77777777">
      <w:pPr>
        <w:rPr>
          <w:b/>
          <w:bCs/>
          <w:i/>
        </w:rPr>
      </w:pPr>
    </w:p>
    <w:p w:rsidR="001216B8" w:rsidP="00677CAD" w:rsidRDefault="00DF0DA7" w14:paraId="1C17AF34" w14:textId="54F848B9">
      <w:pPr>
        <w:rPr>
          <w:b/>
          <w:bCs/>
          <w:i/>
        </w:rPr>
      </w:pPr>
      <w:r w:rsidRPr="00A065D3">
        <w:rPr>
          <w:bCs/>
        </w:rPr>
        <w:t>The</w:t>
      </w:r>
      <w:r w:rsidRPr="00A065D3" w:rsidR="002D4580">
        <w:rPr>
          <w:bCs/>
        </w:rPr>
        <w:t>re are no changes to the annual hour burden previously reported and there has been no change to the information being collected.</w:t>
      </w:r>
      <w:r w:rsidRPr="00A065D3" w:rsidR="006D2054">
        <w:rPr>
          <w:bCs/>
        </w:rPr>
        <w:t xml:space="preserve"> However, the </w:t>
      </w:r>
      <w:r w:rsidR="00F77DF0">
        <w:rPr>
          <w:bCs/>
        </w:rPr>
        <w:t xml:space="preserve">Law Enforcement </w:t>
      </w:r>
      <w:r w:rsidR="00F40A30">
        <w:rPr>
          <w:bCs/>
        </w:rPr>
        <w:t xml:space="preserve">Terrorism Activities (LETPA) </w:t>
      </w:r>
      <w:r w:rsidR="004D56F0">
        <w:rPr>
          <w:bCs/>
        </w:rPr>
        <w:t>are</w:t>
      </w:r>
      <w:r w:rsidR="00F40A30">
        <w:rPr>
          <w:bCs/>
        </w:rPr>
        <w:t xml:space="preserve"> no longer required.  Applicants were previously required to dedicate 25% </w:t>
      </w:r>
      <w:r w:rsidR="004D56F0">
        <w:rPr>
          <w:bCs/>
        </w:rPr>
        <w:t xml:space="preserve">of </w:t>
      </w:r>
      <w:r w:rsidR="00F40A30">
        <w:rPr>
          <w:bCs/>
        </w:rPr>
        <w:t>federal funds awarded</w:t>
      </w:r>
      <w:r w:rsidR="00B53935">
        <w:rPr>
          <w:bCs/>
        </w:rPr>
        <w:t>,</w:t>
      </w:r>
      <w:r w:rsidR="00F40A30">
        <w:rPr>
          <w:bCs/>
        </w:rPr>
        <w:t xml:space="preserve"> to LEPTA.  This requirement was entered into Section V. under the investment tabs (this reduces the sections in investment tabs from VI. to V.)</w:t>
      </w:r>
    </w:p>
    <w:p w:rsidR="00A91BB2" w:rsidP="00677CAD" w:rsidRDefault="00A91BB2" w14:paraId="53A920A7" w14:textId="77777777">
      <w:pPr>
        <w:rPr>
          <w:b/>
          <w:bCs/>
          <w:i/>
        </w:rPr>
      </w:pPr>
    </w:p>
    <w:p w:rsidR="00DE11F0" w:rsidP="00DE11F0" w:rsidRDefault="00DE11F0" w14:paraId="1A567A71" w14:textId="77777777">
      <w:pPr>
        <w:rPr>
          <w:b/>
          <w:bCs/>
          <w:i/>
        </w:rPr>
      </w:pPr>
      <w:r w:rsidRPr="00F54311">
        <w:rPr>
          <w:b/>
          <w:bCs/>
          <w:i/>
        </w:rPr>
        <w:t>Itemized Changes in Annual Cost Burden</w:t>
      </w:r>
    </w:p>
    <w:p w:rsidR="00DE11F0" w:rsidP="00DE11F0" w:rsidRDefault="00DE11F0" w14:paraId="02A3F761" w14:textId="77777777">
      <w:pPr>
        <w:rPr>
          <w:b/>
          <w:bCs/>
          <w:i/>
        </w:rPr>
      </w:pPr>
    </w:p>
    <w:p w:rsidR="00DA5F85" w:rsidP="00DE11F0" w:rsidRDefault="00DE11F0" w14:paraId="6755EBCC" w14:textId="77777777">
      <w:pPr>
        <w:rPr>
          <w:bCs/>
          <w:i/>
        </w:rPr>
      </w:pPr>
      <w:r w:rsidRPr="00AB04C3">
        <w:rPr>
          <w:b/>
          <w:bCs/>
          <w:i/>
        </w:rPr>
        <w:t>Explain:</w:t>
      </w:r>
      <w:r w:rsidRPr="00AB04C3">
        <w:rPr>
          <w:bCs/>
          <w:i/>
        </w:rPr>
        <w:t xml:space="preserve"> </w:t>
      </w:r>
    </w:p>
    <w:p w:rsidR="00C44FCD" w:rsidP="00DE11F0" w:rsidRDefault="00C44FCD" w14:paraId="6643EDB7" w14:textId="77777777">
      <w:pPr>
        <w:rPr>
          <w:bCs/>
          <w:i/>
        </w:rPr>
      </w:pPr>
    </w:p>
    <w:p w:rsidRPr="006625E7" w:rsidR="00DE11F0" w:rsidP="00DE11F0" w:rsidRDefault="00DE11F0" w14:paraId="570378F2" w14:textId="77777777">
      <w:pPr>
        <w:rPr>
          <w:b/>
          <w:bCs/>
        </w:rPr>
      </w:pPr>
      <w:r w:rsidRPr="00255E78">
        <w:rPr>
          <w:bCs/>
        </w:rPr>
        <w:t>There is no cost burden for this collection.</w:t>
      </w:r>
      <w:r w:rsidRPr="005B7551">
        <w:rPr>
          <w:b/>
          <w:bCs/>
          <w:highlight w:val="yellow"/>
        </w:rPr>
        <w:fldChar w:fldCharType="begin"/>
      </w:r>
      <w:r w:rsidRPr="005B7551">
        <w:rPr>
          <w:b/>
          <w:bCs/>
          <w:highlight w:val="yellow"/>
        </w:rPr>
        <w:instrText>ADVANCE \R 0.95</w:instrText>
      </w:r>
      <w:r w:rsidRPr="005B7551">
        <w:rPr>
          <w:b/>
          <w:bCs/>
          <w:highlight w:val="yellow"/>
        </w:rPr>
        <w:fldChar w:fldCharType="end"/>
      </w:r>
    </w:p>
    <w:p w:rsidR="00B73A6F" w:rsidRDefault="00842E74" w14:paraId="3B43B23B" w14:textId="77777777">
      <w:pPr>
        <w:rPr>
          <w:b/>
          <w:bCs/>
        </w:rPr>
      </w:pPr>
      <w:r>
        <w:rPr>
          <w:b/>
          <w:bCs/>
        </w:rPr>
        <w:fldChar w:fldCharType="begin"/>
      </w:r>
      <w:r>
        <w:rPr>
          <w:b/>
          <w:bCs/>
        </w:rPr>
        <w:instrText>ADVANCE \R 0.95</w:instrText>
      </w:r>
      <w:r>
        <w:rPr>
          <w:b/>
          <w:bCs/>
        </w:rPr>
        <w:fldChar w:fldCharType="end"/>
      </w:r>
    </w:p>
    <w:p w:rsidR="00842E74" w:rsidRDefault="00842E74" w14:paraId="2F1964DD" w14:textId="77777777">
      <w:pPr>
        <w:rPr>
          <w:b/>
          <w:bCs/>
        </w:rPr>
      </w:pPr>
      <w:r>
        <w:rPr>
          <w:b/>
          <w:bCs/>
        </w:rPr>
        <w:t xml:space="preserve">16.  For collections of information whose results will be published, outline plans for tabulation and publication.  Address any complex analytical techniques that will be used.  Provide the time schedule for the entire project, including beginning and </w:t>
      </w:r>
      <w:r>
        <w:rPr>
          <w:b/>
          <w:bCs/>
        </w:rPr>
        <w:lastRenderedPageBreak/>
        <w:t>ending dates of the collection of information, completion of report, publication dates, and other actions.</w:t>
      </w:r>
    </w:p>
    <w:p w:rsidR="00DB5B61" w:rsidRDefault="00842E74" w14:paraId="7C3F4D8B" w14:textId="77777777">
      <w:r>
        <w:fldChar w:fldCharType="begin"/>
      </w:r>
      <w:r>
        <w:instrText>ADVANCE \R 0.95</w:instrText>
      </w:r>
      <w:r>
        <w:fldChar w:fldCharType="end"/>
      </w:r>
    </w:p>
    <w:p w:rsidRPr="004B2BB3" w:rsidR="00930DDB" w:rsidP="00930DDB" w:rsidRDefault="00930DDB" w14:paraId="238ED6D7" w14:textId="77777777">
      <w:r w:rsidRPr="004B2BB3">
        <w:t>FEMA does not intend to employ the use of statistics or the publication thereof for this information collection.</w:t>
      </w:r>
    </w:p>
    <w:p w:rsidR="00DB5B61" w:rsidRDefault="00DB5B61" w14:paraId="39D4CDFF" w14:textId="77777777"/>
    <w:p w:rsidR="00842E74" w:rsidRDefault="00842E74" w14:paraId="33EF8BF3" w14:textId="77777777">
      <w:pPr>
        <w:rPr>
          <w:b/>
          <w:bCs/>
        </w:rPr>
      </w:pPr>
      <w:r>
        <w:rPr>
          <w:b/>
          <w:bCs/>
        </w:rPr>
        <w:fldChar w:fldCharType="begin"/>
      </w:r>
      <w:r>
        <w:rPr>
          <w:b/>
          <w:bCs/>
        </w:rPr>
        <w:instrText>ADVANCE \R 0.95</w:instrText>
      </w:r>
      <w:r>
        <w:rPr>
          <w:b/>
          <w:bCs/>
        </w:rPr>
        <w:fldChar w:fldCharType="end"/>
      </w:r>
      <w:r>
        <w:rPr>
          <w:b/>
          <w:bCs/>
        </w:rPr>
        <w:t xml:space="preserve">17.  If seeking approval not </w:t>
      </w:r>
      <w:r w:rsidR="00B956BE">
        <w:rPr>
          <w:b/>
          <w:bCs/>
        </w:rPr>
        <w:t xml:space="preserve">to </w:t>
      </w:r>
      <w:r>
        <w:rPr>
          <w:b/>
          <w:bCs/>
        </w:rPr>
        <w:t>display the expiration date for OMB approval of the information collection, explain reasons that display would be inappropriate.</w:t>
      </w:r>
    </w:p>
    <w:p w:rsidR="00930DDB" w:rsidRDefault="00930DDB" w14:paraId="07D8BABA" w14:textId="77777777">
      <w:pPr>
        <w:rPr>
          <w:b/>
          <w:bCs/>
          <w:color w:val="000000"/>
        </w:rPr>
      </w:pPr>
    </w:p>
    <w:p w:rsidR="00930DDB" w:rsidP="00930DDB" w:rsidRDefault="00930DDB" w14:paraId="2080360F" w14:textId="77777777">
      <w:pPr>
        <w:rPr>
          <w:b/>
          <w:bCs/>
          <w:color w:val="000000"/>
        </w:rPr>
      </w:pPr>
      <w:r w:rsidRPr="00FC24AF">
        <w:rPr>
          <w:color w:val="000000"/>
        </w:rPr>
        <w:t xml:space="preserve">FEMA </w:t>
      </w:r>
      <w:r w:rsidRPr="00FC24AF">
        <w:t>will display the expiration date for OMB approval of this information collection.</w:t>
      </w:r>
      <w:r w:rsidRPr="00FC24AF">
        <w:rPr>
          <w:b/>
          <w:bCs/>
          <w:color w:val="000000"/>
        </w:rPr>
        <w:fldChar w:fldCharType="begin"/>
      </w:r>
      <w:r w:rsidRPr="00FC24AF">
        <w:rPr>
          <w:b/>
          <w:bCs/>
          <w:color w:val="000000"/>
        </w:rPr>
        <w:instrText>ADVANCE \R 0.95</w:instrText>
      </w:r>
      <w:r w:rsidRPr="00FC24AF">
        <w:rPr>
          <w:b/>
          <w:bCs/>
          <w:color w:val="000000"/>
        </w:rPr>
        <w:fldChar w:fldCharType="end"/>
      </w:r>
    </w:p>
    <w:p w:rsidR="00842E74" w:rsidRDefault="00842E74" w14:paraId="71A691AC" w14:textId="77777777">
      <w:pPr>
        <w:rPr>
          <w:b/>
          <w:bCs/>
        </w:rPr>
      </w:pPr>
      <w:r>
        <w:rPr>
          <w:b/>
          <w:bCs/>
        </w:rPr>
        <w:fldChar w:fldCharType="begin"/>
      </w:r>
      <w:r>
        <w:rPr>
          <w:b/>
          <w:bCs/>
        </w:rPr>
        <w:instrText>ADVANCE \R 0.95</w:instrText>
      </w:r>
      <w:r>
        <w:rPr>
          <w:b/>
          <w:bCs/>
        </w:rPr>
        <w:fldChar w:fldCharType="end"/>
      </w:r>
      <w:r>
        <w:rPr>
          <w:b/>
          <w:bCs/>
        </w:rPr>
        <w:t>18.  Explain each exception to the certification statement identified in Item 19 “Certification for Paperwork Reduction Act Submissions,” of OMB Form 83-I.</w:t>
      </w:r>
    </w:p>
    <w:p w:rsidR="00842E74" w:rsidRDefault="00842E74" w14:paraId="1E2F647B" w14:textId="77777777">
      <w:pPr>
        <w:rPr>
          <w:b/>
          <w:bCs/>
        </w:rPr>
      </w:pPr>
    </w:p>
    <w:p w:rsidRPr="006A375E" w:rsidR="006A375E" w:rsidP="006A375E" w:rsidRDefault="00842E74" w14:paraId="1B2E72DD" w14:textId="77777777">
      <w:pPr>
        <w:rPr>
          <w:color w:val="FF0000"/>
        </w:rPr>
      </w:pPr>
      <w:r w:rsidRPr="006A375E">
        <w:rPr>
          <w:color w:val="FF0000"/>
        </w:rPr>
        <w:fldChar w:fldCharType="begin"/>
      </w:r>
      <w:r w:rsidRPr="006A375E">
        <w:rPr>
          <w:color w:val="FF0000"/>
        </w:rPr>
        <w:instrText>ADVANCE \R 0.95</w:instrText>
      </w:r>
      <w:r w:rsidRPr="006A375E">
        <w:rPr>
          <w:color w:val="FF0000"/>
        </w:rPr>
        <w:fldChar w:fldCharType="end"/>
      </w:r>
      <w:r w:rsidRPr="00FC24AF" w:rsidR="00930DDB">
        <w:rPr>
          <w:color w:val="000000"/>
        </w:rPr>
        <w:t xml:space="preserve">FEMA </w:t>
      </w:r>
      <w:r w:rsidRPr="00FC24AF" w:rsidR="00930DDB">
        <w:t>does not request an exception to the certification of this information co</w:t>
      </w:r>
      <w:r w:rsidR="00930DDB">
        <w:t>llection.</w:t>
      </w:r>
    </w:p>
    <w:p w:rsidR="00372ED0" w:rsidRDefault="00372ED0" w14:paraId="5FF95A41" w14:textId="77777777">
      <w:pPr>
        <w:rPr>
          <w:b/>
          <w:sz w:val="28"/>
        </w:rPr>
      </w:pPr>
    </w:p>
    <w:p w:rsidR="00842E74" w:rsidRDefault="00842E74" w14:paraId="7C0864DF" w14:textId="77777777">
      <w:pPr>
        <w:tabs>
          <w:tab w:val="left" w:pos="-720"/>
        </w:tabs>
        <w:suppressAutoHyphens/>
        <w:rPr>
          <w:b/>
          <w:sz w:val="28"/>
        </w:rPr>
      </w:pPr>
      <w:r>
        <w:rPr>
          <w:b/>
          <w:sz w:val="28"/>
        </w:rPr>
        <w:t>B.  Collections of Information Employing Statistical Methods.</w:t>
      </w:r>
    </w:p>
    <w:p w:rsidR="00842E74" w:rsidRDefault="00842E74" w14:paraId="6912C97A" w14:textId="77777777">
      <w:pPr>
        <w:tabs>
          <w:tab w:val="left" w:pos="-720"/>
        </w:tabs>
        <w:suppressAutoHyphens/>
      </w:pPr>
      <w:r>
        <w:fldChar w:fldCharType="begin"/>
      </w:r>
      <w:r>
        <w:instrText>ADVANCE \R 0.95</w:instrText>
      </w:r>
      <w:r>
        <w:fldChar w:fldCharType="end"/>
      </w:r>
      <w:r>
        <w:fldChar w:fldCharType="begin"/>
      </w:r>
      <w:r>
        <w:instrText>ADVANCE \R 0.95</w:instrText>
      </w:r>
      <w:r>
        <w:fldChar w:fldCharType="end"/>
      </w:r>
      <w:r>
        <w:tab/>
      </w:r>
    </w:p>
    <w:p w:rsidR="00930DDB" w:rsidP="00930DDB" w:rsidRDefault="00930DDB" w14:paraId="10C840F0" w14:textId="77777777">
      <w:pPr>
        <w:tabs>
          <w:tab w:val="left" w:pos="-720"/>
        </w:tabs>
        <w:suppressAutoHyphens/>
        <w:rPr>
          <w:color w:val="FF0000"/>
        </w:rPr>
      </w:pPr>
      <w:r w:rsidRPr="00960298">
        <w:t>There is no statistical methodology involved in this collection.</w:t>
      </w:r>
      <w:r>
        <w:fldChar w:fldCharType="begin"/>
      </w:r>
      <w:r>
        <w:instrText>ADVANCE \R 0.95</w:instrText>
      </w:r>
      <w:r>
        <w:fldChar w:fldCharType="end"/>
      </w:r>
      <w:r>
        <w:fldChar w:fldCharType="begin"/>
      </w:r>
      <w:r>
        <w:instrText>ADVANCE \R 0.95</w:instrText>
      </w:r>
      <w:r>
        <w:fldChar w:fldCharType="end"/>
      </w:r>
    </w:p>
    <w:sectPr w:rsidR="00930DDB">
      <w:headerReference w:type="default" r:id="rId17"/>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E56C9" w14:textId="77777777" w:rsidR="00F834E4" w:rsidRDefault="00F834E4">
      <w:r>
        <w:separator/>
      </w:r>
    </w:p>
  </w:endnote>
  <w:endnote w:type="continuationSeparator" w:id="0">
    <w:p w14:paraId="49C24345" w14:textId="77777777" w:rsidR="00F834E4" w:rsidRDefault="00F834E4">
      <w:r>
        <w:continuationSeparator/>
      </w:r>
    </w:p>
  </w:endnote>
  <w:endnote w:type="continuationNotice" w:id="1">
    <w:p w14:paraId="22305D60" w14:textId="77777777" w:rsidR="00F834E4" w:rsidRDefault="00F83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F513" w14:textId="77777777" w:rsidR="00F834E4" w:rsidRDefault="00F834E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9DB73" w14:textId="77777777" w:rsidR="00F834E4" w:rsidRDefault="00F83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D0E" w14:textId="77777777" w:rsidR="00F834E4" w:rsidRDefault="00F834E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FB838A" w14:textId="77777777" w:rsidR="00F834E4" w:rsidRDefault="00F83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161DD" w14:textId="77777777" w:rsidR="00F834E4" w:rsidRDefault="00F834E4">
      <w:r>
        <w:separator/>
      </w:r>
    </w:p>
  </w:footnote>
  <w:footnote w:type="continuationSeparator" w:id="0">
    <w:p w14:paraId="6298136A" w14:textId="77777777" w:rsidR="00F834E4" w:rsidRDefault="00F834E4">
      <w:r>
        <w:continuationSeparator/>
      </w:r>
    </w:p>
  </w:footnote>
  <w:footnote w:type="continuationNotice" w:id="1">
    <w:p w14:paraId="29A71804" w14:textId="77777777" w:rsidR="00F834E4" w:rsidRDefault="00F83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BCBE" w14:textId="77777777" w:rsidR="00F834E4" w:rsidRDefault="00F8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7"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15:restartNumberingAfterBreak="0">
    <w:nsid w:val="4A944E34"/>
    <w:multiLevelType w:val="hybridMultilevel"/>
    <w:tmpl w:val="77FC895C"/>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C6452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1"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0"/>
  </w:num>
  <w:num w:numId="2">
    <w:abstractNumId w:val="7"/>
  </w:num>
  <w:num w:numId="3">
    <w:abstractNumId w:val="3"/>
  </w:num>
  <w:num w:numId="4">
    <w:abstractNumId w:val="14"/>
  </w:num>
  <w:num w:numId="5">
    <w:abstractNumId w:val="1"/>
  </w:num>
  <w:num w:numId="6">
    <w:abstractNumId w:val="8"/>
  </w:num>
  <w:num w:numId="7">
    <w:abstractNumId w:val="5"/>
  </w:num>
  <w:num w:numId="8">
    <w:abstractNumId w:val="11"/>
  </w:num>
  <w:num w:numId="9">
    <w:abstractNumId w:val="0"/>
  </w:num>
  <w:num w:numId="10">
    <w:abstractNumId w:val="13"/>
  </w:num>
  <w:num w:numId="11">
    <w:abstractNumId w:val="12"/>
  </w:num>
  <w:num w:numId="12">
    <w:abstractNumId w:val="4"/>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20610"/>
    <w:rsid w:val="0002071B"/>
    <w:rsid w:val="00023CDB"/>
    <w:rsid w:val="00030F34"/>
    <w:rsid w:val="000320D1"/>
    <w:rsid w:val="00037287"/>
    <w:rsid w:val="000375D9"/>
    <w:rsid w:val="00040A45"/>
    <w:rsid w:val="000412C5"/>
    <w:rsid w:val="00042F8C"/>
    <w:rsid w:val="00044629"/>
    <w:rsid w:val="0005794F"/>
    <w:rsid w:val="00073D0F"/>
    <w:rsid w:val="00075482"/>
    <w:rsid w:val="00083DBA"/>
    <w:rsid w:val="0009032C"/>
    <w:rsid w:val="00091065"/>
    <w:rsid w:val="000926A1"/>
    <w:rsid w:val="000A17F2"/>
    <w:rsid w:val="000A6018"/>
    <w:rsid w:val="000A601B"/>
    <w:rsid w:val="000B0C3D"/>
    <w:rsid w:val="000B2EB7"/>
    <w:rsid w:val="000C1A4F"/>
    <w:rsid w:val="000C473C"/>
    <w:rsid w:val="000E0572"/>
    <w:rsid w:val="000F0E33"/>
    <w:rsid w:val="000F1EBE"/>
    <w:rsid w:val="000F4423"/>
    <w:rsid w:val="000F4D80"/>
    <w:rsid w:val="000F55B2"/>
    <w:rsid w:val="00101568"/>
    <w:rsid w:val="00103274"/>
    <w:rsid w:val="00106F37"/>
    <w:rsid w:val="001073B1"/>
    <w:rsid w:val="001125F3"/>
    <w:rsid w:val="00113C60"/>
    <w:rsid w:val="00116BB8"/>
    <w:rsid w:val="001216B8"/>
    <w:rsid w:val="0012366D"/>
    <w:rsid w:val="00124917"/>
    <w:rsid w:val="00131AD8"/>
    <w:rsid w:val="00134D64"/>
    <w:rsid w:val="00144502"/>
    <w:rsid w:val="0015054F"/>
    <w:rsid w:val="0015240D"/>
    <w:rsid w:val="00152605"/>
    <w:rsid w:val="00155AE9"/>
    <w:rsid w:val="00156752"/>
    <w:rsid w:val="0016434C"/>
    <w:rsid w:val="00164DB6"/>
    <w:rsid w:val="0016607C"/>
    <w:rsid w:val="001722DA"/>
    <w:rsid w:val="00172476"/>
    <w:rsid w:val="00176C6C"/>
    <w:rsid w:val="00177297"/>
    <w:rsid w:val="00180092"/>
    <w:rsid w:val="0018177D"/>
    <w:rsid w:val="001820ED"/>
    <w:rsid w:val="00183D39"/>
    <w:rsid w:val="0019730C"/>
    <w:rsid w:val="001A2DBE"/>
    <w:rsid w:val="001A69A7"/>
    <w:rsid w:val="001A793A"/>
    <w:rsid w:val="001B1B42"/>
    <w:rsid w:val="001B3FB1"/>
    <w:rsid w:val="001C2815"/>
    <w:rsid w:val="001C73DD"/>
    <w:rsid w:val="001C7D6D"/>
    <w:rsid w:val="001D39B8"/>
    <w:rsid w:val="001E3CE3"/>
    <w:rsid w:val="001E3F00"/>
    <w:rsid w:val="001E5DA3"/>
    <w:rsid w:val="001F2425"/>
    <w:rsid w:val="00203276"/>
    <w:rsid w:val="00203AA5"/>
    <w:rsid w:val="00211725"/>
    <w:rsid w:val="00221E47"/>
    <w:rsid w:val="0022270D"/>
    <w:rsid w:val="002229E2"/>
    <w:rsid w:val="0022652F"/>
    <w:rsid w:val="00226CC8"/>
    <w:rsid w:val="00232C69"/>
    <w:rsid w:val="00233D68"/>
    <w:rsid w:val="00243510"/>
    <w:rsid w:val="00245FB5"/>
    <w:rsid w:val="00251C9E"/>
    <w:rsid w:val="00253BC5"/>
    <w:rsid w:val="00257EA0"/>
    <w:rsid w:val="002637E5"/>
    <w:rsid w:val="0026549A"/>
    <w:rsid w:val="00266FB4"/>
    <w:rsid w:val="002742D7"/>
    <w:rsid w:val="0027662B"/>
    <w:rsid w:val="00282F08"/>
    <w:rsid w:val="00284795"/>
    <w:rsid w:val="00290000"/>
    <w:rsid w:val="0029322C"/>
    <w:rsid w:val="00295EC6"/>
    <w:rsid w:val="002A4B95"/>
    <w:rsid w:val="002A7E7F"/>
    <w:rsid w:val="002B186C"/>
    <w:rsid w:val="002B43BA"/>
    <w:rsid w:val="002B45C7"/>
    <w:rsid w:val="002B5778"/>
    <w:rsid w:val="002B7A17"/>
    <w:rsid w:val="002C730A"/>
    <w:rsid w:val="002D02B7"/>
    <w:rsid w:val="002D0477"/>
    <w:rsid w:val="002D1AF1"/>
    <w:rsid w:val="002D4580"/>
    <w:rsid w:val="002E48AC"/>
    <w:rsid w:val="002E5D97"/>
    <w:rsid w:val="002F3548"/>
    <w:rsid w:val="002F6E7C"/>
    <w:rsid w:val="002F7519"/>
    <w:rsid w:val="0030374B"/>
    <w:rsid w:val="00303E9D"/>
    <w:rsid w:val="00305418"/>
    <w:rsid w:val="00305630"/>
    <w:rsid w:val="003076D8"/>
    <w:rsid w:val="00317B32"/>
    <w:rsid w:val="00325D2F"/>
    <w:rsid w:val="00326497"/>
    <w:rsid w:val="00327145"/>
    <w:rsid w:val="00337435"/>
    <w:rsid w:val="0034006B"/>
    <w:rsid w:val="00347D7F"/>
    <w:rsid w:val="00350F3E"/>
    <w:rsid w:val="003516F1"/>
    <w:rsid w:val="003563A3"/>
    <w:rsid w:val="00357FE9"/>
    <w:rsid w:val="00360543"/>
    <w:rsid w:val="00361118"/>
    <w:rsid w:val="00361EE7"/>
    <w:rsid w:val="00364CF3"/>
    <w:rsid w:val="003662F6"/>
    <w:rsid w:val="00366B0C"/>
    <w:rsid w:val="00367671"/>
    <w:rsid w:val="0037216A"/>
    <w:rsid w:val="00372ED0"/>
    <w:rsid w:val="003827FA"/>
    <w:rsid w:val="003850B4"/>
    <w:rsid w:val="00386F5C"/>
    <w:rsid w:val="00393EA6"/>
    <w:rsid w:val="003A091C"/>
    <w:rsid w:val="003A6739"/>
    <w:rsid w:val="003B32DB"/>
    <w:rsid w:val="003B6C7F"/>
    <w:rsid w:val="003C6855"/>
    <w:rsid w:val="003C6924"/>
    <w:rsid w:val="003D0757"/>
    <w:rsid w:val="003D23F3"/>
    <w:rsid w:val="003D3E8D"/>
    <w:rsid w:val="003D5EF6"/>
    <w:rsid w:val="003E0399"/>
    <w:rsid w:val="003E7F40"/>
    <w:rsid w:val="003F0E7F"/>
    <w:rsid w:val="003F2092"/>
    <w:rsid w:val="003F6575"/>
    <w:rsid w:val="003F6A68"/>
    <w:rsid w:val="00406AB5"/>
    <w:rsid w:val="004129CD"/>
    <w:rsid w:val="00413856"/>
    <w:rsid w:val="00414F75"/>
    <w:rsid w:val="00416638"/>
    <w:rsid w:val="004166CE"/>
    <w:rsid w:val="0042103C"/>
    <w:rsid w:val="0042304F"/>
    <w:rsid w:val="00427035"/>
    <w:rsid w:val="00441FBE"/>
    <w:rsid w:val="00462B17"/>
    <w:rsid w:val="00463C6F"/>
    <w:rsid w:val="0046431C"/>
    <w:rsid w:val="00465E3A"/>
    <w:rsid w:val="0046759A"/>
    <w:rsid w:val="00467C48"/>
    <w:rsid w:val="004764DE"/>
    <w:rsid w:val="00480AEE"/>
    <w:rsid w:val="004842F4"/>
    <w:rsid w:val="00493840"/>
    <w:rsid w:val="00493C00"/>
    <w:rsid w:val="004A7D5A"/>
    <w:rsid w:val="004B6B1F"/>
    <w:rsid w:val="004C4948"/>
    <w:rsid w:val="004D03C8"/>
    <w:rsid w:val="004D07C9"/>
    <w:rsid w:val="004D56F0"/>
    <w:rsid w:val="004E1A66"/>
    <w:rsid w:val="004E1D16"/>
    <w:rsid w:val="004E6038"/>
    <w:rsid w:val="004E6947"/>
    <w:rsid w:val="004F0DA9"/>
    <w:rsid w:val="004F2D03"/>
    <w:rsid w:val="004F750A"/>
    <w:rsid w:val="005025EC"/>
    <w:rsid w:val="005054B2"/>
    <w:rsid w:val="00513A7D"/>
    <w:rsid w:val="0051593B"/>
    <w:rsid w:val="0052599D"/>
    <w:rsid w:val="005271D8"/>
    <w:rsid w:val="00536059"/>
    <w:rsid w:val="00540108"/>
    <w:rsid w:val="00551F24"/>
    <w:rsid w:val="00556AD6"/>
    <w:rsid w:val="00556BD3"/>
    <w:rsid w:val="005649E9"/>
    <w:rsid w:val="00580FAC"/>
    <w:rsid w:val="0058268F"/>
    <w:rsid w:val="00583540"/>
    <w:rsid w:val="00584B76"/>
    <w:rsid w:val="00590CE5"/>
    <w:rsid w:val="005926EA"/>
    <w:rsid w:val="00592840"/>
    <w:rsid w:val="00597E7B"/>
    <w:rsid w:val="005A1847"/>
    <w:rsid w:val="005A3789"/>
    <w:rsid w:val="005B42AD"/>
    <w:rsid w:val="005C0255"/>
    <w:rsid w:val="005C41F4"/>
    <w:rsid w:val="005D360E"/>
    <w:rsid w:val="005E21C2"/>
    <w:rsid w:val="005E2FA1"/>
    <w:rsid w:val="005F0197"/>
    <w:rsid w:val="005F79C4"/>
    <w:rsid w:val="00600089"/>
    <w:rsid w:val="00602587"/>
    <w:rsid w:val="00610FB2"/>
    <w:rsid w:val="00612A01"/>
    <w:rsid w:val="00623B04"/>
    <w:rsid w:val="006250CC"/>
    <w:rsid w:val="00627495"/>
    <w:rsid w:val="006306D9"/>
    <w:rsid w:val="00633DA0"/>
    <w:rsid w:val="00634404"/>
    <w:rsid w:val="006540F6"/>
    <w:rsid w:val="00656BB2"/>
    <w:rsid w:val="00657E8D"/>
    <w:rsid w:val="00661114"/>
    <w:rsid w:val="00665336"/>
    <w:rsid w:val="00673158"/>
    <w:rsid w:val="00675F6C"/>
    <w:rsid w:val="00677CAD"/>
    <w:rsid w:val="00682D48"/>
    <w:rsid w:val="00690102"/>
    <w:rsid w:val="00697456"/>
    <w:rsid w:val="00697557"/>
    <w:rsid w:val="006A12F8"/>
    <w:rsid w:val="006A375E"/>
    <w:rsid w:val="006A4787"/>
    <w:rsid w:val="006A6154"/>
    <w:rsid w:val="006B1802"/>
    <w:rsid w:val="006B296C"/>
    <w:rsid w:val="006B7DE7"/>
    <w:rsid w:val="006C04FF"/>
    <w:rsid w:val="006C2383"/>
    <w:rsid w:val="006C3CD6"/>
    <w:rsid w:val="006C5E4A"/>
    <w:rsid w:val="006C6989"/>
    <w:rsid w:val="006D2054"/>
    <w:rsid w:val="006D73DA"/>
    <w:rsid w:val="006E24AC"/>
    <w:rsid w:val="006E4F0E"/>
    <w:rsid w:val="006F410C"/>
    <w:rsid w:val="006F49E8"/>
    <w:rsid w:val="006F5315"/>
    <w:rsid w:val="00703100"/>
    <w:rsid w:val="007148B0"/>
    <w:rsid w:val="00720D26"/>
    <w:rsid w:val="007263B4"/>
    <w:rsid w:val="00733EA2"/>
    <w:rsid w:val="007404A1"/>
    <w:rsid w:val="00740F51"/>
    <w:rsid w:val="007450F6"/>
    <w:rsid w:val="00751F45"/>
    <w:rsid w:val="0075557B"/>
    <w:rsid w:val="00756A89"/>
    <w:rsid w:val="00761BFF"/>
    <w:rsid w:val="007635F2"/>
    <w:rsid w:val="00763992"/>
    <w:rsid w:val="007672DB"/>
    <w:rsid w:val="00772A0C"/>
    <w:rsid w:val="00776A14"/>
    <w:rsid w:val="00776D19"/>
    <w:rsid w:val="00783968"/>
    <w:rsid w:val="00792228"/>
    <w:rsid w:val="007C2C26"/>
    <w:rsid w:val="007D1A84"/>
    <w:rsid w:val="007F32DF"/>
    <w:rsid w:val="008032EF"/>
    <w:rsid w:val="00805896"/>
    <w:rsid w:val="008119FD"/>
    <w:rsid w:val="008148C3"/>
    <w:rsid w:val="00820F0A"/>
    <w:rsid w:val="00822811"/>
    <w:rsid w:val="0083682A"/>
    <w:rsid w:val="0083693F"/>
    <w:rsid w:val="00841A20"/>
    <w:rsid w:val="00842E74"/>
    <w:rsid w:val="00846230"/>
    <w:rsid w:val="008534AC"/>
    <w:rsid w:val="00853D17"/>
    <w:rsid w:val="00871D00"/>
    <w:rsid w:val="00872F21"/>
    <w:rsid w:val="00877531"/>
    <w:rsid w:val="00880B0E"/>
    <w:rsid w:val="00882FF9"/>
    <w:rsid w:val="00883BF5"/>
    <w:rsid w:val="008901DD"/>
    <w:rsid w:val="00890881"/>
    <w:rsid w:val="00893051"/>
    <w:rsid w:val="008B10FE"/>
    <w:rsid w:val="008C20CD"/>
    <w:rsid w:val="008D031C"/>
    <w:rsid w:val="008D08F6"/>
    <w:rsid w:val="008D27C0"/>
    <w:rsid w:val="008D4F3C"/>
    <w:rsid w:val="008F5344"/>
    <w:rsid w:val="0090080C"/>
    <w:rsid w:val="009037B0"/>
    <w:rsid w:val="0090478D"/>
    <w:rsid w:val="009139B5"/>
    <w:rsid w:val="00913E19"/>
    <w:rsid w:val="00917D7B"/>
    <w:rsid w:val="00920A21"/>
    <w:rsid w:val="00921C7A"/>
    <w:rsid w:val="00930CD1"/>
    <w:rsid w:val="00930DDB"/>
    <w:rsid w:val="00934767"/>
    <w:rsid w:val="0093589A"/>
    <w:rsid w:val="00936956"/>
    <w:rsid w:val="00940EAA"/>
    <w:rsid w:val="0094233D"/>
    <w:rsid w:val="009425A2"/>
    <w:rsid w:val="0095081D"/>
    <w:rsid w:val="009577EB"/>
    <w:rsid w:val="009616EE"/>
    <w:rsid w:val="00961F23"/>
    <w:rsid w:val="009736B8"/>
    <w:rsid w:val="00973F3A"/>
    <w:rsid w:val="00974EA8"/>
    <w:rsid w:val="009778C3"/>
    <w:rsid w:val="00980E3F"/>
    <w:rsid w:val="009925CC"/>
    <w:rsid w:val="00996C42"/>
    <w:rsid w:val="009976C9"/>
    <w:rsid w:val="009A1FCB"/>
    <w:rsid w:val="009B26A8"/>
    <w:rsid w:val="009B2B2F"/>
    <w:rsid w:val="009B4E88"/>
    <w:rsid w:val="009B69D3"/>
    <w:rsid w:val="009C039D"/>
    <w:rsid w:val="009C16E7"/>
    <w:rsid w:val="009D3030"/>
    <w:rsid w:val="009D59D6"/>
    <w:rsid w:val="009E477C"/>
    <w:rsid w:val="009F37C2"/>
    <w:rsid w:val="009F3BB0"/>
    <w:rsid w:val="009F46CE"/>
    <w:rsid w:val="00A04797"/>
    <w:rsid w:val="00A065D3"/>
    <w:rsid w:val="00A14A83"/>
    <w:rsid w:val="00A1762A"/>
    <w:rsid w:val="00A21D22"/>
    <w:rsid w:val="00A21E8A"/>
    <w:rsid w:val="00A236D1"/>
    <w:rsid w:val="00A31397"/>
    <w:rsid w:val="00A319AE"/>
    <w:rsid w:val="00A36CAE"/>
    <w:rsid w:val="00A37286"/>
    <w:rsid w:val="00A41026"/>
    <w:rsid w:val="00A41375"/>
    <w:rsid w:val="00A420B8"/>
    <w:rsid w:val="00A42316"/>
    <w:rsid w:val="00A439BC"/>
    <w:rsid w:val="00A47050"/>
    <w:rsid w:val="00A643EA"/>
    <w:rsid w:val="00A80EEB"/>
    <w:rsid w:val="00A81984"/>
    <w:rsid w:val="00A821CD"/>
    <w:rsid w:val="00A91BB2"/>
    <w:rsid w:val="00AA148D"/>
    <w:rsid w:val="00AA2D43"/>
    <w:rsid w:val="00AA35BE"/>
    <w:rsid w:val="00AA5603"/>
    <w:rsid w:val="00AA7945"/>
    <w:rsid w:val="00AB4036"/>
    <w:rsid w:val="00AB5FEB"/>
    <w:rsid w:val="00AC2CC0"/>
    <w:rsid w:val="00AC48E2"/>
    <w:rsid w:val="00AC69DE"/>
    <w:rsid w:val="00AD6B24"/>
    <w:rsid w:val="00AD71DC"/>
    <w:rsid w:val="00AE00E8"/>
    <w:rsid w:val="00AF1BC7"/>
    <w:rsid w:val="00AF4A87"/>
    <w:rsid w:val="00AF70A0"/>
    <w:rsid w:val="00B00D30"/>
    <w:rsid w:val="00B01C56"/>
    <w:rsid w:val="00B05348"/>
    <w:rsid w:val="00B1577A"/>
    <w:rsid w:val="00B266A3"/>
    <w:rsid w:val="00B37E84"/>
    <w:rsid w:val="00B40AA9"/>
    <w:rsid w:val="00B46321"/>
    <w:rsid w:val="00B51481"/>
    <w:rsid w:val="00B52438"/>
    <w:rsid w:val="00B53935"/>
    <w:rsid w:val="00B56058"/>
    <w:rsid w:val="00B61D9D"/>
    <w:rsid w:val="00B63774"/>
    <w:rsid w:val="00B666DB"/>
    <w:rsid w:val="00B70AC2"/>
    <w:rsid w:val="00B73A6F"/>
    <w:rsid w:val="00B75858"/>
    <w:rsid w:val="00B77E9C"/>
    <w:rsid w:val="00B85BA0"/>
    <w:rsid w:val="00B870AD"/>
    <w:rsid w:val="00B908AA"/>
    <w:rsid w:val="00B956BE"/>
    <w:rsid w:val="00BA0AE2"/>
    <w:rsid w:val="00BB1AAF"/>
    <w:rsid w:val="00BB2CA1"/>
    <w:rsid w:val="00BC555D"/>
    <w:rsid w:val="00BC69B9"/>
    <w:rsid w:val="00BD71D0"/>
    <w:rsid w:val="00BD7D79"/>
    <w:rsid w:val="00BE1160"/>
    <w:rsid w:val="00BE4FD9"/>
    <w:rsid w:val="00BF19EE"/>
    <w:rsid w:val="00BF4DF2"/>
    <w:rsid w:val="00C1616A"/>
    <w:rsid w:val="00C175E6"/>
    <w:rsid w:val="00C20724"/>
    <w:rsid w:val="00C313FA"/>
    <w:rsid w:val="00C3147A"/>
    <w:rsid w:val="00C32E45"/>
    <w:rsid w:val="00C40261"/>
    <w:rsid w:val="00C44FCD"/>
    <w:rsid w:val="00C469AA"/>
    <w:rsid w:val="00C5229C"/>
    <w:rsid w:val="00C5594F"/>
    <w:rsid w:val="00C60CAC"/>
    <w:rsid w:val="00C633DB"/>
    <w:rsid w:val="00C67345"/>
    <w:rsid w:val="00C91393"/>
    <w:rsid w:val="00C926CD"/>
    <w:rsid w:val="00C92CF7"/>
    <w:rsid w:val="00C94212"/>
    <w:rsid w:val="00C95DDA"/>
    <w:rsid w:val="00CA18F1"/>
    <w:rsid w:val="00CB06DC"/>
    <w:rsid w:val="00CB1650"/>
    <w:rsid w:val="00CB49A4"/>
    <w:rsid w:val="00CD0CD6"/>
    <w:rsid w:val="00CD12E8"/>
    <w:rsid w:val="00CE1781"/>
    <w:rsid w:val="00CE4196"/>
    <w:rsid w:val="00CF7551"/>
    <w:rsid w:val="00D003AA"/>
    <w:rsid w:val="00D01F90"/>
    <w:rsid w:val="00D03069"/>
    <w:rsid w:val="00D113C4"/>
    <w:rsid w:val="00D12E95"/>
    <w:rsid w:val="00D158A9"/>
    <w:rsid w:val="00D57C61"/>
    <w:rsid w:val="00D61F7A"/>
    <w:rsid w:val="00D651AF"/>
    <w:rsid w:val="00D73789"/>
    <w:rsid w:val="00D73891"/>
    <w:rsid w:val="00D7578B"/>
    <w:rsid w:val="00D854DC"/>
    <w:rsid w:val="00D951D4"/>
    <w:rsid w:val="00D96464"/>
    <w:rsid w:val="00DA21B9"/>
    <w:rsid w:val="00DA5F85"/>
    <w:rsid w:val="00DA7036"/>
    <w:rsid w:val="00DA72BA"/>
    <w:rsid w:val="00DB084D"/>
    <w:rsid w:val="00DB5B61"/>
    <w:rsid w:val="00DC4A0C"/>
    <w:rsid w:val="00DD0BCE"/>
    <w:rsid w:val="00DD1AF1"/>
    <w:rsid w:val="00DE0C43"/>
    <w:rsid w:val="00DE11F0"/>
    <w:rsid w:val="00DE1906"/>
    <w:rsid w:val="00DF0DA7"/>
    <w:rsid w:val="00E014CA"/>
    <w:rsid w:val="00E0354C"/>
    <w:rsid w:val="00E13E97"/>
    <w:rsid w:val="00E1754A"/>
    <w:rsid w:val="00E202DC"/>
    <w:rsid w:val="00E2139C"/>
    <w:rsid w:val="00E21F1B"/>
    <w:rsid w:val="00E307CF"/>
    <w:rsid w:val="00E30CA2"/>
    <w:rsid w:val="00E35FFB"/>
    <w:rsid w:val="00E4113E"/>
    <w:rsid w:val="00E61C7D"/>
    <w:rsid w:val="00E66E69"/>
    <w:rsid w:val="00E66F50"/>
    <w:rsid w:val="00E6700B"/>
    <w:rsid w:val="00E75150"/>
    <w:rsid w:val="00E753E8"/>
    <w:rsid w:val="00E766E9"/>
    <w:rsid w:val="00E85166"/>
    <w:rsid w:val="00E863D5"/>
    <w:rsid w:val="00E90D33"/>
    <w:rsid w:val="00E9722E"/>
    <w:rsid w:val="00E978AD"/>
    <w:rsid w:val="00EA1A7C"/>
    <w:rsid w:val="00EA298D"/>
    <w:rsid w:val="00EA3CB6"/>
    <w:rsid w:val="00EB2727"/>
    <w:rsid w:val="00EB737E"/>
    <w:rsid w:val="00ED24C1"/>
    <w:rsid w:val="00ED2B9E"/>
    <w:rsid w:val="00EE7D6B"/>
    <w:rsid w:val="00EF255F"/>
    <w:rsid w:val="00EF77B8"/>
    <w:rsid w:val="00F208F2"/>
    <w:rsid w:val="00F2303D"/>
    <w:rsid w:val="00F2445A"/>
    <w:rsid w:val="00F40A30"/>
    <w:rsid w:val="00F41348"/>
    <w:rsid w:val="00F42D8D"/>
    <w:rsid w:val="00F445A3"/>
    <w:rsid w:val="00F461C9"/>
    <w:rsid w:val="00F52E13"/>
    <w:rsid w:val="00F642D5"/>
    <w:rsid w:val="00F67E6C"/>
    <w:rsid w:val="00F766A8"/>
    <w:rsid w:val="00F77DF0"/>
    <w:rsid w:val="00F834E4"/>
    <w:rsid w:val="00F92018"/>
    <w:rsid w:val="00F926C4"/>
    <w:rsid w:val="00FB0EAE"/>
    <w:rsid w:val="00FB2514"/>
    <w:rsid w:val="00FB459F"/>
    <w:rsid w:val="00FC0120"/>
    <w:rsid w:val="00FC32F3"/>
    <w:rsid w:val="00FC427A"/>
    <w:rsid w:val="00FC4456"/>
    <w:rsid w:val="00FC56DD"/>
    <w:rsid w:val="00FC57CB"/>
    <w:rsid w:val="00FC7791"/>
    <w:rsid w:val="00FD4635"/>
    <w:rsid w:val="00FD6C8B"/>
    <w:rsid w:val="00FD77C9"/>
    <w:rsid w:val="00FE1C6F"/>
    <w:rsid w:val="00FE2630"/>
    <w:rsid w:val="00FF322E"/>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2B4E3"/>
  <w15:chartTrackingRefBased/>
  <w15:docId w15:val="{86985AFD-F9E7-4D49-9740-C4B412B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uiPriority w:val="99"/>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uiPriority w:val="99"/>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HTMLPreformatted">
    <w:name w:val="HTML Preformatted"/>
    <w:basedOn w:val="Normal"/>
    <w:link w:val="HTMLPreformattedChar"/>
    <w:rsid w:val="005B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5B42AD"/>
    <w:rPr>
      <w:rFonts w:ascii="Courier New" w:hAnsi="Courier New" w:cs="Courier New"/>
    </w:rPr>
  </w:style>
  <w:style w:type="paragraph" w:styleId="ListBullet">
    <w:name w:val="List Bullet"/>
    <w:basedOn w:val="Normal"/>
    <w:rsid w:val="000C1A4F"/>
    <w:pPr>
      <w:numPr>
        <w:numId w:val="15"/>
      </w:numPr>
      <w:spacing w:after="60" w:line="280" w:lineRule="atLeast"/>
    </w:pPr>
    <w:rPr>
      <w:sz w:val="22"/>
      <w:szCs w:val="20"/>
    </w:rPr>
  </w:style>
  <w:style w:type="paragraph" w:styleId="ListParagraph">
    <w:name w:val="List Paragraph"/>
    <w:basedOn w:val="Normal"/>
    <w:uiPriority w:val="34"/>
    <w:qFormat/>
    <w:rsid w:val="00A42316"/>
    <w:pPr>
      <w:ind w:left="720"/>
    </w:pPr>
    <w:rPr>
      <w:rFonts w:ascii="Calibri" w:eastAsia="Calibri" w:hAnsi="Calibri"/>
      <w:sz w:val="22"/>
      <w:szCs w:val="22"/>
    </w:rPr>
  </w:style>
  <w:style w:type="character" w:customStyle="1" w:styleId="FooterChar">
    <w:name w:val="Footer Char"/>
    <w:link w:val="Footer"/>
    <w:rsid w:val="00AF4A87"/>
    <w:rPr>
      <w:sz w:val="24"/>
      <w:szCs w:val="24"/>
    </w:rPr>
  </w:style>
  <w:style w:type="character" w:styleId="CommentReference">
    <w:name w:val="annotation reference"/>
    <w:rsid w:val="001C73DD"/>
    <w:rPr>
      <w:sz w:val="16"/>
      <w:szCs w:val="16"/>
    </w:rPr>
  </w:style>
  <w:style w:type="paragraph" w:styleId="CommentText">
    <w:name w:val="annotation text"/>
    <w:basedOn w:val="Normal"/>
    <w:link w:val="CommentTextChar"/>
    <w:uiPriority w:val="99"/>
    <w:rsid w:val="001C73DD"/>
    <w:rPr>
      <w:sz w:val="20"/>
      <w:szCs w:val="20"/>
    </w:rPr>
  </w:style>
  <w:style w:type="character" w:customStyle="1" w:styleId="CommentTextChar">
    <w:name w:val="Comment Text Char"/>
    <w:basedOn w:val="DefaultParagraphFont"/>
    <w:link w:val="CommentText"/>
    <w:uiPriority w:val="99"/>
    <w:rsid w:val="001C73DD"/>
  </w:style>
  <w:style w:type="paragraph" w:styleId="CommentSubject">
    <w:name w:val="annotation subject"/>
    <w:basedOn w:val="CommentText"/>
    <w:next w:val="CommentText"/>
    <w:link w:val="CommentSubjectChar"/>
    <w:rsid w:val="001C73DD"/>
    <w:rPr>
      <w:b/>
      <w:bCs/>
    </w:rPr>
  </w:style>
  <w:style w:type="character" w:customStyle="1" w:styleId="CommentSubjectChar">
    <w:name w:val="Comment Subject Char"/>
    <w:link w:val="CommentSubject"/>
    <w:rsid w:val="001C73DD"/>
    <w:rPr>
      <w:b/>
      <w:bCs/>
    </w:rPr>
  </w:style>
  <w:style w:type="paragraph" w:customStyle="1" w:styleId="Default">
    <w:name w:val="Default"/>
    <w:rsid w:val="00682D48"/>
    <w:pPr>
      <w:autoSpaceDE w:val="0"/>
      <w:autoSpaceDN w:val="0"/>
      <w:adjustRightInd w:val="0"/>
    </w:pPr>
    <w:rPr>
      <w:rFonts w:eastAsia="Calibri"/>
      <w:color w:val="000000"/>
      <w:sz w:val="24"/>
      <w:szCs w:val="24"/>
    </w:rPr>
  </w:style>
  <w:style w:type="character" w:styleId="FollowedHyperlink">
    <w:name w:val="FollowedHyperlink"/>
    <w:rsid w:val="00BE4FD9"/>
    <w:rPr>
      <w:color w:val="954F72"/>
      <w:u w:val="single"/>
    </w:rPr>
  </w:style>
  <w:style w:type="paragraph" w:styleId="PlainText">
    <w:name w:val="Plain Text"/>
    <w:basedOn w:val="Normal"/>
    <w:link w:val="PlainTextChar"/>
    <w:uiPriority w:val="99"/>
    <w:rsid w:val="00590CE5"/>
    <w:rPr>
      <w:rFonts w:ascii="Courier New" w:eastAsia="Calibri" w:hAnsi="Courier New"/>
      <w:sz w:val="20"/>
      <w:szCs w:val="20"/>
    </w:rPr>
  </w:style>
  <w:style w:type="character" w:customStyle="1" w:styleId="PlainTextChar">
    <w:name w:val="Plain Text Char"/>
    <w:link w:val="PlainText"/>
    <w:uiPriority w:val="99"/>
    <w:rsid w:val="00590CE5"/>
    <w:rPr>
      <w:rFonts w:ascii="Courier New" w:eastAsia="Calibri" w:hAnsi="Courier New"/>
    </w:rPr>
  </w:style>
  <w:style w:type="paragraph" w:styleId="Revision">
    <w:name w:val="Revision"/>
    <w:hidden/>
    <w:uiPriority w:val="99"/>
    <w:semiHidden/>
    <w:rsid w:val="00C40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128">
      <w:bodyDiv w:val="1"/>
      <w:marLeft w:val="0"/>
      <w:marRight w:val="0"/>
      <w:marTop w:val="0"/>
      <w:marBottom w:val="0"/>
      <w:divBdr>
        <w:top w:val="none" w:sz="0" w:space="0" w:color="auto"/>
        <w:left w:val="none" w:sz="0" w:space="0" w:color="auto"/>
        <w:bottom w:val="none" w:sz="0" w:space="0" w:color="auto"/>
        <w:right w:val="none" w:sz="0" w:space="0" w:color="auto"/>
      </w:divBdr>
    </w:div>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11555964">
      <w:bodyDiv w:val="1"/>
      <w:marLeft w:val="0"/>
      <w:marRight w:val="0"/>
      <w:marTop w:val="30"/>
      <w:marBottom w:val="750"/>
      <w:divBdr>
        <w:top w:val="none" w:sz="0" w:space="0" w:color="auto"/>
        <w:left w:val="none" w:sz="0" w:space="0" w:color="auto"/>
        <w:bottom w:val="none" w:sz="0" w:space="0" w:color="auto"/>
        <w:right w:val="none" w:sz="0" w:space="0" w:color="auto"/>
      </w:divBdr>
      <w:divsChild>
        <w:div w:id="576062607">
          <w:marLeft w:val="0"/>
          <w:marRight w:val="0"/>
          <w:marTop w:val="0"/>
          <w:marBottom w:val="0"/>
          <w:divBdr>
            <w:top w:val="none" w:sz="0" w:space="0" w:color="auto"/>
            <w:left w:val="none" w:sz="0" w:space="0" w:color="auto"/>
            <w:bottom w:val="none" w:sz="0" w:space="0" w:color="auto"/>
            <w:right w:val="none" w:sz="0" w:space="0" w:color="auto"/>
          </w:divBdr>
        </w:div>
      </w:divsChild>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42447802">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hyperlink" Target="http://www.bls.gov/oes/current/naics4_999300.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ema.gov/ppd8" TargetMode="External"/><Relationship Id="rId12" Type="http://schemas.openxmlformats.org/officeDocument/2006/relationships/hyperlink" Target="http://www.Grants.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s.gov/oes/current/oes431011.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ts.gov" TargetMode="External"/><Relationship Id="rId5" Type="http://schemas.openxmlformats.org/officeDocument/2006/relationships/footnotes" Target="footnotes.xml"/><Relationship Id="rId15" Type="http://schemas.openxmlformats.org/officeDocument/2006/relationships/hyperlink" Target="http://www.bls.gov/oes/current/oes430000.htm" TargetMode="External"/><Relationship Id="rId10" Type="http://schemas.openxmlformats.org/officeDocument/2006/relationships/hyperlink" Target="http://www.Grants.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rants.gov" TargetMode="External"/><Relationship Id="rId14" Type="http://schemas.openxmlformats.org/officeDocument/2006/relationships/hyperlink" Target="http://www.bls.gov/oes/current/naics4_9993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9746</TotalTime>
  <Pages>15</Pages>
  <Words>5065</Words>
  <Characters>30344</Characters>
  <Application>Microsoft Office Word</Application>
  <DocSecurity>0</DocSecurity>
  <Lines>252</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Rev 10/2003</vt:lpstr>
      <vt:lpstr>General Instructions</vt:lpstr>
      <vt:lpstr>Specific Instructions</vt:lpstr>
      <vt:lpstr>A.  Justification</vt:lpstr>
    </vt:vector>
  </TitlesOfParts>
  <Company>FEMA</Company>
  <LinksUpToDate>false</LinksUpToDate>
  <CharactersWithSpaces>35339</CharactersWithSpaces>
  <SharedDoc>false</SharedDoc>
  <HLinks>
    <vt:vector size="60" baseType="variant">
      <vt:variant>
        <vt:i4>1835093</vt:i4>
      </vt:variant>
      <vt:variant>
        <vt:i4>91</vt:i4>
      </vt:variant>
      <vt:variant>
        <vt:i4>0</vt:i4>
      </vt:variant>
      <vt:variant>
        <vt:i4>5</vt:i4>
      </vt:variant>
      <vt:variant>
        <vt:lpwstr>http://www.bls.gov/oes/current/oes431011.htm</vt:lpwstr>
      </vt:variant>
      <vt:variant>
        <vt:lpwstr/>
      </vt:variant>
      <vt:variant>
        <vt:i4>1900629</vt:i4>
      </vt:variant>
      <vt:variant>
        <vt:i4>88</vt:i4>
      </vt:variant>
      <vt:variant>
        <vt:i4>0</vt:i4>
      </vt:variant>
      <vt:variant>
        <vt:i4>5</vt:i4>
      </vt:variant>
      <vt:variant>
        <vt:lpwstr>http://www.bls.gov/oes/current/oes430000.htm</vt:lpwstr>
      </vt:variant>
      <vt:variant>
        <vt:lpwstr/>
      </vt:variant>
      <vt:variant>
        <vt:i4>1179694</vt:i4>
      </vt:variant>
      <vt:variant>
        <vt:i4>85</vt:i4>
      </vt:variant>
      <vt:variant>
        <vt:i4>0</vt:i4>
      </vt:variant>
      <vt:variant>
        <vt:i4>5</vt:i4>
      </vt:variant>
      <vt:variant>
        <vt:lpwstr>http://www.bls.gov/oes/current/naics4_999300.htm</vt:lpwstr>
      </vt:variant>
      <vt:variant>
        <vt:lpwstr>11-0000</vt:lpwstr>
      </vt:variant>
      <vt:variant>
        <vt:i4>917555</vt:i4>
      </vt:variant>
      <vt:variant>
        <vt:i4>82</vt:i4>
      </vt:variant>
      <vt:variant>
        <vt:i4>0</vt:i4>
      </vt:variant>
      <vt:variant>
        <vt:i4>5</vt:i4>
      </vt:variant>
      <vt:variant>
        <vt:lpwstr>http://www.bls.gov/oes/current/naics4_999300.htm</vt:lpwstr>
      </vt:variant>
      <vt:variant>
        <vt:lpwstr>1-0000</vt:lpwstr>
      </vt:variant>
      <vt:variant>
        <vt:i4>3604526</vt:i4>
      </vt:variant>
      <vt:variant>
        <vt:i4>21</vt:i4>
      </vt:variant>
      <vt:variant>
        <vt:i4>0</vt:i4>
      </vt:variant>
      <vt:variant>
        <vt:i4>5</vt:i4>
      </vt:variant>
      <vt:variant>
        <vt:lpwstr>http://www.grants.gov/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7</vt:i4>
      </vt:variant>
      <vt:variant>
        <vt:i4>0</vt:i4>
      </vt:variant>
      <vt:variant>
        <vt:i4>5</vt:i4>
      </vt:variant>
      <vt:variant>
        <vt:lpwstr>http://www.grants.gov/</vt:lpwstr>
      </vt:variant>
      <vt:variant>
        <vt:lpwstr/>
      </vt:variant>
      <vt:variant>
        <vt:i4>393297</vt:i4>
      </vt:variant>
      <vt:variant>
        <vt:i4>2</vt:i4>
      </vt:variant>
      <vt:variant>
        <vt:i4>0</vt:i4>
      </vt:variant>
      <vt:variant>
        <vt:i4>5</vt:i4>
      </vt:variant>
      <vt:variant>
        <vt:lpwstr>http://www.fema.gov/ppd8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Brown, Millicent</cp:lastModifiedBy>
  <cp:revision>4</cp:revision>
  <cp:lastPrinted>2013-09-11T17:27:00Z</cp:lastPrinted>
  <dcterms:created xsi:type="dcterms:W3CDTF">2019-09-10T16:51:00Z</dcterms:created>
  <dcterms:modified xsi:type="dcterms:W3CDTF">2020-05-19T10:35:00Z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