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248A7" w:rsidR="00C2153D" w:rsidP="00234A8E" w:rsidRDefault="00A01190" w14:paraId="411C0931" w14:textId="63A03F67">
      <w:pPr>
        <w:pStyle w:val="BodyText3"/>
        <w:tabs>
          <w:tab w:val="right" w:pos="10260"/>
        </w:tabs>
        <w:spacing w:line="276" w:lineRule="auto"/>
        <w:rPr>
          <w:rFonts w:ascii="Times New Roman" w:hAnsi="Times New Roman"/>
          <w:b/>
          <w:bCs/>
          <w:sz w:val="24"/>
          <w:szCs w:val="24"/>
        </w:rPr>
      </w:pPr>
      <w:r w:rsidRPr="003248A7">
        <w:rPr>
          <w:rFonts w:ascii="Times New Roman" w:hAnsi="Times New Roman"/>
          <w:b/>
          <w:bCs/>
          <w:sz w:val="24"/>
          <w:szCs w:val="24"/>
        </w:rPr>
        <w:t>Memorandum</w:t>
      </w:r>
      <w:r w:rsidRPr="003248A7">
        <w:rPr>
          <w:rFonts w:ascii="Times New Roman" w:hAnsi="Times New Roman"/>
          <w:b/>
          <w:bCs/>
          <w:sz w:val="24"/>
          <w:szCs w:val="24"/>
        </w:rPr>
        <w:tab/>
        <w:t>United States Department of Education</w:t>
      </w:r>
    </w:p>
    <w:p w:rsidRPr="003248A7" w:rsidR="00C2153D" w:rsidP="00234A8E" w:rsidRDefault="00A01190" w14:paraId="6B9969D3" w14:textId="77777777">
      <w:pPr>
        <w:pStyle w:val="BodyText3"/>
        <w:tabs>
          <w:tab w:val="right" w:pos="10260"/>
        </w:tabs>
        <w:spacing w:line="276" w:lineRule="auto"/>
        <w:ind w:left="3600" w:firstLine="720"/>
        <w:rPr>
          <w:rFonts w:ascii="Times New Roman" w:hAnsi="Times New Roman"/>
          <w:b/>
          <w:bCs/>
          <w:sz w:val="24"/>
          <w:szCs w:val="24"/>
        </w:rPr>
      </w:pPr>
      <w:r w:rsidRPr="003248A7">
        <w:rPr>
          <w:rFonts w:ascii="Times New Roman" w:hAnsi="Times New Roman"/>
          <w:b/>
          <w:bCs/>
          <w:sz w:val="24"/>
          <w:szCs w:val="24"/>
        </w:rPr>
        <w:tab/>
        <w:t>Institute of Education Sciences</w:t>
      </w:r>
    </w:p>
    <w:p w:rsidRPr="003248A7" w:rsidR="00C2153D" w:rsidP="00234A8E" w:rsidRDefault="00A01190" w14:paraId="777DB95D" w14:textId="17D6865C">
      <w:pPr>
        <w:pStyle w:val="Heading8"/>
        <w:pBdr>
          <w:bottom w:val="single" w:color="auto" w:sz="12" w:space="1"/>
        </w:pBdr>
        <w:tabs>
          <w:tab w:val="right" w:pos="10260"/>
        </w:tabs>
        <w:spacing w:line="276" w:lineRule="auto"/>
      </w:pPr>
      <w:r w:rsidRPr="003248A7">
        <w:tab/>
        <w:t>National Center for Education Statistics</w:t>
      </w:r>
    </w:p>
    <w:p w:rsidRPr="003248A7" w:rsidR="00C2153D" w:rsidP="00234A8E" w:rsidRDefault="00C2153D" w14:paraId="2D3D0C6A" w14:textId="77777777">
      <w:pPr>
        <w:spacing w:line="276" w:lineRule="auto"/>
      </w:pPr>
    </w:p>
    <w:p w:rsidRPr="003248A7" w:rsidR="00D90962" w:rsidP="00234A8E" w:rsidRDefault="00C2153D" w14:paraId="1A11FA14" w14:textId="4A4772E7">
      <w:pPr>
        <w:spacing w:line="276" w:lineRule="auto"/>
      </w:pPr>
      <w:r w:rsidRPr="003248A7">
        <w:t>DATE:</w:t>
      </w:r>
      <w:r w:rsidRPr="003248A7">
        <w:tab/>
      </w:r>
      <w:r w:rsidRPr="003248A7" w:rsidR="00A14445">
        <w:tab/>
      </w:r>
      <w:r w:rsidRPr="003248A7" w:rsidR="004E5A00">
        <w:t xml:space="preserve">May </w:t>
      </w:r>
      <w:r w:rsidR="00A626B7">
        <w:t>1</w:t>
      </w:r>
      <w:r w:rsidR="00DB73E6">
        <w:t>4</w:t>
      </w:r>
      <w:r w:rsidRPr="003248A7" w:rsidR="00D86B30">
        <w:t>, 20</w:t>
      </w:r>
      <w:r w:rsidRPr="003248A7" w:rsidR="00D52F43">
        <w:t>20</w:t>
      </w:r>
    </w:p>
    <w:p w:rsidRPr="003248A7" w:rsidR="00C2153D" w:rsidP="00234A8E" w:rsidRDefault="00C2153D" w14:paraId="3EB39440" w14:textId="77777777"/>
    <w:p w:rsidRPr="003248A7" w:rsidR="00D018C6" w:rsidP="00234A8E" w:rsidRDefault="00026D24" w14:paraId="0A4B43EE" w14:textId="77777777">
      <w:pPr>
        <w:spacing w:line="276" w:lineRule="auto"/>
      </w:pPr>
      <w:r w:rsidRPr="003248A7">
        <w:t>TO:</w:t>
      </w:r>
      <w:r w:rsidRPr="003248A7">
        <w:tab/>
      </w:r>
      <w:r w:rsidRPr="003248A7">
        <w:tab/>
      </w:r>
      <w:r w:rsidRPr="003248A7" w:rsidR="00D018C6">
        <w:t>Robert Sivinski, OMB</w:t>
      </w:r>
    </w:p>
    <w:p w:rsidRPr="003248A7" w:rsidR="009B4A44" w:rsidP="00234A8E" w:rsidRDefault="009B4A44" w14:paraId="0479AB6D" w14:textId="77777777"/>
    <w:p w:rsidRPr="003248A7" w:rsidR="00C2153D" w:rsidP="00234A8E" w:rsidRDefault="00026D24" w14:paraId="4AB21D49" w14:textId="221E6769">
      <w:pPr>
        <w:spacing w:line="276" w:lineRule="auto"/>
      </w:pPr>
      <w:r w:rsidRPr="003248A7">
        <w:t>THROUGH</w:t>
      </w:r>
      <w:r w:rsidRPr="003248A7" w:rsidR="00C2153D">
        <w:t>:</w:t>
      </w:r>
      <w:r w:rsidRPr="003248A7">
        <w:tab/>
      </w:r>
      <w:r w:rsidRPr="003248A7" w:rsidR="007A78D0">
        <w:t>Carrie Clarady</w:t>
      </w:r>
      <w:r w:rsidRPr="003248A7" w:rsidR="007D64A0">
        <w:t xml:space="preserve">, </w:t>
      </w:r>
      <w:r w:rsidRPr="003248A7" w:rsidR="001B0BD2">
        <w:t>Avar Consulting, in contract to</w:t>
      </w:r>
      <w:r w:rsidRPr="003248A7" w:rsidR="007D64A0">
        <w:t xml:space="preserve"> </w:t>
      </w:r>
      <w:r w:rsidRPr="003248A7" w:rsidR="00C2153D">
        <w:t>NCES</w:t>
      </w:r>
    </w:p>
    <w:p w:rsidRPr="003248A7" w:rsidR="009B4A44" w:rsidP="00234A8E" w:rsidRDefault="009B4A44" w14:paraId="2E1A4533" w14:textId="77777777"/>
    <w:p w:rsidRPr="003248A7" w:rsidR="00092D40" w:rsidP="00234A8E" w:rsidRDefault="00C2153D" w14:paraId="40DD7A89" w14:textId="77777777">
      <w:pPr>
        <w:spacing w:line="276" w:lineRule="auto"/>
      </w:pPr>
      <w:r w:rsidRPr="003248A7">
        <w:t>FROM:</w:t>
      </w:r>
      <w:r w:rsidRPr="003248A7">
        <w:tab/>
      </w:r>
      <w:r w:rsidRPr="003248A7" w:rsidR="007D6DCD">
        <w:t>Tracy Hunt-White</w:t>
      </w:r>
      <w:r w:rsidRPr="003248A7" w:rsidR="007D64A0">
        <w:t xml:space="preserve">, </w:t>
      </w:r>
      <w:r w:rsidRPr="003248A7" w:rsidR="00092D40">
        <w:t>Team Lead, Postsecondary Longitudinal and Sample Surveys, NCES</w:t>
      </w:r>
    </w:p>
    <w:p w:rsidRPr="003248A7" w:rsidR="009B4A44" w:rsidP="00234A8E" w:rsidRDefault="009B4A44" w14:paraId="634D8613" w14:textId="77777777"/>
    <w:p w:rsidRPr="003248A7" w:rsidR="007D6DCD" w:rsidP="00234A8E" w:rsidRDefault="00C2153D" w14:paraId="301D6011" w14:textId="623AF0EC">
      <w:pPr>
        <w:pStyle w:val="Cov-Title"/>
        <w:spacing w:after="240"/>
        <w:ind w:left="1440" w:hanging="1440"/>
        <w:jc w:val="left"/>
        <w:rPr>
          <w:rFonts w:ascii="Times New Roman" w:hAnsi="Times New Roman"/>
          <w:sz w:val="24"/>
          <w:szCs w:val="24"/>
        </w:rPr>
      </w:pPr>
      <w:r w:rsidRPr="003248A7">
        <w:rPr>
          <w:rFonts w:ascii="Times New Roman" w:hAnsi="Times New Roman"/>
          <w:sz w:val="24"/>
          <w:szCs w:val="24"/>
        </w:rPr>
        <w:t>SUBJECT:</w:t>
      </w:r>
      <w:r w:rsidRPr="003248A7">
        <w:rPr>
          <w:rFonts w:ascii="Times New Roman" w:hAnsi="Times New Roman"/>
          <w:sz w:val="24"/>
          <w:szCs w:val="24"/>
        </w:rPr>
        <w:tab/>
      </w:r>
      <w:r w:rsidRPr="003248A7" w:rsidR="00F93E2B">
        <w:rPr>
          <w:rFonts w:ascii="Times New Roman" w:hAnsi="Times New Roman"/>
          <w:sz w:val="24"/>
          <w:szCs w:val="24"/>
        </w:rPr>
        <w:t xml:space="preserve">2019–20 National Postsecondary Student Aid Study (NPSAS:20) </w:t>
      </w:r>
      <w:r w:rsidRPr="003248A7" w:rsidR="004E5A00">
        <w:rPr>
          <w:rFonts w:ascii="Times New Roman" w:hAnsi="Times New Roman"/>
          <w:sz w:val="24"/>
          <w:szCs w:val="24"/>
        </w:rPr>
        <w:t>Calibration Results</w:t>
      </w:r>
      <w:r w:rsidRPr="003248A7" w:rsidR="00675A5B">
        <w:rPr>
          <w:rFonts w:ascii="Times New Roman" w:hAnsi="Times New Roman"/>
          <w:sz w:val="24"/>
          <w:szCs w:val="24"/>
        </w:rPr>
        <w:t xml:space="preserve"> Update</w:t>
      </w:r>
      <w:r w:rsidRPr="003248A7" w:rsidR="00F93E2B">
        <w:rPr>
          <w:rFonts w:ascii="Times New Roman" w:hAnsi="Times New Roman"/>
          <w:sz w:val="24"/>
          <w:szCs w:val="24"/>
        </w:rPr>
        <w:t xml:space="preserve"> Change Request </w:t>
      </w:r>
      <w:r w:rsidRPr="003248A7" w:rsidR="00302A69">
        <w:rPr>
          <w:rFonts w:ascii="Times New Roman" w:hAnsi="Times New Roman"/>
          <w:sz w:val="24"/>
          <w:szCs w:val="24"/>
        </w:rPr>
        <w:t>(OMB# 1850-0666 v</w:t>
      </w:r>
      <w:r w:rsidR="003248A7">
        <w:rPr>
          <w:rFonts w:ascii="Times New Roman" w:hAnsi="Times New Roman"/>
          <w:sz w:val="24"/>
          <w:szCs w:val="24"/>
        </w:rPr>
        <w:t>.</w:t>
      </w:r>
      <w:r w:rsidRPr="003248A7" w:rsidR="00C9437F">
        <w:rPr>
          <w:rFonts w:ascii="Times New Roman" w:hAnsi="Times New Roman"/>
          <w:sz w:val="24"/>
          <w:szCs w:val="24"/>
        </w:rPr>
        <w:t>30</w:t>
      </w:r>
      <w:r w:rsidRPr="003248A7" w:rsidR="00302A69">
        <w:rPr>
          <w:rFonts w:ascii="Times New Roman" w:hAnsi="Times New Roman"/>
          <w:sz w:val="24"/>
          <w:szCs w:val="24"/>
        </w:rPr>
        <w:t>)</w:t>
      </w:r>
    </w:p>
    <w:p w:rsidRPr="003248A7" w:rsidR="00DA0ABB" w:rsidP="00DA0ABB" w:rsidRDefault="00DA0ABB" w14:paraId="00D6F8D4" w14:textId="77777777">
      <w:pPr>
        <w:widowControl w:val="0"/>
      </w:pPr>
      <w:r w:rsidRPr="003248A7">
        <w:t xml:space="preserve">The 2019-20 National Postsecondary Student Aid Study (NPSAS:20) is a nationally representative cross-sectional study of how students and their families finance education beyond high school in a given academic year. NPSAS is conducted by the National Center for Education Statistics (NCES) and was first implemented by NCES during the 1986–87 academic year and has been fielded every 3 to 4 years since. This request pertains to the 11th cycle in the NPSAS series conducted during the 2019–20 academic year. NPSAS:20 is both nationally and state-representative and will serve as the base year data collection for the 2020 cohort of the Beginning Postsecondary Students Longitudinal Study (BPS:20), a study of first-time beginning postsecondary students that will be conducted three years (BPS:20/22) and six years (BPS:20/25) after beginning their postsecondary education. NPSAS:20 will consist of a nationally representative sample of undergraduate and graduate students, and a nationally representative sample of first-time beginning students (FTBs). Subsets of questions in the NPSAS:20 student interview will focus on describing aspects of the experience of beginning students in their first year of postsecondary education, including student debt and education experiences. </w:t>
      </w:r>
    </w:p>
    <w:p w:rsidRPr="003248A7" w:rsidR="00DA0ABB" w:rsidP="00DA0ABB" w:rsidRDefault="00DA0ABB" w14:paraId="52148FF7" w14:textId="77777777">
      <w:pPr>
        <w:widowControl w:val="0"/>
      </w:pPr>
    </w:p>
    <w:p w:rsidRPr="003248A7" w:rsidR="00DA0ABB" w:rsidP="00DA0ABB" w:rsidRDefault="00DA0ABB" w14:paraId="79E3E459" w14:textId="0A397DE8">
      <w:pPr>
        <w:widowControl w:val="0"/>
      </w:pPr>
      <w:r w:rsidRPr="003248A7">
        <w:t xml:space="preserve">The request is to conduct all activities related to NPSAS:20, including materials and procedures related to: the NPSAS:20 student data collection, consisting of abstraction of student data from institutions and a student survey; panel maintenance activities for a NPSAS:20 follow-up field test (for BPS:20/22); and carried over respondent burden, procedures, and materials related to the NPSAS:20 institution sampling, enrollment list collection, and matching to administrative data files was approved by OMB in December 2019 (OMB#1859-0666 v.25). The NPSAS:20 enrollment list collection from institutions takes place from October 2019 through July 2020, the student records collection takes place from March through November 2020, and the student survey data collection takes place from February through early December 2020. </w:t>
      </w:r>
    </w:p>
    <w:p w:rsidRPr="003248A7" w:rsidR="00DA0ABB" w:rsidP="00DA0ABB" w:rsidRDefault="00DA0ABB" w14:paraId="70740A0B" w14:textId="77777777">
      <w:pPr>
        <w:widowControl w:val="0"/>
      </w:pPr>
    </w:p>
    <w:p w:rsidRPr="003248A7" w:rsidR="00DA0ABB" w:rsidP="00DA0ABB" w:rsidRDefault="00DA0ABB" w14:paraId="6BF218ED" w14:textId="7EEAE529">
      <w:pPr>
        <w:widowControl w:val="0"/>
      </w:pPr>
      <w:r w:rsidRPr="003248A7">
        <w:t xml:space="preserve">This request includes </w:t>
      </w:r>
      <w:r w:rsidRPr="003248A7" w:rsidR="00BC2A88">
        <w:t>an update</w:t>
      </w:r>
      <w:r w:rsidRPr="003248A7">
        <w:t xml:space="preserve"> </w:t>
      </w:r>
      <w:r w:rsidRPr="003248A7" w:rsidR="00BC2A88">
        <w:t>of the</w:t>
      </w:r>
      <w:r w:rsidRPr="003248A7">
        <w:t xml:space="preserve"> </w:t>
      </w:r>
      <w:r w:rsidRPr="003248A7" w:rsidR="00234772">
        <w:t xml:space="preserve">data collection design of the main NPSAS:20 study based on the results of the Calibration </w:t>
      </w:r>
      <w:r w:rsidRPr="003248A7" w:rsidR="00566922">
        <w:t>Experiment</w:t>
      </w:r>
      <w:r w:rsidRPr="003248A7" w:rsidR="00192667">
        <w:t xml:space="preserve"> </w:t>
      </w:r>
      <w:r w:rsidRPr="003248A7" w:rsidR="000E4E72">
        <w:t>which investigated the use of prepaid incentives</w:t>
      </w:r>
      <w:r w:rsidRPr="003248A7" w:rsidR="004F0035">
        <w:t xml:space="preserve"> in combination with </w:t>
      </w:r>
      <w:r w:rsidRPr="003248A7" w:rsidR="004C7AE0">
        <w:t>different baseline promised incentives</w:t>
      </w:r>
      <w:r w:rsidRPr="003248A7" w:rsidR="00566922">
        <w:t>.</w:t>
      </w:r>
      <w:r w:rsidRPr="003248A7" w:rsidR="00C85408">
        <w:t xml:space="preserve"> </w:t>
      </w:r>
      <w:r w:rsidRPr="003248A7">
        <w:t xml:space="preserve">This request does not introduce significant changes to the estimated respondent burden or the costs to the federal government. The following revisions were made to </w:t>
      </w:r>
      <w:r w:rsidR="00A90DB6">
        <w:t xml:space="preserve">Part A </w:t>
      </w:r>
      <w:r w:rsidR="007F2DAD">
        <w:t xml:space="preserve">(p. 8) and </w:t>
      </w:r>
      <w:r w:rsidRPr="003248A7" w:rsidR="004C7AE0">
        <w:t>Par</w:t>
      </w:r>
      <w:r w:rsidRPr="003248A7" w:rsidR="003D4C7F">
        <w:t>t B</w:t>
      </w:r>
      <w:r w:rsidRPr="003248A7">
        <w:t xml:space="preserve"> (</w:t>
      </w:r>
      <w:r w:rsidRPr="003248A7" w:rsidR="00964154">
        <w:t>NPSAS:20 Main Data Collection</w:t>
      </w:r>
      <w:r w:rsidRPr="003248A7" w:rsidR="007571A3">
        <w:t>)</w:t>
      </w:r>
      <w:r w:rsidR="00412DE8">
        <w:t>, beginning on p. 23 of that document</w:t>
      </w:r>
      <w:r w:rsidRPr="003248A7">
        <w:t xml:space="preserve">. </w:t>
      </w:r>
    </w:p>
    <w:p w:rsidR="00BB3914" w:rsidP="00DA0ABB" w:rsidRDefault="00BB3914" w14:paraId="69497D90" w14:textId="41B1F6AB">
      <w:pPr>
        <w:widowControl w:val="0"/>
      </w:pPr>
    </w:p>
    <w:p w:rsidR="00F279EE" w:rsidP="00DA0ABB" w:rsidRDefault="00F279EE" w14:paraId="6350C2FA" w14:textId="5BC3EAA1">
      <w:pPr>
        <w:widowControl w:val="0"/>
      </w:pPr>
    </w:p>
    <w:p w:rsidR="00F279EE" w:rsidP="00DA0ABB" w:rsidRDefault="00F279EE" w14:paraId="060D0938" w14:textId="3D275DF2">
      <w:pPr>
        <w:widowControl w:val="0"/>
      </w:pPr>
    </w:p>
    <w:p w:rsidR="00F279EE" w:rsidP="00DA0ABB" w:rsidRDefault="00F279EE" w14:paraId="2A4BD406" w14:textId="3A11AC1E">
      <w:pPr>
        <w:widowControl w:val="0"/>
      </w:pPr>
    </w:p>
    <w:p w:rsidR="00F279EE" w:rsidP="00DA0ABB" w:rsidRDefault="00F279EE" w14:paraId="5304CEBE" w14:textId="7A7C32AD">
      <w:pPr>
        <w:widowControl w:val="0"/>
      </w:pPr>
    </w:p>
    <w:p w:rsidR="00F279EE" w:rsidP="00DA0ABB" w:rsidRDefault="00F279EE" w14:paraId="09B10705" w14:textId="6766FB25">
      <w:pPr>
        <w:widowControl w:val="0"/>
      </w:pPr>
    </w:p>
    <w:p w:rsidR="00F279EE" w:rsidP="00DA0ABB" w:rsidRDefault="00F279EE" w14:paraId="74BD9A59" w14:textId="28D7355B">
      <w:pPr>
        <w:widowControl w:val="0"/>
      </w:pPr>
    </w:p>
    <w:p w:rsidRPr="003248A7" w:rsidR="00F279EE" w:rsidP="00F279EE" w:rsidRDefault="00F279EE" w14:paraId="43E33BA2" w14:textId="3394826C">
      <w:pPr>
        <w:widowControl w:val="0"/>
        <w:spacing w:before="240"/>
        <w:rPr>
          <w:b/>
          <w:bCs/>
          <w:u w:val="single"/>
        </w:rPr>
      </w:pPr>
      <w:r w:rsidRPr="003248A7">
        <w:rPr>
          <w:b/>
          <w:bCs/>
          <w:u w:val="single"/>
        </w:rPr>
        <w:lastRenderedPageBreak/>
        <w:t xml:space="preserve">Modifications to Part </w:t>
      </w:r>
      <w:r>
        <w:rPr>
          <w:b/>
          <w:bCs/>
          <w:u w:val="single"/>
        </w:rPr>
        <w:t>A</w:t>
      </w:r>
      <w:r>
        <w:rPr>
          <w:b/>
          <w:bCs/>
          <w:u w:val="single"/>
        </w:rPr>
        <w:t xml:space="preserve">, Section </w:t>
      </w:r>
      <w:r>
        <w:rPr>
          <w:b/>
          <w:bCs/>
          <w:u w:val="single"/>
        </w:rPr>
        <w:t>9a</w:t>
      </w:r>
      <w:r w:rsidRPr="003248A7">
        <w:rPr>
          <w:b/>
          <w:bCs/>
          <w:u w:val="single"/>
        </w:rPr>
        <w:t xml:space="preserve"> (</w:t>
      </w:r>
      <w:r w:rsidR="000139FA">
        <w:rPr>
          <w:b/>
          <w:bCs/>
          <w:u w:val="single"/>
        </w:rPr>
        <w:t>Provisions</w:t>
      </w:r>
      <w:r>
        <w:rPr>
          <w:b/>
          <w:bCs/>
          <w:u w:val="single"/>
        </w:rPr>
        <w:t xml:space="preserve"> of </w:t>
      </w:r>
      <w:r w:rsidR="000139FA">
        <w:rPr>
          <w:b/>
          <w:bCs/>
          <w:u w:val="single"/>
        </w:rPr>
        <w:t>Payments or Gifts to Respondents – Student Sample Members</w:t>
      </w:r>
      <w:r>
        <w:rPr>
          <w:b/>
          <w:bCs/>
          <w:u w:val="single"/>
        </w:rPr>
        <w:t>)</w:t>
      </w:r>
      <w:r w:rsidRPr="003248A7">
        <w:rPr>
          <w:b/>
          <w:bCs/>
          <w:u w:val="single"/>
        </w:rPr>
        <w:t xml:space="preserve">. </w:t>
      </w:r>
    </w:p>
    <w:p w:rsidR="00F279EE" w:rsidP="00DA0ABB" w:rsidRDefault="00F279EE" w14:paraId="7C6AA727" w14:textId="77777777">
      <w:pPr>
        <w:widowControl w:val="0"/>
      </w:pPr>
    </w:p>
    <w:p w:rsidR="00F279EE" w:rsidP="00DA0ABB" w:rsidRDefault="00F279EE" w14:paraId="22C48590" w14:textId="207C4152">
      <w:pPr>
        <w:widowControl w:val="0"/>
      </w:pPr>
      <w:r w:rsidRPr="00F279EE">
        <w:t xml:space="preserve">All eligible cases in the NPSAS:20 full-scale study will be offered a monetary incentive for completing the student survey. Below we describe plans for an experiment using a subset of cases – a calibration sample –to determine the final incentive plan that will be </w:t>
      </w:r>
      <w:r w:rsidRPr="00E36C8B">
        <w:rPr>
          <w:strike/>
          <w:color w:val="FF0000"/>
        </w:rPr>
        <w:t xml:space="preserve">submitted to OMB for a consideration as a change request in May 2020 before it is </w:t>
      </w:r>
      <w:r w:rsidRPr="00F279EE">
        <w:t>implemented for the remainder of the data collection with the remainder of the sample. More information regarding the timing and distribution of the incentives for the calibration and main samples</w:t>
      </w:r>
      <w:r w:rsidRPr="00A319F7" w:rsidR="00A319F7">
        <w:rPr>
          <w:color w:val="FF0000"/>
        </w:rPr>
        <w:t>, as well as the results of the calibration experiment and the final incentive plan,</w:t>
      </w:r>
      <w:r w:rsidRPr="00A319F7">
        <w:rPr>
          <w:color w:val="FF0000"/>
        </w:rPr>
        <w:t xml:space="preserve"> </w:t>
      </w:r>
      <w:r w:rsidRPr="00F279EE">
        <w:t>is provided in the Supporting Statement Part B of this submission.</w:t>
      </w:r>
    </w:p>
    <w:p w:rsidRPr="003248A7" w:rsidR="00F279EE" w:rsidP="00DA0ABB" w:rsidRDefault="00F279EE" w14:paraId="2FB3D4DC" w14:textId="77777777">
      <w:pPr>
        <w:widowControl w:val="0"/>
      </w:pPr>
    </w:p>
    <w:p w:rsidRPr="003248A7" w:rsidR="007A7080" w:rsidP="00663557" w:rsidRDefault="007A7080" w14:paraId="42265EF1" w14:textId="547E3CEE">
      <w:pPr>
        <w:widowControl w:val="0"/>
        <w:spacing w:before="240"/>
        <w:rPr>
          <w:b/>
          <w:bCs/>
          <w:u w:val="single"/>
        </w:rPr>
      </w:pPr>
      <w:bookmarkStart w:name="_Hlk36193957" w:id="0"/>
      <w:r w:rsidRPr="003248A7">
        <w:rPr>
          <w:b/>
          <w:bCs/>
          <w:u w:val="single"/>
        </w:rPr>
        <w:t xml:space="preserve">Modifications to </w:t>
      </w:r>
      <w:r w:rsidRPr="003248A7" w:rsidR="007571A3">
        <w:rPr>
          <w:b/>
          <w:bCs/>
          <w:u w:val="single"/>
        </w:rPr>
        <w:t>Part B</w:t>
      </w:r>
      <w:r w:rsidR="00CE07CD">
        <w:rPr>
          <w:b/>
          <w:bCs/>
          <w:u w:val="single"/>
        </w:rPr>
        <w:t>, Section 4d</w:t>
      </w:r>
      <w:r w:rsidRPr="003248A7" w:rsidR="007571A3">
        <w:rPr>
          <w:b/>
          <w:bCs/>
          <w:u w:val="single"/>
        </w:rPr>
        <w:t xml:space="preserve"> (NPSAS:20 Main Data </w:t>
      </w:r>
      <w:r w:rsidR="00663557">
        <w:rPr>
          <w:b/>
          <w:bCs/>
          <w:u w:val="single"/>
        </w:rPr>
        <w:t>C</w:t>
      </w:r>
      <w:r w:rsidRPr="003248A7" w:rsidR="007571A3">
        <w:rPr>
          <w:b/>
          <w:bCs/>
          <w:u w:val="single"/>
        </w:rPr>
        <w:t>ollection</w:t>
      </w:r>
      <w:r w:rsidR="00663557">
        <w:rPr>
          <w:b/>
          <w:bCs/>
          <w:u w:val="single"/>
        </w:rPr>
        <w:t>)</w:t>
      </w:r>
      <w:r w:rsidRPr="003248A7" w:rsidR="007571A3">
        <w:rPr>
          <w:b/>
          <w:bCs/>
          <w:u w:val="single"/>
        </w:rPr>
        <w:t>.</w:t>
      </w:r>
      <w:r w:rsidRPr="003248A7" w:rsidR="009719D0">
        <w:rPr>
          <w:b/>
          <w:bCs/>
          <w:u w:val="single"/>
        </w:rPr>
        <w:t xml:space="preserve"> </w:t>
      </w:r>
    </w:p>
    <w:p w:rsidRPr="003248A7" w:rsidR="007A7080" w:rsidP="007A7080" w:rsidRDefault="007A7080" w14:paraId="6ABD85FB" w14:textId="5C8774C2">
      <w:r w:rsidRPr="003248A7">
        <w:t xml:space="preserve">Revisions were made to </w:t>
      </w:r>
      <w:r w:rsidRPr="003248A7" w:rsidR="007571A3">
        <w:t>Part B</w:t>
      </w:r>
      <w:r w:rsidRPr="003248A7">
        <w:t xml:space="preserve"> that address the NPSAS:20 data collection </w:t>
      </w:r>
      <w:r w:rsidRPr="003248A7" w:rsidR="00AE32CC">
        <w:t>phases</w:t>
      </w:r>
      <w:r w:rsidRPr="003248A7">
        <w:t>.</w:t>
      </w:r>
      <w:r w:rsidR="001F7530">
        <w:t xml:space="preserve"> </w:t>
      </w:r>
      <w:r w:rsidRPr="003248A7">
        <w:t>Below is a summary of the changes.</w:t>
      </w:r>
      <w:r w:rsidRPr="003248A7" w:rsidR="00EA0EDB">
        <w:t xml:space="preserve"> </w:t>
      </w:r>
    </w:p>
    <w:p w:rsidRPr="003248A7" w:rsidR="007A7080" w:rsidP="007A7080" w:rsidRDefault="007A7080" w14:paraId="03C9EACB" w14:textId="77777777"/>
    <w:p w:rsidRPr="00C2160A" w:rsidR="00C2160A" w:rsidP="00E25174" w:rsidRDefault="003C3A15" w14:paraId="0583D680" w14:textId="638E62DE">
      <w:pPr>
        <w:pStyle w:val="ListParagraph"/>
        <w:widowControl w:val="0"/>
        <w:numPr>
          <w:ilvl w:val="0"/>
          <w:numId w:val="9"/>
        </w:numPr>
        <w:contextualSpacing/>
        <w:rPr>
          <w:rFonts w:ascii="Times New Roman" w:hAnsi="Times New Roman"/>
          <w:b/>
          <w:bCs/>
          <w:u w:val="single"/>
        </w:rPr>
      </w:pPr>
      <w:r w:rsidRPr="003248A7">
        <w:rPr>
          <w:rFonts w:ascii="Times New Roman" w:hAnsi="Times New Roman"/>
          <w:sz w:val="24"/>
          <w:szCs w:val="24"/>
        </w:rPr>
        <w:t>Revised</w:t>
      </w:r>
      <w:r w:rsidRPr="003248A7" w:rsidR="00AC1355">
        <w:rPr>
          <w:rFonts w:ascii="Times New Roman" w:hAnsi="Times New Roman"/>
          <w:sz w:val="24"/>
          <w:szCs w:val="24"/>
        </w:rPr>
        <w:t xml:space="preserve"> –</w:t>
      </w:r>
      <w:r w:rsidR="002F58D5">
        <w:rPr>
          <w:rFonts w:ascii="Times New Roman" w:hAnsi="Times New Roman"/>
          <w:sz w:val="24"/>
          <w:szCs w:val="24"/>
        </w:rPr>
        <w:t xml:space="preserve"> </w:t>
      </w:r>
      <w:r w:rsidR="009D1DFA">
        <w:rPr>
          <w:rFonts w:ascii="Times New Roman" w:hAnsi="Times New Roman"/>
          <w:sz w:val="24"/>
          <w:szCs w:val="24"/>
        </w:rPr>
        <w:t xml:space="preserve">Table 11 </w:t>
      </w:r>
      <w:r w:rsidR="0069164D">
        <w:rPr>
          <w:rFonts w:ascii="Times New Roman" w:hAnsi="Times New Roman"/>
          <w:sz w:val="24"/>
          <w:szCs w:val="24"/>
        </w:rPr>
        <w:t xml:space="preserve">revised to reflect updated </w:t>
      </w:r>
      <w:r w:rsidR="00C2160A">
        <w:rPr>
          <w:rFonts w:ascii="Times New Roman" w:hAnsi="Times New Roman"/>
          <w:sz w:val="24"/>
          <w:szCs w:val="24"/>
        </w:rPr>
        <w:t>NPSAS:20 data collection design.</w:t>
      </w:r>
    </w:p>
    <w:p w:rsidRPr="00A62969" w:rsidR="005700E9" w:rsidP="004466B9" w:rsidRDefault="00AC1355" w14:paraId="520F98E1" w14:textId="12A89C24">
      <w:pPr>
        <w:pStyle w:val="ListParagraph"/>
        <w:widowControl w:val="0"/>
        <w:numPr>
          <w:ilvl w:val="0"/>
          <w:numId w:val="9"/>
        </w:numPr>
        <w:contextualSpacing/>
        <w:rPr>
          <w:rFonts w:ascii="Times New Roman" w:hAnsi="Times New Roman"/>
          <w:b/>
          <w:bCs/>
          <w:u w:val="single"/>
        </w:rPr>
      </w:pPr>
      <w:r w:rsidRPr="003248A7">
        <w:rPr>
          <w:rFonts w:ascii="Times New Roman" w:hAnsi="Times New Roman"/>
          <w:sz w:val="24"/>
          <w:szCs w:val="24"/>
        </w:rPr>
        <w:t>Revised – the introductory paragraph laying out how the results of the calibration sample will be used now reflects the actual results.</w:t>
      </w:r>
      <w:r w:rsidRPr="00A62969" w:rsidR="00D5211C">
        <w:rPr>
          <w:rFonts w:ascii="Times New Roman" w:hAnsi="Times New Roman"/>
          <w:sz w:val="24"/>
          <w:szCs w:val="24"/>
        </w:rPr>
        <w:t xml:space="preserve"> </w:t>
      </w:r>
      <w:bookmarkEnd w:id="0"/>
      <w:r w:rsidR="00083AED">
        <w:rPr>
          <w:rFonts w:ascii="Times New Roman" w:hAnsi="Times New Roman"/>
          <w:sz w:val="24"/>
          <w:szCs w:val="24"/>
        </w:rPr>
        <w:t>Also, added a reference.</w:t>
      </w:r>
    </w:p>
    <w:p w:rsidR="00EA6C02" w:rsidP="005700E9" w:rsidRDefault="00EA6C02" w14:paraId="1D5541C9" w14:textId="77777777">
      <w:pPr>
        <w:pStyle w:val="ListParagraph"/>
        <w:widowControl w:val="0"/>
        <w:contextualSpacing/>
        <w:rPr>
          <w:rFonts w:ascii="Times New Roman" w:hAnsi="Times New Roman"/>
          <w:b/>
          <w:bCs/>
          <w:u w:val="single"/>
        </w:rPr>
      </w:pPr>
    </w:p>
    <w:p w:rsidRPr="00CA7D0A" w:rsidR="00AE32CC" w:rsidP="005700E9" w:rsidRDefault="00DE67A3" w14:paraId="5507AF0A" w14:textId="463E2C05">
      <w:pPr>
        <w:pStyle w:val="ListParagraph"/>
        <w:widowControl w:val="0"/>
        <w:contextualSpacing/>
        <w:rPr>
          <w:rFonts w:ascii="Times New Roman" w:hAnsi="Times New Roman"/>
          <w:b/>
          <w:bCs/>
          <w:u w:val="single"/>
        </w:rPr>
      </w:pPr>
      <w:r>
        <w:rPr>
          <w:rFonts w:ascii="Times New Roman" w:hAnsi="Times New Roman"/>
          <w:sz w:val="24"/>
          <w:szCs w:val="24"/>
        </w:rPr>
        <w:t xml:space="preserve">For </w:t>
      </w:r>
      <w:r w:rsidR="00D068FB">
        <w:rPr>
          <w:rFonts w:ascii="Times New Roman" w:hAnsi="Times New Roman"/>
          <w:sz w:val="24"/>
          <w:szCs w:val="24"/>
        </w:rPr>
        <w:t>your reference, b</w:t>
      </w:r>
      <w:r w:rsidR="00BF4D2C">
        <w:rPr>
          <w:rFonts w:ascii="Times New Roman" w:hAnsi="Times New Roman"/>
          <w:sz w:val="24"/>
          <w:szCs w:val="24"/>
        </w:rPr>
        <w:t xml:space="preserve">elow is the </w:t>
      </w:r>
      <w:r w:rsidR="001E153B">
        <w:rPr>
          <w:rFonts w:ascii="Times New Roman" w:hAnsi="Times New Roman"/>
          <w:sz w:val="24"/>
          <w:szCs w:val="24"/>
        </w:rPr>
        <w:t>original calibration experiment</w:t>
      </w:r>
      <w:r w:rsidR="00BF4D2C">
        <w:rPr>
          <w:rFonts w:ascii="Times New Roman" w:hAnsi="Times New Roman"/>
          <w:sz w:val="24"/>
          <w:szCs w:val="24"/>
        </w:rPr>
        <w:t xml:space="preserve"> design</w:t>
      </w:r>
      <w:r w:rsidR="00A23A05">
        <w:rPr>
          <w:rFonts w:ascii="Times New Roman" w:hAnsi="Times New Roman"/>
          <w:sz w:val="24"/>
          <w:szCs w:val="24"/>
        </w:rPr>
        <w:t xml:space="preserve"> (page 21)</w:t>
      </w:r>
      <w:r w:rsidR="00BF4D2C">
        <w:rPr>
          <w:rFonts w:ascii="Times New Roman" w:hAnsi="Times New Roman"/>
          <w:sz w:val="24"/>
          <w:szCs w:val="24"/>
        </w:rPr>
        <w:t>:</w:t>
      </w:r>
    </w:p>
    <w:p w:rsidRPr="00501B6D" w:rsidR="00497B13" w:rsidP="00497B13" w:rsidRDefault="00497B13" w14:paraId="6CEFCA0F" w14:textId="0A4A3655">
      <w:pPr>
        <w:pStyle w:val="TableTitle0"/>
        <w:ind w:left="720" w:firstLine="0"/>
      </w:pPr>
      <w:bookmarkStart w:name="_Toc17363177" w:id="1"/>
      <w:r w:rsidRPr="00501B6D">
        <w:t>Calibration sample design by condition</w:t>
      </w:r>
      <w:r>
        <w:t xml:space="preserve"> and </w:t>
      </w:r>
      <w:r w:rsidRPr="00501B6D">
        <w:t>phase of data collection</w:t>
      </w:r>
      <w:bookmarkEnd w:id="1"/>
    </w:p>
    <w:tbl>
      <w:tblPr>
        <w:tblStyle w:val="TableGrid"/>
        <w:tblW w:w="5000" w:type="pct"/>
        <w:tblBorders>
          <w:top w:val="single" w:color="auto" w:sz="12" w:space="0"/>
          <w:left w:val="none" w:color="auto" w:sz="0" w:space="0"/>
          <w:bottom w:val="single" w:color="auto" w:sz="12" w:space="0"/>
          <w:right w:val="none" w:color="auto" w:sz="0" w:space="0"/>
          <w:insideH w:val="none" w:color="auto" w:sz="0" w:space="0"/>
          <w:insideV w:val="none" w:color="auto" w:sz="0" w:space="0"/>
        </w:tblBorders>
        <w:tblLook w:val="04A0" w:firstRow="1" w:lastRow="0" w:firstColumn="1" w:lastColumn="0" w:noHBand="0" w:noVBand="1"/>
      </w:tblPr>
      <w:tblGrid>
        <w:gridCol w:w="3060"/>
        <w:gridCol w:w="3330"/>
        <w:gridCol w:w="2160"/>
        <w:gridCol w:w="1962"/>
      </w:tblGrid>
      <w:tr w:rsidRPr="00476338" w:rsidR="00497B13" w:rsidTr="00CA7D0A" w14:paraId="5764CE07" w14:textId="77777777">
        <w:tc>
          <w:tcPr>
            <w:tcW w:w="3060" w:type="dxa"/>
            <w:tcBorders>
              <w:top w:val="single" w:color="auto" w:sz="12" w:space="0"/>
              <w:bottom w:val="single" w:color="auto" w:sz="2" w:space="0"/>
            </w:tcBorders>
          </w:tcPr>
          <w:p w:rsidRPr="00CA7D0A" w:rsidR="00497B13" w:rsidP="00717553" w:rsidRDefault="00497B13" w14:paraId="4627A10D" w14:textId="77777777">
            <w:pPr>
              <w:pStyle w:val="Tabletext"/>
              <w:rPr>
                <w:sz w:val="18"/>
                <w:szCs w:val="18"/>
              </w:rPr>
            </w:pPr>
          </w:p>
        </w:tc>
        <w:tc>
          <w:tcPr>
            <w:tcW w:w="3330" w:type="dxa"/>
            <w:tcBorders>
              <w:top w:val="single" w:color="auto" w:sz="12" w:space="0"/>
              <w:bottom w:val="single" w:color="auto" w:sz="2" w:space="0"/>
            </w:tcBorders>
          </w:tcPr>
          <w:p w:rsidRPr="00CA7D0A" w:rsidR="00497B13" w:rsidP="001E153B" w:rsidRDefault="00497B13" w14:paraId="795A5672" w14:textId="77777777">
            <w:pPr>
              <w:pStyle w:val="Tableheading"/>
              <w:jc w:val="center"/>
              <w:rPr>
                <w:sz w:val="18"/>
                <w:szCs w:val="18"/>
              </w:rPr>
            </w:pPr>
            <w:r w:rsidRPr="00CA7D0A">
              <w:rPr>
                <w:b/>
                <w:bCs/>
                <w:sz w:val="18"/>
                <w:szCs w:val="18"/>
              </w:rPr>
              <w:t>Group 1</w:t>
            </w:r>
            <w:r w:rsidRPr="00CA7D0A">
              <w:rPr>
                <w:b/>
                <w:bCs/>
                <w:sz w:val="18"/>
                <w:szCs w:val="18"/>
              </w:rPr>
              <w:br/>
            </w:r>
            <w:r w:rsidRPr="00CA7D0A">
              <w:rPr>
                <w:i/>
                <w:iCs/>
                <w:sz w:val="18"/>
                <w:szCs w:val="18"/>
              </w:rPr>
              <w:t>n</w:t>
            </w:r>
            <w:r w:rsidRPr="00CA7D0A">
              <w:rPr>
                <w:sz w:val="18"/>
                <w:szCs w:val="18"/>
              </w:rPr>
              <w:t xml:space="preserve"> = 2,000</w:t>
            </w:r>
          </w:p>
        </w:tc>
        <w:tc>
          <w:tcPr>
            <w:tcW w:w="2160" w:type="dxa"/>
            <w:tcBorders>
              <w:top w:val="single" w:color="auto" w:sz="12" w:space="0"/>
              <w:bottom w:val="single" w:color="auto" w:sz="2" w:space="0"/>
            </w:tcBorders>
          </w:tcPr>
          <w:p w:rsidRPr="00CA7D0A" w:rsidR="00497B13" w:rsidP="001E153B" w:rsidRDefault="00497B13" w14:paraId="19B354BE" w14:textId="77777777">
            <w:pPr>
              <w:pStyle w:val="Tableheading"/>
              <w:jc w:val="center"/>
              <w:rPr>
                <w:sz w:val="18"/>
                <w:szCs w:val="18"/>
              </w:rPr>
            </w:pPr>
            <w:r w:rsidRPr="00CA7D0A">
              <w:rPr>
                <w:b/>
                <w:bCs/>
                <w:sz w:val="18"/>
                <w:szCs w:val="18"/>
              </w:rPr>
              <w:t>Group 2</w:t>
            </w:r>
            <w:r w:rsidRPr="00CA7D0A">
              <w:rPr>
                <w:sz w:val="18"/>
                <w:szCs w:val="18"/>
              </w:rPr>
              <w:br/>
            </w:r>
            <w:r w:rsidRPr="00CA7D0A">
              <w:rPr>
                <w:i/>
                <w:iCs/>
                <w:sz w:val="18"/>
                <w:szCs w:val="18"/>
              </w:rPr>
              <w:t>n</w:t>
            </w:r>
            <w:r w:rsidRPr="00CA7D0A">
              <w:rPr>
                <w:sz w:val="18"/>
                <w:szCs w:val="18"/>
              </w:rPr>
              <w:t xml:space="preserve"> = 2,000</w:t>
            </w:r>
          </w:p>
        </w:tc>
        <w:tc>
          <w:tcPr>
            <w:tcW w:w="1962" w:type="dxa"/>
            <w:tcBorders>
              <w:top w:val="single" w:color="auto" w:sz="12" w:space="0"/>
              <w:bottom w:val="single" w:color="auto" w:sz="2" w:space="0"/>
            </w:tcBorders>
          </w:tcPr>
          <w:p w:rsidRPr="00CA7D0A" w:rsidR="00497B13" w:rsidP="001E153B" w:rsidRDefault="00497B13" w14:paraId="0FC6C449" w14:textId="77777777">
            <w:pPr>
              <w:pStyle w:val="Tableheading"/>
              <w:jc w:val="center"/>
              <w:rPr>
                <w:sz w:val="18"/>
                <w:szCs w:val="18"/>
              </w:rPr>
            </w:pPr>
            <w:r w:rsidRPr="00CA7D0A">
              <w:rPr>
                <w:b/>
                <w:bCs/>
                <w:sz w:val="18"/>
                <w:szCs w:val="18"/>
              </w:rPr>
              <w:t>Group 3 (Control)</w:t>
            </w:r>
            <w:r w:rsidRPr="00CA7D0A">
              <w:rPr>
                <w:b/>
                <w:bCs/>
                <w:sz w:val="18"/>
                <w:szCs w:val="18"/>
              </w:rPr>
              <w:br/>
            </w:r>
            <w:r w:rsidRPr="00CA7D0A">
              <w:rPr>
                <w:i/>
                <w:iCs/>
                <w:sz w:val="18"/>
                <w:szCs w:val="18"/>
              </w:rPr>
              <w:t xml:space="preserve">n </w:t>
            </w:r>
            <w:r w:rsidRPr="00CA7D0A">
              <w:rPr>
                <w:sz w:val="18"/>
                <w:szCs w:val="18"/>
              </w:rPr>
              <w:t>= 2,000</w:t>
            </w:r>
          </w:p>
        </w:tc>
      </w:tr>
      <w:tr w:rsidRPr="005C3B9C" w:rsidR="00497B13" w:rsidTr="00181A12" w14:paraId="45886D86" w14:textId="77777777">
        <w:tc>
          <w:tcPr>
            <w:tcW w:w="3060" w:type="dxa"/>
            <w:tcBorders>
              <w:top w:val="single" w:color="auto" w:sz="2" w:space="0"/>
            </w:tcBorders>
          </w:tcPr>
          <w:p w:rsidRPr="00CA7D0A" w:rsidR="00497B13" w:rsidP="00717553" w:rsidRDefault="00497B13" w14:paraId="5140D482" w14:textId="77777777">
            <w:pPr>
              <w:pStyle w:val="Tabletext"/>
              <w:rPr>
                <w:b/>
                <w:sz w:val="18"/>
                <w:szCs w:val="18"/>
              </w:rPr>
            </w:pPr>
            <w:r w:rsidRPr="00CA7D0A">
              <w:rPr>
                <w:b/>
                <w:sz w:val="18"/>
                <w:szCs w:val="18"/>
              </w:rPr>
              <w:t>Phase 1</w:t>
            </w:r>
          </w:p>
        </w:tc>
        <w:tc>
          <w:tcPr>
            <w:tcW w:w="3330" w:type="dxa"/>
            <w:tcBorders>
              <w:top w:val="single" w:color="auto" w:sz="2" w:space="0"/>
            </w:tcBorders>
          </w:tcPr>
          <w:p w:rsidRPr="00CA7D0A" w:rsidR="00497B13" w:rsidP="001E153B" w:rsidRDefault="00497B13" w14:paraId="3F2563A1" w14:textId="77777777">
            <w:pPr>
              <w:pStyle w:val="Tabletext"/>
              <w:jc w:val="center"/>
              <w:rPr>
                <w:sz w:val="18"/>
                <w:szCs w:val="18"/>
              </w:rPr>
            </w:pPr>
            <w:r w:rsidRPr="00CA7D0A">
              <w:rPr>
                <w:sz w:val="18"/>
                <w:szCs w:val="18"/>
              </w:rPr>
              <w:t>$2 prepaid + $30 promised</w:t>
            </w:r>
          </w:p>
        </w:tc>
        <w:tc>
          <w:tcPr>
            <w:tcW w:w="2160" w:type="dxa"/>
            <w:tcBorders>
              <w:top w:val="single" w:color="auto" w:sz="2" w:space="0"/>
            </w:tcBorders>
          </w:tcPr>
          <w:p w:rsidRPr="00CA7D0A" w:rsidR="00497B13" w:rsidP="001E153B" w:rsidRDefault="00497B13" w14:paraId="186C009E" w14:textId="77777777">
            <w:pPr>
              <w:pStyle w:val="Tabletext"/>
              <w:jc w:val="center"/>
              <w:rPr>
                <w:sz w:val="18"/>
                <w:szCs w:val="18"/>
              </w:rPr>
            </w:pPr>
            <w:r w:rsidRPr="00CA7D0A">
              <w:rPr>
                <w:sz w:val="18"/>
                <w:szCs w:val="18"/>
              </w:rPr>
              <w:t>$2 prepaid + $15 promised</w:t>
            </w:r>
          </w:p>
        </w:tc>
        <w:tc>
          <w:tcPr>
            <w:tcW w:w="1962" w:type="dxa"/>
            <w:tcBorders>
              <w:top w:val="single" w:color="auto" w:sz="2" w:space="0"/>
            </w:tcBorders>
          </w:tcPr>
          <w:p w:rsidRPr="00CA7D0A" w:rsidR="00497B13" w:rsidP="001E153B" w:rsidRDefault="00497B13" w14:paraId="02605ACF" w14:textId="42869307">
            <w:pPr>
              <w:pStyle w:val="Tabletext"/>
              <w:jc w:val="center"/>
              <w:rPr>
                <w:sz w:val="18"/>
                <w:szCs w:val="18"/>
              </w:rPr>
            </w:pPr>
            <w:r w:rsidRPr="00CA7D0A">
              <w:rPr>
                <w:sz w:val="18"/>
                <w:szCs w:val="18"/>
              </w:rPr>
              <w:t>$0 prepaid + $30 promised</w:t>
            </w:r>
          </w:p>
        </w:tc>
      </w:tr>
      <w:tr w:rsidRPr="005C3B9C" w:rsidR="00497B13" w:rsidTr="00181A12" w14:paraId="0D48BFBC" w14:textId="77777777">
        <w:trPr>
          <w:trHeight w:val="585"/>
        </w:trPr>
        <w:tc>
          <w:tcPr>
            <w:tcW w:w="0" w:type="dxa"/>
          </w:tcPr>
          <w:p w:rsidRPr="00CA7D0A" w:rsidR="00497B13" w:rsidP="00717553" w:rsidRDefault="00497B13" w14:paraId="1DDE7B9C" w14:textId="77777777">
            <w:pPr>
              <w:pStyle w:val="Tabletext"/>
              <w:rPr>
                <w:b/>
                <w:sz w:val="18"/>
                <w:szCs w:val="18"/>
              </w:rPr>
            </w:pPr>
            <w:r w:rsidRPr="00CA7D0A">
              <w:rPr>
                <w:b/>
                <w:sz w:val="18"/>
                <w:szCs w:val="18"/>
              </w:rPr>
              <w:t>Phase 2 (nonresponse follow-up)</w:t>
            </w:r>
          </w:p>
        </w:tc>
        <w:tc>
          <w:tcPr>
            <w:tcW w:w="0" w:type="dxa"/>
          </w:tcPr>
          <w:p w:rsidRPr="00CA7D0A" w:rsidR="00497B13" w:rsidP="001E153B" w:rsidRDefault="00497B13" w14:paraId="7B38D68D" w14:textId="77777777">
            <w:pPr>
              <w:pStyle w:val="Tabletext"/>
              <w:jc w:val="center"/>
              <w:rPr>
                <w:sz w:val="18"/>
                <w:szCs w:val="18"/>
              </w:rPr>
            </w:pPr>
            <w:r w:rsidRPr="00CA7D0A">
              <w:rPr>
                <w:sz w:val="18"/>
                <w:szCs w:val="18"/>
              </w:rPr>
              <w:t>$10 prepaid (via PayPal or check) + $20 promised</w:t>
            </w:r>
          </w:p>
        </w:tc>
        <w:tc>
          <w:tcPr>
            <w:tcW w:w="0" w:type="dxa"/>
          </w:tcPr>
          <w:p w:rsidRPr="00CA7D0A" w:rsidR="00497B13" w:rsidP="001E153B" w:rsidRDefault="00497B13" w14:paraId="4E8BD8FB" w14:textId="77777777">
            <w:pPr>
              <w:pStyle w:val="Tabletext"/>
              <w:jc w:val="center"/>
              <w:rPr>
                <w:sz w:val="18"/>
                <w:szCs w:val="18"/>
              </w:rPr>
            </w:pPr>
            <w:r w:rsidRPr="00CA7D0A">
              <w:rPr>
                <w:sz w:val="18"/>
                <w:szCs w:val="18"/>
              </w:rPr>
              <w:t>$30 promised</w:t>
            </w:r>
          </w:p>
        </w:tc>
        <w:tc>
          <w:tcPr>
            <w:tcW w:w="0" w:type="dxa"/>
          </w:tcPr>
          <w:p w:rsidRPr="00CA7D0A" w:rsidR="00497B13" w:rsidP="001E153B" w:rsidRDefault="00497B13" w14:paraId="660FF577" w14:textId="3FC35194">
            <w:pPr>
              <w:pStyle w:val="Tabletext"/>
              <w:jc w:val="center"/>
              <w:rPr>
                <w:sz w:val="18"/>
                <w:szCs w:val="18"/>
              </w:rPr>
            </w:pPr>
            <w:r w:rsidRPr="00CA7D0A">
              <w:rPr>
                <w:sz w:val="18"/>
                <w:szCs w:val="18"/>
              </w:rPr>
              <w:t>$30 promised</w:t>
            </w:r>
          </w:p>
        </w:tc>
      </w:tr>
    </w:tbl>
    <w:p w:rsidRPr="003248A7" w:rsidR="00AE32CC" w:rsidP="00234A8E" w:rsidRDefault="00AE32CC" w14:paraId="0054DB84" w14:textId="2A2EE5B1">
      <w:pPr>
        <w:widowControl w:val="0"/>
        <w:rPr>
          <w:b/>
          <w:bCs/>
          <w:u w:val="single"/>
        </w:rPr>
      </w:pPr>
    </w:p>
    <w:p w:rsidRPr="003248A7" w:rsidR="00AE32CC" w:rsidP="00234A8E" w:rsidRDefault="00AE32CC" w14:paraId="642E8E37" w14:textId="6D2E1359">
      <w:pPr>
        <w:widowControl w:val="0"/>
        <w:rPr>
          <w:b/>
          <w:bCs/>
          <w:u w:val="single"/>
        </w:rPr>
      </w:pPr>
      <w:r w:rsidRPr="003248A7">
        <w:rPr>
          <w:b/>
          <w:bCs/>
          <w:u w:val="single"/>
        </w:rPr>
        <w:t>Part B</w:t>
      </w:r>
      <w:r w:rsidR="00700B59">
        <w:rPr>
          <w:b/>
          <w:bCs/>
          <w:u w:val="single"/>
        </w:rPr>
        <w:t>, Section 4d</w:t>
      </w:r>
      <w:r w:rsidR="00CE07CD">
        <w:rPr>
          <w:b/>
          <w:bCs/>
          <w:u w:val="single"/>
        </w:rPr>
        <w:t xml:space="preserve"> -</w:t>
      </w:r>
      <w:r w:rsidRPr="003248A7">
        <w:rPr>
          <w:b/>
          <w:bCs/>
          <w:u w:val="single"/>
        </w:rPr>
        <w:t xml:space="preserve"> NPSAS:20 Main Data Collection Insert</w:t>
      </w:r>
    </w:p>
    <w:p w:rsidR="004B631B" w:rsidP="00FD3695" w:rsidRDefault="004B631B" w14:paraId="0DED50DB" w14:textId="5E58F533"/>
    <w:p w:rsidRPr="00CA7D0A" w:rsidR="007C0C33" w:rsidP="00712454" w:rsidRDefault="00CA7D0A" w14:paraId="15C39912" w14:textId="5E2118A4">
      <w:pPr>
        <w:pStyle w:val="ListParagraph"/>
        <w:numPr>
          <w:ilvl w:val="0"/>
          <w:numId w:val="19"/>
        </w:numPr>
        <w:rPr>
          <w:rFonts w:ascii="Times New Roman" w:hAnsi="Times New Roman"/>
          <w:sz w:val="24"/>
          <w:szCs w:val="24"/>
        </w:rPr>
      </w:pPr>
      <w:r w:rsidRPr="00CA7D0A">
        <w:rPr>
          <w:rFonts w:ascii="Times New Roman" w:hAnsi="Times New Roman"/>
          <w:sz w:val="24"/>
          <w:szCs w:val="24"/>
        </w:rPr>
        <w:t xml:space="preserve">Revision of </w:t>
      </w:r>
      <w:r w:rsidRPr="00CA7D0A" w:rsidR="007C0C33">
        <w:rPr>
          <w:rFonts w:ascii="Times New Roman" w:hAnsi="Times New Roman"/>
          <w:sz w:val="24"/>
          <w:szCs w:val="24"/>
        </w:rPr>
        <w:t>Table 11 to reflect updated NPSAS:20 data collection design</w:t>
      </w:r>
      <w:r w:rsidR="00A80942">
        <w:rPr>
          <w:rFonts w:ascii="Times New Roman" w:hAnsi="Times New Roman"/>
          <w:sz w:val="24"/>
          <w:szCs w:val="24"/>
        </w:rPr>
        <w:t xml:space="preserve"> (page 23)</w:t>
      </w:r>
      <w:r w:rsidRPr="00CA7D0A" w:rsidR="007C0C33">
        <w:rPr>
          <w:rFonts w:ascii="Times New Roman" w:hAnsi="Times New Roman"/>
          <w:sz w:val="24"/>
          <w:szCs w:val="24"/>
        </w:rPr>
        <w:t>.</w:t>
      </w:r>
    </w:p>
    <w:p w:rsidR="007C0C33" w:rsidP="00FD3695" w:rsidRDefault="007C0C33" w14:paraId="6FB34968" w14:textId="62066A7F"/>
    <w:p w:rsidRPr="00712454" w:rsidR="007C0C33" w:rsidP="00FD3695" w:rsidRDefault="007C0C33" w14:paraId="2B306421" w14:textId="16EEB293">
      <w:pPr>
        <w:rPr>
          <w:b/>
          <w:bCs/>
        </w:rPr>
      </w:pPr>
      <w:r w:rsidRPr="00712454">
        <w:rPr>
          <w:b/>
          <w:bCs/>
        </w:rPr>
        <w:t>Original table:</w:t>
      </w:r>
    </w:p>
    <w:p w:rsidRPr="007C0C33" w:rsidR="007C0C33" w:rsidP="007C0C33" w:rsidRDefault="007C0C33" w14:paraId="423490DC" w14:textId="06623654">
      <w:pPr>
        <w:keepNext/>
        <w:spacing w:before="120" w:after="60"/>
        <w:rPr>
          <w:rFonts w:ascii="Arial" w:hAnsi="Arial" w:eastAsia="SimSun"/>
          <w:b/>
          <w:kern w:val="16"/>
          <w:sz w:val="20"/>
          <w:szCs w:val="20"/>
        </w:rPr>
      </w:pPr>
      <w:bookmarkStart w:name="_Toc17363178" w:id="2"/>
      <w:r w:rsidRPr="007C0C33">
        <w:rPr>
          <w:rFonts w:ascii="Arial" w:hAnsi="Arial" w:eastAsia="SimSun"/>
          <w:b/>
          <w:kern w:val="16"/>
          <w:sz w:val="20"/>
          <w:szCs w:val="20"/>
        </w:rPr>
        <w:t>Table 11.</w:t>
      </w:r>
      <w:r w:rsidR="00695BCE">
        <w:rPr>
          <w:rFonts w:ascii="Arial" w:hAnsi="Arial" w:eastAsia="SimSun"/>
          <w:b/>
          <w:kern w:val="16"/>
          <w:sz w:val="20"/>
          <w:szCs w:val="20"/>
        </w:rPr>
        <w:t xml:space="preserve">  </w:t>
      </w:r>
      <w:r w:rsidRPr="007C0C33">
        <w:rPr>
          <w:rFonts w:ascii="Arial" w:hAnsi="Arial" w:eastAsia="SimSun"/>
          <w:b/>
          <w:kern w:val="16"/>
          <w:sz w:val="20"/>
          <w:szCs w:val="20"/>
        </w:rPr>
        <w:t>NPSAS:20 Data Collection Design</w:t>
      </w:r>
      <w:bookmarkEnd w:id="2"/>
    </w:p>
    <w:tbl>
      <w:tblPr>
        <w:tblStyle w:val="RTINCESTable3"/>
        <w:tblW w:w="5000" w:type="pct"/>
        <w:tblLook w:val="04A0" w:firstRow="1" w:lastRow="0" w:firstColumn="1" w:lastColumn="0" w:noHBand="0" w:noVBand="1"/>
      </w:tblPr>
      <w:tblGrid>
        <w:gridCol w:w="1800"/>
        <w:gridCol w:w="8712"/>
      </w:tblGrid>
      <w:tr w:rsidRPr="007C0C33" w:rsidR="007C0C33" w:rsidTr="009E6925" w14:paraId="30620F7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vAlign w:val="bottom"/>
          </w:tcPr>
          <w:p w:rsidRPr="007C0C33" w:rsidR="007C0C33" w:rsidP="007C0C33" w:rsidRDefault="007C0C33" w14:paraId="75A620DC" w14:textId="77777777">
            <w:pPr>
              <w:keepNext/>
              <w:spacing w:before="20" w:after="20"/>
              <w:ind w:left="144" w:hanging="144"/>
              <w:rPr>
                <w:kern w:val="16"/>
                <w:sz w:val="18"/>
                <w:szCs w:val="18"/>
              </w:rPr>
            </w:pPr>
            <w:r w:rsidRPr="007C0C33">
              <w:rPr>
                <w:kern w:val="16"/>
                <w:sz w:val="18"/>
                <w:szCs w:val="18"/>
              </w:rPr>
              <w:t>Phase number</w:t>
            </w:r>
          </w:p>
        </w:tc>
        <w:tc>
          <w:tcPr>
            <w:tcW w:w="8712" w:type="dxa"/>
            <w:vAlign w:val="bottom"/>
          </w:tcPr>
          <w:p w:rsidRPr="007C0C33" w:rsidR="007C0C33" w:rsidP="007C0C33" w:rsidRDefault="007C0C33" w14:paraId="01478911" w14:textId="77777777">
            <w:pPr>
              <w:keepNext/>
              <w:spacing w:before="20" w:after="20"/>
              <w:ind w:left="144" w:hanging="144"/>
              <w:jc w:val="left"/>
              <w:cnfStyle w:val="100000000000" w:firstRow="1" w:lastRow="0" w:firstColumn="0" w:lastColumn="0" w:oddVBand="0" w:evenVBand="0" w:oddHBand="0" w:evenHBand="0" w:firstRowFirstColumn="0" w:firstRowLastColumn="0" w:lastRowFirstColumn="0" w:lastRowLastColumn="0"/>
              <w:rPr>
                <w:kern w:val="16"/>
                <w:sz w:val="18"/>
                <w:szCs w:val="18"/>
              </w:rPr>
            </w:pPr>
            <w:r w:rsidRPr="007C0C33">
              <w:rPr>
                <w:kern w:val="16"/>
                <w:sz w:val="18"/>
                <w:szCs w:val="18"/>
              </w:rPr>
              <w:t>Description</w:t>
            </w:r>
          </w:p>
        </w:tc>
      </w:tr>
      <w:tr w:rsidRPr="007C0C33" w:rsidR="007C0C33" w:rsidTr="009E6925" w14:paraId="6205243F" w14:textId="77777777">
        <w:tc>
          <w:tcPr>
            <w:cnfStyle w:val="001000000000" w:firstRow="0" w:lastRow="0" w:firstColumn="1" w:lastColumn="0" w:oddVBand="0" w:evenVBand="0" w:oddHBand="0" w:evenHBand="0" w:firstRowFirstColumn="0" w:firstRowLastColumn="0" w:lastRowFirstColumn="0" w:lastRowLastColumn="0"/>
            <w:tcW w:w="1800" w:type="dxa"/>
            <w:vAlign w:val="bottom"/>
          </w:tcPr>
          <w:p w:rsidRPr="007C0C33" w:rsidR="007C0C33" w:rsidP="007C0C33" w:rsidRDefault="007C0C33" w14:paraId="3CF739B8" w14:textId="77777777">
            <w:pPr>
              <w:keepNext/>
              <w:spacing w:before="20" w:after="20"/>
              <w:ind w:left="144" w:hanging="144"/>
              <w:rPr>
                <w:kern w:val="16"/>
                <w:sz w:val="18"/>
                <w:szCs w:val="18"/>
              </w:rPr>
            </w:pPr>
            <w:r w:rsidRPr="007C0C33">
              <w:rPr>
                <w:kern w:val="16"/>
                <w:sz w:val="18"/>
                <w:szCs w:val="18"/>
              </w:rPr>
              <w:t>Phase 1</w:t>
            </w:r>
          </w:p>
        </w:tc>
        <w:tc>
          <w:tcPr>
            <w:tcW w:w="8712" w:type="dxa"/>
            <w:vAlign w:val="bottom"/>
          </w:tcPr>
          <w:p w:rsidRPr="007C0C33" w:rsidR="007C0C33" w:rsidP="007C0C33" w:rsidRDefault="007C0C33" w14:paraId="736E1AC0" w14:textId="77777777">
            <w:pPr>
              <w:keepNext/>
              <w:spacing w:before="20" w:after="20"/>
              <w:ind w:left="144" w:hanging="144"/>
              <w:jc w:val="left"/>
              <w:cnfStyle w:val="000000000000" w:firstRow="0" w:lastRow="0" w:firstColumn="0" w:lastColumn="0" w:oddVBand="0" w:evenVBand="0" w:oddHBand="0" w:evenHBand="0" w:firstRowFirstColumn="0" w:firstRowLastColumn="0" w:lastRowFirstColumn="0" w:lastRowLastColumn="0"/>
              <w:rPr>
                <w:kern w:val="16"/>
                <w:sz w:val="18"/>
                <w:szCs w:val="18"/>
              </w:rPr>
            </w:pPr>
            <w:r w:rsidRPr="007C0C33">
              <w:rPr>
                <w:kern w:val="16"/>
                <w:sz w:val="18"/>
                <w:szCs w:val="18"/>
              </w:rPr>
              <w:t>Successful incentive from calibration sample offered to everyone.</w:t>
            </w:r>
          </w:p>
        </w:tc>
      </w:tr>
      <w:tr w:rsidRPr="007C0C33" w:rsidR="007C0C33" w:rsidTr="009E6925" w14:paraId="7EB38E2F" w14:textId="77777777">
        <w:tc>
          <w:tcPr>
            <w:cnfStyle w:val="001000000000" w:firstRow="0" w:lastRow="0" w:firstColumn="1" w:lastColumn="0" w:oddVBand="0" w:evenVBand="0" w:oddHBand="0" w:evenHBand="0" w:firstRowFirstColumn="0" w:firstRowLastColumn="0" w:lastRowFirstColumn="0" w:lastRowLastColumn="0"/>
            <w:tcW w:w="1800" w:type="dxa"/>
            <w:vAlign w:val="bottom"/>
          </w:tcPr>
          <w:p w:rsidRPr="007C0C33" w:rsidR="007C0C33" w:rsidP="007C0C33" w:rsidRDefault="007C0C33" w14:paraId="7A4C5F52" w14:textId="77777777">
            <w:pPr>
              <w:keepNext/>
              <w:spacing w:before="20" w:after="20"/>
              <w:ind w:left="144" w:hanging="144"/>
              <w:rPr>
                <w:kern w:val="16"/>
                <w:sz w:val="18"/>
                <w:szCs w:val="18"/>
              </w:rPr>
            </w:pPr>
            <w:r w:rsidRPr="007C0C33">
              <w:rPr>
                <w:kern w:val="16"/>
                <w:sz w:val="18"/>
                <w:szCs w:val="18"/>
              </w:rPr>
              <w:t>Phase 2</w:t>
            </w:r>
          </w:p>
        </w:tc>
        <w:tc>
          <w:tcPr>
            <w:tcW w:w="8712" w:type="dxa"/>
            <w:vAlign w:val="bottom"/>
          </w:tcPr>
          <w:p w:rsidRPr="007C0C33" w:rsidR="007C0C33" w:rsidP="007C0C33" w:rsidRDefault="007C0C33" w14:paraId="5EF1D635" w14:textId="77777777">
            <w:pPr>
              <w:keepNext/>
              <w:spacing w:before="20" w:after="20"/>
              <w:ind w:left="144" w:hanging="144"/>
              <w:jc w:val="left"/>
              <w:cnfStyle w:val="000000000000" w:firstRow="0" w:lastRow="0" w:firstColumn="0" w:lastColumn="0" w:oddVBand="0" w:evenVBand="0" w:oddHBand="0" w:evenHBand="0" w:firstRowFirstColumn="0" w:firstRowLastColumn="0" w:lastRowFirstColumn="0" w:lastRowLastColumn="0"/>
              <w:rPr>
                <w:kern w:val="16"/>
                <w:sz w:val="18"/>
                <w:szCs w:val="18"/>
              </w:rPr>
            </w:pPr>
            <w:r w:rsidRPr="007C0C33">
              <w:rPr>
                <w:kern w:val="16"/>
                <w:sz w:val="18"/>
                <w:szCs w:val="18"/>
              </w:rPr>
              <w:t>Successful incentive from calibration sample offered to remaining nonresponding cases.</w:t>
            </w:r>
          </w:p>
        </w:tc>
      </w:tr>
      <w:tr w:rsidRPr="007C0C33" w:rsidR="007C0C33" w:rsidTr="009E6925" w14:paraId="11DCB69A" w14:textId="77777777">
        <w:tc>
          <w:tcPr>
            <w:cnfStyle w:val="001000000000" w:firstRow="0" w:lastRow="0" w:firstColumn="1" w:lastColumn="0" w:oddVBand="0" w:evenVBand="0" w:oddHBand="0" w:evenHBand="0" w:firstRowFirstColumn="0" w:firstRowLastColumn="0" w:lastRowFirstColumn="0" w:lastRowLastColumn="0"/>
            <w:tcW w:w="1800" w:type="dxa"/>
            <w:vAlign w:val="bottom"/>
          </w:tcPr>
          <w:p w:rsidRPr="007C0C33" w:rsidR="007C0C33" w:rsidP="007C0C33" w:rsidRDefault="007C0C33" w14:paraId="4962A699" w14:textId="77777777">
            <w:pPr>
              <w:keepNext/>
              <w:spacing w:before="20" w:after="20"/>
              <w:ind w:left="144" w:hanging="144"/>
              <w:rPr>
                <w:kern w:val="16"/>
                <w:sz w:val="18"/>
                <w:szCs w:val="18"/>
              </w:rPr>
            </w:pPr>
            <w:r w:rsidRPr="007C0C33">
              <w:rPr>
                <w:kern w:val="16"/>
                <w:sz w:val="18"/>
                <w:szCs w:val="18"/>
              </w:rPr>
              <w:t>Phase 3</w:t>
            </w:r>
          </w:p>
        </w:tc>
        <w:tc>
          <w:tcPr>
            <w:tcW w:w="8712" w:type="dxa"/>
            <w:vAlign w:val="bottom"/>
          </w:tcPr>
          <w:p w:rsidRPr="007C0C33" w:rsidR="007C0C33" w:rsidP="007C0C33" w:rsidRDefault="007C0C33" w14:paraId="689E096E" w14:textId="77777777">
            <w:pPr>
              <w:keepNext/>
              <w:spacing w:before="20" w:after="20"/>
              <w:ind w:left="144" w:hanging="144"/>
              <w:jc w:val="left"/>
              <w:cnfStyle w:val="000000000000" w:firstRow="0" w:lastRow="0" w:firstColumn="0" w:lastColumn="0" w:oddVBand="0" w:evenVBand="0" w:oddHBand="0" w:evenHBand="0" w:firstRowFirstColumn="0" w:firstRowLastColumn="0" w:lastRowFirstColumn="0" w:lastRowLastColumn="0"/>
              <w:rPr>
                <w:kern w:val="16"/>
                <w:sz w:val="18"/>
                <w:szCs w:val="18"/>
              </w:rPr>
            </w:pPr>
            <w:r w:rsidRPr="007C0C33">
              <w:rPr>
                <w:kern w:val="16"/>
                <w:sz w:val="18"/>
                <w:szCs w:val="18"/>
              </w:rPr>
              <w:t>Abbreviated survey (15 minute) + $20 or $30 promised depending on the data collection group</w:t>
            </w:r>
          </w:p>
        </w:tc>
      </w:tr>
      <w:tr w:rsidRPr="007C0C33" w:rsidR="007C0C33" w:rsidTr="009E6925" w14:paraId="02FBA4D6" w14:textId="77777777">
        <w:tc>
          <w:tcPr>
            <w:cnfStyle w:val="001000000000" w:firstRow="0" w:lastRow="0" w:firstColumn="1" w:lastColumn="0" w:oddVBand="0" w:evenVBand="0" w:oddHBand="0" w:evenHBand="0" w:firstRowFirstColumn="0" w:firstRowLastColumn="0" w:lastRowFirstColumn="0" w:lastRowLastColumn="0"/>
            <w:tcW w:w="1800" w:type="dxa"/>
            <w:vAlign w:val="bottom"/>
          </w:tcPr>
          <w:p w:rsidRPr="007C0C33" w:rsidR="007C0C33" w:rsidP="007C0C33" w:rsidRDefault="007C0C33" w14:paraId="5B55EC2A" w14:textId="77777777">
            <w:pPr>
              <w:spacing w:before="20" w:after="20"/>
              <w:ind w:left="144" w:hanging="144"/>
              <w:rPr>
                <w:kern w:val="16"/>
                <w:sz w:val="18"/>
                <w:szCs w:val="18"/>
              </w:rPr>
            </w:pPr>
            <w:r w:rsidRPr="007C0C33">
              <w:rPr>
                <w:kern w:val="16"/>
                <w:sz w:val="18"/>
                <w:szCs w:val="18"/>
              </w:rPr>
              <w:t>Phase 4</w:t>
            </w:r>
          </w:p>
        </w:tc>
        <w:tc>
          <w:tcPr>
            <w:tcW w:w="8712" w:type="dxa"/>
            <w:vAlign w:val="bottom"/>
          </w:tcPr>
          <w:p w:rsidRPr="007C0C33" w:rsidR="007C0C33" w:rsidP="007C0C33" w:rsidRDefault="007C0C33" w14:paraId="0A51E645" w14:textId="77777777">
            <w:pPr>
              <w:keepNext/>
              <w:spacing w:before="20" w:after="20"/>
              <w:ind w:left="144" w:hanging="144"/>
              <w:jc w:val="left"/>
              <w:cnfStyle w:val="000000000000" w:firstRow="0" w:lastRow="0" w:firstColumn="0" w:lastColumn="0" w:oddVBand="0" w:evenVBand="0" w:oddHBand="0" w:evenHBand="0" w:firstRowFirstColumn="0" w:firstRowLastColumn="0" w:lastRowFirstColumn="0" w:lastRowLastColumn="0"/>
              <w:rPr>
                <w:kern w:val="16"/>
                <w:sz w:val="18"/>
                <w:szCs w:val="18"/>
              </w:rPr>
            </w:pPr>
            <w:r w:rsidRPr="007C0C33">
              <w:rPr>
                <w:kern w:val="16"/>
                <w:sz w:val="18"/>
                <w:szCs w:val="18"/>
              </w:rPr>
              <w:t>Mini survey for nonresponse adjustments (5 minute) + $5 promised</w:t>
            </w:r>
          </w:p>
        </w:tc>
      </w:tr>
    </w:tbl>
    <w:p w:rsidR="007C0C33" w:rsidP="00FD3695" w:rsidRDefault="007C0C33" w14:paraId="5E457B81" w14:textId="0A0C5552"/>
    <w:p w:rsidR="007C0C33" w:rsidP="00FD3695" w:rsidRDefault="007C0C33" w14:paraId="1631D56D" w14:textId="10D577A3"/>
    <w:p w:rsidR="00F0579A" w:rsidRDefault="00F0579A" w14:paraId="70DAFEA8" w14:textId="77777777">
      <w:pPr>
        <w:rPr>
          <w:b/>
          <w:bCs/>
        </w:rPr>
      </w:pPr>
      <w:r>
        <w:rPr>
          <w:b/>
          <w:bCs/>
        </w:rPr>
        <w:br w:type="page"/>
      </w:r>
    </w:p>
    <w:p w:rsidRPr="00712454" w:rsidR="007C0C33" w:rsidP="00FD3695" w:rsidRDefault="007C0C33" w14:paraId="685B752A" w14:textId="131D949D">
      <w:pPr>
        <w:rPr>
          <w:b/>
          <w:bCs/>
        </w:rPr>
      </w:pPr>
      <w:r w:rsidRPr="00712454">
        <w:rPr>
          <w:b/>
          <w:bCs/>
        </w:rPr>
        <w:lastRenderedPageBreak/>
        <w:t>Revised table:</w:t>
      </w:r>
    </w:p>
    <w:p w:rsidRPr="00712454" w:rsidR="00712454" w:rsidP="00712454" w:rsidRDefault="00712454" w14:paraId="74A11F19" w14:textId="2F8E6FC2">
      <w:pPr>
        <w:keepNext/>
        <w:spacing w:before="120" w:after="60"/>
        <w:rPr>
          <w:rFonts w:ascii="Arial" w:hAnsi="Arial" w:eastAsia="SimSun"/>
          <w:b/>
          <w:kern w:val="16"/>
          <w:sz w:val="20"/>
          <w:szCs w:val="20"/>
        </w:rPr>
      </w:pPr>
      <w:r w:rsidRPr="00712454">
        <w:rPr>
          <w:rFonts w:ascii="Arial" w:hAnsi="Arial" w:eastAsia="SimSun"/>
          <w:b/>
          <w:kern w:val="16"/>
          <w:sz w:val="20"/>
          <w:szCs w:val="20"/>
        </w:rPr>
        <w:t>Table 11.</w:t>
      </w:r>
      <w:r w:rsidR="00695BCE">
        <w:rPr>
          <w:rFonts w:ascii="Arial" w:hAnsi="Arial" w:eastAsia="SimSun"/>
          <w:b/>
          <w:kern w:val="16"/>
          <w:sz w:val="20"/>
          <w:szCs w:val="20"/>
        </w:rPr>
        <w:t xml:space="preserve">  </w:t>
      </w:r>
      <w:r w:rsidRPr="00712454">
        <w:rPr>
          <w:rFonts w:ascii="Arial" w:hAnsi="Arial" w:eastAsia="SimSun"/>
          <w:b/>
          <w:kern w:val="16"/>
          <w:sz w:val="20"/>
          <w:szCs w:val="20"/>
        </w:rPr>
        <w:t>NPSAS:20 Data Collection Design</w:t>
      </w:r>
    </w:p>
    <w:tbl>
      <w:tblPr>
        <w:tblStyle w:val="RTINCESTable4"/>
        <w:tblW w:w="5000" w:type="pct"/>
        <w:tblLook w:val="04A0" w:firstRow="1" w:lastRow="0" w:firstColumn="1" w:lastColumn="0" w:noHBand="0" w:noVBand="1"/>
      </w:tblPr>
      <w:tblGrid>
        <w:gridCol w:w="1800"/>
        <w:gridCol w:w="8712"/>
      </w:tblGrid>
      <w:tr w:rsidRPr="00712454" w:rsidR="00712454" w:rsidTr="009E6925" w14:paraId="2ADF0C1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vAlign w:val="bottom"/>
          </w:tcPr>
          <w:p w:rsidRPr="00712454" w:rsidR="00712454" w:rsidP="00712454" w:rsidRDefault="00712454" w14:paraId="6432F685" w14:textId="77777777">
            <w:pPr>
              <w:keepNext/>
              <w:spacing w:before="20" w:after="20"/>
              <w:ind w:left="144" w:hanging="144"/>
              <w:rPr>
                <w:kern w:val="16"/>
                <w:sz w:val="18"/>
                <w:szCs w:val="18"/>
              </w:rPr>
            </w:pPr>
            <w:r w:rsidRPr="00712454">
              <w:rPr>
                <w:kern w:val="16"/>
                <w:sz w:val="18"/>
                <w:szCs w:val="18"/>
              </w:rPr>
              <w:t>Phase number</w:t>
            </w:r>
          </w:p>
        </w:tc>
        <w:tc>
          <w:tcPr>
            <w:tcW w:w="8712" w:type="dxa"/>
            <w:vAlign w:val="bottom"/>
          </w:tcPr>
          <w:p w:rsidRPr="00712454" w:rsidR="00712454" w:rsidP="00712454" w:rsidRDefault="00712454" w14:paraId="122830A6" w14:textId="77777777">
            <w:pPr>
              <w:keepNext/>
              <w:spacing w:before="20" w:after="20"/>
              <w:ind w:left="144" w:hanging="144"/>
              <w:jc w:val="left"/>
              <w:cnfStyle w:val="100000000000" w:firstRow="1" w:lastRow="0" w:firstColumn="0" w:lastColumn="0" w:oddVBand="0" w:evenVBand="0" w:oddHBand="0" w:evenHBand="0" w:firstRowFirstColumn="0" w:firstRowLastColumn="0" w:lastRowFirstColumn="0" w:lastRowLastColumn="0"/>
              <w:rPr>
                <w:kern w:val="16"/>
                <w:sz w:val="18"/>
                <w:szCs w:val="18"/>
              </w:rPr>
            </w:pPr>
            <w:r w:rsidRPr="00712454">
              <w:rPr>
                <w:kern w:val="16"/>
                <w:sz w:val="18"/>
                <w:szCs w:val="18"/>
              </w:rPr>
              <w:t>Description</w:t>
            </w:r>
          </w:p>
        </w:tc>
      </w:tr>
      <w:tr w:rsidRPr="00712454" w:rsidR="00712454" w:rsidTr="009D1DFA" w14:paraId="536B5503" w14:textId="77777777">
        <w:tc>
          <w:tcPr>
            <w:cnfStyle w:val="001000000000" w:firstRow="0" w:lastRow="0" w:firstColumn="1" w:lastColumn="0" w:oddVBand="0" w:evenVBand="0" w:oddHBand="0" w:evenHBand="0" w:firstRowFirstColumn="0" w:firstRowLastColumn="0" w:lastRowFirstColumn="0" w:lastRowLastColumn="0"/>
            <w:tcW w:w="1800" w:type="dxa"/>
          </w:tcPr>
          <w:p w:rsidRPr="00712454" w:rsidR="00712454" w:rsidP="00712454" w:rsidRDefault="00712454" w14:paraId="49DFF2F9" w14:textId="77777777">
            <w:pPr>
              <w:keepNext/>
              <w:spacing w:before="20" w:after="20"/>
              <w:ind w:left="144" w:hanging="144"/>
              <w:rPr>
                <w:kern w:val="16"/>
                <w:sz w:val="18"/>
                <w:szCs w:val="18"/>
              </w:rPr>
            </w:pPr>
            <w:r w:rsidRPr="00712454">
              <w:rPr>
                <w:kern w:val="16"/>
                <w:sz w:val="18"/>
                <w:szCs w:val="18"/>
              </w:rPr>
              <w:t>Phase 1</w:t>
            </w:r>
          </w:p>
        </w:tc>
        <w:tc>
          <w:tcPr>
            <w:tcW w:w="8712" w:type="dxa"/>
          </w:tcPr>
          <w:p w:rsidRPr="00712454" w:rsidR="00712454" w:rsidP="00712454" w:rsidRDefault="00712454" w14:paraId="2F7916C5" w14:textId="77777777">
            <w:pPr>
              <w:keepNext/>
              <w:spacing w:before="20" w:after="20"/>
              <w:ind w:left="144" w:hanging="144"/>
              <w:jc w:val="left"/>
              <w:cnfStyle w:val="000000000000" w:firstRow="0" w:lastRow="0" w:firstColumn="0" w:lastColumn="0" w:oddVBand="0" w:evenVBand="0" w:oddHBand="0" w:evenHBand="0" w:firstRowFirstColumn="0" w:firstRowLastColumn="0" w:lastRowFirstColumn="0" w:lastRowLastColumn="0"/>
              <w:rPr>
                <w:kern w:val="16"/>
                <w:sz w:val="18"/>
                <w:szCs w:val="18"/>
              </w:rPr>
            </w:pPr>
            <w:r w:rsidRPr="00712454">
              <w:rPr>
                <w:kern w:val="16"/>
                <w:sz w:val="18"/>
                <w:szCs w:val="18"/>
              </w:rPr>
              <w:t>$30 promised incentive</w:t>
            </w:r>
          </w:p>
        </w:tc>
      </w:tr>
      <w:tr w:rsidRPr="00712454" w:rsidR="00712454" w:rsidTr="009D1DFA" w14:paraId="28322F47" w14:textId="77777777">
        <w:trPr>
          <w:trHeight w:val="792"/>
        </w:trPr>
        <w:tc>
          <w:tcPr>
            <w:cnfStyle w:val="001000000000" w:firstRow="0" w:lastRow="0" w:firstColumn="1" w:lastColumn="0" w:oddVBand="0" w:evenVBand="0" w:oddHBand="0" w:evenHBand="0" w:firstRowFirstColumn="0" w:firstRowLastColumn="0" w:lastRowFirstColumn="0" w:lastRowLastColumn="0"/>
            <w:tcW w:w="1800" w:type="dxa"/>
          </w:tcPr>
          <w:p w:rsidRPr="00712454" w:rsidR="00712454" w:rsidP="00712454" w:rsidRDefault="00712454" w14:paraId="57A93EF0" w14:textId="77777777">
            <w:pPr>
              <w:keepNext/>
              <w:spacing w:before="20" w:after="20"/>
              <w:ind w:left="144" w:hanging="144"/>
              <w:rPr>
                <w:kern w:val="16"/>
                <w:sz w:val="18"/>
                <w:szCs w:val="18"/>
              </w:rPr>
            </w:pPr>
            <w:r w:rsidRPr="00712454">
              <w:rPr>
                <w:kern w:val="16"/>
                <w:sz w:val="18"/>
                <w:szCs w:val="18"/>
              </w:rPr>
              <w:t>Phase 2</w:t>
            </w:r>
          </w:p>
        </w:tc>
        <w:tc>
          <w:tcPr>
            <w:tcW w:w="8712" w:type="dxa"/>
          </w:tcPr>
          <w:p w:rsidRPr="00712454" w:rsidR="00712454" w:rsidP="00712454" w:rsidRDefault="00712454" w14:paraId="12E057C7" w14:textId="77777777">
            <w:pPr>
              <w:keepNext/>
              <w:spacing w:before="20" w:after="20"/>
              <w:ind w:left="144" w:hanging="144"/>
              <w:jc w:val="left"/>
              <w:cnfStyle w:val="000000000000" w:firstRow="0" w:lastRow="0" w:firstColumn="0" w:lastColumn="0" w:oddVBand="0" w:evenVBand="0" w:oddHBand="0" w:evenHBand="0" w:firstRowFirstColumn="0" w:firstRowLastColumn="0" w:lastRowFirstColumn="0" w:lastRowLastColumn="0"/>
              <w:rPr>
                <w:kern w:val="16"/>
                <w:sz w:val="18"/>
                <w:szCs w:val="18"/>
              </w:rPr>
            </w:pPr>
            <w:r w:rsidRPr="00712454">
              <w:rPr>
                <w:kern w:val="16"/>
                <w:sz w:val="18"/>
                <w:szCs w:val="18"/>
              </w:rPr>
              <w:t xml:space="preserve">$30 promised incentive </w:t>
            </w:r>
          </w:p>
          <w:p w:rsidRPr="00712454" w:rsidR="00712454" w:rsidP="00712454" w:rsidRDefault="00712454" w14:paraId="439437EC" w14:textId="77777777">
            <w:pPr>
              <w:keepNext/>
              <w:spacing w:before="20" w:after="20"/>
              <w:ind w:left="144" w:hanging="144"/>
              <w:jc w:val="left"/>
              <w:cnfStyle w:val="000000000000" w:firstRow="0" w:lastRow="0" w:firstColumn="0" w:lastColumn="0" w:oddVBand="0" w:evenVBand="0" w:oddHBand="0" w:evenHBand="0" w:firstRowFirstColumn="0" w:firstRowLastColumn="0" w:lastRowFirstColumn="0" w:lastRowLastColumn="0"/>
              <w:rPr>
                <w:kern w:val="16"/>
                <w:sz w:val="18"/>
                <w:szCs w:val="18"/>
              </w:rPr>
            </w:pPr>
            <w:r w:rsidRPr="00712454">
              <w:rPr>
                <w:kern w:val="16"/>
                <w:sz w:val="18"/>
                <w:szCs w:val="18"/>
              </w:rPr>
              <w:t>Contingency, for example, for cases fielded late in data collection or FTBs: $10 prepaid PayPal or check incentive + $20 promised incentive</w:t>
            </w:r>
          </w:p>
        </w:tc>
      </w:tr>
      <w:tr w:rsidRPr="00712454" w:rsidR="00712454" w:rsidTr="009D1DFA" w14:paraId="63E3B979" w14:textId="77777777">
        <w:trPr>
          <w:trHeight w:val="810"/>
        </w:trPr>
        <w:tc>
          <w:tcPr>
            <w:cnfStyle w:val="001000000000" w:firstRow="0" w:lastRow="0" w:firstColumn="1" w:lastColumn="0" w:oddVBand="0" w:evenVBand="0" w:oddHBand="0" w:evenHBand="0" w:firstRowFirstColumn="0" w:firstRowLastColumn="0" w:lastRowFirstColumn="0" w:lastRowLastColumn="0"/>
            <w:tcW w:w="1800" w:type="dxa"/>
          </w:tcPr>
          <w:p w:rsidRPr="00712454" w:rsidR="00712454" w:rsidP="00712454" w:rsidRDefault="00712454" w14:paraId="284C88C4" w14:textId="77777777">
            <w:pPr>
              <w:keepNext/>
              <w:spacing w:before="20" w:after="20"/>
              <w:ind w:left="144" w:hanging="144"/>
              <w:rPr>
                <w:kern w:val="16"/>
                <w:sz w:val="18"/>
                <w:szCs w:val="18"/>
              </w:rPr>
            </w:pPr>
            <w:r w:rsidRPr="00712454">
              <w:rPr>
                <w:kern w:val="16"/>
                <w:sz w:val="18"/>
                <w:szCs w:val="18"/>
              </w:rPr>
              <w:t>Phase 3</w:t>
            </w:r>
          </w:p>
        </w:tc>
        <w:tc>
          <w:tcPr>
            <w:tcW w:w="8712" w:type="dxa"/>
          </w:tcPr>
          <w:p w:rsidRPr="00712454" w:rsidR="00712454" w:rsidP="00712454" w:rsidRDefault="00712454" w14:paraId="1B27961B" w14:textId="77777777">
            <w:pPr>
              <w:keepNext/>
              <w:spacing w:before="20" w:after="20"/>
              <w:ind w:left="144" w:hanging="144"/>
              <w:jc w:val="left"/>
              <w:cnfStyle w:val="000000000000" w:firstRow="0" w:lastRow="0" w:firstColumn="0" w:lastColumn="0" w:oddVBand="0" w:evenVBand="0" w:oddHBand="0" w:evenHBand="0" w:firstRowFirstColumn="0" w:firstRowLastColumn="0" w:lastRowFirstColumn="0" w:lastRowLastColumn="0"/>
              <w:rPr>
                <w:kern w:val="16"/>
                <w:sz w:val="18"/>
                <w:szCs w:val="18"/>
              </w:rPr>
            </w:pPr>
            <w:r w:rsidRPr="00712454">
              <w:rPr>
                <w:kern w:val="16"/>
                <w:sz w:val="18"/>
                <w:szCs w:val="18"/>
              </w:rPr>
              <w:t>Abbreviated survey (15 minute) with $30 promised incentive</w:t>
            </w:r>
          </w:p>
          <w:p w:rsidRPr="00712454" w:rsidR="00712454" w:rsidP="00712454" w:rsidRDefault="00712454" w14:paraId="58B6478C" w14:textId="77777777">
            <w:pPr>
              <w:keepNext/>
              <w:spacing w:before="20" w:after="20"/>
              <w:ind w:left="144" w:hanging="144"/>
              <w:jc w:val="left"/>
              <w:cnfStyle w:val="000000000000" w:firstRow="0" w:lastRow="0" w:firstColumn="0" w:lastColumn="0" w:oddVBand="0" w:evenVBand="0" w:oddHBand="0" w:evenHBand="0" w:firstRowFirstColumn="0" w:firstRowLastColumn="0" w:lastRowFirstColumn="0" w:lastRowLastColumn="0"/>
              <w:rPr>
                <w:kern w:val="16"/>
                <w:sz w:val="18"/>
                <w:szCs w:val="18"/>
              </w:rPr>
            </w:pPr>
            <w:r w:rsidRPr="00712454">
              <w:rPr>
                <w:kern w:val="16"/>
                <w:sz w:val="18"/>
                <w:szCs w:val="18"/>
              </w:rPr>
              <w:t>Contingency, for example, for cases fielded late in data collection or FTBs if not already implemented in Phase 2: $10 prepaid PayPal or check incentive + $20 promised incentive</w:t>
            </w:r>
          </w:p>
        </w:tc>
      </w:tr>
      <w:tr w:rsidRPr="00712454" w:rsidR="00712454" w:rsidTr="009D1DFA" w14:paraId="1177F7DA" w14:textId="77777777">
        <w:trPr>
          <w:trHeight w:val="360"/>
        </w:trPr>
        <w:tc>
          <w:tcPr>
            <w:cnfStyle w:val="001000000000" w:firstRow="0" w:lastRow="0" w:firstColumn="1" w:lastColumn="0" w:oddVBand="0" w:evenVBand="0" w:oddHBand="0" w:evenHBand="0" w:firstRowFirstColumn="0" w:firstRowLastColumn="0" w:lastRowFirstColumn="0" w:lastRowLastColumn="0"/>
            <w:tcW w:w="1800" w:type="dxa"/>
          </w:tcPr>
          <w:p w:rsidRPr="00712454" w:rsidR="00712454" w:rsidP="00712454" w:rsidRDefault="00712454" w14:paraId="324F3B36" w14:textId="77777777">
            <w:pPr>
              <w:spacing w:before="20" w:after="20"/>
              <w:ind w:left="144" w:hanging="144"/>
              <w:rPr>
                <w:kern w:val="16"/>
                <w:sz w:val="18"/>
                <w:szCs w:val="18"/>
              </w:rPr>
            </w:pPr>
            <w:r w:rsidRPr="00712454">
              <w:rPr>
                <w:kern w:val="16"/>
                <w:sz w:val="18"/>
                <w:szCs w:val="18"/>
              </w:rPr>
              <w:t>Phase 4</w:t>
            </w:r>
          </w:p>
        </w:tc>
        <w:tc>
          <w:tcPr>
            <w:tcW w:w="8712" w:type="dxa"/>
          </w:tcPr>
          <w:p w:rsidRPr="00712454" w:rsidR="00712454" w:rsidP="00712454" w:rsidRDefault="00712454" w14:paraId="249F61CF" w14:textId="77777777">
            <w:pPr>
              <w:keepNext/>
              <w:spacing w:before="20" w:after="20"/>
              <w:ind w:left="144" w:hanging="144"/>
              <w:jc w:val="left"/>
              <w:cnfStyle w:val="000000000000" w:firstRow="0" w:lastRow="0" w:firstColumn="0" w:lastColumn="0" w:oddVBand="0" w:evenVBand="0" w:oddHBand="0" w:evenHBand="0" w:firstRowFirstColumn="0" w:firstRowLastColumn="0" w:lastRowFirstColumn="0" w:lastRowLastColumn="0"/>
              <w:rPr>
                <w:kern w:val="16"/>
                <w:sz w:val="18"/>
                <w:szCs w:val="18"/>
              </w:rPr>
            </w:pPr>
            <w:r w:rsidRPr="00712454">
              <w:rPr>
                <w:kern w:val="16"/>
                <w:sz w:val="18"/>
                <w:szCs w:val="18"/>
              </w:rPr>
              <w:t>Mini survey for nonresponse adjustments (5 minute) + $5 promised</w:t>
            </w:r>
          </w:p>
        </w:tc>
      </w:tr>
    </w:tbl>
    <w:p w:rsidR="007C0C33" w:rsidP="00FD3695" w:rsidRDefault="007C0C33" w14:paraId="03DE9152" w14:textId="0C79A074"/>
    <w:p w:rsidR="007C0C33" w:rsidP="00FD3695" w:rsidRDefault="00712454" w14:paraId="310D3551" w14:textId="08844658">
      <w:r>
        <w:t xml:space="preserve">2) </w:t>
      </w:r>
      <w:r w:rsidRPr="000E7DB6" w:rsidR="000E7DB6">
        <w:t xml:space="preserve">Revised the introductory paragraph </w:t>
      </w:r>
      <w:r w:rsidR="0069164D">
        <w:t xml:space="preserve">on the </w:t>
      </w:r>
      <w:r w:rsidR="00CA7D0A">
        <w:t xml:space="preserve">calibration experiment </w:t>
      </w:r>
      <w:r w:rsidR="0069164D">
        <w:t xml:space="preserve">to reflect the actual </w:t>
      </w:r>
      <w:r w:rsidR="00CA7D0A">
        <w:t>results (pages 24-2</w:t>
      </w:r>
      <w:r w:rsidR="001669B9">
        <w:t>6</w:t>
      </w:r>
      <w:r w:rsidR="00CA7D0A">
        <w:t>)</w:t>
      </w:r>
      <w:r w:rsidR="00DC2D93">
        <w:t>.</w:t>
      </w:r>
    </w:p>
    <w:p w:rsidR="007C0C33" w:rsidP="00FD3695" w:rsidRDefault="007C0C33" w14:paraId="398FF067" w14:textId="5DA07575"/>
    <w:p w:rsidRPr="007800F9" w:rsidR="007800F9" w:rsidP="007800F9" w:rsidRDefault="007800F9" w14:paraId="4108BF38" w14:textId="77777777">
      <w:pPr>
        <w:pStyle w:val="BodyText"/>
        <w:widowControl w:val="0"/>
        <w:rPr>
          <w:b w:val="0"/>
          <w:bCs w:val="0"/>
          <w:strike/>
          <w:color w:val="FF0000"/>
        </w:rPr>
      </w:pPr>
      <w:r w:rsidRPr="007800F9">
        <w:rPr>
          <w:b w:val="0"/>
          <w:bCs w:val="0"/>
          <w:strike/>
          <w:color w:val="FF0000"/>
        </w:rPr>
        <w:t>Because Phase 1 and Phase 2 outcomes from the calibration sample cannot be considered in isolation (e.g., the propensity to respond in Phase 2 will be affected not only by what is offered in Phase 2, but also by what was previously offered in Phase 1), the successful incentive strategy for each phase of the NPSAS:20 data collection will be driven by the overall Phase 1 and 2 outcome of the calibration sample. For example, if the control condition (Group 3) outperforms the two experimental conditions (Groups 1 and 2) in week 3 of calibration Phase 2, the incentive strategy implemented in Phases 1 and 2 of the main NPSAS:20 data collection will be Group 3’s incentive design ($0 prepaid and $30 promised in Phase 1, and no change in Phase 2), regardless of whether there was a significant increase in response rates or representativeness based on the $2 prepaid incentive in Phase 1 calibration.</w:t>
      </w:r>
    </w:p>
    <w:p w:rsidRPr="003248A7" w:rsidR="007800F9" w:rsidP="00FD3695" w:rsidRDefault="007800F9" w14:paraId="6FC7049C" w14:textId="77777777"/>
    <w:p w:rsidRPr="00897182" w:rsidR="005628EB" w:rsidP="00FD3695" w:rsidRDefault="004B631B" w14:paraId="0F5C51A0" w14:textId="632DF9F1">
      <w:pPr>
        <w:rPr>
          <w:color w:val="FF0000"/>
        </w:rPr>
      </w:pPr>
      <w:r w:rsidRPr="00897182">
        <w:rPr>
          <w:color w:val="FF0000"/>
        </w:rPr>
        <w:t xml:space="preserve">Table </w:t>
      </w:r>
      <w:r w:rsidRPr="00897182" w:rsidR="005E3F30">
        <w:rPr>
          <w:color w:val="FF0000"/>
        </w:rPr>
        <w:t>12</w:t>
      </w:r>
      <w:r w:rsidRPr="00897182">
        <w:rPr>
          <w:color w:val="FF0000"/>
        </w:rPr>
        <w:t xml:space="preserve"> provides an overview of the </w:t>
      </w:r>
      <w:r w:rsidRPr="00897182" w:rsidR="00E84000">
        <w:rPr>
          <w:color w:val="FF0000"/>
        </w:rPr>
        <w:t xml:space="preserve">NPSAS:20 calibration sample </w:t>
      </w:r>
      <w:r w:rsidRPr="00897182">
        <w:rPr>
          <w:color w:val="FF0000"/>
        </w:rPr>
        <w:t xml:space="preserve">response rates for each data collection protocol by data collection phase. </w:t>
      </w:r>
    </w:p>
    <w:p w:rsidRPr="00897182" w:rsidR="00AD62AA" w:rsidP="00FD3695" w:rsidRDefault="00AD62AA" w14:paraId="01D06632" w14:textId="77777777">
      <w:pPr>
        <w:rPr>
          <w:color w:val="FF0000"/>
        </w:rPr>
      </w:pPr>
    </w:p>
    <w:p w:rsidRPr="00897182" w:rsidR="00A2007D" w:rsidP="00FD3695" w:rsidRDefault="00AD62AA" w14:paraId="0CA5C8FE" w14:textId="5A5172C3">
      <w:pPr>
        <w:rPr>
          <w:color w:val="FF0000"/>
        </w:rPr>
      </w:pPr>
      <w:r w:rsidRPr="00897182">
        <w:rPr>
          <w:b/>
          <w:bCs/>
          <w:color w:val="FF0000"/>
        </w:rPr>
        <w:t>Phase 1 Response Rates.</w:t>
      </w:r>
      <w:r w:rsidRPr="00897182">
        <w:rPr>
          <w:color w:val="FF0000"/>
        </w:rPr>
        <w:t xml:space="preserve"> </w:t>
      </w:r>
      <w:r w:rsidRPr="00897182" w:rsidR="008F6312">
        <w:rPr>
          <w:color w:val="FF0000"/>
        </w:rPr>
        <w:t xml:space="preserve">Comparing Group 1 </w:t>
      </w:r>
      <w:r w:rsidRPr="00897182" w:rsidR="003833A8">
        <w:rPr>
          <w:color w:val="FF0000"/>
        </w:rPr>
        <w:t>(</w:t>
      </w:r>
      <w:r w:rsidRPr="00897182" w:rsidR="00F50FDF">
        <w:rPr>
          <w:color w:val="FF0000"/>
        </w:rPr>
        <w:t>AAPOR RR</w:t>
      </w:r>
      <w:r w:rsidRPr="00897182" w:rsidR="000C1A37">
        <w:rPr>
          <w:color w:val="FF0000"/>
        </w:rPr>
        <w:t>1</w:t>
      </w:r>
      <w:r w:rsidRPr="00897182" w:rsidR="00106564">
        <w:rPr>
          <w:rStyle w:val="FootnoteReference"/>
          <w:color w:val="FF0000"/>
        </w:rPr>
        <w:footnoteReference w:id="2"/>
      </w:r>
      <w:r w:rsidRPr="00897182" w:rsidR="00F50FDF">
        <w:rPr>
          <w:color w:val="FF0000"/>
        </w:rPr>
        <w:t>=</w:t>
      </w:r>
      <w:r w:rsidRPr="00897182" w:rsidR="003833A8">
        <w:rPr>
          <w:color w:val="FF0000"/>
        </w:rPr>
        <w:t>54.5</w:t>
      </w:r>
      <w:r w:rsidRPr="00897182" w:rsidR="00C9437F">
        <w:rPr>
          <w:color w:val="FF0000"/>
        </w:rPr>
        <w:t xml:space="preserve"> percent</w:t>
      </w:r>
      <w:r w:rsidRPr="00897182" w:rsidR="003833A8">
        <w:rPr>
          <w:color w:val="FF0000"/>
        </w:rPr>
        <w:t xml:space="preserve">) </w:t>
      </w:r>
      <w:r w:rsidRPr="00897182" w:rsidR="008F6312">
        <w:rPr>
          <w:color w:val="FF0000"/>
        </w:rPr>
        <w:t xml:space="preserve">and </w:t>
      </w:r>
      <w:r w:rsidRPr="00897182" w:rsidR="003B4DDF">
        <w:rPr>
          <w:color w:val="FF0000"/>
        </w:rPr>
        <w:t xml:space="preserve">Group </w:t>
      </w:r>
      <w:r w:rsidRPr="00897182" w:rsidR="008F6312">
        <w:rPr>
          <w:color w:val="FF0000"/>
        </w:rPr>
        <w:t xml:space="preserve">3 </w:t>
      </w:r>
      <w:r w:rsidRPr="00897182" w:rsidR="00F50FDF">
        <w:rPr>
          <w:color w:val="FF0000"/>
        </w:rPr>
        <w:t>(53.7</w:t>
      </w:r>
      <w:r w:rsidRPr="00897182" w:rsidR="00C9437F">
        <w:rPr>
          <w:color w:val="FF0000"/>
        </w:rPr>
        <w:t xml:space="preserve"> percent</w:t>
      </w:r>
      <w:r w:rsidRPr="00897182" w:rsidR="00F50FDF">
        <w:rPr>
          <w:color w:val="FF0000"/>
        </w:rPr>
        <w:t>)</w:t>
      </w:r>
      <w:r w:rsidRPr="00897182" w:rsidR="008F6312">
        <w:rPr>
          <w:color w:val="FF0000"/>
        </w:rPr>
        <w:t xml:space="preserve"> </w:t>
      </w:r>
      <w:r w:rsidRPr="00897182" w:rsidR="001F7530">
        <w:rPr>
          <w:color w:val="FF0000"/>
        </w:rPr>
        <w:t xml:space="preserve">response rates </w:t>
      </w:r>
      <w:r w:rsidRPr="00897182" w:rsidR="008F6312">
        <w:rPr>
          <w:color w:val="FF0000"/>
        </w:rPr>
        <w:t xml:space="preserve">allows us to assess the effect of </w:t>
      </w:r>
      <w:r w:rsidRPr="00897182" w:rsidR="003B4DDF">
        <w:rPr>
          <w:color w:val="FF0000"/>
        </w:rPr>
        <w:t>offering a $2</w:t>
      </w:r>
      <w:r w:rsidRPr="00897182" w:rsidR="008F6312">
        <w:rPr>
          <w:color w:val="FF0000"/>
        </w:rPr>
        <w:t xml:space="preserve"> </w:t>
      </w:r>
      <w:r w:rsidRPr="00897182" w:rsidR="008F6312">
        <w:rPr>
          <w:i/>
          <w:iCs/>
          <w:color w:val="FF0000"/>
        </w:rPr>
        <w:t>prepaid incentive</w:t>
      </w:r>
      <w:r w:rsidRPr="00897182" w:rsidR="00861472">
        <w:rPr>
          <w:color w:val="FF0000"/>
        </w:rPr>
        <w:t xml:space="preserve"> </w:t>
      </w:r>
      <w:r w:rsidRPr="00897182" w:rsidR="00115CE1">
        <w:rPr>
          <w:color w:val="FF0000"/>
        </w:rPr>
        <w:t>on response rate</w:t>
      </w:r>
      <w:r w:rsidRPr="00897182" w:rsidR="00B314C4">
        <w:rPr>
          <w:color w:val="FF0000"/>
        </w:rPr>
        <w:t>s</w:t>
      </w:r>
      <w:r w:rsidRPr="00897182" w:rsidR="008F6312">
        <w:rPr>
          <w:color w:val="FF0000"/>
        </w:rPr>
        <w:t xml:space="preserve">. </w:t>
      </w:r>
      <w:r w:rsidRPr="00897182" w:rsidR="003833A8">
        <w:rPr>
          <w:color w:val="FF0000"/>
        </w:rPr>
        <w:t xml:space="preserve">Running a two-tailed </w:t>
      </w:r>
      <w:r w:rsidRPr="00897182" w:rsidR="007C127A">
        <w:rPr>
          <w:color w:val="FF0000"/>
        </w:rPr>
        <w:t>z</w:t>
      </w:r>
      <w:r w:rsidRPr="00897182" w:rsidR="003833A8">
        <w:rPr>
          <w:color w:val="FF0000"/>
        </w:rPr>
        <w:t>-test yields</w:t>
      </w:r>
      <w:r w:rsidRPr="00897182" w:rsidR="002275C2">
        <w:rPr>
          <w:color w:val="FF0000"/>
        </w:rPr>
        <w:t xml:space="preserve"> no statistically significant differences in response rates between </w:t>
      </w:r>
      <w:r w:rsidRPr="00897182" w:rsidR="003833A8">
        <w:rPr>
          <w:color w:val="FF0000"/>
        </w:rPr>
        <w:t>the two groups</w:t>
      </w:r>
      <w:r w:rsidRPr="00897182" w:rsidR="009A0E38">
        <w:rPr>
          <w:color w:val="FF0000"/>
        </w:rPr>
        <w:t xml:space="preserve"> </w:t>
      </w:r>
      <w:r w:rsidRPr="00897182" w:rsidR="002275C2">
        <w:rPr>
          <w:color w:val="FF0000"/>
        </w:rPr>
        <w:t xml:space="preserve">at the end of </w:t>
      </w:r>
      <w:r w:rsidRPr="00897182" w:rsidR="006E6FCB">
        <w:rPr>
          <w:color w:val="FF0000"/>
        </w:rPr>
        <w:t>Phase 1</w:t>
      </w:r>
      <w:r w:rsidRPr="00897182" w:rsidR="002275C2">
        <w:rPr>
          <w:color w:val="FF0000"/>
        </w:rPr>
        <w:t xml:space="preserve"> </w:t>
      </w:r>
      <w:r w:rsidRPr="00897182" w:rsidR="00232F0C">
        <w:rPr>
          <w:color w:val="FF0000"/>
        </w:rPr>
        <w:t>(</w:t>
      </w:r>
      <w:r w:rsidRPr="00897182" w:rsidR="00232F0C">
        <w:rPr>
          <w:i/>
          <w:iCs/>
          <w:color w:val="FF0000"/>
        </w:rPr>
        <w:t>z</w:t>
      </w:r>
      <w:r w:rsidRPr="00897182" w:rsidR="00232F0C">
        <w:rPr>
          <w:color w:val="FF0000"/>
        </w:rPr>
        <w:t xml:space="preserve"> = -0.5</w:t>
      </w:r>
      <w:r w:rsidRPr="00897182" w:rsidR="001E1980">
        <w:rPr>
          <w:color w:val="FF0000"/>
        </w:rPr>
        <w:t>2</w:t>
      </w:r>
      <w:r w:rsidRPr="00897182" w:rsidR="00232F0C">
        <w:rPr>
          <w:color w:val="FF0000"/>
        </w:rPr>
        <w:t xml:space="preserve">, </w:t>
      </w:r>
      <w:r w:rsidRPr="00897182" w:rsidR="00232F0C">
        <w:rPr>
          <w:i/>
          <w:iCs/>
          <w:color w:val="FF0000"/>
        </w:rPr>
        <w:t>p</w:t>
      </w:r>
      <w:r w:rsidRPr="00897182" w:rsidR="00232F0C">
        <w:rPr>
          <w:color w:val="FF0000"/>
        </w:rPr>
        <w:t xml:space="preserve"> = 0.</w:t>
      </w:r>
      <w:r w:rsidRPr="00897182" w:rsidR="001E1980">
        <w:rPr>
          <w:color w:val="FF0000"/>
        </w:rPr>
        <w:t>60</w:t>
      </w:r>
      <w:r w:rsidRPr="00897182" w:rsidR="00232F0C">
        <w:rPr>
          <w:color w:val="FF0000"/>
        </w:rPr>
        <w:t>).</w:t>
      </w:r>
      <w:r w:rsidRPr="00897182" w:rsidR="00E254DE">
        <w:rPr>
          <w:color w:val="FF0000"/>
        </w:rPr>
        <w:t xml:space="preserve"> </w:t>
      </w:r>
      <w:r w:rsidRPr="00897182" w:rsidR="009A0E38">
        <w:rPr>
          <w:color w:val="FF0000"/>
        </w:rPr>
        <w:t>This</w:t>
      </w:r>
      <w:r w:rsidRPr="00897182" w:rsidR="00D20B75">
        <w:rPr>
          <w:color w:val="FF0000"/>
        </w:rPr>
        <w:t xml:space="preserve"> finding is not </w:t>
      </w:r>
      <w:r w:rsidRPr="00897182" w:rsidR="00C43CFD">
        <w:rPr>
          <w:color w:val="FF0000"/>
        </w:rPr>
        <w:t>unexpected</w:t>
      </w:r>
      <w:r w:rsidRPr="00897182" w:rsidR="00D20B75">
        <w:rPr>
          <w:color w:val="FF0000"/>
        </w:rPr>
        <w:t xml:space="preserve"> given that the timing of the start of the NPSAS:20 calibration data collection coincided with the COVID-19 pandemic</w:t>
      </w:r>
      <w:r w:rsidRPr="00897182" w:rsidR="003F7E8D">
        <w:rPr>
          <w:color w:val="FF0000"/>
        </w:rPr>
        <w:t>, when m</w:t>
      </w:r>
      <w:r w:rsidRPr="00897182" w:rsidR="00D20B75">
        <w:rPr>
          <w:color w:val="FF0000"/>
        </w:rPr>
        <w:t xml:space="preserve">any schools closed </w:t>
      </w:r>
      <w:r w:rsidRPr="00897182" w:rsidR="00BD3E5E">
        <w:rPr>
          <w:color w:val="FF0000"/>
        </w:rPr>
        <w:t xml:space="preserve">shortly </w:t>
      </w:r>
      <w:r w:rsidRPr="00897182" w:rsidR="00D20B75">
        <w:rPr>
          <w:color w:val="FF0000"/>
        </w:rPr>
        <w:t>after the mailing of the initial invitation to complete the NPSAS:20 survey</w:t>
      </w:r>
      <w:r w:rsidRPr="00897182" w:rsidR="00C9437F">
        <w:rPr>
          <w:color w:val="FF0000"/>
        </w:rPr>
        <w:t xml:space="preserve"> that contained the $2 prepaid incentive</w:t>
      </w:r>
      <w:r w:rsidRPr="00897182" w:rsidR="00BD3E5E">
        <w:rPr>
          <w:color w:val="FF0000"/>
        </w:rPr>
        <w:t>.</w:t>
      </w:r>
      <w:r w:rsidRPr="00897182" w:rsidR="001F7530">
        <w:rPr>
          <w:color w:val="FF0000"/>
        </w:rPr>
        <w:t xml:space="preserve"> </w:t>
      </w:r>
      <w:r w:rsidRPr="00897182" w:rsidR="00BD3E5E">
        <w:rPr>
          <w:color w:val="FF0000"/>
        </w:rPr>
        <w:t>Sampled</w:t>
      </w:r>
      <w:r w:rsidRPr="00897182" w:rsidR="00D20B75">
        <w:rPr>
          <w:color w:val="FF0000"/>
        </w:rPr>
        <w:t xml:space="preserve"> students would have received the </w:t>
      </w:r>
      <w:r w:rsidRPr="00897182" w:rsidR="00BD3E5E">
        <w:rPr>
          <w:color w:val="FF0000"/>
        </w:rPr>
        <w:t xml:space="preserve">incentive </w:t>
      </w:r>
      <w:r w:rsidRPr="00897182" w:rsidR="00D20B75">
        <w:rPr>
          <w:color w:val="FF0000"/>
        </w:rPr>
        <w:t>mailing with a delay (assuming mail forwarding) and in a period of immense stress as they were moving and adjusting to the new situation.</w:t>
      </w:r>
      <w:r w:rsidRPr="00897182" w:rsidR="001F7530">
        <w:rPr>
          <w:color w:val="FF0000"/>
        </w:rPr>
        <w:t xml:space="preserve"> </w:t>
      </w:r>
      <w:r w:rsidRPr="00897182" w:rsidR="00835F65">
        <w:rPr>
          <w:color w:val="FF0000"/>
        </w:rPr>
        <w:t>These</w:t>
      </w:r>
      <w:r w:rsidRPr="00897182" w:rsidR="00A2007D">
        <w:rPr>
          <w:color w:val="FF0000"/>
        </w:rPr>
        <w:t xml:space="preserve"> unusual circumstances</w:t>
      </w:r>
      <w:r w:rsidRPr="00897182" w:rsidR="00835F65">
        <w:rPr>
          <w:color w:val="FF0000"/>
        </w:rPr>
        <w:t xml:space="preserve"> </w:t>
      </w:r>
      <w:r w:rsidRPr="00897182" w:rsidR="00BC7219">
        <w:rPr>
          <w:color w:val="FF0000"/>
        </w:rPr>
        <w:t>c</w:t>
      </w:r>
      <w:r w:rsidRPr="00897182" w:rsidR="00835F65">
        <w:rPr>
          <w:color w:val="FF0000"/>
        </w:rPr>
        <w:t>ould explain why</w:t>
      </w:r>
      <w:r w:rsidRPr="00897182" w:rsidR="00A2007D">
        <w:rPr>
          <w:color w:val="FF0000"/>
        </w:rPr>
        <w:t xml:space="preserve"> </w:t>
      </w:r>
      <w:r w:rsidRPr="00897182" w:rsidR="00D20B75">
        <w:rPr>
          <w:color w:val="FF0000"/>
        </w:rPr>
        <w:t xml:space="preserve">the $2 prepaid incentive </w:t>
      </w:r>
      <w:r w:rsidRPr="00897182" w:rsidR="00835F65">
        <w:rPr>
          <w:color w:val="FF0000"/>
        </w:rPr>
        <w:t>did not have the</w:t>
      </w:r>
      <w:r w:rsidRPr="00897182" w:rsidR="00A2007D">
        <w:rPr>
          <w:color w:val="FF0000"/>
        </w:rPr>
        <w:t xml:space="preserve"> initially </w:t>
      </w:r>
      <w:r w:rsidRPr="00897182" w:rsidR="00835F65">
        <w:rPr>
          <w:color w:val="FF0000"/>
        </w:rPr>
        <w:t>anticipated impact</w:t>
      </w:r>
      <w:r w:rsidRPr="00897182" w:rsidR="001931E5">
        <w:rPr>
          <w:color w:val="FF0000"/>
        </w:rPr>
        <w:t xml:space="preserve">. </w:t>
      </w:r>
    </w:p>
    <w:p w:rsidRPr="00897182" w:rsidR="0095681A" w:rsidP="00FD3695" w:rsidRDefault="0095681A" w14:paraId="2A1A5A96" w14:textId="77777777">
      <w:pPr>
        <w:rPr>
          <w:color w:val="FF0000"/>
        </w:rPr>
      </w:pPr>
    </w:p>
    <w:p w:rsidRPr="00897182" w:rsidR="00F978AA" w:rsidP="00FD3695" w:rsidRDefault="00AA44C4" w14:paraId="14A7BFE6" w14:textId="34D861BA">
      <w:pPr>
        <w:rPr>
          <w:color w:val="FF0000"/>
        </w:rPr>
      </w:pPr>
      <w:r w:rsidRPr="00897182">
        <w:rPr>
          <w:color w:val="FF0000"/>
        </w:rPr>
        <w:t xml:space="preserve">Comparing the response rates </w:t>
      </w:r>
      <w:r w:rsidRPr="00897182" w:rsidR="00A2007D">
        <w:rPr>
          <w:color w:val="FF0000"/>
        </w:rPr>
        <w:t xml:space="preserve">between </w:t>
      </w:r>
      <w:r w:rsidRPr="00897182">
        <w:rPr>
          <w:color w:val="FF0000"/>
        </w:rPr>
        <w:t xml:space="preserve">Group 1 and Group 2 is a direct test of the initial </w:t>
      </w:r>
      <w:r w:rsidRPr="00897182">
        <w:rPr>
          <w:i/>
          <w:iCs/>
          <w:color w:val="FF0000"/>
        </w:rPr>
        <w:t>promised incentive amount</w:t>
      </w:r>
      <w:r w:rsidRPr="00897182" w:rsidR="00A2007D">
        <w:rPr>
          <w:color w:val="FF0000"/>
        </w:rPr>
        <w:t xml:space="preserve"> ($30 vs. $15</w:t>
      </w:r>
      <w:r w:rsidRPr="00897182" w:rsidR="004D36C6">
        <w:rPr>
          <w:color w:val="FF0000"/>
        </w:rPr>
        <w:t>)</w:t>
      </w:r>
      <w:r w:rsidRPr="00897182">
        <w:rPr>
          <w:color w:val="FF0000"/>
        </w:rPr>
        <w:t xml:space="preserve">. </w:t>
      </w:r>
      <w:r w:rsidRPr="00897182" w:rsidR="00720EAB">
        <w:rPr>
          <w:color w:val="FF0000"/>
        </w:rPr>
        <w:t>Group 1</w:t>
      </w:r>
      <w:r w:rsidRPr="00897182" w:rsidR="00032BB5">
        <w:rPr>
          <w:color w:val="FF0000"/>
        </w:rPr>
        <w:t xml:space="preserve"> </w:t>
      </w:r>
      <w:r w:rsidRPr="00897182" w:rsidR="00720EAB">
        <w:rPr>
          <w:color w:val="FF0000"/>
        </w:rPr>
        <w:t xml:space="preserve">has a significantly higher </w:t>
      </w:r>
      <w:r w:rsidRPr="00897182" w:rsidR="00E254DE">
        <w:rPr>
          <w:color w:val="FF0000"/>
        </w:rPr>
        <w:t xml:space="preserve">response rate </w:t>
      </w:r>
      <w:r w:rsidRPr="00897182" w:rsidR="0016639E">
        <w:rPr>
          <w:color w:val="FF0000"/>
        </w:rPr>
        <w:t xml:space="preserve">(54.5 percent) </w:t>
      </w:r>
      <w:r w:rsidRPr="00897182" w:rsidR="00E254DE">
        <w:rPr>
          <w:color w:val="FF0000"/>
        </w:rPr>
        <w:t xml:space="preserve">compared to </w:t>
      </w:r>
      <w:r w:rsidRPr="00897182" w:rsidR="00720EAB">
        <w:rPr>
          <w:color w:val="FF0000"/>
        </w:rPr>
        <w:t xml:space="preserve">Group 2 </w:t>
      </w:r>
      <w:r w:rsidRPr="00897182" w:rsidR="004D36C6">
        <w:rPr>
          <w:color w:val="FF0000"/>
        </w:rPr>
        <w:t>(</w:t>
      </w:r>
      <w:r w:rsidRPr="00897182" w:rsidR="00720EAB">
        <w:rPr>
          <w:color w:val="FF0000"/>
        </w:rPr>
        <w:t>44.7</w:t>
      </w:r>
      <w:r w:rsidRPr="00897182" w:rsidR="00C9437F">
        <w:rPr>
          <w:color w:val="FF0000"/>
        </w:rPr>
        <w:t xml:space="preserve"> percent</w:t>
      </w:r>
      <w:r w:rsidRPr="00897182" w:rsidR="00720EAB">
        <w:rPr>
          <w:color w:val="FF0000"/>
        </w:rPr>
        <w:t>)</w:t>
      </w:r>
      <w:r w:rsidRPr="00897182" w:rsidR="004D36C6">
        <w:rPr>
          <w:color w:val="FF0000"/>
        </w:rPr>
        <w:t xml:space="preserve">, based on a </w:t>
      </w:r>
      <w:r w:rsidRPr="00897182" w:rsidR="00D23DE5">
        <w:rPr>
          <w:color w:val="FF0000"/>
        </w:rPr>
        <w:t>two-tailed z-test</w:t>
      </w:r>
      <w:r w:rsidRPr="00897182" w:rsidR="00720EAB">
        <w:rPr>
          <w:color w:val="FF0000"/>
        </w:rPr>
        <w:t xml:space="preserve"> </w:t>
      </w:r>
      <w:r w:rsidRPr="00897182" w:rsidR="0063411D">
        <w:rPr>
          <w:color w:val="FF0000"/>
        </w:rPr>
        <w:t>(</w:t>
      </w:r>
      <w:r w:rsidRPr="00897182" w:rsidR="00BF6BFF">
        <w:rPr>
          <w:i/>
          <w:iCs/>
          <w:color w:val="FF0000"/>
        </w:rPr>
        <w:t>z</w:t>
      </w:r>
      <w:r w:rsidRPr="00897182" w:rsidR="00BF6BFF">
        <w:rPr>
          <w:color w:val="FF0000"/>
        </w:rPr>
        <w:t xml:space="preserve"> = 6.2</w:t>
      </w:r>
      <w:r w:rsidRPr="00897182" w:rsidR="001E18D4">
        <w:rPr>
          <w:color w:val="FF0000"/>
        </w:rPr>
        <w:t>5</w:t>
      </w:r>
      <w:r w:rsidRPr="00897182" w:rsidR="00BF6BFF">
        <w:rPr>
          <w:color w:val="FF0000"/>
        </w:rPr>
        <w:t xml:space="preserve">, </w:t>
      </w:r>
      <w:r w:rsidRPr="00897182" w:rsidR="00BF6BFF">
        <w:rPr>
          <w:i/>
          <w:iCs/>
          <w:color w:val="FF0000"/>
        </w:rPr>
        <w:t>p</w:t>
      </w:r>
      <w:r w:rsidRPr="00897182" w:rsidR="00BF6BFF">
        <w:rPr>
          <w:color w:val="FF0000"/>
        </w:rPr>
        <w:t xml:space="preserve"> &lt; 0.001)</w:t>
      </w:r>
      <w:r w:rsidRPr="00897182" w:rsidR="00D23DE5">
        <w:rPr>
          <w:color w:val="FF0000"/>
        </w:rPr>
        <w:t xml:space="preserve">, suggesting </w:t>
      </w:r>
      <w:r w:rsidRPr="00897182" w:rsidR="001A1B18">
        <w:rPr>
          <w:color w:val="FF0000"/>
        </w:rPr>
        <w:t>that offering a higher incentive from the start</w:t>
      </w:r>
      <w:r w:rsidRPr="00897182" w:rsidR="00AE13B9">
        <w:rPr>
          <w:color w:val="FF0000"/>
        </w:rPr>
        <w:t>, i.e., front-loading,</w:t>
      </w:r>
      <w:r w:rsidRPr="00897182" w:rsidR="00AC3D69">
        <w:rPr>
          <w:color w:val="FF0000"/>
        </w:rPr>
        <w:t xml:space="preserve"> might be the preferred approach</w:t>
      </w:r>
      <w:r w:rsidRPr="00897182" w:rsidR="00B50039">
        <w:rPr>
          <w:color w:val="FF0000"/>
        </w:rPr>
        <w:t xml:space="preserve"> for shorter data collections (</w:t>
      </w:r>
      <w:r w:rsidRPr="00897182" w:rsidR="006E6FCB">
        <w:rPr>
          <w:color w:val="FF0000"/>
        </w:rPr>
        <w:t>Phase 1</w:t>
      </w:r>
      <w:r w:rsidRPr="00897182" w:rsidR="00B50039">
        <w:rPr>
          <w:color w:val="FF0000"/>
        </w:rPr>
        <w:t xml:space="preserve"> only</w:t>
      </w:r>
      <w:r w:rsidRPr="00897182" w:rsidR="00BF6BFF">
        <w:rPr>
          <w:color w:val="FF0000"/>
        </w:rPr>
        <w:t>)</w:t>
      </w:r>
      <w:r w:rsidRPr="00897182" w:rsidR="00F978AA">
        <w:rPr>
          <w:color w:val="FF0000"/>
        </w:rPr>
        <w:t xml:space="preserve">. </w:t>
      </w:r>
    </w:p>
    <w:p w:rsidRPr="00897182" w:rsidR="00F978AA" w:rsidP="00FD3695" w:rsidRDefault="00F978AA" w14:paraId="0F75361D" w14:textId="77777777">
      <w:pPr>
        <w:rPr>
          <w:color w:val="FF0000"/>
        </w:rPr>
      </w:pPr>
    </w:p>
    <w:p w:rsidRPr="00897182" w:rsidR="008D1A68" w:rsidP="00FD3695" w:rsidRDefault="00EA4852" w14:paraId="56A6B2DC" w14:textId="00971D82">
      <w:pPr>
        <w:rPr>
          <w:color w:val="FF0000"/>
        </w:rPr>
      </w:pPr>
      <w:r w:rsidRPr="00897182">
        <w:rPr>
          <w:b/>
          <w:bCs/>
          <w:color w:val="FF0000"/>
        </w:rPr>
        <w:t>Overall</w:t>
      </w:r>
      <w:r w:rsidRPr="00897182" w:rsidR="00AD62AA">
        <w:rPr>
          <w:b/>
          <w:bCs/>
          <w:color w:val="FF0000"/>
        </w:rPr>
        <w:t xml:space="preserve"> Response Rates</w:t>
      </w:r>
      <w:r w:rsidRPr="00897182" w:rsidR="0016639E">
        <w:rPr>
          <w:b/>
          <w:bCs/>
          <w:color w:val="FF0000"/>
        </w:rPr>
        <w:t xml:space="preserve"> (Phases 1 and 2)</w:t>
      </w:r>
      <w:r w:rsidRPr="00897182" w:rsidR="00AD62AA">
        <w:rPr>
          <w:b/>
          <w:bCs/>
          <w:color w:val="FF0000"/>
        </w:rPr>
        <w:t>.</w:t>
      </w:r>
      <w:r w:rsidRPr="00897182" w:rsidR="00AD62AA">
        <w:rPr>
          <w:color w:val="FF0000"/>
        </w:rPr>
        <w:t xml:space="preserve"> </w:t>
      </w:r>
      <w:r w:rsidRPr="00897182" w:rsidR="00F978AA">
        <w:rPr>
          <w:color w:val="FF0000"/>
        </w:rPr>
        <w:t xml:space="preserve">The </w:t>
      </w:r>
      <w:r w:rsidRPr="00897182">
        <w:rPr>
          <w:color w:val="FF0000"/>
        </w:rPr>
        <w:t>response rate</w:t>
      </w:r>
      <w:r w:rsidRPr="00897182" w:rsidR="00F978AA">
        <w:rPr>
          <w:color w:val="FF0000"/>
        </w:rPr>
        <w:t xml:space="preserve"> results </w:t>
      </w:r>
      <w:r w:rsidRPr="00897182" w:rsidR="003E1CDB">
        <w:rPr>
          <w:color w:val="FF0000"/>
        </w:rPr>
        <w:t>two weeks after the start of</w:t>
      </w:r>
      <w:r w:rsidRPr="00897182" w:rsidR="007D3D06">
        <w:rPr>
          <w:color w:val="FF0000"/>
        </w:rPr>
        <w:t xml:space="preserve"> </w:t>
      </w:r>
      <w:r w:rsidRPr="00897182" w:rsidR="004B631B">
        <w:rPr>
          <w:color w:val="FF0000"/>
        </w:rPr>
        <w:t>Phase 2</w:t>
      </w:r>
      <w:r w:rsidRPr="00897182" w:rsidR="00F978AA">
        <w:rPr>
          <w:color w:val="FF0000"/>
        </w:rPr>
        <w:t xml:space="preserve"> </w:t>
      </w:r>
      <w:r w:rsidRPr="00897182" w:rsidR="00C952F1">
        <w:rPr>
          <w:color w:val="FF0000"/>
        </w:rPr>
        <w:t xml:space="preserve">still </w:t>
      </w:r>
      <w:r w:rsidRPr="00897182" w:rsidR="00EF384E">
        <w:rPr>
          <w:color w:val="FF0000"/>
        </w:rPr>
        <w:t>show</w:t>
      </w:r>
      <w:r w:rsidRPr="00897182" w:rsidR="00854E3D">
        <w:rPr>
          <w:color w:val="FF0000"/>
        </w:rPr>
        <w:t xml:space="preserve"> significantly </w:t>
      </w:r>
      <w:r w:rsidRPr="00897182" w:rsidR="002E6BDF">
        <w:rPr>
          <w:color w:val="FF0000"/>
        </w:rPr>
        <w:t>higher</w:t>
      </w:r>
      <w:r w:rsidRPr="00897182" w:rsidR="00854E3D">
        <w:rPr>
          <w:color w:val="FF0000"/>
        </w:rPr>
        <w:t xml:space="preserve"> response rate</w:t>
      </w:r>
      <w:r w:rsidRPr="00897182" w:rsidR="00EF384E">
        <w:rPr>
          <w:color w:val="FF0000"/>
        </w:rPr>
        <w:t xml:space="preserve">s for Groups 1 and </w:t>
      </w:r>
      <w:r w:rsidRPr="00897182" w:rsidR="00A57FFD">
        <w:rPr>
          <w:color w:val="FF0000"/>
        </w:rPr>
        <w:t>3 (</w:t>
      </w:r>
      <w:r w:rsidRPr="00897182" w:rsidR="00E60E5D">
        <w:rPr>
          <w:color w:val="FF0000"/>
        </w:rPr>
        <w:t>60</w:t>
      </w:r>
      <w:r w:rsidRPr="00897182" w:rsidR="00A57FFD">
        <w:rPr>
          <w:color w:val="FF0000"/>
        </w:rPr>
        <w:t>.</w:t>
      </w:r>
      <w:r w:rsidRPr="00897182" w:rsidR="001E18D4">
        <w:rPr>
          <w:color w:val="FF0000"/>
        </w:rPr>
        <w:t>3</w:t>
      </w:r>
      <w:r w:rsidRPr="00897182" w:rsidR="00C9437F">
        <w:rPr>
          <w:color w:val="FF0000"/>
        </w:rPr>
        <w:t xml:space="preserve"> percent</w:t>
      </w:r>
      <w:r w:rsidRPr="00897182" w:rsidR="00A57FFD">
        <w:rPr>
          <w:color w:val="FF0000"/>
        </w:rPr>
        <w:t xml:space="preserve"> </w:t>
      </w:r>
      <w:r w:rsidRPr="00897182" w:rsidR="003A369D">
        <w:rPr>
          <w:color w:val="FF0000"/>
        </w:rPr>
        <w:t>[</w:t>
      </w:r>
      <w:r w:rsidRPr="00897182" w:rsidR="003A369D">
        <w:rPr>
          <w:i/>
          <w:iCs/>
          <w:color w:val="FF0000"/>
        </w:rPr>
        <w:t>z</w:t>
      </w:r>
      <w:r w:rsidRPr="00897182" w:rsidR="003A369D">
        <w:rPr>
          <w:color w:val="FF0000"/>
        </w:rPr>
        <w:t xml:space="preserve"> = </w:t>
      </w:r>
      <w:r w:rsidRPr="00897182" w:rsidR="001E18D4">
        <w:rPr>
          <w:color w:val="FF0000"/>
        </w:rPr>
        <w:t>3</w:t>
      </w:r>
      <w:r w:rsidRPr="00897182" w:rsidR="003A369D">
        <w:rPr>
          <w:color w:val="FF0000"/>
        </w:rPr>
        <w:t>.</w:t>
      </w:r>
      <w:r w:rsidRPr="00897182" w:rsidR="00E60E5D">
        <w:rPr>
          <w:color w:val="FF0000"/>
        </w:rPr>
        <w:t>82</w:t>
      </w:r>
      <w:r w:rsidRPr="00897182" w:rsidR="003A369D">
        <w:rPr>
          <w:color w:val="FF0000"/>
        </w:rPr>
        <w:t xml:space="preserve">, </w:t>
      </w:r>
      <w:r w:rsidRPr="00897182" w:rsidR="003A369D">
        <w:rPr>
          <w:i/>
          <w:iCs/>
          <w:color w:val="FF0000"/>
        </w:rPr>
        <w:t>p</w:t>
      </w:r>
      <w:r w:rsidRPr="00897182" w:rsidR="003A369D">
        <w:rPr>
          <w:color w:val="FF0000"/>
        </w:rPr>
        <w:t xml:space="preserve"> &lt; 0.001] </w:t>
      </w:r>
      <w:r w:rsidRPr="00897182" w:rsidR="00A57FFD">
        <w:rPr>
          <w:color w:val="FF0000"/>
        </w:rPr>
        <w:t>and 5</w:t>
      </w:r>
      <w:r w:rsidRPr="00897182" w:rsidR="001E18D4">
        <w:rPr>
          <w:color w:val="FF0000"/>
        </w:rPr>
        <w:t>7</w:t>
      </w:r>
      <w:r w:rsidRPr="00897182" w:rsidR="00A57FFD">
        <w:rPr>
          <w:color w:val="FF0000"/>
        </w:rPr>
        <w:t>.</w:t>
      </w:r>
      <w:r w:rsidRPr="00897182" w:rsidR="00E60E5D">
        <w:rPr>
          <w:color w:val="FF0000"/>
        </w:rPr>
        <w:t xml:space="preserve">9 </w:t>
      </w:r>
      <w:r w:rsidRPr="00897182" w:rsidR="00C9437F">
        <w:rPr>
          <w:color w:val="FF0000"/>
        </w:rPr>
        <w:t>percent</w:t>
      </w:r>
      <w:r w:rsidRPr="00897182" w:rsidR="003A369D">
        <w:rPr>
          <w:color w:val="FF0000"/>
        </w:rPr>
        <w:t xml:space="preserve"> [</w:t>
      </w:r>
      <w:r w:rsidRPr="00897182" w:rsidR="003A369D">
        <w:rPr>
          <w:i/>
          <w:iCs/>
          <w:color w:val="FF0000"/>
        </w:rPr>
        <w:t>z</w:t>
      </w:r>
      <w:r w:rsidRPr="00897182" w:rsidR="003A369D">
        <w:rPr>
          <w:color w:val="FF0000"/>
        </w:rPr>
        <w:t xml:space="preserve"> = 2.</w:t>
      </w:r>
      <w:r w:rsidRPr="00897182" w:rsidR="001E18D4">
        <w:rPr>
          <w:color w:val="FF0000"/>
        </w:rPr>
        <w:t>2</w:t>
      </w:r>
      <w:r w:rsidRPr="00897182" w:rsidR="00E60E5D">
        <w:rPr>
          <w:color w:val="FF0000"/>
        </w:rPr>
        <w:t>5</w:t>
      </w:r>
      <w:r w:rsidRPr="00897182" w:rsidR="003A369D">
        <w:rPr>
          <w:color w:val="FF0000"/>
        </w:rPr>
        <w:t xml:space="preserve">, </w:t>
      </w:r>
      <w:r w:rsidRPr="00897182" w:rsidR="003A369D">
        <w:rPr>
          <w:i/>
          <w:iCs/>
          <w:color w:val="FF0000"/>
        </w:rPr>
        <w:t>p</w:t>
      </w:r>
      <w:r w:rsidRPr="00897182" w:rsidR="003A369D">
        <w:rPr>
          <w:color w:val="FF0000"/>
        </w:rPr>
        <w:t xml:space="preserve"> &lt; 0.0</w:t>
      </w:r>
      <w:r w:rsidRPr="00897182" w:rsidR="001E18D4">
        <w:rPr>
          <w:color w:val="FF0000"/>
        </w:rPr>
        <w:t>5</w:t>
      </w:r>
      <w:r w:rsidRPr="00897182" w:rsidR="003A369D">
        <w:rPr>
          <w:color w:val="FF0000"/>
        </w:rPr>
        <w:t>]</w:t>
      </w:r>
      <w:r w:rsidRPr="00897182" w:rsidR="00A57FFD">
        <w:rPr>
          <w:color w:val="FF0000"/>
        </w:rPr>
        <w:t xml:space="preserve">, respectively), relative to </w:t>
      </w:r>
      <w:r w:rsidRPr="00897182" w:rsidR="002E6BDF">
        <w:rPr>
          <w:color w:val="FF0000"/>
        </w:rPr>
        <w:t>Group 2 (5</w:t>
      </w:r>
      <w:r w:rsidRPr="00897182" w:rsidR="00E60E5D">
        <w:rPr>
          <w:color w:val="FF0000"/>
        </w:rPr>
        <w:t>4</w:t>
      </w:r>
      <w:r w:rsidRPr="00897182" w:rsidR="002E6BDF">
        <w:rPr>
          <w:color w:val="FF0000"/>
        </w:rPr>
        <w:t>.</w:t>
      </w:r>
      <w:r w:rsidRPr="00897182" w:rsidR="00E60E5D">
        <w:rPr>
          <w:color w:val="FF0000"/>
        </w:rPr>
        <w:t>4</w:t>
      </w:r>
      <w:r w:rsidRPr="00897182" w:rsidR="00C9437F">
        <w:rPr>
          <w:color w:val="FF0000"/>
        </w:rPr>
        <w:t xml:space="preserve"> percent</w:t>
      </w:r>
      <w:r w:rsidRPr="00897182" w:rsidR="002E6BDF">
        <w:rPr>
          <w:color w:val="FF0000"/>
        </w:rPr>
        <w:t>)</w:t>
      </w:r>
      <w:r w:rsidRPr="00897182" w:rsidR="00B179CB">
        <w:rPr>
          <w:color w:val="FF0000"/>
        </w:rPr>
        <w:t xml:space="preserve"> despite increasing the Group 2 </w:t>
      </w:r>
      <w:r w:rsidRPr="00897182" w:rsidR="00B179CB">
        <w:rPr>
          <w:i/>
          <w:iCs/>
          <w:color w:val="FF0000"/>
        </w:rPr>
        <w:lastRenderedPageBreak/>
        <w:t>promised incentive</w:t>
      </w:r>
      <w:r w:rsidRPr="00897182" w:rsidR="00B179CB">
        <w:rPr>
          <w:color w:val="FF0000"/>
        </w:rPr>
        <w:t xml:space="preserve"> from $15 to $30</w:t>
      </w:r>
      <w:r w:rsidRPr="00897182" w:rsidR="00532D4D">
        <w:rPr>
          <w:color w:val="FF0000"/>
        </w:rPr>
        <w:t xml:space="preserve">. </w:t>
      </w:r>
      <w:r w:rsidRPr="00897182" w:rsidR="008D1A68">
        <w:rPr>
          <w:color w:val="FF0000"/>
        </w:rPr>
        <w:t>This</w:t>
      </w:r>
      <w:r w:rsidRPr="00897182" w:rsidR="001A1B18">
        <w:rPr>
          <w:color w:val="FF0000"/>
        </w:rPr>
        <w:t xml:space="preserve"> suggests </w:t>
      </w:r>
      <w:r w:rsidRPr="00897182" w:rsidR="00AE13B9">
        <w:rPr>
          <w:color w:val="FF0000"/>
        </w:rPr>
        <w:t>that</w:t>
      </w:r>
      <w:r w:rsidRPr="00897182" w:rsidR="008D1A68">
        <w:rPr>
          <w:color w:val="FF0000"/>
        </w:rPr>
        <w:t xml:space="preserve"> </w:t>
      </w:r>
      <w:r w:rsidRPr="00897182" w:rsidR="00AE13B9">
        <w:rPr>
          <w:color w:val="FF0000"/>
        </w:rPr>
        <w:t xml:space="preserve">front-loading the incentive might still be the more </w:t>
      </w:r>
      <w:r w:rsidRPr="00897182" w:rsidR="008D1A68">
        <w:rPr>
          <w:color w:val="FF0000"/>
        </w:rPr>
        <w:t>successful approach</w:t>
      </w:r>
      <w:r w:rsidRPr="00897182" w:rsidR="00A92B86">
        <w:rPr>
          <w:color w:val="FF0000"/>
        </w:rPr>
        <w:t xml:space="preserve"> and </w:t>
      </w:r>
      <w:r w:rsidRPr="00897182" w:rsidR="003248A7">
        <w:rPr>
          <w:color w:val="FF0000"/>
        </w:rPr>
        <w:t xml:space="preserve">that </w:t>
      </w:r>
      <w:r w:rsidRPr="00897182" w:rsidR="0016639E">
        <w:rPr>
          <w:color w:val="FF0000"/>
        </w:rPr>
        <w:t>doubling the</w:t>
      </w:r>
      <w:r w:rsidRPr="00897182" w:rsidR="00A92B86">
        <w:rPr>
          <w:color w:val="FF0000"/>
        </w:rPr>
        <w:t xml:space="preserve"> incentive</w:t>
      </w:r>
      <w:r w:rsidRPr="00897182" w:rsidR="0016639E">
        <w:rPr>
          <w:color w:val="FF0000"/>
        </w:rPr>
        <w:t xml:space="preserve"> in a nonresponse follow-up</w:t>
      </w:r>
      <w:r w:rsidRPr="00897182" w:rsidR="00A92B86">
        <w:rPr>
          <w:color w:val="FF0000"/>
        </w:rPr>
        <w:t xml:space="preserve"> does not seem to close the response rate gap</w:t>
      </w:r>
      <w:r w:rsidRPr="00897182" w:rsidR="003248A7">
        <w:rPr>
          <w:color w:val="FF0000"/>
        </w:rPr>
        <w:t xml:space="preserve"> so far</w:t>
      </w:r>
      <w:r w:rsidRPr="00897182" w:rsidR="008D1A68">
        <w:rPr>
          <w:color w:val="FF0000"/>
        </w:rPr>
        <w:t>.</w:t>
      </w:r>
      <w:r w:rsidRPr="00897182" w:rsidR="0016639E">
        <w:rPr>
          <w:color w:val="FF0000"/>
        </w:rPr>
        <w:t xml:space="preserve"> </w:t>
      </w:r>
    </w:p>
    <w:p w:rsidRPr="00897182" w:rsidR="0095681A" w:rsidP="00FD3695" w:rsidRDefault="0095681A" w14:paraId="32D62187" w14:textId="77777777">
      <w:pPr>
        <w:rPr>
          <w:color w:val="FF0000"/>
        </w:rPr>
      </w:pPr>
    </w:p>
    <w:p w:rsidRPr="00897182" w:rsidR="004B631B" w:rsidP="00FD3695" w:rsidRDefault="00C32E5F" w14:paraId="661EC51B" w14:textId="3BEDE667">
      <w:pPr>
        <w:rPr>
          <w:color w:val="FF0000"/>
        </w:rPr>
      </w:pPr>
      <w:r w:rsidRPr="00897182">
        <w:rPr>
          <w:color w:val="FF0000"/>
        </w:rPr>
        <w:t>T</w:t>
      </w:r>
      <w:r w:rsidRPr="00897182" w:rsidR="005D3880">
        <w:rPr>
          <w:color w:val="FF0000"/>
        </w:rPr>
        <w:t xml:space="preserve">he response rate difference between </w:t>
      </w:r>
      <w:r w:rsidRPr="00897182" w:rsidR="00532D4D">
        <w:rPr>
          <w:color w:val="FF0000"/>
        </w:rPr>
        <w:t xml:space="preserve">Group </w:t>
      </w:r>
      <w:r w:rsidRPr="00897182" w:rsidR="005D3880">
        <w:rPr>
          <w:color w:val="FF0000"/>
        </w:rPr>
        <w:t xml:space="preserve">1 and </w:t>
      </w:r>
      <w:r w:rsidRPr="00897182" w:rsidR="00532D4D">
        <w:rPr>
          <w:color w:val="FF0000"/>
        </w:rPr>
        <w:t>Group 3</w:t>
      </w:r>
      <w:r w:rsidRPr="00897182" w:rsidR="005D3880">
        <w:rPr>
          <w:color w:val="FF0000"/>
        </w:rPr>
        <w:t xml:space="preserve"> </w:t>
      </w:r>
      <w:r w:rsidRPr="00897182" w:rsidR="00576A3C">
        <w:rPr>
          <w:color w:val="FF0000"/>
        </w:rPr>
        <w:t>remains</w:t>
      </w:r>
      <w:r w:rsidRPr="00897182" w:rsidR="00BF0C1F">
        <w:rPr>
          <w:color w:val="FF0000"/>
        </w:rPr>
        <w:t xml:space="preserve"> statistically </w:t>
      </w:r>
      <w:r w:rsidRPr="00897182">
        <w:rPr>
          <w:color w:val="FF0000"/>
        </w:rPr>
        <w:t>non</w:t>
      </w:r>
      <w:r w:rsidRPr="00897182" w:rsidR="00BF0C1F">
        <w:rPr>
          <w:color w:val="FF0000"/>
        </w:rPr>
        <w:t>significant</w:t>
      </w:r>
      <w:r w:rsidRPr="00897182" w:rsidR="005F286D">
        <w:rPr>
          <w:color w:val="FF0000"/>
        </w:rPr>
        <w:t>,</w:t>
      </w:r>
      <w:r w:rsidRPr="00897182" w:rsidR="009D7787">
        <w:rPr>
          <w:color w:val="FF0000"/>
        </w:rPr>
        <w:t xml:space="preserve"> </w:t>
      </w:r>
      <w:r w:rsidRPr="00897182">
        <w:rPr>
          <w:color w:val="FF0000"/>
        </w:rPr>
        <w:t>despite the introduction of the $10 prepaid incentive</w:t>
      </w:r>
      <w:r w:rsidRPr="00897182" w:rsidR="005F286D">
        <w:rPr>
          <w:color w:val="FF0000"/>
        </w:rPr>
        <w:t xml:space="preserve"> in Group 1</w:t>
      </w:r>
      <w:r w:rsidRPr="00897182">
        <w:rPr>
          <w:color w:val="FF0000"/>
        </w:rPr>
        <w:t xml:space="preserve"> </w:t>
      </w:r>
      <w:r w:rsidRPr="00897182" w:rsidR="009D7787">
        <w:rPr>
          <w:color w:val="FF0000"/>
        </w:rPr>
        <w:t>(</w:t>
      </w:r>
      <w:r w:rsidRPr="00897182" w:rsidR="00584FB1">
        <w:rPr>
          <w:i/>
          <w:iCs/>
          <w:color w:val="FF0000"/>
        </w:rPr>
        <w:t>z</w:t>
      </w:r>
      <w:r w:rsidRPr="00897182" w:rsidR="009D7787">
        <w:rPr>
          <w:color w:val="FF0000"/>
        </w:rPr>
        <w:t xml:space="preserve"> = </w:t>
      </w:r>
      <w:r w:rsidRPr="00897182" w:rsidR="00584FB1">
        <w:rPr>
          <w:color w:val="FF0000"/>
        </w:rPr>
        <w:t>1.</w:t>
      </w:r>
      <w:r w:rsidRPr="00897182" w:rsidR="00E60E5D">
        <w:rPr>
          <w:color w:val="FF0000"/>
        </w:rPr>
        <w:t>5</w:t>
      </w:r>
      <w:r w:rsidRPr="00897182" w:rsidR="001E18D4">
        <w:rPr>
          <w:color w:val="FF0000"/>
        </w:rPr>
        <w:t>7</w:t>
      </w:r>
      <w:r w:rsidRPr="00897182" w:rsidR="009D7787">
        <w:rPr>
          <w:color w:val="FF0000"/>
        </w:rPr>
        <w:t xml:space="preserve">, </w:t>
      </w:r>
      <w:r w:rsidRPr="00897182" w:rsidR="009D7787">
        <w:rPr>
          <w:i/>
          <w:iCs/>
          <w:color w:val="FF0000"/>
        </w:rPr>
        <w:t>p</w:t>
      </w:r>
      <w:r w:rsidRPr="00897182" w:rsidR="009D7787">
        <w:rPr>
          <w:color w:val="FF0000"/>
        </w:rPr>
        <w:t xml:space="preserve"> </w:t>
      </w:r>
      <w:r w:rsidRPr="00897182" w:rsidR="00584FB1">
        <w:rPr>
          <w:color w:val="FF0000"/>
        </w:rPr>
        <w:t>=</w:t>
      </w:r>
      <w:r w:rsidRPr="00897182" w:rsidR="009D7787">
        <w:rPr>
          <w:color w:val="FF0000"/>
        </w:rPr>
        <w:t xml:space="preserve"> 0.</w:t>
      </w:r>
      <w:r w:rsidRPr="00897182" w:rsidR="001E18D4">
        <w:rPr>
          <w:color w:val="FF0000"/>
        </w:rPr>
        <w:t>1</w:t>
      </w:r>
      <w:r w:rsidRPr="00897182" w:rsidR="00E60E5D">
        <w:rPr>
          <w:color w:val="FF0000"/>
        </w:rPr>
        <w:t>2</w:t>
      </w:r>
      <w:r w:rsidRPr="00897182" w:rsidR="009D7787">
        <w:rPr>
          <w:color w:val="FF0000"/>
        </w:rPr>
        <w:t>)</w:t>
      </w:r>
      <w:r w:rsidRPr="00897182" w:rsidR="00BF0C1F">
        <w:rPr>
          <w:color w:val="FF0000"/>
        </w:rPr>
        <w:t>.</w:t>
      </w:r>
      <w:r w:rsidRPr="00897182" w:rsidR="00891814">
        <w:rPr>
          <w:color w:val="FF0000"/>
        </w:rPr>
        <w:t xml:space="preserve"> Due to the COVID-19 pandemic</w:t>
      </w:r>
      <w:r w:rsidRPr="00897182" w:rsidR="001E153B">
        <w:rPr>
          <w:color w:val="FF0000"/>
        </w:rPr>
        <w:t xml:space="preserve"> and </w:t>
      </w:r>
      <w:r w:rsidRPr="00897182" w:rsidR="00941C92">
        <w:rPr>
          <w:color w:val="FF0000"/>
        </w:rPr>
        <w:t>increased student mobility</w:t>
      </w:r>
      <w:r w:rsidRPr="00897182" w:rsidR="00C60192">
        <w:rPr>
          <w:color w:val="FF0000"/>
        </w:rPr>
        <w:t xml:space="preserve"> at the time</w:t>
      </w:r>
      <w:r w:rsidRPr="00897182" w:rsidR="00891814">
        <w:rPr>
          <w:color w:val="FF0000"/>
        </w:rPr>
        <w:t xml:space="preserve">, we had </w:t>
      </w:r>
      <w:r w:rsidRPr="00897182" w:rsidR="00941C92">
        <w:rPr>
          <w:color w:val="FF0000"/>
        </w:rPr>
        <w:t xml:space="preserve">decided </w:t>
      </w:r>
      <w:r w:rsidRPr="00897182" w:rsidR="00891814">
        <w:rPr>
          <w:color w:val="FF0000"/>
        </w:rPr>
        <w:t xml:space="preserve">to limit the mailing of the $10 prepaid incentive during Phase 2 to PayPal in Group 1 instead of also sending checks that </w:t>
      </w:r>
      <w:r w:rsidRPr="00897182" w:rsidR="00407383">
        <w:rPr>
          <w:color w:val="FF0000"/>
        </w:rPr>
        <w:t>could be perceived as more</w:t>
      </w:r>
      <w:r w:rsidRPr="00897182" w:rsidR="00891814">
        <w:rPr>
          <w:color w:val="FF0000"/>
        </w:rPr>
        <w:t xml:space="preserve"> tangible</w:t>
      </w:r>
      <w:r w:rsidRPr="00897182" w:rsidR="00407383">
        <w:rPr>
          <w:color w:val="FF0000"/>
        </w:rPr>
        <w:t xml:space="preserve"> and legitimate</w:t>
      </w:r>
      <w:r w:rsidRPr="00897182" w:rsidR="00891814">
        <w:rPr>
          <w:color w:val="FF0000"/>
        </w:rPr>
        <w:t>. We assume that this design change could explain the statistically nonsignificant results</w:t>
      </w:r>
      <w:r w:rsidRPr="00897182" w:rsidR="00A30BFE">
        <w:rPr>
          <w:color w:val="FF0000"/>
        </w:rPr>
        <w:t xml:space="preserve"> </w:t>
      </w:r>
      <w:r w:rsidRPr="00897182" w:rsidR="00C005C8">
        <w:rPr>
          <w:color w:val="FF0000"/>
        </w:rPr>
        <w:t>since</w:t>
      </w:r>
      <w:r w:rsidRPr="00897182" w:rsidR="00A30BFE">
        <w:rPr>
          <w:color w:val="FF0000"/>
        </w:rPr>
        <w:t xml:space="preserve"> </w:t>
      </w:r>
      <w:r w:rsidRPr="00897182" w:rsidR="00624959">
        <w:rPr>
          <w:color w:val="FF0000"/>
        </w:rPr>
        <w:t xml:space="preserve">so far </w:t>
      </w:r>
      <w:r w:rsidRPr="00897182" w:rsidR="00A30BFE">
        <w:rPr>
          <w:color w:val="FF0000"/>
        </w:rPr>
        <w:t>approximately 6</w:t>
      </w:r>
      <w:r w:rsidRPr="00897182" w:rsidR="00E60E5D">
        <w:rPr>
          <w:color w:val="FF0000"/>
        </w:rPr>
        <w:t>6</w:t>
      </w:r>
      <w:r w:rsidRPr="00897182" w:rsidR="000C43E5">
        <w:rPr>
          <w:color w:val="FF0000"/>
        </w:rPr>
        <w:t xml:space="preserve"> percent</w:t>
      </w:r>
      <w:r w:rsidRPr="00897182" w:rsidR="00A30BFE">
        <w:rPr>
          <w:color w:val="FF0000"/>
        </w:rPr>
        <w:t xml:space="preserve"> of the nonresponding sample members did not claim their PayPal prepaid incentive</w:t>
      </w:r>
      <w:r w:rsidRPr="00897182" w:rsidR="00891814">
        <w:rPr>
          <w:color w:val="FF0000"/>
        </w:rPr>
        <w:t>.</w:t>
      </w:r>
    </w:p>
    <w:p w:rsidRPr="00897182" w:rsidR="00801F8F" w:rsidP="00FD3695" w:rsidRDefault="00801F8F" w14:paraId="30ACCC65" w14:textId="702A0366">
      <w:pPr>
        <w:rPr>
          <w:color w:val="FF0000"/>
        </w:rPr>
      </w:pPr>
    </w:p>
    <w:tbl>
      <w:tblPr>
        <w:tblStyle w:val="TableGridLight1"/>
        <w:tblW w:w="9810" w:type="dxa"/>
        <w:tblLayout w:type="fixed"/>
        <w:tblCellMar>
          <w:left w:w="72" w:type="dxa"/>
          <w:right w:w="72" w:type="dxa"/>
        </w:tblCellMar>
        <w:tblLook w:val="04A0" w:firstRow="1" w:lastRow="0" w:firstColumn="1" w:lastColumn="0" w:noHBand="0" w:noVBand="1"/>
      </w:tblPr>
      <w:tblGrid>
        <w:gridCol w:w="2965"/>
        <w:gridCol w:w="2281"/>
        <w:gridCol w:w="2282"/>
        <w:gridCol w:w="2282"/>
      </w:tblGrid>
      <w:tr w:rsidRPr="00897182" w:rsidR="00897182" w:rsidTr="007071BD" w14:paraId="2ABDA747" w14:textId="77777777">
        <w:tc>
          <w:tcPr>
            <w:tcW w:w="9810" w:type="dxa"/>
            <w:gridSpan w:val="4"/>
            <w:tcBorders>
              <w:top w:val="nil"/>
              <w:left w:val="nil"/>
              <w:bottom w:val="single" w:color="auto" w:sz="12" w:space="0"/>
              <w:right w:val="nil"/>
            </w:tcBorders>
          </w:tcPr>
          <w:p w:rsidRPr="00897182" w:rsidR="00801F8F" w:rsidP="00801F8F" w:rsidRDefault="00801F8F" w14:paraId="638CC710" w14:textId="77777777">
            <w:pPr>
              <w:keepNext/>
              <w:autoSpaceDE w:val="0"/>
              <w:autoSpaceDN w:val="0"/>
              <w:adjustRightInd w:val="0"/>
              <w:rPr>
                <w:rFonts w:ascii="Arial" w:hAnsi="Arial" w:cs="Arial"/>
                <w:b/>
                <w:color w:val="FF0000"/>
                <w:kern w:val="16"/>
                <w:sz w:val="20"/>
                <w:szCs w:val="20"/>
              </w:rPr>
            </w:pPr>
            <w:r w:rsidRPr="00897182">
              <w:rPr>
                <w:rFonts w:ascii="Arial" w:hAnsi="Arial" w:cs="Arial"/>
                <w:b/>
                <w:color w:val="FF0000"/>
                <w:kern w:val="16"/>
                <w:sz w:val="20"/>
                <w:szCs w:val="20"/>
              </w:rPr>
              <w:t xml:space="preserve">Table </w:t>
            </w:r>
            <w:r w:rsidRPr="00897182">
              <w:rPr>
                <w:rFonts w:ascii="Arial" w:hAnsi="Arial" w:cs="Arial"/>
                <w:b/>
                <w:bCs/>
                <w:color w:val="FF0000"/>
                <w:kern w:val="16"/>
                <w:sz w:val="20"/>
                <w:szCs w:val="20"/>
              </w:rPr>
              <w:t>12</w:t>
            </w:r>
            <w:r w:rsidRPr="00897182">
              <w:rPr>
                <w:rFonts w:ascii="Arial" w:hAnsi="Arial" w:cs="Arial"/>
                <w:b/>
                <w:color w:val="FF0000"/>
                <w:kern w:val="16"/>
                <w:sz w:val="20"/>
                <w:szCs w:val="20"/>
              </w:rPr>
              <w:t>: Cumulative response rates per phase by experimental condition (in percent)</w:t>
            </w:r>
          </w:p>
        </w:tc>
      </w:tr>
      <w:tr w:rsidRPr="00897182" w:rsidR="00897182" w:rsidTr="007071BD" w14:paraId="2388EB4C" w14:textId="77777777">
        <w:trPr>
          <w:trHeight w:val="759"/>
        </w:trPr>
        <w:tc>
          <w:tcPr>
            <w:tcW w:w="2965" w:type="dxa"/>
            <w:tcBorders>
              <w:top w:val="single" w:color="auto" w:sz="12" w:space="0"/>
              <w:left w:val="nil"/>
              <w:bottom w:val="single" w:color="auto" w:sz="6" w:space="0"/>
              <w:right w:val="nil"/>
            </w:tcBorders>
          </w:tcPr>
          <w:p w:rsidRPr="00897182" w:rsidR="00801F8F" w:rsidP="00801F8F" w:rsidRDefault="00801F8F" w14:paraId="48C708F0" w14:textId="77777777">
            <w:pPr>
              <w:keepNext/>
              <w:autoSpaceDE w:val="0"/>
              <w:autoSpaceDN w:val="0"/>
              <w:adjustRightInd w:val="0"/>
              <w:rPr>
                <w:rFonts w:ascii="Arial" w:hAnsi="Arial" w:cs="Arial"/>
                <w:b/>
                <w:color w:val="FF0000"/>
                <w:kern w:val="16"/>
                <w:sz w:val="18"/>
                <w:szCs w:val="18"/>
              </w:rPr>
            </w:pPr>
          </w:p>
          <w:p w:rsidRPr="00897182" w:rsidR="00801F8F" w:rsidP="00801F8F" w:rsidRDefault="00801F8F" w14:paraId="16AEB73B" w14:textId="77777777">
            <w:pPr>
              <w:keepNext/>
              <w:autoSpaceDE w:val="0"/>
              <w:autoSpaceDN w:val="0"/>
              <w:adjustRightInd w:val="0"/>
              <w:rPr>
                <w:rFonts w:ascii="Arial" w:hAnsi="Arial" w:cs="Arial"/>
                <w:b/>
                <w:color w:val="FF0000"/>
                <w:kern w:val="16"/>
                <w:sz w:val="18"/>
                <w:szCs w:val="18"/>
              </w:rPr>
            </w:pPr>
          </w:p>
          <w:p w:rsidRPr="00897182" w:rsidR="00801F8F" w:rsidP="00801F8F" w:rsidRDefault="00801F8F" w14:paraId="47B81652" w14:textId="77777777">
            <w:pPr>
              <w:keepNext/>
              <w:autoSpaceDE w:val="0"/>
              <w:autoSpaceDN w:val="0"/>
              <w:adjustRightInd w:val="0"/>
              <w:rPr>
                <w:rFonts w:ascii="Arial" w:hAnsi="Arial" w:cs="Arial"/>
                <w:b/>
                <w:color w:val="FF0000"/>
                <w:kern w:val="16"/>
                <w:sz w:val="18"/>
                <w:szCs w:val="18"/>
              </w:rPr>
            </w:pPr>
            <w:r w:rsidRPr="00897182">
              <w:rPr>
                <w:rFonts w:ascii="Arial" w:hAnsi="Arial" w:cs="Arial"/>
                <w:b/>
                <w:color w:val="FF0000"/>
                <w:kern w:val="16"/>
                <w:sz w:val="18"/>
                <w:szCs w:val="18"/>
              </w:rPr>
              <w:t>Phase of NPSAS:20 Calibration</w:t>
            </w:r>
          </w:p>
        </w:tc>
        <w:tc>
          <w:tcPr>
            <w:tcW w:w="2281" w:type="dxa"/>
            <w:tcBorders>
              <w:top w:val="single" w:color="auto" w:sz="12" w:space="0"/>
              <w:left w:val="nil"/>
              <w:bottom w:val="single" w:color="auto" w:sz="6" w:space="0"/>
              <w:right w:val="nil"/>
            </w:tcBorders>
          </w:tcPr>
          <w:p w:rsidRPr="00897182" w:rsidR="00801F8F" w:rsidP="00801F8F" w:rsidRDefault="00801F8F" w14:paraId="7C3D10FE" w14:textId="77777777">
            <w:pPr>
              <w:keepNext/>
              <w:jc w:val="center"/>
              <w:rPr>
                <w:rFonts w:ascii="Arial" w:hAnsi="Arial" w:cs="Arial"/>
                <w:b/>
                <w:color w:val="FF0000"/>
                <w:kern w:val="16"/>
                <w:sz w:val="16"/>
                <w:szCs w:val="16"/>
              </w:rPr>
            </w:pPr>
            <w:r w:rsidRPr="00897182">
              <w:rPr>
                <w:rFonts w:ascii="Arial" w:hAnsi="Arial" w:cs="Arial"/>
                <w:b/>
                <w:color w:val="FF0000"/>
                <w:kern w:val="16"/>
                <w:sz w:val="16"/>
                <w:szCs w:val="16"/>
              </w:rPr>
              <w:t>Group 1</w:t>
            </w:r>
          </w:p>
          <w:p w:rsidRPr="00897182" w:rsidR="00801F8F" w:rsidP="00801F8F" w:rsidRDefault="00801F8F" w14:paraId="4DC1CBDF" w14:textId="77777777">
            <w:pPr>
              <w:keepNext/>
              <w:jc w:val="center"/>
              <w:rPr>
                <w:rFonts w:ascii="Arial" w:hAnsi="Arial" w:cs="Arial"/>
                <w:bCs/>
                <w:color w:val="FF0000"/>
                <w:kern w:val="16"/>
                <w:sz w:val="16"/>
                <w:szCs w:val="16"/>
              </w:rPr>
            </w:pPr>
            <w:r w:rsidRPr="00897182">
              <w:rPr>
                <w:rFonts w:ascii="Arial" w:hAnsi="Arial" w:cs="Arial"/>
                <w:bCs/>
                <w:color w:val="FF0000"/>
                <w:kern w:val="16"/>
                <w:sz w:val="16"/>
                <w:szCs w:val="16"/>
              </w:rPr>
              <w:t>$2 prepaid + $30 promised</w:t>
            </w:r>
          </w:p>
          <w:p w:rsidRPr="00897182" w:rsidR="00801F8F" w:rsidP="00801F8F" w:rsidRDefault="00801F8F" w14:paraId="1EB6FD8F" w14:textId="77777777">
            <w:pPr>
              <w:keepNext/>
              <w:jc w:val="center"/>
              <w:rPr>
                <w:rFonts w:ascii="Arial" w:hAnsi="Arial" w:cs="Arial"/>
                <w:bCs/>
                <w:color w:val="FF0000"/>
                <w:kern w:val="16"/>
                <w:sz w:val="16"/>
                <w:szCs w:val="16"/>
              </w:rPr>
            </w:pPr>
            <w:r w:rsidRPr="00897182">
              <w:rPr>
                <w:rFonts w:ascii="Arial" w:hAnsi="Arial" w:cs="Arial"/>
                <w:bCs/>
                <w:color w:val="FF0000"/>
                <w:kern w:val="16"/>
                <w:sz w:val="16"/>
                <w:szCs w:val="16"/>
              </w:rPr>
              <w:t>$10 prepaid + $20 promised</w:t>
            </w:r>
          </w:p>
          <w:p w:rsidRPr="00897182" w:rsidR="00801F8F" w:rsidP="00801F8F" w:rsidRDefault="00801F8F" w14:paraId="6D2A1EBA" w14:textId="77777777">
            <w:pPr>
              <w:keepNext/>
              <w:jc w:val="center"/>
              <w:rPr>
                <w:rFonts w:ascii="Arial" w:hAnsi="Arial" w:cs="Arial"/>
                <w:bCs/>
                <w:color w:val="FF0000"/>
                <w:kern w:val="16"/>
                <w:sz w:val="16"/>
                <w:szCs w:val="16"/>
              </w:rPr>
            </w:pPr>
          </w:p>
          <w:p w:rsidRPr="00897182" w:rsidR="00801F8F" w:rsidP="00801F8F" w:rsidRDefault="00801F8F" w14:paraId="03E9C63A" w14:textId="77777777">
            <w:pPr>
              <w:keepNext/>
              <w:jc w:val="center"/>
              <w:rPr>
                <w:rFonts w:ascii="Arial" w:hAnsi="Arial" w:cs="Arial"/>
                <w:bCs/>
                <w:color w:val="FF0000"/>
                <w:kern w:val="16"/>
                <w:sz w:val="16"/>
                <w:szCs w:val="16"/>
              </w:rPr>
            </w:pPr>
            <w:r w:rsidRPr="00897182">
              <w:rPr>
                <w:rFonts w:ascii="Arial" w:hAnsi="Arial" w:cs="Arial"/>
                <w:bCs/>
                <w:color w:val="FF0000"/>
                <w:kern w:val="16"/>
                <w:sz w:val="16"/>
                <w:szCs w:val="16"/>
              </w:rPr>
              <w:t>n=2,030</w:t>
            </w:r>
          </w:p>
        </w:tc>
        <w:tc>
          <w:tcPr>
            <w:tcW w:w="2282" w:type="dxa"/>
            <w:tcBorders>
              <w:top w:val="single" w:color="auto" w:sz="12" w:space="0"/>
              <w:left w:val="nil"/>
              <w:bottom w:val="single" w:color="auto" w:sz="6" w:space="0"/>
              <w:right w:val="nil"/>
            </w:tcBorders>
          </w:tcPr>
          <w:p w:rsidRPr="00897182" w:rsidR="00801F8F" w:rsidP="00801F8F" w:rsidRDefault="00801F8F" w14:paraId="3A664DE7" w14:textId="77777777">
            <w:pPr>
              <w:keepNext/>
              <w:jc w:val="center"/>
              <w:rPr>
                <w:rFonts w:ascii="Arial" w:hAnsi="Arial" w:cs="Arial"/>
                <w:b/>
                <w:color w:val="FF0000"/>
                <w:kern w:val="16"/>
                <w:sz w:val="16"/>
                <w:szCs w:val="16"/>
              </w:rPr>
            </w:pPr>
            <w:r w:rsidRPr="00897182">
              <w:rPr>
                <w:rFonts w:ascii="Arial" w:hAnsi="Arial" w:cs="Arial"/>
                <w:b/>
                <w:color w:val="FF0000"/>
                <w:kern w:val="16"/>
                <w:sz w:val="16"/>
                <w:szCs w:val="16"/>
              </w:rPr>
              <w:t>Group 2</w:t>
            </w:r>
          </w:p>
          <w:p w:rsidRPr="00897182" w:rsidR="00801F8F" w:rsidP="00801F8F" w:rsidRDefault="00801F8F" w14:paraId="01C75E8E" w14:textId="77777777">
            <w:pPr>
              <w:keepNext/>
              <w:jc w:val="center"/>
              <w:rPr>
                <w:rFonts w:ascii="Arial" w:hAnsi="Arial" w:cs="Arial"/>
                <w:bCs/>
                <w:color w:val="FF0000"/>
                <w:kern w:val="16"/>
                <w:sz w:val="16"/>
                <w:szCs w:val="16"/>
              </w:rPr>
            </w:pPr>
            <w:r w:rsidRPr="00897182">
              <w:rPr>
                <w:rFonts w:ascii="Arial" w:hAnsi="Arial" w:cs="Arial"/>
                <w:bCs/>
                <w:color w:val="FF0000"/>
                <w:kern w:val="16"/>
                <w:sz w:val="16"/>
                <w:szCs w:val="16"/>
              </w:rPr>
              <w:t>$2 prepaid + $15 promised</w:t>
            </w:r>
          </w:p>
          <w:p w:rsidRPr="00897182" w:rsidR="00801F8F" w:rsidP="00801F8F" w:rsidRDefault="00801F8F" w14:paraId="58831393" w14:textId="77777777">
            <w:pPr>
              <w:keepNext/>
              <w:jc w:val="center"/>
              <w:rPr>
                <w:rFonts w:ascii="Arial" w:hAnsi="Arial" w:cs="Arial"/>
                <w:bCs/>
                <w:color w:val="FF0000"/>
                <w:kern w:val="16"/>
                <w:sz w:val="16"/>
                <w:szCs w:val="16"/>
              </w:rPr>
            </w:pPr>
            <w:r w:rsidRPr="00897182">
              <w:rPr>
                <w:rFonts w:ascii="Arial" w:hAnsi="Arial" w:cs="Arial"/>
                <w:bCs/>
                <w:color w:val="FF0000"/>
                <w:kern w:val="16"/>
                <w:sz w:val="16"/>
                <w:szCs w:val="16"/>
              </w:rPr>
              <w:t>$30 promised</w:t>
            </w:r>
          </w:p>
          <w:p w:rsidRPr="00897182" w:rsidR="00801F8F" w:rsidP="00801F8F" w:rsidRDefault="00801F8F" w14:paraId="3792CBC4" w14:textId="77777777">
            <w:pPr>
              <w:keepNext/>
              <w:jc w:val="center"/>
              <w:rPr>
                <w:rFonts w:ascii="Arial" w:hAnsi="Arial" w:cs="Arial"/>
                <w:bCs/>
                <w:color w:val="FF0000"/>
                <w:kern w:val="16"/>
                <w:sz w:val="16"/>
                <w:szCs w:val="16"/>
              </w:rPr>
            </w:pPr>
          </w:p>
          <w:p w:rsidRPr="00897182" w:rsidR="00801F8F" w:rsidP="00801F8F" w:rsidRDefault="00801F8F" w14:paraId="159FF51F" w14:textId="77777777">
            <w:pPr>
              <w:keepNext/>
              <w:jc w:val="center"/>
              <w:rPr>
                <w:rFonts w:ascii="Arial" w:hAnsi="Arial" w:cs="Arial"/>
                <w:b/>
                <w:color w:val="FF0000"/>
                <w:kern w:val="16"/>
                <w:sz w:val="16"/>
                <w:szCs w:val="16"/>
              </w:rPr>
            </w:pPr>
            <w:r w:rsidRPr="00897182">
              <w:rPr>
                <w:rFonts w:ascii="Arial" w:hAnsi="Arial" w:cs="Arial"/>
                <w:bCs/>
                <w:color w:val="FF0000"/>
                <w:kern w:val="16"/>
                <w:sz w:val="16"/>
                <w:szCs w:val="16"/>
              </w:rPr>
              <w:t>n=2,030</w:t>
            </w:r>
          </w:p>
        </w:tc>
        <w:tc>
          <w:tcPr>
            <w:tcW w:w="2282" w:type="dxa"/>
            <w:tcBorders>
              <w:top w:val="single" w:color="auto" w:sz="12" w:space="0"/>
              <w:left w:val="nil"/>
              <w:bottom w:val="single" w:color="auto" w:sz="6" w:space="0"/>
              <w:right w:val="nil"/>
            </w:tcBorders>
          </w:tcPr>
          <w:p w:rsidRPr="00897182" w:rsidR="00801F8F" w:rsidP="00801F8F" w:rsidRDefault="00801F8F" w14:paraId="348B74B6" w14:textId="77777777">
            <w:pPr>
              <w:keepNext/>
              <w:autoSpaceDE w:val="0"/>
              <w:autoSpaceDN w:val="0"/>
              <w:adjustRightInd w:val="0"/>
              <w:jc w:val="center"/>
              <w:rPr>
                <w:rFonts w:ascii="Arial" w:hAnsi="Arial" w:cs="Arial"/>
                <w:b/>
                <w:color w:val="FF0000"/>
                <w:kern w:val="16"/>
                <w:sz w:val="16"/>
                <w:szCs w:val="16"/>
              </w:rPr>
            </w:pPr>
            <w:r w:rsidRPr="00897182">
              <w:rPr>
                <w:rFonts w:ascii="Arial" w:hAnsi="Arial" w:cs="Arial"/>
                <w:b/>
                <w:color w:val="FF0000"/>
                <w:kern w:val="16"/>
                <w:sz w:val="16"/>
                <w:szCs w:val="16"/>
              </w:rPr>
              <w:t>Group 3 (Control)</w:t>
            </w:r>
          </w:p>
          <w:p w:rsidRPr="00897182" w:rsidR="00801F8F" w:rsidP="00801F8F" w:rsidRDefault="00801F8F" w14:paraId="65094AC6" w14:textId="77777777">
            <w:pPr>
              <w:keepNext/>
              <w:jc w:val="center"/>
              <w:rPr>
                <w:rFonts w:ascii="Arial" w:hAnsi="Arial" w:cs="Arial"/>
                <w:bCs/>
                <w:color w:val="FF0000"/>
                <w:kern w:val="16"/>
                <w:sz w:val="16"/>
                <w:szCs w:val="16"/>
              </w:rPr>
            </w:pPr>
            <w:r w:rsidRPr="00897182">
              <w:rPr>
                <w:rFonts w:ascii="Arial" w:hAnsi="Arial" w:cs="Arial"/>
                <w:bCs/>
                <w:color w:val="FF0000"/>
                <w:kern w:val="16"/>
                <w:sz w:val="16"/>
                <w:szCs w:val="16"/>
              </w:rPr>
              <w:t>$30 promised</w:t>
            </w:r>
          </w:p>
          <w:p w:rsidRPr="00897182" w:rsidR="00801F8F" w:rsidP="00801F8F" w:rsidRDefault="00801F8F" w14:paraId="308673E9" w14:textId="77777777">
            <w:pPr>
              <w:keepNext/>
              <w:jc w:val="center"/>
              <w:rPr>
                <w:rFonts w:ascii="Arial" w:hAnsi="Arial" w:cs="Arial"/>
                <w:bCs/>
                <w:color w:val="FF0000"/>
                <w:kern w:val="16"/>
                <w:sz w:val="16"/>
                <w:szCs w:val="16"/>
              </w:rPr>
            </w:pPr>
            <w:r w:rsidRPr="00897182">
              <w:rPr>
                <w:rFonts w:ascii="Arial" w:hAnsi="Arial" w:cs="Arial"/>
                <w:bCs/>
                <w:color w:val="FF0000"/>
                <w:kern w:val="16"/>
                <w:sz w:val="16"/>
                <w:szCs w:val="16"/>
              </w:rPr>
              <w:t>$30 promised</w:t>
            </w:r>
          </w:p>
          <w:p w:rsidRPr="00897182" w:rsidR="00801F8F" w:rsidP="00801F8F" w:rsidRDefault="00801F8F" w14:paraId="31196D4A" w14:textId="77777777">
            <w:pPr>
              <w:keepNext/>
              <w:jc w:val="center"/>
              <w:rPr>
                <w:rFonts w:ascii="Arial" w:hAnsi="Arial" w:cs="Arial"/>
                <w:bCs/>
                <w:color w:val="FF0000"/>
                <w:kern w:val="16"/>
                <w:sz w:val="16"/>
                <w:szCs w:val="16"/>
              </w:rPr>
            </w:pPr>
          </w:p>
          <w:p w:rsidRPr="00897182" w:rsidR="00801F8F" w:rsidP="00801F8F" w:rsidRDefault="00801F8F" w14:paraId="378279D6" w14:textId="77777777">
            <w:pPr>
              <w:keepNext/>
              <w:jc w:val="center"/>
              <w:rPr>
                <w:rFonts w:ascii="Arial" w:hAnsi="Arial" w:cs="Arial"/>
                <w:b/>
                <w:color w:val="FF0000"/>
                <w:kern w:val="16"/>
                <w:sz w:val="16"/>
                <w:szCs w:val="16"/>
              </w:rPr>
            </w:pPr>
            <w:r w:rsidRPr="00897182">
              <w:rPr>
                <w:rFonts w:ascii="Arial" w:hAnsi="Arial" w:cs="Arial"/>
                <w:bCs/>
                <w:color w:val="FF0000"/>
                <w:kern w:val="16"/>
                <w:sz w:val="16"/>
                <w:szCs w:val="16"/>
              </w:rPr>
              <w:t>n=2,030</w:t>
            </w:r>
          </w:p>
        </w:tc>
      </w:tr>
      <w:tr w:rsidRPr="00897182" w:rsidR="00897182" w:rsidTr="007071BD" w14:paraId="3366AA91" w14:textId="77777777">
        <w:tc>
          <w:tcPr>
            <w:tcW w:w="2965" w:type="dxa"/>
            <w:tcBorders>
              <w:top w:val="single" w:color="auto" w:sz="6" w:space="0"/>
              <w:left w:val="nil"/>
              <w:bottom w:val="nil"/>
              <w:right w:val="nil"/>
            </w:tcBorders>
          </w:tcPr>
          <w:p w:rsidRPr="00897182" w:rsidR="00801F8F" w:rsidP="00801F8F" w:rsidRDefault="00801F8F" w14:paraId="56B7934E"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 xml:space="preserve">Phase 1 </w:t>
            </w:r>
          </w:p>
        </w:tc>
        <w:tc>
          <w:tcPr>
            <w:tcW w:w="2281" w:type="dxa"/>
            <w:tcBorders>
              <w:top w:val="single" w:color="auto" w:sz="6" w:space="0"/>
              <w:left w:val="nil"/>
              <w:bottom w:val="nil"/>
              <w:right w:val="nil"/>
            </w:tcBorders>
          </w:tcPr>
          <w:p w:rsidRPr="00897182" w:rsidR="00801F8F" w:rsidP="00801F8F" w:rsidRDefault="00801F8F" w14:paraId="5B9B093A"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54.5</w:t>
            </w:r>
          </w:p>
        </w:tc>
        <w:tc>
          <w:tcPr>
            <w:tcW w:w="2282" w:type="dxa"/>
            <w:tcBorders>
              <w:top w:val="single" w:color="auto" w:sz="6" w:space="0"/>
              <w:left w:val="nil"/>
              <w:bottom w:val="nil"/>
              <w:right w:val="nil"/>
            </w:tcBorders>
          </w:tcPr>
          <w:p w:rsidRPr="00897182" w:rsidR="00801F8F" w:rsidP="00801F8F" w:rsidRDefault="00801F8F" w14:paraId="65BDD381"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44.7</w:t>
            </w:r>
          </w:p>
        </w:tc>
        <w:tc>
          <w:tcPr>
            <w:tcW w:w="2282" w:type="dxa"/>
            <w:tcBorders>
              <w:top w:val="single" w:color="auto" w:sz="6" w:space="0"/>
              <w:left w:val="nil"/>
              <w:bottom w:val="nil"/>
              <w:right w:val="nil"/>
            </w:tcBorders>
          </w:tcPr>
          <w:p w:rsidRPr="00897182" w:rsidR="00801F8F" w:rsidP="00801F8F" w:rsidRDefault="00801F8F" w14:paraId="3E67E91C"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53.7</w:t>
            </w:r>
          </w:p>
        </w:tc>
      </w:tr>
      <w:tr w:rsidRPr="00897182" w:rsidR="00897182" w:rsidTr="007071BD" w14:paraId="1E1B8EE8" w14:textId="77777777">
        <w:tc>
          <w:tcPr>
            <w:tcW w:w="2965" w:type="dxa"/>
            <w:tcBorders>
              <w:top w:val="nil"/>
              <w:left w:val="nil"/>
              <w:bottom w:val="single" w:color="auto" w:sz="12" w:space="0"/>
              <w:right w:val="nil"/>
            </w:tcBorders>
          </w:tcPr>
          <w:p w:rsidRPr="00897182" w:rsidR="00801F8F" w:rsidP="00801F8F" w:rsidRDefault="00801F8F" w14:paraId="04AA5CE3"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 xml:space="preserve">Phase 1 + Phase 2 </w:t>
            </w:r>
            <w:r w:rsidRPr="00897182">
              <w:rPr>
                <w:rFonts w:ascii="Arial" w:hAnsi="Arial" w:cs="Arial"/>
                <w:color w:val="FF0000"/>
                <w:kern w:val="16"/>
                <w:sz w:val="18"/>
                <w:szCs w:val="18"/>
              </w:rPr>
              <w:br/>
              <w:t>(nonresponse follow-up)</w:t>
            </w:r>
          </w:p>
        </w:tc>
        <w:tc>
          <w:tcPr>
            <w:tcW w:w="2281" w:type="dxa"/>
            <w:tcBorders>
              <w:top w:val="nil"/>
              <w:left w:val="nil"/>
              <w:bottom w:val="single" w:color="auto" w:sz="12" w:space="0"/>
              <w:right w:val="nil"/>
            </w:tcBorders>
          </w:tcPr>
          <w:p w:rsidRPr="00897182" w:rsidR="00801F8F" w:rsidP="00801F8F" w:rsidRDefault="00801F8F" w14:paraId="16BA2CA3"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60.3</w:t>
            </w:r>
          </w:p>
        </w:tc>
        <w:tc>
          <w:tcPr>
            <w:tcW w:w="2282" w:type="dxa"/>
            <w:tcBorders>
              <w:top w:val="nil"/>
              <w:left w:val="nil"/>
              <w:bottom w:val="single" w:color="auto" w:sz="12" w:space="0"/>
              <w:right w:val="nil"/>
            </w:tcBorders>
          </w:tcPr>
          <w:p w:rsidRPr="00897182" w:rsidR="00801F8F" w:rsidP="00801F8F" w:rsidRDefault="00801F8F" w14:paraId="7F4F1738"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54.4</w:t>
            </w:r>
          </w:p>
        </w:tc>
        <w:tc>
          <w:tcPr>
            <w:tcW w:w="2282" w:type="dxa"/>
            <w:tcBorders>
              <w:top w:val="nil"/>
              <w:left w:val="nil"/>
              <w:bottom w:val="single" w:color="auto" w:sz="12" w:space="0"/>
              <w:right w:val="nil"/>
            </w:tcBorders>
          </w:tcPr>
          <w:p w:rsidRPr="00897182" w:rsidR="00801F8F" w:rsidP="00801F8F" w:rsidRDefault="00801F8F" w14:paraId="183AAD6B"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57.9</w:t>
            </w:r>
          </w:p>
        </w:tc>
      </w:tr>
      <w:tr w:rsidRPr="00897182" w:rsidR="00801F8F" w:rsidTr="009E6925" w14:paraId="221CBCE7" w14:textId="77777777">
        <w:tc>
          <w:tcPr>
            <w:tcW w:w="9810" w:type="dxa"/>
            <w:gridSpan w:val="4"/>
            <w:tcBorders>
              <w:left w:val="nil"/>
              <w:bottom w:val="nil"/>
              <w:right w:val="nil"/>
            </w:tcBorders>
          </w:tcPr>
          <w:p w:rsidRPr="00897182" w:rsidR="00801F8F" w:rsidP="00801F8F" w:rsidRDefault="00801F8F" w14:paraId="22461421" w14:textId="77777777">
            <w:pPr>
              <w:keepNext/>
              <w:autoSpaceDE w:val="0"/>
              <w:autoSpaceDN w:val="0"/>
              <w:adjustRightInd w:val="0"/>
              <w:rPr>
                <w:rFonts w:ascii="Arial" w:hAnsi="Arial" w:cs="Arial"/>
                <w:color w:val="FF0000"/>
                <w:kern w:val="16"/>
                <w:sz w:val="16"/>
                <w:szCs w:val="16"/>
              </w:rPr>
            </w:pPr>
            <w:r w:rsidRPr="00897182">
              <w:rPr>
                <w:rFonts w:ascii="Arial" w:hAnsi="Arial" w:cs="Arial"/>
                <w:color w:val="FF0000"/>
                <w:kern w:val="16"/>
                <w:sz w:val="16"/>
                <w:szCs w:val="16"/>
              </w:rPr>
              <w:t xml:space="preserve">Note: Results exclude ineligible cases. Partial interviews are considered </w:t>
            </w:r>
            <w:proofErr w:type="spellStart"/>
            <w:r w:rsidRPr="00897182">
              <w:rPr>
                <w:rFonts w:ascii="Arial" w:hAnsi="Arial" w:cs="Arial"/>
                <w:color w:val="FF0000"/>
                <w:kern w:val="16"/>
                <w:sz w:val="16"/>
                <w:szCs w:val="16"/>
              </w:rPr>
              <w:t>nonrespondents</w:t>
            </w:r>
            <w:proofErr w:type="spellEnd"/>
            <w:r w:rsidRPr="00897182">
              <w:rPr>
                <w:rFonts w:ascii="Arial" w:hAnsi="Arial" w:cs="Arial"/>
                <w:color w:val="FF0000"/>
                <w:kern w:val="16"/>
                <w:sz w:val="16"/>
                <w:szCs w:val="16"/>
              </w:rPr>
              <w:t xml:space="preserve"> for analytic purposes.</w:t>
            </w:r>
          </w:p>
          <w:p w:rsidRPr="00897182" w:rsidR="00801F8F" w:rsidP="00801F8F" w:rsidRDefault="00801F8F" w14:paraId="757EF227" w14:textId="77777777">
            <w:pPr>
              <w:keepNext/>
              <w:tabs>
                <w:tab w:val="decimal" w:pos="609"/>
              </w:tabs>
              <w:autoSpaceDE w:val="0"/>
              <w:autoSpaceDN w:val="0"/>
              <w:adjustRightInd w:val="0"/>
              <w:rPr>
                <w:rFonts w:ascii="Arial" w:hAnsi="Arial" w:cs="Arial"/>
                <w:color w:val="FF0000"/>
                <w:kern w:val="16"/>
                <w:sz w:val="20"/>
                <w:szCs w:val="20"/>
              </w:rPr>
            </w:pPr>
            <w:r w:rsidRPr="00897182">
              <w:rPr>
                <w:rFonts w:ascii="Arial" w:hAnsi="Arial" w:cs="Arial"/>
                <w:color w:val="FF0000"/>
                <w:kern w:val="16"/>
                <w:sz w:val="16"/>
                <w:szCs w:val="16"/>
              </w:rPr>
              <w:t>Source: U.S. Department of Education, National Center for Education Statistics, 2019–20 National Postsecondary Student Aid Study (NPSAS:20)</w:t>
            </w:r>
          </w:p>
        </w:tc>
      </w:tr>
    </w:tbl>
    <w:p w:rsidRPr="00897182" w:rsidR="00801F8F" w:rsidP="00FD3695" w:rsidRDefault="00801F8F" w14:paraId="16D14F8D" w14:textId="76E5927C">
      <w:pPr>
        <w:rPr>
          <w:color w:val="FF0000"/>
        </w:rPr>
      </w:pPr>
    </w:p>
    <w:p w:rsidRPr="00897182" w:rsidR="001406DB" w:rsidP="00234A8E" w:rsidRDefault="00AD62AA" w14:paraId="31A872F1" w14:textId="2B559471">
      <w:pPr>
        <w:widowControl w:val="0"/>
        <w:rPr>
          <w:color w:val="FF0000"/>
        </w:rPr>
      </w:pPr>
      <w:r w:rsidRPr="00897182">
        <w:rPr>
          <w:b/>
          <w:bCs/>
          <w:color w:val="FF0000"/>
        </w:rPr>
        <w:t>Phase 1 and 2 Representativeness.</w:t>
      </w:r>
      <w:r w:rsidRPr="00897182">
        <w:rPr>
          <w:color w:val="FF0000"/>
        </w:rPr>
        <w:t xml:space="preserve"> </w:t>
      </w:r>
      <w:r w:rsidRPr="00897182" w:rsidR="00805905">
        <w:rPr>
          <w:color w:val="FF0000"/>
        </w:rPr>
        <w:t xml:space="preserve">In addition to monitoring response rates, we </w:t>
      </w:r>
      <w:r w:rsidRPr="00897182" w:rsidR="00BC0010">
        <w:rPr>
          <w:color w:val="FF0000"/>
        </w:rPr>
        <w:t xml:space="preserve">conducted nonresponse bias analyses to assess </w:t>
      </w:r>
      <w:r w:rsidRPr="00897182" w:rsidR="00873161">
        <w:rPr>
          <w:color w:val="FF0000"/>
        </w:rPr>
        <w:t xml:space="preserve">the </w:t>
      </w:r>
      <w:r w:rsidRPr="00897182" w:rsidR="00BC0010">
        <w:rPr>
          <w:color w:val="FF0000"/>
        </w:rPr>
        <w:t xml:space="preserve">representativeness </w:t>
      </w:r>
      <w:r w:rsidRPr="00897182" w:rsidR="00390DDA">
        <w:rPr>
          <w:color w:val="FF0000"/>
        </w:rPr>
        <w:t xml:space="preserve">of </w:t>
      </w:r>
      <w:r w:rsidRPr="00897182" w:rsidR="00873161">
        <w:rPr>
          <w:color w:val="FF0000"/>
        </w:rPr>
        <w:t xml:space="preserve">the responding sample for </w:t>
      </w:r>
      <w:r w:rsidRPr="00897182" w:rsidR="00390DDA">
        <w:rPr>
          <w:color w:val="FF0000"/>
        </w:rPr>
        <w:t xml:space="preserve">each </w:t>
      </w:r>
      <w:r w:rsidRPr="00897182" w:rsidR="00873161">
        <w:rPr>
          <w:color w:val="FF0000"/>
        </w:rPr>
        <w:t xml:space="preserve">data collection group </w:t>
      </w:r>
      <w:r w:rsidRPr="00897182" w:rsidR="00274D80">
        <w:rPr>
          <w:color w:val="FF0000"/>
        </w:rPr>
        <w:t>across</w:t>
      </w:r>
      <w:r w:rsidRPr="00897182" w:rsidR="00BC0010">
        <w:rPr>
          <w:color w:val="FF0000"/>
        </w:rPr>
        <w:t xml:space="preserve"> key demographic characteristics such as age, gender, </w:t>
      </w:r>
      <w:proofErr w:type="gramStart"/>
      <w:r w:rsidRPr="00897182" w:rsidR="00BC0010">
        <w:rPr>
          <w:color w:val="FF0000"/>
        </w:rPr>
        <w:t>race</w:t>
      </w:r>
      <w:proofErr w:type="gramEnd"/>
      <w:r w:rsidRPr="00897182" w:rsidR="00BC0010">
        <w:rPr>
          <w:color w:val="FF0000"/>
        </w:rPr>
        <w:t xml:space="preserve"> and ethnicity. </w:t>
      </w:r>
      <w:r w:rsidRPr="00897182" w:rsidR="003E16EE">
        <w:rPr>
          <w:color w:val="FF0000"/>
        </w:rPr>
        <w:t xml:space="preserve">Table </w:t>
      </w:r>
      <w:r w:rsidRPr="00897182" w:rsidR="005E3F30">
        <w:rPr>
          <w:color w:val="FF0000"/>
        </w:rPr>
        <w:t>13</w:t>
      </w:r>
      <w:r w:rsidRPr="00897182" w:rsidR="003E16EE">
        <w:rPr>
          <w:color w:val="FF0000"/>
        </w:rPr>
        <w:t xml:space="preserve"> </w:t>
      </w:r>
      <w:r w:rsidRPr="00897182" w:rsidR="00F50D59">
        <w:rPr>
          <w:color w:val="FF0000"/>
        </w:rPr>
        <w:t xml:space="preserve">displays </w:t>
      </w:r>
      <w:r w:rsidRPr="00897182" w:rsidR="00CF7A2D">
        <w:rPr>
          <w:color w:val="FF0000"/>
        </w:rPr>
        <w:t xml:space="preserve">summary measures for </w:t>
      </w:r>
      <w:r w:rsidRPr="00897182" w:rsidR="00653859">
        <w:rPr>
          <w:color w:val="FF0000"/>
        </w:rPr>
        <w:t xml:space="preserve">the </w:t>
      </w:r>
      <w:r w:rsidRPr="00897182" w:rsidR="00F50D59">
        <w:rPr>
          <w:color w:val="FF0000"/>
        </w:rPr>
        <w:t xml:space="preserve">demographic distributions </w:t>
      </w:r>
      <w:r w:rsidRPr="00897182" w:rsidR="00274D80">
        <w:rPr>
          <w:color w:val="FF0000"/>
        </w:rPr>
        <w:t xml:space="preserve">by group </w:t>
      </w:r>
      <w:r w:rsidRPr="00897182" w:rsidR="00F50D59">
        <w:rPr>
          <w:color w:val="FF0000"/>
        </w:rPr>
        <w:t xml:space="preserve">for the responding sample in </w:t>
      </w:r>
      <w:r w:rsidRPr="00897182" w:rsidR="006E6FCB">
        <w:rPr>
          <w:color w:val="FF0000"/>
        </w:rPr>
        <w:t>Phase 1</w:t>
      </w:r>
      <w:r w:rsidRPr="00897182" w:rsidR="00CF7A2D">
        <w:rPr>
          <w:color w:val="FF0000"/>
        </w:rPr>
        <w:t xml:space="preserve"> and</w:t>
      </w:r>
      <w:r w:rsidRPr="00897182" w:rsidR="00653859">
        <w:rPr>
          <w:color w:val="FF0000"/>
        </w:rPr>
        <w:t xml:space="preserve"> </w:t>
      </w:r>
      <w:r w:rsidRPr="00897182" w:rsidR="006E6FCB">
        <w:rPr>
          <w:color w:val="FF0000"/>
        </w:rPr>
        <w:t>Phase 1</w:t>
      </w:r>
      <w:r w:rsidRPr="00897182" w:rsidR="00F50D59">
        <w:rPr>
          <w:color w:val="FF0000"/>
        </w:rPr>
        <w:t xml:space="preserve"> and Phase 2 combined</w:t>
      </w:r>
      <w:r w:rsidRPr="00897182" w:rsidR="00653859">
        <w:rPr>
          <w:color w:val="FF0000"/>
        </w:rPr>
        <w:t xml:space="preserve">, </w:t>
      </w:r>
      <w:r w:rsidRPr="00897182" w:rsidR="00CF7A2D">
        <w:rPr>
          <w:color w:val="FF0000"/>
        </w:rPr>
        <w:t>as well as</w:t>
      </w:r>
      <w:r w:rsidRPr="00897182" w:rsidR="00653859">
        <w:rPr>
          <w:color w:val="FF0000"/>
        </w:rPr>
        <w:t xml:space="preserve"> </w:t>
      </w:r>
      <w:r w:rsidRPr="00897182" w:rsidR="00354E0D">
        <w:rPr>
          <w:color w:val="FF0000"/>
        </w:rPr>
        <w:t>the overall sample</w:t>
      </w:r>
      <w:r w:rsidRPr="00897182" w:rsidR="001406DB">
        <w:rPr>
          <w:color w:val="FF0000"/>
        </w:rPr>
        <w:t xml:space="preserve"> including nonresponding cases</w:t>
      </w:r>
      <w:r w:rsidRPr="00897182" w:rsidR="00354E0D">
        <w:rPr>
          <w:color w:val="FF0000"/>
        </w:rPr>
        <w:t xml:space="preserve">. </w:t>
      </w:r>
      <w:r w:rsidRPr="00897182" w:rsidR="001406DB">
        <w:rPr>
          <w:color w:val="FF0000"/>
        </w:rPr>
        <w:t xml:space="preserve">Comparing the responding sample </w:t>
      </w:r>
      <w:r w:rsidRPr="00897182" w:rsidR="00ED7912">
        <w:rPr>
          <w:color w:val="FF0000"/>
        </w:rPr>
        <w:t xml:space="preserve">composition </w:t>
      </w:r>
      <w:r w:rsidRPr="00897182" w:rsidR="001406DB">
        <w:rPr>
          <w:color w:val="FF0000"/>
        </w:rPr>
        <w:t xml:space="preserve">across the different </w:t>
      </w:r>
      <w:r w:rsidRPr="00897182" w:rsidR="00EF626C">
        <w:rPr>
          <w:color w:val="FF0000"/>
        </w:rPr>
        <w:t>phases</w:t>
      </w:r>
      <w:r w:rsidRPr="00897182" w:rsidR="001406DB">
        <w:rPr>
          <w:color w:val="FF0000"/>
        </w:rPr>
        <w:t xml:space="preserve"> with the overall sample</w:t>
      </w:r>
      <w:r w:rsidRPr="00897182" w:rsidR="00ED7912">
        <w:rPr>
          <w:color w:val="FF0000"/>
        </w:rPr>
        <w:t xml:space="preserve"> composition</w:t>
      </w:r>
      <w:r w:rsidRPr="00897182" w:rsidR="001406DB">
        <w:rPr>
          <w:color w:val="FF0000"/>
        </w:rPr>
        <w:t xml:space="preserve"> shows the magnitude of nonresponse bias. </w:t>
      </w:r>
      <w:r w:rsidRPr="00897182" w:rsidR="00943C34">
        <w:rPr>
          <w:color w:val="FF0000"/>
        </w:rPr>
        <w:t>For example, the overall eligible sample in Group 1 consists of 56.3 percent females. After Phase 1/Phase 1 and 2 the responding sample overrepresents females by 5.2/4.8 percentage points with a total of 61.5 percent/61.1 percent females.</w:t>
      </w:r>
    </w:p>
    <w:p w:rsidRPr="00897182" w:rsidR="001406DB" w:rsidP="00234A8E" w:rsidRDefault="001406DB" w14:paraId="257FC795" w14:textId="77777777">
      <w:pPr>
        <w:widowControl w:val="0"/>
        <w:rPr>
          <w:color w:val="FF0000"/>
        </w:rPr>
      </w:pPr>
    </w:p>
    <w:p w:rsidRPr="00897182" w:rsidR="00BC44AE" w:rsidP="00234A8E" w:rsidRDefault="00354E0D" w14:paraId="51589FA9" w14:textId="622EFBEF">
      <w:pPr>
        <w:widowControl w:val="0"/>
        <w:rPr>
          <w:color w:val="FF0000"/>
        </w:rPr>
      </w:pPr>
      <w:r w:rsidRPr="00897182">
        <w:rPr>
          <w:color w:val="FF0000"/>
        </w:rPr>
        <w:t>The table</w:t>
      </w:r>
      <w:r w:rsidRPr="00897182" w:rsidR="00653859">
        <w:rPr>
          <w:color w:val="FF0000"/>
        </w:rPr>
        <w:t xml:space="preserve"> </w:t>
      </w:r>
      <w:r w:rsidRPr="00897182" w:rsidR="00D51BE1">
        <w:rPr>
          <w:color w:val="FF0000"/>
        </w:rPr>
        <w:t xml:space="preserve">shows that </w:t>
      </w:r>
      <w:r w:rsidRPr="00897182" w:rsidR="003D0133">
        <w:rPr>
          <w:color w:val="FF0000"/>
        </w:rPr>
        <w:t xml:space="preserve">the </w:t>
      </w:r>
      <w:r w:rsidRPr="00897182" w:rsidR="009343B7">
        <w:rPr>
          <w:color w:val="FF0000"/>
        </w:rPr>
        <w:t xml:space="preserve">three </w:t>
      </w:r>
      <w:r w:rsidRPr="00897182" w:rsidR="003D0133">
        <w:rPr>
          <w:color w:val="FF0000"/>
        </w:rPr>
        <w:t xml:space="preserve">data collection protocols </w:t>
      </w:r>
      <w:r w:rsidRPr="00897182" w:rsidR="009343B7">
        <w:rPr>
          <w:color w:val="FF0000"/>
        </w:rPr>
        <w:t>do</w:t>
      </w:r>
      <w:r w:rsidRPr="00897182" w:rsidR="005E6B1D">
        <w:rPr>
          <w:color w:val="FF0000"/>
        </w:rPr>
        <w:t xml:space="preserve"> not</w:t>
      </w:r>
      <w:r w:rsidRPr="00897182" w:rsidR="009343B7">
        <w:rPr>
          <w:color w:val="FF0000"/>
        </w:rPr>
        <w:t xml:space="preserve"> </w:t>
      </w:r>
      <w:r w:rsidRPr="00897182" w:rsidR="0017170B">
        <w:rPr>
          <w:color w:val="FF0000"/>
        </w:rPr>
        <w:t>yield</w:t>
      </w:r>
      <w:r w:rsidRPr="00897182" w:rsidR="009343B7">
        <w:rPr>
          <w:color w:val="FF0000"/>
        </w:rPr>
        <w:t xml:space="preserve"> samples with </w:t>
      </w:r>
      <w:r w:rsidRPr="00897182" w:rsidR="00A56517">
        <w:rPr>
          <w:color w:val="FF0000"/>
        </w:rPr>
        <w:t xml:space="preserve">a </w:t>
      </w:r>
      <w:r w:rsidRPr="00897182" w:rsidR="0017170B">
        <w:rPr>
          <w:color w:val="FF0000"/>
        </w:rPr>
        <w:t>different</w:t>
      </w:r>
      <w:r w:rsidRPr="00897182" w:rsidR="00D51BE1">
        <w:rPr>
          <w:color w:val="FF0000"/>
        </w:rPr>
        <w:t xml:space="preserve"> demographic </w:t>
      </w:r>
      <w:r w:rsidRPr="00897182" w:rsidR="00223062">
        <w:rPr>
          <w:color w:val="FF0000"/>
        </w:rPr>
        <w:t xml:space="preserve">composition </w:t>
      </w:r>
      <w:r w:rsidRPr="00897182" w:rsidR="003C0491">
        <w:rPr>
          <w:color w:val="FF0000"/>
        </w:rPr>
        <w:t>and</w:t>
      </w:r>
      <w:r w:rsidRPr="00897182" w:rsidR="00413D2E">
        <w:rPr>
          <w:color w:val="FF0000"/>
        </w:rPr>
        <w:t xml:space="preserve"> suggest</w:t>
      </w:r>
      <w:r w:rsidRPr="00897182" w:rsidR="006E7D71">
        <w:rPr>
          <w:color w:val="FF0000"/>
        </w:rPr>
        <w:t>s</w:t>
      </w:r>
      <w:r w:rsidRPr="00897182" w:rsidR="00413D2E">
        <w:rPr>
          <w:color w:val="FF0000"/>
        </w:rPr>
        <w:t xml:space="preserve"> no differential nonresponse </w:t>
      </w:r>
      <w:r w:rsidRPr="00897182" w:rsidR="00223062">
        <w:rPr>
          <w:color w:val="FF0000"/>
        </w:rPr>
        <w:t xml:space="preserve">bias </w:t>
      </w:r>
      <w:r w:rsidRPr="00897182" w:rsidR="00413D2E">
        <w:rPr>
          <w:color w:val="FF0000"/>
        </w:rPr>
        <w:t xml:space="preserve">across the three </w:t>
      </w:r>
      <w:r w:rsidRPr="00897182" w:rsidR="00CC4E6E">
        <w:rPr>
          <w:color w:val="FF0000"/>
        </w:rPr>
        <w:t xml:space="preserve">experimental </w:t>
      </w:r>
      <w:r w:rsidRPr="00897182" w:rsidR="00413D2E">
        <w:rPr>
          <w:color w:val="FF0000"/>
        </w:rPr>
        <w:t xml:space="preserve">groups. </w:t>
      </w:r>
      <w:r w:rsidRPr="00897182" w:rsidR="008F4140">
        <w:rPr>
          <w:color w:val="FF0000"/>
        </w:rPr>
        <w:t xml:space="preserve">A formal </w:t>
      </w:r>
      <w:r w:rsidRPr="00897182" w:rsidR="00DA4BF2">
        <w:rPr>
          <w:color w:val="FF0000"/>
        </w:rPr>
        <w:t>two-sided z-</w:t>
      </w:r>
      <w:r w:rsidRPr="00897182" w:rsidR="00BC44AE">
        <w:rPr>
          <w:color w:val="FF0000"/>
        </w:rPr>
        <w:t>test shows that we fail to reject the null hypothesis of no difference in all instances</w:t>
      </w:r>
      <w:r w:rsidRPr="00897182" w:rsidR="008D48A5">
        <w:rPr>
          <w:color w:val="FF0000"/>
        </w:rPr>
        <w:t xml:space="preserve"> across al</w:t>
      </w:r>
      <w:r w:rsidRPr="00897182" w:rsidR="0069705A">
        <w:rPr>
          <w:color w:val="FF0000"/>
        </w:rPr>
        <w:t>l phase</w:t>
      </w:r>
      <w:r w:rsidRPr="00897182" w:rsidR="00413D2E">
        <w:rPr>
          <w:color w:val="FF0000"/>
        </w:rPr>
        <w:t>s</w:t>
      </w:r>
      <w:r w:rsidRPr="00897182" w:rsidR="00943C34">
        <w:rPr>
          <w:color w:val="FF0000"/>
        </w:rPr>
        <w:t xml:space="preserve"> </w:t>
      </w:r>
      <w:r w:rsidRPr="00897182" w:rsidR="00047E99">
        <w:rPr>
          <w:color w:val="FF0000"/>
        </w:rPr>
        <w:t xml:space="preserve">so far </w:t>
      </w:r>
      <w:r w:rsidRPr="00897182" w:rsidR="00943C34">
        <w:rPr>
          <w:color w:val="FF0000"/>
        </w:rPr>
        <w:t xml:space="preserve">with the exception of female </w:t>
      </w:r>
      <w:r w:rsidRPr="00897182" w:rsidR="00DF7BB2">
        <w:rPr>
          <w:color w:val="FF0000"/>
        </w:rPr>
        <w:t xml:space="preserve">in Group 2 </w:t>
      </w:r>
      <w:r w:rsidRPr="00897182" w:rsidR="00943C34">
        <w:rPr>
          <w:color w:val="FF0000"/>
        </w:rPr>
        <w:t>in Phase 1 and 2 combined (</w:t>
      </w:r>
      <w:r w:rsidRPr="00897182" w:rsidR="00943C34">
        <w:rPr>
          <w:i/>
          <w:iCs/>
          <w:color w:val="FF0000"/>
        </w:rPr>
        <w:t>z</w:t>
      </w:r>
      <w:r w:rsidRPr="00897182" w:rsidR="00943C34">
        <w:rPr>
          <w:color w:val="FF0000"/>
        </w:rPr>
        <w:t xml:space="preserve"> = -2.12, </w:t>
      </w:r>
      <w:r w:rsidRPr="00897182" w:rsidR="00943C34">
        <w:rPr>
          <w:i/>
          <w:iCs/>
          <w:color w:val="FF0000"/>
        </w:rPr>
        <w:t>p</w:t>
      </w:r>
      <w:r w:rsidRPr="00897182" w:rsidR="00943C34">
        <w:rPr>
          <w:color w:val="FF0000"/>
        </w:rPr>
        <w:t xml:space="preserve"> &lt; 0.05)</w:t>
      </w:r>
      <w:r w:rsidRPr="00897182" w:rsidR="00BC44AE">
        <w:rPr>
          <w:color w:val="FF0000"/>
        </w:rPr>
        <w:t>.</w:t>
      </w:r>
      <w:r w:rsidRPr="00897182" w:rsidR="007E2B0A">
        <w:rPr>
          <w:color w:val="FF0000"/>
        </w:rPr>
        <w:t xml:space="preserve"> </w:t>
      </w:r>
    </w:p>
    <w:p w:rsidRPr="00897182" w:rsidR="007071BD" w:rsidP="00234A8E" w:rsidRDefault="007071BD" w14:paraId="3F83DE3C" w14:textId="40F1788B">
      <w:pPr>
        <w:widowControl w:val="0"/>
        <w:rPr>
          <w:color w:val="FF0000"/>
        </w:rPr>
      </w:pPr>
    </w:p>
    <w:tbl>
      <w:tblPr>
        <w:tblStyle w:val="TableGridLight1"/>
        <w:tblW w:w="9810" w:type="dxa"/>
        <w:tblLayout w:type="fixed"/>
        <w:tblCellMar>
          <w:left w:w="72" w:type="dxa"/>
          <w:right w:w="72" w:type="dxa"/>
        </w:tblCellMar>
        <w:tblLook w:val="04A0" w:firstRow="1" w:lastRow="0" w:firstColumn="1" w:lastColumn="0" w:noHBand="0" w:noVBand="1"/>
      </w:tblPr>
      <w:tblGrid>
        <w:gridCol w:w="2965"/>
        <w:gridCol w:w="2281"/>
        <w:gridCol w:w="2282"/>
        <w:gridCol w:w="2282"/>
      </w:tblGrid>
      <w:tr w:rsidRPr="00897182" w:rsidR="00897182" w:rsidTr="009E6925" w14:paraId="61D13344" w14:textId="77777777">
        <w:tc>
          <w:tcPr>
            <w:tcW w:w="9810" w:type="dxa"/>
            <w:gridSpan w:val="4"/>
            <w:tcBorders>
              <w:top w:val="nil"/>
              <w:left w:val="nil"/>
              <w:bottom w:val="single" w:color="auto" w:sz="12" w:space="0"/>
              <w:right w:val="nil"/>
            </w:tcBorders>
          </w:tcPr>
          <w:p w:rsidRPr="00897182" w:rsidR="007071BD" w:rsidP="007071BD" w:rsidRDefault="007071BD" w14:paraId="5A2F40AE" w14:textId="77777777">
            <w:pPr>
              <w:keepNext/>
              <w:autoSpaceDE w:val="0"/>
              <w:autoSpaceDN w:val="0"/>
              <w:adjustRightInd w:val="0"/>
              <w:rPr>
                <w:rFonts w:ascii="Arial" w:hAnsi="Arial" w:cs="Arial"/>
                <w:b/>
                <w:color w:val="FF0000"/>
                <w:kern w:val="16"/>
                <w:sz w:val="20"/>
                <w:szCs w:val="20"/>
              </w:rPr>
            </w:pPr>
            <w:r w:rsidRPr="00897182">
              <w:rPr>
                <w:rFonts w:ascii="Arial" w:hAnsi="Arial" w:cs="Arial"/>
                <w:b/>
                <w:color w:val="FF0000"/>
                <w:kern w:val="16"/>
                <w:sz w:val="20"/>
                <w:szCs w:val="20"/>
              </w:rPr>
              <w:lastRenderedPageBreak/>
              <w:t xml:space="preserve">Table </w:t>
            </w:r>
            <w:r w:rsidRPr="00897182">
              <w:rPr>
                <w:rFonts w:ascii="Arial" w:hAnsi="Arial" w:cs="Arial"/>
                <w:b/>
                <w:bCs/>
                <w:color w:val="FF0000"/>
                <w:kern w:val="16"/>
                <w:sz w:val="20"/>
                <w:szCs w:val="20"/>
              </w:rPr>
              <w:t>13</w:t>
            </w:r>
            <w:r w:rsidRPr="00897182">
              <w:rPr>
                <w:rFonts w:ascii="Arial" w:hAnsi="Arial" w:cs="Arial"/>
                <w:b/>
                <w:color w:val="FF0000"/>
                <w:kern w:val="16"/>
                <w:sz w:val="20"/>
                <w:szCs w:val="20"/>
              </w:rPr>
              <w:t>: Cumulative sample composition per phase by experimental condition</w:t>
            </w:r>
          </w:p>
        </w:tc>
      </w:tr>
      <w:tr w:rsidRPr="00897182" w:rsidR="00897182" w:rsidTr="00300F55" w14:paraId="2BF13A28" w14:textId="77777777">
        <w:trPr>
          <w:trHeight w:val="555"/>
        </w:trPr>
        <w:tc>
          <w:tcPr>
            <w:tcW w:w="2965" w:type="dxa"/>
            <w:tcBorders>
              <w:top w:val="single" w:color="auto" w:sz="12" w:space="0"/>
              <w:left w:val="nil"/>
              <w:bottom w:val="single" w:color="BFBFBF" w:sz="4" w:space="0"/>
              <w:right w:val="nil"/>
            </w:tcBorders>
          </w:tcPr>
          <w:p w:rsidRPr="00897182" w:rsidR="007071BD" w:rsidP="007071BD" w:rsidRDefault="007071BD" w14:paraId="31A8B2A9" w14:textId="77777777">
            <w:pPr>
              <w:keepNext/>
              <w:autoSpaceDE w:val="0"/>
              <w:autoSpaceDN w:val="0"/>
              <w:adjustRightInd w:val="0"/>
              <w:rPr>
                <w:rFonts w:ascii="Arial" w:hAnsi="Arial" w:cs="Arial"/>
                <w:b/>
                <w:color w:val="FF0000"/>
                <w:kern w:val="16"/>
                <w:sz w:val="20"/>
                <w:szCs w:val="20"/>
              </w:rPr>
            </w:pPr>
          </w:p>
          <w:p w:rsidRPr="00897182" w:rsidR="007071BD" w:rsidP="007071BD" w:rsidRDefault="007071BD" w14:paraId="2FDADA02" w14:textId="77777777">
            <w:pPr>
              <w:keepNext/>
              <w:autoSpaceDE w:val="0"/>
              <w:autoSpaceDN w:val="0"/>
              <w:adjustRightInd w:val="0"/>
              <w:rPr>
                <w:rFonts w:ascii="Arial" w:hAnsi="Arial" w:cs="Arial"/>
                <w:b/>
                <w:color w:val="FF0000"/>
                <w:kern w:val="16"/>
                <w:sz w:val="20"/>
                <w:szCs w:val="20"/>
              </w:rPr>
            </w:pPr>
          </w:p>
          <w:p w:rsidRPr="00897182" w:rsidR="007071BD" w:rsidP="007071BD" w:rsidRDefault="007071BD" w14:paraId="2B8024F0" w14:textId="4465DD8E">
            <w:pPr>
              <w:keepNext/>
              <w:autoSpaceDE w:val="0"/>
              <w:autoSpaceDN w:val="0"/>
              <w:adjustRightInd w:val="0"/>
              <w:rPr>
                <w:rFonts w:ascii="Arial" w:hAnsi="Arial" w:cs="Arial"/>
                <w:b/>
                <w:color w:val="FF0000"/>
                <w:kern w:val="16"/>
                <w:sz w:val="18"/>
                <w:szCs w:val="18"/>
              </w:rPr>
            </w:pPr>
            <w:r w:rsidRPr="00897182">
              <w:rPr>
                <w:rFonts w:ascii="Arial" w:hAnsi="Arial" w:cs="Arial"/>
                <w:b/>
                <w:color w:val="FF0000"/>
                <w:kern w:val="16"/>
                <w:sz w:val="18"/>
                <w:szCs w:val="18"/>
              </w:rPr>
              <w:t>Phase of NPSAS:20 Calibration</w:t>
            </w:r>
          </w:p>
        </w:tc>
        <w:tc>
          <w:tcPr>
            <w:tcW w:w="2281" w:type="dxa"/>
            <w:tcBorders>
              <w:top w:val="single" w:color="auto" w:sz="12" w:space="0"/>
              <w:left w:val="nil"/>
              <w:bottom w:val="single" w:color="BFBFBF" w:sz="4" w:space="0"/>
              <w:right w:val="nil"/>
            </w:tcBorders>
            <w:vAlign w:val="bottom"/>
          </w:tcPr>
          <w:p w:rsidRPr="00897182" w:rsidR="007071BD" w:rsidP="007071BD" w:rsidRDefault="007071BD" w14:paraId="6E15E76C" w14:textId="77777777">
            <w:pPr>
              <w:keepNext/>
              <w:jc w:val="center"/>
              <w:rPr>
                <w:rFonts w:ascii="Arial" w:hAnsi="Arial" w:cs="Arial"/>
                <w:b/>
                <w:color w:val="FF0000"/>
                <w:kern w:val="16"/>
                <w:sz w:val="16"/>
                <w:szCs w:val="16"/>
              </w:rPr>
            </w:pPr>
            <w:r w:rsidRPr="00897182">
              <w:rPr>
                <w:rFonts w:ascii="Arial" w:hAnsi="Arial" w:cs="Arial"/>
                <w:b/>
                <w:color w:val="FF0000"/>
                <w:kern w:val="16"/>
                <w:sz w:val="16"/>
                <w:szCs w:val="16"/>
              </w:rPr>
              <w:t>Group 1</w:t>
            </w:r>
          </w:p>
          <w:p w:rsidRPr="00897182" w:rsidR="007071BD" w:rsidP="007071BD" w:rsidRDefault="007071BD" w14:paraId="595C0B13" w14:textId="77777777">
            <w:pPr>
              <w:keepNext/>
              <w:jc w:val="center"/>
              <w:rPr>
                <w:rFonts w:ascii="Arial" w:hAnsi="Arial" w:cs="Arial"/>
                <w:bCs/>
                <w:color w:val="FF0000"/>
                <w:kern w:val="16"/>
                <w:sz w:val="16"/>
                <w:szCs w:val="16"/>
              </w:rPr>
            </w:pPr>
            <w:r w:rsidRPr="00897182">
              <w:rPr>
                <w:rFonts w:ascii="Arial" w:hAnsi="Arial" w:cs="Arial"/>
                <w:bCs/>
                <w:color w:val="FF0000"/>
                <w:kern w:val="16"/>
                <w:sz w:val="16"/>
                <w:szCs w:val="16"/>
              </w:rPr>
              <w:t>$2 prepaid + $30 promised</w:t>
            </w:r>
          </w:p>
          <w:p w:rsidRPr="00897182" w:rsidR="007071BD" w:rsidP="007071BD" w:rsidRDefault="007071BD" w14:paraId="3B21C706" w14:textId="77777777">
            <w:pPr>
              <w:keepNext/>
              <w:jc w:val="center"/>
              <w:rPr>
                <w:rFonts w:ascii="Arial" w:hAnsi="Arial" w:cs="Arial"/>
                <w:bCs/>
                <w:color w:val="FF0000"/>
                <w:kern w:val="16"/>
                <w:sz w:val="16"/>
                <w:szCs w:val="16"/>
              </w:rPr>
            </w:pPr>
            <w:r w:rsidRPr="00897182">
              <w:rPr>
                <w:rFonts w:ascii="Arial" w:hAnsi="Arial" w:cs="Arial"/>
                <w:bCs/>
                <w:color w:val="FF0000"/>
                <w:kern w:val="16"/>
                <w:sz w:val="16"/>
                <w:szCs w:val="16"/>
              </w:rPr>
              <w:t>$10 prepaid + $20 promised</w:t>
            </w:r>
          </w:p>
        </w:tc>
        <w:tc>
          <w:tcPr>
            <w:tcW w:w="2282" w:type="dxa"/>
            <w:tcBorders>
              <w:top w:val="single" w:color="auto" w:sz="12" w:space="0"/>
              <w:left w:val="nil"/>
              <w:bottom w:val="single" w:color="BFBFBF" w:sz="4" w:space="0"/>
              <w:right w:val="nil"/>
            </w:tcBorders>
            <w:vAlign w:val="bottom"/>
          </w:tcPr>
          <w:p w:rsidRPr="00897182" w:rsidR="007071BD" w:rsidP="007071BD" w:rsidRDefault="007071BD" w14:paraId="19DCF2F8" w14:textId="77777777">
            <w:pPr>
              <w:keepNext/>
              <w:jc w:val="center"/>
              <w:rPr>
                <w:rFonts w:ascii="Arial" w:hAnsi="Arial" w:cs="Arial"/>
                <w:b/>
                <w:color w:val="FF0000"/>
                <w:kern w:val="16"/>
                <w:sz w:val="16"/>
                <w:szCs w:val="16"/>
              </w:rPr>
            </w:pPr>
            <w:r w:rsidRPr="00897182">
              <w:rPr>
                <w:rFonts w:ascii="Arial" w:hAnsi="Arial" w:cs="Arial"/>
                <w:b/>
                <w:color w:val="FF0000"/>
                <w:kern w:val="16"/>
                <w:sz w:val="16"/>
                <w:szCs w:val="16"/>
              </w:rPr>
              <w:t>Group 2</w:t>
            </w:r>
          </w:p>
          <w:p w:rsidRPr="00897182" w:rsidR="007071BD" w:rsidP="007071BD" w:rsidRDefault="007071BD" w14:paraId="4C61DA00" w14:textId="77777777">
            <w:pPr>
              <w:keepNext/>
              <w:jc w:val="center"/>
              <w:rPr>
                <w:rFonts w:ascii="Arial" w:hAnsi="Arial" w:cs="Arial"/>
                <w:bCs/>
                <w:color w:val="FF0000"/>
                <w:kern w:val="16"/>
                <w:sz w:val="16"/>
                <w:szCs w:val="16"/>
              </w:rPr>
            </w:pPr>
            <w:r w:rsidRPr="00897182">
              <w:rPr>
                <w:rFonts w:ascii="Arial" w:hAnsi="Arial" w:cs="Arial"/>
                <w:bCs/>
                <w:color w:val="FF0000"/>
                <w:kern w:val="16"/>
                <w:sz w:val="16"/>
                <w:szCs w:val="16"/>
              </w:rPr>
              <w:t>$2 prepaid + $15 promised</w:t>
            </w:r>
          </w:p>
          <w:p w:rsidRPr="00897182" w:rsidR="007071BD" w:rsidP="007071BD" w:rsidRDefault="007071BD" w14:paraId="60F51DE5" w14:textId="77777777">
            <w:pPr>
              <w:keepNext/>
              <w:jc w:val="center"/>
              <w:rPr>
                <w:rFonts w:ascii="Arial" w:hAnsi="Arial" w:cs="Arial"/>
                <w:bCs/>
                <w:color w:val="FF0000"/>
                <w:kern w:val="16"/>
                <w:sz w:val="16"/>
                <w:szCs w:val="16"/>
              </w:rPr>
            </w:pPr>
            <w:r w:rsidRPr="00897182">
              <w:rPr>
                <w:rFonts w:ascii="Arial" w:hAnsi="Arial" w:cs="Arial"/>
                <w:bCs/>
                <w:color w:val="FF0000"/>
                <w:kern w:val="16"/>
                <w:sz w:val="16"/>
                <w:szCs w:val="16"/>
              </w:rPr>
              <w:t>$30 promised</w:t>
            </w:r>
          </w:p>
        </w:tc>
        <w:tc>
          <w:tcPr>
            <w:tcW w:w="2282" w:type="dxa"/>
            <w:tcBorders>
              <w:top w:val="single" w:color="auto" w:sz="12" w:space="0"/>
              <w:left w:val="nil"/>
              <w:bottom w:val="single" w:color="BFBFBF" w:sz="4" w:space="0"/>
              <w:right w:val="nil"/>
            </w:tcBorders>
            <w:vAlign w:val="bottom"/>
          </w:tcPr>
          <w:p w:rsidRPr="00897182" w:rsidR="007071BD" w:rsidP="007071BD" w:rsidRDefault="007071BD" w14:paraId="3688C99C" w14:textId="77777777">
            <w:pPr>
              <w:keepNext/>
              <w:autoSpaceDE w:val="0"/>
              <w:autoSpaceDN w:val="0"/>
              <w:adjustRightInd w:val="0"/>
              <w:jc w:val="center"/>
              <w:rPr>
                <w:rFonts w:ascii="Arial" w:hAnsi="Arial" w:cs="Arial"/>
                <w:b/>
                <w:color w:val="FF0000"/>
                <w:kern w:val="16"/>
                <w:sz w:val="16"/>
                <w:szCs w:val="16"/>
              </w:rPr>
            </w:pPr>
            <w:r w:rsidRPr="00897182">
              <w:rPr>
                <w:rFonts w:ascii="Arial" w:hAnsi="Arial" w:cs="Arial"/>
                <w:b/>
                <w:color w:val="FF0000"/>
                <w:kern w:val="16"/>
                <w:sz w:val="16"/>
                <w:szCs w:val="16"/>
              </w:rPr>
              <w:t>Group 3 (Control)</w:t>
            </w:r>
          </w:p>
          <w:p w:rsidRPr="00897182" w:rsidR="007071BD" w:rsidP="007071BD" w:rsidRDefault="007071BD" w14:paraId="38AB4355" w14:textId="77777777">
            <w:pPr>
              <w:keepNext/>
              <w:jc w:val="center"/>
              <w:rPr>
                <w:rFonts w:ascii="Arial" w:hAnsi="Arial" w:cs="Arial"/>
                <w:bCs/>
                <w:color w:val="FF0000"/>
                <w:kern w:val="16"/>
                <w:sz w:val="16"/>
                <w:szCs w:val="16"/>
              </w:rPr>
            </w:pPr>
            <w:r w:rsidRPr="00897182">
              <w:rPr>
                <w:rFonts w:ascii="Arial" w:hAnsi="Arial" w:cs="Arial"/>
                <w:bCs/>
                <w:color w:val="FF0000"/>
                <w:kern w:val="16"/>
                <w:sz w:val="16"/>
                <w:szCs w:val="16"/>
              </w:rPr>
              <w:t>$30 promised</w:t>
            </w:r>
          </w:p>
          <w:p w:rsidRPr="00897182" w:rsidR="007071BD" w:rsidP="007071BD" w:rsidRDefault="007071BD" w14:paraId="1D42EFAB" w14:textId="77777777">
            <w:pPr>
              <w:keepNext/>
              <w:jc w:val="center"/>
              <w:rPr>
                <w:rFonts w:ascii="Arial" w:hAnsi="Arial" w:cs="Arial"/>
                <w:bCs/>
                <w:color w:val="FF0000"/>
                <w:kern w:val="16"/>
                <w:sz w:val="16"/>
                <w:szCs w:val="16"/>
              </w:rPr>
            </w:pPr>
            <w:r w:rsidRPr="00897182">
              <w:rPr>
                <w:rFonts w:ascii="Arial" w:hAnsi="Arial" w:cs="Arial"/>
                <w:bCs/>
                <w:color w:val="FF0000"/>
                <w:kern w:val="16"/>
                <w:sz w:val="16"/>
                <w:szCs w:val="16"/>
              </w:rPr>
              <w:t>$30 promised</w:t>
            </w:r>
          </w:p>
        </w:tc>
      </w:tr>
      <w:tr w:rsidRPr="00897182" w:rsidR="00897182" w:rsidTr="009E6925" w14:paraId="169BC578" w14:textId="77777777">
        <w:tc>
          <w:tcPr>
            <w:tcW w:w="9810" w:type="dxa"/>
            <w:gridSpan w:val="4"/>
            <w:tcBorders>
              <w:left w:val="nil"/>
              <w:bottom w:val="nil"/>
              <w:right w:val="nil"/>
            </w:tcBorders>
          </w:tcPr>
          <w:p w:rsidRPr="00897182" w:rsidR="007071BD" w:rsidP="007071BD" w:rsidRDefault="007071BD" w14:paraId="6050CB80" w14:textId="77777777">
            <w:pPr>
              <w:keepNext/>
              <w:autoSpaceDE w:val="0"/>
              <w:autoSpaceDN w:val="0"/>
              <w:adjustRightInd w:val="0"/>
              <w:rPr>
                <w:rFonts w:ascii="Arial" w:hAnsi="Arial" w:cs="Arial"/>
                <w:color w:val="FF0000"/>
                <w:kern w:val="16"/>
                <w:sz w:val="18"/>
                <w:szCs w:val="18"/>
              </w:rPr>
            </w:pPr>
            <w:r w:rsidRPr="00897182">
              <w:rPr>
                <w:rFonts w:ascii="Arial" w:hAnsi="Arial" w:cs="Arial"/>
                <w:b/>
                <w:bCs/>
                <w:color w:val="FF0000"/>
                <w:kern w:val="16"/>
                <w:sz w:val="18"/>
                <w:szCs w:val="18"/>
              </w:rPr>
              <w:t>Age</w:t>
            </w:r>
            <w:r w:rsidRPr="00897182">
              <w:rPr>
                <w:rFonts w:ascii="Arial" w:hAnsi="Arial" w:cs="Arial"/>
                <w:color w:val="FF0000"/>
                <w:kern w:val="16"/>
                <w:sz w:val="18"/>
                <w:szCs w:val="18"/>
              </w:rPr>
              <w:t xml:space="preserve"> (mean)</w:t>
            </w:r>
          </w:p>
        </w:tc>
      </w:tr>
      <w:tr w:rsidRPr="00897182" w:rsidR="00897182" w:rsidTr="009E6925" w14:paraId="341CDBE3" w14:textId="77777777">
        <w:tc>
          <w:tcPr>
            <w:tcW w:w="2965" w:type="dxa"/>
            <w:tcBorders>
              <w:top w:val="nil"/>
              <w:left w:val="nil"/>
              <w:bottom w:val="nil"/>
              <w:right w:val="nil"/>
            </w:tcBorders>
          </w:tcPr>
          <w:p w:rsidRPr="00897182" w:rsidR="007071BD" w:rsidP="007071BD" w:rsidRDefault="007071BD" w14:paraId="70F34982"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 xml:space="preserve">Phase 1 </w:t>
            </w:r>
          </w:p>
        </w:tc>
        <w:tc>
          <w:tcPr>
            <w:tcW w:w="2281" w:type="dxa"/>
            <w:tcBorders>
              <w:top w:val="nil"/>
              <w:left w:val="nil"/>
              <w:bottom w:val="nil"/>
              <w:right w:val="nil"/>
            </w:tcBorders>
          </w:tcPr>
          <w:p w:rsidRPr="00897182" w:rsidR="007071BD" w:rsidP="007071BD" w:rsidRDefault="007071BD" w14:paraId="4057F3EB"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25.6</w:t>
            </w:r>
          </w:p>
        </w:tc>
        <w:tc>
          <w:tcPr>
            <w:tcW w:w="2282" w:type="dxa"/>
            <w:tcBorders>
              <w:top w:val="nil"/>
              <w:left w:val="nil"/>
              <w:bottom w:val="nil"/>
              <w:right w:val="nil"/>
            </w:tcBorders>
          </w:tcPr>
          <w:p w:rsidRPr="00897182" w:rsidR="007071BD" w:rsidP="007071BD" w:rsidRDefault="007071BD" w14:paraId="0935433C"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25.8</w:t>
            </w:r>
          </w:p>
        </w:tc>
        <w:tc>
          <w:tcPr>
            <w:tcW w:w="2282" w:type="dxa"/>
            <w:tcBorders>
              <w:top w:val="nil"/>
              <w:left w:val="nil"/>
              <w:bottom w:val="nil"/>
              <w:right w:val="nil"/>
            </w:tcBorders>
          </w:tcPr>
          <w:p w:rsidRPr="00897182" w:rsidR="007071BD" w:rsidP="007071BD" w:rsidRDefault="007071BD" w14:paraId="5B610580"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25.7</w:t>
            </w:r>
          </w:p>
        </w:tc>
      </w:tr>
      <w:tr w:rsidRPr="00897182" w:rsidR="00897182" w:rsidTr="009E6925" w14:paraId="3963F15E" w14:textId="77777777">
        <w:tc>
          <w:tcPr>
            <w:tcW w:w="2965" w:type="dxa"/>
            <w:tcBorders>
              <w:top w:val="nil"/>
              <w:left w:val="nil"/>
              <w:bottom w:val="nil"/>
              <w:right w:val="nil"/>
            </w:tcBorders>
          </w:tcPr>
          <w:p w:rsidRPr="00897182" w:rsidR="007071BD" w:rsidP="007071BD" w:rsidRDefault="007071BD" w14:paraId="522C6BE1"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 xml:space="preserve">Phase 1 + Phase 2 </w:t>
            </w:r>
            <w:r w:rsidRPr="00897182">
              <w:rPr>
                <w:rFonts w:ascii="Arial" w:hAnsi="Arial" w:cs="Arial"/>
                <w:color w:val="FF0000"/>
                <w:kern w:val="16"/>
                <w:sz w:val="18"/>
                <w:szCs w:val="18"/>
              </w:rPr>
              <w:br/>
              <w:t>(nonresponse follow-up)</w:t>
            </w:r>
          </w:p>
        </w:tc>
        <w:tc>
          <w:tcPr>
            <w:tcW w:w="2281" w:type="dxa"/>
            <w:tcBorders>
              <w:top w:val="nil"/>
              <w:left w:val="nil"/>
              <w:bottom w:val="nil"/>
              <w:right w:val="nil"/>
            </w:tcBorders>
          </w:tcPr>
          <w:p w:rsidRPr="00897182" w:rsidR="007071BD" w:rsidP="007071BD" w:rsidRDefault="007071BD" w14:paraId="0D337D78"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25.7</w:t>
            </w:r>
          </w:p>
        </w:tc>
        <w:tc>
          <w:tcPr>
            <w:tcW w:w="2282" w:type="dxa"/>
            <w:tcBorders>
              <w:top w:val="nil"/>
              <w:left w:val="nil"/>
              <w:bottom w:val="nil"/>
              <w:right w:val="nil"/>
            </w:tcBorders>
          </w:tcPr>
          <w:p w:rsidRPr="00897182" w:rsidR="007071BD" w:rsidP="007071BD" w:rsidRDefault="007071BD" w14:paraId="0B611932"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25.6</w:t>
            </w:r>
          </w:p>
        </w:tc>
        <w:tc>
          <w:tcPr>
            <w:tcW w:w="2282" w:type="dxa"/>
            <w:tcBorders>
              <w:top w:val="nil"/>
              <w:left w:val="nil"/>
              <w:bottom w:val="nil"/>
              <w:right w:val="nil"/>
            </w:tcBorders>
          </w:tcPr>
          <w:p w:rsidRPr="00897182" w:rsidR="007071BD" w:rsidP="007071BD" w:rsidRDefault="007071BD" w14:paraId="27105A46"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25.8</w:t>
            </w:r>
          </w:p>
        </w:tc>
      </w:tr>
      <w:tr w:rsidRPr="00897182" w:rsidR="00897182" w:rsidTr="009E6925" w14:paraId="103FD6BB" w14:textId="77777777">
        <w:tc>
          <w:tcPr>
            <w:tcW w:w="2965" w:type="dxa"/>
            <w:tcBorders>
              <w:top w:val="nil"/>
              <w:left w:val="nil"/>
              <w:bottom w:val="nil"/>
              <w:right w:val="nil"/>
            </w:tcBorders>
          </w:tcPr>
          <w:p w:rsidRPr="00897182" w:rsidR="007071BD" w:rsidP="007071BD" w:rsidRDefault="007071BD" w14:paraId="4A2F76FE"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Overall Sample (n=6,080)</w:t>
            </w:r>
            <w:r w:rsidRPr="00897182">
              <w:rPr>
                <w:rFonts w:ascii="Arial" w:hAnsi="Arial" w:cs="Arial"/>
                <w:color w:val="FF0000"/>
                <w:kern w:val="16"/>
                <w:sz w:val="18"/>
                <w:szCs w:val="18"/>
                <w:vertAlign w:val="superscript"/>
              </w:rPr>
              <w:t>1</w:t>
            </w:r>
          </w:p>
        </w:tc>
        <w:tc>
          <w:tcPr>
            <w:tcW w:w="2281" w:type="dxa"/>
            <w:tcBorders>
              <w:top w:val="nil"/>
              <w:left w:val="nil"/>
              <w:bottom w:val="nil"/>
              <w:right w:val="nil"/>
            </w:tcBorders>
          </w:tcPr>
          <w:p w:rsidRPr="00897182" w:rsidR="007071BD" w:rsidP="007071BD" w:rsidRDefault="007071BD" w14:paraId="19F4D1EE"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25.7</w:t>
            </w:r>
          </w:p>
        </w:tc>
        <w:tc>
          <w:tcPr>
            <w:tcW w:w="2282" w:type="dxa"/>
            <w:tcBorders>
              <w:top w:val="nil"/>
              <w:left w:val="nil"/>
              <w:bottom w:val="nil"/>
              <w:right w:val="nil"/>
            </w:tcBorders>
          </w:tcPr>
          <w:p w:rsidRPr="00897182" w:rsidR="007071BD" w:rsidP="007071BD" w:rsidRDefault="007071BD" w14:paraId="60266143"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25.2</w:t>
            </w:r>
          </w:p>
        </w:tc>
        <w:tc>
          <w:tcPr>
            <w:tcW w:w="2282" w:type="dxa"/>
            <w:tcBorders>
              <w:top w:val="nil"/>
              <w:left w:val="nil"/>
              <w:bottom w:val="nil"/>
              <w:right w:val="nil"/>
            </w:tcBorders>
          </w:tcPr>
          <w:p w:rsidRPr="00897182" w:rsidR="007071BD" w:rsidP="007071BD" w:rsidRDefault="007071BD" w14:paraId="3B6E4452"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25.7</w:t>
            </w:r>
          </w:p>
        </w:tc>
      </w:tr>
      <w:tr w:rsidRPr="00897182" w:rsidR="00897182" w:rsidTr="009E6925" w14:paraId="14F8C099" w14:textId="77777777">
        <w:tblPrEx>
          <w:tblCellMar>
            <w:left w:w="108" w:type="dxa"/>
            <w:right w:w="108" w:type="dxa"/>
          </w:tblCellMar>
        </w:tblPrEx>
        <w:tc>
          <w:tcPr>
            <w:tcW w:w="9810" w:type="dxa"/>
            <w:gridSpan w:val="4"/>
            <w:tcBorders>
              <w:top w:val="nil"/>
              <w:left w:val="nil"/>
              <w:bottom w:val="nil"/>
              <w:right w:val="nil"/>
            </w:tcBorders>
          </w:tcPr>
          <w:p w:rsidRPr="00897182" w:rsidR="007071BD" w:rsidP="007071BD" w:rsidRDefault="007071BD" w14:paraId="7C1D8EB5" w14:textId="77777777">
            <w:pPr>
              <w:keepNext/>
              <w:tabs>
                <w:tab w:val="decimal" w:pos="609"/>
              </w:tabs>
              <w:autoSpaceDE w:val="0"/>
              <w:autoSpaceDN w:val="0"/>
              <w:adjustRightInd w:val="0"/>
              <w:rPr>
                <w:rFonts w:ascii="Arial" w:hAnsi="Arial" w:cs="Arial"/>
                <w:color w:val="FF0000"/>
                <w:kern w:val="16"/>
                <w:sz w:val="18"/>
                <w:szCs w:val="18"/>
              </w:rPr>
            </w:pPr>
            <w:r w:rsidRPr="00897182">
              <w:rPr>
                <w:rFonts w:ascii="Arial" w:hAnsi="Arial" w:cs="Arial"/>
                <w:b/>
                <w:bCs/>
                <w:color w:val="FF0000"/>
                <w:kern w:val="16"/>
                <w:sz w:val="18"/>
                <w:szCs w:val="18"/>
              </w:rPr>
              <w:t>Female</w:t>
            </w:r>
            <w:r w:rsidRPr="00897182">
              <w:rPr>
                <w:rFonts w:ascii="Arial" w:hAnsi="Arial" w:cs="Arial"/>
                <w:color w:val="FF0000"/>
                <w:kern w:val="16"/>
                <w:sz w:val="18"/>
                <w:szCs w:val="18"/>
              </w:rPr>
              <w:t xml:space="preserve"> (in percent)</w:t>
            </w:r>
          </w:p>
        </w:tc>
      </w:tr>
      <w:tr w:rsidRPr="00897182" w:rsidR="00897182" w:rsidTr="009E6925" w14:paraId="7E1C48E7" w14:textId="77777777">
        <w:tblPrEx>
          <w:tblCellMar>
            <w:left w:w="108" w:type="dxa"/>
            <w:right w:w="108" w:type="dxa"/>
          </w:tblCellMar>
        </w:tblPrEx>
        <w:tc>
          <w:tcPr>
            <w:tcW w:w="2965" w:type="dxa"/>
            <w:tcBorders>
              <w:top w:val="nil"/>
              <w:left w:val="nil"/>
              <w:bottom w:val="nil"/>
              <w:right w:val="nil"/>
            </w:tcBorders>
          </w:tcPr>
          <w:p w:rsidRPr="00897182" w:rsidR="007071BD" w:rsidP="007071BD" w:rsidRDefault="007071BD" w14:paraId="26017763"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 xml:space="preserve">Phase 1 </w:t>
            </w:r>
          </w:p>
        </w:tc>
        <w:tc>
          <w:tcPr>
            <w:tcW w:w="2281" w:type="dxa"/>
            <w:tcBorders>
              <w:top w:val="nil"/>
              <w:left w:val="nil"/>
              <w:bottom w:val="nil"/>
              <w:right w:val="nil"/>
            </w:tcBorders>
          </w:tcPr>
          <w:p w:rsidRPr="00897182" w:rsidR="007071BD" w:rsidP="007071BD" w:rsidRDefault="007071BD" w14:paraId="214DE796"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61.5</w:t>
            </w:r>
          </w:p>
        </w:tc>
        <w:tc>
          <w:tcPr>
            <w:tcW w:w="2282" w:type="dxa"/>
            <w:tcBorders>
              <w:top w:val="nil"/>
              <w:left w:val="nil"/>
              <w:bottom w:val="nil"/>
              <w:right w:val="nil"/>
            </w:tcBorders>
          </w:tcPr>
          <w:p w:rsidRPr="00897182" w:rsidR="007071BD" w:rsidP="007071BD" w:rsidRDefault="007071BD" w14:paraId="44BA1812"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60.8</w:t>
            </w:r>
          </w:p>
        </w:tc>
        <w:tc>
          <w:tcPr>
            <w:tcW w:w="2282" w:type="dxa"/>
            <w:tcBorders>
              <w:top w:val="nil"/>
              <w:left w:val="nil"/>
              <w:bottom w:val="nil"/>
              <w:right w:val="nil"/>
            </w:tcBorders>
          </w:tcPr>
          <w:p w:rsidRPr="00897182" w:rsidR="007071BD" w:rsidP="007071BD" w:rsidRDefault="007071BD" w14:paraId="323A3552"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58.9</w:t>
            </w:r>
          </w:p>
        </w:tc>
      </w:tr>
      <w:tr w:rsidRPr="00897182" w:rsidR="00897182" w:rsidTr="009E6925" w14:paraId="1A2CA6AD" w14:textId="77777777">
        <w:tblPrEx>
          <w:tblCellMar>
            <w:left w:w="108" w:type="dxa"/>
            <w:right w:w="108" w:type="dxa"/>
          </w:tblCellMar>
        </w:tblPrEx>
        <w:tc>
          <w:tcPr>
            <w:tcW w:w="2965" w:type="dxa"/>
            <w:tcBorders>
              <w:top w:val="nil"/>
              <w:left w:val="nil"/>
              <w:bottom w:val="nil"/>
              <w:right w:val="nil"/>
            </w:tcBorders>
          </w:tcPr>
          <w:p w:rsidRPr="00897182" w:rsidR="007071BD" w:rsidP="007071BD" w:rsidRDefault="007071BD" w14:paraId="1E25B603"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 xml:space="preserve">Phase 1 + Phase 2 </w:t>
            </w:r>
            <w:r w:rsidRPr="00897182">
              <w:rPr>
                <w:rFonts w:ascii="Arial" w:hAnsi="Arial" w:cs="Arial"/>
                <w:color w:val="FF0000"/>
                <w:kern w:val="16"/>
                <w:sz w:val="18"/>
                <w:szCs w:val="18"/>
              </w:rPr>
              <w:br/>
              <w:t>(nonresponse follow-up)</w:t>
            </w:r>
          </w:p>
        </w:tc>
        <w:tc>
          <w:tcPr>
            <w:tcW w:w="2281" w:type="dxa"/>
            <w:tcBorders>
              <w:top w:val="nil"/>
              <w:left w:val="nil"/>
              <w:bottom w:val="nil"/>
              <w:right w:val="nil"/>
            </w:tcBorders>
          </w:tcPr>
          <w:p w:rsidRPr="00897182" w:rsidR="007071BD" w:rsidP="007071BD" w:rsidRDefault="007071BD" w14:paraId="27C460BE"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61.1</w:t>
            </w:r>
          </w:p>
        </w:tc>
        <w:tc>
          <w:tcPr>
            <w:tcW w:w="2282" w:type="dxa"/>
            <w:tcBorders>
              <w:top w:val="nil"/>
              <w:left w:val="nil"/>
              <w:bottom w:val="nil"/>
              <w:right w:val="nil"/>
            </w:tcBorders>
          </w:tcPr>
          <w:p w:rsidRPr="00897182" w:rsidR="007071BD" w:rsidP="007071BD" w:rsidRDefault="007071BD" w14:paraId="33C00FB9"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59.8</w:t>
            </w:r>
          </w:p>
        </w:tc>
        <w:tc>
          <w:tcPr>
            <w:tcW w:w="2282" w:type="dxa"/>
            <w:tcBorders>
              <w:top w:val="nil"/>
              <w:left w:val="nil"/>
              <w:bottom w:val="nil"/>
              <w:right w:val="nil"/>
            </w:tcBorders>
          </w:tcPr>
          <w:p w:rsidRPr="00897182" w:rsidR="007071BD" w:rsidP="007071BD" w:rsidRDefault="007071BD" w14:paraId="6A27F69C"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58.0</w:t>
            </w:r>
          </w:p>
        </w:tc>
      </w:tr>
      <w:tr w:rsidRPr="00897182" w:rsidR="00897182" w:rsidTr="009E6925" w14:paraId="382EBF9A" w14:textId="77777777">
        <w:tblPrEx>
          <w:tblCellMar>
            <w:left w:w="108" w:type="dxa"/>
            <w:right w:w="108" w:type="dxa"/>
          </w:tblCellMar>
        </w:tblPrEx>
        <w:tc>
          <w:tcPr>
            <w:tcW w:w="2965" w:type="dxa"/>
            <w:tcBorders>
              <w:top w:val="nil"/>
              <w:left w:val="nil"/>
              <w:bottom w:val="nil"/>
              <w:right w:val="nil"/>
            </w:tcBorders>
          </w:tcPr>
          <w:p w:rsidRPr="00897182" w:rsidR="007071BD" w:rsidP="007071BD" w:rsidRDefault="007071BD" w14:paraId="3E02F2D2"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Overall Sample (n=6,060)</w:t>
            </w:r>
            <w:r w:rsidRPr="00897182">
              <w:rPr>
                <w:rFonts w:ascii="Arial" w:hAnsi="Arial" w:cs="Arial"/>
                <w:color w:val="FF0000"/>
                <w:kern w:val="16"/>
                <w:sz w:val="18"/>
                <w:szCs w:val="18"/>
                <w:vertAlign w:val="superscript"/>
              </w:rPr>
              <w:t>1</w:t>
            </w:r>
          </w:p>
        </w:tc>
        <w:tc>
          <w:tcPr>
            <w:tcW w:w="2281" w:type="dxa"/>
            <w:tcBorders>
              <w:top w:val="nil"/>
              <w:left w:val="nil"/>
              <w:bottom w:val="nil"/>
              <w:right w:val="nil"/>
            </w:tcBorders>
          </w:tcPr>
          <w:p w:rsidRPr="00897182" w:rsidR="007071BD" w:rsidP="007071BD" w:rsidRDefault="007071BD" w14:paraId="122A3011"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56.3</w:t>
            </w:r>
          </w:p>
        </w:tc>
        <w:tc>
          <w:tcPr>
            <w:tcW w:w="2282" w:type="dxa"/>
            <w:tcBorders>
              <w:top w:val="nil"/>
              <w:left w:val="nil"/>
              <w:bottom w:val="nil"/>
              <w:right w:val="nil"/>
            </w:tcBorders>
          </w:tcPr>
          <w:p w:rsidRPr="00897182" w:rsidR="007071BD" w:rsidP="007071BD" w:rsidRDefault="007071BD" w14:paraId="7782C47B"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57.3</w:t>
            </w:r>
          </w:p>
        </w:tc>
        <w:tc>
          <w:tcPr>
            <w:tcW w:w="2282" w:type="dxa"/>
            <w:tcBorders>
              <w:top w:val="nil"/>
              <w:left w:val="nil"/>
              <w:bottom w:val="nil"/>
              <w:right w:val="nil"/>
            </w:tcBorders>
          </w:tcPr>
          <w:p w:rsidRPr="00897182" w:rsidR="007071BD" w:rsidP="007071BD" w:rsidRDefault="007071BD" w14:paraId="6EB88762"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55.0</w:t>
            </w:r>
          </w:p>
        </w:tc>
      </w:tr>
      <w:tr w:rsidRPr="00897182" w:rsidR="00897182" w:rsidTr="009E6925" w14:paraId="69BEA77D" w14:textId="77777777">
        <w:tblPrEx>
          <w:tblCellMar>
            <w:left w:w="108" w:type="dxa"/>
            <w:right w:w="108" w:type="dxa"/>
          </w:tblCellMar>
        </w:tblPrEx>
        <w:tc>
          <w:tcPr>
            <w:tcW w:w="9810" w:type="dxa"/>
            <w:gridSpan w:val="4"/>
            <w:tcBorders>
              <w:top w:val="nil"/>
              <w:left w:val="nil"/>
              <w:bottom w:val="nil"/>
              <w:right w:val="nil"/>
            </w:tcBorders>
          </w:tcPr>
          <w:p w:rsidRPr="00897182" w:rsidR="007071BD" w:rsidP="007071BD" w:rsidRDefault="007071BD" w14:paraId="74793A4E" w14:textId="77777777">
            <w:pPr>
              <w:keepNext/>
              <w:autoSpaceDE w:val="0"/>
              <w:autoSpaceDN w:val="0"/>
              <w:adjustRightInd w:val="0"/>
              <w:rPr>
                <w:rFonts w:ascii="Arial" w:hAnsi="Arial" w:cs="Arial"/>
                <w:color w:val="FF0000"/>
                <w:kern w:val="16"/>
                <w:sz w:val="18"/>
                <w:szCs w:val="18"/>
              </w:rPr>
            </w:pPr>
            <w:r w:rsidRPr="00897182">
              <w:rPr>
                <w:rFonts w:ascii="Arial" w:hAnsi="Arial" w:cs="Arial"/>
                <w:b/>
                <w:bCs/>
                <w:color w:val="FF0000"/>
                <w:kern w:val="16"/>
                <w:sz w:val="18"/>
                <w:szCs w:val="18"/>
              </w:rPr>
              <w:t>White</w:t>
            </w:r>
            <w:r w:rsidRPr="00897182">
              <w:rPr>
                <w:rFonts w:ascii="Arial" w:hAnsi="Arial" w:cs="Arial"/>
                <w:color w:val="FF0000"/>
                <w:kern w:val="16"/>
                <w:sz w:val="18"/>
                <w:szCs w:val="18"/>
              </w:rPr>
              <w:t xml:space="preserve"> (in percent)</w:t>
            </w:r>
          </w:p>
        </w:tc>
      </w:tr>
      <w:tr w:rsidRPr="00897182" w:rsidR="00897182" w:rsidTr="009E6925" w14:paraId="12ACBC47" w14:textId="77777777">
        <w:tblPrEx>
          <w:tblCellMar>
            <w:left w:w="108" w:type="dxa"/>
            <w:right w:w="108" w:type="dxa"/>
          </w:tblCellMar>
        </w:tblPrEx>
        <w:tc>
          <w:tcPr>
            <w:tcW w:w="2965" w:type="dxa"/>
            <w:tcBorders>
              <w:top w:val="nil"/>
              <w:left w:val="nil"/>
              <w:bottom w:val="nil"/>
              <w:right w:val="nil"/>
            </w:tcBorders>
          </w:tcPr>
          <w:p w:rsidRPr="00897182" w:rsidR="007071BD" w:rsidP="007071BD" w:rsidRDefault="007071BD" w14:paraId="522C48A4"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 xml:space="preserve">Phase 1 </w:t>
            </w:r>
          </w:p>
        </w:tc>
        <w:tc>
          <w:tcPr>
            <w:tcW w:w="2281" w:type="dxa"/>
            <w:tcBorders>
              <w:top w:val="nil"/>
              <w:left w:val="nil"/>
              <w:bottom w:val="nil"/>
              <w:right w:val="nil"/>
            </w:tcBorders>
          </w:tcPr>
          <w:p w:rsidRPr="00897182" w:rsidR="007071BD" w:rsidP="007071BD" w:rsidRDefault="007071BD" w14:paraId="07EB9A71"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66.3</w:t>
            </w:r>
          </w:p>
        </w:tc>
        <w:tc>
          <w:tcPr>
            <w:tcW w:w="2282" w:type="dxa"/>
            <w:tcBorders>
              <w:top w:val="nil"/>
              <w:left w:val="nil"/>
              <w:bottom w:val="nil"/>
              <w:right w:val="nil"/>
            </w:tcBorders>
          </w:tcPr>
          <w:p w:rsidRPr="00897182" w:rsidR="007071BD" w:rsidP="007071BD" w:rsidRDefault="007071BD" w14:paraId="749092E0"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67.9</w:t>
            </w:r>
          </w:p>
        </w:tc>
        <w:tc>
          <w:tcPr>
            <w:tcW w:w="2282" w:type="dxa"/>
            <w:tcBorders>
              <w:top w:val="nil"/>
              <w:left w:val="nil"/>
              <w:bottom w:val="nil"/>
              <w:right w:val="nil"/>
            </w:tcBorders>
          </w:tcPr>
          <w:p w:rsidRPr="00897182" w:rsidR="007071BD" w:rsidP="007071BD" w:rsidRDefault="007071BD" w14:paraId="695F938F"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69.0</w:t>
            </w:r>
          </w:p>
        </w:tc>
      </w:tr>
      <w:tr w:rsidRPr="00897182" w:rsidR="00897182" w:rsidTr="009E6925" w14:paraId="1E4035A6" w14:textId="77777777">
        <w:tblPrEx>
          <w:tblCellMar>
            <w:left w:w="108" w:type="dxa"/>
            <w:right w:w="108" w:type="dxa"/>
          </w:tblCellMar>
        </w:tblPrEx>
        <w:tc>
          <w:tcPr>
            <w:tcW w:w="2965" w:type="dxa"/>
            <w:tcBorders>
              <w:top w:val="nil"/>
              <w:left w:val="nil"/>
              <w:bottom w:val="nil"/>
              <w:right w:val="nil"/>
            </w:tcBorders>
          </w:tcPr>
          <w:p w:rsidRPr="00897182" w:rsidR="007071BD" w:rsidP="007071BD" w:rsidRDefault="007071BD" w14:paraId="07BFB5C8"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 xml:space="preserve">Phase 1 + Phase 2 </w:t>
            </w:r>
          </w:p>
          <w:p w:rsidRPr="00897182" w:rsidR="007071BD" w:rsidP="007071BD" w:rsidRDefault="007071BD" w14:paraId="60AD5FCB"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(nonresponse follow-up)</w:t>
            </w:r>
          </w:p>
        </w:tc>
        <w:tc>
          <w:tcPr>
            <w:tcW w:w="2281" w:type="dxa"/>
            <w:tcBorders>
              <w:top w:val="nil"/>
              <w:left w:val="nil"/>
              <w:bottom w:val="nil"/>
              <w:right w:val="nil"/>
            </w:tcBorders>
          </w:tcPr>
          <w:p w:rsidRPr="00897182" w:rsidR="007071BD" w:rsidP="007071BD" w:rsidRDefault="007071BD" w14:paraId="7640DA0A"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66.3</w:t>
            </w:r>
          </w:p>
        </w:tc>
        <w:tc>
          <w:tcPr>
            <w:tcW w:w="2282" w:type="dxa"/>
            <w:tcBorders>
              <w:top w:val="nil"/>
              <w:left w:val="nil"/>
              <w:bottom w:val="nil"/>
              <w:right w:val="nil"/>
            </w:tcBorders>
          </w:tcPr>
          <w:p w:rsidRPr="00897182" w:rsidR="007071BD" w:rsidP="007071BD" w:rsidRDefault="007071BD" w14:paraId="30F9B608"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67.9</w:t>
            </w:r>
          </w:p>
        </w:tc>
        <w:tc>
          <w:tcPr>
            <w:tcW w:w="2282" w:type="dxa"/>
            <w:tcBorders>
              <w:top w:val="nil"/>
              <w:left w:val="nil"/>
              <w:bottom w:val="nil"/>
              <w:right w:val="nil"/>
            </w:tcBorders>
          </w:tcPr>
          <w:p w:rsidRPr="00897182" w:rsidR="007071BD" w:rsidP="007071BD" w:rsidRDefault="007071BD" w14:paraId="76C9293E"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69.3</w:t>
            </w:r>
          </w:p>
        </w:tc>
      </w:tr>
      <w:tr w:rsidRPr="00897182" w:rsidR="00897182" w:rsidTr="009E6925" w14:paraId="1111108D" w14:textId="77777777">
        <w:tblPrEx>
          <w:tblCellMar>
            <w:left w:w="108" w:type="dxa"/>
            <w:right w:w="108" w:type="dxa"/>
          </w:tblCellMar>
        </w:tblPrEx>
        <w:tc>
          <w:tcPr>
            <w:tcW w:w="2965" w:type="dxa"/>
            <w:tcBorders>
              <w:top w:val="nil"/>
              <w:left w:val="nil"/>
              <w:bottom w:val="nil"/>
              <w:right w:val="nil"/>
            </w:tcBorders>
          </w:tcPr>
          <w:p w:rsidRPr="00897182" w:rsidR="007071BD" w:rsidP="007071BD" w:rsidRDefault="007071BD" w14:paraId="2056DA2D"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Overall Sample (n=5,520)</w:t>
            </w:r>
            <w:r w:rsidRPr="00897182">
              <w:rPr>
                <w:rFonts w:ascii="Arial" w:hAnsi="Arial" w:cs="Arial"/>
                <w:color w:val="FF0000"/>
                <w:kern w:val="16"/>
                <w:sz w:val="18"/>
                <w:szCs w:val="18"/>
                <w:vertAlign w:val="superscript"/>
              </w:rPr>
              <w:t>1</w:t>
            </w:r>
          </w:p>
        </w:tc>
        <w:tc>
          <w:tcPr>
            <w:tcW w:w="2281" w:type="dxa"/>
            <w:tcBorders>
              <w:top w:val="nil"/>
              <w:left w:val="nil"/>
              <w:bottom w:val="nil"/>
              <w:right w:val="nil"/>
            </w:tcBorders>
          </w:tcPr>
          <w:p w:rsidRPr="00897182" w:rsidR="007071BD" w:rsidP="007071BD" w:rsidRDefault="007071BD" w14:paraId="3EFCC504"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66.1</w:t>
            </w:r>
          </w:p>
        </w:tc>
        <w:tc>
          <w:tcPr>
            <w:tcW w:w="2282" w:type="dxa"/>
            <w:tcBorders>
              <w:top w:val="nil"/>
              <w:left w:val="nil"/>
              <w:bottom w:val="nil"/>
              <w:right w:val="nil"/>
            </w:tcBorders>
          </w:tcPr>
          <w:p w:rsidRPr="00897182" w:rsidR="007071BD" w:rsidP="007071BD" w:rsidRDefault="007071BD" w14:paraId="021F0E09"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66.7</w:t>
            </w:r>
          </w:p>
        </w:tc>
        <w:tc>
          <w:tcPr>
            <w:tcW w:w="2282" w:type="dxa"/>
            <w:tcBorders>
              <w:top w:val="nil"/>
              <w:left w:val="nil"/>
              <w:bottom w:val="nil"/>
              <w:right w:val="nil"/>
            </w:tcBorders>
          </w:tcPr>
          <w:p w:rsidRPr="00897182" w:rsidR="007071BD" w:rsidP="007071BD" w:rsidRDefault="007071BD" w14:paraId="7C6A321A"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67.6</w:t>
            </w:r>
          </w:p>
        </w:tc>
      </w:tr>
      <w:tr w:rsidRPr="00897182" w:rsidR="00897182" w:rsidTr="009E6925" w14:paraId="6E60D331" w14:textId="77777777">
        <w:tblPrEx>
          <w:tblCellMar>
            <w:left w:w="108" w:type="dxa"/>
            <w:right w:w="108" w:type="dxa"/>
          </w:tblCellMar>
        </w:tblPrEx>
        <w:tc>
          <w:tcPr>
            <w:tcW w:w="9810" w:type="dxa"/>
            <w:gridSpan w:val="4"/>
            <w:tcBorders>
              <w:top w:val="nil"/>
              <w:left w:val="nil"/>
              <w:bottom w:val="nil"/>
              <w:right w:val="nil"/>
            </w:tcBorders>
          </w:tcPr>
          <w:p w:rsidRPr="00897182" w:rsidR="007071BD" w:rsidP="007071BD" w:rsidRDefault="007071BD" w14:paraId="56B4BA6D" w14:textId="77777777">
            <w:pPr>
              <w:keepNext/>
              <w:tabs>
                <w:tab w:val="decimal" w:pos="609"/>
              </w:tabs>
              <w:autoSpaceDE w:val="0"/>
              <w:autoSpaceDN w:val="0"/>
              <w:adjustRightInd w:val="0"/>
              <w:rPr>
                <w:rFonts w:ascii="Arial" w:hAnsi="Arial" w:cs="Arial"/>
                <w:color w:val="FF0000"/>
                <w:kern w:val="16"/>
                <w:sz w:val="18"/>
                <w:szCs w:val="18"/>
              </w:rPr>
            </w:pPr>
            <w:r w:rsidRPr="00897182">
              <w:rPr>
                <w:rFonts w:ascii="Arial" w:hAnsi="Arial" w:cs="Arial"/>
                <w:b/>
                <w:bCs/>
                <w:color w:val="FF0000"/>
                <w:kern w:val="16"/>
                <w:sz w:val="18"/>
                <w:szCs w:val="18"/>
              </w:rPr>
              <w:t>Hispanic</w:t>
            </w:r>
            <w:r w:rsidRPr="00897182">
              <w:rPr>
                <w:rFonts w:ascii="Arial" w:hAnsi="Arial" w:cs="Arial"/>
                <w:color w:val="FF0000"/>
                <w:kern w:val="16"/>
                <w:sz w:val="18"/>
                <w:szCs w:val="18"/>
              </w:rPr>
              <w:t xml:space="preserve"> (in percent)</w:t>
            </w:r>
          </w:p>
        </w:tc>
      </w:tr>
      <w:tr w:rsidRPr="00897182" w:rsidR="00897182" w:rsidTr="009E6925" w14:paraId="0F158ABA" w14:textId="77777777">
        <w:tblPrEx>
          <w:tblCellMar>
            <w:left w:w="108" w:type="dxa"/>
            <w:right w:w="108" w:type="dxa"/>
          </w:tblCellMar>
        </w:tblPrEx>
        <w:tc>
          <w:tcPr>
            <w:tcW w:w="2965" w:type="dxa"/>
            <w:tcBorders>
              <w:top w:val="nil"/>
              <w:left w:val="nil"/>
              <w:bottom w:val="nil"/>
              <w:right w:val="nil"/>
            </w:tcBorders>
          </w:tcPr>
          <w:p w:rsidRPr="00897182" w:rsidR="007071BD" w:rsidP="007071BD" w:rsidRDefault="007071BD" w14:paraId="1392F8B6"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 xml:space="preserve">Phase 1 </w:t>
            </w:r>
          </w:p>
        </w:tc>
        <w:tc>
          <w:tcPr>
            <w:tcW w:w="2281" w:type="dxa"/>
            <w:tcBorders>
              <w:top w:val="nil"/>
              <w:left w:val="nil"/>
              <w:bottom w:val="nil"/>
              <w:right w:val="nil"/>
            </w:tcBorders>
          </w:tcPr>
          <w:p w:rsidRPr="00897182" w:rsidR="007071BD" w:rsidP="007071BD" w:rsidRDefault="007071BD" w14:paraId="085C25FA"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13.7</w:t>
            </w:r>
          </w:p>
        </w:tc>
        <w:tc>
          <w:tcPr>
            <w:tcW w:w="2282" w:type="dxa"/>
            <w:tcBorders>
              <w:top w:val="nil"/>
              <w:left w:val="nil"/>
              <w:bottom w:val="nil"/>
              <w:right w:val="nil"/>
            </w:tcBorders>
          </w:tcPr>
          <w:p w:rsidRPr="00897182" w:rsidR="007071BD" w:rsidP="007071BD" w:rsidRDefault="007071BD" w14:paraId="5229A2B7"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15.1</w:t>
            </w:r>
          </w:p>
        </w:tc>
        <w:tc>
          <w:tcPr>
            <w:tcW w:w="2282" w:type="dxa"/>
            <w:tcBorders>
              <w:top w:val="nil"/>
              <w:left w:val="nil"/>
              <w:bottom w:val="nil"/>
              <w:right w:val="nil"/>
            </w:tcBorders>
          </w:tcPr>
          <w:p w:rsidRPr="00897182" w:rsidR="007071BD" w:rsidP="007071BD" w:rsidRDefault="007071BD" w14:paraId="2254177B"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14.0</w:t>
            </w:r>
          </w:p>
        </w:tc>
      </w:tr>
      <w:tr w:rsidRPr="00897182" w:rsidR="00897182" w:rsidTr="009E6925" w14:paraId="52966D35" w14:textId="77777777">
        <w:tblPrEx>
          <w:tblCellMar>
            <w:left w:w="108" w:type="dxa"/>
            <w:right w:w="108" w:type="dxa"/>
          </w:tblCellMar>
        </w:tblPrEx>
        <w:tc>
          <w:tcPr>
            <w:tcW w:w="2965" w:type="dxa"/>
            <w:tcBorders>
              <w:top w:val="nil"/>
              <w:left w:val="nil"/>
              <w:bottom w:val="nil"/>
              <w:right w:val="nil"/>
            </w:tcBorders>
          </w:tcPr>
          <w:p w:rsidRPr="00897182" w:rsidR="007071BD" w:rsidP="007071BD" w:rsidRDefault="007071BD" w14:paraId="4877A828"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 xml:space="preserve">Phase 1 + Phase 2 </w:t>
            </w:r>
          </w:p>
          <w:p w:rsidRPr="00897182" w:rsidR="007071BD" w:rsidP="007071BD" w:rsidRDefault="007071BD" w14:paraId="317AF547"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(nonresponse follow-up)</w:t>
            </w:r>
          </w:p>
        </w:tc>
        <w:tc>
          <w:tcPr>
            <w:tcW w:w="2281" w:type="dxa"/>
            <w:tcBorders>
              <w:top w:val="nil"/>
              <w:left w:val="nil"/>
              <w:bottom w:val="nil"/>
              <w:right w:val="nil"/>
            </w:tcBorders>
          </w:tcPr>
          <w:p w:rsidRPr="00897182" w:rsidR="007071BD" w:rsidP="007071BD" w:rsidRDefault="007071BD" w14:paraId="55206A1A"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13.7</w:t>
            </w:r>
          </w:p>
        </w:tc>
        <w:tc>
          <w:tcPr>
            <w:tcW w:w="2282" w:type="dxa"/>
            <w:tcBorders>
              <w:top w:val="nil"/>
              <w:left w:val="nil"/>
              <w:bottom w:val="nil"/>
              <w:right w:val="nil"/>
            </w:tcBorders>
          </w:tcPr>
          <w:p w:rsidRPr="00897182" w:rsidR="007071BD" w:rsidP="007071BD" w:rsidRDefault="007071BD" w14:paraId="579341F5"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14.4</w:t>
            </w:r>
          </w:p>
        </w:tc>
        <w:tc>
          <w:tcPr>
            <w:tcW w:w="2282" w:type="dxa"/>
            <w:tcBorders>
              <w:top w:val="nil"/>
              <w:left w:val="nil"/>
              <w:bottom w:val="nil"/>
              <w:right w:val="nil"/>
            </w:tcBorders>
          </w:tcPr>
          <w:p w:rsidRPr="00897182" w:rsidR="007071BD" w:rsidP="007071BD" w:rsidRDefault="007071BD" w14:paraId="47563E07"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13.7</w:t>
            </w:r>
          </w:p>
        </w:tc>
      </w:tr>
      <w:tr w:rsidRPr="00897182" w:rsidR="00897182" w:rsidTr="009E6925" w14:paraId="733723B3" w14:textId="77777777">
        <w:tblPrEx>
          <w:tblCellMar>
            <w:left w:w="108" w:type="dxa"/>
            <w:right w:w="108" w:type="dxa"/>
          </w:tblCellMar>
        </w:tblPrEx>
        <w:tc>
          <w:tcPr>
            <w:tcW w:w="2965" w:type="dxa"/>
            <w:tcBorders>
              <w:top w:val="nil"/>
              <w:left w:val="nil"/>
              <w:bottom w:val="nil"/>
              <w:right w:val="nil"/>
            </w:tcBorders>
          </w:tcPr>
          <w:p w:rsidRPr="00897182" w:rsidR="007071BD" w:rsidP="007071BD" w:rsidRDefault="007071BD" w14:paraId="6FE85BD9"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Overall Sample (n=5,510)</w:t>
            </w:r>
            <w:r w:rsidRPr="00897182">
              <w:rPr>
                <w:rFonts w:ascii="Arial" w:hAnsi="Arial" w:cs="Arial"/>
                <w:color w:val="FF0000"/>
                <w:kern w:val="16"/>
                <w:sz w:val="18"/>
                <w:szCs w:val="18"/>
                <w:vertAlign w:val="superscript"/>
              </w:rPr>
              <w:t>1</w:t>
            </w:r>
          </w:p>
        </w:tc>
        <w:tc>
          <w:tcPr>
            <w:tcW w:w="2281" w:type="dxa"/>
            <w:tcBorders>
              <w:top w:val="nil"/>
              <w:left w:val="nil"/>
              <w:bottom w:val="nil"/>
              <w:right w:val="nil"/>
            </w:tcBorders>
          </w:tcPr>
          <w:p w:rsidRPr="00897182" w:rsidR="007071BD" w:rsidP="007071BD" w:rsidRDefault="007071BD" w14:paraId="40188C9E"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14.4</w:t>
            </w:r>
          </w:p>
        </w:tc>
        <w:tc>
          <w:tcPr>
            <w:tcW w:w="2282" w:type="dxa"/>
            <w:tcBorders>
              <w:top w:val="nil"/>
              <w:left w:val="nil"/>
              <w:bottom w:val="nil"/>
              <w:right w:val="nil"/>
            </w:tcBorders>
          </w:tcPr>
          <w:p w:rsidRPr="00897182" w:rsidR="007071BD" w:rsidP="007071BD" w:rsidRDefault="007071BD" w14:paraId="08D75BC0"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14.9</w:t>
            </w:r>
          </w:p>
        </w:tc>
        <w:tc>
          <w:tcPr>
            <w:tcW w:w="2282" w:type="dxa"/>
            <w:tcBorders>
              <w:top w:val="nil"/>
              <w:left w:val="nil"/>
              <w:bottom w:val="nil"/>
              <w:right w:val="nil"/>
            </w:tcBorders>
          </w:tcPr>
          <w:p w:rsidRPr="00897182" w:rsidR="007071BD" w:rsidP="007071BD" w:rsidRDefault="007071BD" w14:paraId="48E779C4"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15.1</w:t>
            </w:r>
          </w:p>
        </w:tc>
      </w:tr>
      <w:tr w:rsidRPr="00897182" w:rsidR="00897182" w:rsidTr="009E6925" w14:paraId="2865BD9A" w14:textId="77777777">
        <w:tblPrEx>
          <w:tblCellMar>
            <w:left w:w="108" w:type="dxa"/>
            <w:right w:w="108" w:type="dxa"/>
          </w:tblCellMar>
        </w:tblPrEx>
        <w:tc>
          <w:tcPr>
            <w:tcW w:w="9810" w:type="dxa"/>
            <w:gridSpan w:val="4"/>
            <w:tcBorders>
              <w:top w:val="nil"/>
              <w:left w:val="nil"/>
              <w:bottom w:val="nil"/>
              <w:right w:val="nil"/>
            </w:tcBorders>
          </w:tcPr>
          <w:p w:rsidRPr="00897182" w:rsidR="007071BD" w:rsidP="007071BD" w:rsidRDefault="007071BD" w14:paraId="25617F84" w14:textId="77777777">
            <w:pPr>
              <w:keepNext/>
              <w:tabs>
                <w:tab w:val="decimal" w:pos="609"/>
              </w:tabs>
              <w:autoSpaceDE w:val="0"/>
              <w:autoSpaceDN w:val="0"/>
              <w:adjustRightInd w:val="0"/>
              <w:rPr>
                <w:rFonts w:ascii="Arial" w:hAnsi="Arial" w:cs="Arial"/>
                <w:color w:val="FF0000"/>
                <w:kern w:val="16"/>
                <w:sz w:val="18"/>
                <w:szCs w:val="18"/>
              </w:rPr>
            </w:pPr>
            <w:r w:rsidRPr="00897182">
              <w:rPr>
                <w:rFonts w:ascii="Arial" w:hAnsi="Arial" w:cs="Arial"/>
                <w:b/>
                <w:bCs/>
                <w:color w:val="FF0000"/>
                <w:kern w:val="16"/>
                <w:sz w:val="18"/>
                <w:szCs w:val="18"/>
              </w:rPr>
              <w:t>Potential FTB</w:t>
            </w:r>
            <w:r w:rsidRPr="00897182">
              <w:rPr>
                <w:rFonts w:ascii="Arial" w:hAnsi="Arial" w:cs="Arial"/>
                <w:color w:val="FF0000"/>
                <w:kern w:val="16"/>
                <w:sz w:val="18"/>
                <w:szCs w:val="18"/>
              </w:rPr>
              <w:t xml:space="preserve"> (in percent)</w:t>
            </w:r>
          </w:p>
        </w:tc>
      </w:tr>
      <w:tr w:rsidRPr="00897182" w:rsidR="00897182" w:rsidTr="009E6925" w14:paraId="26B921EC" w14:textId="77777777">
        <w:tblPrEx>
          <w:tblCellMar>
            <w:left w:w="108" w:type="dxa"/>
            <w:right w:w="108" w:type="dxa"/>
          </w:tblCellMar>
        </w:tblPrEx>
        <w:tc>
          <w:tcPr>
            <w:tcW w:w="2965" w:type="dxa"/>
            <w:tcBorders>
              <w:top w:val="nil"/>
              <w:left w:val="nil"/>
              <w:bottom w:val="nil"/>
              <w:right w:val="nil"/>
            </w:tcBorders>
          </w:tcPr>
          <w:p w:rsidRPr="00897182" w:rsidR="007071BD" w:rsidP="007071BD" w:rsidRDefault="007071BD" w14:paraId="62277DD5"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 xml:space="preserve">Phase 1 </w:t>
            </w:r>
          </w:p>
        </w:tc>
        <w:tc>
          <w:tcPr>
            <w:tcW w:w="2281" w:type="dxa"/>
            <w:tcBorders>
              <w:top w:val="nil"/>
              <w:left w:val="nil"/>
              <w:bottom w:val="nil"/>
              <w:right w:val="nil"/>
            </w:tcBorders>
          </w:tcPr>
          <w:p w:rsidRPr="00897182" w:rsidR="007071BD" w:rsidP="007071BD" w:rsidRDefault="007071BD" w14:paraId="201339C2"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19.7</w:t>
            </w:r>
          </w:p>
        </w:tc>
        <w:tc>
          <w:tcPr>
            <w:tcW w:w="2282" w:type="dxa"/>
            <w:tcBorders>
              <w:top w:val="nil"/>
              <w:left w:val="nil"/>
              <w:bottom w:val="nil"/>
              <w:right w:val="nil"/>
            </w:tcBorders>
          </w:tcPr>
          <w:p w:rsidRPr="00897182" w:rsidR="007071BD" w:rsidP="007071BD" w:rsidRDefault="007071BD" w14:paraId="1C9B981A"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21.3</w:t>
            </w:r>
          </w:p>
        </w:tc>
        <w:tc>
          <w:tcPr>
            <w:tcW w:w="2282" w:type="dxa"/>
            <w:tcBorders>
              <w:top w:val="nil"/>
              <w:left w:val="nil"/>
              <w:bottom w:val="nil"/>
              <w:right w:val="nil"/>
            </w:tcBorders>
          </w:tcPr>
          <w:p w:rsidRPr="00897182" w:rsidR="007071BD" w:rsidP="007071BD" w:rsidRDefault="007071BD" w14:paraId="1826E202"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19.1</w:t>
            </w:r>
          </w:p>
        </w:tc>
      </w:tr>
      <w:tr w:rsidRPr="00897182" w:rsidR="00897182" w:rsidTr="009E6925" w14:paraId="6B8E273B" w14:textId="77777777">
        <w:tblPrEx>
          <w:tblCellMar>
            <w:left w:w="108" w:type="dxa"/>
            <w:right w:w="108" w:type="dxa"/>
          </w:tblCellMar>
        </w:tblPrEx>
        <w:tc>
          <w:tcPr>
            <w:tcW w:w="2965" w:type="dxa"/>
            <w:tcBorders>
              <w:top w:val="nil"/>
              <w:left w:val="nil"/>
              <w:bottom w:val="nil"/>
              <w:right w:val="nil"/>
            </w:tcBorders>
          </w:tcPr>
          <w:p w:rsidRPr="00897182" w:rsidR="007071BD" w:rsidP="007071BD" w:rsidRDefault="007071BD" w14:paraId="2757213E"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 xml:space="preserve">Phase 1 + Phase 2 </w:t>
            </w:r>
          </w:p>
          <w:p w:rsidRPr="00897182" w:rsidR="007071BD" w:rsidP="007071BD" w:rsidRDefault="007071BD" w14:paraId="54A31E70"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(nonresponse follow-up)</w:t>
            </w:r>
          </w:p>
        </w:tc>
        <w:tc>
          <w:tcPr>
            <w:tcW w:w="2281" w:type="dxa"/>
            <w:tcBorders>
              <w:top w:val="nil"/>
              <w:left w:val="nil"/>
              <w:bottom w:val="nil"/>
              <w:right w:val="nil"/>
            </w:tcBorders>
          </w:tcPr>
          <w:p w:rsidRPr="00897182" w:rsidR="007071BD" w:rsidP="007071BD" w:rsidRDefault="007071BD" w14:paraId="10D3A381"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20.1</w:t>
            </w:r>
          </w:p>
        </w:tc>
        <w:tc>
          <w:tcPr>
            <w:tcW w:w="2282" w:type="dxa"/>
            <w:tcBorders>
              <w:top w:val="nil"/>
              <w:left w:val="nil"/>
              <w:bottom w:val="nil"/>
              <w:right w:val="nil"/>
            </w:tcBorders>
          </w:tcPr>
          <w:p w:rsidRPr="00897182" w:rsidR="007071BD" w:rsidP="007071BD" w:rsidRDefault="007071BD" w14:paraId="22344629"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21.6</w:t>
            </w:r>
          </w:p>
        </w:tc>
        <w:tc>
          <w:tcPr>
            <w:tcW w:w="2282" w:type="dxa"/>
            <w:tcBorders>
              <w:top w:val="nil"/>
              <w:left w:val="nil"/>
              <w:bottom w:val="nil"/>
              <w:right w:val="nil"/>
            </w:tcBorders>
          </w:tcPr>
          <w:p w:rsidRPr="00897182" w:rsidR="007071BD" w:rsidP="007071BD" w:rsidRDefault="007071BD" w14:paraId="4A745282"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19.3</w:t>
            </w:r>
          </w:p>
        </w:tc>
      </w:tr>
      <w:tr w:rsidRPr="00897182" w:rsidR="00897182" w:rsidTr="009E6925" w14:paraId="142400C0" w14:textId="77777777">
        <w:tblPrEx>
          <w:tblCellMar>
            <w:left w:w="108" w:type="dxa"/>
            <w:right w:w="108" w:type="dxa"/>
          </w:tblCellMar>
        </w:tblPrEx>
        <w:tc>
          <w:tcPr>
            <w:tcW w:w="2965" w:type="dxa"/>
            <w:tcBorders>
              <w:top w:val="nil"/>
              <w:left w:val="nil"/>
              <w:bottom w:val="nil"/>
              <w:right w:val="nil"/>
            </w:tcBorders>
          </w:tcPr>
          <w:p w:rsidRPr="00897182" w:rsidR="007071BD" w:rsidP="007071BD" w:rsidRDefault="007071BD" w14:paraId="4783F2C0"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Overall Sample (n=6,080)</w:t>
            </w:r>
          </w:p>
        </w:tc>
        <w:tc>
          <w:tcPr>
            <w:tcW w:w="2281" w:type="dxa"/>
            <w:tcBorders>
              <w:top w:val="nil"/>
              <w:left w:val="nil"/>
              <w:bottom w:val="nil"/>
              <w:right w:val="nil"/>
            </w:tcBorders>
          </w:tcPr>
          <w:p w:rsidRPr="00897182" w:rsidR="007071BD" w:rsidP="007071BD" w:rsidRDefault="007071BD" w14:paraId="2C049461"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22.4</w:t>
            </w:r>
          </w:p>
        </w:tc>
        <w:tc>
          <w:tcPr>
            <w:tcW w:w="2282" w:type="dxa"/>
            <w:tcBorders>
              <w:top w:val="nil"/>
              <w:left w:val="nil"/>
              <w:bottom w:val="nil"/>
              <w:right w:val="nil"/>
            </w:tcBorders>
          </w:tcPr>
          <w:p w:rsidRPr="00897182" w:rsidR="007071BD" w:rsidP="007071BD" w:rsidRDefault="007071BD" w14:paraId="46BD24E8"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23.7</w:t>
            </w:r>
          </w:p>
        </w:tc>
        <w:tc>
          <w:tcPr>
            <w:tcW w:w="2282" w:type="dxa"/>
            <w:tcBorders>
              <w:top w:val="nil"/>
              <w:left w:val="nil"/>
              <w:bottom w:val="nil"/>
              <w:right w:val="nil"/>
            </w:tcBorders>
          </w:tcPr>
          <w:p w:rsidRPr="00897182" w:rsidR="007071BD" w:rsidP="007071BD" w:rsidRDefault="007071BD" w14:paraId="613D9FB0"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22.4</w:t>
            </w:r>
          </w:p>
        </w:tc>
      </w:tr>
      <w:tr w:rsidRPr="00897182" w:rsidR="00897182" w:rsidTr="009E6925" w14:paraId="07C1DC54" w14:textId="77777777">
        <w:tblPrEx>
          <w:tblCellMar>
            <w:left w:w="108" w:type="dxa"/>
            <w:right w:w="108" w:type="dxa"/>
          </w:tblCellMar>
        </w:tblPrEx>
        <w:tc>
          <w:tcPr>
            <w:tcW w:w="9810" w:type="dxa"/>
            <w:gridSpan w:val="4"/>
            <w:tcBorders>
              <w:top w:val="nil"/>
              <w:left w:val="nil"/>
              <w:bottom w:val="nil"/>
              <w:right w:val="nil"/>
            </w:tcBorders>
          </w:tcPr>
          <w:p w:rsidRPr="00897182" w:rsidR="007071BD" w:rsidP="007071BD" w:rsidRDefault="007071BD" w14:paraId="443D891C" w14:textId="77777777">
            <w:pPr>
              <w:keepNext/>
              <w:tabs>
                <w:tab w:val="decimal" w:pos="609"/>
              </w:tabs>
              <w:autoSpaceDE w:val="0"/>
              <w:autoSpaceDN w:val="0"/>
              <w:adjustRightInd w:val="0"/>
              <w:rPr>
                <w:rFonts w:ascii="Arial" w:hAnsi="Arial" w:cs="Arial"/>
                <w:color w:val="FF0000"/>
                <w:kern w:val="16"/>
                <w:sz w:val="18"/>
                <w:szCs w:val="18"/>
              </w:rPr>
            </w:pPr>
            <w:r w:rsidRPr="00897182">
              <w:rPr>
                <w:rFonts w:ascii="Arial" w:hAnsi="Arial" w:cs="Arial"/>
                <w:b/>
                <w:bCs/>
                <w:color w:val="FF0000"/>
                <w:kern w:val="16"/>
                <w:sz w:val="18"/>
                <w:szCs w:val="18"/>
              </w:rPr>
              <w:t>Graduate Student</w:t>
            </w:r>
            <w:r w:rsidRPr="00897182">
              <w:rPr>
                <w:rFonts w:ascii="Arial" w:hAnsi="Arial" w:cs="Arial"/>
                <w:color w:val="FF0000"/>
                <w:kern w:val="16"/>
                <w:sz w:val="18"/>
                <w:szCs w:val="18"/>
              </w:rPr>
              <w:t xml:space="preserve"> (in percent)</w:t>
            </w:r>
          </w:p>
        </w:tc>
      </w:tr>
      <w:tr w:rsidRPr="00897182" w:rsidR="00897182" w:rsidTr="009E6925" w14:paraId="68A41FA7" w14:textId="77777777">
        <w:tblPrEx>
          <w:tblCellMar>
            <w:left w:w="108" w:type="dxa"/>
            <w:right w:w="108" w:type="dxa"/>
          </w:tblCellMar>
        </w:tblPrEx>
        <w:tc>
          <w:tcPr>
            <w:tcW w:w="2965" w:type="dxa"/>
            <w:tcBorders>
              <w:top w:val="nil"/>
              <w:left w:val="nil"/>
              <w:bottom w:val="nil"/>
              <w:right w:val="nil"/>
            </w:tcBorders>
          </w:tcPr>
          <w:p w:rsidRPr="00897182" w:rsidR="007071BD" w:rsidP="007071BD" w:rsidRDefault="007071BD" w14:paraId="332E3E3C"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 xml:space="preserve">Phase 1 </w:t>
            </w:r>
          </w:p>
        </w:tc>
        <w:tc>
          <w:tcPr>
            <w:tcW w:w="2281" w:type="dxa"/>
            <w:tcBorders>
              <w:top w:val="nil"/>
              <w:left w:val="nil"/>
              <w:bottom w:val="nil"/>
              <w:right w:val="nil"/>
            </w:tcBorders>
          </w:tcPr>
          <w:p w:rsidRPr="00897182" w:rsidR="007071BD" w:rsidP="007071BD" w:rsidRDefault="007071BD" w14:paraId="101654B9"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15.1</w:t>
            </w:r>
          </w:p>
        </w:tc>
        <w:tc>
          <w:tcPr>
            <w:tcW w:w="2282" w:type="dxa"/>
            <w:tcBorders>
              <w:top w:val="nil"/>
              <w:left w:val="nil"/>
              <w:bottom w:val="nil"/>
              <w:right w:val="nil"/>
            </w:tcBorders>
          </w:tcPr>
          <w:p w:rsidRPr="00897182" w:rsidR="007071BD" w:rsidP="007071BD" w:rsidRDefault="007071BD" w14:paraId="43BCF747"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15.0</w:t>
            </w:r>
          </w:p>
        </w:tc>
        <w:tc>
          <w:tcPr>
            <w:tcW w:w="2282" w:type="dxa"/>
            <w:tcBorders>
              <w:top w:val="nil"/>
              <w:left w:val="nil"/>
              <w:bottom w:val="nil"/>
              <w:right w:val="nil"/>
            </w:tcBorders>
          </w:tcPr>
          <w:p w:rsidRPr="00897182" w:rsidR="007071BD" w:rsidP="007071BD" w:rsidRDefault="007071BD" w14:paraId="43672FDE"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15.9</w:t>
            </w:r>
          </w:p>
        </w:tc>
      </w:tr>
      <w:tr w:rsidRPr="00897182" w:rsidR="00897182" w:rsidTr="009E6925" w14:paraId="340418E5" w14:textId="77777777">
        <w:tblPrEx>
          <w:tblCellMar>
            <w:left w:w="108" w:type="dxa"/>
            <w:right w:w="108" w:type="dxa"/>
          </w:tblCellMar>
        </w:tblPrEx>
        <w:tc>
          <w:tcPr>
            <w:tcW w:w="2965" w:type="dxa"/>
            <w:tcBorders>
              <w:top w:val="nil"/>
              <w:left w:val="nil"/>
              <w:bottom w:val="nil"/>
              <w:right w:val="nil"/>
            </w:tcBorders>
          </w:tcPr>
          <w:p w:rsidRPr="00897182" w:rsidR="007071BD" w:rsidP="007071BD" w:rsidRDefault="007071BD" w14:paraId="7B5F38DC"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 xml:space="preserve">Phase 1 + Phase 2 </w:t>
            </w:r>
          </w:p>
          <w:p w:rsidRPr="00897182" w:rsidR="007071BD" w:rsidP="007071BD" w:rsidRDefault="007071BD" w14:paraId="0F153F0B"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(nonresponse follow-up)</w:t>
            </w:r>
          </w:p>
        </w:tc>
        <w:tc>
          <w:tcPr>
            <w:tcW w:w="2281" w:type="dxa"/>
            <w:tcBorders>
              <w:top w:val="nil"/>
              <w:left w:val="nil"/>
              <w:bottom w:val="nil"/>
              <w:right w:val="nil"/>
            </w:tcBorders>
          </w:tcPr>
          <w:p w:rsidRPr="00897182" w:rsidR="007071BD" w:rsidP="007071BD" w:rsidRDefault="007071BD" w14:paraId="3D204ADC"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15.2</w:t>
            </w:r>
          </w:p>
        </w:tc>
        <w:tc>
          <w:tcPr>
            <w:tcW w:w="2282" w:type="dxa"/>
            <w:tcBorders>
              <w:top w:val="nil"/>
              <w:left w:val="nil"/>
              <w:bottom w:val="nil"/>
              <w:right w:val="nil"/>
            </w:tcBorders>
          </w:tcPr>
          <w:p w:rsidRPr="00897182" w:rsidR="007071BD" w:rsidP="007071BD" w:rsidRDefault="007071BD" w14:paraId="1AE4A6CD"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14.1</w:t>
            </w:r>
          </w:p>
        </w:tc>
        <w:tc>
          <w:tcPr>
            <w:tcW w:w="2282" w:type="dxa"/>
            <w:tcBorders>
              <w:top w:val="nil"/>
              <w:left w:val="nil"/>
              <w:bottom w:val="nil"/>
              <w:right w:val="nil"/>
            </w:tcBorders>
          </w:tcPr>
          <w:p w:rsidRPr="00897182" w:rsidR="007071BD" w:rsidP="007071BD" w:rsidRDefault="007071BD" w14:paraId="50DFC7E2"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15.8</w:t>
            </w:r>
          </w:p>
        </w:tc>
      </w:tr>
      <w:tr w:rsidRPr="00897182" w:rsidR="00897182" w:rsidTr="009E6925" w14:paraId="05143DB5" w14:textId="77777777">
        <w:tblPrEx>
          <w:tblCellMar>
            <w:left w:w="108" w:type="dxa"/>
            <w:right w:w="108" w:type="dxa"/>
          </w:tblCellMar>
        </w:tblPrEx>
        <w:tc>
          <w:tcPr>
            <w:tcW w:w="2965" w:type="dxa"/>
            <w:tcBorders>
              <w:top w:val="nil"/>
              <w:left w:val="nil"/>
              <w:bottom w:val="single" w:color="auto" w:sz="12" w:space="0"/>
              <w:right w:val="nil"/>
            </w:tcBorders>
          </w:tcPr>
          <w:p w:rsidRPr="00897182" w:rsidR="007071BD" w:rsidP="007071BD" w:rsidRDefault="007071BD" w14:paraId="1C3BE355" w14:textId="77777777">
            <w:pPr>
              <w:keepNext/>
              <w:autoSpaceDE w:val="0"/>
              <w:autoSpaceDN w:val="0"/>
              <w:adjustRightInd w:val="0"/>
              <w:ind w:left="155"/>
              <w:rPr>
                <w:rFonts w:ascii="Arial" w:hAnsi="Arial" w:cs="Arial"/>
                <w:color w:val="FF0000"/>
                <w:kern w:val="16"/>
                <w:sz w:val="18"/>
                <w:szCs w:val="18"/>
              </w:rPr>
            </w:pPr>
            <w:r w:rsidRPr="00897182">
              <w:rPr>
                <w:rFonts w:ascii="Arial" w:hAnsi="Arial" w:cs="Arial"/>
                <w:color w:val="FF0000"/>
                <w:kern w:val="16"/>
                <w:sz w:val="18"/>
                <w:szCs w:val="18"/>
              </w:rPr>
              <w:t>Overall Sample (n=6,080)</w:t>
            </w:r>
          </w:p>
        </w:tc>
        <w:tc>
          <w:tcPr>
            <w:tcW w:w="2281" w:type="dxa"/>
            <w:tcBorders>
              <w:top w:val="nil"/>
              <w:left w:val="nil"/>
              <w:bottom w:val="single" w:color="auto" w:sz="12" w:space="0"/>
              <w:right w:val="nil"/>
            </w:tcBorders>
          </w:tcPr>
          <w:p w:rsidRPr="00897182" w:rsidR="007071BD" w:rsidP="007071BD" w:rsidRDefault="007071BD" w14:paraId="408CFB10"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12.9</w:t>
            </w:r>
          </w:p>
        </w:tc>
        <w:tc>
          <w:tcPr>
            <w:tcW w:w="2282" w:type="dxa"/>
            <w:tcBorders>
              <w:top w:val="nil"/>
              <w:left w:val="nil"/>
              <w:bottom w:val="single" w:color="auto" w:sz="12" w:space="0"/>
              <w:right w:val="nil"/>
            </w:tcBorders>
          </w:tcPr>
          <w:p w:rsidRPr="00897182" w:rsidR="007071BD" w:rsidP="007071BD" w:rsidRDefault="007071BD" w14:paraId="7B885DB7"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11.7</w:t>
            </w:r>
          </w:p>
        </w:tc>
        <w:tc>
          <w:tcPr>
            <w:tcW w:w="2282" w:type="dxa"/>
            <w:tcBorders>
              <w:top w:val="nil"/>
              <w:left w:val="nil"/>
              <w:bottom w:val="single" w:color="auto" w:sz="12" w:space="0"/>
              <w:right w:val="nil"/>
            </w:tcBorders>
          </w:tcPr>
          <w:p w:rsidRPr="00897182" w:rsidR="007071BD" w:rsidP="007071BD" w:rsidRDefault="007071BD" w14:paraId="39802B91" w14:textId="77777777">
            <w:pPr>
              <w:keepNext/>
              <w:tabs>
                <w:tab w:val="decimal" w:pos="609"/>
              </w:tabs>
              <w:autoSpaceDE w:val="0"/>
              <w:autoSpaceDN w:val="0"/>
              <w:adjustRightInd w:val="0"/>
              <w:jc w:val="center"/>
              <w:rPr>
                <w:rFonts w:ascii="Arial" w:hAnsi="Arial" w:cs="Arial"/>
                <w:color w:val="FF0000"/>
                <w:kern w:val="16"/>
                <w:sz w:val="18"/>
                <w:szCs w:val="18"/>
              </w:rPr>
            </w:pPr>
            <w:r w:rsidRPr="00897182">
              <w:rPr>
                <w:rFonts w:ascii="Arial" w:hAnsi="Arial" w:cs="Arial"/>
                <w:color w:val="FF0000"/>
                <w:kern w:val="16"/>
                <w:sz w:val="18"/>
                <w:szCs w:val="18"/>
              </w:rPr>
              <w:t>13.3</w:t>
            </w:r>
          </w:p>
        </w:tc>
      </w:tr>
      <w:tr w:rsidRPr="00897182" w:rsidR="007071BD" w:rsidTr="009E6925" w14:paraId="7E81C384" w14:textId="77777777">
        <w:tblPrEx>
          <w:tblCellMar>
            <w:left w:w="108" w:type="dxa"/>
            <w:right w:w="108" w:type="dxa"/>
          </w:tblCellMar>
        </w:tblPrEx>
        <w:trPr>
          <w:trHeight w:val="629"/>
        </w:trPr>
        <w:tc>
          <w:tcPr>
            <w:tcW w:w="9810" w:type="dxa"/>
            <w:gridSpan w:val="4"/>
            <w:tcBorders>
              <w:left w:val="nil"/>
              <w:bottom w:val="nil"/>
              <w:right w:val="nil"/>
            </w:tcBorders>
          </w:tcPr>
          <w:p w:rsidRPr="00897182" w:rsidR="007071BD" w:rsidP="007071BD" w:rsidRDefault="007071BD" w14:paraId="74900F09" w14:textId="77777777">
            <w:pPr>
              <w:keepNext/>
              <w:autoSpaceDE w:val="0"/>
              <w:autoSpaceDN w:val="0"/>
              <w:adjustRightInd w:val="0"/>
              <w:rPr>
                <w:rFonts w:ascii="Arial" w:hAnsi="Arial" w:cs="Arial"/>
                <w:color w:val="FF0000"/>
                <w:kern w:val="16"/>
                <w:sz w:val="16"/>
                <w:szCs w:val="16"/>
              </w:rPr>
            </w:pPr>
            <w:r w:rsidRPr="00897182">
              <w:rPr>
                <w:rFonts w:ascii="Arial" w:hAnsi="Arial" w:cs="Arial"/>
                <w:color w:val="FF0000"/>
                <w:kern w:val="16"/>
                <w:sz w:val="16"/>
                <w:szCs w:val="16"/>
                <w:vertAlign w:val="superscript"/>
              </w:rPr>
              <w:t>1</w:t>
            </w:r>
            <w:r w:rsidRPr="00897182">
              <w:rPr>
                <w:rFonts w:ascii="Arial" w:hAnsi="Arial" w:cs="Arial"/>
                <w:color w:val="FF0000"/>
                <w:kern w:val="16"/>
                <w:sz w:val="16"/>
                <w:szCs w:val="16"/>
              </w:rPr>
              <w:t xml:space="preserve"> Sample sizes for the overall differ due to missing data.</w:t>
            </w:r>
          </w:p>
          <w:p w:rsidRPr="00897182" w:rsidR="007071BD" w:rsidP="007071BD" w:rsidRDefault="007071BD" w14:paraId="559DB4A5" w14:textId="77777777">
            <w:pPr>
              <w:keepNext/>
              <w:autoSpaceDE w:val="0"/>
              <w:autoSpaceDN w:val="0"/>
              <w:adjustRightInd w:val="0"/>
              <w:rPr>
                <w:rFonts w:ascii="Arial" w:hAnsi="Arial" w:cs="Arial"/>
                <w:color w:val="FF0000"/>
                <w:kern w:val="16"/>
                <w:sz w:val="16"/>
                <w:szCs w:val="16"/>
              </w:rPr>
            </w:pPr>
            <w:r w:rsidRPr="00897182">
              <w:rPr>
                <w:rFonts w:ascii="Arial" w:hAnsi="Arial" w:cs="Arial"/>
                <w:color w:val="FF0000"/>
                <w:kern w:val="16"/>
                <w:sz w:val="16"/>
                <w:szCs w:val="16"/>
              </w:rPr>
              <w:t xml:space="preserve">Note: Results exclude ineligible cases. Partial interviews are considered </w:t>
            </w:r>
            <w:proofErr w:type="spellStart"/>
            <w:r w:rsidRPr="00897182">
              <w:rPr>
                <w:rFonts w:ascii="Arial" w:hAnsi="Arial" w:cs="Arial"/>
                <w:color w:val="FF0000"/>
                <w:kern w:val="16"/>
                <w:sz w:val="16"/>
                <w:szCs w:val="16"/>
              </w:rPr>
              <w:t>nonrespondents</w:t>
            </w:r>
            <w:proofErr w:type="spellEnd"/>
            <w:r w:rsidRPr="00897182">
              <w:rPr>
                <w:rFonts w:ascii="Arial" w:hAnsi="Arial" w:cs="Arial"/>
                <w:color w:val="FF0000"/>
                <w:kern w:val="16"/>
                <w:sz w:val="16"/>
                <w:szCs w:val="16"/>
              </w:rPr>
              <w:t xml:space="preserve"> for analytic purposes.</w:t>
            </w:r>
          </w:p>
          <w:p w:rsidRPr="00897182" w:rsidR="007071BD" w:rsidP="007071BD" w:rsidRDefault="007071BD" w14:paraId="1E27F8D5" w14:textId="77777777">
            <w:pPr>
              <w:keepNext/>
              <w:autoSpaceDE w:val="0"/>
              <w:autoSpaceDN w:val="0"/>
              <w:adjustRightInd w:val="0"/>
              <w:rPr>
                <w:rFonts w:ascii="Arial" w:hAnsi="Arial" w:cs="Arial"/>
                <w:color w:val="FF0000"/>
                <w:kern w:val="16"/>
                <w:sz w:val="20"/>
                <w:szCs w:val="20"/>
              </w:rPr>
            </w:pPr>
            <w:r w:rsidRPr="00897182">
              <w:rPr>
                <w:rFonts w:ascii="Arial" w:hAnsi="Arial" w:cs="Arial"/>
                <w:color w:val="FF0000"/>
                <w:kern w:val="16"/>
                <w:sz w:val="16"/>
                <w:szCs w:val="16"/>
              </w:rPr>
              <w:t>Source: U.S. Department of Education, National Center for Education Statistics, 2019–20 National Postsecondary Student Aid Study (NPSAS:20)</w:t>
            </w:r>
          </w:p>
        </w:tc>
      </w:tr>
    </w:tbl>
    <w:p w:rsidRPr="00897182" w:rsidR="00223062" w:rsidP="00234A8E" w:rsidRDefault="00223062" w14:paraId="7400F577" w14:textId="35798884">
      <w:pPr>
        <w:widowControl w:val="0"/>
        <w:rPr>
          <w:color w:val="FF0000"/>
        </w:rPr>
      </w:pPr>
    </w:p>
    <w:p w:rsidRPr="00897182" w:rsidR="007071BD" w:rsidP="007071BD" w:rsidRDefault="007071BD" w14:paraId="7C1E5E26" w14:textId="45768DA2">
      <w:pPr>
        <w:rPr>
          <w:color w:val="FF0000"/>
        </w:rPr>
      </w:pPr>
      <w:r w:rsidRPr="00897182">
        <w:rPr>
          <w:color w:val="FF0000"/>
        </w:rPr>
        <w:t xml:space="preserve">Overall, given no significant advantage of the $2 prepaid incentive and no statistically significant differences between Groups 1 and 3, we recommend proceeding with the incentive design for Group 3 ($30 promised incentive) for the NPSAS:20 main data collection. </w:t>
      </w:r>
    </w:p>
    <w:p w:rsidRPr="00897182" w:rsidR="007071BD" w:rsidP="007071BD" w:rsidRDefault="007071BD" w14:paraId="70245292" w14:textId="77777777">
      <w:pPr>
        <w:rPr>
          <w:color w:val="FF0000"/>
        </w:rPr>
      </w:pPr>
    </w:p>
    <w:p w:rsidRPr="00897182" w:rsidR="007071BD" w:rsidP="007071BD" w:rsidRDefault="007071BD" w14:paraId="340EC2A7" w14:textId="77777777">
      <w:pPr>
        <w:pStyle w:val="BodyText"/>
        <w:widowControl w:val="0"/>
        <w:rPr>
          <w:b w:val="0"/>
          <w:bCs w:val="0"/>
          <w:color w:val="FF0000"/>
        </w:rPr>
      </w:pPr>
      <w:r w:rsidRPr="00897182">
        <w:rPr>
          <w:b w:val="0"/>
          <w:bCs w:val="0"/>
          <w:color w:val="FF0000"/>
        </w:rPr>
        <w:t xml:space="preserve">However, we recommend the use of the $10 prepaid PayPal or check incentives in the main data collection (as originally planned for the calibration before COVID-19) with a $20 promised incentive as needed as a last-effort-targeted intervention in either Phase 2 or 3 for nonresponding sample members who are hard to get (e.g., sample members from for-profit institutions, who are fielded later in data collection and tend to have lower response rates as a result of a shorter field period; FTBs, etc.). The Phase 2 data so far show that response rates are statistically significantly increased among students who did claim their prepaid $10 PayPal incentive (28.1 percent) compared to those who did not (4.9 percent; </w:t>
      </w:r>
      <w:r w:rsidRPr="00897182">
        <w:rPr>
          <w:b w:val="0"/>
          <w:bCs w:val="0"/>
          <w:i/>
          <w:iCs/>
          <w:color w:val="FF0000"/>
        </w:rPr>
        <w:t xml:space="preserve">z </w:t>
      </w:r>
      <w:r w:rsidRPr="00897182">
        <w:rPr>
          <w:b w:val="0"/>
          <w:bCs w:val="0"/>
          <w:color w:val="FF0000"/>
        </w:rPr>
        <w:t xml:space="preserve">= 8.71, </w:t>
      </w:r>
      <w:r w:rsidRPr="00897182">
        <w:rPr>
          <w:b w:val="0"/>
          <w:bCs w:val="0"/>
          <w:i/>
          <w:iCs/>
          <w:color w:val="FF0000"/>
        </w:rPr>
        <w:t>p</w:t>
      </w:r>
      <w:r w:rsidRPr="00897182">
        <w:rPr>
          <w:b w:val="0"/>
          <w:bCs w:val="0"/>
          <w:color w:val="FF0000"/>
        </w:rPr>
        <w:t xml:space="preserve"> &lt; 0.001). The overall difference is still statistically non-significant, but the gap between Group 1 and Group 3 does seem to be widening – increasing from .8 percentage points at the end of phase 1 to 2.4 percentage points currently. Unfortunately, we have too few for-profit institutions in the calibration sample to do any reliable sub-group analyses. We will continue to monitor phase capacity and response rates for these subgroups and exercise this option as needed.</w:t>
      </w:r>
    </w:p>
    <w:p w:rsidRPr="007071BD" w:rsidR="007071BD" w:rsidP="00234A8E" w:rsidRDefault="007071BD" w14:paraId="12770C45" w14:textId="77777777">
      <w:pPr>
        <w:widowControl w:val="0"/>
      </w:pPr>
    </w:p>
    <w:p w:rsidRPr="001C1845" w:rsidR="00DC2D93" w:rsidP="001C1845" w:rsidRDefault="00DC2D93" w14:paraId="682C4798" w14:textId="54A54F66">
      <w:pPr>
        <w:pStyle w:val="ListParagraph"/>
        <w:numPr>
          <w:ilvl w:val="0"/>
          <w:numId w:val="20"/>
        </w:numPr>
        <w:spacing w:before="240"/>
        <w:rPr>
          <w:rFonts w:ascii="Times New Roman" w:hAnsi="Times New Roman"/>
          <w:sz w:val="24"/>
          <w:szCs w:val="24"/>
        </w:rPr>
      </w:pPr>
      <w:r w:rsidRPr="001C1845">
        <w:rPr>
          <w:rFonts w:ascii="Times New Roman" w:hAnsi="Times New Roman"/>
          <w:sz w:val="24"/>
          <w:szCs w:val="24"/>
        </w:rPr>
        <w:t xml:space="preserve">Added a new reference </w:t>
      </w:r>
      <w:r w:rsidR="00F869DB">
        <w:rPr>
          <w:rFonts w:ascii="Times New Roman" w:hAnsi="Times New Roman"/>
          <w:sz w:val="24"/>
          <w:szCs w:val="24"/>
        </w:rPr>
        <w:t>for the footnote used in discussion of the calibration experiment</w:t>
      </w:r>
      <w:r w:rsidR="005A6CD8">
        <w:rPr>
          <w:rFonts w:ascii="Times New Roman" w:hAnsi="Times New Roman"/>
          <w:sz w:val="24"/>
          <w:szCs w:val="24"/>
        </w:rPr>
        <w:t xml:space="preserve"> results </w:t>
      </w:r>
      <w:r w:rsidRPr="001C1845">
        <w:rPr>
          <w:rFonts w:ascii="Times New Roman" w:hAnsi="Times New Roman"/>
          <w:sz w:val="24"/>
          <w:szCs w:val="24"/>
        </w:rPr>
        <w:t xml:space="preserve">(page </w:t>
      </w:r>
      <w:r w:rsidRPr="001C1845" w:rsidR="001746AA">
        <w:rPr>
          <w:rFonts w:ascii="Times New Roman" w:hAnsi="Times New Roman"/>
          <w:sz w:val="24"/>
          <w:szCs w:val="24"/>
        </w:rPr>
        <w:t>27)</w:t>
      </w:r>
      <w:r w:rsidR="00A80942">
        <w:rPr>
          <w:rFonts w:ascii="Times New Roman" w:hAnsi="Times New Roman"/>
          <w:sz w:val="24"/>
          <w:szCs w:val="24"/>
        </w:rPr>
        <w:t>.</w:t>
      </w:r>
    </w:p>
    <w:p w:rsidRPr="008F6344" w:rsidR="00CB2F74" w:rsidP="008F6344" w:rsidRDefault="00CB2F74" w14:paraId="5125959D" w14:textId="77777777"/>
    <w:p w:rsidRPr="00557294" w:rsidR="00C77FF6" w:rsidP="008F6344" w:rsidRDefault="00CB2F74" w14:paraId="54E8ED5E" w14:textId="2BC26386">
      <w:r w:rsidRPr="008F6344">
        <w:t xml:space="preserve">American Association for Public Opinion Research. 2016. </w:t>
      </w:r>
      <w:r w:rsidRPr="008F6344" w:rsidR="001F34C0">
        <w:t xml:space="preserve">Standard Definitions Final Dispositions of Case Codes and Outcome Rates for Surveys. Retrieved 05/07/2020: </w:t>
      </w:r>
      <w:hyperlink w:history="1" r:id="rId11">
        <w:r w:rsidRPr="003244C3" w:rsidR="00F22ECA">
          <w:rPr>
            <w:rStyle w:val="Hyperlink"/>
          </w:rPr>
          <w:t>https://www.aapor.org/AAPOR_Main/media/publications/Standard-Definitions20169thed</w:t>
        </w:r>
        <w:r w:rsidRPr="003248A7" w:rsidR="00F22ECA">
          <w:rPr>
            <w:rStyle w:val="Hyperlink"/>
          </w:rPr>
          <w:t>itionfinal.pdf</w:t>
        </w:r>
      </w:hyperlink>
      <w:r w:rsidRPr="003248A7" w:rsidR="00F22ECA">
        <w:t>.</w:t>
      </w:r>
    </w:p>
    <w:sectPr w:rsidRPr="00557294" w:rsidR="00C77FF6" w:rsidSect="00207E42">
      <w:headerReference w:type="even" r:id="rId12"/>
      <w:footerReference w:type="default" r:id="rId13"/>
      <w:pgSz w:w="12240" w:h="15840" w:code="1"/>
      <w:pgMar w:top="864" w:right="864" w:bottom="720" w:left="864" w:header="432"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E71AC" w14:textId="77777777" w:rsidR="00ED63E2" w:rsidRDefault="00ED63E2">
      <w:r>
        <w:separator/>
      </w:r>
    </w:p>
  </w:endnote>
  <w:endnote w:type="continuationSeparator" w:id="0">
    <w:p w14:paraId="6725EC79" w14:textId="77777777" w:rsidR="00ED63E2" w:rsidRDefault="00ED63E2">
      <w:r>
        <w:continuationSeparator/>
      </w:r>
    </w:p>
  </w:endnote>
  <w:endnote w:type="continuationNotice" w:id="1">
    <w:p w14:paraId="1F887516" w14:textId="77777777" w:rsidR="00ED63E2" w:rsidRDefault="00ED6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819523"/>
      <w:docPartObj>
        <w:docPartGallery w:val="Page Numbers (Bottom of Page)"/>
        <w:docPartUnique/>
      </w:docPartObj>
    </w:sdtPr>
    <w:sdtEndPr>
      <w:rPr>
        <w:noProof/>
      </w:rPr>
    </w:sdtEndPr>
    <w:sdtContent>
      <w:p w14:paraId="33F26816" w14:textId="1DCC390D" w:rsidR="00DA0ABB" w:rsidRDefault="00DA0AB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58FEC54" w14:textId="77777777" w:rsidR="00DA0ABB" w:rsidRDefault="00DA0AB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1A410" w14:textId="77777777" w:rsidR="00ED63E2" w:rsidRDefault="00ED63E2">
      <w:r>
        <w:separator/>
      </w:r>
    </w:p>
  </w:footnote>
  <w:footnote w:type="continuationSeparator" w:id="0">
    <w:p w14:paraId="0B5D9C41" w14:textId="77777777" w:rsidR="00ED63E2" w:rsidRDefault="00ED63E2">
      <w:r>
        <w:continuationSeparator/>
      </w:r>
    </w:p>
  </w:footnote>
  <w:footnote w:type="continuationNotice" w:id="1">
    <w:p w14:paraId="3704465C" w14:textId="77777777" w:rsidR="00ED63E2" w:rsidRDefault="00ED63E2"/>
  </w:footnote>
  <w:footnote w:id="2">
    <w:p w14:paraId="083578C2" w14:textId="35210215" w:rsidR="00106564" w:rsidRDefault="00106564">
      <w:pPr>
        <w:pStyle w:val="FootnoteText"/>
      </w:pPr>
      <w:r w:rsidRPr="008F4EA4">
        <w:rPr>
          <w:rStyle w:val="FootnoteReference"/>
          <w:color w:val="FF0000"/>
        </w:rPr>
        <w:footnoteRef/>
      </w:r>
      <w:r w:rsidRPr="008F4EA4">
        <w:rPr>
          <w:color w:val="FF0000"/>
        </w:rPr>
        <w:t xml:space="preserve"> Unless noted otherwise all response rates reported refer to the response rate 1 </w:t>
      </w:r>
      <w:r w:rsidR="005E4A99" w:rsidRPr="008F4EA4">
        <w:rPr>
          <w:color w:val="FF0000"/>
        </w:rPr>
        <w:t xml:space="preserve">(RR1) </w:t>
      </w:r>
      <w:r w:rsidRPr="008F4EA4">
        <w:rPr>
          <w:color w:val="FF0000"/>
        </w:rPr>
        <w:t>as defined by the standards of the American Association for Public Opinion Research</w:t>
      </w:r>
      <w:r w:rsidR="001D2F93" w:rsidRPr="008F4EA4">
        <w:rPr>
          <w:color w:val="FF0000"/>
        </w:rPr>
        <w:t xml:space="preserve"> (AAPOR 2016)</w:t>
      </w:r>
      <w:r w:rsidRPr="008F4EA4">
        <w:rPr>
          <w:color w:val="FF0000"/>
        </w:rPr>
        <w:t>.</w:t>
      </w:r>
      <w:r w:rsidR="005E4A99" w:rsidRPr="008F4EA4">
        <w:rPr>
          <w:color w:val="FF0000"/>
        </w:rPr>
        <w:t xml:space="preserve"> The RR1 is the number of complete interviews (excluding partial interviews) divided by the number of complete and partial interviews plus all non-interviews (excluding confirmed ineligible).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FDE0" w14:textId="77777777" w:rsidR="00DA0ABB" w:rsidRDefault="00DA0ABB">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A2113D"/>
    <w:multiLevelType w:val="hybridMultilevel"/>
    <w:tmpl w:val="EA94E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91792"/>
    <w:multiLevelType w:val="hybridMultilevel"/>
    <w:tmpl w:val="D678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8E76657"/>
    <w:multiLevelType w:val="hybridMultilevel"/>
    <w:tmpl w:val="E46A3B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1FF4065"/>
    <w:multiLevelType w:val="hybridMultilevel"/>
    <w:tmpl w:val="575CF7EE"/>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7124A6"/>
    <w:multiLevelType w:val="hybridMultilevel"/>
    <w:tmpl w:val="7E1C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7927376"/>
    <w:multiLevelType w:val="hybridMultilevel"/>
    <w:tmpl w:val="7ADCCC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062DD9"/>
    <w:multiLevelType w:val="multilevel"/>
    <w:tmpl w:val="4ED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FD94A13"/>
    <w:multiLevelType w:val="hybridMultilevel"/>
    <w:tmpl w:val="45C8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70A26"/>
    <w:multiLevelType w:val="hybridMultilevel"/>
    <w:tmpl w:val="F0FE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D83BDF"/>
    <w:multiLevelType w:val="multilevel"/>
    <w:tmpl w:val="33E43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9A567A"/>
    <w:multiLevelType w:val="hybridMultilevel"/>
    <w:tmpl w:val="2BBC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D563F1"/>
    <w:multiLevelType w:val="hybridMultilevel"/>
    <w:tmpl w:val="CBD8D946"/>
    <w:lvl w:ilvl="0" w:tplc="4522922E">
      <w:numFmt w:val="bullet"/>
      <w:lvlText w:val=""/>
      <w:lvlJc w:val="left"/>
      <w:pPr>
        <w:ind w:left="795" w:hanging="360"/>
      </w:pPr>
      <w:rPr>
        <w:rFonts w:ascii="Symbol" w:eastAsiaTheme="minorHAnsi" w:hAnsi="Symbol"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7E391F96"/>
    <w:multiLevelType w:val="hybridMultilevel"/>
    <w:tmpl w:val="F514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3"/>
  </w:num>
  <w:num w:numId="4">
    <w:abstractNumId w:val="17"/>
  </w:num>
  <w:num w:numId="5">
    <w:abstractNumId w:val="2"/>
  </w:num>
  <w:num w:numId="6">
    <w:abstractNumId w:val="5"/>
  </w:num>
  <w:num w:numId="7">
    <w:abstractNumId w:val="0"/>
  </w:num>
  <w:num w:numId="8">
    <w:abstractNumId w:val="16"/>
  </w:num>
  <w:num w:numId="9">
    <w:abstractNumId w:val="1"/>
  </w:num>
  <w:num w:numId="10">
    <w:abstractNumId w:val="6"/>
  </w:num>
  <w:num w:numId="11">
    <w:abstractNumId w:val="8"/>
  </w:num>
  <w:num w:numId="12">
    <w:abstractNumId w:val="14"/>
  </w:num>
  <w:num w:numId="13">
    <w:abstractNumId w:val="4"/>
  </w:num>
  <w:num w:numId="14">
    <w:abstractNumId w:val="19"/>
  </w:num>
  <w:num w:numId="15">
    <w:abstractNumId w:val="11"/>
  </w:num>
  <w:num w:numId="16">
    <w:abstractNumId w:val="18"/>
  </w:num>
  <w:num w:numId="17">
    <w:abstractNumId w:val="13"/>
  </w:num>
  <w:num w:numId="18">
    <w:abstractNumId w:val="15"/>
  </w:num>
  <w:num w:numId="19">
    <w:abstractNumId w:val="10"/>
  </w:num>
  <w:num w:numId="2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30"/>
    <w:rsid w:val="000003C4"/>
    <w:rsid w:val="00001EA0"/>
    <w:rsid w:val="00002263"/>
    <w:rsid w:val="00002559"/>
    <w:rsid w:val="000028D2"/>
    <w:rsid w:val="00003171"/>
    <w:rsid w:val="00004899"/>
    <w:rsid w:val="00004942"/>
    <w:rsid w:val="00004B4A"/>
    <w:rsid w:val="000139FA"/>
    <w:rsid w:val="000148E5"/>
    <w:rsid w:val="0001532B"/>
    <w:rsid w:val="00015ADF"/>
    <w:rsid w:val="00016E97"/>
    <w:rsid w:val="00016F48"/>
    <w:rsid w:val="00021520"/>
    <w:rsid w:val="000227D8"/>
    <w:rsid w:val="000237B6"/>
    <w:rsid w:val="00026D24"/>
    <w:rsid w:val="00027D66"/>
    <w:rsid w:val="00027DE6"/>
    <w:rsid w:val="000308CF"/>
    <w:rsid w:val="00030BD1"/>
    <w:rsid w:val="00031016"/>
    <w:rsid w:val="00032BB5"/>
    <w:rsid w:val="00033562"/>
    <w:rsid w:val="00034778"/>
    <w:rsid w:val="00034BCE"/>
    <w:rsid w:val="000360AA"/>
    <w:rsid w:val="00037B40"/>
    <w:rsid w:val="00040175"/>
    <w:rsid w:val="00040754"/>
    <w:rsid w:val="000409A3"/>
    <w:rsid w:val="00040BC2"/>
    <w:rsid w:val="00042C4B"/>
    <w:rsid w:val="00042ED7"/>
    <w:rsid w:val="000438BF"/>
    <w:rsid w:val="00043BAF"/>
    <w:rsid w:val="0004519B"/>
    <w:rsid w:val="0004787B"/>
    <w:rsid w:val="00047E99"/>
    <w:rsid w:val="000515B7"/>
    <w:rsid w:val="000520EB"/>
    <w:rsid w:val="0005249A"/>
    <w:rsid w:val="00052FD5"/>
    <w:rsid w:val="000537AA"/>
    <w:rsid w:val="00053877"/>
    <w:rsid w:val="00053D74"/>
    <w:rsid w:val="00054505"/>
    <w:rsid w:val="0005595A"/>
    <w:rsid w:val="0005668B"/>
    <w:rsid w:val="00056AAE"/>
    <w:rsid w:val="00060F46"/>
    <w:rsid w:val="000623E3"/>
    <w:rsid w:val="00063428"/>
    <w:rsid w:val="000642A2"/>
    <w:rsid w:val="000650B2"/>
    <w:rsid w:val="00066395"/>
    <w:rsid w:val="00067A73"/>
    <w:rsid w:val="00071633"/>
    <w:rsid w:val="0007293E"/>
    <w:rsid w:val="00073C67"/>
    <w:rsid w:val="00073EA3"/>
    <w:rsid w:val="00075654"/>
    <w:rsid w:val="0007600F"/>
    <w:rsid w:val="000766CE"/>
    <w:rsid w:val="00080A18"/>
    <w:rsid w:val="000812AE"/>
    <w:rsid w:val="0008164A"/>
    <w:rsid w:val="00081989"/>
    <w:rsid w:val="00081A1A"/>
    <w:rsid w:val="00082E9F"/>
    <w:rsid w:val="000833C1"/>
    <w:rsid w:val="00083AED"/>
    <w:rsid w:val="00083E98"/>
    <w:rsid w:val="00084F1D"/>
    <w:rsid w:val="0008530A"/>
    <w:rsid w:val="00085D18"/>
    <w:rsid w:val="00086C1B"/>
    <w:rsid w:val="00087175"/>
    <w:rsid w:val="00090214"/>
    <w:rsid w:val="000910F8"/>
    <w:rsid w:val="00092D40"/>
    <w:rsid w:val="0009624B"/>
    <w:rsid w:val="000A0D63"/>
    <w:rsid w:val="000A2150"/>
    <w:rsid w:val="000A2580"/>
    <w:rsid w:val="000A2BC2"/>
    <w:rsid w:val="000A2EB9"/>
    <w:rsid w:val="000A2EE6"/>
    <w:rsid w:val="000A361F"/>
    <w:rsid w:val="000A3E8C"/>
    <w:rsid w:val="000A64CB"/>
    <w:rsid w:val="000A65A0"/>
    <w:rsid w:val="000B0398"/>
    <w:rsid w:val="000B212A"/>
    <w:rsid w:val="000B5767"/>
    <w:rsid w:val="000B5ACF"/>
    <w:rsid w:val="000B6FFB"/>
    <w:rsid w:val="000C07E9"/>
    <w:rsid w:val="000C14F8"/>
    <w:rsid w:val="000C152F"/>
    <w:rsid w:val="000C1A37"/>
    <w:rsid w:val="000C1B8D"/>
    <w:rsid w:val="000C26AC"/>
    <w:rsid w:val="000C42F0"/>
    <w:rsid w:val="000C43E5"/>
    <w:rsid w:val="000C442D"/>
    <w:rsid w:val="000C6B30"/>
    <w:rsid w:val="000C6FF1"/>
    <w:rsid w:val="000D00E3"/>
    <w:rsid w:val="000D1483"/>
    <w:rsid w:val="000D276D"/>
    <w:rsid w:val="000D2D03"/>
    <w:rsid w:val="000D740B"/>
    <w:rsid w:val="000E20DB"/>
    <w:rsid w:val="000E3482"/>
    <w:rsid w:val="000E34F9"/>
    <w:rsid w:val="000E3EE7"/>
    <w:rsid w:val="000E4457"/>
    <w:rsid w:val="000E462B"/>
    <w:rsid w:val="000E4E72"/>
    <w:rsid w:val="000E6B74"/>
    <w:rsid w:val="000E6E81"/>
    <w:rsid w:val="000E707C"/>
    <w:rsid w:val="000E7745"/>
    <w:rsid w:val="000E7DB6"/>
    <w:rsid w:val="000F0F6C"/>
    <w:rsid w:val="000F1834"/>
    <w:rsid w:val="000F1D53"/>
    <w:rsid w:val="000F2528"/>
    <w:rsid w:val="00100049"/>
    <w:rsid w:val="001006AC"/>
    <w:rsid w:val="00101E44"/>
    <w:rsid w:val="001022E0"/>
    <w:rsid w:val="001035AF"/>
    <w:rsid w:val="00106564"/>
    <w:rsid w:val="00106CF8"/>
    <w:rsid w:val="0011040D"/>
    <w:rsid w:val="001104B5"/>
    <w:rsid w:val="001106E4"/>
    <w:rsid w:val="001107AC"/>
    <w:rsid w:val="00111516"/>
    <w:rsid w:val="00114C68"/>
    <w:rsid w:val="001155FD"/>
    <w:rsid w:val="00115CE1"/>
    <w:rsid w:val="00116175"/>
    <w:rsid w:val="00116C32"/>
    <w:rsid w:val="00116F6A"/>
    <w:rsid w:val="00120855"/>
    <w:rsid w:val="00121388"/>
    <w:rsid w:val="001226A0"/>
    <w:rsid w:val="00122DEF"/>
    <w:rsid w:val="00123D83"/>
    <w:rsid w:val="00125C6C"/>
    <w:rsid w:val="0012613F"/>
    <w:rsid w:val="00127378"/>
    <w:rsid w:val="00131A74"/>
    <w:rsid w:val="0013234E"/>
    <w:rsid w:val="001325AB"/>
    <w:rsid w:val="001336C6"/>
    <w:rsid w:val="001347BD"/>
    <w:rsid w:val="00134806"/>
    <w:rsid w:val="0013747D"/>
    <w:rsid w:val="001378AC"/>
    <w:rsid w:val="00137A37"/>
    <w:rsid w:val="001406DB"/>
    <w:rsid w:val="00140FF6"/>
    <w:rsid w:val="00141449"/>
    <w:rsid w:val="00141602"/>
    <w:rsid w:val="00142213"/>
    <w:rsid w:val="001423D7"/>
    <w:rsid w:val="00142F21"/>
    <w:rsid w:val="00143831"/>
    <w:rsid w:val="00143CCC"/>
    <w:rsid w:val="0014598B"/>
    <w:rsid w:val="00146450"/>
    <w:rsid w:val="00146B2C"/>
    <w:rsid w:val="00146B42"/>
    <w:rsid w:val="00146B69"/>
    <w:rsid w:val="001502A3"/>
    <w:rsid w:val="00150A36"/>
    <w:rsid w:val="00150D13"/>
    <w:rsid w:val="0015647B"/>
    <w:rsid w:val="00156F2C"/>
    <w:rsid w:val="001601DF"/>
    <w:rsid w:val="001618C9"/>
    <w:rsid w:val="00161954"/>
    <w:rsid w:val="00161E2D"/>
    <w:rsid w:val="0016339D"/>
    <w:rsid w:val="00163EF2"/>
    <w:rsid w:val="00164B62"/>
    <w:rsid w:val="0016639E"/>
    <w:rsid w:val="001666EC"/>
    <w:rsid w:val="001669B9"/>
    <w:rsid w:val="0017043C"/>
    <w:rsid w:val="0017170B"/>
    <w:rsid w:val="00171FFF"/>
    <w:rsid w:val="00172488"/>
    <w:rsid w:val="00174377"/>
    <w:rsid w:val="001746AA"/>
    <w:rsid w:val="00174A49"/>
    <w:rsid w:val="0017703F"/>
    <w:rsid w:val="0017733C"/>
    <w:rsid w:val="00177485"/>
    <w:rsid w:val="00177D06"/>
    <w:rsid w:val="00181A12"/>
    <w:rsid w:val="0018287C"/>
    <w:rsid w:val="00183DFD"/>
    <w:rsid w:val="00183FB9"/>
    <w:rsid w:val="00184DF3"/>
    <w:rsid w:val="00184FED"/>
    <w:rsid w:val="00185E89"/>
    <w:rsid w:val="001869AE"/>
    <w:rsid w:val="00186E14"/>
    <w:rsid w:val="001902A7"/>
    <w:rsid w:val="00191625"/>
    <w:rsid w:val="0019187E"/>
    <w:rsid w:val="001918D8"/>
    <w:rsid w:val="00192667"/>
    <w:rsid w:val="001931E5"/>
    <w:rsid w:val="00194453"/>
    <w:rsid w:val="0019469C"/>
    <w:rsid w:val="00194DE3"/>
    <w:rsid w:val="00194F9A"/>
    <w:rsid w:val="0019667E"/>
    <w:rsid w:val="0019792C"/>
    <w:rsid w:val="001A0238"/>
    <w:rsid w:val="001A0CA6"/>
    <w:rsid w:val="001A1B18"/>
    <w:rsid w:val="001A1BC2"/>
    <w:rsid w:val="001A1DB3"/>
    <w:rsid w:val="001A269D"/>
    <w:rsid w:val="001A2725"/>
    <w:rsid w:val="001A27B2"/>
    <w:rsid w:val="001A43B8"/>
    <w:rsid w:val="001A60C7"/>
    <w:rsid w:val="001A6624"/>
    <w:rsid w:val="001A7109"/>
    <w:rsid w:val="001A7C89"/>
    <w:rsid w:val="001B0BD2"/>
    <w:rsid w:val="001B15CB"/>
    <w:rsid w:val="001B1F22"/>
    <w:rsid w:val="001B27F4"/>
    <w:rsid w:val="001B3631"/>
    <w:rsid w:val="001B51CF"/>
    <w:rsid w:val="001B5B26"/>
    <w:rsid w:val="001B62D8"/>
    <w:rsid w:val="001B6BD2"/>
    <w:rsid w:val="001B7ECC"/>
    <w:rsid w:val="001C0DBE"/>
    <w:rsid w:val="001C1845"/>
    <w:rsid w:val="001C3732"/>
    <w:rsid w:val="001C4368"/>
    <w:rsid w:val="001C443B"/>
    <w:rsid w:val="001C4665"/>
    <w:rsid w:val="001C48C8"/>
    <w:rsid w:val="001C4FA2"/>
    <w:rsid w:val="001C5259"/>
    <w:rsid w:val="001D0390"/>
    <w:rsid w:val="001D1970"/>
    <w:rsid w:val="001D1E49"/>
    <w:rsid w:val="001D2F93"/>
    <w:rsid w:val="001D32C2"/>
    <w:rsid w:val="001D48CF"/>
    <w:rsid w:val="001D5696"/>
    <w:rsid w:val="001D5A71"/>
    <w:rsid w:val="001D5F70"/>
    <w:rsid w:val="001D73F8"/>
    <w:rsid w:val="001D7B07"/>
    <w:rsid w:val="001E153B"/>
    <w:rsid w:val="001E18D4"/>
    <w:rsid w:val="001E1980"/>
    <w:rsid w:val="001E3C6D"/>
    <w:rsid w:val="001E453A"/>
    <w:rsid w:val="001E475E"/>
    <w:rsid w:val="001E4D39"/>
    <w:rsid w:val="001E6D7A"/>
    <w:rsid w:val="001E7227"/>
    <w:rsid w:val="001E7B7E"/>
    <w:rsid w:val="001F1EAC"/>
    <w:rsid w:val="001F2144"/>
    <w:rsid w:val="001F32B4"/>
    <w:rsid w:val="001F34C0"/>
    <w:rsid w:val="001F3C39"/>
    <w:rsid w:val="001F4030"/>
    <w:rsid w:val="001F50ED"/>
    <w:rsid w:val="001F5652"/>
    <w:rsid w:val="001F59B7"/>
    <w:rsid w:val="001F6386"/>
    <w:rsid w:val="001F7530"/>
    <w:rsid w:val="002008EF"/>
    <w:rsid w:val="00200B4D"/>
    <w:rsid w:val="00200D05"/>
    <w:rsid w:val="00201B4E"/>
    <w:rsid w:val="002029FE"/>
    <w:rsid w:val="00203437"/>
    <w:rsid w:val="0020465A"/>
    <w:rsid w:val="00204DC8"/>
    <w:rsid w:val="00204EC3"/>
    <w:rsid w:val="00205A6D"/>
    <w:rsid w:val="00207E42"/>
    <w:rsid w:val="0021139A"/>
    <w:rsid w:val="002145B9"/>
    <w:rsid w:val="0021494B"/>
    <w:rsid w:val="002151DA"/>
    <w:rsid w:val="00215876"/>
    <w:rsid w:val="00215B55"/>
    <w:rsid w:val="00215C30"/>
    <w:rsid w:val="002177E4"/>
    <w:rsid w:val="00220D34"/>
    <w:rsid w:val="00223062"/>
    <w:rsid w:val="00224955"/>
    <w:rsid w:val="00224D4B"/>
    <w:rsid w:val="00226AEE"/>
    <w:rsid w:val="002275C2"/>
    <w:rsid w:val="002305F8"/>
    <w:rsid w:val="00230F09"/>
    <w:rsid w:val="00232B17"/>
    <w:rsid w:val="00232F0C"/>
    <w:rsid w:val="00233034"/>
    <w:rsid w:val="00234772"/>
    <w:rsid w:val="002348D7"/>
    <w:rsid w:val="002349F7"/>
    <w:rsid w:val="00234A8E"/>
    <w:rsid w:val="00234C3B"/>
    <w:rsid w:val="002364E4"/>
    <w:rsid w:val="00237A0E"/>
    <w:rsid w:val="002410E7"/>
    <w:rsid w:val="00241713"/>
    <w:rsid w:val="00242800"/>
    <w:rsid w:val="002451CB"/>
    <w:rsid w:val="00246DD3"/>
    <w:rsid w:val="0024761D"/>
    <w:rsid w:val="002477C8"/>
    <w:rsid w:val="0025009B"/>
    <w:rsid w:val="002501E3"/>
    <w:rsid w:val="002515F5"/>
    <w:rsid w:val="00251E11"/>
    <w:rsid w:val="002526C7"/>
    <w:rsid w:val="00252A9B"/>
    <w:rsid w:val="00252B34"/>
    <w:rsid w:val="00252D82"/>
    <w:rsid w:val="00253FC2"/>
    <w:rsid w:val="002559BF"/>
    <w:rsid w:val="00257429"/>
    <w:rsid w:val="0025765B"/>
    <w:rsid w:val="00260C62"/>
    <w:rsid w:val="00261E0D"/>
    <w:rsid w:val="00263D7E"/>
    <w:rsid w:val="00263F3A"/>
    <w:rsid w:val="00263F83"/>
    <w:rsid w:val="0026796B"/>
    <w:rsid w:val="00267F0C"/>
    <w:rsid w:val="002717E7"/>
    <w:rsid w:val="00272443"/>
    <w:rsid w:val="0027358C"/>
    <w:rsid w:val="00274A9D"/>
    <w:rsid w:val="00274D80"/>
    <w:rsid w:val="002765C1"/>
    <w:rsid w:val="0027685F"/>
    <w:rsid w:val="00276F00"/>
    <w:rsid w:val="00280FFE"/>
    <w:rsid w:val="00281686"/>
    <w:rsid w:val="00281AB4"/>
    <w:rsid w:val="00282427"/>
    <w:rsid w:val="002855DA"/>
    <w:rsid w:val="00286C7E"/>
    <w:rsid w:val="002871CA"/>
    <w:rsid w:val="002872FD"/>
    <w:rsid w:val="0029166E"/>
    <w:rsid w:val="00291DF5"/>
    <w:rsid w:val="0029372B"/>
    <w:rsid w:val="002954B4"/>
    <w:rsid w:val="00296BF9"/>
    <w:rsid w:val="002A0094"/>
    <w:rsid w:val="002A08D0"/>
    <w:rsid w:val="002A5B7E"/>
    <w:rsid w:val="002B309A"/>
    <w:rsid w:val="002B3840"/>
    <w:rsid w:val="002B4BD2"/>
    <w:rsid w:val="002B557E"/>
    <w:rsid w:val="002B5760"/>
    <w:rsid w:val="002B5CDA"/>
    <w:rsid w:val="002B642E"/>
    <w:rsid w:val="002B665B"/>
    <w:rsid w:val="002B7CBC"/>
    <w:rsid w:val="002C030E"/>
    <w:rsid w:val="002C18AE"/>
    <w:rsid w:val="002C27D5"/>
    <w:rsid w:val="002C32A6"/>
    <w:rsid w:val="002C3312"/>
    <w:rsid w:val="002C43B0"/>
    <w:rsid w:val="002C732A"/>
    <w:rsid w:val="002C7469"/>
    <w:rsid w:val="002C750F"/>
    <w:rsid w:val="002C78F7"/>
    <w:rsid w:val="002D01E2"/>
    <w:rsid w:val="002D13BA"/>
    <w:rsid w:val="002D43E9"/>
    <w:rsid w:val="002D4480"/>
    <w:rsid w:val="002D7224"/>
    <w:rsid w:val="002E0CB1"/>
    <w:rsid w:val="002E172D"/>
    <w:rsid w:val="002E1780"/>
    <w:rsid w:val="002E2B9B"/>
    <w:rsid w:val="002E34EA"/>
    <w:rsid w:val="002E562B"/>
    <w:rsid w:val="002E5E18"/>
    <w:rsid w:val="002E6593"/>
    <w:rsid w:val="002E6BDF"/>
    <w:rsid w:val="002E6F07"/>
    <w:rsid w:val="002F00C7"/>
    <w:rsid w:val="002F059C"/>
    <w:rsid w:val="002F0C5B"/>
    <w:rsid w:val="002F19EE"/>
    <w:rsid w:val="002F4659"/>
    <w:rsid w:val="002F50B1"/>
    <w:rsid w:val="002F522B"/>
    <w:rsid w:val="002F58D5"/>
    <w:rsid w:val="002F5950"/>
    <w:rsid w:val="002F5AD1"/>
    <w:rsid w:val="00300F55"/>
    <w:rsid w:val="003029B7"/>
    <w:rsid w:val="00302A69"/>
    <w:rsid w:val="0030586F"/>
    <w:rsid w:val="003064D7"/>
    <w:rsid w:val="00310367"/>
    <w:rsid w:val="003103BD"/>
    <w:rsid w:val="00310D9C"/>
    <w:rsid w:val="00315551"/>
    <w:rsid w:val="003200C7"/>
    <w:rsid w:val="00321943"/>
    <w:rsid w:val="003236BC"/>
    <w:rsid w:val="003244C3"/>
    <w:rsid w:val="003248A7"/>
    <w:rsid w:val="00326551"/>
    <w:rsid w:val="00326921"/>
    <w:rsid w:val="003308B7"/>
    <w:rsid w:val="00330CD4"/>
    <w:rsid w:val="00330DF3"/>
    <w:rsid w:val="00332A11"/>
    <w:rsid w:val="0033332C"/>
    <w:rsid w:val="003345F0"/>
    <w:rsid w:val="0033482F"/>
    <w:rsid w:val="00334972"/>
    <w:rsid w:val="00335504"/>
    <w:rsid w:val="00337EFF"/>
    <w:rsid w:val="003409F1"/>
    <w:rsid w:val="00340A69"/>
    <w:rsid w:val="00342856"/>
    <w:rsid w:val="00343738"/>
    <w:rsid w:val="00343B8E"/>
    <w:rsid w:val="0034566F"/>
    <w:rsid w:val="00345F88"/>
    <w:rsid w:val="003467E8"/>
    <w:rsid w:val="003479C8"/>
    <w:rsid w:val="0035035A"/>
    <w:rsid w:val="003510C4"/>
    <w:rsid w:val="00352E80"/>
    <w:rsid w:val="00352F35"/>
    <w:rsid w:val="003530FD"/>
    <w:rsid w:val="0035369E"/>
    <w:rsid w:val="003547E7"/>
    <w:rsid w:val="00354B78"/>
    <w:rsid w:val="00354E0D"/>
    <w:rsid w:val="00355570"/>
    <w:rsid w:val="00355A38"/>
    <w:rsid w:val="00355F38"/>
    <w:rsid w:val="00357279"/>
    <w:rsid w:val="00357DF6"/>
    <w:rsid w:val="00360B25"/>
    <w:rsid w:val="0036195F"/>
    <w:rsid w:val="00363197"/>
    <w:rsid w:val="00363842"/>
    <w:rsid w:val="00365405"/>
    <w:rsid w:val="003654FB"/>
    <w:rsid w:val="00366AC3"/>
    <w:rsid w:val="00367DE5"/>
    <w:rsid w:val="00370848"/>
    <w:rsid w:val="00376124"/>
    <w:rsid w:val="0037640E"/>
    <w:rsid w:val="0037710B"/>
    <w:rsid w:val="003804A2"/>
    <w:rsid w:val="003805AC"/>
    <w:rsid w:val="003805C1"/>
    <w:rsid w:val="0038174B"/>
    <w:rsid w:val="00381A0D"/>
    <w:rsid w:val="00381B73"/>
    <w:rsid w:val="003822E3"/>
    <w:rsid w:val="00383320"/>
    <w:rsid w:val="003833A8"/>
    <w:rsid w:val="00384346"/>
    <w:rsid w:val="003845DA"/>
    <w:rsid w:val="00384D52"/>
    <w:rsid w:val="003855C2"/>
    <w:rsid w:val="00385C6C"/>
    <w:rsid w:val="0038665B"/>
    <w:rsid w:val="00390934"/>
    <w:rsid w:val="00390DDA"/>
    <w:rsid w:val="00391436"/>
    <w:rsid w:val="003936B3"/>
    <w:rsid w:val="00393F7A"/>
    <w:rsid w:val="00394461"/>
    <w:rsid w:val="00394569"/>
    <w:rsid w:val="003965C4"/>
    <w:rsid w:val="00396ED0"/>
    <w:rsid w:val="003A07C0"/>
    <w:rsid w:val="003A1B30"/>
    <w:rsid w:val="003A2D62"/>
    <w:rsid w:val="003A3315"/>
    <w:rsid w:val="003A369D"/>
    <w:rsid w:val="003A4FF0"/>
    <w:rsid w:val="003A595D"/>
    <w:rsid w:val="003A5CCD"/>
    <w:rsid w:val="003A6A12"/>
    <w:rsid w:val="003A6CCC"/>
    <w:rsid w:val="003A7964"/>
    <w:rsid w:val="003A797A"/>
    <w:rsid w:val="003B1DFF"/>
    <w:rsid w:val="003B29BE"/>
    <w:rsid w:val="003B36CE"/>
    <w:rsid w:val="003B46EF"/>
    <w:rsid w:val="003B4DDF"/>
    <w:rsid w:val="003B5040"/>
    <w:rsid w:val="003B5810"/>
    <w:rsid w:val="003C0491"/>
    <w:rsid w:val="003C09F4"/>
    <w:rsid w:val="003C11F8"/>
    <w:rsid w:val="003C16A9"/>
    <w:rsid w:val="003C1770"/>
    <w:rsid w:val="003C3A15"/>
    <w:rsid w:val="003C3A66"/>
    <w:rsid w:val="003C6577"/>
    <w:rsid w:val="003C6D20"/>
    <w:rsid w:val="003D0133"/>
    <w:rsid w:val="003D0ECC"/>
    <w:rsid w:val="003D0EE1"/>
    <w:rsid w:val="003D2442"/>
    <w:rsid w:val="003D29CB"/>
    <w:rsid w:val="003D37E9"/>
    <w:rsid w:val="003D4730"/>
    <w:rsid w:val="003D4C7F"/>
    <w:rsid w:val="003D5346"/>
    <w:rsid w:val="003D5579"/>
    <w:rsid w:val="003D5E60"/>
    <w:rsid w:val="003D737C"/>
    <w:rsid w:val="003D7C27"/>
    <w:rsid w:val="003E16EE"/>
    <w:rsid w:val="003E1CDB"/>
    <w:rsid w:val="003E1F93"/>
    <w:rsid w:val="003E77CA"/>
    <w:rsid w:val="003F1976"/>
    <w:rsid w:val="003F1DD9"/>
    <w:rsid w:val="003F2099"/>
    <w:rsid w:val="003F22CC"/>
    <w:rsid w:val="003F2EB5"/>
    <w:rsid w:val="003F4077"/>
    <w:rsid w:val="003F4DB8"/>
    <w:rsid w:val="003F4FC2"/>
    <w:rsid w:val="003F50F7"/>
    <w:rsid w:val="003F6EF4"/>
    <w:rsid w:val="003F7E8D"/>
    <w:rsid w:val="00403FCD"/>
    <w:rsid w:val="00404267"/>
    <w:rsid w:val="00404CE6"/>
    <w:rsid w:val="00405343"/>
    <w:rsid w:val="004069B6"/>
    <w:rsid w:val="00406CDE"/>
    <w:rsid w:val="00407383"/>
    <w:rsid w:val="00407BE1"/>
    <w:rsid w:val="00410846"/>
    <w:rsid w:val="00412DE8"/>
    <w:rsid w:val="00413D2E"/>
    <w:rsid w:val="00416CCB"/>
    <w:rsid w:val="00416DF3"/>
    <w:rsid w:val="00417325"/>
    <w:rsid w:val="004200C8"/>
    <w:rsid w:val="00420619"/>
    <w:rsid w:val="00421D9B"/>
    <w:rsid w:val="004220E8"/>
    <w:rsid w:val="00423961"/>
    <w:rsid w:val="00423DAD"/>
    <w:rsid w:val="0042614E"/>
    <w:rsid w:val="004268C9"/>
    <w:rsid w:val="00426EBB"/>
    <w:rsid w:val="00426F50"/>
    <w:rsid w:val="004276CB"/>
    <w:rsid w:val="00427CDD"/>
    <w:rsid w:val="00431445"/>
    <w:rsid w:val="0043258E"/>
    <w:rsid w:val="004326BF"/>
    <w:rsid w:val="004356F9"/>
    <w:rsid w:val="00436125"/>
    <w:rsid w:val="004367C0"/>
    <w:rsid w:val="004407D4"/>
    <w:rsid w:val="00440BC1"/>
    <w:rsid w:val="00442343"/>
    <w:rsid w:val="00442BA9"/>
    <w:rsid w:val="00444FF8"/>
    <w:rsid w:val="004501C9"/>
    <w:rsid w:val="00450CC6"/>
    <w:rsid w:val="004524A9"/>
    <w:rsid w:val="00452B5B"/>
    <w:rsid w:val="004548EF"/>
    <w:rsid w:val="00454D7D"/>
    <w:rsid w:val="004553BB"/>
    <w:rsid w:val="0045544D"/>
    <w:rsid w:val="00457D93"/>
    <w:rsid w:val="00463D67"/>
    <w:rsid w:val="00463F87"/>
    <w:rsid w:val="00464456"/>
    <w:rsid w:val="004647B2"/>
    <w:rsid w:val="004702E9"/>
    <w:rsid w:val="00470362"/>
    <w:rsid w:val="0047088D"/>
    <w:rsid w:val="00471D73"/>
    <w:rsid w:val="00473712"/>
    <w:rsid w:val="00473DB3"/>
    <w:rsid w:val="00474972"/>
    <w:rsid w:val="00476902"/>
    <w:rsid w:val="004770ED"/>
    <w:rsid w:val="00480A5E"/>
    <w:rsid w:val="00480BBD"/>
    <w:rsid w:val="004812A2"/>
    <w:rsid w:val="00481ECD"/>
    <w:rsid w:val="00482476"/>
    <w:rsid w:val="00483224"/>
    <w:rsid w:val="004862BB"/>
    <w:rsid w:val="00486665"/>
    <w:rsid w:val="00486BE0"/>
    <w:rsid w:val="0048758A"/>
    <w:rsid w:val="00487CED"/>
    <w:rsid w:val="00490E2F"/>
    <w:rsid w:val="004928B9"/>
    <w:rsid w:val="004961A0"/>
    <w:rsid w:val="0049674A"/>
    <w:rsid w:val="00497225"/>
    <w:rsid w:val="004974C5"/>
    <w:rsid w:val="00497B13"/>
    <w:rsid w:val="004A25B4"/>
    <w:rsid w:val="004A2C63"/>
    <w:rsid w:val="004A2F36"/>
    <w:rsid w:val="004A4B1A"/>
    <w:rsid w:val="004A5664"/>
    <w:rsid w:val="004A61D9"/>
    <w:rsid w:val="004B17CC"/>
    <w:rsid w:val="004B1EFE"/>
    <w:rsid w:val="004B2ACB"/>
    <w:rsid w:val="004B37FE"/>
    <w:rsid w:val="004B4A1C"/>
    <w:rsid w:val="004B5457"/>
    <w:rsid w:val="004B5658"/>
    <w:rsid w:val="004B631B"/>
    <w:rsid w:val="004C0A3C"/>
    <w:rsid w:val="004C0DA7"/>
    <w:rsid w:val="004C1457"/>
    <w:rsid w:val="004C384A"/>
    <w:rsid w:val="004C40D2"/>
    <w:rsid w:val="004C4362"/>
    <w:rsid w:val="004C4CBD"/>
    <w:rsid w:val="004C572E"/>
    <w:rsid w:val="004C5F8B"/>
    <w:rsid w:val="004C730D"/>
    <w:rsid w:val="004C7AE0"/>
    <w:rsid w:val="004D099B"/>
    <w:rsid w:val="004D1504"/>
    <w:rsid w:val="004D24F6"/>
    <w:rsid w:val="004D25EC"/>
    <w:rsid w:val="004D2CDB"/>
    <w:rsid w:val="004D2FA4"/>
    <w:rsid w:val="004D36C6"/>
    <w:rsid w:val="004D4CA9"/>
    <w:rsid w:val="004D657F"/>
    <w:rsid w:val="004D7F06"/>
    <w:rsid w:val="004E0012"/>
    <w:rsid w:val="004E1509"/>
    <w:rsid w:val="004E27F9"/>
    <w:rsid w:val="004E366D"/>
    <w:rsid w:val="004E5378"/>
    <w:rsid w:val="004E5A00"/>
    <w:rsid w:val="004E5D36"/>
    <w:rsid w:val="004E607B"/>
    <w:rsid w:val="004E676F"/>
    <w:rsid w:val="004E6CA6"/>
    <w:rsid w:val="004E6EF6"/>
    <w:rsid w:val="004F0035"/>
    <w:rsid w:val="004F02F8"/>
    <w:rsid w:val="004F09AE"/>
    <w:rsid w:val="004F0D49"/>
    <w:rsid w:val="004F3308"/>
    <w:rsid w:val="004F33D4"/>
    <w:rsid w:val="004F373B"/>
    <w:rsid w:val="004F48E8"/>
    <w:rsid w:val="004F59D5"/>
    <w:rsid w:val="004F59D8"/>
    <w:rsid w:val="004F6A0B"/>
    <w:rsid w:val="004F7B62"/>
    <w:rsid w:val="00500F28"/>
    <w:rsid w:val="00501E20"/>
    <w:rsid w:val="005041F1"/>
    <w:rsid w:val="00506466"/>
    <w:rsid w:val="00507ACF"/>
    <w:rsid w:val="00507C55"/>
    <w:rsid w:val="005101A9"/>
    <w:rsid w:val="00510396"/>
    <w:rsid w:val="005103DE"/>
    <w:rsid w:val="00510645"/>
    <w:rsid w:val="00510DFA"/>
    <w:rsid w:val="0051215C"/>
    <w:rsid w:val="005126E5"/>
    <w:rsid w:val="00513DF7"/>
    <w:rsid w:val="0051724F"/>
    <w:rsid w:val="00520B38"/>
    <w:rsid w:val="00524385"/>
    <w:rsid w:val="005246B1"/>
    <w:rsid w:val="00526400"/>
    <w:rsid w:val="00527EC4"/>
    <w:rsid w:val="00532758"/>
    <w:rsid w:val="005328AA"/>
    <w:rsid w:val="00532CDB"/>
    <w:rsid w:val="00532D4D"/>
    <w:rsid w:val="00533143"/>
    <w:rsid w:val="0053516E"/>
    <w:rsid w:val="005351A2"/>
    <w:rsid w:val="00536DEA"/>
    <w:rsid w:val="00540294"/>
    <w:rsid w:val="00541650"/>
    <w:rsid w:val="00541F6D"/>
    <w:rsid w:val="00543703"/>
    <w:rsid w:val="0054373F"/>
    <w:rsid w:val="005439CB"/>
    <w:rsid w:val="005472FC"/>
    <w:rsid w:val="005478ED"/>
    <w:rsid w:val="00551549"/>
    <w:rsid w:val="00553539"/>
    <w:rsid w:val="00554030"/>
    <w:rsid w:val="005543D2"/>
    <w:rsid w:val="0055573E"/>
    <w:rsid w:val="00557294"/>
    <w:rsid w:val="005611CF"/>
    <w:rsid w:val="00562224"/>
    <w:rsid w:val="005623CA"/>
    <w:rsid w:val="0056247C"/>
    <w:rsid w:val="00562722"/>
    <w:rsid w:val="005628EB"/>
    <w:rsid w:val="0056575E"/>
    <w:rsid w:val="00566922"/>
    <w:rsid w:val="005669EE"/>
    <w:rsid w:val="00567BA2"/>
    <w:rsid w:val="005700E9"/>
    <w:rsid w:val="005703D8"/>
    <w:rsid w:val="005710B6"/>
    <w:rsid w:val="005726C1"/>
    <w:rsid w:val="00572F51"/>
    <w:rsid w:val="00573FEB"/>
    <w:rsid w:val="005742B4"/>
    <w:rsid w:val="0057593E"/>
    <w:rsid w:val="0057666B"/>
    <w:rsid w:val="0057679C"/>
    <w:rsid w:val="00576A3C"/>
    <w:rsid w:val="00576E30"/>
    <w:rsid w:val="0057771D"/>
    <w:rsid w:val="0057796F"/>
    <w:rsid w:val="00580427"/>
    <w:rsid w:val="0058054A"/>
    <w:rsid w:val="00580B31"/>
    <w:rsid w:val="005818C0"/>
    <w:rsid w:val="0058291B"/>
    <w:rsid w:val="0058387F"/>
    <w:rsid w:val="00584B04"/>
    <w:rsid w:val="00584FB1"/>
    <w:rsid w:val="00591368"/>
    <w:rsid w:val="00594465"/>
    <w:rsid w:val="005966E0"/>
    <w:rsid w:val="0059785A"/>
    <w:rsid w:val="00597CC2"/>
    <w:rsid w:val="005A04EC"/>
    <w:rsid w:val="005A10C0"/>
    <w:rsid w:val="005A13AF"/>
    <w:rsid w:val="005A2EFA"/>
    <w:rsid w:val="005A33EA"/>
    <w:rsid w:val="005A3B87"/>
    <w:rsid w:val="005A4215"/>
    <w:rsid w:val="005A5D25"/>
    <w:rsid w:val="005A67B2"/>
    <w:rsid w:val="005A6CD8"/>
    <w:rsid w:val="005B0D6F"/>
    <w:rsid w:val="005B1BD4"/>
    <w:rsid w:val="005B414E"/>
    <w:rsid w:val="005B4B69"/>
    <w:rsid w:val="005B629E"/>
    <w:rsid w:val="005C040C"/>
    <w:rsid w:val="005C0793"/>
    <w:rsid w:val="005C2227"/>
    <w:rsid w:val="005C26C8"/>
    <w:rsid w:val="005C2A0D"/>
    <w:rsid w:val="005C2B90"/>
    <w:rsid w:val="005C2E26"/>
    <w:rsid w:val="005C387C"/>
    <w:rsid w:val="005C390C"/>
    <w:rsid w:val="005C3D92"/>
    <w:rsid w:val="005C43E6"/>
    <w:rsid w:val="005C4BA2"/>
    <w:rsid w:val="005C4D06"/>
    <w:rsid w:val="005C55E5"/>
    <w:rsid w:val="005C5977"/>
    <w:rsid w:val="005C5A65"/>
    <w:rsid w:val="005C5E41"/>
    <w:rsid w:val="005D1877"/>
    <w:rsid w:val="005D3679"/>
    <w:rsid w:val="005D3880"/>
    <w:rsid w:val="005D422D"/>
    <w:rsid w:val="005D43CF"/>
    <w:rsid w:val="005D4E93"/>
    <w:rsid w:val="005D5721"/>
    <w:rsid w:val="005E165A"/>
    <w:rsid w:val="005E3F30"/>
    <w:rsid w:val="005E4A99"/>
    <w:rsid w:val="005E6B1D"/>
    <w:rsid w:val="005F0099"/>
    <w:rsid w:val="005F269B"/>
    <w:rsid w:val="005F286D"/>
    <w:rsid w:val="005F3B66"/>
    <w:rsid w:val="005F499A"/>
    <w:rsid w:val="005F6168"/>
    <w:rsid w:val="005F693A"/>
    <w:rsid w:val="005F7402"/>
    <w:rsid w:val="00602447"/>
    <w:rsid w:val="00602A8A"/>
    <w:rsid w:val="00602EA4"/>
    <w:rsid w:val="00603F16"/>
    <w:rsid w:val="00604525"/>
    <w:rsid w:val="0060478B"/>
    <w:rsid w:val="00604894"/>
    <w:rsid w:val="006056BC"/>
    <w:rsid w:val="00606621"/>
    <w:rsid w:val="00606EDA"/>
    <w:rsid w:val="00610369"/>
    <w:rsid w:val="00611991"/>
    <w:rsid w:val="00614A17"/>
    <w:rsid w:val="00614ADE"/>
    <w:rsid w:val="00615383"/>
    <w:rsid w:val="00615A8F"/>
    <w:rsid w:val="00616847"/>
    <w:rsid w:val="006208A2"/>
    <w:rsid w:val="00621251"/>
    <w:rsid w:val="0062136A"/>
    <w:rsid w:val="006219D2"/>
    <w:rsid w:val="00621B12"/>
    <w:rsid w:val="00622B19"/>
    <w:rsid w:val="00622E49"/>
    <w:rsid w:val="0062442A"/>
    <w:rsid w:val="00624937"/>
    <w:rsid w:val="00624959"/>
    <w:rsid w:val="006255EC"/>
    <w:rsid w:val="006255FC"/>
    <w:rsid w:val="00626126"/>
    <w:rsid w:val="0062790F"/>
    <w:rsid w:val="00627E22"/>
    <w:rsid w:val="00627E50"/>
    <w:rsid w:val="00627FF4"/>
    <w:rsid w:val="0063131A"/>
    <w:rsid w:val="0063298F"/>
    <w:rsid w:val="00633868"/>
    <w:rsid w:val="00633C76"/>
    <w:rsid w:val="0063411D"/>
    <w:rsid w:val="00635A7C"/>
    <w:rsid w:val="00635BDC"/>
    <w:rsid w:val="0063684A"/>
    <w:rsid w:val="00637434"/>
    <w:rsid w:val="00640739"/>
    <w:rsid w:val="00640D75"/>
    <w:rsid w:val="00642580"/>
    <w:rsid w:val="00644782"/>
    <w:rsid w:val="00650892"/>
    <w:rsid w:val="00650EE9"/>
    <w:rsid w:val="00651278"/>
    <w:rsid w:val="00651890"/>
    <w:rsid w:val="00652926"/>
    <w:rsid w:val="00652BD3"/>
    <w:rsid w:val="00652C1E"/>
    <w:rsid w:val="0065349B"/>
    <w:rsid w:val="0065367C"/>
    <w:rsid w:val="00653859"/>
    <w:rsid w:val="006541F5"/>
    <w:rsid w:val="0065590F"/>
    <w:rsid w:val="0065603B"/>
    <w:rsid w:val="00656B8E"/>
    <w:rsid w:val="006608A5"/>
    <w:rsid w:val="00662230"/>
    <w:rsid w:val="00663557"/>
    <w:rsid w:val="00664B5E"/>
    <w:rsid w:val="00666402"/>
    <w:rsid w:val="00666FFA"/>
    <w:rsid w:val="0067066F"/>
    <w:rsid w:val="00671343"/>
    <w:rsid w:val="00671E14"/>
    <w:rsid w:val="00671FAE"/>
    <w:rsid w:val="00673023"/>
    <w:rsid w:val="00673253"/>
    <w:rsid w:val="006736E8"/>
    <w:rsid w:val="006753B4"/>
    <w:rsid w:val="00675A5B"/>
    <w:rsid w:val="006764DB"/>
    <w:rsid w:val="006814FD"/>
    <w:rsid w:val="006831C7"/>
    <w:rsid w:val="006852AD"/>
    <w:rsid w:val="00687548"/>
    <w:rsid w:val="00687ED2"/>
    <w:rsid w:val="006908B5"/>
    <w:rsid w:val="0069164D"/>
    <w:rsid w:val="006917CB"/>
    <w:rsid w:val="00692547"/>
    <w:rsid w:val="00693597"/>
    <w:rsid w:val="00695BCE"/>
    <w:rsid w:val="0069705A"/>
    <w:rsid w:val="006A2B93"/>
    <w:rsid w:val="006A3425"/>
    <w:rsid w:val="006A460B"/>
    <w:rsid w:val="006A681F"/>
    <w:rsid w:val="006A6C25"/>
    <w:rsid w:val="006A77EF"/>
    <w:rsid w:val="006A7AA8"/>
    <w:rsid w:val="006B1269"/>
    <w:rsid w:val="006B1E9E"/>
    <w:rsid w:val="006B5EFF"/>
    <w:rsid w:val="006B787D"/>
    <w:rsid w:val="006C09A8"/>
    <w:rsid w:val="006C0B93"/>
    <w:rsid w:val="006C1920"/>
    <w:rsid w:val="006C45CE"/>
    <w:rsid w:val="006C46EE"/>
    <w:rsid w:val="006C4830"/>
    <w:rsid w:val="006C4B87"/>
    <w:rsid w:val="006C596A"/>
    <w:rsid w:val="006C65B5"/>
    <w:rsid w:val="006C6733"/>
    <w:rsid w:val="006D0814"/>
    <w:rsid w:val="006D11C4"/>
    <w:rsid w:val="006D14EA"/>
    <w:rsid w:val="006D1DA8"/>
    <w:rsid w:val="006D2A7B"/>
    <w:rsid w:val="006D499B"/>
    <w:rsid w:val="006D5B8A"/>
    <w:rsid w:val="006D6478"/>
    <w:rsid w:val="006D7B67"/>
    <w:rsid w:val="006E01AC"/>
    <w:rsid w:val="006E02B4"/>
    <w:rsid w:val="006E0A9E"/>
    <w:rsid w:val="006E1CC4"/>
    <w:rsid w:val="006E292A"/>
    <w:rsid w:val="006E6FCB"/>
    <w:rsid w:val="006E7D71"/>
    <w:rsid w:val="006F0BAD"/>
    <w:rsid w:val="006F2603"/>
    <w:rsid w:val="006F26A1"/>
    <w:rsid w:val="006F27F8"/>
    <w:rsid w:val="006F2AA5"/>
    <w:rsid w:val="006F47B7"/>
    <w:rsid w:val="006F605E"/>
    <w:rsid w:val="006F72BE"/>
    <w:rsid w:val="00700B59"/>
    <w:rsid w:val="007011C3"/>
    <w:rsid w:val="00703B38"/>
    <w:rsid w:val="00703E09"/>
    <w:rsid w:val="00705231"/>
    <w:rsid w:val="007054CC"/>
    <w:rsid w:val="00706349"/>
    <w:rsid w:val="00706D50"/>
    <w:rsid w:val="007071BD"/>
    <w:rsid w:val="0070744C"/>
    <w:rsid w:val="0071083F"/>
    <w:rsid w:val="00710BD0"/>
    <w:rsid w:val="00711D1A"/>
    <w:rsid w:val="00711E6B"/>
    <w:rsid w:val="00712454"/>
    <w:rsid w:val="00713704"/>
    <w:rsid w:val="00714BA0"/>
    <w:rsid w:val="007150F3"/>
    <w:rsid w:val="00715D8F"/>
    <w:rsid w:val="00717268"/>
    <w:rsid w:val="00717BE8"/>
    <w:rsid w:val="00717CB9"/>
    <w:rsid w:val="00720EAB"/>
    <w:rsid w:val="00721CD5"/>
    <w:rsid w:val="00722ACA"/>
    <w:rsid w:val="00724ADF"/>
    <w:rsid w:val="00726185"/>
    <w:rsid w:val="00727867"/>
    <w:rsid w:val="0073193A"/>
    <w:rsid w:val="007335C3"/>
    <w:rsid w:val="00734943"/>
    <w:rsid w:val="00735F3E"/>
    <w:rsid w:val="007360FB"/>
    <w:rsid w:val="007368E5"/>
    <w:rsid w:val="00737E25"/>
    <w:rsid w:val="0074068F"/>
    <w:rsid w:val="00740B53"/>
    <w:rsid w:val="00740D2B"/>
    <w:rsid w:val="0074519C"/>
    <w:rsid w:val="007451A6"/>
    <w:rsid w:val="00747334"/>
    <w:rsid w:val="0075066E"/>
    <w:rsid w:val="007517A3"/>
    <w:rsid w:val="00751F84"/>
    <w:rsid w:val="00752312"/>
    <w:rsid w:val="007526AB"/>
    <w:rsid w:val="007526EC"/>
    <w:rsid w:val="00753419"/>
    <w:rsid w:val="00754096"/>
    <w:rsid w:val="00754365"/>
    <w:rsid w:val="007561CF"/>
    <w:rsid w:val="007564A1"/>
    <w:rsid w:val="0075671B"/>
    <w:rsid w:val="0075694E"/>
    <w:rsid w:val="0075702D"/>
    <w:rsid w:val="007571A3"/>
    <w:rsid w:val="00757764"/>
    <w:rsid w:val="00757D83"/>
    <w:rsid w:val="007604AE"/>
    <w:rsid w:val="00760990"/>
    <w:rsid w:val="00760CD9"/>
    <w:rsid w:val="0076259A"/>
    <w:rsid w:val="00762A36"/>
    <w:rsid w:val="00763CA2"/>
    <w:rsid w:val="00763E2A"/>
    <w:rsid w:val="00764129"/>
    <w:rsid w:val="0076593C"/>
    <w:rsid w:val="0076645B"/>
    <w:rsid w:val="007664E6"/>
    <w:rsid w:val="007675DA"/>
    <w:rsid w:val="00770A91"/>
    <w:rsid w:val="00772E93"/>
    <w:rsid w:val="00772FE7"/>
    <w:rsid w:val="0077427A"/>
    <w:rsid w:val="007749D9"/>
    <w:rsid w:val="007770C9"/>
    <w:rsid w:val="007800A6"/>
    <w:rsid w:val="007800F9"/>
    <w:rsid w:val="0078010D"/>
    <w:rsid w:val="00781B23"/>
    <w:rsid w:val="00783191"/>
    <w:rsid w:val="007839C3"/>
    <w:rsid w:val="00783A1B"/>
    <w:rsid w:val="007855A9"/>
    <w:rsid w:val="00787137"/>
    <w:rsid w:val="007871AE"/>
    <w:rsid w:val="007878D5"/>
    <w:rsid w:val="0079195D"/>
    <w:rsid w:val="00791AC6"/>
    <w:rsid w:val="0079431D"/>
    <w:rsid w:val="007978E6"/>
    <w:rsid w:val="007A035A"/>
    <w:rsid w:val="007A03BC"/>
    <w:rsid w:val="007A10B5"/>
    <w:rsid w:val="007A11E1"/>
    <w:rsid w:val="007A2F9B"/>
    <w:rsid w:val="007A3B5B"/>
    <w:rsid w:val="007A4929"/>
    <w:rsid w:val="007A4C3B"/>
    <w:rsid w:val="007A7080"/>
    <w:rsid w:val="007A78D0"/>
    <w:rsid w:val="007B218F"/>
    <w:rsid w:val="007B22AF"/>
    <w:rsid w:val="007B4B91"/>
    <w:rsid w:val="007B5390"/>
    <w:rsid w:val="007B659B"/>
    <w:rsid w:val="007B7257"/>
    <w:rsid w:val="007B7EDD"/>
    <w:rsid w:val="007C0C33"/>
    <w:rsid w:val="007C127A"/>
    <w:rsid w:val="007C12E9"/>
    <w:rsid w:val="007C37DE"/>
    <w:rsid w:val="007C4E0F"/>
    <w:rsid w:val="007C5634"/>
    <w:rsid w:val="007C5BC1"/>
    <w:rsid w:val="007C61B7"/>
    <w:rsid w:val="007C67E7"/>
    <w:rsid w:val="007C6FC7"/>
    <w:rsid w:val="007C73ED"/>
    <w:rsid w:val="007D1A90"/>
    <w:rsid w:val="007D2586"/>
    <w:rsid w:val="007D3D06"/>
    <w:rsid w:val="007D4252"/>
    <w:rsid w:val="007D486C"/>
    <w:rsid w:val="007D4FA1"/>
    <w:rsid w:val="007D5EBC"/>
    <w:rsid w:val="007D637B"/>
    <w:rsid w:val="007D641E"/>
    <w:rsid w:val="007D64A0"/>
    <w:rsid w:val="007D6DCD"/>
    <w:rsid w:val="007D7187"/>
    <w:rsid w:val="007D78BA"/>
    <w:rsid w:val="007D7D03"/>
    <w:rsid w:val="007E02D8"/>
    <w:rsid w:val="007E070B"/>
    <w:rsid w:val="007E27E4"/>
    <w:rsid w:val="007E2B0A"/>
    <w:rsid w:val="007E447D"/>
    <w:rsid w:val="007E684D"/>
    <w:rsid w:val="007F064E"/>
    <w:rsid w:val="007F1265"/>
    <w:rsid w:val="007F1922"/>
    <w:rsid w:val="007F2DAD"/>
    <w:rsid w:val="007F3139"/>
    <w:rsid w:val="007F3AEA"/>
    <w:rsid w:val="007F569D"/>
    <w:rsid w:val="00801F8F"/>
    <w:rsid w:val="008027A9"/>
    <w:rsid w:val="00802FF5"/>
    <w:rsid w:val="008048D1"/>
    <w:rsid w:val="00805799"/>
    <w:rsid w:val="00805905"/>
    <w:rsid w:val="00805F9C"/>
    <w:rsid w:val="00806B8D"/>
    <w:rsid w:val="008111EC"/>
    <w:rsid w:val="00811649"/>
    <w:rsid w:val="00812778"/>
    <w:rsid w:val="00814A62"/>
    <w:rsid w:val="0081647D"/>
    <w:rsid w:val="00817DEE"/>
    <w:rsid w:val="00820A26"/>
    <w:rsid w:val="008210EE"/>
    <w:rsid w:val="00821B18"/>
    <w:rsid w:val="00824320"/>
    <w:rsid w:val="008251CC"/>
    <w:rsid w:val="00825401"/>
    <w:rsid w:val="00826C8C"/>
    <w:rsid w:val="008271DC"/>
    <w:rsid w:val="00827359"/>
    <w:rsid w:val="00830F8A"/>
    <w:rsid w:val="00831BBC"/>
    <w:rsid w:val="0083232D"/>
    <w:rsid w:val="00833193"/>
    <w:rsid w:val="008342DA"/>
    <w:rsid w:val="00835F65"/>
    <w:rsid w:val="008372CF"/>
    <w:rsid w:val="00837C64"/>
    <w:rsid w:val="0084075E"/>
    <w:rsid w:val="008412D6"/>
    <w:rsid w:val="00841D7F"/>
    <w:rsid w:val="0084283D"/>
    <w:rsid w:val="00842868"/>
    <w:rsid w:val="0084372C"/>
    <w:rsid w:val="00843C7E"/>
    <w:rsid w:val="00845050"/>
    <w:rsid w:val="008462CA"/>
    <w:rsid w:val="00850599"/>
    <w:rsid w:val="00850AAE"/>
    <w:rsid w:val="00851228"/>
    <w:rsid w:val="0085272C"/>
    <w:rsid w:val="00853435"/>
    <w:rsid w:val="00854B7F"/>
    <w:rsid w:val="00854E3D"/>
    <w:rsid w:val="00857F42"/>
    <w:rsid w:val="00860449"/>
    <w:rsid w:val="00860AC2"/>
    <w:rsid w:val="00860F0F"/>
    <w:rsid w:val="008610C3"/>
    <w:rsid w:val="00861350"/>
    <w:rsid w:val="00861472"/>
    <w:rsid w:val="00862D6E"/>
    <w:rsid w:val="0087130D"/>
    <w:rsid w:val="008715DA"/>
    <w:rsid w:val="00871AD0"/>
    <w:rsid w:val="00871F13"/>
    <w:rsid w:val="00872EC5"/>
    <w:rsid w:val="00873161"/>
    <w:rsid w:val="008739DA"/>
    <w:rsid w:val="00876579"/>
    <w:rsid w:val="008778BA"/>
    <w:rsid w:val="00880C4C"/>
    <w:rsid w:val="00881396"/>
    <w:rsid w:val="0088196D"/>
    <w:rsid w:val="008822EC"/>
    <w:rsid w:val="008829DF"/>
    <w:rsid w:val="00883F68"/>
    <w:rsid w:val="00890574"/>
    <w:rsid w:val="00891814"/>
    <w:rsid w:val="0089271A"/>
    <w:rsid w:val="0089313D"/>
    <w:rsid w:val="00894A3F"/>
    <w:rsid w:val="008951A9"/>
    <w:rsid w:val="00895616"/>
    <w:rsid w:val="0089581C"/>
    <w:rsid w:val="00896231"/>
    <w:rsid w:val="0089626A"/>
    <w:rsid w:val="00896501"/>
    <w:rsid w:val="00897182"/>
    <w:rsid w:val="00897DF7"/>
    <w:rsid w:val="008A023A"/>
    <w:rsid w:val="008A0DD6"/>
    <w:rsid w:val="008A339A"/>
    <w:rsid w:val="008A6336"/>
    <w:rsid w:val="008A6626"/>
    <w:rsid w:val="008A6649"/>
    <w:rsid w:val="008A6C1D"/>
    <w:rsid w:val="008A7CE5"/>
    <w:rsid w:val="008A7F2A"/>
    <w:rsid w:val="008B0EA2"/>
    <w:rsid w:val="008B41A8"/>
    <w:rsid w:val="008B4772"/>
    <w:rsid w:val="008B51E9"/>
    <w:rsid w:val="008B6705"/>
    <w:rsid w:val="008B70F5"/>
    <w:rsid w:val="008B7EA1"/>
    <w:rsid w:val="008C220C"/>
    <w:rsid w:val="008C27DC"/>
    <w:rsid w:val="008C31AA"/>
    <w:rsid w:val="008C336B"/>
    <w:rsid w:val="008C3A95"/>
    <w:rsid w:val="008C3FB0"/>
    <w:rsid w:val="008C52C8"/>
    <w:rsid w:val="008C54CD"/>
    <w:rsid w:val="008C558E"/>
    <w:rsid w:val="008C576B"/>
    <w:rsid w:val="008C6967"/>
    <w:rsid w:val="008C6C47"/>
    <w:rsid w:val="008C799B"/>
    <w:rsid w:val="008D1A68"/>
    <w:rsid w:val="008D48A5"/>
    <w:rsid w:val="008D6E37"/>
    <w:rsid w:val="008D7D01"/>
    <w:rsid w:val="008E0603"/>
    <w:rsid w:val="008E34D2"/>
    <w:rsid w:val="008E3AE7"/>
    <w:rsid w:val="008E4B0C"/>
    <w:rsid w:val="008E6643"/>
    <w:rsid w:val="008E667D"/>
    <w:rsid w:val="008E76F9"/>
    <w:rsid w:val="008F0C81"/>
    <w:rsid w:val="008F0DCA"/>
    <w:rsid w:val="008F12AA"/>
    <w:rsid w:val="008F13A1"/>
    <w:rsid w:val="008F24E3"/>
    <w:rsid w:val="008F3E6E"/>
    <w:rsid w:val="008F4140"/>
    <w:rsid w:val="008F4EA4"/>
    <w:rsid w:val="008F6312"/>
    <w:rsid w:val="008F6344"/>
    <w:rsid w:val="008F6F3D"/>
    <w:rsid w:val="008F77D6"/>
    <w:rsid w:val="008F7CED"/>
    <w:rsid w:val="00900196"/>
    <w:rsid w:val="00900864"/>
    <w:rsid w:val="00900919"/>
    <w:rsid w:val="00904576"/>
    <w:rsid w:val="00904E2E"/>
    <w:rsid w:val="009051BA"/>
    <w:rsid w:val="00905A84"/>
    <w:rsid w:val="0090692C"/>
    <w:rsid w:val="00907964"/>
    <w:rsid w:val="00907AED"/>
    <w:rsid w:val="009104AD"/>
    <w:rsid w:val="0091161A"/>
    <w:rsid w:val="00912842"/>
    <w:rsid w:val="009129E7"/>
    <w:rsid w:val="009138FC"/>
    <w:rsid w:val="00914DFA"/>
    <w:rsid w:val="0091581B"/>
    <w:rsid w:val="0091606C"/>
    <w:rsid w:val="0091626A"/>
    <w:rsid w:val="00916B57"/>
    <w:rsid w:val="0091702B"/>
    <w:rsid w:val="00920369"/>
    <w:rsid w:val="00921113"/>
    <w:rsid w:val="0092462E"/>
    <w:rsid w:val="00925342"/>
    <w:rsid w:val="00925899"/>
    <w:rsid w:val="00926A83"/>
    <w:rsid w:val="00926FD3"/>
    <w:rsid w:val="00927279"/>
    <w:rsid w:val="009303DF"/>
    <w:rsid w:val="009329EC"/>
    <w:rsid w:val="00932A43"/>
    <w:rsid w:val="00934379"/>
    <w:rsid w:val="009343B7"/>
    <w:rsid w:val="00935494"/>
    <w:rsid w:val="00937C48"/>
    <w:rsid w:val="00937C85"/>
    <w:rsid w:val="0094072D"/>
    <w:rsid w:val="00941C92"/>
    <w:rsid w:val="0094332C"/>
    <w:rsid w:val="00943C34"/>
    <w:rsid w:val="00945738"/>
    <w:rsid w:val="00946D2F"/>
    <w:rsid w:val="009474BF"/>
    <w:rsid w:val="00950005"/>
    <w:rsid w:val="00950536"/>
    <w:rsid w:val="00951DD8"/>
    <w:rsid w:val="00952971"/>
    <w:rsid w:val="00954A86"/>
    <w:rsid w:val="00955759"/>
    <w:rsid w:val="0095640D"/>
    <w:rsid w:val="0095681A"/>
    <w:rsid w:val="009605E0"/>
    <w:rsid w:val="009607DE"/>
    <w:rsid w:val="0096145D"/>
    <w:rsid w:val="00961E2D"/>
    <w:rsid w:val="00964154"/>
    <w:rsid w:val="0096524E"/>
    <w:rsid w:val="009668A2"/>
    <w:rsid w:val="00966B88"/>
    <w:rsid w:val="00970A9E"/>
    <w:rsid w:val="00970D11"/>
    <w:rsid w:val="009719D0"/>
    <w:rsid w:val="00972D91"/>
    <w:rsid w:val="00973AEC"/>
    <w:rsid w:val="00976243"/>
    <w:rsid w:val="00976E29"/>
    <w:rsid w:val="0097799B"/>
    <w:rsid w:val="00980DE5"/>
    <w:rsid w:val="009815E7"/>
    <w:rsid w:val="009850AC"/>
    <w:rsid w:val="0098515B"/>
    <w:rsid w:val="00985474"/>
    <w:rsid w:val="009855C2"/>
    <w:rsid w:val="00985A99"/>
    <w:rsid w:val="009861E6"/>
    <w:rsid w:val="00986827"/>
    <w:rsid w:val="00987DD2"/>
    <w:rsid w:val="00990758"/>
    <w:rsid w:val="00992BEE"/>
    <w:rsid w:val="00994923"/>
    <w:rsid w:val="00994A12"/>
    <w:rsid w:val="00995F50"/>
    <w:rsid w:val="00996D30"/>
    <w:rsid w:val="009A0D7B"/>
    <w:rsid w:val="009A0E38"/>
    <w:rsid w:val="009A1FEF"/>
    <w:rsid w:val="009A5A10"/>
    <w:rsid w:val="009A6F75"/>
    <w:rsid w:val="009B0AEC"/>
    <w:rsid w:val="009B122B"/>
    <w:rsid w:val="009B20AD"/>
    <w:rsid w:val="009B2A9E"/>
    <w:rsid w:val="009B4A44"/>
    <w:rsid w:val="009B4C60"/>
    <w:rsid w:val="009B5F5F"/>
    <w:rsid w:val="009B6639"/>
    <w:rsid w:val="009C0894"/>
    <w:rsid w:val="009C13C8"/>
    <w:rsid w:val="009C4893"/>
    <w:rsid w:val="009C708E"/>
    <w:rsid w:val="009C741B"/>
    <w:rsid w:val="009C7455"/>
    <w:rsid w:val="009D046D"/>
    <w:rsid w:val="009D129A"/>
    <w:rsid w:val="009D19ED"/>
    <w:rsid w:val="009D1DFA"/>
    <w:rsid w:val="009D23A9"/>
    <w:rsid w:val="009D263A"/>
    <w:rsid w:val="009D3170"/>
    <w:rsid w:val="009D34BD"/>
    <w:rsid w:val="009D4ACD"/>
    <w:rsid w:val="009D5AC9"/>
    <w:rsid w:val="009D5B14"/>
    <w:rsid w:val="009D7787"/>
    <w:rsid w:val="009E008D"/>
    <w:rsid w:val="009E06C0"/>
    <w:rsid w:val="009E1813"/>
    <w:rsid w:val="009E1A10"/>
    <w:rsid w:val="009E42C0"/>
    <w:rsid w:val="009E64A8"/>
    <w:rsid w:val="009E7A7F"/>
    <w:rsid w:val="009E7D34"/>
    <w:rsid w:val="009E7F49"/>
    <w:rsid w:val="009F059E"/>
    <w:rsid w:val="009F2BA8"/>
    <w:rsid w:val="009F3235"/>
    <w:rsid w:val="009F3477"/>
    <w:rsid w:val="009F4CB3"/>
    <w:rsid w:val="009F5827"/>
    <w:rsid w:val="009F6D3C"/>
    <w:rsid w:val="009F7218"/>
    <w:rsid w:val="009F75DE"/>
    <w:rsid w:val="00A002FC"/>
    <w:rsid w:val="00A00F0C"/>
    <w:rsid w:val="00A01159"/>
    <w:rsid w:val="00A01190"/>
    <w:rsid w:val="00A035F3"/>
    <w:rsid w:val="00A0487C"/>
    <w:rsid w:val="00A04CC6"/>
    <w:rsid w:val="00A067A5"/>
    <w:rsid w:val="00A06C72"/>
    <w:rsid w:val="00A102FF"/>
    <w:rsid w:val="00A104D5"/>
    <w:rsid w:val="00A10B9D"/>
    <w:rsid w:val="00A11156"/>
    <w:rsid w:val="00A12FE2"/>
    <w:rsid w:val="00A132F5"/>
    <w:rsid w:val="00A14445"/>
    <w:rsid w:val="00A14E21"/>
    <w:rsid w:val="00A15E94"/>
    <w:rsid w:val="00A16370"/>
    <w:rsid w:val="00A170CD"/>
    <w:rsid w:val="00A2007D"/>
    <w:rsid w:val="00A20F68"/>
    <w:rsid w:val="00A218DC"/>
    <w:rsid w:val="00A2264B"/>
    <w:rsid w:val="00A233E1"/>
    <w:rsid w:val="00A23551"/>
    <w:rsid w:val="00A23A05"/>
    <w:rsid w:val="00A241E0"/>
    <w:rsid w:val="00A24A66"/>
    <w:rsid w:val="00A25B58"/>
    <w:rsid w:val="00A26081"/>
    <w:rsid w:val="00A27030"/>
    <w:rsid w:val="00A27F21"/>
    <w:rsid w:val="00A306F7"/>
    <w:rsid w:val="00A30B58"/>
    <w:rsid w:val="00A30BFE"/>
    <w:rsid w:val="00A30DB4"/>
    <w:rsid w:val="00A3118B"/>
    <w:rsid w:val="00A319F7"/>
    <w:rsid w:val="00A31D6A"/>
    <w:rsid w:val="00A358BB"/>
    <w:rsid w:val="00A35944"/>
    <w:rsid w:val="00A3655C"/>
    <w:rsid w:val="00A407E3"/>
    <w:rsid w:val="00A4170B"/>
    <w:rsid w:val="00A4387D"/>
    <w:rsid w:val="00A452C2"/>
    <w:rsid w:val="00A46386"/>
    <w:rsid w:val="00A475A4"/>
    <w:rsid w:val="00A47692"/>
    <w:rsid w:val="00A47FD7"/>
    <w:rsid w:val="00A502B5"/>
    <w:rsid w:val="00A50423"/>
    <w:rsid w:val="00A509A0"/>
    <w:rsid w:val="00A50D55"/>
    <w:rsid w:val="00A5214F"/>
    <w:rsid w:val="00A53C95"/>
    <w:rsid w:val="00A54EBE"/>
    <w:rsid w:val="00A55422"/>
    <w:rsid w:val="00A5639F"/>
    <w:rsid w:val="00A56517"/>
    <w:rsid w:val="00A57FFD"/>
    <w:rsid w:val="00A60A00"/>
    <w:rsid w:val="00A626B7"/>
    <w:rsid w:val="00A62969"/>
    <w:rsid w:val="00A6509E"/>
    <w:rsid w:val="00A65957"/>
    <w:rsid w:val="00A65AE1"/>
    <w:rsid w:val="00A65BD7"/>
    <w:rsid w:val="00A661B0"/>
    <w:rsid w:val="00A673C8"/>
    <w:rsid w:val="00A678A4"/>
    <w:rsid w:val="00A678E3"/>
    <w:rsid w:val="00A702FA"/>
    <w:rsid w:val="00A714D3"/>
    <w:rsid w:val="00A72A15"/>
    <w:rsid w:val="00A72E9B"/>
    <w:rsid w:val="00A75303"/>
    <w:rsid w:val="00A770D6"/>
    <w:rsid w:val="00A7716F"/>
    <w:rsid w:val="00A775B5"/>
    <w:rsid w:val="00A77AFB"/>
    <w:rsid w:val="00A803BC"/>
    <w:rsid w:val="00A80942"/>
    <w:rsid w:val="00A8097E"/>
    <w:rsid w:val="00A81F25"/>
    <w:rsid w:val="00A821A2"/>
    <w:rsid w:val="00A82404"/>
    <w:rsid w:val="00A835F6"/>
    <w:rsid w:val="00A84E3D"/>
    <w:rsid w:val="00A857B6"/>
    <w:rsid w:val="00A860E8"/>
    <w:rsid w:val="00A86719"/>
    <w:rsid w:val="00A87013"/>
    <w:rsid w:val="00A8709D"/>
    <w:rsid w:val="00A90DB6"/>
    <w:rsid w:val="00A912A5"/>
    <w:rsid w:val="00A923D1"/>
    <w:rsid w:val="00A92B86"/>
    <w:rsid w:val="00A9589E"/>
    <w:rsid w:val="00A95DCA"/>
    <w:rsid w:val="00A963BC"/>
    <w:rsid w:val="00A96C56"/>
    <w:rsid w:val="00A973C9"/>
    <w:rsid w:val="00AA0E6E"/>
    <w:rsid w:val="00AA0E80"/>
    <w:rsid w:val="00AA1FB7"/>
    <w:rsid w:val="00AA2076"/>
    <w:rsid w:val="00AA340E"/>
    <w:rsid w:val="00AA44C4"/>
    <w:rsid w:val="00AA5863"/>
    <w:rsid w:val="00AA5D02"/>
    <w:rsid w:val="00AA69A6"/>
    <w:rsid w:val="00AA6AA9"/>
    <w:rsid w:val="00AA6D3E"/>
    <w:rsid w:val="00AA7FCD"/>
    <w:rsid w:val="00AB165B"/>
    <w:rsid w:val="00AB32E7"/>
    <w:rsid w:val="00AB3D09"/>
    <w:rsid w:val="00AB72F9"/>
    <w:rsid w:val="00AC1355"/>
    <w:rsid w:val="00AC1706"/>
    <w:rsid w:val="00AC2670"/>
    <w:rsid w:val="00AC2A59"/>
    <w:rsid w:val="00AC3150"/>
    <w:rsid w:val="00AC3D69"/>
    <w:rsid w:val="00AC42BD"/>
    <w:rsid w:val="00AC49FC"/>
    <w:rsid w:val="00AC567E"/>
    <w:rsid w:val="00AD0F22"/>
    <w:rsid w:val="00AD19B4"/>
    <w:rsid w:val="00AD3C30"/>
    <w:rsid w:val="00AD43BB"/>
    <w:rsid w:val="00AD62AA"/>
    <w:rsid w:val="00AD6427"/>
    <w:rsid w:val="00AD65AE"/>
    <w:rsid w:val="00AD721D"/>
    <w:rsid w:val="00AD785A"/>
    <w:rsid w:val="00AE02CB"/>
    <w:rsid w:val="00AE13B9"/>
    <w:rsid w:val="00AE20C8"/>
    <w:rsid w:val="00AE24E5"/>
    <w:rsid w:val="00AE2F99"/>
    <w:rsid w:val="00AE32CC"/>
    <w:rsid w:val="00AE36AA"/>
    <w:rsid w:val="00AE49D3"/>
    <w:rsid w:val="00AE49EF"/>
    <w:rsid w:val="00AE65F0"/>
    <w:rsid w:val="00AE7704"/>
    <w:rsid w:val="00AE7E1E"/>
    <w:rsid w:val="00AE7EB5"/>
    <w:rsid w:val="00AF23FE"/>
    <w:rsid w:val="00AF3C1F"/>
    <w:rsid w:val="00AF3D1A"/>
    <w:rsid w:val="00AF40E3"/>
    <w:rsid w:val="00AF4736"/>
    <w:rsid w:val="00AF4A73"/>
    <w:rsid w:val="00AF63CB"/>
    <w:rsid w:val="00AF7EB7"/>
    <w:rsid w:val="00B034B6"/>
    <w:rsid w:val="00B0482C"/>
    <w:rsid w:val="00B0786C"/>
    <w:rsid w:val="00B07F70"/>
    <w:rsid w:val="00B122C0"/>
    <w:rsid w:val="00B13A59"/>
    <w:rsid w:val="00B14479"/>
    <w:rsid w:val="00B15773"/>
    <w:rsid w:val="00B17878"/>
    <w:rsid w:val="00B179CB"/>
    <w:rsid w:val="00B20BD3"/>
    <w:rsid w:val="00B219A6"/>
    <w:rsid w:val="00B21B88"/>
    <w:rsid w:val="00B223E0"/>
    <w:rsid w:val="00B23522"/>
    <w:rsid w:val="00B2497D"/>
    <w:rsid w:val="00B2664A"/>
    <w:rsid w:val="00B26977"/>
    <w:rsid w:val="00B314C4"/>
    <w:rsid w:val="00B31C0E"/>
    <w:rsid w:val="00B34094"/>
    <w:rsid w:val="00B3414A"/>
    <w:rsid w:val="00B34C76"/>
    <w:rsid w:val="00B35588"/>
    <w:rsid w:val="00B35D0E"/>
    <w:rsid w:val="00B360EB"/>
    <w:rsid w:val="00B37FE2"/>
    <w:rsid w:val="00B4143D"/>
    <w:rsid w:val="00B42518"/>
    <w:rsid w:val="00B4277E"/>
    <w:rsid w:val="00B4279E"/>
    <w:rsid w:val="00B43076"/>
    <w:rsid w:val="00B43FA7"/>
    <w:rsid w:val="00B44534"/>
    <w:rsid w:val="00B452EF"/>
    <w:rsid w:val="00B4554C"/>
    <w:rsid w:val="00B459D6"/>
    <w:rsid w:val="00B45B6C"/>
    <w:rsid w:val="00B472C5"/>
    <w:rsid w:val="00B50039"/>
    <w:rsid w:val="00B5294C"/>
    <w:rsid w:val="00B52FB6"/>
    <w:rsid w:val="00B54640"/>
    <w:rsid w:val="00B56552"/>
    <w:rsid w:val="00B57161"/>
    <w:rsid w:val="00B60B80"/>
    <w:rsid w:val="00B61528"/>
    <w:rsid w:val="00B6159B"/>
    <w:rsid w:val="00B6188B"/>
    <w:rsid w:val="00B622C3"/>
    <w:rsid w:val="00B64CF2"/>
    <w:rsid w:val="00B656B3"/>
    <w:rsid w:val="00B656D8"/>
    <w:rsid w:val="00B668AD"/>
    <w:rsid w:val="00B6699F"/>
    <w:rsid w:val="00B70610"/>
    <w:rsid w:val="00B732F7"/>
    <w:rsid w:val="00B73BD6"/>
    <w:rsid w:val="00B73DE3"/>
    <w:rsid w:val="00B7413D"/>
    <w:rsid w:val="00B74C6C"/>
    <w:rsid w:val="00B75446"/>
    <w:rsid w:val="00B75601"/>
    <w:rsid w:val="00B760B0"/>
    <w:rsid w:val="00B76D7D"/>
    <w:rsid w:val="00B80B1B"/>
    <w:rsid w:val="00B81DE2"/>
    <w:rsid w:val="00B81E14"/>
    <w:rsid w:val="00B8272A"/>
    <w:rsid w:val="00B83D45"/>
    <w:rsid w:val="00B8631C"/>
    <w:rsid w:val="00B86364"/>
    <w:rsid w:val="00B90673"/>
    <w:rsid w:val="00B914A4"/>
    <w:rsid w:val="00B9258B"/>
    <w:rsid w:val="00B93177"/>
    <w:rsid w:val="00B93AB5"/>
    <w:rsid w:val="00B94DA0"/>
    <w:rsid w:val="00B95636"/>
    <w:rsid w:val="00B95A8E"/>
    <w:rsid w:val="00B9622A"/>
    <w:rsid w:val="00B973FD"/>
    <w:rsid w:val="00B9753D"/>
    <w:rsid w:val="00BA06DC"/>
    <w:rsid w:val="00BA19F4"/>
    <w:rsid w:val="00BA21ED"/>
    <w:rsid w:val="00BA2459"/>
    <w:rsid w:val="00BA3A9D"/>
    <w:rsid w:val="00BA3CA1"/>
    <w:rsid w:val="00BA7E1E"/>
    <w:rsid w:val="00BB0065"/>
    <w:rsid w:val="00BB0185"/>
    <w:rsid w:val="00BB057B"/>
    <w:rsid w:val="00BB10E9"/>
    <w:rsid w:val="00BB2467"/>
    <w:rsid w:val="00BB2548"/>
    <w:rsid w:val="00BB3914"/>
    <w:rsid w:val="00BB4885"/>
    <w:rsid w:val="00BB5D88"/>
    <w:rsid w:val="00BB6BB6"/>
    <w:rsid w:val="00BB7230"/>
    <w:rsid w:val="00BB7CB9"/>
    <w:rsid w:val="00BC0010"/>
    <w:rsid w:val="00BC1855"/>
    <w:rsid w:val="00BC2814"/>
    <w:rsid w:val="00BC28B7"/>
    <w:rsid w:val="00BC2A88"/>
    <w:rsid w:val="00BC3B5D"/>
    <w:rsid w:val="00BC3DDE"/>
    <w:rsid w:val="00BC44AE"/>
    <w:rsid w:val="00BC62D8"/>
    <w:rsid w:val="00BC65E4"/>
    <w:rsid w:val="00BC662C"/>
    <w:rsid w:val="00BC7219"/>
    <w:rsid w:val="00BD2A45"/>
    <w:rsid w:val="00BD38C2"/>
    <w:rsid w:val="00BD3E5E"/>
    <w:rsid w:val="00BD714E"/>
    <w:rsid w:val="00BD769D"/>
    <w:rsid w:val="00BD76EC"/>
    <w:rsid w:val="00BD7A89"/>
    <w:rsid w:val="00BE11F5"/>
    <w:rsid w:val="00BE1227"/>
    <w:rsid w:val="00BE14C6"/>
    <w:rsid w:val="00BE3AD8"/>
    <w:rsid w:val="00BE438C"/>
    <w:rsid w:val="00BE44DC"/>
    <w:rsid w:val="00BE48B5"/>
    <w:rsid w:val="00BE526A"/>
    <w:rsid w:val="00BE52C9"/>
    <w:rsid w:val="00BE6816"/>
    <w:rsid w:val="00BF085E"/>
    <w:rsid w:val="00BF0C1F"/>
    <w:rsid w:val="00BF2864"/>
    <w:rsid w:val="00BF2D14"/>
    <w:rsid w:val="00BF354A"/>
    <w:rsid w:val="00BF4D2C"/>
    <w:rsid w:val="00BF5087"/>
    <w:rsid w:val="00BF6BFF"/>
    <w:rsid w:val="00C005C8"/>
    <w:rsid w:val="00C025CF"/>
    <w:rsid w:val="00C037FF"/>
    <w:rsid w:val="00C04248"/>
    <w:rsid w:val="00C0512B"/>
    <w:rsid w:val="00C07116"/>
    <w:rsid w:val="00C1044C"/>
    <w:rsid w:val="00C10BB4"/>
    <w:rsid w:val="00C12C5B"/>
    <w:rsid w:val="00C13380"/>
    <w:rsid w:val="00C133DA"/>
    <w:rsid w:val="00C142BF"/>
    <w:rsid w:val="00C16E5E"/>
    <w:rsid w:val="00C2010F"/>
    <w:rsid w:val="00C20417"/>
    <w:rsid w:val="00C20CCB"/>
    <w:rsid w:val="00C2153D"/>
    <w:rsid w:val="00C2160A"/>
    <w:rsid w:val="00C259A9"/>
    <w:rsid w:val="00C26784"/>
    <w:rsid w:val="00C26F42"/>
    <w:rsid w:val="00C301DF"/>
    <w:rsid w:val="00C311CF"/>
    <w:rsid w:val="00C32AF0"/>
    <w:rsid w:val="00C32E5F"/>
    <w:rsid w:val="00C34B70"/>
    <w:rsid w:val="00C36045"/>
    <w:rsid w:val="00C3666D"/>
    <w:rsid w:val="00C36A1E"/>
    <w:rsid w:val="00C40AC4"/>
    <w:rsid w:val="00C40B43"/>
    <w:rsid w:val="00C4167F"/>
    <w:rsid w:val="00C436F5"/>
    <w:rsid w:val="00C43CFD"/>
    <w:rsid w:val="00C444B2"/>
    <w:rsid w:val="00C4482C"/>
    <w:rsid w:val="00C46BC0"/>
    <w:rsid w:val="00C46BFC"/>
    <w:rsid w:val="00C5098B"/>
    <w:rsid w:val="00C50C4F"/>
    <w:rsid w:val="00C510F6"/>
    <w:rsid w:val="00C52138"/>
    <w:rsid w:val="00C53049"/>
    <w:rsid w:val="00C56A4A"/>
    <w:rsid w:val="00C60192"/>
    <w:rsid w:val="00C60BA5"/>
    <w:rsid w:val="00C63418"/>
    <w:rsid w:val="00C64734"/>
    <w:rsid w:val="00C65438"/>
    <w:rsid w:val="00C65C36"/>
    <w:rsid w:val="00C65ED9"/>
    <w:rsid w:val="00C66CBD"/>
    <w:rsid w:val="00C6745E"/>
    <w:rsid w:val="00C707D1"/>
    <w:rsid w:val="00C729FA"/>
    <w:rsid w:val="00C7388C"/>
    <w:rsid w:val="00C749F7"/>
    <w:rsid w:val="00C7501B"/>
    <w:rsid w:val="00C76945"/>
    <w:rsid w:val="00C77691"/>
    <w:rsid w:val="00C77D05"/>
    <w:rsid w:val="00C77FF6"/>
    <w:rsid w:val="00C8313F"/>
    <w:rsid w:val="00C8430A"/>
    <w:rsid w:val="00C85251"/>
    <w:rsid w:val="00C853E5"/>
    <w:rsid w:val="00C85408"/>
    <w:rsid w:val="00C85428"/>
    <w:rsid w:val="00C85DDF"/>
    <w:rsid w:val="00C86237"/>
    <w:rsid w:val="00C869A9"/>
    <w:rsid w:val="00C87761"/>
    <w:rsid w:val="00C914C1"/>
    <w:rsid w:val="00C941BF"/>
    <w:rsid w:val="00C9437F"/>
    <w:rsid w:val="00C94CCC"/>
    <w:rsid w:val="00C952F1"/>
    <w:rsid w:val="00CA190D"/>
    <w:rsid w:val="00CA199E"/>
    <w:rsid w:val="00CA754B"/>
    <w:rsid w:val="00CA7BD4"/>
    <w:rsid w:val="00CA7D0A"/>
    <w:rsid w:val="00CA7D9A"/>
    <w:rsid w:val="00CB020D"/>
    <w:rsid w:val="00CB1262"/>
    <w:rsid w:val="00CB2054"/>
    <w:rsid w:val="00CB23D2"/>
    <w:rsid w:val="00CB2F74"/>
    <w:rsid w:val="00CB3835"/>
    <w:rsid w:val="00CB49F3"/>
    <w:rsid w:val="00CB4EF6"/>
    <w:rsid w:val="00CB57FF"/>
    <w:rsid w:val="00CC03A4"/>
    <w:rsid w:val="00CC04E6"/>
    <w:rsid w:val="00CC0A6C"/>
    <w:rsid w:val="00CC0EE1"/>
    <w:rsid w:val="00CC24D3"/>
    <w:rsid w:val="00CC2936"/>
    <w:rsid w:val="00CC3680"/>
    <w:rsid w:val="00CC41CA"/>
    <w:rsid w:val="00CC4E6E"/>
    <w:rsid w:val="00CC56BD"/>
    <w:rsid w:val="00CC5C68"/>
    <w:rsid w:val="00CC65CB"/>
    <w:rsid w:val="00CC6E01"/>
    <w:rsid w:val="00CC75B5"/>
    <w:rsid w:val="00CD0082"/>
    <w:rsid w:val="00CD147C"/>
    <w:rsid w:val="00CD3411"/>
    <w:rsid w:val="00CD4E94"/>
    <w:rsid w:val="00CD513B"/>
    <w:rsid w:val="00CD67A9"/>
    <w:rsid w:val="00CE07CD"/>
    <w:rsid w:val="00CE19E9"/>
    <w:rsid w:val="00CE1D1C"/>
    <w:rsid w:val="00CE2033"/>
    <w:rsid w:val="00CE20B6"/>
    <w:rsid w:val="00CE2D91"/>
    <w:rsid w:val="00CE3349"/>
    <w:rsid w:val="00CE5228"/>
    <w:rsid w:val="00CE64F5"/>
    <w:rsid w:val="00CE76B5"/>
    <w:rsid w:val="00CE7988"/>
    <w:rsid w:val="00CF0129"/>
    <w:rsid w:val="00CF0A2D"/>
    <w:rsid w:val="00CF0C19"/>
    <w:rsid w:val="00CF140A"/>
    <w:rsid w:val="00CF26D1"/>
    <w:rsid w:val="00CF418E"/>
    <w:rsid w:val="00CF4336"/>
    <w:rsid w:val="00CF6115"/>
    <w:rsid w:val="00CF73E7"/>
    <w:rsid w:val="00CF7A2D"/>
    <w:rsid w:val="00CF7CCF"/>
    <w:rsid w:val="00D00C37"/>
    <w:rsid w:val="00D00EB4"/>
    <w:rsid w:val="00D011E4"/>
    <w:rsid w:val="00D018C6"/>
    <w:rsid w:val="00D038A4"/>
    <w:rsid w:val="00D0456E"/>
    <w:rsid w:val="00D0621E"/>
    <w:rsid w:val="00D068FB"/>
    <w:rsid w:val="00D07FA6"/>
    <w:rsid w:val="00D10131"/>
    <w:rsid w:val="00D1192E"/>
    <w:rsid w:val="00D11B07"/>
    <w:rsid w:val="00D11D01"/>
    <w:rsid w:val="00D124E3"/>
    <w:rsid w:val="00D13802"/>
    <w:rsid w:val="00D1650C"/>
    <w:rsid w:val="00D165D7"/>
    <w:rsid w:val="00D20B75"/>
    <w:rsid w:val="00D21930"/>
    <w:rsid w:val="00D21A86"/>
    <w:rsid w:val="00D23DE5"/>
    <w:rsid w:val="00D2465B"/>
    <w:rsid w:val="00D24D0D"/>
    <w:rsid w:val="00D25CB5"/>
    <w:rsid w:val="00D316F1"/>
    <w:rsid w:val="00D323D0"/>
    <w:rsid w:val="00D324BB"/>
    <w:rsid w:val="00D3301D"/>
    <w:rsid w:val="00D35965"/>
    <w:rsid w:val="00D35B5B"/>
    <w:rsid w:val="00D3657B"/>
    <w:rsid w:val="00D3764F"/>
    <w:rsid w:val="00D4103C"/>
    <w:rsid w:val="00D433C8"/>
    <w:rsid w:val="00D43F7F"/>
    <w:rsid w:val="00D45C47"/>
    <w:rsid w:val="00D46398"/>
    <w:rsid w:val="00D464CE"/>
    <w:rsid w:val="00D51340"/>
    <w:rsid w:val="00D51BE1"/>
    <w:rsid w:val="00D5211C"/>
    <w:rsid w:val="00D52818"/>
    <w:rsid w:val="00D52F43"/>
    <w:rsid w:val="00D5375C"/>
    <w:rsid w:val="00D53BD6"/>
    <w:rsid w:val="00D55096"/>
    <w:rsid w:val="00D551B9"/>
    <w:rsid w:val="00D574CE"/>
    <w:rsid w:val="00D6026F"/>
    <w:rsid w:val="00D615B8"/>
    <w:rsid w:val="00D623AD"/>
    <w:rsid w:val="00D63162"/>
    <w:rsid w:val="00D70BD4"/>
    <w:rsid w:val="00D70D93"/>
    <w:rsid w:val="00D70E91"/>
    <w:rsid w:val="00D720AE"/>
    <w:rsid w:val="00D742FC"/>
    <w:rsid w:val="00D75153"/>
    <w:rsid w:val="00D75A44"/>
    <w:rsid w:val="00D75E93"/>
    <w:rsid w:val="00D7644A"/>
    <w:rsid w:val="00D777DD"/>
    <w:rsid w:val="00D80801"/>
    <w:rsid w:val="00D81FC1"/>
    <w:rsid w:val="00D841C7"/>
    <w:rsid w:val="00D8492D"/>
    <w:rsid w:val="00D853CA"/>
    <w:rsid w:val="00D86889"/>
    <w:rsid w:val="00D86B30"/>
    <w:rsid w:val="00D90962"/>
    <w:rsid w:val="00D90E8C"/>
    <w:rsid w:val="00D9427B"/>
    <w:rsid w:val="00D9474C"/>
    <w:rsid w:val="00D9626C"/>
    <w:rsid w:val="00D964E4"/>
    <w:rsid w:val="00D96B2D"/>
    <w:rsid w:val="00D97CFB"/>
    <w:rsid w:val="00DA0ABB"/>
    <w:rsid w:val="00DA12CA"/>
    <w:rsid w:val="00DA15A0"/>
    <w:rsid w:val="00DA1673"/>
    <w:rsid w:val="00DA18C7"/>
    <w:rsid w:val="00DA3C87"/>
    <w:rsid w:val="00DA4BF2"/>
    <w:rsid w:val="00DA4D84"/>
    <w:rsid w:val="00DA6B63"/>
    <w:rsid w:val="00DA7C7B"/>
    <w:rsid w:val="00DB026B"/>
    <w:rsid w:val="00DB0B39"/>
    <w:rsid w:val="00DB24CD"/>
    <w:rsid w:val="00DB2DDF"/>
    <w:rsid w:val="00DB4EC8"/>
    <w:rsid w:val="00DB5537"/>
    <w:rsid w:val="00DB577E"/>
    <w:rsid w:val="00DB6394"/>
    <w:rsid w:val="00DB73E6"/>
    <w:rsid w:val="00DB7C18"/>
    <w:rsid w:val="00DC13A2"/>
    <w:rsid w:val="00DC223B"/>
    <w:rsid w:val="00DC22C3"/>
    <w:rsid w:val="00DC2D93"/>
    <w:rsid w:val="00DC37C1"/>
    <w:rsid w:val="00DC3CD3"/>
    <w:rsid w:val="00DC4234"/>
    <w:rsid w:val="00DC5070"/>
    <w:rsid w:val="00DC5F32"/>
    <w:rsid w:val="00DC6FA3"/>
    <w:rsid w:val="00DC738C"/>
    <w:rsid w:val="00DC77AA"/>
    <w:rsid w:val="00DD0730"/>
    <w:rsid w:val="00DD0B01"/>
    <w:rsid w:val="00DD2458"/>
    <w:rsid w:val="00DD2654"/>
    <w:rsid w:val="00DD38B8"/>
    <w:rsid w:val="00DD3FFC"/>
    <w:rsid w:val="00DD5555"/>
    <w:rsid w:val="00DD5B27"/>
    <w:rsid w:val="00DE0DCA"/>
    <w:rsid w:val="00DE0DE5"/>
    <w:rsid w:val="00DE393F"/>
    <w:rsid w:val="00DE3A63"/>
    <w:rsid w:val="00DE5391"/>
    <w:rsid w:val="00DE67A3"/>
    <w:rsid w:val="00DE742C"/>
    <w:rsid w:val="00DE7BF1"/>
    <w:rsid w:val="00DF08F9"/>
    <w:rsid w:val="00DF3CF3"/>
    <w:rsid w:val="00DF4952"/>
    <w:rsid w:val="00DF4BB5"/>
    <w:rsid w:val="00DF6873"/>
    <w:rsid w:val="00DF7BB2"/>
    <w:rsid w:val="00DF7F96"/>
    <w:rsid w:val="00E013CF"/>
    <w:rsid w:val="00E02F14"/>
    <w:rsid w:val="00E02F47"/>
    <w:rsid w:val="00E0324C"/>
    <w:rsid w:val="00E0366D"/>
    <w:rsid w:val="00E03D63"/>
    <w:rsid w:val="00E03EEB"/>
    <w:rsid w:val="00E04766"/>
    <w:rsid w:val="00E047BE"/>
    <w:rsid w:val="00E047EE"/>
    <w:rsid w:val="00E0501C"/>
    <w:rsid w:val="00E06602"/>
    <w:rsid w:val="00E07AEC"/>
    <w:rsid w:val="00E10337"/>
    <w:rsid w:val="00E1424D"/>
    <w:rsid w:val="00E1456F"/>
    <w:rsid w:val="00E15610"/>
    <w:rsid w:val="00E237BA"/>
    <w:rsid w:val="00E2391B"/>
    <w:rsid w:val="00E23C79"/>
    <w:rsid w:val="00E2448C"/>
    <w:rsid w:val="00E254DE"/>
    <w:rsid w:val="00E261E9"/>
    <w:rsid w:val="00E27E6C"/>
    <w:rsid w:val="00E30B70"/>
    <w:rsid w:val="00E3167D"/>
    <w:rsid w:val="00E3240F"/>
    <w:rsid w:val="00E3272E"/>
    <w:rsid w:val="00E332EE"/>
    <w:rsid w:val="00E3333F"/>
    <w:rsid w:val="00E340FC"/>
    <w:rsid w:val="00E34120"/>
    <w:rsid w:val="00E36C8B"/>
    <w:rsid w:val="00E37F46"/>
    <w:rsid w:val="00E40AAA"/>
    <w:rsid w:val="00E44981"/>
    <w:rsid w:val="00E46FA3"/>
    <w:rsid w:val="00E519A6"/>
    <w:rsid w:val="00E54192"/>
    <w:rsid w:val="00E54656"/>
    <w:rsid w:val="00E54867"/>
    <w:rsid w:val="00E55F26"/>
    <w:rsid w:val="00E56742"/>
    <w:rsid w:val="00E569A6"/>
    <w:rsid w:val="00E56FFB"/>
    <w:rsid w:val="00E60E5D"/>
    <w:rsid w:val="00E617F7"/>
    <w:rsid w:val="00E61EF8"/>
    <w:rsid w:val="00E630C4"/>
    <w:rsid w:val="00E64712"/>
    <w:rsid w:val="00E65B66"/>
    <w:rsid w:val="00E66258"/>
    <w:rsid w:val="00E66C91"/>
    <w:rsid w:val="00E717DB"/>
    <w:rsid w:val="00E74DC3"/>
    <w:rsid w:val="00E75F26"/>
    <w:rsid w:val="00E77498"/>
    <w:rsid w:val="00E774EF"/>
    <w:rsid w:val="00E77E05"/>
    <w:rsid w:val="00E8012B"/>
    <w:rsid w:val="00E82733"/>
    <w:rsid w:val="00E84000"/>
    <w:rsid w:val="00E8462D"/>
    <w:rsid w:val="00E84A33"/>
    <w:rsid w:val="00E850F2"/>
    <w:rsid w:val="00E852AF"/>
    <w:rsid w:val="00E856C5"/>
    <w:rsid w:val="00E910EA"/>
    <w:rsid w:val="00E9180F"/>
    <w:rsid w:val="00E919C6"/>
    <w:rsid w:val="00E921E0"/>
    <w:rsid w:val="00E9295E"/>
    <w:rsid w:val="00E92D07"/>
    <w:rsid w:val="00E941B9"/>
    <w:rsid w:val="00E95109"/>
    <w:rsid w:val="00E95463"/>
    <w:rsid w:val="00E96A7C"/>
    <w:rsid w:val="00E9717B"/>
    <w:rsid w:val="00E9790B"/>
    <w:rsid w:val="00EA0130"/>
    <w:rsid w:val="00EA0542"/>
    <w:rsid w:val="00EA0C96"/>
    <w:rsid w:val="00EA0EDB"/>
    <w:rsid w:val="00EA22BD"/>
    <w:rsid w:val="00EA2422"/>
    <w:rsid w:val="00EA4852"/>
    <w:rsid w:val="00EA4F96"/>
    <w:rsid w:val="00EA69BE"/>
    <w:rsid w:val="00EA6C02"/>
    <w:rsid w:val="00EB1D0F"/>
    <w:rsid w:val="00EB419A"/>
    <w:rsid w:val="00EB7058"/>
    <w:rsid w:val="00EC0068"/>
    <w:rsid w:val="00EC00FA"/>
    <w:rsid w:val="00EC0440"/>
    <w:rsid w:val="00EC0B78"/>
    <w:rsid w:val="00EC312D"/>
    <w:rsid w:val="00EC3BE4"/>
    <w:rsid w:val="00EC4172"/>
    <w:rsid w:val="00EC4D5B"/>
    <w:rsid w:val="00EC555D"/>
    <w:rsid w:val="00EC7658"/>
    <w:rsid w:val="00EC7BB8"/>
    <w:rsid w:val="00ED0CDA"/>
    <w:rsid w:val="00ED1956"/>
    <w:rsid w:val="00ED4EBD"/>
    <w:rsid w:val="00ED63E2"/>
    <w:rsid w:val="00ED7912"/>
    <w:rsid w:val="00EE036C"/>
    <w:rsid w:val="00EE2FEE"/>
    <w:rsid w:val="00EE72C8"/>
    <w:rsid w:val="00EE766B"/>
    <w:rsid w:val="00EF0045"/>
    <w:rsid w:val="00EF0525"/>
    <w:rsid w:val="00EF0887"/>
    <w:rsid w:val="00EF1A84"/>
    <w:rsid w:val="00EF1C3E"/>
    <w:rsid w:val="00EF1D7D"/>
    <w:rsid w:val="00EF24FE"/>
    <w:rsid w:val="00EF2EC7"/>
    <w:rsid w:val="00EF384E"/>
    <w:rsid w:val="00EF626C"/>
    <w:rsid w:val="00F01B1A"/>
    <w:rsid w:val="00F02EA3"/>
    <w:rsid w:val="00F03082"/>
    <w:rsid w:val="00F03332"/>
    <w:rsid w:val="00F03A4E"/>
    <w:rsid w:val="00F042A7"/>
    <w:rsid w:val="00F042B4"/>
    <w:rsid w:val="00F04788"/>
    <w:rsid w:val="00F0579A"/>
    <w:rsid w:val="00F066A4"/>
    <w:rsid w:val="00F0739D"/>
    <w:rsid w:val="00F07869"/>
    <w:rsid w:val="00F07F99"/>
    <w:rsid w:val="00F1251E"/>
    <w:rsid w:val="00F12FEB"/>
    <w:rsid w:val="00F13ADC"/>
    <w:rsid w:val="00F15111"/>
    <w:rsid w:val="00F15BD7"/>
    <w:rsid w:val="00F16A1F"/>
    <w:rsid w:val="00F16F1A"/>
    <w:rsid w:val="00F16F4E"/>
    <w:rsid w:val="00F17CE3"/>
    <w:rsid w:val="00F21B16"/>
    <w:rsid w:val="00F221CC"/>
    <w:rsid w:val="00F22ECA"/>
    <w:rsid w:val="00F23426"/>
    <w:rsid w:val="00F25A8D"/>
    <w:rsid w:val="00F279EE"/>
    <w:rsid w:val="00F308AD"/>
    <w:rsid w:val="00F31707"/>
    <w:rsid w:val="00F351E9"/>
    <w:rsid w:val="00F35D31"/>
    <w:rsid w:val="00F36CBA"/>
    <w:rsid w:val="00F40241"/>
    <w:rsid w:val="00F41826"/>
    <w:rsid w:val="00F41FB2"/>
    <w:rsid w:val="00F42231"/>
    <w:rsid w:val="00F43220"/>
    <w:rsid w:val="00F43441"/>
    <w:rsid w:val="00F43FE4"/>
    <w:rsid w:val="00F44450"/>
    <w:rsid w:val="00F46C84"/>
    <w:rsid w:val="00F47575"/>
    <w:rsid w:val="00F502FE"/>
    <w:rsid w:val="00F50800"/>
    <w:rsid w:val="00F50D59"/>
    <w:rsid w:val="00F50D72"/>
    <w:rsid w:val="00F50FDF"/>
    <w:rsid w:val="00F516BD"/>
    <w:rsid w:val="00F52679"/>
    <w:rsid w:val="00F54946"/>
    <w:rsid w:val="00F559AE"/>
    <w:rsid w:val="00F5650A"/>
    <w:rsid w:val="00F601F3"/>
    <w:rsid w:val="00F60558"/>
    <w:rsid w:val="00F60A18"/>
    <w:rsid w:val="00F629CF"/>
    <w:rsid w:val="00F6376D"/>
    <w:rsid w:val="00F63E5C"/>
    <w:rsid w:val="00F63E98"/>
    <w:rsid w:val="00F65C90"/>
    <w:rsid w:val="00F65EBC"/>
    <w:rsid w:val="00F66F35"/>
    <w:rsid w:val="00F72923"/>
    <w:rsid w:val="00F73015"/>
    <w:rsid w:val="00F75F9A"/>
    <w:rsid w:val="00F76C72"/>
    <w:rsid w:val="00F808CF"/>
    <w:rsid w:val="00F8203E"/>
    <w:rsid w:val="00F83547"/>
    <w:rsid w:val="00F83571"/>
    <w:rsid w:val="00F838AA"/>
    <w:rsid w:val="00F83DE3"/>
    <w:rsid w:val="00F869DB"/>
    <w:rsid w:val="00F871B7"/>
    <w:rsid w:val="00F87496"/>
    <w:rsid w:val="00F904B9"/>
    <w:rsid w:val="00F91716"/>
    <w:rsid w:val="00F91857"/>
    <w:rsid w:val="00F91D72"/>
    <w:rsid w:val="00F92BD5"/>
    <w:rsid w:val="00F93E2B"/>
    <w:rsid w:val="00F941D2"/>
    <w:rsid w:val="00F95B2F"/>
    <w:rsid w:val="00F960DC"/>
    <w:rsid w:val="00F964AF"/>
    <w:rsid w:val="00F969A9"/>
    <w:rsid w:val="00F978AA"/>
    <w:rsid w:val="00FA0098"/>
    <w:rsid w:val="00FA02FB"/>
    <w:rsid w:val="00FA03B7"/>
    <w:rsid w:val="00FA0445"/>
    <w:rsid w:val="00FA0F38"/>
    <w:rsid w:val="00FA167F"/>
    <w:rsid w:val="00FA1C02"/>
    <w:rsid w:val="00FA254A"/>
    <w:rsid w:val="00FA28E4"/>
    <w:rsid w:val="00FA37D7"/>
    <w:rsid w:val="00FA4ADD"/>
    <w:rsid w:val="00FA4ED2"/>
    <w:rsid w:val="00FA6225"/>
    <w:rsid w:val="00FA672A"/>
    <w:rsid w:val="00FA6749"/>
    <w:rsid w:val="00FB0F2B"/>
    <w:rsid w:val="00FB10D4"/>
    <w:rsid w:val="00FB1B43"/>
    <w:rsid w:val="00FB296D"/>
    <w:rsid w:val="00FB4256"/>
    <w:rsid w:val="00FB4629"/>
    <w:rsid w:val="00FB5FCD"/>
    <w:rsid w:val="00FB67C9"/>
    <w:rsid w:val="00FB6C55"/>
    <w:rsid w:val="00FB6FB4"/>
    <w:rsid w:val="00FB7E70"/>
    <w:rsid w:val="00FC0296"/>
    <w:rsid w:val="00FC0820"/>
    <w:rsid w:val="00FC1188"/>
    <w:rsid w:val="00FC4280"/>
    <w:rsid w:val="00FC42D8"/>
    <w:rsid w:val="00FC45E5"/>
    <w:rsid w:val="00FC577C"/>
    <w:rsid w:val="00FC5D4E"/>
    <w:rsid w:val="00FD15C9"/>
    <w:rsid w:val="00FD1C74"/>
    <w:rsid w:val="00FD3695"/>
    <w:rsid w:val="00FD47BD"/>
    <w:rsid w:val="00FD5C00"/>
    <w:rsid w:val="00FD7896"/>
    <w:rsid w:val="00FE0040"/>
    <w:rsid w:val="00FE02FD"/>
    <w:rsid w:val="00FE097C"/>
    <w:rsid w:val="00FE2BB2"/>
    <w:rsid w:val="00FE3576"/>
    <w:rsid w:val="00FE69DA"/>
    <w:rsid w:val="00FE7DEA"/>
    <w:rsid w:val="00FF01C3"/>
    <w:rsid w:val="00FF023F"/>
    <w:rsid w:val="00FF2326"/>
    <w:rsid w:val="00FF33FF"/>
    <w:rsid w:val="00FF3B6F"/>
    <w:rsid w:val="00FF3F5D"/>
    <w:rsid w:val="00FF5C9D"/>
    <w:rsid w:val="00FF68C9"/>
    <w:rsid w:val="00FF722F"/>
    <w:rsid w:val="00FF7D43"/>
    <w:rsid w:val="00FF7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E37A00"/>
  <w15:docId w15:val="{2BA1D053-C86C-4538-9743-84D3B5C5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14F"/>
    <w:rPr>
      <w:sz w:val="24"/>
      <w:szCs w:val="24"/>
    </w:rPr>
  </w:style>
  <w:style w:type="paragraph" w:styleId="Heading1">
    <w:name w:val="heading 1"/>
    <w:basedOn w:val="Normal"/>
    <w:next w:val="Normal"/>
    <w:link w:val="Heading1Char"/>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uiPriority w:val="22"/>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Probes"/>
    <w:basedOn w:val="Normal"/>
    <w:link w:val="ListParagraphChar"/>
    <w:uiPriority w:val="34"/>
    <w:qFormat/>
    <w:rsid w:val="00450CC6"/>
    <w:pPr>
      <w:ind w:left="720"/>
    </w:pPr>
    <w:rPr>
      <w:rFonts w:ascii="Calibri" w:eastAsia="Calibri" w:hAnsi="Calibri"/>
      <w:sz w:val="22"/>
      <w:szCs w:val="22"/>
    </w:rPr>
  </w:style>
  <w:style w:type="table" w:styleId="TableGrid">
    <w:name w:val="Table Grid"/>
    <w:aliases w:val="RTI NCES Table"/>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uiPriority w:val="99"/>
    <w:rsid w:val="008B4772"/>
    <w:pPr>
      <w:numPr>
        <w:numId w:val="6"/>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link w:val="BodyChar"/>
    <w:qFormat/>
    <w:rsid w:val="006A460B"/>
    <w:pPr>
      <w:spacing w:before="60" w:after="60" w:line="276" w:lineRule="auto"/>
      <w:ind w:firstLine="720"/>
    </w:pPr>
    <w:rPr>
      <w:rFonts w:asciiTheme="minorBidi" w:hAnsiTheme="minorBidi" w:cstheme="minorBidi"/>
      <w:sz w:val="22"/>
      <w:szCs w:val="22"/>
    </w:rPr>
  </w:style>
  <w:style w:type="character" w:customStyle="1" w:styleId="BodyChar">
    <w:name w:val="Body Char"/>
    <w:basedOn w:val="DefaultParagraphFont"/>
    <w:link w:val="Body"/>
    <w:rsid w:val="006A460B"/>
    <w:rPr>
      <w:rFonts w:asciiTheme="minorBidi" w:hAnsiTheme="minorBidi" w:cstheme="minorBidi"/>
      <w:sz w:val="22"/>
      <w:szCs w:val="22"/>
    </w:rPr>
  </w:style>
  <w:style w:type="paragraph" w:customStyle="1" w:styleId="question">
    <w:name w:val="question"/>
    <w:basedOn w:val="Normal"/>
    <w:uiPriority w:val="99"/>
    <w:rsid w:val="00D3301D"/>
    <w:pPr>
      <w:numPr>
        <w:numId w:val="7"/>
      </w:numPr>
      <w:spacing w:before="240" w:after="120" w:line="264" w:lineRule="auto"/>
      <w:ind w:left="360"/>
    </w:pPr>
    <w:rPr>
      <w:rFonts w:ascii="Arial" w:hAnsi="Arial" w:cs="Arial"/>
      <w:sz w:val="22"/>
      <w:szCs w:val="22"/>
    </w:rPr>
  </w:style>
  <w:style w:type="paragraph" w:customStyle="1" w:styleId="Tabletextcolumn1">
    <w:name w:val="Table text column 1"/>
    <w:basedOn w:val="Tabletext"/>
    <w:qFormat/>
    <w:rsid w:val="00D3301D"/>
    <w:pPr>
      <w:keepNext w:val="0"/>
      <w:spacing w:before="60" w:after="0" w:line="240" w:lineRule="atLeast"/>
      <w:ind w:left="180" w:hanging="180"/>
    </w:pPr>
  </w:style>
  <w:style w:type="paragraph" w:customStyle="1" w:styleId="bullet2ndlevel">
    <w:name w:val="bullet 2nd level"/>
    <w:basedOn w:val="BodyText"/>
    <w:rsid w:val="00403FCD"/>
    <w:pPr>
      <w:tabs>
        <w:tab w:val="num" w:pos="720"/>
      </w:tabs>
      <w:spacing w:before="120" w:line="280" w:lineRule="atLeast"/>
      <w:ind w:left="720" w:hanging="360"/>
      <w:jc w:val="left"/>
    </w:pPr>
    <w:rPr>
      <w:rFonts w:ascii="Garamond" w:hAnsi="Garamond"/>
      <w:b w:val="0"/>
      <w:bCs w:val="0"/>
      <w:kern w:val="16"/>
      <w:szCs w:val="20"/>
    </w:rPr>
  </w:style>
  <w:style w:type="paragraph" w:customStyle="1" w:styleId="Bulletblocked">
    <w:name w:val="Bullet blocked"/>
    <w:basedOn w:val="BodyText"/>
    <w:rsid w:val="00871F13"/>
    <w:pPr>
      <w:spacing w:before="120" w:after="120" w:line="280" w:lineRule="atLeast"/>
      <w:ind w:left="1080"/>
      <w:jc w:val="left"/>
    </w:pPr>
    <w:rPr>
      <w:rFonts w:ascii="Garamond" w:hAnsi="Garamond"/>
      <w:b w:val="0"/>
      <w:bCs w:val="0"/>
      <w:kern w:val="16"/>
      <w:szCs w:val="20"/>
    </w:rPr>
  </w:style>
  <w:style w:type="character" w:customStyle="1" w:styleId="ListParagraphChar">
    <w:name w:val="List Paragraph Char"/>
    <w:aliases w:val="Probes Char"/>
    <w:basedOn w:val="DefaultParagraphFont"/>
    <w:link w:val="ListParagraph"/>
    <w:uiPriority w:val="34"/>
    <w:locked/>
    <w:rsid w:val="005C5E41"/>
    <w:rPr>
      <w:rFonts w:ascii="Calibri" w:eastAsia="Calibri" w:hAnsi="Calibri"/>
      <w:sz w:val="22"/>
      <w:szCs w:val="22"/>
    </w:rPr>
  </w:style>
  <w:style w:type="paragraph" w:customStyle="1" w:styleId="Cov-Address">
    <w:name w:val="Cov-Address"/>
    <w:basedOn w:val="Normal"/>
    <w:rsid w:val="007150F3"/>
    <w:pPr>
      <w:jc w:val="right"/>
    </w:pPr>
    <w:rPr>
      <w:rFonts w:ascii="Arial" w:hAnsi="Arial"/>
      <w:szCs w:val="20"/>
    </w:rPr>
  </w:style>
  <w:style w:type="paragraph" w:customStyle="1" w:styleId="BodyTextnospace">
    <w:name w:val="Body Text no space"/>
    <w:basedOn w:val="BodyText"/>
    <w:uiPriority w:val="99"/>
    <w:qFormat/>
    <w:rsid w:val="00622B19"/>
    <w:pPr>
      <w:jc w:val="left"/>
    </w:pPr>
    <w:rPr>
      <w:rFonts w:ascii="Garamond" w:hAnsi="Garamond"/>
      <w:b w:val="0"/>
      <w:bCs w:val="0"/>
      <w:szCs w:val="20"/>
    </w:rPr>
  </w:style>
  <w:style w:type="paragraph" w:customStyle="1" w:styleId="AppH3">
    <w:name w:val="App H3"/>
    <w:basedOn w:val="Normal"/>
    <w:next w:val="BodyText"/>
    <w:qFormat/>
    <w:rsid w:val="008F12AA"/>
    <w:pPr>
      <w:keepNext/>
      <w:tabs>
        <w:tab w:val="left" w:pos="720"/>
        <w:tab w:val="left" w:pos="1620"/>
      </w:tabs>
      <w:spacing w:before="120" w:after="120"/>
      <w:outlineLvl w:val="2"/>
    </w:pPr>
    <w:rPr>
      <w:rFonts w:ascii="Arial" w:hAnsi="Arial" w:cs="Arial"/>
      <w:b/>
      <w:bCs/>
    </w:rPr>
  </w:style>
  <w:style w:type="paragraph" w:customStyle="1" w:styleId="Bullet1">
    <w:name w:val="Bullet1"/>
    <w:basedOn w:val="bulletround"/>
    <w:rsid w:val="00602A8A"/>
    <w:pPr>
      <w:tabs>
        <w:tab w:val="num" w:pos="1440"/>
      </w:tabs>
      <w:spacing w:after="0"/>
      <w:ind w:left="1440" w:hanging="360"/>
    </w:pPr>
    <w:rPr>
      <w:rFonts w:ascii="Garamond" w:hAnsi="Garamond"/>
      <w:szCs w:val="20"/>
    </w:rPr>
  </w:style>
  <w:style w:type="paragraph" w:styleId="NoSpacing">
    <w:name w:val="No Spacing"/>
    <w:link w:val="NoSpacingChar"/>
    <w:uiPriority w:val="99"/>
    <w:qFormat/>
    <w:rsid w:val="003B581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99"/>
    <w:rsid w:val="003B5810"/>
    <w:rPr>
      <w:rFonts w:asciiTheme="minorHAnsi" w:eastAsiaTheme="minorHAnsi" w:hAnsiTheme="minorHAnsi" w:cstheme="minorBidi"/>
      <w:sz w:val="22"/>
      <w:szCs w:val="22"/>
    </w:rPr>
  </w:style>
  <w:style w:type="paragraph" w:customStyle="1" w:styleId="help">
    <w:name w:val="help"/>
    <w:basedOn w:val="Normal"/>
    <w:qFormat/>
    <w:rsid w:val="00752312"/>
    <w:pPr>
      <w:spacing w:before="120"/>
    </w:pPr>
    <w:rPr>
      <w:rFonts w:ascii="Garamond" w:eastAsiaTheme="minorHAnsi" w:hAnsi="Garamond" w:cs="Arial"/>
      <w:b/>
      <w:bCs/>
      <w:szCs w:val="20"/>
    </w:rPr>
  </w:style>
  <w:style w:type="table" w:customStyle="1" w:styleId="TableGridLight1">
    <w:name w:val="Table Grid Light1"/>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20465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qFormat/>
    <w:rsid w:val="00480BBD"/>
    <w:pPr>
      <w:keepNext/>
      <w:spacing w:before="240" w:after="120"/>
      <w:ind w:left="990" w:hanging="990"/>
    </w:pPr>
    <w:rPr>
      <w:rFonts w:ascii="Arial" w:eastAsia="SimSun" w:hAnsi="Arial"/>
      <w:b/>
      <w:kern w:val="16"/>
      <w:sz w:val="20"/>
      <w:szCs w:val="20"/>
    </w:rPr>
  </w:style>
  <w:style w:type="character" w:customStyle="1" w:styleId="FigureTitleChar">
    <w:name w:val="Figure Title Char"/>
    <w:basedOn w:val="TableTitleChar"/>
    <w:link w:val="FigureTitle"/>
    <w:rsid w:val="00480BBD"/>
    <w:rPr>
      <w:rFonts w:ascii="Arial" w:eastAsia="SimSun" w:hAnsi="Arial"/>
      <w:b/>
      <w:kern w:val="16"/>
      <w:lang w:val="en-US" w:eastAsia="en-US" w:bidi="ar-SA"/>
    </w:rPr>
  </w:style>
  <w:style w:type="table" w:customStyle="1" w:styleId="ObservationTable">
    <w:name w:val="Observation Table"/>
    <w:uiPriority w:val="99"/>
    <w:rsid w:val="000C1B8D"/>
    <w:rPr>
      <w:rFonts w:eastAsia="Malgun Gothic"/>
    </w:rPr>
    <w:tblPr>
      <w:tblInd w:w="86" w:type="dxa"/>
      <w:tblCellMar>
        <w:top w:w="29" w:type="dxa"/>
        <w:left w:w="58" w:type="dxa"/>
        <w:bottom w:w="0" w:type="dxa"/>
        <w:right w:w="58" w:type="dxa"/>
      </w:tblCellMar>
    </w:tblPr>
  </w:style>
  <w:style w:type="paragraph" w:customStyle="1" w:styleId="H2noTOC">
    <w:name w:val="H2 no TOC"/>
    <w:basedOn w:val="BodyText"/>
    <w:next w:val="Normal"/>
    <w:uiPriority w:val="99"/>
    <w:rsid w:val="000C1B8D"/>
    <w:pPr>
      <w:jc w:val="left"/>
    </w:pPr>
    <w:rPr>
      <w:rFonts w:ascii="Garamond" w:hAnsi="Garamond"/>
      <w:szCs w:val="20"/>
    </w:rPr>
  </w:style>
  <w:style w:type="paragraph" w:customStyle="1" w:styleId="Question0">
    <w:name w:val="Question"/>
    <w:basedOn w:val="Normal"/>
    <w:qFormat/>
    <w:rsid w:val="00894A3F"/>
    <w:pPr>
      <w:keepNext/>
    </w:pPr>
    <w:rPr>
      <w:rFonts w:ascii="Garamond" w:hAnsi="Garamond"/>
      <w:b/>
      <w:szCs w:val="20"/>
    </w:rPr>
  </w:style>
  <w:style w:type="table" w:customStyle="1" w:styleId="TableGrid4">
    <w:name w:val="Table Grid4"/>
    <w:basedOn w:val="TableNormal"/>
    <w:next w:val="TableGrid"/>
    <w:uiPriority w:val="39"/>
    <w:rsid w:val="00894A3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4">
    <w:name w:val="App H4"/>
    <w:basedOn w:val="Normal"/>
    <w:qFormat/>
    <w:rsid w:val="00E919C6"/>
    <w:pPr>
      <w:keepNext/>
      <w:spacing w:before="120"/>
      <w:outlineLvl w:val="3"/>
    </w:pPr>
    <w:rPr>
      <w:rFonts w:ascii="Arial" w:hAnsi="Arial"/>
      <w:b/>
      <w:bCs/>
      <w:sz w:val="22"/>
      <w:szCs w:val="22"/>
    </w:rPr>
  </w:style>
  <w:style w:type="character" w:customStyle="1" w:styleId="CharChar1">
    <w:name w:val="Char Char1"/>
    <w:basedOn w:val="DefaultParagraphFont"/>
    <w:rsid w:val="00E919C6"/>
    <w:rPr>
      <w:rFonts w:ascii="Arial" w:hAnsi="Arial" w:cs="Arial"/>
      <w:b/>
      <w:bCs/>
      <w:iCs/>
      <w:sz w:val="28"/>
      <w:szCs w:val="28"/>
      <w:lang w:val="en-US" w:eastAsia="en-US" w:bidi="ar-SA"/>
    </w:rPr>
  </w:style>
  <w:style w:type="character" w:customStyle="1" w:styleId="Heading1Char">
    <w:name w:val="Heading 1 Char"/>
    <w:basedOn w:val="DefaultParagraphFont"/>
    <w:link w:val="Heading1"/>
    <w:uiPriority w:val="1"/>
    <w:rsid w:val="00C86237"/>
    <w:rPr>
      <w:b/>
      <w:bCs/>
      <w:sz w:val="24"/>
      <w:szCs w:val="24"/>
      <w:u w:val="single"/>
    </w:rPr>
  </w:style>
  <w:style w:type="table" w:customStyle="1" w:styleId="RTINCESTable1">
    <w:name w:val="RTI NCES Table1"/>
    <w:basedOn w:val="TableNormal"/>
    <w:next w:val="TableGrid"/>
    <w:uiPriority w:val="39"/>
    <w:rsid w:val="007C0C33"/>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table" w:customStyle="1" w:styleId="RTINCESTable2">
    <w:name w:val="RTI NCES Table2"/>
    <w:basedOn w:val="TableNormal"/>
    <w:next w:val="TableGrid"/>
    <w:uiPriority w:val="39"/>
    <w:rsid w:val="007C0C33"/>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table" w:customStyle="1" w:styleId="RTINCESTable3">
    <w:name w:val="RTI NCES Table3"/>
    <w:basedOn w:val="TableNormal"/>
    <w:next w:val="TableGrid"/>
    <w:uiPriority w:val="39"/>
    <w:rsid w:val="007C0C33"/>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table" w:customStyle="1" w:styleId="RTINCESTable4">
    <w:name w:val="RTI NCES Table4"/>
    <w:basedOn w:val="TableNormal"/>
    <w:next w:val="TableGrid"/>
    <w:uiPriority w:val="39"/>
    <w:rsid w:val="00712454"/>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60973">
      <w:bodyDiv w:val="1"/>
      <w:marLeft w:val="0"/>
      <w:marRight w:val="0"/>
      <w:marTop w:val="0"/>
      <w:marBottom w:val="0"/>
      <w:divBdr>
        <w:top w:val="none" w:sz="0" w:space="0" w:color="auto"/>
        <w:left w:val="none" w:sz="0" w:space="0" w:color="auto"/>
        <w:bottom w:val="none" w:sz="0" w:space="0" w:color="auto"/>
        <w:right w:val="none" w:sz="0" w:space="0" w:color="auto"/>
      </w:divBdr>
    </w:div>
    <w:div w:id="98792285">
      <w:bodyDiv w:val="1"/>
      <w:marLeft w:val="0"/>
      <w:marRight w:val="0"/>
      <w:marTop w:val="0"/>
      <w:marBottom w:val="0"/>
      <w:divBdr>
        <w:top w:val="none" w:sz="0" w:space="0" w:color="auto"/>
        <w:left w:val="none" w:sz="0" w:space="0" w:color="auto"/>
        <w:bottom w:val="none" w:sz="0" w:space="0" w:color="auto"/>
        <w:right w:val="none" w:sz="0" w:space="0" w:color="auto"/>
      </w:divBdr>
    </w:div>
    <w:div w:id="107939536">
      <w:bodyDiv w:val="1"/>
      <w:marLeft w:val="0"/>
      <w:marRight w:val="0"/>
      <w:marTop w:val="0"/>
      <w:marBottom w:val="0"/>
      <w:divBdr>
        <w:top w:val="none" w:sz="0" w:space="0" w:color="auto"/>
        <w:left w:val="none" w:sz="0" w:space="0" w:color="auto"/>
        <w:bottom w:val="none" w:sz="0" w:space="0" w:color="auto"/>
        <w:right w:val="none" w:sz="0" w:space="0" w:color="auto"/>
      </w:divBdr>
    </w:div>
    <w:div w:id="254898394">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312493254">
      <w:bodyDiv w:val="1"/>
      <w:marLeft w:val="0"/>
      <w:marRight w:val="0"/>
      <w:marTop w:val="0"/>
      <w:marBottom w:val="0"/>
      <w:divBdr>
        <w:top w:val="none" w:sz="0" w:space="0" w:color="auto"/>
        <w:left w:val="none" w:sz="0" w:space="0" w:color="auto"/>
        <w:bottom w:val="none" w:sz="0" w:space="0" w:color="auto"/>
        <w:right w:val="none" w:sz="0" w:space="0" w:color="auto"/>
      </w:divBdr>
    </w:div>
    <w:div w:id="313803187">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574558988">
      <w:bodyDiv w:val="1"/>
      <w:marLeft w:val="0"/>
      <w:marRight w:val="0"/>
      <w:marTop w:val="0"/>
      <w:marBottom w:val="0"/>
      <w:divBdr>
        <w:top w:val="none" w:sz="0" w:space="0" w:color="auto"/>
        <w:left w:val="none" w:sz="0" w:space="0" w:color="auto"/>
        <w:bottom w:val="none" w:sz="0" w:space="0" w:color="auto"/>
        <w:right w:val="none" w:sz="0" w:space="0" w:color="auto"/>
      </w:divBdr>
      <w:divsChild>
        <w:div w:id="1529295995">
          <w:marLeft w:val="0"/>
          <w:marRight w:val="0"/>
          <w:marTop w:val="0"/>
          <w:marBottom w:val="0"/>
          <w:divBdr>
            <w:top w:val="none" w:sz="0" w:space="0" w:color="auto"/>
            <w:left w:val="none" w:sz="0" w:space="0" w:color="auto"/>
            <w:bottom w:val="none" w:sz="0" w:space="0" w:color="auto"/>
            <w:right w:val="none" w:sz="0" w:space="0" w:color="auto"/>
          </w:divBdr>
        </w:div>
        <w:div w:id="1251429619">
          <w:marLeft w:val="0"/>
          <w:marRight w:val="0"/>
          <w:marTop w:val="0"/>
          <w:marBottom w:val="0"/>
          <w:divBdr>
            <w:top w:val="none" w:sz="0" w:space="0" w:color="auto"/>
            <w:left w:val="none" w:sz="0" w:space="0" w:color="auto"/>
            <w:bottom w:val="none" w:sz="0" w:space="0" w:color="auto"/>
            <w:right w:val="none" w:sz="0" w:space="0" w:color="auto"/>
          </w:divBdr>
        </w:div>
        <w:div w:id="319429957">
          <w:marLeft w:val="0"/>
          <w:marRight w:val="0"/>
          <w:marTop w:val="0"/>
          <w:marBottom w:val="0"/>
          <w:divBdr>
            <w:top w:val="none" w:sz="0" w:space="0" w:color="auto"/>
            <w:left w:val="none" w:sz="0" w:space="0" w:color="auto"/>
            <w:bottom w:val="none" w:sz="0" w:space="0" w:color="auto"/>
            <w:right w:val="none" w:sz="0" w:space="0" w:color="auto"/>
          </w:divBdr>
        </w:div>
        <w:div w:id="1944918339">
          <w:marLeft w:val="0"/>
          <w:marRight w:val="0"/>
          <w:marTop w:val="0"/>
          <w:marBottom w:val="0"/>
          <w:divBdr>
            <w:top w:val="none" w:sz="0" w:space="0" w:color="auto"/>
            <w:left w:val="none" w:sz="0" w:space="0" w:color="auto"/>
            <w:bottom w:val="none" w:sz="0" w:space="0" w:color="auto"/>
            <w:right w:val="none" w:sz="0" w:space="0" w:color="auto"/>
          </w:divBdr>
        </w:div>
      </w:divsChild>
    </w:div>
    <w:div w:id="616330709">
      <w:bodyDiv w:val="1"/>
      <w:marLeft w:val="0"/>
      <w:marRight w:val="0"/>
      <w:marTop w:val="0"/>
      <w:marBottom w:val="0"/>
      <w:divBdr>
        <w:top w:val="none" w:sz="0" w:space="0" w:color="auto"/>
        <w:left w:val="none" w:sz="0" w:space="0" w:color="auto"/>
        <w:bottom w:val="none" w:sz="0" w:space="0" w:color="auto"/>
        <w:right w:val="none" w:sz="0" w:space="0" w:color="auto"/>
      </w:divBdr>
    </w:div>
    <w:div w:id="632833439">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092975771">
      <w:bodyDiv w:val="1"/>
      <w:marLeft w:val="0"/>
      <w:marRight w:val="0"/>
      <w:marTop w:val="0"/>
      <w:marBottom w:val="0"/>
      <w:divBdr>
        <w:top w:val="none" w:sz="0" w:space="0" w:color="auto"/>
        <w:left w:val="none" w:sz="0" w:space="0" w:color="auto"/>
        <w:bottom w:val="none" w:sz="0" w:space="0" w:color="auto"/>
        <w:right w:val="none" w:sz="0" w:space="0" w:color="auto"/>
      </w:divBdr>
    </w:div>
    <w:div w:id="1104955426">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350840174">
      <w:bodyDiv w:val="1"/>
      <w:marLeft w:val="0"/>
      <w:marRight w:val="0"/>
      <w:marTop w:val="0"/>
      <w:marBottom w:val="0"/>
      <w:divBdr>
        <w:top w:val="none" w:sz="0" w:space="0" w:color="auto"/>
        <w:left w:val="none" w:sz="0" w:space="0" w:color="auto"/>
        <w:bottom w:val="none" w:sz="0" w:space="0" w:color="auto"/>
        <w:right w:val="none" w:sz="0" w:space="0" w:color="auto"/>
      </w:divBdr>
    </w:div>
    <w:div w:id="1424646942">
      <w:bodyDiv w:val="1"/>
      <w:marLeft w:val="0"/>
      <w:marRight w:val="0"/>
      <w:marTop w:val="0"/>
      <w:marBottom w:val="0"/>
      <w:divBdr>
        <w:top w:val="none" w:sz="0" w:space="0" w:color="auto"/>
        <w:left w:val="none" w:sz="0" w:space="0" w:color="auto"/>
        <w:bottom w:val="none" w:sz="0" w:space="0" w:color="auto"/>
        <w:right w:val="none" w:sz="0" w:space="0" w:color="auto"/>
      </w:divBdr>
    </w:div>
    <w:div w:id="1429890329">
      <w:bodyDiv w:val="1"/>
      <w:marLeft w:val="0"/>
      <w:marRight w:val="0"/>
      <w:marTop w:val="0"/>
      <w:marBottom w:val="0"/>
      <w:divBdr>
        <w:top w:val="none" w:sz="0" w:space="0" w:color="auto"/>
        <w:left w:val="none" w:sz="0" w:space="0" w:color="auto"/>
        <w:bottom w:val="none" w:sz="0" w:space="0" w:color="auto"/>
        <w:right w:val="none" w:sz="0" w:space="0" w:color="auto"/>
      </w:divBdr>
    </w:div>
    <w:div w:id="1636519532">
      <w:bodyDiv w:val="1"/>
      <w:marLeft w:val="0"/>
      <w:marRight w:val="0"/>
      <w:marTop w:val="0"/>
      <w:marBottom w:val="0"/>
      <w:divBdr>
        <w:top w:val="none" w:sz="0" w:space="0" w:color="auto"/>
        <w:left w:val="none" w:sz="0" w:space="0" w:color="auto"/>
        <w:bottom w:val="none" w:sz="0" w:space="0" w:color="auto"/>
        <w:right w:val="none" w:sz="0" w:space="0" w:color="auto"/>
      </w:divBdr>
    </w:div>
    <w:div w:id="1728457271">
      <w:bodyDiv w:val="1"/>
      <w:marLeft w:val="0"/>
      <w:marRight w:val="0"/>
      <w:marTop w:val="0"/>
      <w:marBottom w:val="0"/>
      <w:divBdr>
        <w:top w:val="none" w:sz="0" w:space="0" w:color="auto"/>
        <w:left w:val="none" w:sz="0" w:space="0" w:color="auto"/>
        <w:bottom w:val="none" w:sz="0" w:space="0" w:color="auto"/>
        <w:right w:val="none" w:sz="0" w:space="0" w:color="auto"/>
      </w:divBdr>
    </w:div>
    <w:div w:id="1785880802">
      <w:bodyDiv w:val="1"/>
      <w:marLeft w:val="0"/>
      <w:marRight w:val="0"/>
      <w:marTop w:val="0"/>
      <w:marBottom w:val="0"/>
      <w:divBdr>
        <w:top w:val="none" w:sz="0" w:space="0" w:color="auto"/>
        <w:left w:val="none" w:sz="0" w:space="0" w:color="auto"/>
        <w:bottom w:val="none" w:sz="0" w:space="0" w:color="auto"/>
        <w:right w:val="none" w:sz="0" w:space="0" w:color="auto"/>
      </w:divBdr>
    </w:div>
    <w:div w:id="1819809147">
      <w:bodyDiv w:val="1"/>
      <w:marLeft w:val="0"/>
      <w:marRight w:val="0"/>
      <w:marTop w:val="0"/>
      <w:marBottom w:val="0"/>
      <w:divBdr>
        <w:top w:val="none" w:sz="0" w:space="0" w:color="auto"/>
        <w:left w:val="none" w:sz="0" w:space="0" w:color="auto"/>
        <w:bottom w:val="none" w:sz="0" w:space="0" w:color="auto"/>
        <w:right w:val="none" w:sz="0" w:space="0" w:color="auto"/>
      </w:divBdr>
    </w:div>
    <w:div w:id="1960644368">
      <w:bodyDiv w:val="1"/>
      <w:marLeft w:val="0"/>
      <w:marRight w:val="0"/>
      <w:marTop w:val="0"/>
      <w:marBottom w:val="0"/>
      <w:divBdr>
        <w:top w:val="none" w:sz="0" w:space="0" w:color="auto"/>
        <w:left w:val="none" w:sz="0" w:space="0" w:color="auto"/>
        <w:bottom w:val="none" w:sz="0" w:space="0" w:color="auto"/>
        <w:right w:val="none" w:sz="0" w:space="0" w:color="auto"/>
      </w:divBdr>
    </w:div>
    <w:div w:id="1962808339">
      <w:bodyDiv w:val="1"/>
      <w:marLeft w:val="0"/>
      <w:marRight w:val="0"/>
      <w:marTop w:val="0"/>
      <w:marBottom w:val="0"/>
      <w:divBdr>
        <w:top w:val="none" w:sz="0" w:space="0" w:color="auto"/>
        <w:left w:val="none" w:sz="0" w:space="0" w:color="auto"/>
        <w:bottom w:val="none" w:sz="0" w:space="0" w:color="auto"/>
        <w:right w:val="none" w:sz="0" w:space="0" w:color="auto"/>
      </w:divBdr>
    </w:div>
    <w:div w:id="1999771721">
      <w:bodyDiv w:val="1"/>
      <w:marLeft w:val="0"/>
      <w:marRight w:val="0"/>
      <w:marTop w:val="0"/>
      <w:marBottom w:val="0"/>
      <w:divBdr>
        <w:top w:val="none" w:sz="0" w:space="0" w:color="auto"/>
        <w:left w:val="none" w:sz="0" w:space="0" w:color="auto"/>
        <w:bottom w:val="none" w:sz="0" w:space="0" w:color="auto"/>
        <w:right w:val="none" w:sz="0" w:space="0" w:color="auto"/>
      </w:divBdr>
    </w:div>
    <w:div w:id="2038266446">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por.org/AAPOR_Main/media/publications/Standard-Definitions20169theditionfin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C16050F856E439975569675641FE5" ma:contentTypeVersion="13" ma:contentTypeDescription="Create a new document." ma:contentTypeScope="" ma:versionID="c3dae3211eb92589e7c7ae4fd8066a68">
  <xsd:schema xmlns:xsd="http://www.w3.org/2001/XMLSchema" xmlns:xs="http://www.w3.org/2001/XMLSchema" xmlns:p="http://schemas.microsoft.com/office/2006/metadata/properties" xmlns:ns3="9ee88479-5843-4530-bf83-bf714ae83c4a" xmlns:ns4="183391a1-a308-4969-8441-85c3cf00a11a" targetNamespace="http://schemas.microsoft.com/office/2006/metadata/properties" ma:root="true" ma:fieldsID="3e1c4137c641b81da8630ac105d56365" ns3:_="" ns4:_="">
    <xsd:import namespace="9ee88479-5843-4530-bf83-bf714ae83c4a"/>
    <xsd:import namespace="183391a1-a308-4969-8441-85c3cf00a1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88479-5843-4530-bf83-bf714ae83c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391a1-a308-4969-8441-85c3cf00a11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F24089-26FC-4AD7-8A13-F1EFD82BA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88479-5843-4530-bf83-bf714ae83c4a"/>
    <ds:schemaRef ds:uri="183391a1-a308-4969-8441-85c3cf00a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BEB19-B7A1-4F3D-B456-860119C743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CD8411-21F4-48B0-939C-9E8216DA440F}">
  <ds:schemaRefs>
    <ds:schemaRef ds:uri="http://schemas.microsoft.com/sharepoint/v3/contenttype/forms"/>
  </ds:schemaRefs>
</ds:datastoreItem>
</file>

<file path=customXml/itemProps4.xml><?xml version="1.0" encoding="utf-8"?>
<ds:datastoreItem xmlns:ds="http://schemas.openxmlformats.org/officeDocument/2006/customXml" ds:itemID="{AA0BEC2F-A323-401E-8141-F5F361EF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5</Pages>
  <Words>2314</Words>
  <Characters>12749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Carrie</cp:lastModifiedBy>
  <cp:revision>52</cp:revision>
  <cp:lastPrinted>2020-02-18T17:39:00Z</cp:lastPrinted>
  <dcterms:created xsi:type="dcterms:W3CDTF">2020-05-13T19:33:00Z</dcterms:created>
  <dcterms:modified xsi:type="dcterms:W3CDTF">2020-05-14T12:33:00Z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0x010100227C16050F856E439975569675641FE5</vt:lpwstr>
  </property>
</Properties>
</file>