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1564" w:rsidR="00B00741" w:rsidP="1EF79711" w:rsidRDefault="00611BD5" w14:paraId="4CEF6820" w14:textId="60A09175">
      <w:pPr>
        <w:spacing w:after="0"/>
        <w:jc w:val="center"/>
        <w:rPr>
          <w:rFonts w:ascii="Times New Roman" w:hAnsi="Times New Roman" w:eastAsia="Times New Roman" w:cs="Times New Roman"/>
          <w:b/>
          <w:bCs/>
        </w:rPr>
      </w:pPr>
      <w:bookmarkStart w:name="_GoBack" w:id="0"/>
      <w:bookmarkEnd w:id="0"/>
      <w:r>
        <w:rPr>
          <w:rFonts w:ascii="Times New Roman" w:hAnsi="Times New Roman" w:eastAsia="Times New Roman" w:cs="Times New Roman"/>
          <w:b/>
          <w:bCs/>
        </w:rPr>
        <w:t xml:space="preserve">Instructions for ABT0300: </w:t>
      </w:r>
      <w:r w:rsidR="00E827F8">
        <w:rPr>
          <w:rFonts w:ascii="Times New Roman" w:hAnsi="Times New Roman" w:eastAsia="Times New Roman" w:cs="Times New Roman"/>
          <w:b/>
          <w:bCs/>
        </w:rPr>
        <w:t xml:space="preserve">Gasoline </w:t>
      </w:r>
      <w:r w:rsidR="00061D7A">
        <w:rPr>
          <w:rFonts w:ascii="Times New Roman" w:hAnsi="Times New Roman" w:eastAsia="Times New Roman" w:cs="Times New Roman"/>
          <w:b/>
          <w:bCs/>
        </w:rPr>
        <w:t>Averaging, Banking, and Trading</w:t>
      </w:r>
      <w:r w:rsidR="00E827F8">
        <w:rPr>
          <w:rFonts w:ascii="Times New Roman" w:hAnsi="Times New Roman" w:eastAsia="Times New Roman" w:cs="Times New Roman"/>
          <w:b/>
          <w:bCs/>
        </w:rPr>
        <w:t xml:space="preserve"> </w:t>
      </w:r>
      <w:r w:rsidR="00D86365">
        <w:rPr>
          <w:rFonts w:ascii="Times New Roman" w:hAnsi="Times New Roman" w:eastAsia="Times New Roman" w:cs="Times New Roman"/>
          <w:b/>
          <w:bCs/>
        </w:rPr>
        <w:t xml:space="preserve">(ABT) </w:t>
      </w:r>
      <w:r w:rsidR="00E827F8">
        <w:rPr>
          <w:rFonts w:ascii="Times New Roman" w:hAnsi="Times New Roman" w:eastAsia="Times New Roman" w:cs="Times New Roman"/>
          <w:b/>
          <w:bCs/>
        </w:rPr>
        <w:t>Facility Summary Report</w:t>
      </w:r>
    </w:p>
    <w:p w:rsidRPr="00A61564" w:rsidR="00B00741" w:rsidP="00DE23EA" w:rsidRDefault="00B00741" w14:paraId="68A63FED" w14:textId="77777777">
      <w:pPr>
        <w:spacing w:after="0"/>
        <w:rPr>
          <w:rFonts w:ascii="Times New Roman" w:hAnsi="Times New Roman" w:cs="Times New Roman"/>
          <w:b/>
        </w:rPr>
      </w:pPr>
    </w:p>
    <w:p w:rsidR="00FB47AD" w:rsidP="004A6F69" w:rsidRDefault="00C51121" w14:paraId="1CF9B2AA" w14:textId="23167000">
      <w:pPr>
        <w:spacing w:after="0"/>
        <w:rPr>
          <w:rFonts w:ascii="Times New Roman" w:hAnsi="Times New Roman" w:cs="Times New Roman"/>
          <w:b/>
        </w:rPr>
      </w:pPr>
      <w:r w:rsidRPr="004A6F69">
        <w:rPr>
          <w:rFonts w:ascii="Times New Roman" w:hAnsi="Times New Roman" w:cs="Times New Roman"/>
          <w:b/>
        </w:rPr>
        <w:t xml:space="preserve">Who must </w:t>
      </w:r>
      <w:proofErr w:type="gramStart"/>
      <w:r w:rsidRPr="004A6F69">
        <w:rPr>
          <w:rFonts w:ascii="Times New Roman" w:hAnsi="Times New Roman" w:cs="Times New Roman"/>
          <w:b/>
        </w:rPr>
        <w:t>report</w:t>
      </w:r>
      <w:proofErr w:type="gramEnd"/>
    </w:p>
    <w:p w:rsidR="006D56CF" w:rsidP="00E827F8" w:rsidRDefault="00E827F8" w14:paraId="0248C015" w14:textId="77777777">
      <w:pPr>
        <w:pStyle w:val="ListParagraph"/>
        <w:numPr>
          <w:ilvl w:val="0"/>
          <w:numId w:val="21"/>
        </w:numPr>
        <w:autoSpaceDE w:val="0"/>
        <w:autoSpaceDN w:val="0"/>
        <w:adjustRightInd w:val="0"/>
        <w:spacing w:after="0" w:line="240" w:lineRule="auto"/>
        <w:rPr>
          <w:rFonts w:ascii="Times New Roman" w:hAnsi="Times New Roman" w:cs="Times New Roman"/>
        </w:rPr>
      </w:pPr>
      <w:r w:rsidRPr="00E827F8">
        <w:rPr>
          <w:rFonts w:ascii="Times New Roman" w:hAnsi="Times New Roman" w:cs="Times New Roman"/>
        </w:rPr>
        <w:t xml:space="preserve">Each </w:t>
      </w:r>
      <w:r w:rsidR="00D86365">
        <w:rPr>
          <w:rFonts w:ascii="Times New Roman" w:hAnsi="Times New Roman" w:cs="Times New Roman"/>
        </w:rPr>
        <w:t xml:space="preserve">gasoline manufacturer </w:t>
      </w:r>
      <w:r w:rsidRPr="00E827F8">
        <w:rPr>
          <w:rFonts w:ascii="Times New Roman" w:hAnsi="Times New Roman" w:cs="Times New Roman"/>
        </w:rPr>
        <w:t>producing or importing gasoline during the annual averaging period must submit this report</w:t>
      </w:r>
      <w:r w:rsidR="00D86365">
        <w:rPr>
          <w:rFonts w:ascii="Times New Roman" w:hAnsi="Times New Roman" w:cs="Times New Roman"/>
        </w:rPr>
        <w:t xml:space="preserve"> for</w:t>
      </w:r>
      <w:r w:rsidR="006D56CF">
        <w:rPr>
          <w:rFonts w:ascii="Times New Roman" w:hAnsi="Times New Roman" w:cs="Times New Roman"/>
        </w:rPr>
        <w:t>:</w:t>
      </w:r>
      <w:r w:rsidR="00D86365">
        <w:rPr>
          <w:rFonts w:ascii="Times New Roman" w:hAnsi="Times New Roman" w:cs="Times New Roman"/>
        </w:rPr>
        <w:t xml:space="preserve"> </w:t>
      </w:r>
    </w:p>
    <w:p w:rsidR="006D56CF" w:rsidP="006D56CF" w:rsidRDefault="006D56CF" w14:paraId="09BC7FF0" w14:textId="4C861F5F">
      <w:pPr>
        <w:pStyle w:val="ListParagraph"/>
        <w:numPr>
          <w:ilvl w:val="1"/>
          <w:numId w:val="2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Domestic production - Each</w:t>
      </w:r>
      <w:r w:rsidR="00D86365">
        <w:rPr>
          <w:rFonts w:ascii="Times New Roman" w:hAnsi="Times New Roman" w:cs="Times New Roman"/>
        </w:rPr>
        <w:t xml:space="preserve"> </w:t>
      </w:r>
      <w:r>
        <w:rPr>
          <w:rFonts w:ascii="Times New Roman" w:hAnsi="Times New Roman" w:cs="Times New Roman"/>
        </w:rPr>
        <w:t xml:space="preserve">individual </w:t>
      </w:r>
      <w:r w:rsidR="00D86365">
        <w:rPr>
          <w:rFonts w:ascii="Times New Roman" w:hAnsi="Times New Roman" w:cs="Times New Roman"/>
        </w:rPr>
        <w:t>facilit</w:t>
      </w:r>
      <w:r>
        <w:rPr>
          <w:rFonts w:ascii="Times New Roman" w:hAnsi="Times New Roman" w:cs="Times New Roman"/>
        </w:rPr>
        <w:t>y separately</w:t>
      </w:r>
    </w:p>
    <w:p w:rsidRPr="00E827F8" w:rsidR="00B20776" w:rsidP="006D56CF" w:rsidRDefault="006D56CF" w14:paraId="77DE700D" w14:textId="21BEC7DB">
      <w:pPr>
        <w:pStyle w:val="ListParagraph"/>
        <w:numPr>
          <w:ilvl w:val="1"/>
          <w:numId w:val="2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Imported volume – As an</w:t>
      </w:r>
      <w:r w:rsidR="00D86365">
        <w:rPr>
          <w:rFonts w:ascii="Times New Roman" w:hAnsi="Times New Roman" w:cs="Times New Roman"/>
        </w:rPr>
        <w:t xml:space="preserve"> aggregated import total</w:t>
      </w:r>
    </w:p>
    <w:p w:rsidRPr="00B20776" w:rsidR="00B20776" w:rsidP="00B20776" w:rsidRDefault="00B20776" w14:paraId="32FC1EEB" w14:textId="77777777">
      <w:pPr>
        <w:autoSpaceDE w:val="0"/>
        <w:autoSpaceDN w:val="0"/>
        <w:adjustRightInd w:val="0"/>
        <w:spacing w:after="0" w:line="240" w:lineRule="auto"/>
        <w:rPr>
          <w:rFonts w:ascii="Times New Roman" w:hAnsi="Times New Roman" w:cs="Times New Roman"/>
          <w:b/>
        </w:rPr>
      </w:pPr>
    </w:p>
    <w:p w:rsidRPr="00B20776" w:rsidR="004A6F69" w:rsidP="00B20776" w:rsidRDefault="00C51121" w14:paraId="3727EEAA" w14:textId="4D6B00BD">
      <w:pPr>
        <w:autoSpaceDE w:val="0"/>
        <w:autoSpaceDN w:val="0"/>
        <w:adjustRightInd w:val="0"/>
        <w:spacing w:after="0" w:line="240" w:lineRule="auto"/>
        <w:rPr>
          <w:rFonts w:ascii="Times New Roman" w:hAnsi="Times New Roman" w:cs="Times New Roman"/>
          <w:b/>
        </w:rPr>
      </w:pPr>
      <w:r w:rsidRPr="00B20776">
        <w:rPr>
          <w:rFonts w:ascii="Times New Roman" w:hAnsi="Times New Roman" w:cs="Times New Roman"/>
          <w:b/>
        </w:rPr>
        <w:t>Reporting deadlines</w:t>
      </w:r>
    </w:p>
    <w:p w:rsidRPr="00CA61D8" w:rsidR="00FF453F" w:rsidP="00FF453F" w:rsidRDefault="00F77861" w14:paraId="016C139C" w14:textId="21B59DDC">
      <w:pPr>
        <w:pStyle w:val="ListParagraph"/>
        <w:numPr>
          <w:ilvl w:val="0"/>
          <w:numId w:val="16"/>
        </w:num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Submitted to EPA no later than March 31 each year for the prior calendar year</w:t>
      </w:r>
      <w:r w:rsidRPr="00CA61D8" w:rsidR="00FF453F">
        <w:rPr>
          <w:rFonts w:ascii="Times New Roman" w:hAnsi="Times New Roman" w:cs="Times New Roman"/>
          <w:color w:val="000000"/>
        </w:rPr>
        <w:t>.</w:t>
      </w:r>
    </w:p>
    <w:p w:rsidRPr="00CA61D8" w:rsidR="00FF453F" w:rsidP="009D0714" w:rsidRDefault="00FF453F" w14:paraId="10495B72" w14:textId="77777777">
      <w:pPr>
        <w:spacing w:after="0"/>
        <w:rPr>
          <w:rFonts w:ascii="Times New Roman" w:hAnsi="Times New Roman" w:cs="Times New Roman"/>
          <w:b/>
        </w:rPr>
      </w:pPr>
    </w:p>
    <w:p w:rsidR="00E006C5" w:rsidP="009D0714" w:rsidRDefault="009D0714" w14:paraId="0F105FB7" w14:textId="331A073C">
      <w:pPr>
        <w:spacing w:after="0"/>
        <w:rPr>
          <w:rFonts w:ascii="Times New Roman" w:hAnsi="Times New Roman" w:cs="Times New Roman"/>
          <w:b/>
        </w:rPr>
      </w:pPr>
      <w:r w:rsidRPr="00A61564">
        <w:rPr>
          <w:rFonts w:ascii="Times New Roman" w:hAnsi="Times New Roman" w:cs="Times New Roman"/>
          <w:b/>
        </w:rPr>
        <w:t>How to submit reports</w:t>
      </w:r>
    </w:p>
    <w:p w:rsidRPr="00036806" w:rsidR="00FF453F" w:rsidP="00FF453F" w:rsidRDefault="00FF453F" w14:paraId="5FC2FDED" w14:textId="4C7FC59C">
      <w:pPr>
        <w:pStyle w:val="ListParagraph"/>
        <w:numPr>
          <w:ilvl w:val="0"/>
          <w:numId w:val="17"/>
        </w:numPr>
        <w:spacing w:after="0"/>
        <w:rPr>
          <w:rFonts w:ascii="Times New Roman" w:hAnsi="Times New Roman" w:cs="Times New Roman"/>
        </w:rPr>
      </w:pPr>
      <w:r w:rsidRPr="00FF453F">
        <w:rPr>
          <w:rFonts w:ascii="Times New Roman" w:hAnsi="Times New Roman" w:cs="Times New Roman"/>
        </w:rPr>
        <w:t xml:space="preserve"> </w:t>
      </w:r>
      <w:r w:rsidRPr="00036806">
        <w:rPr>
          <w:rFonts w:ascii="Times New Roman" w:hAnsi="Times New Roman" w:cs="Times New Roman"/>
        </w:rPr>
        <w:t xml:space="preserve">EPA maintains report templates, electronic submission procedures and additional support options at </w:t>
      </w:r>
      <w:hyperlink w:history="1" r:id="rId12">
        <w:r w:rsidRPr="00036806">
          <w:rPr>
            <w:rStyle w:val="Hyperlink"/>
            <w:rFonts w:ascii="Times New Roman" w:hAnsi="Times New Roman" w:cs="Times New Roman"/>
          </w:rPr>
          <w:t>https://www.epa.gov/fuels-registration-reporting-and-compliance-help/reporting-fuel-programs</w:t>
        </w:r>
      </w:hyperlink>
    </w:p>
    <w:p w:rsidR="004A6F69" w:rsidP="00EE708D" w:rsidRDefault="004A6F69" w14:paraId="37CC0FBB" w14:textId="0EF0BEE2">
      <w:pPr>
        <w:autoSpaceDE w:val="0"/>
        <w:autoSpaceDN w:val="0"/>
        <w:adjustRightInd w:val="0"/>
        <w:spacing w:after="0" w:line="240" w:lineRule="auto"/>
        <w:ind w:left="720"/>
        <w:rPr>
          <w:rFonts w:ascii="Times New Roman" w:hAnsi="Times New Roman" w:cs="Times New Roman"/>
          <w:b/>
        </w:rPr>
      </w:pPr>
    </w:p>
    <w:p w:rsidRPr="00A61564" w:rsidR="001D2B6B" w:rsidP="007C7286" w:rsidRDefault="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00"/>
        <w:gridCol w:w="2161"/>
        <w:gridCol w:w="1963"/>
        <w:gridCol w:w="4526"/>
      </w:tblGrid>
      <w:tr w:rsidRPr="00A61564" w:rsidR="005134A4" w:rsidTr="007C751E" w14:paraId="0EF264C5" w14:textId="77777777">
        <w:trPr>
          <w:cantSplit/>
          <w:tblHeader/>
        </w:trPr>
        <w:tc>
          <w:tcPr>
            <w:tcW w:w="70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161"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963"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4526"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32C32" w:rsidTr="226F8795" w14:paraId="68441799" w14:textId="77777777">
        <w:trPr>
          <w:cantSplit/>
        </w:trPr>
        <w:tc>
          <w:tcPr>
            <w:tcW w:w="700" w:type="dxa"/>
            <w:shd w:val="clear" w:color="auto" w:fill="auto"/>
          </w:tcPr>
          <w:p w:rsidRPr="001F71F6" w:rsidR="00F32C32" w:rsidRDefault="007C751E" w14:paraId="635A23CD" w14:textId="6C8419C7">
            <w:pPr>
              <w:rPr>
                <w:rFonts w:ascii="Times New Roman" w:hAnsi="Times New Roman" w:cs="Times New Roman"/>
              </w:rPr>
            </w:pPr>
            <w:r>
              <w:rPr>
                <w:rFonts w:ascii="Times New Roman" w:hAnsi="Times New Roman" w:cs="Times New Roman"/>
              </w:rPr>
              <w:t>1</w:t>
            </w:r>
          </w:p>
        </w:tc>
        <w:tc>
          <w:tcPr>
            <w:tcW w:w="2161" w:type="dxa"/>
            <w:shd w:val="clear" w:color="auto" w:fill="auto"/>
          </w:tcPr>
          <w:p w:rsidRPr="001F71F6" w:rsidR="00F32C32" w:rsidRDefault="00DD1393" w14:paraId="141C6005" w14:textId="6FCAA3CC">
            <w:pPr>
              <w:rPr>
                <w:rFonts w:ascii="Times New Roman" w:hAnsi="Times New Roman" w:cs="Times New Roman"/>
              </w:rPr>
            </w:pPr>
            <w:r>
              <w:rPr>
                <w:rFonts w:ascii="Times New Roman" w:hAnsi="Times New Roman" w:cs="Times New Roman"/>
              </w:rPr>
              <w:t>Report Form ID</w:t>
            </w:r>
          </w:p>
        </w:tc>
        <w:tc>
          <w:tcPr>
            <w:tcW w:w="1963" w:type="dxa"/>
            <w:shd w:val="clear" w:color="auto" w:fill="auto"/>
          </w:tcPr>
          <w:p w:rsidRPr="001F71F6" w:rsidR="00F32C32" w:rsidRDefault="00F32C32" w14:paraId="1F9C4C8D" w14:textId="77777777">
            <w:pPr>
              <w:rPr>
                <w:rFonts w:ascii="Times New Roman" w:hAnsi="Times New Roman" w:cs="Times New Roman"/>
              </w:rPr>
            </w:pPr>
          </w:p>
        </w:tc>
        <w:tc>
          <w:tcPr>
            <w:tcW w:w="4526" w:type="dxa"/>
            <w:shd w:val="clear" w:color="auto" w:fill="auto"/>
          </w:tcPr>
          <w:p w:rsidR="00F32C32" w:rsidRDefault="00DD1393" w14:paraId="791F1909" w14:textId="77777777">
            <w:pPr>
              <w:rPr>
                <w:rFonts w:ascii="Times New Roman" w:hAnsi="Times New Roman" w:cs="Times New Roman"/>
              </w:rPr>
            </w:pPr>
            <w:r w:rsidRPr="00763C1C">
              <w:rPr>
                <w:rFonts w:ascii="Times New Roman" w:hAnsi="Times New Roman" w:cs="Times New Roman"/>
                <w:b/>
              </w:rPr>
              <w:t>AAAAAA</w:t>
            </w:r>
            <w:r>
              <w:rPr>
                <w:rFonts w:ascii="Times New Roman" w:hAnsi="Times New Roman" w:cs="Times New Roman"/>
              </w:rPr>
              <w:t xml:space="preserve">; </w:t>
            </w:r>
            <w:r w:rsidRPr="00763C1C">
              <w:rPr>
                <w:rFonts w:ascii="Times New Roman" w:hAnsi="Times New Roman" w:cs="Times New Roman"/>
                <w:i/>
              </w:rPr>
              <w:t>Character</w:t>
            </w:r>
            <w:r>
              <w:rPr>
                <w:rFonts w:ascii="Times New Roman" w:hAnsi="Times New Roman" w:cs="Times New Roman"/>
              </w:rPr>
              <w:t>.</w:t>
            </w:r>
          </w:p>
          <w:p w:rsidRPr="001F71F6" w:rsidR="00DD1393" w:rsidRDefault="00DD1393" w14:paraId="4A31818F" w14:textId="5BFC05C3">
            <w:pPr>
              <w:rPr>
                <w:rFonts w:ascii="Times New Roman" w:hAnsi="Times New Roman" w:cs="Times New Roman"/>
              </w:rPr>
            </w:pPr>
            <w:r>
              <w:rPr>
                <w:rFonts w:ascii="Times New Roman" w:hAnsi="Times New Roman" w:cs="Times New Roman"/>
              </w:rPr>
              <w:t>Enter ABT0300</w:t>
            </w:r>
          </w:p>
        </w:tc>
      </w:tr>
      <w:tr w:rsidRPr="00A61564" w:rsidR="00F32C32" w:rsidTr="226F8795" w14:paraId="05E78C09" w14:textId="77777777">
        <w:trPr>
          <w:cantSplit/>
        </w:trPr>
        <w:tc>
          <w:tcPr>
            <w:tcW w:w="700" w:type="dxa"/>
            <w:shd w:val="clear" w:color="auto" w:fill="auto"/>
          </w:tcPr>
          <w:p w:rsidRPr="001F71F6" w:rsidR="00F32C32" w:rsidRDefault="007C751E" w14:paraId="18869422" w14:textId="32F8E810">
            <w:pPr>
              <w:rPr>
                <w:rFonts w:ascii="Times New Roman" w:hAnsi="Times New Roman" w:cs="Times New Roman"/>
              </w:rPr>
            </w:pPr>
            <w:r>
              <w:rPr>
                <w:rFonts w:ascii="Times New Roman" w:hAnsi="Times New Roman" w:cs="Times New Roman"/>
              </w:rPr>
              <w:t>2</w:t>
            </w:r>
          </w:p>
        </w:tc>
        <w:tc>
          <w:tcPr>
            <w:tcW w:w="2161" w:type="dxa"/>
            <w:shd w:val="clear" w:color="auto" w:fill="auto"/>
          </w:tcPr>
          <w:p w:rsidRPr="001F71F6" w:rsidR="00F32C32" w:rsidRDefault="00DD1393" w14:paraId="7DEDA7F3" w14:textId="495613A0">
            <w:pPr>
              <w:rPr>
                <w:rFonts w:ascii="Times New Roman" w:hAnsi="Times New Roman" w:cs="Times New Roman"/>
              </w:rPr>
            </w:pPr>
            <w:r>
              <w:rPr>
                <w:rFonts w:ascii="Times New Roman" w:hAnsi="Times New Roman" w:cs="Times New Roman"/>
              </w:rPr>
              <w:t>Report Type</w:t>
            </w:r>
          </w:p>
        </w:tc>
        <w:tc>
          <w:tcPr>
            <w:tcW w:w="1963" w:type="dxa"/>
            <w:shd w:val="clear" w:color="auto" w:fill="auto"/>
          </w:tcPr>
          <w:p w:rsidRPr="001F71F6" w:rsidR="00F32C32" w:rsidRDefault="00F32C32" w14:paraId="2151200C" w14:textId="77777777">
            <w:pPr>
              <w:rPr>
                <w:rFonts w:ascii="Times New Roman" w:hAnsi="Times New Roman" w:cs="Times New Roman"/>
              </w:rPr>
            </w:pPr>
          </w:p>
        </w:tc>
        <w:tc>
          <w:tcPr>
            <w:tcW w:w="4526" w:type="dxa"/>
            <w:shd w:val="clear" w:color="auto" w:fill="auto"/>
          </w:tcPr>
          <w:p w:rsidR="00F32C32" w:rsidRDefault="00DD1393" w14:paraId="2126E8A0" w14:textId="1C5B8F28">
            <w:pPr>
              <w:rPr>
                <w:rFonts w:ascii="Times New Roman" w:hAnsi="Times New Roman" w:cs="Times New Roman"/>
              </w:rPr>
            </w:pPr>
            <w:r w:rsidRPr="00763C1C">
              <w:rPr>
                <w:rFonts w:ascii="Times New Roman" w:hAnsi="Times New Roman" w:cs="Times New Roman"/>
                <w:b/>
              </w:rPr>
              <w:t>A</w:t>
            </w:r>
            <w:r>
              <w:rPr>
                <w:rFonts w:ascii="Times New Roman" w:hAnsi="Times New Roman" w:cs="Times New Roman"/>
              </w:rPr>
              <w:t xml:space="preserve">; </w:t>
            </w:r>
            <w:r w:rsidRPr="00763C1C">
              <w:rPr>
                <w:rFonts w:ascii="Times New Roman" w:hAnsi="Times New Roman" w:cs="Times New Roman"/>
                <w:i/>
              </w:rPr>
              <w:t>Character</w:t>
            </w:r>
            <w:r>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E42679" w:rsidRDefault="00E42679" w14:paraId="7F8FC0A7" w14:textId="77777777">
            <w:pPr>
              <w:rPr>
                <w:rFonts w:ascii="Times New Roman" w:hAnsi="Times New Roman" w:cs="Times New Roman"/>
              </w:rPr>
            </w:pPr>
          </w:p>
          <w:p w:rsidR="00DD1393" w:rsidP="00B16C8F" w:rsidRDefault="00DD1393" w14:paraId="5EBA0389" w14:textId="77777777">
            <w:pPr>
              <w:ind w:left="720"/>
              <w:rPr>
                <w:rFonts w:ascii="Times New Roman" w:hAnsi="Times New Roman" w:cs="Times New Roman"/>
              </w:rPr>
            </w:pPr>
            <w:r w:rsidRPr="00DD1393">
              <w:rPr>
                <w:rFonts w:ascii="Times New Roman" w:hAnsi="Times New Roman" w:cs="Times New Roman"/>
                <w:b/>
              </w:rPr>
              <w:t>O</w:t>
            </w:r>
            <w:r>
              <w:rPr>
                <w:rFonts w:ascii="Times New Roman" w:hAnsi="Times New Roman" w:cs="Times New Roman"/>
              </w:rPr>
              <w:t xml:space="preserve"> = Original</w:t>
            </w:r>
          </w:p>
          <w:p w:rsidRPr="001F71F6" w:rsidR="00DD1393" w:rsidP="00B16C8F" w:rsidRDefault="00DD1393" w14:paraId="40472F1F" w14:textId="262B786B">
            <w:pPr>
              <w:ind w:left="720"/>
              <w:rPr>
                <w:rFonts w:ascii="Times New Roman" w:hAnsi="Times New Roman" w:cs="Times New Roman"/>
              </w:rPr>
            </w:pPr>
            <w:r w:rsidRPr="00DD1393">
              <w:rPr>
                <w:rFonts w:ascii="Times New Roman" w:hAnsi="Times New Roman" w:cs="Times New Roman"/>
                <w:b/>
              </w:rPr>
              <w:t>R</w:t>
            </w:r>
            <w:r>
              <w:rPr>
                <w:rFonts w:ascii="Times New Roman" w:hAnsi="Times New Roman" w:cs="Times New Roman"/>
              </w:rPr>
              <w:t xml:space="preserve"> = Resubmission</w:t>
            </w:r>
          </w:p>
        </w:tc>
      </w:tr>
      <w:tr w:rsidRPr="00A61564" w:rsidR="00F32C32" w:rsidTr="226F8795" w14:paraId="05440786" w14:textId="77777777">
        <w:trPr>
          <w:cantSplit/>
        </w:trPr>
        <w:tc>
          <w:tcPr>
            <w:tcW w:w="700" w:type="dxa"/>
            <w:shd w:val="clear" w:color="auto" w:fill="auto"/>
          </w:tcPr>
          <w:p w:rsidRPr="001F71F6" w:rsidR="00F32C32" w:rsidRDefault="007C751E" w14:paraId="7E751352" w14:textId="103C2BD2">
            <w:pPr>
              <w:rPr>
                <w:rFonts w:ascii="Times New Roman" w:hAnsi="Times New Roman" w:cs="Times New Roman"/>
              </w:rPr>
            </w:pPr>
            <w:r>
              <w:rPr>
                <w:rFonts w:ascii="Times New Roman" w:hAnsi="Times New Roman" w:cs="Times New Roman"/>
              </w:rPr>
              <w:t>3</w:t>
            </w:r>
          </w:p>
        </w:tc>
        <w:tc>
          <w:tcPr>
            <w:tcW w:w="2161" w:type="dxa"/>
            <w:shd w:val="clear" w:color="auto" w:fill="auto"/>
          </w:tcPr>
          <w:p w:rsidRPr="001F71F6" w:rsidR="00F32C32" w:rsidRDefault="00DD1393" w14:paraId="6C733BC7" w14:textId="0E5942FD">
            <w:pPr>
              <w:rPr>
                <w:rFonts w:ascii="Times New Roman" w:hAnsi="Times New Roman" w:cs="Times New Roman"/>
              </w:rPr>
            </w:pPr>
            <w:r>
              <w:rPr>
                <w:rFonts w:ascii="Times New Roman" w:hAnsi="Times New Roman" w:cs="Times New Roman"/>
              </w:rPr>
              <w:t>CBI</w:t>
            </w:r>
          </w:p>
        </w:tc>
        <w:tc>
          <w:tcPr>
            <w:tcW w:w="1963" w:type="dxa"/>
            <w:shd w:val="clear" w:color="auto" w:fill="auto"/>
          </w:tcPr>
          <w:p w:rsidRPr="001F71F6" w:rsidR="00F32C32" w:rsidRDefault="00F32C32" w14:paraId="1BC93F66" w14:textId="77777777">
            <w:pPr>
              <w:rPr>
                <w:rFonts w:ascii="Times New Roman" w:hAnsi="Times New Roman" w:cs="Times New Roman"/>
              </w:rPr>
            </w:pPr>
          </w:p>
        </w:tc>
        <w:tc>
          <w:tcPr>
            <w:tcW w:w="4526" w:type="dxa"/>
            <w:shd w:val="clear" w:color="auto" w:fill="auto"/>
          </w:tcPr>
          <w:p w:rsidR="00F32C32" w:rsidRDefault="00BB17F4" w14:paraId="1037184B" w14:textId="6DBE30DC">
            <w:pPr>
              <w:rPr>
                <w:rFonts w:ascii="Times New Roman" w:hAnsi="Times New Roman" w:cs="Times New Roman"/>
              </w:rPr>
            </w:pPr>
            <w:r w:rsidRPr="00E42F9C">
              <w:rPr>
                <w:rFonts w:ascii="Times New Roman" w:hAnsi="Times New Roman" w:cs="Times New Roman"/>
                <w:b/>
              </w:rPr>
              <w:t>A</w:t>
            </w:r>
            <w:r>
              <w:rPr>
                <w:rFonts w:ascii="Times New Roman" w:hAnsi="Times New Roman" w:cs="Times New Roman"/>
              </w:rPr>
              <w:t xml:space="preserve">; </w:t>
            </w:r>
            <w:r w:rsidRPr="00E42F9C">
              <w:rPr>
                <w:rFonts w:ascii="Times New Roman" w:hAnsi="Times New Roman" w:cs="Times New Roman"/>
                <w:i/>
              </w:rPr>
              <w:t>Character</w:t>
            </w:r>
            <w:r>
              <w:rPr>
                <w:rFonts w:ascii="Times New Roman" w:hAnsi="Times New Roman" w:cs="Times New Roman"/>
              </w:rPr>
              <w:t>. Specify if the data contained within the report is claimed as Confidential Business Information (CBI) under 40 CFR Part 2, subpart B:</w:t>
            </w:r>
          </w:p>
          <w:p w:rsidR="00B16C8F" w:rsidRDefault="00B16C8F" w14:paraId="34654728" w14:textId="77777777">
            <w:pPr>
              <w:rPr>
                <w:rFonts w:ascii="Times New Roman" w:hAnsi="Times New Roman" w:cs="Times New Roman"/>
              </w:rPr>
            </w:pPr>
          </w:p>
          <w:p w:rsidR="00BB17F4" w:rsidP="00B16C8F" w:rsidRDefault="00BB17F4" w14:paraId="522894F0" w14:textId="77777777">
            <w:pPr>
              <w:ind w:left="720"/>
              <w:rPr>
                <w:rFonts w:ascii="Times New Roman" w:hAnsi="Times New Roman" w:cs="Times New Roman"/>
              </w:rPr>
            </w:pPr>
            <w:r w:rsidRPr="00E42F9C">
              <w:rPr>
                <w:rFonts w:ascii="Times New Roman" w:hAnsi="Times New Roman" w:cs="Times New Roman"/>
                <w:b/>
              </w:rPr>
              <w:t>Y</w:t>
            </w:r>
            <w:r>
              <w:rPr>
                <w:rFonts w:ascii="Times New Roman" w:hAnsi="Times New Roman" w:cs="Times New Roman"/>
              </w:rPr>
              <w:t xml:space="preserve"> = Confidential Business Information</w:t>
            </w:r>
          </w:p>
          <w:p w:rsidRPr="001F71F6" w:rsidR="00BB17F4" w:rsidP="00B16C8F" w:rsidRDefault="00BB17F4" w14:paraId="1291FA82" w14:textId="328E1CFB">
            <w:pPr>
              <w:ind w:left="720"/>
              <w:rPr>
                <w:rFonts w:ascii="Times New Roman" w:hAnsi="Times New Roman" w:cs="Times New Roman"/>
              </w:rPr>
            </w:pPr>
            <w:r w:rsidRPr="00E42F9C">
              <w:rPr>
                <w:rFonts w:ascii="Times New Roman" w:hAnsi="Times New Roman" w:cs="Times New Roman"/>
                <w:b/>
              </w:rPr>
              <w:t>N</w:t>
            </w:r>
            <w:r>
              <w:rPr>
                <w:rFonts w:ascii="Times New Roman" w:hAnsi="Times New Roman" w:cs="Times New Roman"/>
              </w:rPr>
              <w:t xml:space="preserve"> = Non-Confidential Business Information</w:t>
            </w:r>
          </w:p>
        </w:tc>
      </w:tr>
      <w:tr w:rsidRPr="00A61564" w:rsidR="00F32C32" w:rsidTr="226F8795" w14:paraId="472441F0" w14:textId="77777777">
        <w:trPr>
          <w:cantSplit/>
        </w:trPr>
        <w:tc>
          <w:tcPr>
            <w:tcW w:w="700" w:type="dxa"/>
            <w:shd w:val="clear" w:color="auto" w:fill="auto"/>
          </w:tcPr>
          <w:p w:rsidRPr="001F71F6" w:rsidR="00F32C32" w:rsidRDefault="007C751E" w14:paraId="31D5D4F1" w14:textId="4C184A65">
            <w:pPr>
              <w:rPr>
                <w:rFonts w:ascii="Times New Roman" w:hAnsi="Times New Roman" w:cs="Times New Roman"/>
              </w:rPr>
            </w:pPr>
            <w:r>
              <w:rPr>
                <w:rFonts w:ascii="Times New Roman" w:hAnsi="Times New Roman" w:cs="Times New Roman"/>
              </w:rPr>
              <w:t>4</w:t>
            </w:r>
          </w:p>
        </w:tc>
        <w:tc>
          <w:tcPr>
            <w:tcW w:w="2161" w:type="dxa"/>
            <w:shd w:val="clear" w:color="auto" w:fill="auto"/>
          </w:tcPr>
          <w:p w:rsidRPr="001F71F6" w:rsidR="00F32C32" w:rsidRDefault="00DD1393" w14:paraId="7356FA7D" w14:textId="6424CA9E">
            <w:pPr>
              <w:rPr>
                <w:rFonts w:ascii="Times New Roman" w:hAnsi="Times New Roman" w:cs="Times New Roman"/>
              </w:rPr>
            </w:pPr>
            <w:r>
              <w:rPr>
                <w:rFonts w:ascii="Times New Roman" w:hAnsi="Times New Roman" w:cs="Times New Roman"/>
              </w:rPr>
              <w:t>Report Date</w:t>
            </w:r>
          </w:p>
        </w:tc>
        <w:tc>
          <w:tcPr>
            <w:tcW w:w="1963" w:type="dxa"/>
            <w:shd w:val="clear" w:color="auto" w:fill="auto"/>
          </w:tcPr>
          <w:p w:rsidRPr="001F71F6" w:rsidR="00F32C32" w:rsidRDefault="00F32C32" w14:paraId="6AD47E8D" w14:textId="77777777">
            <w:pPr>
              <w:rPr>
                <w:rFonts w:ascii="Times New Roman" w:hAnsi="Times New Roman" w:cs="Times New Roman"/>
              </w:rPr>
            </w:pPr>
          </w:p>
        </w:tc>
        <w:tc>
          <w:tcPr>
            <w:tcW w:w="4526" w:type="dxa"/>
            <w:shd w:val="clear" w:color="auto" w:fill="auto"/>
          </w:tcPr>
          <w:p w:rsidRPr="001F71F6" w:rsidR="00F32C32" w:rsidRDefault="00E42F9C" w14:paraId="7507CBD9" w14:textId="764457B5">
            <w:pPr>
              <w:rPr>
                <w:rFonts w:ascii="Times New Roman" w:hAnsi="Times New Roman" w:cs="Times New Roman"/>
              </w:rPr>
            </w:pPr>
            <w:r w:rsidRPr="00E42F9C">
              <w:rPr>
                <w:rFonts w:ascii="Times New Roman" w:hAnsi="Times New Roman" w:cs="Times New Roman"/>
                <w:b/>
              </w:rPr>
              <w:t>MM/DD/YYYY</w:t>
            </w:r>
            <w:r>
              <w:rPr>
                <w:rFonts w:ascii="Times New Roman" w:hAnsi="Times New Roman" w:cs="Times New Roman"/>
              </w:rPr>
              <w:t xml:space="preserve">; </w:t>
            </w:r>
            <w:r w:rsidRPr="00E42F9C">
              <w:rPr>
                <w:rFonts w:ascii="Times New Roman" w:hAnsi="Times New Roman" w:cs="Times New Roman"/>
                <w:i/>
              </w:rPr>
              <w:t>Character</w:t>
            </w:r>
            <w:r>
              <w:rPr>
                <w:rFonts w:ascii="Times New Roman" w:hAnsi="Times New Roman" w:cs="Times New Roman"/>
              </w:rPr>
              <w:t>. Enter the data the original or resubmitted report is created.</w:t>
            </w:r>
          </w:p>
        </w:tc>
      </w:tr>
      <w:tr w:rsidRPr="00A61564" w:rsidR="00F32C32" w:rsidTr="226F8795" w14:paraId="64643B51" w14:textId="77777777">
        <w:trPr>
          <w:cantSplit/>
        </w:trPr>
        <w:tc>
          <w:tcPr>
            <w:tcW w:w="700" w:type="dxa"/>
            <w:shd w:val="clear" w:color="auto" w:fill="auto"/>
          </w:tcPr>
          <w:p w:rsidRPr="001F71F6" w:rsidR="00F32C32" w:rsidRDefault="007C751E" w14:paraId="0522A05C" w14:textId="018440C5">
            <w:pPr>
              <w:rPr>
                <w:rFonts w:ascii="Times New Roman" w:hAnsi="Times New Roman" w:cs="Times New Roman"/>
              </w:rPr>
            </w:pPr>
            <w:r>
              <w:rPr>
                <w:rFonts w:ascii="Times New Roman" w:hAnsi="Times New Roman" w:cs="Times New Roman"/>
              </w:rPr>
              <w:t>5</w:t>
            </w:r>
          </w:p>
        </w:tc>
        <w:tc>
          <w:tcPr>
            <w:tcW w:w="2161" w:type="dxa"/>
            <w:shd w:val="clear" w:color="auto" w:fill="auto"/>
          </w:tcPr>
          <w:p w:rsidRPr="001F71F6" w:rsidR="00F32C32" w:rsidRDefault="00DD1393" w14:paraId="1C6EA870" w14:textId="447AB9B3">
            <w:pPr>
              <w:rPr>
                <w:rFonts w:ascii="Times New Roman" w:hAnsi="Times New Roman" w:cs="Times New Roman"/>
              </w:rPr>
            </w:pPr>
            <w:r>
              <w:rPr>
                <w:rFonts w:ascii="Times New Roman" w:hAnsi="Times New Roman" w:cs="Times New Roman"/>
              </w:rPr>
              <w:t>Averaging Compliance Period</w:t>
            </w:r>
          </w:p>
        </w:tc>
        <w:tc>
          <w:tcPr>
            <w:tcW w:w="1963" w:type="dxa"/>
            <w:shd w:val="clear" w:color="auto" w:fill="auto"/>
          </w:tcPr>
          <w:p w:rsidRPr="001F71F6" w:rsidR="00F32C32" w:rsidRDefault="00F32C32" w14:paraId="5C40A14F" w14:textId="77777777">
            <w:pPr>
              <w:rPr>
                <w:rFonts w:ascii="Times New Roman" w:hAnsi="Times New Roman" w:cs="Times New Roman"/>
              </w:rPr>
            </w:pPr>
          </w:p>
        </w:tc>
        <w:tc>
          <w:tcPr>
            <w:tcW w:w="4526" w:type="dxa"/>
            <w:shd w:val="clear" w:color="auto" w:fill="auto"/>
          </w:tcPr>
          <w:p w:rsidRPr="001F71F6" w:rsidR="00F32C32" w:rsidRDefault="00036A4F" w14:paraId="36793E9F" w14:textId="753C8407">
            <w:pPr>
              <w:rPr>
                <w:rFonts w:ascii="Times New Roman" w:hAnsi="Times New Roman" w:cs="Times New Roman"/>
              </w:rPr>
            </w:pPr>
            <w:r w:rsidRPr="00036A4F">
              <w:rPr>
                <w:rFonts w:ascii="Times New Roman" w:hAnsi="Times New Roman" w:cs="Times New Roman"/>
                <w:b/>
              </w:rPr>
              <w:t>YYYY</w:t>
            </w:r>
            <w:r>
              <w:rPr>
                <w:rFonts w:ascii="Times New Roman" w:hAnsi="Times New Roman" w:cs="Times New Roman"/>
              </w:rPr>
              <w:t xml:space="preserve">; </w:t>
            </w:r>
            <w:r w:rsidRPr="00036A4F">
              <w:rPr>
                <w:rFonts w:ascii="Times New Roman" w:hAnsi="Times New Roman" w:cs="Times New Roman"/>
                <w:i/>
              </w:rPr>
              <w:t>Character</w:t>
            </w:r>
            <w:r>
              <w:rPr>
                <w:rFonts w:ascii="Times New Roman" w:hAnsi="Times New Roman" w:cs="Times New Roman"/>
              </w:rPr>
              <w:t>. Enter the averaging/compliance year the report covers.</w:t>
            </w:r>
          </w:p>
        </w:tc>
      </w:tr>
      <w:tr w:rsidRPr="00A61564" w:rsidR="00DD1393" w:rsidTr="226F8795" w14:paraId="398FDCB0" w14:textId="77777777">
        <w:trPr>
          <w:cantSplit/>
        </w:trPr>
        <w:tc>
          <w:tcPr>
            <w:tcW w:w="700" w:type="dxa"/>
            <w:shd w:val="clear" w:color="auto" w:fill="auto"/>
          </w:tcPr>
          <w:p w:rsidR="00DD1393" w:rsidRDefault="007C751E" w14:paraId="371AC224" w14:textId="50C0BA60">
            <w:pPr>
              <w:rPr>
                <w:rFonts w:ascii="Times New Roman" w:hAnsi="Times New Roman" w:cs="Times New Roman"/>
              </w:rPr>
            </w:pPr>
            <w:r>
              <w:rPr>
                <w:rFonts w:ascii="Times New Roman" w:hAnsi="Times New Roman" w:cs="Times New Roman"/>
              </w:rPr>
              <w:t>6</w:t>
            </w:r>
          </w:p>
        </w:tc>
        <w:tc>
          <w:tcPr>
            <w:tcW w:w="2161" w:type="dxa"/>
            <w:shd w:val="clear" w:color="auto" w:fill="auto"/>
          </w:tcPr>
          <w:p w:rsidR="00DD1393" w:rsidRDefault="00DD1393" w14:paraId="1896A5E3" w14:textId="791F5169">
            <w:pPr>
              <w:rPr>
                <w:rFonts w:ascii="Times New Roman" w:hAnsi="Times New Roman" w:cs="Times New Roman"/>
              </w:rPr>
            </w:pPr>
            <w:r>
              <w:rPr>
                <w:rFonts w:ascii="Times New Roman" w:hAnsi="Times New Roman" w:cs="Times New Roman"/>
              </w:rPr>
              <w:t>Company ID</w:t>
            </w:r>
          </w:p>
        </w:tc>
        <w:tc>
          <w:tcPr>
            <w:tcW w:w="1963" w:type="dxa"/>
            <w:shd w:val="clear" w:color="auto" w:fill="auto"/>
          </w:tcPr>
          <w:p w:rsidRPr="001F71F6" w:rsidR="00DD1393" w:rsidRDefault="00DD1393" w14:paraId="6666C1E4" w14:textId="77777777">
            <w:pPr>
              <w:rPr>
                <w:rFonts w:ascii="Times New Roman" w:hAnsi="Times New Roman" w:cs="Times New Roman"/>
              </w:rPr>
            </w:pPr>
          </w:p>
        </w:tc>
        <w:tc>
          <w:tcPr>
            <w:tcW w:w="4526" w:type="dxa"/>
            <w:shd w:val="clear" w:color="auto" w:fill="auto"/>
          </w:tcPr>
          <w:p w:rsidRPr="001F71F6" w:rsidR="00DD1393" w:rsidRDefault="00C16EC6" w14:paraId="0F292C29" w14:textId="2501678C">
            <w:pPr>
              <w:rPr>
                <w:rFonts w:ascii="Times New Roman" w:hAnsi="Times New Roman" w:cs="Times New Roman"/>
              </w:rPr>
            </w:pPr>
            <w:r w:rsidRPr="00392F0D">
              <w:rPr>
                <w:rFonts w:ascii="Times New Roman" w:hAnsi="Times New Roman" w:cs="Times New Roman"/>
                <w:b/>
              </w:rPr>
              <w:t>AAAA</w:t>
            </w:r>
            <w:r>
              <w:rPr>
                <w:rFonts w:ascii="Times New Roman" w:hAnsi="Times New Roman" w:cs="Times New Roman"/>
              </w:rPr>
              <w:t xml:space="preserve">; </w:t>
            </w:r>
            <w:r w:rsidRPr="00392F0D">
              <w:rPr>
                <w:rFonts w:ascii="Times New Roman" w:hAnsi="Times New Roman" w:cs="Times New Roman"/>
                <w:i/>
              </w:rPr>
              <w:t>Character</w:t>
            </w:r>
            <w:r>
              <w:rPr>
                <w:rFonts w:ascii="Times New Roman" w:hAnsi="Times New Roman" w:cs="Times New Roman"/>
              </w:rPr>
              <w:t>. Enter the EPA-assigned four-character ID of the refiner or importer</w:t>
            </w:r>
          </w:p>
        </w:tc>
      </w:tr>
      <w:tr w:rsidRPr="00A61564" w:rsidR="00DD1393" w:rsidTr="226F8795" w14:paraId="12C6D0D6" w14:textId="77777777">
        <w:trPr>
          <w:cantSplit/>
        </w:trPr>
        <w:tc>
          <w:tcPr>
            <w:tcW w:w="700" w:type="dxa"/>
            <w:shd w:val="clear" w:color="auto" w:fill="auto"/>
          </w:tcPr>
          <w:p w:rsidR="00DD1393" w:rsidRDefault="007C751E" w14:paraId="2581FF04" w14:textId="7978C788">
            <w:pPr>
              <w:rPr>
                <w:rFonts w:ascii="Times New Roman" w:hAnsi="Times New Roman" w:cs="Times New Roman"/>
              </w:rPr>
            </w:pPr>
            <w:r>
              <w:rPr>
                <w:rFonts w:ascii="Times New Roman" w:hAnsi="Times New Roman" w:cs="Times New Roman"/>
              </w:rPr>
              <w:t>7</w:t>
            </w:r>
          </w:p>
        </w:tc>
        <w:tc>
          <w:tcPr>
            <w:tcW w:w="2161" w:type="dxa"/>
            <w:shd w:val="clear" w:color="auto" w:fill="auto"/>
          </w:tcPr>
          <w:p w:rsidR="00DD1393" w:rsidRDefault="00DD1393" w14:paraId="07211579" w14:textId="0ABD4E83">
            <w:pPr>
              <w:rPr>
                <w:rFonts w:ascii="Times New Roman" w:hAnsi="Times New Roman" w:cs="Times New Roman"/>
              </w:rPr>
            </w:pPr>
            <w:r>
              <w:rPr>
                <w:rFonts w:ascii="Times New Roman" w:hAnsi="Times New Roman" w:cs="Times New Roman"/>
              </w:rPr>
              <w:t>Reporting ID (or Facility ID)</w:t>
            </w:r>
          </w:p>
        </w:tc>
        <w:tc>
          <w:tcPr>
            <w:tcW w:w="1963" w:type="dxa"/>
            <w:shd w:val="clear" w:color="auto" w:fill="auto"/>
          </w:tcPr>
          <w:p w:rsidRPr="001F71F6" w:rsidR="00DD1393" w:rsidRDefault="00DD1393" w14:paraId="1B416E58" w14:textId="77777777">
            <w:pPr>
              <w:rPr>
                <w:rFonts w:ascii="Times New Roman" w:hAnsi="Times New Roman" w:cs="Times New Roman"/>
              </w:rPr>
            </w:pPr>
          </w:p>
        </w:tc>
        <w:tc>
          <w:tcPr>
            <w:tcW w:w="4526" w:type="dxa"/>
            <w:shd w:val="clear" w:color="auto" w:fill="auto"/>
          </w:tcPr>
          <w:p w:rsidRPr="001F71F6" w:rsidR="00DD1393" w:rsidRDefault="00C16EC6" w14:paraId="3832DFF7" w14:textId="0A5F3A79">
            <w:pPr>
              <w:rPr>
                <w:rFonts w:ascii="Times New Roman" w:hAnsi="Times New Roman" w:cs="Times New Roman"/>
              </w:rPr>
            </w:pPr>
            <w:r w:rsidRPr="00392F0D">
              <w:rPr>
                <w:rFonts w:ascii="Times New Roman" w:hAnsi="Times New Roman" w:cs="Times New Roman"/>
                <w:b/>
              </w:rPr>
              <w:t>AAAAA</w:t>
            </w:r>
            <w:r w:rsidR="00392F0D">
              <w:rPr>
                <w:rFonts w:ascii="Times New Roman" w:hAnsi="Times New Roman" w:cs="Times New Roman"/>
              </w:rPr>
              <w:t xml:space="preserve">; </w:t>
            </w:r>
            <w:r w:rsidRPr="00392F0D" w:rsidR="00392F0D">
              <w:rPr>
                <w:rFonts w:ascii="Times New Roman" w:hAnsi="Times New Roman" w:cs="Times New Roman"/>
                <w:i/>
              </w:rPr>
              <w:t>Character</w:t>
            </w:r>
            <w:r w:rsidR="00392F0D">
              <w:rPr>
                <w:rFonts w:ascii="Times New Roman" w:hAnsi="Times New Roman" w:cs="Times New Roman"/>
              </w:rPr>
              <w:t>. Enter the EPA-assigned five-character reporting ID for the facility. Include leading zeros as needed. For aggregating one or more import facilities or PADDs, enter “AGIMP”.</w:t>
            </w:r>
          </w:p>
        </w:tc>
      </w:tr>
      <w:tr w:rsidRPr="00A61564" w:rsidR="00F32C32" w:rsidTr="226F8795" w14:paraId="41FB3D9D" w14:textId="77777777">
        <w:trPr>
          <w:cantSplit/>
        </w:trPr>
        <w:tc>
          <w:tcPr>
            <w:tcW w:w="700" w:type="dxa"/>
            <w:shd w:val="clear" w:color="auto" w:fill="auto"/>
          </w:tcPr>
          <w:p w:rsidRPr="001F71F6" w:rsidR="00F32C32" w:rsidRDefault="007C751E" w14:paraId="721BC695" w14:textId="6DFF5347">
            <w:pPr>
              <w:rPr>
                <w:rFonts w:ascii="Times New Roman" w:hAnsi="Times New Roman" w:cs="Times New Roman"/>
              </w:rPr>
            </w:pPr>
            <w:r>
              <w:rPr>
                <w:rFonts w:ascii="Times New Roman" w:hAnsi="Times New Roman" w:cs="Times New Roman"/>
              </w:rPr>
              <w:lastRenderedPageBreak/>
              <w:t>8</w:t>
            </w:r>
          </w:p>
        </w:tc>
        <w:tc>
          <w:tcPr>
            <w:tcW w:w="2161" w:type="dxa"/>
            <w:shd w:val="clear" w:color="auto" w:fill="auto"/>
          </w:tcPr>
          <w:p w:rsidRPr="001F71F6" w:rsidR="00F32C32" w:rsidRDefault="00510EA7" w14:paraId="2E9E43FB" w14:textId="742F13B9">
            <w:pPr>
              <w:rPr>
                <w:rFonts w:ascii="Times New Roman" w:hAnsi="Times New Roman" w:cs="Times New Roman"/>
              </w:rPr>
            </w:pPr>
            <w:r w:rsidRPr="001F71F6">
              <w:rPr>
                <w:rFonts w:ascii="Times New Roman" w:hAnsi="Times New Roman" w:cs="Times New Roman"/>
              </w:rPr>
              <w:t>Averaging Standard</w:t>
            </w:r>
          </w:p>
        </w:tc>
        <w:tc>
          <w:tcPr>
            <w:tcW w:w="1963" w:type="dxa"/>
            <w:shd w:val="clear" w:color="auto" w:fill="auto"/>
          </w:tcPr>
          <w:p w:rsidRPr="001F71F6" w:rsidR="00F32C32" w:rsidRDefault="00F32C32" w14:paraId="08A2C5C9" w14:textId="77777777">
            <w:pPr>
              <w:rPr>
                <w:rFonts w:ascii="Times New Roman" w:hAnsi="Times New Roman" w:cs="Times New Roman"/>
              </w:rPr>
            </w:pPr>
          </w:p>
        </w:tc>
        <w:tc>
          <w:tcPr>
            <w:tcW w:w="4526" w:type="dxa"/>
            <w:shd w:val="clear" w:color="auto" w:fill="auto"/>
          </w:tcPr>
          <w:p w:rsidRPr="001F71F6" w:rsidR="00F32C32" w:rsidRDefault="00510EA7" w14:paraId="40E69368" w14:textId="1F07509F">
            <w:pPr>
              <w:rPr>
                <w:rFonts w:ascii="Times New Roman" w:hAnsi="Times New Roman" w:cs="Times New Roman"/>
              </w:rPr>
            </w:pPr>
            <w:r w:rsidRPr="00657D6E">
              <w:rPr>
                <w:rFonts w:ascii="Times New Roman" w:hAnsi="Times New Roman" w:cs="Times New Roman"/>
                <w:b/>
              </w:rPr>
              <w:t>AAAAA</w:t>
            </w:r>
            <w:r w:rsidRPr="001F71F6">
              <w:rPr>
                <w:rFonts w:ascii="Times New Roman" w:hAnsi="Times New Roman" w:cs="Times New Roman"/>
              </w:rPr>
              <w:t xml:space="preserve">; </w:t>
            </w:r>
            <w:r w:rsidRPr="001F71F6">
              <w:rPr>
                <w:rFonts w:ascii="Times New Roman" w:hAnsi="Times New Roman" w:cs="Times New Roman"/>
                <w:i/>
              </w:rPr>
              <w:t>Character</w:t>
            </w:r>
            <w:r w:rsidRPr="001F71F6" w:rsidR="0064019F">
              <w:rPr>
                <w:rFonts w:ascii="Times New Roman" w:hAnsi="Times New Roman" w:cs="Times New Roman"/>
              </w:rPr>
              <w:t xml:space="preserve">. Enter the </w:t>
            </w:r>
            <w:r w:rsidRPr="001F71F6" w:rsidR="00094A2D">
              <w:rPr>
                <w:rFonts w:ascii="Times New Roman" w:hAnsi="Times New Roman" w:cs="Times New Roman"/>
              </w:rPr>
              <w:t xml:space="preserve">individual averaging standard for compliance under the part 1090 Subpart H – Averaging, Banking, and Trading Provisions. </w:t>
            </w:r>
          </w:p>
          <w:p w:rsidRPr="001F71F6" w:rsidR="00094A2D" w:rsidRDefault="00094A2D" w14:paraId="76ACB07C" w14:textId="59FB853F">
            <w:pPr>
              <w:rPr>
                <w:rFonts w:ascii="Times New Roman" w:hAnsi="Times New Roman" w:cs="Times New Roman"/>
              </w:rPr>
            </w:pPr>
          </w:p>
          <w:p w:rsidRPr="001F71F6" w:rsidR="00094A2D" w:rsidRDefault="00094A2D" w14:paraId="2133BA00" w14:textId="71417527">
            <w:pPr>
              <w:rPr>
                <w:rFonts w:ascii="Times New Roman" w:hAnsi="Times New Roman" w:cs="Times New Roman"/>
              </w:rPr>
            </w:pPr>
            <w:r w:rsidRPr="001F71F6">
              <w:rPr>
                <w:rFonts w:ascii="Times New Roman" w:hAnsi="Times New Roman" w:cs="Times New Roman"/>
              </w:rPr>
              <w:t>Provide a separate line (or report) for each of the standards shown below and the required information under part 1090 Subpart H.</w:t>
            </w:r>
          </w:p>
          <w:p w:rsidRPr="001F71F6" w:rsidR="00094A2D" w:rsidRDefault="00094A2D" w14:paraId="08F969A5" w14:textId="77777777">
            <w:pPr>
              <w:rPr>
                <w:rFonts w:ascii="Times New Roman" w:hAnsi="Times New Roman" w:cs="Times New Roman"/>
              </w:rPr>
            </w:pPr>
          </w:p>
          <w:p w:rsidRPr="001F71F6" w:rsidR="00094A2D" w:rsidP="00657D6E" w:rsidRDefault="00094A2D" w14:paraId="48D9D1E6" w14:textId="788F4EA0">
            <w:pPr>
              <w:ind w:left="720"/>
              <w:rPr>
                <w:rFonts w:ascii="Times New Roman" w:hAnsi="Times New Roman" w:cs="Times New Roman"/>
              </w:rPr>
            </w:pPr>
            <w:r w:rsidRPr="00657D6E">
              <w:rPr>
                <w:rFonts w:ascii="Times New Roman" w:hAnsi="Times New Roman" w:cs="Times New Roman"/>
                <w:b/>
              </w:rPr>
              <w:t>Sulfur</w:t>
            </w:r>
            <w:r w:rsidRPr="001F71F6" w:rsidR="002F79CD">
              <w:rPr>
                <w:rFonts w:ascii="Times New Roman" w:hAnsi="Times New Roman" w:cs="Times New Roman"/>
              </w:rPr>
              <w:t xml:space="preserve"> – Compliance with the sulfur average standard described under </w:t>
            </w:r>
            <w:r w:rsidR="00B76744">
              <w:rPr>
                <w:rFonts w:ascii="Times New Roman" w:hAnsi="Times New Roman" w:eastAsia="Times New Roman" w:cs="Times New Roman"/>
              </w:rPr>
              <w:t>§</w:t>
            </w:r>
            <w:r w:rsidRPr="001F71F6" w:rsidR="002F79CD">
              <w:rPr>
                <w:rFonts w:ascii="Times New Roman" w:hAnsi="Times New Roman" w:cs="Times New Roman"/>
              </w:rPr>
              <w:t>1090.700(a)</w:t>
            </w:r>
          </w:p>
          <w:p w:rsidRPr="001F71F6" w:rsidR="002F79CD" w:rsidP="00657D6E" w:rsidRDefault="002F79CD" w14:paraId="33541040" w14:textId="77777777">
            <w:pPr>
              <w:ind w:left="720"/>
              <w:rPr>
                <w:rFonts w:ascii="Times New Roman" w:hAnsi="Times New Roman" w:cs="Times New Roman"/>
              </w:rPr>
            </w:pPr>
          </w:p>
          <w:p w:rsidR="00094A2D" w:rsidP="226F8795" w:rsidRDefault="226F8795" w14:paraId="1DAF6E5B" w14:textId="77777777">
            <w:pPr>
              <w:ind w:left="720"/>
              <w:rPr>
                <w:rFonts w:ascii="Times New Roman" w:hAnsi="Times New Roman" w:cs="Times New Roman"/>
              </w:rPr>
            </w:pPr>
            <w:r w:rsidRPr="226F8795">
              <w:rPr>
                <w:rFonts w:ascii="Times New Roman" w:hAnsi="Times New Roman" w:cs="Times New Roman"/>
                <w:b/>
                <w:bCs/>
              </w:rPr>
              <w:t>Benzene</w:t>
            </w:r>
            <w:r w:rsidRPr="226F8795">
              <w:rPr>
                <w:rFonts w:ascii="Times New Roman" w:hAnsi="Times New Roman" w:cs="Times New Roman"/>
              </w:rPr>
              <w:t xml:space="preserve"> – Compliance with the benzene average standard described under </w:t>
            </w:r>
            <w:r w:rsidRPr="226F8795">
              <w:rPr>
                <w:rFonts w:ascii="Times New Roman" w:hAnsi="Times New Roman" w:eastAsia="Times New Roman" w:cs="Times New Roman"/>
              </w:rPr>
              <w:t>§</w:t>
            </w:r>
            <w:r w:rsidRPr="226F8795">
              <w:rPr>
                <w:rFonts w:ascii="Times New Roman" w:hAnsi="Times New Roman" w:cs="Times New Roman"/>
              </w:rPr>
              <w:t>1090.700(b)</w:t>
            </w:r>
          </w:p>
          <w:p w:rsidRPr="001F71F6" w:rsidR="009C5988" w:rsidP="00657D6E" w:rsidRDefault="009C5988" w14:paraId="678A5C13" w14:textId="7BAFADE7">
            <w:pPr>
              <w:ind w:left="720"/>
              <w:rPr>
                <w:rFonts w:ascii="Times New Roman" w:hAnsi="Times New Roman" w:cs="Times New Roman"/>
              </w:rPr>
            </w:pPr>
          </w:p>
        </w:tc>
      </w:tr>
      <w:tr w:rsidRPr="00A61564" w:rsidR="00D15897" w:rsidTr="226F8795" w14:paraId="0EE501C4" w14:textId="77777777">
        <w:trPr>
          <w:cantSplit/>
        </w:trPr>
        <w:tc>
          <w:tcPr>
            <w:tcW w:w="700" w:type="dxa"/>
          </w:tcPr>
          <w:p w:rsidRPr="00B750B8" w:rsidR="00D15897" w:rsidP="00AC1536" w:rsidRDefault="007C751E" w14:paraId="152D6C20" w14:textId="3BDAB714">
            <w:pPr>
              <w:rPr>
                <w:rFonts w:ascii="Times New Roman" w:hAnsi="Times New Roman" w:cs="Times New Roman"/>
              </w:rPr>
            </w:pPr>
            <w:r>
              <w:rPr>
                <w:rFonts w:ascii="Times New Roman" w:hAnsi="Times New Roman" w:cs="Times New Roman"/>
              </w:rPr>
              <w:t>9</w:t>
            </w:r>
            <w:r w:rsidRPr="00B750B8" w:rsidR="00D15897">
              <w:rPr>
                <w:rFonts w:ascii="Times New Roman" w:hAnsi="Times New Roman" w:cs="Times New Roman"/>
              </w:rPr>
              <w:t>.</w:t>
            </w:r>
          </w:p>
        </w:tc>
        <w:tc>
          <w:tcPr>
            <w:tcW w:w="2161" w:type="dxa"/>
          </w:tcPr>
          <w:p w:rsidRPr="00B96618" w:rsidR="00D15897" w:rsidP="00AC1536" w:rsidRDefault="00D15897" w14:paraId="0A99D242" w14:textId="77777777">
            <w:pPr>
              <w:pStyle w:val="NormalWeb"/>
              <w:rPr>
                <w:sz w:val="22"/>
                <w:szCs w:val="22"/>
              </w:rPr>
            </w:pPr>
            <w:r w:rsidRPr="00B96618">
              <w:rPr>
                <w:sz w:val="22"/>
                <w:szCs w:val="22"/>
              </w:rPr>
              <w:t>Total Volume</w:t>
            </w:r>
          </w:p>
        </w:tc>
        <w:tc>
          <w:tcPr>
            <w:tcW w:w="1963" w:type="dxa"/>
          </w:tcPr>
          <w:p w:rsidRPr="00B96618" w:rsidR="00D15897" w:rsidP="64782F61" w:rsidRDefault="64782F61" w14:paraId="4A23DE28" w14:textId="1DA26828">
            <w:pPr>
              <w:spacing w:line="259" w:lineRule="auto"/>
              <w:rPr>
                <w:rFonts w:ascii="Times New Roman" w:hAnsi="Times New Roman" w:cs="Times New Roman"/>
              </w:rPr>
            </w:pPr>
            <w:r w:rsidRPr="64782F61">
              <w:rPr>
                <w:rFonts w:ascii="Times New Roman" w:hAnsi="Times New Roman" w:cs="Times New Roman"/>
              </w:rPr>
              <w:t>gallons</w:t>
            </w:r>
          </w:p>
        </w:tc>
        <w:tc>
          <w:tcPr>
            <w:tcW w:w="4526" w:type="dxa"/>
          </w:tcPr>
          <w:p w:rsidRPr="00B96618" w:rsidR="00D15897" w:rsidP="00AC1536" w:rsidRDefault="00D15897" w14:paraId="5D0E7680" w14:textId="77777777">
            <w:pPr>
              <w:autoSpaceDE w:val="0"/>
              <w:autoSpaceDN w:val="0"/>
              <w:adjustRightInd w:val="0"/>
              <w:rPr>
                <w:rFonts w:ascii="Times New Roman" w:hAnsi="Times New Roman" w:cs="Times New Roman"/>
              </w:rPr>
            </w:pPr>
            <w:r w:rsidRPr="00B96618">
              <w:rPr>
                <w:rFonts w:ascii="Times New Roman" w:hAnsi="Times New Roman" w:cs="Times New Roman"/>
                <w:b/>
                <w:bCs/>
              </w:rPr>
              <w:t>999999999999</w:t>
            </w:r>
            <w:r w:rsidRPr="00B96618">
              <w:rPr>
                <w:rFonts w:ascii="Times New Roman" w:hAnsi="Times New Roman" w:cs="Times New Roman"/>
              </w:rPr>
              <w:t xml:space="preserve">; </w:t>
            </w:r>
            <w:r w:rsidRPr="00B96618">
              <w:rPr>
                <w:rFonts w:ascii="Times New Roman" w:hAnsi="Times New Roman" w:cs="Times New Roman"/>
                <w:i/>
                <w:iCs/>
              </w:rPr>
              <w:t>Number</w:t>
            </w:r>
            <w:r w:rsidRPr="00B96618">
              <w:rPr>
                <w:rFonts w:ascii="Times New Roman" w:hAnsi="Times New Roman" w:cs="Times New Roman"/>
              </w:rPr>
              <w:t>. Facility production/import volume for the annual averaging period.</w:t>
            </w:r>
          </w:p>
        </w:tc>
      </w:tr>
      <w:tr w:rsidRPr="00A61564" w:rsidR="0041344A" w:rsidTr="226F8795" w14:paraId="3EE9BAF5" w14:textId="77777777">
        <w:trPr>
          <w:cantSplit/>
        </w:trPr>
        <w:tc>
          <w:tcPr>
            <w:tcW w:w="700" w:type="dxa"/>
          </w:tcPr>
          <w:p w:rsidR="0041344A" w:rsidP="00AC1536" w:rsidRDefault="007C751E" w14:paraId="74FF6983" w14:textId="477F0847">
            <w:pPr>
              <w:rPr>
                <w:rFonts w:ascii="Times New Roman" w:hAnsi="Times New Roman" w:cs="Times New Roman"/>
              </w:rPr>
            </w:pPr>
            <w:r>
              <w:rPr>
                <w:rFonts w:ascii="Times New Roman" w:hAnsi="Times New Roman" w:cs="Times New Roman"/>
              </w:rPr>
              <w:t>10</w:t>
            </w:r>
          </w:p>
        </w:tc>
        <w:tc>
          <w:tcPr>
            <w:tcW w:w="2161" w:type="dxa"/>
          </w:tcPr>
          <w:p w:rsidRPr="00B96618" w:rsidR="0041344A" w:rsidP="00AC1536" w:rsidRDefault="0041344A" w14:paraId="057FB94F" w14:textId="178AFF0B">
            <w:pPr>
              <w:pStyle w:val="NormalWeb"/>
              <w:rPr>
                <w:sz w:val="22"/>
                <w:szCs w:val="22"/>
              </w:rPr>
            </w:pPr>
            <w:r>
              <w:rPr>
                <w:sz w:val="22"/>
                <w:szCs w:val="22"/>
              </w:rPr>
              <w:t>Prior Year Deficit</w:t>
            </w:r>
          </w:p>
        </w:tc>
        <w:tc>
          <w:tcPr>
            <w:tcW w:w="1963" w:type="dxa"/>
          </w:tcPr>
          <w:p w:rsidRPr="00B96618" w:rsidR="0041344A" w:rsidP="00AC1536" w:rsidRDefault="0041344A" w14:paraId="0FF4C2C6" w14:textId="77777777">
            <w:pPr>
              <w:rPr>
                <w:rFonts w:ascii="Times New Roman" w:hAnsi="Times New Roman" w:cs="Times New Roman"/>
              </w:rPr>
            </w:pPr>
          </w:p>
        </w:tc>
        <w:tc>
          <w:tcPr>
            <w:tcW w:w="4526" w:type="dxa"/>
          </w:tcPr>
          <w:p w:rsidRPr="00F348B2" w:rsidR="0041344A" w:rsidP="00AC1536" w:rsidRDefault="00F348B2" w14:paraId="3BE0ECD0" w14:textId="433F3295">
            <w:pPr>
              <w:autoSpaceDE w:val="0"/>
              <w:autoSpaceDN w:val="0"/>
              <w:adjustRightInd w:val="0"/>
              <w:rPr>
                <w:rFonts w:ascii="Times New Roman" w:hAnsi="Times New Roman" w:cs="Times New Roman"/>
                <w:b/>
                <w:bCs/>
              </w:rPr>
            </w:pPr>
            <w:r>
              <w:rPr>
                <w:rFonts w:ascii="Times New Roman" w:hAnsi="Times New Roman" w:cs="Times New Roman"/>
                <w:b/>
                <w:bCs/>
              </w:rPr>
              <w:t xml:space="preserve">999999999999; </w:t>
            </w:r>
            <w:r w:rsidRPr="00F348B2">
              <w:rPr>
                <w:rFonts w:ascii="Times New Roman" w:hAnsi="Times New Roman" w:cs="Times New Roman"/>
                <w:bCs/>
                <w:i/>
              </w:rPr>
              <w:t>Number.</w:t>
            </w:r>
            <w:r>
              <w:rPr>
                <w:rFonts w:ascii="Times New Roman" w:hAnsi="Times New Roman" w:cs="Times New Roman"/>
                <w:bCs/>
                <w:i/>
              </w:rPr>
              <w:t xml:space="preserve"> </w:t>
            </w:r>
            <w:r>
              <w:rPr>
                <w:rFonts w:ascii="Times New Roman" w:hAnsi="Times New Roman" w:cs="Times New Roman"/>
                <w:bCs/>
              </w:rPr>
              <w:t>Enter any prior-year deficit carried over into the current compliance period.</w:t>
            </w:r>
          </w:p>
        </w:tc>
      </w:tr>
      <w:tr w:rsidRPr="00A61564" w:rsidR="00EE2C7D" w:rsidTr="226F8795" w14:paraId="6ED86C2E" w14:textId="77777777">
        <w:trPr>
          <w:cantSplit/>
        </w:trPr>
        <w:tc>
          <w:tcPr>
            <w:tcW w:w="700" w:type="dxa"/>
          </w:tcPr>
          <w:p w:rsidR="00EE2C7D" w:rsidP="00B96618" w:rsidRDefault="007C751E" w14:paraId="24865E35" w14:textId="76E1730A">
            <w:pPr>
              <w:rPr>
                <w:rFonts w:ascii="Times New Roman" w:hAnsi="Times New Roman" w:cs="Times New Roman"/>
              </w:rPr>
            </w:pPr>
            <w:r>
              <w:rPr>
                <w:rFonts w:ascii="Times New Roman" w:hAnsi="Times New Roman" w:cs="Times New Roman"/>
              </w:rPr>
              <w:t>11</w:t>
            </w:r>
          </w:p>
        </w:tc>
        <w:tc>
          <w:tcPr>
            <w:tcW w:w="2161" w:type="dxa"/>
          </w:tcPr>
          <w:p w:rsidR="00EE2C7D" w:rsidP="00B96618" w:rsidRDefault="00EE2C7D" w14:paraId="51D8E960" w14:textId="5B6DCBFA">
            <w:pPr>
              <w:rPr>
                <w:rFonts w:ascii="Times New Roman" w:hAnsi="Times New Roman" w:cs="Times New Roman"/>
              </w:rPr>
            </w:pPr>
            <w:r>
              <w:rPr>
                <w:rFonts w:ascii="Times New Roman" w:hAnsi="Times New Roman" w:cs="Times New Roman"/>
              </w:rPr>
              <w:t>Downstream oxygenate recertification</w:t>
            </w:r>
          </w:p>
        </w:tc>
        <w:tc>
          <w:tcPr>
            <w:tcW w:w="1963" w:type="dxa"/>
          </w:tcPr>
          <w:p w:rsidR="00EE2C7D" w:rsidP="00B96618" w:rsidRDefault="00EE2C7D" w14:paraId="097DE4B7" w14:textId="77777777">
            <w:pPr>
              <w:rPr>
                <w:rFonts w:ascii="Times New Roman" w:hAnsi="Times New Roman" w:cs="Times New Roman"/>
              </w:rPr>
            </w:pPr>
          </w:p>
        </w:tc>
        <w:tc>
          <w:tcPr>
            <w:tcW w:w="4526" w:type="dxa"/>
          </w:tcPr>
          <w:p w:rsidR="00BE2278" w:rsidP="00B96618" w:rsidRDefault="00EE2C7D" w14:paraId="0307DBE0" w14:textId="183F763C">
            <w:pPr>
              <w:autoSpaceDE w:val="0"/>
              <w:autoSpaceDN w:val="0"/>
              <w:adjustRightInd w:val="0"/>
              <w:rPr>
                <w:rFonts w:ascii="Times New Roman" w:hAnsi="Times New Roman" w:cs="Times New Roman"/>
                <w:bCs/>
              </w:rPr>
            </w:pPr>
            <w:r>
              <w:rPr>
                <w:rFonts w:ascii="Times New Roman" w:hAnsi="Times New Roman" w:cs="Times New Roman"/>
                <w:b/>
                <w:bCs/>
              </w:rPr>
              <w:t>999999999999;</w:t>
            </w:r>
            <w:r w:rsidR="00581807">
              <w:rPr>
                <w:rFonts w:ascii="Times New Roman" w:hAnsi="Times New Roman" w:cs="Times New Roman"/>
                <w:b/>
                <w:bCs/>
              </w:rPr>
              <w:t xml:space="preserve"> </w:t>
            </w:r>
            <w:r w:rsidRPr="00581807" w:rsidR="00581807">
              <w:rPr>
                <w:rFonts w:ascii="Times New Roman" w:hAnsi="Times New Roman" w:cs="Times New Roman"/>
                <w:bCs/>
                <w:i/>
              </w:rPr>
              <w:t>Number.</w:t>
            </w:r>
            <w:r w:rsidR="00581807">
              <w:rPr>
                <w:rFonts w:ascii="Times New Roman" w:hAnsi="Times New Roman" w:cs="Times New Roman"/>
                <w:b/>
                <w:bCs/>
              </w:rPr>
              <w:t xml:space="preserve"> </w:t>
            </w:r>
            <w:r w:rsidRPr="00581807" w:rsidR="00581807">
              <w:rPr>
                <w:rFonts w:ascii="Times New Roman" w:hAnsi="Times New Roman" w:cs="Times New Roman"/>
                <w:bCs/>
              </w:rPr>
              <w:t xml:space="preserve">Enter </w:t>
            </w:r>
            <w:r w:rsidR="00581807">
              <w:rPr>
                <w:rFonts w:ascii="Times New Roman" w:hAnsi="Times New Roman" w:cs="Times New Roman"/>
                <w:bCs/>
              </w:rPr>
              <w:t xml:space="preserve">any </w:t>
            </w:r>
            <w:r w:rsidRPr="00581807" w:rsidR="00581807">
              <w:rPr>
                <w:rFonts w:ascii="Times New Roman" w:hAnsi="Times New Roman" w:cs="Times New Roman"/>
                <w:bCs/>
              </w:rPr>
              <w:t>deficit</w:t>
            </w:r>
            <w:r w:rsidR="00581807">
              <w:rPr>
                <w:rFonts w:ascii="Times New Roman" w:hAnsi="Times New Roman" w:cs="Times New Roman"/>
                <w:bCs/>
              </w:rPr>
              <w:t xml:space="preserve"> incurred from downstream oxygenate recertification.</w:t>
            </w:r>
          </w:p>
          <w:p w:rsidR="00B94451" w:rsidP="00B96618" w:rsidRDefault="00B94451" w14:paraId="55A7AAC5" w14:textId="77777777">
            <w:pPr>
              <w:autoSpaceDE w:val="0"/>
              <w:autoSpaceDN w:val="0"/>
              <w:adjustRightInd w:val="0"/>
              <w:rPr>
                <w:rFonts w:ascii="Times New Roman" w:hAnsi="Times New Roman" w:cs="Times New Roman"/>
                <w:bCs/>
              </w:rPr>
            </w:pPr>
          </w:p>
          <w:p w:rsidRPr="001F71F6" w:rsidR="00CD5D03" w:rsidP="00CD5D03" w:rsidRDefault="00CD5D03" w14:paraId="0779B394" w14:textId="7C81D6FB">
            <w:pPr>
              <w:ind w:left="720"/>
              <w:rPr>
                <w:rFonts w:ascii="Times New Roman" w:hAnsi="Times New Roman" w:cs="Times New Roman"/>
              </w:rPr>
            </w:pPr>
            <w:r w:rsidRPr="00657D6E">
              <w:rPr>
                <w:rFonts w:ascii="Times New Roman" w:hAnsi="Times New Roman" w:cs="Times New Roman"/>
                <w:b/>
              </w:rPr>
              <w:t>Sulfur</w:t>
            </w:r>
            <w:r w:rsidRPr="001F71F6">
              <w:rPr>
                <w:rFonts w:ascii="Times New Roman" w:hAnsi="Times New Roman" w:cs="Times New Roman"/>
              </w:rPr>
              <w:t xml:space="preserve"> – </w:t>
            </w:r>
            <w:r>
              <w:rPr>
                <w:rFonts w:ascii="Times New Roman" w:hAnsi="Times New Roman" w:cs="Times New Roman"/>
              </w:rPr>
              <w:t>In ppm-gallons, see</w:t>
            </w:r>
            <w:r w:rsidRPr="001F71F6">
              <w:rPr>
                <w:rFonts w:ascii="Times New Roman" w:hAnsi="Times New Roman" w:cs="Times New Roman"/>
              </w:rPr>
              <w:t xml:space="preserve"> </w:t>
            </w:r>
            <w:r>
              <w:rPr>
                <w:rFonts w:ascii="Times New Roman" w:hAnsi="Times New Roman" w:eastAsia="Times New Roman" w:cs="Times New Roman"/>
              </w:rPr>
              <w:t>§</w:t>
            </w:r>
            <w:r w:rsidRPr="001F71F6">
              <w:rPr>
                <w:rFonts w:ascii="Times New Roman" w:hAnsi="Times New Roman" w:cs="Times New Roman"/>
              </w:rPr>
              <w:t>1090.7</w:t>
            </w:r>
            <w:r>
              <w:rPr>
                <w:rFonts w:ascii="Times New Roman" w:hAnsi="Times New Roman" w:cs="Times New Roman"/>
              </w:rPr>
              <w:t>4</w:t>
            </w:r>
            <w:r w:rsidRPr="001F71F6">
              <w:rPr>
                <w:rFonts w:ascii="Times New Roman" w:hAnsi="Times New Roman" w:cs="Times New Roman"/>
              </w:rPr>
              <w:t>0(</w:t>
            </w:r>
            <w:r>
              <w:rPr>
                <w:rFonts w:ascii="Times New Roman" w:hAnsi="Times New Roman" w:cs="Times New Roman"/>
              </w:rPr>
              <w:t>b</w:t>
            </w:r>
            <w:r w:rsidRPr="001F71F6">
              <w:rPr>
                <w:rFonts w:ascii="Times New Roman" w:hAnsi="Times New Roman" w:cs="Times New Roman"/>
              </w:rPr>
              <w:t>)</w:t>
            </w:r>
          </w:p>
          <w:p w:rsidRPr="001F71F6" w:rsidR="00CD5D03" w:rsidP="00CD5D03" w:rsidRDefault="00CD5D03" w14:paraId="62EAE983" w14:textId="77777777">
            <w:pPr>
              <w:ind w:left="720"/>
              <w:rPr>
                <w:rFonts w:ascii="Times New Roman" w:hAnsi="Times New Roman" w:cs="Times New Roman"/>
              </w:rPr>
            </w:pPr>
          </w:p>
          <w:p w:rsidR="00BE2278" w:rsidP="00CD5D03" w:rsidRDefault="00CD5D03" w14:paraId="6DEDD858" w14:textId="46FF7F87">
            <w:pPr>
              <w:autoSpaceDE w:val="0"/>
              <w:autoSpaceDN w:val="0"/>
              <w:adjustRightInd w:val="0"/>
              <w:ind w:left="720"/>
              <w:rPr>
                <w:rFonts w:ascii="Times New Roman" w:hAnsi="Times New Roman" w:cs="Times New Roman"/>
                <w:bCs/>
              </w:rPr>
            </w:pPr>
            <w:r w:rsidRPr="00657D6E">
              <w:rPr>
                <w:rFonts w:ascii="Times New Roman" w:hAnsi="Times New Roman" w:cs="Times New Roman"/>
                <w:b/>
              </w:rPr>
              <w:t>Benzene</w:t>
            </w:r>
            <w:r w:rsidRPr="001F71F6">
              <w:rPr>
                <w:rFonts w:ascii="Times New Roman" w:hAnsi="Times New Roman" w:cs="Times New Roman"/>
              </w:rPr>
              <w:t xml:space="preserve"> – </w:t>
            </w:r>
            <w:r>
              <w:rPr>
                <w:rFonts w:ascii="Times New Roman" w:hAnsi="Times New Roman" w:cs="Times New Roman"/>
              </w:rPr>
              <w:t xml:space="preserve">In benzene gallons, see </w:t>
            </w:r>
            <w:r>
              <w:rPr>
                <w:rFonts w:ascii="Times New Roman" w:hAnsi="Times New Roman" w:eastAsia="Times New Roman" w:cs="Times New Roman"/>
              </w:rPr>
              <w:t>§</w:t>
            </w:r>
            <w:r>
              <w:rPr>
                <w:rFonts w:ascii="Times New Roman" w:hAnsi="Times New Roman" w:cs="Times New Roman"/>
              </w:rPr>
              <w:t>1090.740(a)</w:t>
            </w:r>
          </w:p>
          <w:p w:rsidRPr="00B96618" w:rsidR="00EE2C7D" w:rsidP="00B96618" w:rsidRDefault="00581807" w14:paraId="3DBBF5FB" w14:textId="5F8AE130">
            <w:pPr>
              <w:autoSpaceDE w:val="0"/>
              <w:autoSpaceDN w:val="0"/>
              <w:adjustRightInd w:val="0"/>
              <w:rPr>
                <w:rFonts w:ascii="Times New Roman" w:hAnsi="Times New Roman" w:cs="Times New Roman"/>
                <w:b/>
                <w:bCs/>
              </w:rPr>
            </w:pPr>
            <w:r w:rsidRPr="00581807">
              <w:rPr>
                <w:rFonts w:ascii="Times New Roman" w:hAnsi="Times New Roman" w:cs="Times New Roman"/>
                <w:bCs/>
              </w:rPr>
              <w:t xml:space="preserve"> </w:t>
            </w:r>
          </w:p>
        </w:tc>
      </w:tr>
      <w:tr w:rsidRPr="00A61564" w:rsidR="00B96618" w:rsidTr="226F8795" w14:paraId="21A9455F" w14:textId="77777777">
        <w:trPr>
          <w:cantSplit/>
        </w:trPr>
        <w:tc>
          <w:tcPr>
            <w:tcW w:w="700" w:type="dxa"/>
          </w:tcPr>
          <w:p w:rsidRPr="00936034" w:rsidR="00B96618" w:rsidP="00B96618" w:rsidRDefault="007C751E" w14:paraId="3FF48EBB" w14:textId="2D9586E3">
            <w:pPr>
              <w:rPr>
                <w:rFonts w:ascii="Times New Roman" w:hAnsi="Times New Roman" w:cs="Times New Roman"/>
              </w:rPr>
            </w:pPr>
            <w:r>
              <w:rPr>
                <w:rFonts w:ascii="Times New Roman" w:hAnsi="Times New Roman" w:cs="Times New Roman"/>
              </w:rPr>
              <w:t>12</w:t>
            </w:r>
          </w:p>
        </w:tc>
        <w:tc>
          <w:tcPr>
            <w:tcW w:w="2161" w:type="dxa"/>
          </w:tcPr>
          <w:p w:rsidRPr="00B96618" w:rsidR="00B96618" w:rsidP="00B96618" w:rsidRDefault="0051233F" w14:paraId="241462E5" w14:textId="58CDFAA2">
            <w:pPr>
              <w:rPr>
                <w:rFonts w:ascii="Times New Roman" w:hAnsi="Times New Roman" w:cs="Times New Roman"/>
              </w:rPr>
            </w:pPr>
            <w:r>
              <w:rPr>
                <w:rFonts w:ascii="Times New Roman" w:hAnsi="Times New Roman" w:cs="Times New Roman"/>
              </w:rPr>
              <w:t>Unadjusted Volume Weighted Average</w:t>
            </w:r>
            <w:r w:rsidRPr="00B96618" w:rsidR="00B96618">
              <w:rPr>
                <w:rFonts w:ascii="Times New Roman" w:hAnsi="Times New Roman" w:cs="Times New Roman"/>
              </w:rPr>
              <w:t xml:space="preserve"> Level</w:t>
            </w:r>
          </w:p>
        </w:tc>
        <w:tc>
          <w:tcPr>
            <w:tcW w:w="1963" w:type="dxa"/>
          </w:tcPr>
          <w:p w:rsidRPr="00B96618" w:rsidR="00B96618" w:rsidP="00B96618" w:rsidRDefault="0051233F" w14:paraId="3D229F31" w14:textId="4D7C34F7">
            <w:pPr>
              <w:rPr>
                <w:rFonts w:ascii="Times New Roman" w:hAnsi="Times New Roman" w:cs="Times New Roman"/>
              </w:rPr>
            </w:pPr>
            <w:r>
              <w:rPr>
                <w:rFonts w:ascii="Times New Roman" w:hAnsi="Times New Roman" w:cs="Times New Roman"/>
              </w:rPr>
              <w:t>p</w:t>
            </w:r>
            <w:r w:rsidRPr="00B96618" w:rsidR="00B96618">
              <w:rPr>
                <w:rFonts w:ascii="Times New Roman" w:hAnsi="Times New Roman" w:cs="Times New Roman"/>
              </w:rPr>
              <w:t>pm</w:t>
            </w:r>
            <w:r>
              <w:rPr>
                <w:rFonts w:ascii="Times New Roman" w:hAnsi="Times New Roman" w:cs="Times New Roman"/>
              </w:rPr>
              <w:t xml:space="preserve"> (for sulfur) or % volume (for benzene)</w:t>
            </w:r>
          </w:p>
        </w:tc>
        <w:tc>
          <w:tcPr>
            <w:tcW w:w="4526" w:type="dxa"/>
          </w:tcPr>
          <w:p w:rsidR="00B96618" w:rsidP="00B96618" w:rsidRDefault="00B96618" w14:paraId="4F336B8B" w14:textId="77777777">
            <w:pPr>
              <w:autoSpaceDE w:val="0"/>
              <w:autoSpaceDN w:val="0"/>
              <w:adjustRightInd w:val="0"/>
              <w:rPr>
                <w:rFonts w:ascii="Times New Roman" w:hAnsi="Times New Roman" w:cs="Times New Roman"/>
              </w:rPr>
            </w:pPr>
            <w:r w:rsidRPr="00B96618">
              <w:rPr>
                <w:rFonts w:ascii="Times New Roman" w:hAnsi="Times New Roman" w:cs="Times New Roman"/>
                <w:b/>
                <w:bCs/>
              </w:rPr>
              <w:t>9999.99</w:t>
            </w:r>
            <w:r w:rsidRPr="00B96618">
              <w:rPr>
                <w:rFonts w:ascii="Times New Roman" w:hAnsi="Times New Roman" w:cs="Times New Roman"/>
              </w:rPr>
              <w:t xml:space="preserve">; </w:t>
            </w:r>
            <w:r w:rsidRPr="00B96618">
              <w:rPr>
                <w:rFonts w:ascii="Times New Roman" w:hAnsi="Times New Roman" w:cs="Times New Roman"/>
                <w:i/>
                <w:iCs/>
              </w:rPr>
              <w:t>Number</w:t>
            </w:r>
            <w:r w:rsidRPr="00B96618">
              <w:rPr>
                <w:rFonts w:ascii="Times New Roman" w:hAnsi="Times New Roman" w:cs="Times New Roman"/>
              </w:rPr>
              <w:t>. Enter the average annual level as determined under</w:t>
            </w:r>
            <w:r w:rsidR="0051233F">
              <w:rPr>
                <w:rFonts w:ascii="Times New Roman" w:hAnsi="Times New Roman" w:cs="Times New Roman"/>
              </w:rPr>
              <w:t xml:space="preserve"> one of the following:</w:t>
            </w:r>
          </w:p>
          <w:p w:rsidR="0051233F" w:rsidP="00B96618" w:rsidRDefault="0051233F" w14:paraId="72623893" w14:textId="77777777">
            <w:pPr>
              <w:autoSpaceDE w:val="0"/>
              <w:autoSpaceDN w:val="0"/>
              <w:adjustRightInd w:val="0"/>
              <w:rPr>
                <w:rFonts w:ascii="Times New Roman" w:hAnsi="Times New Roman" w:eastAsia="Times New Roman" w:cs="Times New Roman"/>
              </w:rPr>
            </w:pPr>
          </w:p>
          <w:p w:rsidR="0051233F" w:rsidP="00250A6A" w:rsidRDefault="00415DF5" w14:paraId="0A319F29" w14:textId="0FF95819">
            <w:pPr>
              <w:autoSpaceDE w:val="0"/>
              <w:autoSpaceDN w:val="0"/>
              <w:adjustRightInd w:val="0"/>
              <w:ind w:left="720"/>
              <w:rPr>
                <w:rFonts w:ascii="Times New Roman" w:hAnsi="Times New Roman" w:eastAsia="Times New Roman" w:cs="Times New Roman"/>
              </w:rPr>
            </w:pPr>
            <w:r>
              <w:rPr>
                <w:rFonts w:ascii="Times New Roman" w:hAnsi="Times New Roman" w:eastAsia="Times New Roman" w:cs="Times New Roman"/>
              </w:rPr>
              <w:t>Annual average sulfur level</w:t>
            </w:r>
            <w:r w:rsidR="0051233F">
              <w:rPr>
                <w:rFonts w:ascii="Times New Roman" w:hAnsi="Times New Roman" w:eastAsia="Times New Roman" w:cs="Times New Roman"/>
              </w:rPr>
              <w:t xml:space="preserve"> – </w:t>
            </w:r>
            <w:r>
              <w:rPr>
                <w:rFonts w:ascii="Times New Roman" w:hAnsi="Times New Roman" w:eastAsia="Times New Roman" w:cs="Times New Roman"/>
              </w:rPr>
              <w:t xml:space="preserve">See </w:t>
            </w:r>
            <w:r w:rsidR="00EE2786">
              <w:rPr>
                <w:rFonts w:ascii="Times New Roman" w:hAnsi="Times New Roman" w:eastAsia="Times New Roman" w:cs="Times New Roman"/>
              </w:rPr>
              <w:t>§</w:t>
            </w:r>
            <w:r w:rsidR="0051233F">
              <w:rPr>
                <w:rFonts w:ascii="Times New Roman" w:hAnsi="Times New Roman" w:eastAsia="Times New Roman" w:cs="Times New Roman"/>
              </w:rPr>
              <w:t>1090.</w:t>
            </w:r>
            <w:r w:rsidR="00960E57">
              <w:rPr>
                <w:rFonts w:ascii="Times New Roman" w:hAnsi="Times New Roman" w:eastAsia="Times New Roman" w:cs="Times New Roman"/>
              </w:rPr>
              <w:t>700</w:t>
            </w:r>
            <w:r w:rsidR="00DB2875">
              <w:rPr>
                <w:rFonts w:ascii="Times New Roman" w:hAnsi="Times New Roman" w:eastAsia="Times New Roman" w:cs="Times New Roman"/>
              </w:rPr>
              <w:t>(a)(3)</w:t>
            </w:r>
            <w:r w:rsidR="00B57755">
              <w:rPr>
                <w:rFonts w:ascii="Times New Roman" w:hAnsi="Times New Roman" w:eastAsia="Times New Roman" w:cs="Times New Roman"/>
              </w:rPr>
              <w:t>(i)</w:t>
            </w:r>
            <w:r w:rsidR="00250A6A">
              <w:rPr>
                <w:rFonts w:ascii="Times New Roman" w:hAnsi="Times New Roman" w:eastAsia="Times New Roman" w:cs="Times New Roman"/>
              </w:rPr>
              <w:t xml:space="preserve"> </w:t>
            </w:r>
          </w:p>
          <w:p w:rsidR="0051233F" w:rsidP="00250A6A" w:rsidRDefault="00415DF5" w14:paraId="06CA16CE" w14:textId="461FC067">
            <w:pPr>
              <w:autoSpaceDE w:val="0"/>
              <w:autoSpaceDN w:val="0"/>
              <w:adjustRightInd w:val="0"/>
              <w:ind w:left="720"/>
              <w:rPr>
                <w:rFonts w:ascii="Times New Roman" w:hAnsi="Times New Roman" w:eastAsia="Times New Roman" w:cs="Times New Roman"/>
              </w:rPr>
            </w:pPr>
            <w:r>
              <w:rPr>
                <w:rFonts w:ascii="Times New Roman" w:hAnsi="Times New Roman" w:eastAsia="Times New Roman" w:cs="Times New Roman"/>
              </w:rPr>
              <w:t>Annual average benzene concentration</w:t>
            </w:r>
            <w:r w:rsidR="0051233F">
              <w:rPr>
                <w:rFonts w:ascii="Times New Roman" w:hAnsi="Times New Roman" w:eastAsia="Times New Roman" w:cs="Times New Roman"/>
              </w:rPr>
              <w:t xml:space="preserve"> – </w:t>
            </w:r>
            <w:r>
              <w:rPr>
                <w:rFonts w:ascii="Times New Roman" w:hAnsi="Times New Roman" w:eastAsia="Times New Roman" w:cs="Times New Roman"/>
              </w:rPr>
              <w:t xml:space="preserve">See </w:t>
            </w:r>
            <w:r w:rsidR="0043553F">
              <w:rPr>
                <w:rFonts w:ascii="Times New Roman" w:hAnsi="Times New Roman" w:eastAsia="Times New Roman" w:cs="Times New Roman"/>
              </w:rPr>
              <w:t>§</w:t>
            </w:r>
            <w:r w:rsidR="0051233F">
              <w:rPr>
                <w:rFonts w:ascii="Times New Roman" w:hAnsi="Times New Roman" w:eastAsia="Times New Roman" w:cs="Times New Roman"/>
              </w:rPr>
              <w:t>1090.</w:t>
            </w:r>
            <w:r w:rsidR="00960E57">
              <w:rPr>
                <w:rFonts w:ascii="Times New Roman" w:hAnsi="Times New Roman" w:eastAsia="Times New Roman" w:cs="Times New Roman"/>
              </w:rPr>
              <w:t>700</w:t>
            </w:r>
            <w:r w:rsidR="00250A6A">
              <w:rPr>
                <w:rFonts w:ascii="Times New Roman" w:hAnsi="Times New Roman" w:eastAsia="Times New Roman" w:cs="Times New Roman"/>
              </w:rPr>
              <w:t>(</w:t>
            </w:r>
            <w:r>
              <w:rPr>
                <w:rFonts w:ascii="Times New Roman" w:hAnsi="Times New Roman" w:eastAsia="Times New Roman" w:cs="Times New Roman"/>
              </w:rPr>
              <w:t>b)(3)</w:t>
            </w:r>
          </w:p>
          <w:p w:rsidRPr="00B96618" w:rsidR="0051233F" w:rsidP="00B96618" w:rsidRDefault="0051233F" w14:paraId="7441F6E3" w14:textId="11D72C45">
            <w:pPr>
              <w:autoSpaceDE w:val="0"/>
              <w:autoSpaceDN w:val="0"/>
              <w:adjustRightInd w:val="0"/>
              <w:rPr>
                <w:rFonts w:ascii="Times New Roman" w:hAnsi="Times New Roman" w:eastAsia="Times New Roman" w:cs="Times New Roman"/>
              </w:rPr>
            </w:pPr>
          </w:p>
        </w:tc>
      </w:tr>
      <w:tr w:rsidRPr="00A61564" w:rsidR="00B96618" w:rsidTr="226F8795" w14:paraId="4DC20BEC" w14:textId="77777777">
        <w:trPr>
          <w:cantSplit/>
        </w:trPr>
        <w:tc>
          <w:tcPr>
            <w:tcW w:w="700" w:type="dxa"/>
          </w:tcPr>
          <w:p w:rsidRPr="00B750B8" w:rsidR="00B96618" w:rsidP="00B96618" w:rsidRDefault="007C751E" w14:paraId="02B33EF4" w14:textId="4816CBCE">
            <w:pPr>
              <w:rPr>
                <w:rFonts w:ascii="Times New Roman" w:hAnsi="Times New Roman" w:cs="Times New Roman"/>
              </w:rPr>
            </w:pPr>
            <w:r>
              <w:rPr>
                <w:rFonts w:ascii="Times New Roman" w:hAnsi="Times New Roman" w:cs="Times New Roman"/>
              </w:rPr>
              <w:lastRenderedPageBreak/>
              <w:t>13</w:t>
            </w:r>
          </w:p>
        </w:tc>
        <w:tc>
          <w:tcPr>
            <w:tcW w:w="2161" w:type="dxa"/>
          </w:tcPr>
          <w:p w:rsidRPr="00B96618" w:rsidR="00B96618" w:rsidP="003830FC" w:rsidRDefault="00B57755" w14:paraId="3182C04D" w14:textId="0CB7492F">
            <w:pPr>
              <w:autoSpaceDE w:val="0"/>
              <w:autoSpaceDN w:val="0"/>
              <w:adjustRightInd w:val="0"/>
              <w:rPr>
                <w:rFonts w:ascii="Times New Roman" w:hAnsi="Times New Roman" w:cs="Times New Roman"/>
              </w:rPr>
            </w:pPr>
            <w:r>
              <w:rPr>
                <w:rFonts w:ascii="Times New Roman" w:hAnsi="Times New Roman" w:cs="Times New Roman"/>
              </w:rPr>
              <w:t>Net</w:t>
            </w:r>
            <w:r w:rsidR="003830FC">
              <w:rPr>
                <w:rFonts w:ascii="Times New Roman" w:hAnsi="Times New Roman" w:cs="Times New Roman"/>
              </w:rPr>
              <w:t xml:space="preserve"> Annual Average</w:t>
            </w:r>
            <w:r w:rsidRPr="00B96618" w:rsidR="00B96618">
              <w:rPr>
                <w:rFonts w:ascii="Times New Roman" w:hAnsi="Times New Roman" w:cs="Times New Roman"/>
              </w:rPr>
              <w:t xml:space="preserve"> Level</w:t>
            </w:r>
          </w:p>
        </w:tc>
        <w:tc>
          <w:tcPr>
            <w:tcW w:w="1963" w:type="dxa"/>
          </w:tcPr>
          <w:p w:rsidRPr="00B96618" w:rsidR="00B96618" w:rsidP="00B96618" w:rsidRDefault="005F4290" w14:paraId="00182385" w14:textId="7925155F">
            <w:pPr>
              <w:rPr>
                <w:rFonts w:ascii="Times New Roman" w:hAnsi="Times New Roman" w:cs="Times New Roman"/>
              </w:rPr>
            </w:pPr>
            <w:r>
              <w:rPr>
                <w:rFonts w:ascii="Times New Roman" w:hAnsi="Times New Roman" w:cs="Times New Roman"/>
              </w:rPr>
              <w:t>p</w:t>
            </w:r>
            <w:r w:rsidRPr="00B96618">
              <w:rPr>
                <w:rFonts w:ascii="Times New Roman" w:hAnsi="Times New Roman" w:cs="Times New Roman"/>
              </w:rPr>
              <w:t>pm</w:t>
            </w:r>
            <w:r>
              <w:rPr>
                <w:rFonts w:ascii="Times New Roman" w:hAnsi="Times New Roman" w:cs="Times New Roman"/>
              </w:rPr>
              <w:t xml:space="preserve"> (for sulfur) or % volume (for benzene)</w:t>
            </w:r>
          </w:p>
        </w:tc>
        <w:tc>
          <w:tcPr>
            <w:tcW w:w="4526" w:type="dxa"/>
          </w:tcPr>
          <w:p w:rsidR="00B57755" w:rsidP="00B96618" w:rsidRDefault="00B96618" w14:paraId="526148BD" w14:textId="77777777">
            <w:pPr>
              <w:autoSpaceDE w:val="0"/>
              <w:autoSpaceDN w:val="0"/>
              <w:adjustRightInd w:val="0"/>
              <w:rPr>
                <w:rFonts w:ascii="Times New Roman" w:hAnsi="Times New Roman" w:cs="Times New Roman"/>
              </w:rPr>
            </w:pPr>
            <w:r w:rsidRPr="00B96618">
              <w:rPr>
                <w:rFonts w:ascii="Times New Roman" w:hAnsi="Times New Roman" w:cs="Times New Roman"/>
                <w:b/>
                <w:bCs/>
              </w:rPr>
              <w:t>9999.99</w:t>
            </w:r>
            <w:r w:rsidRPr="00B96618">
              <w:rPr>
                <w:rFonts w:ascii="Times New Roman" w:hAnsi="Times New Roman" w:cs="Times New Roman"/>
              </w:rPr>
              <w:t xml:space="preserve">; </w:t>
            </w:r>
            <w:r w:rsidRPr="00B96618">
              <w:rPr>
                <w:rFonts w:ascii="Times New Roman" w:hAnsi="Times New Roman" w:cs="Times New Roman"/>
                <w:i/>
                <w:iCs/>
              </w:rPr>
              <w:t>Number</w:t>
            </w:r>
            <w:r w:rsidRPr="00B96618">
              <w:rPr>
                <w:rFonts w:ascii="Times New Roman" w:hAnsi="Times New Roman" w:cs="Times New Roman"/>
              </w:rPr>
              <w:t xml:space="preserve">. Enter the </w:t>
            </w:r>
            <w:r w:rsidR="00B57755">
              <w:rPr>
                <w:rFonts w:ascii="Times New Roman" w:hAnsi="Times New Roman" w:cs="Times New Roman"/>
              </w:rPr>
              <w:t>net</w:t>
            </w:r>
            <w:r w:rsidRPr="00B96618">
              <w:rPr>
                <w:rFonts w:ascii="Times New Roman" w:hAnsi="Times New Roman" w:cs="Times New Roman"/>
              </w:rPr>
              <w:t xml:space="preserve"> annual </w:t>
            </w:r>
            <w:r w:rsidR="00B57755">
              <w:rPr>
                <w:rFonts w:ascii="Times New Roman" w:hAnsi="Times New Roman" w:cs="Times New Roman"/>
              </w:rPr>
              <w:t>average</w:t>
            </w:r>
            <w:r w:rsidRPr="00B96618">
              <w:rPr>
                <w:rFonts w:ascii="Times New Roman" w:hAnsi="Times New Roman" w:cs="Times New Roman"/>
              </w:rPr>
              <w:t xml:space="preserve"> level after applying credits</w:t>
            </w:r>
            <w:r w:rsidR="003830FC">
              <w:rPr>
                <w:rFonts w:ascii="Times New Roman" w:hAnsi="Times New Roman" w:cs="Times New Roman"/>
              </w:rPr>
              <w:t xml:space="preserve"> retired for annual compliance</w:t>
            </w:r>
            <w:r w:rsidR="00B57755">
              <w:rPr>
                <w:rFonts w:ascii="Times New Roman" w:hAnsi="Times New Roman" w:cs="Times New Roman"/>
              </w:rPr>
              <w:t>.</w:t>
            </w:r>
          </w:p>
          <w:p w:rsidR="00B57755" w:rsidP="00B96618" w:rsidRDefault="00B57755" w14:paraId="4E62E175" w14:textId="77777777">
            <w:pPr>
              <w:autoSpaceDE w:val="0"/>
              <w:autoSpaceDN w:val="0"/>
              <w:adjustRightInd w:val="0"/>
              <w:rPr>
                <w:rFonts w:ascii="Times New Roman" w:hAnsi="Times New Roman" w:cs="Times New Roman"/>
              </w:rPr>
            </w:pPr>
          </w:p>
          <w:p w:rsidR="00B57755" w:rsidP="00B57755" w:rsidRDefault="00B57755" w14:paraId="65AA0E45" w14:textId="77777777">
            <w:pPr>
              <w:autoSpaceDE w:val="0"/>
              <w:autoSpaceDN w:val="0"/>
              <w:adjustRightInd w:val="0"/>
              <w:rPr>
                <w:rFonts w:ascii="Times New Roman" w:hAnsi="Times New Roman" w:eastAsia="Times New Roman" w:cs="Times New Roman"/>
              </w:rPr>
            </w:pPr>
          </w:p>
          <w:p w:rsidR="00B57755" w:rsidP="00B57755" w:rsidRDefault="00B57755" w14:paraId="47F262B4" w14:textId="1492354D">
            <w:pPr>
              <w:autoSpaceDE w:val="0"/>
              <w:autoSpaceDN w:val="0"/>
              <w:adjustRightInd w:val="0"/>
              <w:ind w:left="720"/>
              <w:rPr>
                <w:rFonts w:ascii="Times New Roman" w:hAnsi="Times New Roman" w:eastAsia="Times New Roman" w:cs="Times New Roman"/>
              </w:rPr>
            </w:pPr>
            <w:r>
              <w:rPr>
                <w:rFonts w:ascii="Times New Roman" w:hAnsi="Times New Roman" w:eastAsia="Times New Roman" w:cs="Times New Roman"/>
              </w:rPr>
              <w:t>Annual average sulfur level – See §1090.700(a)(3)(ii)</w:t>
            </w:r>
          </w:p>
          <w:p w:rsidR="00B57755" w:rsidP="00B57755" w:rsidRDefault="00B57755" w14:paraId="38C173F9" w14:textId="1E1E195C">
            <w:pPr>
              <w:autoSpaceDE w:val="0"/>
              <w:autoSpaceDN w:val="0"/>
              <w:adjustRightInd w:val="0"/>
              <w:ind w:left="720"/>
              <w:rPr>
                <w:rFonts w:ascii="Times New Roman" w:hAnsi="Times New Roman" w:eastAsia="Times New Roman" w:cs="Times New Roman"/>
              </w:rPr>
            </w:pPr>
            <w:r>
              <w:rPr>
                <w:rFonts w:ascii="Times New Roman" w:hAnsi="Times New Roman" w:eastAsia="Times New Roman" w:cs="Times New Roman"/>
              </w:rPr>
              <w:t>Annual average benzene concentration – See §1090.700(b)(4)</w:t>
            </w:r>
          </w:p>
          <w:p w:rsidRPr="00B96618" w:rsidR="00B96618" w:rsidP="00B96618" w:rsidRDefault="00B96618" w14:paraId="39174BC1" w14:textId="4C07E35C">
            <w:pPr>
              <w:autoSpaceDE w:val="0"/>
              <w:autoSpaceDN w:val="0"/>
              <w:adjustRightInd w:val="0"/>
              <w:rPr>
                <w:rFonts w:ascii="Times New Roman" w:hAnsi="Times New Roman" w:cs="Times New Roman"/>
                <w:b/>
              </w:rPr>
            </w:pPr>
          </w:p>
        </w:tc>
      </w:tr>
      <w:tr w:rsidRPr="00A61564" w:rsidR="00D15897" w:rsidTr="226F8795" w14:paraId="0362E6D0" w14:textId="77777777">
        <w:trPr>
          <w:cantSplit/>
        </w:trPr>
        <w:tc>
          <w:tcPr>
            <w:tcW w:w="700" w:type="dxa"/>
            <w:shd w:val="clear" w:color="auto" w:fill="auto"/>
          </w:tcPr>
          <w:p w:rsidRPr="001F71F6" w:rsidR="00D15897" w:rsidP="00AC1536" w:rsidRDefault="007C751E" w14:paraId="3CA54513" w14:textId="16733483">
            <w:pPr>
              <w:rPr>
                <w:rFonts w:ascii="Times New Roman" w:hAnsi="Times New Roman" w:cs="Times New Roman"/>
              </w:rPr>
            </w:pPr>
            <w:r>
              <w:rPr>
                <w:rFonts w:ascii="Times New Roman" w:hAnsi="Times New Roman" w:cs="Times New Roman"/>
              </w:rPr>
              <w:t>14</w:t>
            </w:r>
          </w:p>
        </w:tc>
        <w:tc>
          <w:tcPr>
            <w:tcW w:w="2161" w:type="dxa"/>
            <w:shd w:val="clear" w:color="auto" w:fill="auto"/>
          </w:tcPr>
          <w:p w:rsidRPr="001F71F6" w:rsidR="00D15897" w:rsidP="00AC1536" w:rsidRDefault="00D15897" w14:paraId="2B57C0F8" w14:textId="77777777">
            <w:pPr>
              <w:rPr>
                <w:rFonts w:ascii="Times New Roman" w:hAnsi="Times New Roman" w:cs="Times New Roman"/>
              </w:rPr>
            </w:pPr>
            <w:r w:rsidRPr="001F71F6">
              <w:rPr>
                <w:rFonts w:ascii="Times New Roman" w:hAnsi="Times New Roman" w:cs="Times New Roman"/>
              </w:rPr>
              <w:t>Calculated Compliance Value</w:t>
            </w:r>
          </w:p>
        </w:tc>
        <w:tc>
          <w:tcPr>
            <w:tcW w:w="1963" w:type="dxa"/>
            <w:shd w:val="clear" w:color="auto" w:fill="auto"/>
          </w:tcPr>
          <w:p w:rsidRPr="001F71F6" w:rsidR="00D15897" w:rsidP="00AC1536" w:rsidRDefault="00D15897" w14:paraId="6092C67B" w14:textId="77777777">
            <w:pPr>
              <w:rPr>
                <w:rFonts w:ascii="Times New Roman" w:hAnsi="Times New Roman" w:cs="Times New Roman"/>
              </w:rPr>
            </w:pPr>
          </w:p>
        </w:tc>
        <w:tc>
          <w:tcPr>
            <w:tcW w:w="4526" w:type="dxa"/>
            <w:shd w:val="clear" w:color="auto" w:fill="auto"/>
          </w:tcPr>
          <w:p w:rsidR="00D15897" w:rsidP="00AC1536" w:rsidRDefault="00D15897" w14:paraId="0627489B" w14:textId="77777777">
            <w:pPr>
              <w:rPr>
                <w:rFonts w:ascii="Times New Roman" w:hAnsi="Times New Roman" w:cs="Times New Roman"/>
              </w:rPr>
            </w:pPr>
            <w:r w:rsidRPr="00250A6A">
              <w:rPr>
                <w:rFonts w:ascii="Times New Roman" w:hAnsi="Times New Roman" w:cs="Times New Roman"/>
                <w:b/>
              </w:rPr>
              <w:t>9999999999</w:t>
            </w:r>
            <w:r>
              <w:rPr>
                <w:rFonts w:ascii="Times New Roman" w:hAnsi="Times New Roman" w:cs="Times New Roman"/>
              </w:rPr>
              <w:t xml:space="preserve">; </w:t>
            </w:r>
            <w:r w:rsidRPr="00250A6A">
              <w:rPr>
                <w:rFonts w:ascii="Times New Roman" w:hAnsi="Times New Roman" w:cs="Times New Roman"/>
                <w:i/>
              </w:rPr>
              <w:t>Number</w:t>
            </w:r>
            <w:r>
              <w:rPr>
                <w:rFonts w:ascii="Times New Roman" w:hAnsi="Times New Roman" w:cs="Times New Roman"/>
              </w:rPr>
              <w:t>. Enter the calculated compliance valu</w:t>
            </w:r>
            <w:r w:rsidR="005B32B2">
              <w:rPr>
                <w:rFonts w:ascii="Times New Roman" w:hAnsi="Times New Roman" w:cs="Times New Roman"/>
              </w:rPr>
              <w:t>e</w:t>
            </w:r>
            <w:r>
              <w:rPr>
                <w:rFonts w:ascii="Times New Roman" w:hAnsi="Times New Roman" w:cs="Times New Roman"/>
              </w:rPr>
              <w:t>.</w:t>
            </w:r>
          </w:p>
          <w:p w:rsidR="005B32B2" w:rsidP="00AC1536" w:rsidRDefault="005B32B2" w14:paraId="58689D12" w14:textId="77777777">
            <w:pPr>
              <w:rPr>
                <w:rFonts w:ascii="Times New Roman" w:hAnsi="Times New Roman" w:cs="Times New Roman"/>
              </w:rPr>
            </w:pPr>
          </w:p>
          <w:p w:rsidR="005B32B2" w:rsidP="005B32B2" w:rsidRDefault="005B32B2" w14:paraId="405EA650" w14:textId="7DD48CA8">
            <w:pPr>
              <w:autoSpaceDE w:val="0"/>
              <w:autoSpaceDN w:val="0"/>
              <w:adjustRightInd w:val="0"/>
              <w:ind w:left="720"/>
              <w:rPr>
                <w:rFonts w:ascii="Times New Roman" w:hAnsi="Times New Roman" w:cs="Times New Roman"/>
                <w:bCs/>
              </w:rPr>
            </w:pPr>
            <w:r w:rsidRPr="00E50B75">
              <w:rPr>
                <w:rFonts w:ascii="Times New Roman" w:hAnsi="Times New Roman" w:cs="Times New Roman"/>
                <w:bCs/>
              </w:rPr>
              <w:t xml:space="preserve">Sulfur deficit value </w:t>
            </w:r>
            <w:r>
              <w:rPr>
                <w:rFonts w:ascii="Times New Roman" w:hAnsi="Times New Roman" w:cs="Times New Roman"/>
                <w:bCs/>
              </w:rPr>
              <w:t>–</w:t>
            </w:r>
            <w:r w:rsidRPr="00E50B75">
              <w:rPr>
                <w:rFonts w:ascii="Times New Roman" w:hAnsi="Times New Roman" w:cs="Times New Roman"/>
                <w:bCs/>
              </w:rPr>
              <w:t xml:space="preserve"> </w:t>
            </w:r>
            <w:r>
              <w:rPr>
                <w:rFonts w:ascii="Times New Roman" w:hAnsi="Times New Roman" w:cs="Times New Roman"/>
                <w:bCs/>
              </w:rPr>
              <w:t>Entered as ppm-gallons, see 1090.700(a)(1)</w:t>
            </w:r>
          </w:p>
          <w:p w:rsidR="005B32B2" w:rsidP="005B32B2" w:rsidRDefault="005B32B2" w14:paraId="110BBC53" w14:textId="1C62288D">
            <w:pPr>
              <w:ind w:left="720"/>
              <w:rPr>
                <w:rFonts w:ascii="Times New Roman" w:hAnsi="Times New Roman" w:cs="Times New Roman"/>
                <w:bCs/>
              </w:rPr>
            </w:pPr>
            <w:r>
              <w:rPr>
                <w:rFonts w:ascii="Times New Roman" w:hAnsi="Times New Roman" w:cs="Times New Roman"/>
                <w:bCs/>
              </w:rPr>
              <w:t>Benzene deficit value – Entered as benzene gallons, see 1090.700(b)(</w:t>
            </w:r>
            <w:r w:rsidR="00B57755">
              <w:rPr>
                <w:rFonts w:ascii="Times New Roman" w:hAnsi="Times New Roman" w:cs="Times New Roman"/>
                <w:bCs/>
              </w:rPr>
              <w:t>1</w:t>
            </w:r>
            <w:r>
              <w:rPr>
                <w:rFonts w:ascii="Times New Roman" w:hAnsi="Times New Roman" w:cs="Times New Roman"/>
                <w:bCs/>
              </w:rPr>
              <w:t>)</w:t>
            </w:r>
          </w:p>
          <w:p w:rsidRPr="001F71F6" w:rsidR="005B32B2" w:rsidP="005B32B2" w:rsidRDefault="005B32B2" w14:paraId="79D53519" w14:textId="66E8EE52">
            <w:pPr>
              <w:rPr>
                <w:rFonts w:ascii="Times New Roman" w:hAnsi="Times New Roman" w:cs="Times New Roman"/>
              </w:rPr>
            </w:pPr>
          </w:p>
        </w:tc>
      </w:tr>
      <w:tr w:rsidRPr="00A61564" w:rsidR="0042651F" w:rsidTr="226F8795" w14:paraId="53E43A55" w14:textId="77777777">
        <w:trPr>
          <w:cantSplit/>
        </w:trPr>
        <w:tc>
          <w:tcPr>
            <w:tcW w:w="700" w:type="dxa"/>
          </w:tcPr>
          <w:p w:rsidRPr="00B750B8" w:rsidR="0042651F" w:rsidP="00B96618" w:rsidRDefault="007C751E" w14:paraId="1D7A8162" w14:textId="402C65D8">
            <w:pPr>
              <w:rPr>
                <w:rFonts w:ascii="Times New Roman" w:hAnsi="Times New Roman" w:cs="Times New Roman"/>
              </w:rPr>
            </w:pPr>
            <w:r>
              <w:rPr>
                <w:rFonts w:ascii="Times New Roman" w:hAnsi="Times New Roman" w:cs="Times New Roman"/>
              </w:rPr>
              <w:t>15</w:t>
            </w:r>
          </w:p>
        </w:tc>
        <w:tc>
          <w:tcPr>
            <w:tcW w:w="2161" w:type="dxa"/>
          </w:tcPr>
          <w:p w:rsidRPr="00B96618" w:rsidR="0042651F" w:rsidP="00B96618" w:rsidRDefault="00866BA0" w14:paraId="7FC25D12" w14:textId="08ACC277">
            <w:pPr>
              <w:pStyle w:val="NormalWeb"/>
              <w:rPr>
                <w:sz w:val="22"/>
                <w:szCs w:val="22"/>
              </w:rPr>
            </w:pPr>
            <w:r>
              <w:rPr>
                <w:sz w:val="22"/>
                <w:szCs w:val="22"/>
              </w:rPr>
              <w:t>Deficit</w:t>
            </w:r>
          </w:p>
        </w:tc>
        <w:tc>
          <w:tcPr>
            <w:tcW w:w="1963" w:type="dxa"/>
          </w:tcPr>
          <w:p w:rsidRPr="00B96618" w:rsidR="0042651F" w:rsidP="00B96618" w:rsidRDefault="0042651F" w14:paraId="5E797EE3" w14:textId="77777777">
            <w:pPr>
              <w:rPr>
                <w:rFonts w:ascii="Times New Roman" w:hAnsi="Times New Roman" w:cs="Times New Roman"/>
              </w:rPr>
            </w:pPr>
          </w:p>
        </w:tc>
        <w:tc>
          <w:tcPr>
            <w:tcW w:w="4526" w:type="dxa"/>
          </w:tcPr>
          <w:p w:rsidR="0042651F" w:rsidP="00B96618" w:rsidRDefault="00866BA0" w14:paraId="52E9B0B9" w14:textId="68927ACE">
            <w:pPr>
              <w:autoSpaceDE w:val="0"/>
              <w:autoSpaceDN w:val="0"/>
              <w:adjustRightInd w:val="0"/>
              <w:rPr>
                <w:rFonts w:ascii="Times New Roman" w:hAnsi="Times New Roman" w:cs="Times New Roman"/>
              </w:rPr>
            </w:pPr>
            <w:r w:rsidRPr="00B96618">
              <w:rPr>
                <w:rFonts w:ascii="Times New Roman" w:hAnsi="Times New Roman" w:cs="Times New Roman"/>
                <w:b/>
                <w:bCs/>
              </w:rPr>
              <w:t>999999999999</w:t>
            </w:r>
            <w:r w:rsidRPr="00B96618">
              <w:rPr>
                <w:rFonts w:ascii="Times New Roman" w:hAnsi="Times New Roman" w:cs="Times New Roman"/>
              </w:rPr>
              <w:t xml:space="preserve">; </w:t>
            </w:r>
            <w:r w:rsidRPr="00B96618">
              <w:rPr>
                <w:rFonts w:ascii="Times New Roman" w:hAnsi="Times New Roman" w:cs="Times New Roman"/>
                <w:i/>
                <w:iCs/>
              </w:rPr>
              <w:t>Number</w:t>
            </w:r>
            <w:r w:rsidRPr="00B96618">
              <w:rPr>
                <w:rFonts w:ascii="Times New Roman" w:hAnsi="Times New Roman" w:cs="Times New Roman"/>
              </w:rPr>
              <w:t>.</w:t>
            </w:r>
            <w:r w:rsidR="00654778">
              <w:rPr>
                <w:rFonts w:ascii="Times New Roman" w:hAnsi="Times New Roman" w:cs="Times New Roman"/>
              </w:rPr>
              <w:t xml:space="preserve"> Enter any deficit to be carried over into the next compliance period.</w:t>
            </w:r>
          </w:p>
          <w:p w:rsidR="00E50B75" w:rsidP="00B96618" w:rsidRDefault="00E50B75" w14:paraId="72F747C4" w14:textId="77777777">
            <w:pPr>
              <w:autoSpaceDE w:val="0"/>
              <w:autoSpaceDN w:val="0"/>
              <w:adjustRightInd w:val="0"/>
              <w:rPr>
                <w:rFonts w:ascii="Times New Roman" w:hAnsi="Times New Roman" w:cs="Times New Roman"/>
                <w:b/>
                <w:bCs/>
              </w:rPr>
            </w:pPr>
          </w:p>
          <w:p w:rsidR="00E50B75" w:rsidP="00142218" w:rsidRDefault="00E50B75" w14:paraId="4876FE12" w14:textId="2D5E3F13">
            <w:pPr>
              <w:autoSpaceDE w:val="0"/>
              <w:autoSpaceDN w:val="0"/>
              <w:adjustRightInd w:val="0"/>
              <w:ind w:left="720"/>
              <w:rPr>
                <w:rFonts w:ascii="Times New Roman" w:hAnsi="Times New Roman" w:cs="Times New Roman"/>
                <w:bCs/>
              </w:rPr>
            </w:pPr>
            <w:r w:rsidRPr="00E50B75">
              <w:rPr>
                <w:rFonts w:ascii="Times New Roman" w:hAnsi="Times New Roman" w:cs="Times New Roman"/>
                <w:bCs/>
              </w:rPr>
              <w:t xml:space="preserve">Sulfur deficit value </w:t>
            </w:r>
            <w:r>
              <w:rPr>
                <w:rFonts w:ascii="Times New Roman" w:hAnsi="Times New Roman" w:cs="Times New Roman"/>
                <w:bCs/>
              </w:rPr>
              <w:t>–</w:t>
            </w:r>
            <w:r w:rsidRPr="00E50B75">
              <w:rPr>
                <w:rFonts w:ascii="Times New Roman" w:hAnsi="Times New Roman" w:cs="Times New Roman"/>
                <w:bCs/>
              </w:rPr>
              <w:t xml:space="preserve"> </w:t>
            </w:r>
            <w:r>
              <w:rPr>
                <w:rFonts w:ascii="Times New Roman" w:hAnsi="Times New Roman" w:cs="Times New Roman"/>
                <w:bCs/>
              </w:rPr>
              <w:t>Entered as ppm-gallons, see 1090.700(a)(2)</w:t>
            </w:r>
          </w:p>
          <w:p w:rsidR="00E50B75" w:rsidP="00142218" w:rsidRDefault="00E50B75" w14:paraId="4755A81D" w14:textId="77777777">
            <w:pPr>
              <w:autoSpaceDE w:val="0"/>
              <w:autoSpaceDN w:val="0"/>
              <w:adjustRightInd w:val="0"/>
              <w:ind w:left="720"/>
              <w:rPr>
                <w:rFonts w:ascii="Times New Roman" w:hAnsi="Times New Roman" w:cs="Times New Roman"/>
                <w:bCs/>
              </w:rPr>
            </w:pPr>
            <w:r>
              <w:rPr>
                <w:rFonts w:ascii="Times New Roman" w:hAnsi="Times New Roman" w:cs="Times New Roman"/>
                <w:bCs/>
              </w:rPr>
              <w:t>Benzene deficit value – Entered as benzene gallons, see 1090.700(b)(2)(iii)</w:t>
            </w:r>
          </w:p>
          <w:p w:rsidRPr="00E50B75" w:rsidR="00983BB7" w:rsidP="00142218" w:rsidRDefault="00983BB7" w14:paraId="7605B456" w14:textId="11F38C2F">
            <w:pPr>
              <w:autoSpaceDE w:val="0"/>
              <w:autoSpaceDN w:val="0"/>
              <w:adjustRightInd w:val="0"/>
              <w:ind w:left="720"/>
              <w:rPr>
                <w:rFonts w:ascii="Times New Roman" w:hAnsi="Times New Roman" w:cs="Times New Roman"/>
                <w:bCs/>
              </w:rPr>
            </w:pPr>
          </w:p>
        </w:tc>
      </w:tr>
      <w:tr w:rsidRPr="00A61564" w:rsidR="0042651F" w:rsidTr="226F8795" w14:paraId="380C9EAC" w14:textId="77777777">
        <w:trPr>
          <w:cantSplit/>
        </w:trPr>
        <w:tc>
          <w:tcPr>
            <w:tcW w:w="700" w:type="dxa"/>
          </w:tcPr>
          <w:p w:rsidR="0042651F" w:rsidP="00B96618" w:rsidRDefault="007C751E" w14:paraId="2909E27D" w14:textId="32FDA77F">
            <w:pPr>
              <w:rPr>
                <w:rFonts w:ascii="Times New Roman" w:hAnsi="Times New Roman" w:cs="Times New Roman"/>
              </w:rPr>
            </w:pPr>
            <w:r>
              <w:rPr>
                <w:rFonts w:ascii="Times New Roman" w:hAnsi="Times New Roman" w:cs="Times New Roman"/>
              </w:rPr>
              <w:t>16</w:t>
            </w:r>
          </w:p>
        </w:tc>
        <w:tc>
          <w:tcPr>
            <w:tcW w:w="2161" w:type="dxa"/>
          </w:tcPr>
          <w:p w:rsidRPr="00B96618" w:rsidR="0042651F" w:rsidP="00B96618" w:rsidRDefault="00A52484" w14:paraId="7B42ABF3" w14:textId="3BDA9A6F">
            <w:pPr>
              <w:pStyle w:val="NormalWeb"/>
              <w:rPr>
                <w:sz w:val="22"/>
                <w:szCs w:val="22"/>
              </w:rPr>
            </w:pPr>
            <w:r>
              <w:rPr>
                <w:sz w:val="22"/>
                <w:szCs w:val="22"/>
              </w:rPr>
              <w:t>Comments</w:t>
            </w:r>
          </w:p>
        </w:tc>
        <w:tc>
          <w:tcPr>
            <w:tcW w:w="1963" w:type="dxa"/>
          </w:tcPr>
          <w:p w:rsidRPr="00B96618" w:rsidR="0042651F" w:rsidP="00B96618" w:rsidRDefault="0042651F" w14:paraId="47CB819D" w14:textId="77777777">
            <w:pPr>
              <w:rPr>
                <w:rFonts w:ascii="Times New Roman" w:hAnsi="Times New Roman" w:cs="Times New Roman"/>
              </w:rPr>
            </w:pPr>
          </w:p>
        </w:tc>
        <w:tc>
          <w:tcPr>
            <w:tcW w:w="4526" w:type="dxa"/>
          </w:tcPr>
          <w:p w:rsidRPr="00657D6E" w:rsidR="0042651F" w:rsidP="00B96618" w:rsidRDefault="00A52484" w14:paraId="65383315" w14:textId="4FDC791F">
            <w:pPr>
              <w:autoSpaceDE w:val="0"/>
              <w:autoSpaceDN w:val="0"/>
              <w:adjustRightInd w:val="0"/>
              <w:rPr>
                <w:rFonts w:ascii="Times New Roman" w:hAnsi="Times New Roman" w:cs="Times New Roman"/>
                <w:bCs/>
              </w:rPr>
            </w:pPr>
            <w:r>
              <w:rPr>
                <w:rFonts w:ascii="Times New Roman" w:hAnsi="Times New Roman" w:cs="Times New Roman"/>
                <w:b/>
                <w:bCs/>
              </w:rPr>
              <w:t xml:space="preserve">AAAAA; </w:t>
            </w:r>
            <w:r>
              <w:rPr>
                <w:rFonts w:ascii="Times New Roman" w:hAnsi="Times New Roman" w:cs="Times New Roman"/>
                <w:bCs/>
                <w:i/>
              </w:rPr>
              <w:t xml:space="preserve">Character. </w:t>
            </w:r>
            <w:r w:rsidRPr="00657D6E" w:rsidR="00657D6E">
              <w:rPr>
                <w:rFonts w:ascii="Times New Roman" w:hAnsi="Times New Roman" w:cs="Times New Roman"/>
                <w:bCs/>
              </w:rPr>
              <w:t>Optional</w:t>
            </w:r>
            <w:r w:rsidR="00657D6E">
              <w:rPr>
                <w:rFonts w:ascii="Times New Roman" w:hAnsi="Times New Roman" w:cs="Times New Roman"/>
                <w:bCs/>
                <w:i/>
              </w:rPr>
              <w:t xml:space="preserve">, </w:t>
            </w:r>
            <w:r w:rsidR="00657D6E">
              <w:rPr>
                <w:rFonts w:ascii="Times New Roman" w:hAnsi="Times New Roman" w:cs="Times New Roman"/>
                <w:bCs/>
              </w:rPr>
              <w:t>enter any comments associated with this report.</w:t>
            </w:r>
          </w:p>
        </w:tc>
      </w:tr>
    </w:tbl>
    <w:p w:rsidR="00E711E4" w:rsidP="000F3896" w:rsidRDefault="00E711E4" w14:paraId="41649E0B" w14:textId="77777777">
      <w:pPr>
        <w:jc w:val="center"/>
        <w:rPr>
          <w:rFonts w:ascii="Times New Roman" w:hAnsi="Times New Roman" w:cs="Times New Roman"/>
          <w:u w:val="single"/>
        </w:rPr>
      </w:pPr>
    </w:p>
    <w:p w:rsidRPr="0058788E" w:rsidR="000F3896" w:rsidP="000F3896" w:rsidRDefault="000F3896" w14:paraId="7E19431A" w14:textId="7EEC1167">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0F3896" w14:paraId="0CB78853" w14:textId="25845970">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Pr="0058788E" w:rsidR="000F38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926A3" w14:textId="77777777" w:rsidR="00FC7E2C" w:rsidRDefault="00FC7E2C" w:rsidP="002E00A0">
      <w:pPr>
        <w:spacing w:after="0" w:line="240" w:lineRule="auto"/>
      </w:pPr>
      <w:r>
        <w:separator/>
      </w:r>
    </w:p>
  </w:endnote>
  <w:endnote w:type="continuationSeparator" w:id="0">
    <w:p w14:paraId="0C526252" w14:textId="77777777" w:rsidR="00FC7E2C" w:rsidRDefault="00FC7E2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6336" w14:textId="77777777" w:rsidR="00611BD5" w:rsidRDefault="00611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168815"/>
      <w:docPartObj>
        <w:docPartGallery w:val="Page Numbers (Bottom of Page)"/>
        <w:docPartUnique/>
      </w:docPartObj>
    </w:sdtPr>
    <w:sdtEndPr/>
    <w:sdtContent>
      <w:sdt>
        <w:sdtPr>
          <w:id w:val="1728636285"/>
          <w:docPartObj>
            <w:docPartGallery w:val="Page Numbers (Top of Page)"/>
            <w:docPartUnique/>
          </w:docPartObj>
        </w:sdtPr>
        <w:sdtEndPr/>
        <w:sdtContent>
          <w:p w14:paraId="0C46F9AB" w14:textId="7985E087" w:rsidR="00611BD5" w:rsidRDefault="00611BD5">
            <w:pPr>
              <w:pStyle w:val="Footer"/>
              <w:jc w:val="center"/>
            </w:pPr>
            <w:r w:rsidRPr="00611BD5">
              <w:rPr>
                <w:rFonts w:ascii="Times New Roman" w:hAnsi="Times New Roman" w:cs="Times New Roman"/>
              </w:rPr>
              <w:t xml:space="preserve">Page </w:t>
            </w:r>
            <w:r w:rsidRPr="00611BD5">
              <w:rPr>
                <w:rFonts w:ascii="Times New Roman" w:hAnsi="Times New Roman" w:cs="Times New Roman"/>
                <w:b/>
                <w:bCs/>
                <w:sz w:val="24"/>
                <w:szCs w:val="24"/>
              </w:rPr>
              <w:fldChar w:fldCharType="begin"/>
            </w:r>
            <w:r w:rsidRPr="00611BD5">
              <w:rPr>
                <w:rFonts w:ascii="Times New Roman" w:hAnsi="Times New Roman" w:cs="Times New Roman"/>
                <w:b/>
                <w:bCs/>
              </w:rPr>
              <w:instrText xml:space="preserve"> PAGE </w:instrText>
            </w:r>
            <w:r w:rsidRPr="00611BD5">
              <w:rPr>
                <w:rFonts w:ascii="Times New Roman" w:hAnsi="Times New Roman" w:cs="Times New Roman"/>
                <w:b/>
                <w:bCs/>
                <w:sz w:val="24"/>
                <w:szCs w:val="24"/>
              </w:rPr>
              <w:fldChar w:fldCharType="separate"/>
            </w:r>
            <w:r w:rsidRPr="00611BD5">
              <w:rPr>
                <w:rFonts w:ascii="Times New Roman" w:hAnsi="Times New Roman" w:cs="Times New Roman"/>
                <w:b/>
                <w:bCs/>
                <w:noProof/>
              </w:rPr>
              <w:t>2</w:t>
            </w:r>
            <w:r w:rsidRPr="00611BD5">
              <w:rPr>
                <w:rFonts w:ascii="Times New Roman" w:hAnsi="Times New Roman" w:cs="Times New Roman"/>
                <w:b/>
                <w:bCs/>
                <w:sz w:val="24"/>
                <w:szCs w:val="24"/>
              </w:rPr>
              <w:fldChar w:fldCharType="end"/>
            </w:r>
            <w:r w:rsidRPr="00611BD5">
              <w:rPr>
                <w:rFonts w:ascii="Times New Roman" w:hAnsi="Times New Roman" w:cs="Times New Roman"/>
              </w:rPr>
              <w:t xml:space="preserve"> of </w:t>
            </w:r>
            <w:r w:rsidRPr="00611BD5">
              <w:rPr>
                <w:rFonts w:ascii="Times New Roman" w:hAnsi="Times New Roman" w:cs="Times New Roman"/>
                <w:b/>
                <w:bCs/>
                <w:sz w:val="24"/>
                <w:szCs w:val="24"/>
              </w:rPr>
              <w:fldChar w:fldCharType="begin"/>
            </w:r>
            <w:r w:rsidRPr="00611BD5">
              <w:rPr>
                <w:rFonts w:ascii="Times New Roman" w:hAnsi="Times New Roman" w:cs="Times New Roman"/>
                <w:b/>
                <w:bCs/>
              </w:rPr>
              <w:instrText xml:space="preserve"> NUMPAGES  </w:instrText>
            </w:r>
            <w:r w:rsidRPr="00611BD5">
              <w:rPr>
                <w:rFonts w:ascii="Times New Roman" w:hAnsi="Times New Roman" w:cs="Times New Roman"/>
                <w:b/>
                <w:bCs/>
                <w:sz w:val="24"/>
                <w:szCs w:val="24"/>
              </w:rPr>
              <w:fldChar w:fldCharType="separate"/>
            </w:r>
            <w:r w:rsidRPr="00611BD5">
              <w:rPr>
                <w:rFonts w:ascii="Times New Roman" w:hAnsi="Times New Roman" w:cs="Times New Roman"/>
                <w:b/>
                <w:bCs/>
                <w:noProof/>
              </w:rPr>
              <w:t>2</w:t>
            </w:r>
            <w:r w:rsidRPr="00611BD5">
              <w:rPr>
                <w:rFonts w:ascii="Times New Roman" w:hAnsi="Times New Roman" w:cs="Times New Roman"/>
                <w:b/>
                <w:bCs/>
                <w:sz w:val="24"/>
                <w:szCs w:val="24"/>
              </w:rPr>
              <w:fldChar w:fldCharType="end"/>
            </w:r>
          </w:p>
        </w:sdtContent>
      </w:sdt>
    </w:sdtContent>
  </w:sdt>
  <w:p w14:paraId="2D8407AD" w14:textId="77777777" w:rsidR="00611BD5" w:rsidRPr="00024F5D" w:rsidRDefault="00611BD5" w:rsidP="00611BD5">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p>
  <w:p w14:paraId="33508F94" w14:textId="08ED223B" w:rsidR="000C3301" w:rsidRPr="00922196" w:rsidRDefault="000C3301">
    <w:pPr>
      <w:pStyle w:val="Footer"/>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0616" w14:textId="77777777" w:rsidR="00611BD5" w:rsidRDefault="0061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4CFF7" w14:textId="77777777" w:rsidR="00FC7E2C" w:rsidRDefault="00FC7E2C" w:rsidP="002E00A0">
      <w:pPr>
        <w:spacing w:after="0" w:line="240" w:lineRule="auto"/>
      </w:pPr>
      <w:r>
        <w:separator/>
      </w:r>
    </w:p>
  </w:footnote>
  <w:footnote w:type="continuationSeparator" w:id="0">
    <w:p w14:paraId="780A7D89" w14:textId="77777777" w:rsidR="00FC7E2C" w:rsidRDefault="00FC7E2C"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D87D" w14:textId="77777777" w:rsidR="00611BD5" w:rsidRDefault="00611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CA12" w14:textId="3A2ECB1F" w:rsidR="00611BD5" w:rsidRPr="006231D9" w:rsidRDefault="00611BD5" w:rsidP="00611BD5">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9264" behindDoc="0" locked="0" layoutInCell="1" allowOverlap="1" wp14:anchorId="14705E77" wp14:editId="35E4BFCA">
          <wp:simplePos x="0" y="0"/>
          <wp:positionH relativeFrom="margin">
            <wp:posOffset>-276225</wp:posOffset>
          </wp:positionH>
          <wp:positionV relativeFrom="paragraph">
            <wp:posOffset>-57150</wp:posOffset>
          </wp:positionV>
          <wp:extent cx="1283208" cy="50596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Pr>
        <w:rFonts w:ascii="Times New Roman" w:hAnsi="Times New Roman" w:cs="Times New Roman"/>
        <w:sz w:val="20"/>
        <w:szCs w:val="20"/>
      </w:rPr>
      <w:tab/>
    </w:r>
    <w:r w:rsidRPr="006231D9">
      <w:rPr>
        <w:rFonts w:ascii="Times New Roman" w:hAnsi="Times New Roman" w:cs="Times New Roman"/>
        <w:sz w:val="20"/>
        <w:szCs w:val="20"/>
      </w:rPr>
      <w:t xml:space="preserve">OMB Control No. </w:t>
    </w:r>
    <w:r w:rsidR="00BA3CB6">
      <w:rPr>
        <w:rFonts w:ascii="Times New Roman" w:hAnsi="Times New Roman" w:cs="Times New Roman"/>
        <w:sz w:val="20"/>
        <w:szCs w:val="20"/>
      </w:rPr>
      <w:t>####-####</w:t>
    </w:r>
    <w:r w:rsidRPr="006231D9">
      <w:rPr>
        <w:rFonts w:ascii="Times New Roman" w:hAnsi="Times New Roman" w:cs="Times New Roman"/>
        <w:sz w:val="20"/>
        <w:szCs w:val="20"/>
      </w:rPr>
      <w:t xml:space="preserve"> </w:t>
    </w:r>
  </w:p>
  <w:p w14:paraId="1D08FBCB" w14:textId="0E134161" w:rsidR="00611BD5" w:rsidRDefault="00611BD5" w:rsidP="00611BD5">
    <w:pPr>
      <w:spacing w:after="0" w:line="240" w:lineRule="auto"/>
      <w:jc w:val="right"/>
      <w:rPr>
        <w:rFonts w:ascii="Times New Roman" w:hAnsi="Times New Roman" w:cs="Times New Roman"/>
        <w:sz w:val="20"/>
        <w:szCs w:val="20"/>
        <w:u w:val="single"/>
      </w:rPr>
    </w:pPr>
    <w:r w:rsidRPr="0049421E">
      <w:rPr>
        <w:rFonts w:ascii="Times New Roman" w:hAnsi="Times New Roman" w:cs="Times New Roman"/>
        <w:sz w:val="20"/>
        <w:szCs w:val="20"/>
      </w:rPr>
      <w:tab/>
    </w:r>
    <w:r w:rsidRPr="0049421E">
      <w:rPr>
        <w:rFonts w:ascii="Times New Roman" w:hAnsi="Times New Roman" w:cs="Times New Roman"/>
        <w:sz w:val="20"/>
        <w:szCs w:val="20"/>
      </w:rPr>
      <w:tab/>
    </w:r>
    <w:r w:rsidRPr="006231D9">
      <w:rPr>
        <w:rFonts w:ascii="Times New Roman" w:hAnsi="Times New Roman" w:cs="Times New Roman"/>
        <w:sz w:val="20"/>
        <w:szCs w:val="20"/>
      </w:rPr>
      <w:t>Expires:</w:t>
    </w:r>
    <w:r w:rsidR="00A226F4">
      <w:rPr>
        <w:rFonts w:ascii="Times New Roman" w:hAnsi="Times New Roman" w:cs="Times New Roman"/>
        <w:sz w:val="20"/>
        <w:szCs w:val="20"/>
      </w:rPr>
      <w:t xml:space="preserve"> </w:t>
    </w:r>
    <w:r w:rsidRPr="006231D9">
      <w:rPr>
        <w:rFonts w:ascii="Times New Roman" w:hAnsi="Times New Roman" w:cs="Times New Roman"/>
        <w:sz w:val="20"/>
        <w:szCs w:val="20"/>
      </w:rPr>
      <w:t xml:space="preserve">  </w:t>
    </w:r>
    <w:r w:rsidR="00BA3CB6">
      <w:rPr>
        <w:rFonts w:ascii="Times New Roman" w:hAnsi="Times New Roman" w:cs="Times New Roman"/>
        <w:sz w:val="20"/>
        <w:szCs w:val="20"/>
      </w:rPr>
      <w:t>##/##/####</w:t>
    </w:r>
    <w:r w:rsidR="00A226F4">
      <w:rPr>
        <w:rFonts w:ascii="Times New Roman" w:hAnsi="Times New Roman" w:cs="Times New Roman"/>
        <w:sz w:val="20"/>
        <w:szCs w:val="20"/>
      </w:rPr>
      <w:t xml:space="preserve"> </w:t>
    </w:r>
  </w:p>
  <w:p w14:paraId="38C6D303" w14:textId="17F5E452" w:rsidR="000C3301" w:rsidRDefault="000C3301" w:rsidP="00611BD5">
    <w:pPr>
      <w:tabs>
        <w:tab w:val="left" w:pos="1440"/>
        <w:tab w:val="right" w:pos="9360"/>
      </w:tabs>
      <w:spacing w:after="0" w:line="240" w:lineRule="auto"/>
      <w:ind w:right="-20"/>
      <w:rPr>
        <w:rFonts w:ascii="Times New Roman" w:eastAsia="Arial" w:hAnsi="Times New Roman" w:cs="Times New Roman"/>
        <w:bCs/>
        <w:sz w:val="20"/>
        <w:szCs w:val="20"/>
      </w:rPr>
    </w:pPr>
  </w:p>
  <w:p w14:paraId="12DCFA67" w14:textId="0339264D" w:rsidR="000C3301" w:rsidRDefault="000C3301"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5BE6" w14:textId="77777777" w:rsidR="00611BD5" w:rsidRDefault="0061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8F3"/>
    <w:multiLevelType w:val="hybridMultilevel"/>
    <w:tmpl w:val="09D6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1787"/>
    <w:multiLevelType w:val="hybridMultilevel"/>
    <w:tmpl w:val="F17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328C7"/>
    <w:multiLevelType w:val="hybridMultilevel"/>
    <w:tmpl w:val="653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502B"/>
    <w:multiLevelType w:val="hybridMultilevel"/>
    <w:tmpl w:val="826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C79DF"/>
    <w:multiLevelType w:val="hybridMultilevel"/>
    <w:tmpl w:val="8B4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45CA"/>
    <w:multiLevelType w:val="hybridMultilevel"/>
    <w:tmpl w:val="20AA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A46B0"/>
    <w:multiLevelType w:val="hybridMultilevel"/>
    <w:tmpl w:val="2744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910B9"/>
    <w:multiLevelType w:val="hybridMultilevel"/>
    <w:tmpl w:val="1B1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75EF0"/>
    <w:multiLevelType w:val="hybridMultilevel"/>
    <w:tmpl w:val="AD2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E5890"/>
    <w:multiLevelType w:val="hybridMultilevel"/>
    <w:tmpl w:val="BBD2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97F3B"/>
    <w:multiLevelType w:val="hybridMultilevel"/>
    <w:tmpl w:val="2D0A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44CF4"/>
    <w:multiLevelType w:val="hybridMultilevel"/>
    <w:tmpl w:val="B9D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60159"/>
    <w:multiLevelType w:val="hybridMultilevel"/>
    <w:tmpl w:val="D844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B3BD8"/>
    <w:multiLevelType w:val="hybridMultilevel"/>
    <w:tmpl w:val="1532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9757F"/>
    <w:multiLevelType w:val="hybridMultilevel"/>
    <w:tmpl w:val="AA4E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92BED"/>
    <w:multiLevelType w:val="hybridMultilevel"/>
    <w:tmpl w:val="A1DC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7"/>
  </w:num>
  <w:num w:numId="5">
    <w:abstractNumId w:val="8"/>
  </w:num>
  <w:num w:numId="6">
    <w:abstractNumId w:val="9"/>
  </w:num>
  <w:num w:numId="7">
    <w:abstractNumId w:val="2"/>
  </w:num>
  <w:num w:numId="8">
    <w:abstractNumId w:val="18"/>
  </w:num>
  <w:num w:numId="9">
    <w:abstractNumId w:val="3"/>
  </w:num>
  <w:num w:numId="10">
    <w:abstractNumId w:val="6"/>
  </w:num>
  <w:num w:numId="11">
    <w:abstractNumId w:val="5"/>
  </w:num>
  <w:num w:numId="12">
    <w:abstractNumId w:val="0"/>
  </w:num>
  <w:num w:numId="13">
    <w:abstractNumId w:val="13"/>
  </w:num>
  <w:num w:numId="14">
    <w:abstractNumId w:val="20"/>
  </w:num>
  <w:num w:numId="15">
    <w:abstractNumId w:val="12"/>
  </w:num>
  <w:num w:numId="16">
    <w:abstractNumId w:val="4"/>
  </w:num>
  <w:num w:numId="17">
    <w:abstractNumId w:val="14"/>
  </w:num>
  <w:num w:numId="18">
    <w:abstractNumId w:val="16"/>
  </w:num>
  <w:num w:numId="19">
    <w:abstractNumId w:val="1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7DFB"/>
    <w:rsid w:val="00014A45"/>
    <w:rsid w:val="00016D16"/>
    <w:rsid w:val="00021039"/>
    <w:rsid w:val="00025159"/>
    <w:rsid w:val="000255F1"/>
    <w:rsid w:val="00033BAC"/>
    <w:rsid w:val="00036A4F"/>
    <w:rsid w:val="00037459"/>
    <w:rsid w:val="00046FF7"/>
    <w:rsid w:val="0004744B"/>
    <w:rsid w:val="00053DD3"/>
    <w:rsid w:val="00061AD2"/>
    <w:rsid w:val="00061D7A"/>
    <w:rsid w:val="00063D3A"/>
    <w:rsid w:val="0007619C"/>
    <w:rsid w:val="00083E08"/>
    <w:rsid w:val="00087D56"/>
    <w:rsid w:val="00094A2D"/>
    <w:rsid w:val="00095006"/>
    <w:rsid w:val="00095C45"/>
    <w:rsid w:val="000B1BB2"/>
    <w:rsid w:val="000B35EF"/>
    <w:rsid w:val="000B48C7"/>
    <w:rsid w:val="000B76DF"/>
    <w:rsid w:val="000C3301"/>
    <w:rsid w:val="000C5315"/>
    <w:rsid w:val="000D107E"/>
    <w:rsid w:val="000D3682"/>
    <w:rsid w:val="000D659A"/>
    <w:rsid w:val="000E05A8"/>
    <w:rsid w:val="000E2267"/>
    <w:rsid w:val="000E4C3F"/>
    <w:rsid w:val="000E6860"/>
    <w:rsid w:val="000F0FF5"/>
    <w:rsid w:val="000F3896"/>
    <w:rsid w:val="000F5059"/>
    <w:rsid w:val="000F55C3"/>
    <w:rsid w:val="001035F7"/>
    <w:rsid w:val="00107ED6"/>
    <w:rsid w:val="001237D5"/>
    <w:rsid w:val="00127463"/>
    <w:rsid w:val="0013003E"/>
    <w:rsid w:val="00135D9F"/>
    <w:rsid w:val="0013662C"/>
    <w:rsid w:val="00136D01"/>
    <w:rsid w:val="00142218"/>
    <w:rsid w:val="00142610"/>
    <w:rsid w:val="00143C20"/>
    <w:rsid w:val="001452EE"/>
    <w:rsid w:val="00146F92"/>
    <w:rsid w:val="001507F0"/>
    <w:rsid w:val="00153F45"/>
    <w:rsid w:val="0015642B"/>
    <w:rsid w:val="0015717A"/>
    <w:rsid w:val="00164931"/>
    <w:rsid w:val="001733C1"/>
    <w:rsid w:val="00174005"/>
    <w:rsid w:val="0018341B"/>
    <w:rsid w:val="001908D1"/>
    <w:rsid w:val="00191693"/>
    <w:rsid w:val="001B024F"/>
    <w:rsid w:val="001B1818"/>
    <w:rsid w:val="001C0496"/>
    <w:rsid w:val="001D000F"/>
    <w:rsid w:val="001D07F7"/>
    <w:rsid w:val="001D2B6B"/>
    <w:rsid w:val="001F71F6"/>
    <w:rsid w:val="002068AC"/>
    <w:rsid w:val="002121F3"/>
    <w:rsid w:val="002136C5"/>
    <w:rsid w:val="00232374"/>
    <w:rsid w:val="00233856"/>
    <w:rsid w:val="00234402"/>
    <w:rsid w:val="002412AF"/>
    <w:rsid w:val="00242666"/>
    <w:rsid w:val="00250A6A"/>
    <w:rsid w:val="00252E59"/>
    <w:rsid w:val="00256025"/>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2F79CD"/>
    <w:rsid w:val="0031087E"/>
    <w:rsid w:val="003155A9"/>
    <w:rsid w:val="0033209E"/>
    <w:rsid w:val="0033684F"/>
    <w:rsid w:val="00341AE9"/>
    <w:rsid w:val="00344C89"/>
    <w:rsid w:val="0035799F"/>
    <w:rsid w:val="00363CAF"/>
    <w:rsid w:val="0037559C"/>
    <w:rsid w:val="00376F9B"/>
    <w:rsid w:val="00377985"/>
    <w:rsid w:val="003826EE"/>
    <w:rsid w:val="003830FC"/>
    <w:rsid w:val="00390877"/>
    <w:rsid w:val="00392F0D"/>
    <w:rsid w:val="00393993"/>
    <w:rsid w:val="00394996"/>
    <w:rsid w:val="00397008"/>
    <w:rsid w:val="00397D77"/>
    <w:rsid w:val="003A382E"/>
    <w:rsid w:val="003B4564"/>
    <w:rsid w:val="003C0CB0"/>
    <w:rsid w:val="003D57CA"/>
    <w:rsid w:val="003D6C56"/>
    <w:rsid w:val="003F06D8"/>
    <w:rsid w:val="00400532"/>
    <w:rsid w:val="004106CF"/>
    <w:rsid w:val="0041344A"/>
    <w:rsid w:val="00414A51"/>
    <w:rsid w:val="00415337"/>
    <w:rsid w:val="00415DF5"/>
    <w:rsid w:val="00422F80"/>
    <w:rsid w:val="0042651F"/>
    <w:rsid w:val="00433548"/>
    <w:rsid w:val="0043553F"/>
    <w:rsid w:val="004355DF"/>
    <w:rsid w:val="0044414E"/>
    <w:rsid w:val="004444EE"/>
    <w:rsid w:val="0044624D"/>
    <w:rsid w:val="004507E9"/>
    <w:rsid w:val="00471BBC"/>
    <w:rsid w:val="00473F8C"/>
    <w:rsid w:val="00476193"/>
    <w:rsid w:val="004807D1"/>
    <w:rsid w:val="00481F3E"/>
    <w:rsid w:val="00485B6E"/>
    <w:rsid w:val="004933D0"/>
    <w:rsid w:val="0049556F"/>
    <w:rsid w:val="004A6090"/>
    <w:rsid w:val="004A6F69"/>
    <w:rsid w:val="004B5B67"/>
    <w:rsid w:val="004C3DB5"/>
    <w:rsid w:val="004C470D"/>
    <w:rsid w:val="004D1C45"/>
    <w:rsid w:val="004D427A"/>
    <w:rsid w:val="004D4753"/>
    <w:rsid w:val="004E2988"/>
    <w:rsid w:val="004F54B2"/>
    <w:rsid w:val="00501635"/>
    <w:rsid w:val="00506F65"/>
    <w:rsid w:val="00510330"/>
    <w:rsid w:val="00510EA7"/>
    <w:rsid w:val="0051233F"/>
    <w:rsid w:val="005123E6"/>
    <w:rsid w:val="005134A4"/>
    <w:rsid w:val="00514E98"/>
    <w:rsid w:val="00530EC3"/>
    <w:rsid w:val="00540EF8"/>
    <w:rsid w:val="00542A72"/>
    <w:rsid w:val="0054618E"/>
    <w:rsid w:val="00566FDD"/>
    <w:rsid w:val="00581807"/>
    <w:rsid w:val="0058788E"/>
    <w:rsid w:val="00590DB3"/>
    <w:rsid w:val="005A6FDF"/>
    <w:rsid w:val="005A7444"/>
    <w:rsid w:val="005B0C3C"/>
    <w:rsid w:val="005B1976"/>
    <w:rsid w:val="005B32B2"/>
    <w:rsid w:val="005B447B"/>
    <w:rsid w:val="005B6142"/>
    <w:rsid w:val="005C2540"/>
    <w:rsid w:val="005C77E4"/>
    <w:rsid w:val="005D32E4"/>
    <w:rsid w:val="005D3848"/>
    <w:rsid w:val="005D3A02"/>
    <w:rsid w:val="005E39F3"/>
    <w:rsid w:val="005E4E89"/>
    <w:rsid w:val="005E7058"/>
    <w:rsid w:val="005F1B7A"/>
    <w:rsid w:val="005F4290"/>
    <w:rsid w:val="00604D0F"/>
    <w:rsid w:val="00606C3D"/>
    <w:rsid w:val="00611BD5"/>
    <w:rsid w:val="00614903"/>
    <w:rsid w:val="00616828"/>
    <w:rsid w:val="0062790E"/>
    <w:rsid w:val="00630B5B"/>
    <w:rsid w:val="0064019F"/>
    <w:rsid w:val="00640239"/>
    <w:rsid w:val="00654778"/>
    <w:rsid w:val="00657D6E"/>
    <w:rsid w:val="006603A1"/>
    <w:rsid w:val="006632B0"/>
    <w:rsid w:val="006810E8"/>
    <w:rsid w:val="006868AD"/>
    <w:rsid w:val="00690CC3"/>
    <w:rsid w:val="00691208"/>
    <w:rsid w:val="00692CEC"/>
    <w:rsid w:val="00693967"/>
    <w:rsid w:val="006A09A2"/>
    <w:rsid w:val="006A12AC"/>
    <w:rsid w:val="006A510B"/>
    <w:rsid w:val="006B10FA"/>
    <w:rsid w:val="006B1825"/>
    <w:rsid w:val="006B76E6"/>
    <w:rsid w:val="006C23D9"/>
    <w:rsid w:val="006C3882"/>
    <w:rsid w:val="006C4C88"/>
    <w:rsid w:val="006C627F"/>
    <w:rsid w:val="006C7FE7"/>
    <w:rsid w:val="006D4F0B"/>
    <w:rsid w:val="006D56CF"/>
    <w:rsid w:val="006F0D76"/>
    <w:rsid w:val="006F160B"/>
    <w:rsid w:val="006F2CF2"/>
    <w:rsid w:val="00700A0C"/>
    <w:rsid w:val="00700A59"/>
    <w:rsid w:val="00701490"/>
    <w:rsid w:val="00702AA5"/>
    <w:rsid w:val="0071208C"/>
    <w:rsid w:val="00723186"/>
    <w:rsid w:val="00725A0F"/>
    <w:rsid w:val="007347AD"/>
    <w:rsid w:val="007419F6"/>
    <w:rsid w:val="00747BAD"/>
    <w:rsid w:val="00750684"/>
    <w:rsid w:val="00761C3D"/>
    <w:rsid w:val="00763C1C"/>
    <w:rsid w:val="00766472"/>
    <w:rsid w:val="00766C76"/>
    <w:rsid w:val="007708A1"/>
    <w:rsid w:val="00776DEC"/>
    <w:rsid w:val="00781488"/>
    <w:rsid w:val="007A3342"/>
    <w:rsid w:val="007A72A8"/>
    <w:rsid w:val="007B4CD1"/>
    <w:rsid w:val="007C5F01"/>
    <w:rsid w:val="007C7286"/>
    <w:rsid w:val="007C751E"/>
    <w:rsid w:val="007D1F1C"/>
    <w:rsid w:val="007D69D8"/>
    <w:rsid w:val="007D7930"/>
    <w:rsid w:val="007E73A5"/>
    <w:rsid w:val="00801309"/>
    <w:rsid w:val="00803BFB"/>
    <w:rsid w:val="00804FEB"/>
    <w:rsid w:val="008118E2"/>
    <w:rsid w:val="00813ED8"/>
    <w:rsid w:val="00834D49"/>
    <w:rsid w:val="008363FF"/>
    <w:rsid w:val="00836F9E"/>
    <w:rsid w:val="008471A3"/>
    <w:rsid w:val="0086271D"/>
    <w:rsid w:val="00863F46"/>
    <w:rsid w:val="00865870"/>
    <w:rsid w:val="00866BA0"/>
    <w:rsid w:val="0087130E"/>
    <w:rsid w:val="00883780"/>
    <w:rsid w:val="008919AC"/>
    <w:rsid w:val="00891B0F"/>
    <w:rsid w:val="008948B2"/>
    <w:rsid w:val="008A4647"/>
    <w:rsid w:val="008A565C"/>
    <w:rsid w:val="008A6F7C"/>
    <w:rsid w:val="008B1175"/>
    <w:rsid w:val="008D23EB"/>
    <w:rsid w:val="008D2BCE"/>
    <w:rsid w:val="008E1131"/>
    <w:rsid w:val="008F1F5B"/>
    <w:rsid w:val="009029CD"/>
    <w:rsid w:val="0090732E"/>
    <w:rsid w:val="00907605"/>
    <w:rsid w:val="00913A99"/>
    <w:rsid w:val="00913F46"/>
    <w:rsid w:val="00922196"/>
    <w:rsid w:val="00931D71"/>
    <w:rsid w:val="00936034"/>
    <w:rsid w:val="009419FD"/>
    <w:rsid w:val="00941F1D"/>
    <w:rsid w:val="009509C8"/>
    <w:rsid w:val="00950A64"/>
    <w:rsid w:val="00953FDA"/>
    <w:rsid w:val="00960E57"/>
    <w:rsid w:val="00962747"/>
    <w:rsid w:val="009758DC"/>
    <w:rsid w:val="00976538"/>
    <w:rsid w:val="00982B91"/>
    <w:rsid w:val="0098316B"/>
    <w:rsid w:val="00983BB7"/>
    <w:rsid w:val="0098526B"/>
    <w:rsid w:val="0098703A"/>
    <w:rsid w:val="0099594F"/>
    <w:rsid w:val="00995B0B"/>
    <w:rsid w:val="009A4448"/>
    <w:rsid w:val="009C282D"/>
    <w:rsid w:val="009C5988"/>
    <w:rsid w:val="009D0714"/>
    <w:rsid w:val="009D14DE"/>
    <w:rsid w:val="009D39C7"/>
    <w:rsid w:val="009D6207"/>
    <w:rsid w:val="009F56CC"/>
    <w:rsid w:val="009F5793"/>
    <w:rsid w:val="00A01886"/>
    <w:rsid w:val="00A06C95"/>
    <w:rsid w:val="00A1281C"/>
    <w:rsid w:val="00A21047"/>
    <w:rsid w:val="00A226F4"/>
    <w:rsid w:val="00A256CA"/>
    <w:rsid w:val="00A278D3"/>
    <w:rsid w:val="00A32763"/>
    <w:rsid w:val="00A455EB"/>
    <w:rsid w:val="00A52484"/>
    <w:rsid w:val="00A55D62"/>
    <w:rsid w:val="00A61564"/>
    <w:rsid w:val="00A626FD"/>
    <w:rsid w:val="00A64C56"/>
    <w:rsid w:val="00A87AC3"/>
    <w:rsid w:val="00AA0BBD"/>
    <w:rsid w:val="00AD3BA4"/>
    <w:rsid w:val="00AD4974"/>
    <w:rsid w:val="00AE3641"/>
    <w:rsid w:val="00AE78BE"/>
    <w:rsid w:val="00B00741"/>
    <w:rsid w:val="00B0167A"/>
    <w:rsid w:val="00B06439"/>
    <w:rsid w:val="00B1168D"/>
    <w:rsid w:val="00B16C8F"/>
    <w:rsid w:val="00B20776"/>
    <w:rsid w:val="00B37185"/>
    <w:rsid w:val="00B43762"/>
    <w:rsid w:val="00B44D1B"/>
    <w:rsid w:val="00B4639A"/>
    <w:rsid w:val="00B54FB7"/>
    <w:rsid w:val="00B57755"/>
    <w:rsid w:val="00B6097C"/>
    <w:rsid w:val="00B6381B"/>
    <w:rsid w:val="00B74320"/>
    <w:rsid w:val="00B750B8"/>
    <w:rsid w:val="00B759DE"/>
    <w:rsid w:val="00B76744"/>
    <w:rsid w:val="00B801CD"/>
    <w:rsid w:val="00B94451"/>
    <w:rsid w:val="00B96618"/>
    <w:rsid w:val="00BA15F4"/>
    <w:rsid w:val="00BA1BBB"/>
    <w:rsid w:val="00BA3CB6"/>
    <w:rsid w:val="00BA65CA"/>
    <w:rsid w:val="00BB17F4"/>
    <w:rsid w:val="00BB1E89"/>
    <w:rsid w:val="00BC2AD5"/>
    <w:rsid w:val="00BC5504"/>
    <w:rsid w:val="00BE14A1"/>
    <w:rsid w:val="00BE1AFB"/>
    <w:rsid w:val="00BE2278"/>
    <w:rsid w:val="00BE67DC"/>
    <w:rsid w:val="00BF4B7D"/>
    <w:rsid w:val="00BF4DDE"/>
    <w:rsid w:val="00C16EC6"/>
    <w:rsid w:val="00C212D4"/>
    <w:rsid w:val="00C2475C"/>
    <w:rsid w:val="00C321B8"/>
    <w:rsid w:val="00C3618D"/>
    <w:rsid w:val="00C4435E"/>
    <w:rsid w:val="00C51121"/>
    <w:rsid w:val="00C562F2"/>
    <w:rsid w:val="00C626E1"/>
    <w:rsid w:val="00C82379"/>
    <w:rsid w:val="00C87A6B"/>
    <w:rsid w:val="00C900B1"/>
    <w:rsid w:val="00C9133B"/>
    <w:rsid w:val="00C92669"/>
    <w:rsid w:val="00C94B76"/>
    <w:rsid w:val="00CA61A3"/>
    <w:rsid w:val="00CA61D8"/>
    <w:rsid w:val="00CA728D"/>
    <w:rsid w:val="00CA7DF3"/>
    <w:rsid w:val="00CB1CA5"/>
    <w:rsid w:val="00CB54A7"/>
    <w:rsid w:val="00CB7144"/>
    <w:rsid w:val="00CC151E"/>
    <w:rsid w:val="00CC201D"/>
    <w:rsid w:val="00CD040F"/>
    <w:rsid w:val="00CD5D03"/>
    <w:rsid w:val="00CE2770"/>
    <w:rsid w:val="00CE384E"/>
    <w:rsid w:val="00CE3DE8"/>
    <w:rsid w:val="00CF5498"/>
    <w:rsid w:val="00D049E4"/>
    <w:rsid w:val="00D1002C"/>
    <w:rsid w:val="00D11C8F"/>
    <w:rsid w:val="00D13018"/>
    <w:rsid w:val="00D13A7E"/>
    <w:rsid w:val="00D15897"/>
    <w:rsid w:val="00D33022"/>
    <w:rsid w:val="00D3542F"/>
    <w:rsid w:val="00D36B82"/>
    <w:rsid w:val="00D46C14"/>
    <w:rsid w:val="00D54945"/>
    <w:rsid w:val="00D5647A"/>
    <w:rsid w:val="00D66E51"/>
    <w:rsid w:val="00D81F9D"/>
    <w:rsid w:val="00D86365"/>
    <w:rsid w:val="00D8741F"/>
    <w:rsid w:val="00D902A2"/>
    <w:rsid w:val="00DB25C1"/>
    <w:rsid w:val="00DB2875"/>
    <w:rsid w:val="00DB74A5"/>
    <w:rsid w:val="00DC23B3"/>
    <w:rsid w:val="00DC2BD2"/>
    <w:rsid w:val="00DC4EF7"/>
    <w:rsid w:val="00DC6434"/>
    <w:rsid w:val="00DD0008"/>
    <w:rsid w:val="00DD1393"/>
    <w:rsid w:val="00DD768F"/>
    <w:rsid w:val="00DE08FB"/>
    <w:rsid w:val="00DE23EA"/>
    <w:rsid w:val="00DF01CB"/>
    <w:rsid w:val="00DF3D6C"/>
    <w:rsid w:val="00E006C5"/>
    <w:rsid w:val="00E02338"/>
    <w:rsid w:val="00E12A8D"/>
    <w:rsid w:val="00E135BA"/>
    <w:rsid w:val="00E324EE"/>
    <w:rsid w:val="00E42679"/>
    <w:rsid w:val="00E42F9C"/>
    <w:rsid w:val="00E50B75"/>
    <w:rsid w:val="00E565B7"/>
    <w:rsid w:val="00E6208F"/>
    <w:rsid w:val="00E622C9"/>
    <w:rsid w:val="00E63BBF"/>
    <w:rsid w:val="00E703EF"/>
    <w:rsid w:val="00E711E4"/>
    <w:rsid w:val="00E747A9"/>
    <w:rsid w:val="00E74C8E"/>
    <w:rsid w:val="00E773E7"/>
    <w:rsid w:val="00E827F8"/>
    <w:rsid w:val="00E839ED"/>
    <w:rsid w:val="00E84C69"/>
    <w:rsid w:val="00E90AC9"/>
    <w:rsid w:val="00E93BF1"/>
    <w:rsid w:val="00EA0C12"/>
    <w:rsid w:val="00EA49E7"/>
    <w:rsid w:val="00EA5E4D"/>
    <w:rsid w:val="00EB687B"/>
    <w:rsid w:val="00EC5EF0"/>
    <w:rsid w:val="00EC7970"/>
    <w:rsid w:val="00ED4B43"/>
    <w:rsid w:val="00EE2786"/>
    <w:rsid w:val="00EE2C7D"/>
    <w:rsid w:val="00EE3534"/>
    <w:rsid w:val="00EE695D"/>
    <w:rsid w:val="00EE6E23"/>
    <w:rsid w:val="00EE708D"/>
    <w:rsid w:val="00EF041C"/>
    <w:rsid w:val="00F00055"/>
    <w:rsid w:val="00F040C4"/>
    <w:rsid w:val="00F11DA9"/>
    <w:rsid w:val="00F127D8"/>
    <w:rsid w:val="00F20AD3"/>
    <w:rsid w:val="00F2370B"/>
    <w:rsid w:val="00F32C32"/>
    <w:rsid w:val="00F348B2"/>
    <w:rsid w:val="00F421C7"/>
    <w:rsid w:val="00F44566"/>
    <w:rsid w:val="00F476FC"/>
    <w:rsid w:val="00F53642"/>
    <w:rsid w:val="00F60926"/>
    <w:rsid w:val="00F66315"/>
    <w:rsid w:val="00F749AB"/>
    <w:rsid w:val="00F77861"/>
    <w:rsid w:val="00F81AD6"/>
    <w:rsid w:val="00F85963"/>
    <w:rsid w:val="00F90979"/>
    <w:rsid w:val="00FA2C5F"/>
    <w:rsid w:val="00FA2F9C"/>
    <w:rsid w:val="00FA46F3"/>
    <w:rsid w:val="00FB47AD"/>
    <w:rsid w:val="00FC29C4"/>
    <w:rsid w:val="00FC60D5"/>
    <w:rsid w:val="00FC6C14"/>
    <w:rsid w:val="00FC7E2C"/>
    <w:rsid w:val="00FD00FB"/>
    <w:rsid w:val="00FD1D29"/>
    <w:rsid w:val="00FE01B2"/>
    <w:rsid w:val="00FE1B12"/>
    <w:rsid w:val="00FE31A5"/>
    <w:rsid w:val="00FE79BF"/>
    <w:rsid w:val="00FF36D7"/>
    <w:rsid w:val="00FF453F"/>
    <w:rsid w:val="1EF79711"/>
    <w:rsid w:val="226F8795"/>
    <w:rsid w:val="6478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paragraph" w:styleId="NormalWeb">
    <w:name w:val="Normal (Web)"/>
    <w:basedOn w:val="Normal"/>
    <w:uiPriority w:val="99"/>
    <w:unhideWhenUsed/>
    <w:rsid w:val="00AD3B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4A7"/>
    <w:rPr>
      <w:sz w:val="20"/>
      <w:szCs w:val="20"/>
    </w:rPr>
  </w:style>
  <w:style w:type="character" w:styleId="FootnoteReference">
    <w:name w:val="footnote reference"/>
    <w:basedOn w:val="DefaultParagraphFont"/>
    <w:uiPriority w:val="99"/>
    <w:semiHidden/>
    <w:unhideWhenUsed/>
    <w:rsid w:val="00CB54A7"/>
    <w:rPr>
      <w:vertAlign w:val="superscript"/>
    </w:rPr>
  </w:style>
  <w:style w:type="character" w:styleId="FollowedHyperlink">
    <w:name w:val="FollowedHyperlink"/>
    <w:basedOn w:val="DefaultParagraphFont"/>
    <w:uiPriority w:val="99"/>
    <w:semiHidden/>
    <w:unhideWhenUsed/>
    <w:rsid w:val="00781488"/>
    <w:rPr>
      <w:color w:val="954F72" w:themeColor="followedHyperlink"/>
      <w:u w:val="single"/>
    </w:rPr>
  </w:style>
  <w:style w:type="paragraph" w:customStyle="1" w:styleId="Default">
    <w:name w:val="Default"/>
    <w:rsid w:val="00FF45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15">
      <w:bodyDiv w:val="1"/>
      <w:marLeft w:val="0"/>
      <w:marRight w:val="0"/>
      <w:marTop w:val="0"/>
      <w:marBottom w:val="0"/>
      <w:divBdr>
        <w:top w:val="none" w:sz="0" w:space="0" w:color="auto"/>
        <w:left w:val="none" w:sz="0" w:space="0" w:color="auto"/>
        <w:bottom w:val="none" w:sz="0" w:space="0" w:color="auto"/>
        <w:right w:val="none" w:sz="0" w:space="0" w:color="auto"/>
      </w:divBdr>
    </w:div>
    <w:div w:id="12390379">
      <w:bodyDiv w:val="1"/>
      <w:marLeft w:val="0"/>
      <w:marRight w:val="0"/>
      <w:marTop w:val="0"/>
      <w:marBottom w:val="0"/>
      <w:divBdr>
        <w:top w:val="none" w:sz="0" w:space="0" w:color="auto"/>
        <w:left w:val="none" w:sz="0" w:space="0" w:color="auto"/>
        <w:bottom w:val="none" w:sz="0" w:space="0" w:color="auto"/>
        <w:right w:val="none" w:sz="0" w:space="0" w:color="auto"/>
      </w:divBdr>
    </w:div>
    <w:div w:id="66390172">
      <w:bodyDiv w:val="1"/>
      <w:marLeft w:val="0"/>
      <w:marRight w:val="0"/>
      <w:marTop w:val="0"/>
      <w:marBottom w:val="0"/>
      <w:divBdr>
        <w:top w:val="none" w:sz="0" w:space="0" w:color="auto"/>
        <w:left w:val="none" w:sz="0" w:space="0" w:color="auto"/>
        <w:bottom w:val="none" w:sz="0" w:space="0" w:color="auto"/>
        <w:right w:val="none" w:sz="0" w:space="0" w:color="auto"/>
      </w:divBdr>
    </w:div>
    <w:div w:id="105469507">
      <w:bodyDiv w:val="1"/>
      <w:marLeft w:val="0"/>
      <w:marRight w:val="0"/>
      <w:marTop w:val="0"/>
      <w:marBottom w:val="0"/>
      <w:divBdr>
        <w:top w:val="none" w:sz="0" w:space="0" w:color="auto"/>
        <w:left w:val="none" w:sz="0" w:space="0" w:color="auto"/>
        <w:bottom w:val="none" w:sz="0" w:space="0" w:color="auto"/>
        <w:right w:val="none" w:sz="0" w:space="0" w:color="auto"/>
      </w:divBdr>
    </w:div>
    <w:div w:id="206722009">
      <w:bodyDiv w:val="1"/>
      <w:marLeft w:val="0"/>
      <w:marRight w:val="0"/>
      <w:marTop w:val="0"/>
      <w:marBottom w:val="0"/>
      <w:divBdr>
        <w:top w:val="none" w:sz="0" w:space="0" w:color="auto"/>
        <w:left w:val="none" w:sz="0" w:space="0" w:color="auto"/>
        <w:bottom w:val="none" w:sz="0" w:space="0" w:color="auto"/>
        <w:right w:val="none" w:sz="0" w:space="0" w:color="auto"/>
      </w:divBdr>
    </w:div>
    <w:div w:id="208610701">
      <w:bodyDiv w:val="1"/>
      <w:marLeft w:val="0"/>
      <w:marRight w:val="0"/>
      <w:marTop w:val="0"/>
      <w:marBottom w:val="0"/>
      <w:divBdr>
        <w:top w:val="none" w:sz="0" w:space="0" w:color="auto"/>
        <w:left w:val="none" w:sz="0" w:space="0" w:color="auto"/>
        <w:bottom w:val="none" w:sz="0" w:space="0" w:color="auto"/>
        <w:right w:val="none" w:sz="0" w:space="0" w:color="auto"/>
      </w:divBdr>
    </w:div>
    <w:div w:id="251202896">
      <w:bodyDiv w:val="1"/>
      <w:marLeft w:val="0"/>
      <w:marRight w:val="0"/>
      <w:marTop w:val="0"/>
      <w:marBottom w:val="0"/>
      <w:divBdr>
        <w:top w:val="none" w:sz="0" w:space="0" w:color="auto"/>
        <w:left w:val="none" w:sz="0" w:space="0" w:color="auto"/>
        <w:bottom w:val="none" w:sz="0" w:space="0" w:color="auto"/>
        <w:right w:val="none" w:sz="0" w:space="0" w:color="auto"/>
      </w:divBdr>
    </w:div>
    <w:div w:id="267274739">
      <w:bodyDiv w:val="1"/>
      <w:marLeft w:val="0"/>
      <w:marRight w:val="0"/>
      <w:marTop w:val="0"/>
      <w:marBottom w:val="0"/>
      <w:divBdr>
        <w:top w:val="none" w:sz="0" w:space="0" w:color="auto"/>
        <w:left w:val="none" w:sz="0" w:space="0" w:color="auto"/>
        <w:bottom w:val="none" w:sz="0" w:space="0" w:color="auto"/>
        <w:right w:val="none" w:sz="0" w:space="0" w:color="auto"/>
      </w:divBdr>
    </w:div>
    <w:div w:id="283116554">
      <w:bodyDiv w:val="1"/>
      <w:marLeft w:val="0"/>
      <w:marRight w:val="0"/>
      <w:marTop w:val="0"/>
      <w:marBottom w:val="0"/>
      <w:divBdr>
        <w:top w:val="none" w:sz="0" w:space="0" w:color="auto"/>
        <w:left w:val="none" w:sz="0" w:space="0" w:color="auto"/>
        <w:bottom w:val="none" w:sz="0" w:space="0" w:color="auto"/>
        <w:right w:val="none" w:sz="0" w:space="0" w:color="auto"/>
      </w:divBdr>
    </w:div>
    <w:div w:id="329718447">
      <w:bodyDiv w:val="1"/>
      <w:marLeft w:val="0"/>
      <w:marRight w:val="0"/>
      <w:marTop w:val="0"/>
      <w:marBottom w:val="0"/>
      <w:divBdr>
        <w:top w:val="none" w:sz="0" w:space="0" w:color="auto"/>
        <w:left w:val="none" w:sz="0" w:space="0" w:color="auto"/>
        <w:bottom w:val="none" w:sz="0" w:space="0" w:color="auto"/>
        <w:right w:val="none" w:sz="0" w:space="0" w:color="auto"/>
      </w:divBdr>
    </w:div>
    <w:div w:id="348070931">
      <w:bodyDiv w:val="1"/>
      <w:marLeft w:val="0"/>
      <w:marRight w:val="0"/>
      <w:marTop w:val="0"/>
      <w:marBottom w:val="0"/>
      <w:divBdr>
        <w:top w:val="none" w:sz="0" w:space="0" w:color="auto"/>
        <w:left w:val="none" w:sz="0" w:space="0" w:color="auto"/>
        <w:bottom w:val="none" w:sz="0" w:space="0" w:color="auto"/>
        <w:right w:val="none" w:sz="0" w:space="0" w:color="auto"/>
      </w:divBdr>
    </w:div>
    <w:div w:id="379675122">
      <w:bodyDiv w:val="1"/>
      <w:marLeft w:val="0"/>
      <w:marRight w:val="0"/>
      <w:marTop w:val="0"/>
      <w:marBottom w:val="0"/>
      <w:divBdr>
        <w:top w:val="none" w:sz="0" w:space="0" w:color="auto"/>
        <w:left w:val="none" w:sz="0" w:space="0" w:color="auto"/>
        <w:bottom w:val="none" w:sz="0" w:space="0" w:color="auto"/>
        <w:right w:val="none" w:sz="0" w:space="0" w:color="auto"/>
      </w:divBdr>
    </w:div>
    <w:div w:id="412825335">
      <w:bodyDiv w:val="1"/>
      <w:marLeft w:val="0"/>
      <w:marRight w:val="0"/>
      <w:marTop w:val="0"/>
      <w:marBottom w:val="0"/>
      <w:divBdr>
        <w:top w:val="none" w:sz="0" w:space="0" w:color="auto"/>
        <w:left w:val="none" w:sz="0" w:space="0" w:color="auto"/>
        <w:bottom w:val="none" w:sz="0" w:space="0" w:color="auto"/>
        <w:right w:val="none" w:sz="0" w:space="0" w:color="auto"/>
      </w:divBdr>
    </w:div>
    <w:div w:id="423916308">
      <w:bodyDiv w:val="1"/>
      <w:marLeft w:val="0"/>
      <w:marRight w:val="0"/>
      <w:marTop w:val="0"/>
      <w:marBottom w:val="0"/>
      <w:divBdr>
        <w:top w:val="none" w:sz="0" w:space="0" w:color="auto"/>
        <w:left w:val="none" w:sz="0" w:space="0" w:color="auto"/>
        <w:bottom w:val="none" w:sz="0" w:space="0" w:color="auto"/>
        <w:right w:val="none" w:sz="0" w:space="0" w:color="auto"/>
      </w:divBdr>
    </w:div>
    <w:div w:id="434129895">
      <w:bodyDiv w:val="1"/>
      <w:marLeft w:val="0"/>
      <w:marRight w:val="0"/>
      <w:marTop w:val="0"/>
      <w:marBottom w:val="0"/>
      <w:divBdr>
        <w:top w:val="none" w:sz="0" w:space="0" w:color="auto"/>
        <w:left w:val="none" w:sz="0" w:space="0" w:color="auto"/>
        <w:bottom w:val="none" w:sz="0" w:space="0" w:color="auto"/>
        <w:right w:val="none" w:sz="0" w:space="0" w:color="auto"/>
      </w:divBdr>
    </w:div>
    <w:div w:id="437607126">
      <w:bodyDiv w:val="1"/>
      <w:marLeft w:val="0"/>
      <w:marRight w:val="0"/>
      <w:marTop w:val="0"/>
      <w:marBottom w:val="0"/>
      <w:divBdr>
        <w:top w:val="none" w:sz="0" w:space="0" w:color="auto"/>
        <w:left w:val="none" w:sz="0" w:space="0" w:color="auto"/>
        <w:bottom w:val="none" w:sz="0" w:space="0" w:color="auto"/>
        <w:right w:val="none" w:sz="0" w:space="0" w:color="auto"/>
      </w:divBdr>
    </w:div>
    <w:div w:id="461390237">
      <w:bodyDiv w:val="1"/>
      <w:marLeft w:val="0"/>
      <w:marRight w:val="0"/>
      <w:marTop w:val="0"/>
      <w:marBottom w:val="0"/>
      <w:divBdr>
        <w:top w:val="none" w:sz="0" w:space="0" w:color="auto"/>
        <w:left w:val="none" w:sz="0" w:space="0" w:color="auto"/>
        <w:bottom w:val="none" w:sz="0" w:space="0" w:color="auto"/>
        <w:right w:val="none" w:sz="0" w:space="0" w:color="auto"/>
      </w:divBdr>
    </w:div>
    <w:div w:id="461653166">
      <w:bodyDiv w:val="1"/>
      <w:marLeft w:val="0"/>
      <w:marRight w:val="0"/>
      <w:marTop w:val="0"/>
      <w:marBottom w:val="0"/>
      <w:divBdr>
        <w:top w:val="none" w:sz="0" w:space="0" w:color="auto"/>
        <w:left w:val="none" w:sz="0" w:space="0" w:color="auto"/>
        <w:bottom w:val="none" w:sz="0" w:space="0" w:color="auto"/>
        <w:right w:val="none" w:sz="0" w:space="0" w:color="auto"/>
      </w:divBdr>
    </w:div>
    <w:div w:id="490214337">
      <w:bodyDiv w:val="1"/>
      <w:marLeft w:val="0"/>
      <w:marRight w:val="0"/>
      <w:marTop w:val="0"/>
      <w:marBottom w:val="0"/>
      <w:divBdr>
        <w:top w:val="none" w:sz="0" w:space="0" w:color="auto"/>
        <w:left w:val="none" w:sz="0" w:space="0" w:color="auto"/>
        <w:bottom w:val="none" w:sz="0" w:space="0" w:color="auto"/>
        <w:right w:val="none" w:sz="0" w:space="0" w:color="auto"/>
      </w:divBdr>
    </w:div>
    <w:div w:id="504588221">
      <w:bodyDiv w:val="1"/>
      <w:marLeft w:val="0"/>
      <w:marRight w:val="0"/>
      <w:marTop w:val="0"/>
      <w:marBottom w:val="0"/>
      <w:divBdr>
        <w:top w:val="none" w:sz="0" w:space="0" w:color="auto"/>
        <w:left w:val="none" w:sz="0" w:space="0" w:color="auto"/>
        <w:bottom w:val="none" w:sz="0" w:space="0" w:color="auto"/>
        <w:right w:val="none" w:sz="0" w:space="0" w:color="auto"/>
      </w:divBdr>
    </w:div>
    <w:div w:id="514536569">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32888727">
      <w:bodyDiv w:val="1"/>
      <w:marLeft w:val="0"/>
      <w:marRight w:val="0"/>
      <w:marTop w:val="0"/>
      <w:marBottom w:val="0"/>
      <w:divBdr>
        <w:top w:val="none" w:sz="0" w:space="0" w:color="auto"/>
        <w:left w:val="none" w:sz="0" w:space="0" w:color="auto"/>
        <w:bottom w:val="none" w:sz="0" w:space="0" w:color="auto"/>
        <w:right w:val="none" w:sz="0" w:space="0" w:color="auto"/>
      </w:divBdr>
    </w:div>
    <w:div w:id="595018798">
      <w:bodyDiv w:val="1"/>
      <w:marLeft w:val="0"/>
      <w:marRight w:val="0"/>
      <w:marTop w:val="0"/>
      <w:marBottom w:val="0"/>
      <w:divBdr>
        <w:top w:val="none" w:sz="0" w:space="0" w:color="auto"/>
        <w:left w:val="none" w:sz="0" w:space="0" w:color="auto"/>
        <w:bottom w:val="none" w:sz="0" w:space="0" w:color="auto"/>
        <w:right w:val="none" w:sz="0" w:space="0" w:color="auto"/>
      </w:divBdr>
    </w:div>
    <w:div w:id="607933143">
      <w:bodyDiv w:val="1"/>
      <w:marLeft w:val="0"/>
      <w:marRight w:val="0"/>
      <w:marTop w:val="0"/>
      <w:marBottom w:val="0"/>
      <w:divBdr>
        <w:top w:val="none" w:sz="0" w:space="0" w:color="auto"/>
        <w:left w:val="none" w:sz="0" w:space="0" w:color="auto"/>
        <w:bottom w:val="none" w:sz="0" w:space="0" w:color="auto"/>
        <w:right w:val="none" w:sz="0" w:space="0" w:color="auto"/>
      </w:divBdr>
    </w:div>
    <w:div w:id="624115687">
      <w:bodyDiv w:val="1"/>
      <w:marLeft w:val="0"/>
      <w:marRight w:val="0"/>
      <w:marTop w:val="0"/>
      <w:marBottom w:val="0"/>
      <w:divBdr>
        <w:top w:val="none" w:sz="0" w:space="0" w:color="auto"/>
        <w:left w:val="none" w:sz="0" w:space="0" w:color="auto"/>
        <w:bottom w:val="none" w:sz="0" w:space="0" w:color="auto"/>
        <w:right w:val="none" w:sz="0" w:space="0" w:color="auto"/>
      </w:divBdr>
    </w:div>
    <w:div w:id="626743866">
      <w:bodyDiv w:val="1"/>
      <w:marLeft w:val="0"/>
      <w:marRight w:val="0"/>
      <w:marTop w:val="0"/>
      <w:marBottom w:val="0"/>
      <w:divBdr>
        <w:top w:val="none" w:sz="0" w:space="0" w:color="auto"/>
        <w:left w:val="none" w:sz="0" w:space="0" w:color="auto"/>
        <w:bottom w:val="none" w:sz="0" w:space="0" w:color="auto"/>
        <w:right w:val="none" w:sz="0" w:space="0" w:color="auto"/>
      </w:divBdr>
    </w:div>
    <w:div w:id="648363240">
      <w:bodyDiv w:val="1"/>
      <w:marLeft w:val="0"/>
      <w:marRight w:val="0"/>
      <w:marTop w:val="0"/>
      <w:marBottom w:val="0"/>
      <w:divBdr>
        <w:top w:val="none" w:sz="0" w:space="0" w:color="auto"/>
        <w:left w:val="none" w:sz="0" w:space="0" w:color="auto"/>
        <w:bottom w:val="none" w:sz="0" w:space="0" w:color="auto"/>
        <w:right w:val="none" w:sz="0" w:space="0" w:color="auto"/>
      </w:divBdr>
    </w:div>
    <w:div w:id="665746471">
      <w:bodyDiv w:val="1"/>
      <w:marLeft w:val="0"/>
      <w:marRight w:val="0"/>
      <w:marTop w:val="0"/>
      <w:marBottom w:val="0"/>
      <w:divBdr>
        <w:top w:val="none" w:sz="0" w:space="0" w:color="auto"/>
        <w:left w:val="none" w:sz="0" w:space="0" w:color="auto"/>
        <w:bottom w:val="none" w:sz="0" w:space="0" w:color="auto"/>
        <w:right w:val="none" w:sz="0" w:space="0" w:color="auto"/>
      </w:divBdr>
    </w:div>
    <w:div w:id="676276670">
      <w:bodyDiv w:val="1"/>
      <w:marLeft w:val="0"/>
      <w:marRight w:val="0"/>
      <w:marTop w:val="0"/>
      <w:marBottom w:val="0"/>
      <w:divBdr>
        <w:top w:val="none" w:sz="0" w:space="0" w:color="auto"/>
        <w:left w:val="none" w:sz="0" w:space="0" w:color="auto"/>
        <w:bottom w:val="none" w:sz="0" w:space="0" w:color="auto"/>
        <w:right w:val="none" w:sz="0" w:space="0" w:color="auto"/>
      </w:divBdr>
    </w:div>
    <w:div w:id="688063390">
      <w:bodyDiv w:val="1"/>
      <w:marLeft w:val="0"/>
      <w:marRight w:val="0"/>
      <w:marTop w:val="0"/>
      <w:marBottom w:val="0"/>
      <w:divBdr>
        <w:top w:val="none" w:sz="0" w:space="0" w:color="auto"/>
        <w:left w:val="none" w:sz="0" w:space="0" w:color="auto"/>
        <w:bottom w:val="none" w:sz="0" w:space="0" w:color="auto"/>
        <w:right w:val="none" w:sz="0" w:space="0" w:color="auto"/>
      </w:divBdr>
    </w:div>
    <w:div w:id="733360852">
      <w:bodyDiv w:val="1"/>
      <w:marLeft w:val="0"/>
      <w:marRight w:val="0"/>
      <w:marTop w:val="0"/>
      <w:marBottom w:val="0"/>
      <w:divBdr>
        <w:top w:val="none" w:sz="0" w:space="0" w:color="auto"/>
        <w:left w:val="none" w:sz="0" w:space="0" w:color="auto"/>
        <w:bottom w:val="none" w:sz="0" w:space="0" w:color="auto"/>
        <w:right w:val="none" w:sz="0" w:space="0" w:color="auto"/>
      </w:divBdr>
    </w:div>
    <w:div w:id="736822376">
      <w:bodyDiv w:val="1"/>
      <w:marLeft w:val="0"/>
      <w:marRight w:val="0"/>
      <w:marTop w:val="0"/>
      <w:marBottom w:val="0"/>
      <w:divBdr>
        <w:top w:val="none" w:sz="0" w:space="0" w:color="auto"/>
        <w:left w:val="none" w:sz="0" w:space="0" w:color="auto"/>
        <w:bottom w:val="none" w:sz="0" w:space="0" w:color="auto"/>
        <w:right w:val="none" w:sz="0" w:space="0" w:color="auto"/>
      </w:divBdr>
    </w:div>
    <w:div w:id="741951901">
      <w:bodyDiv w:val="1"/>
      <w:marLeft w:val="0"/>
      <w:marRight w:val="0"/>
      <w:marTop w:val="0"/>
      <w:marBottom w:val="0"/>
      <w:divBdr>
        <w:top w:val="none" w:sz="0" w:space="0" w:color="auto"/>
        <w:left w:val="none" w:sz="0" w:space="0" w:color="auto"/>
        <w:bottom w:val="none" w:sz="0" w:space="0" w:color="auto"/>
        <w:right w:val="none" w:sz="0" w:space="0" w:color="auto"/>
      </w:divBdr>
    </w:div>
    <w:div w:id="775633345">
      <w:bodyDiv w:val="1"/>
      <w:marLeft w:val="0"/>
      <w:marRight w:val="0"/>
      <w:marTop w:val="0"/>
      <w:marBottom w:val="0"/>
      <w:divBdr>
        <w:top w:val="none" w:sz="0" w:space="0" w:color="auto"/>
        <w:left w:val="none" w:sz="0" w:space="0" w:color="auto"/>
        <w:bottom w:val="none" w:sz="0" w:space="0" w:color="auto"/>
        <w:right w:val="none" w:sz="0" w:space="0" w:color="auto"/>
      </w:divBdr>
    </w:div>
    <w:div w:id="782188353">
      <w:bodyDiv w:val="1"/>
      <w:marLeft w:val="0"/>
      <w:marRight w:val="0"/>
      <w:marTop w:val="0"/>
      <w:marBottom w:val="0"/>
      <w:divBdr>
        <w:top w:val="none" w:sz="0" w:space="0" w:color="auto"/>
        <w:left w:val="none" w:sz="0" w:space="0" w:color="auto"/>
        <w:bottom w:val="none" w:sz="0" w:space="0" w:color="auto"/>
        <w:right w:val="none" w:sz="0" w:space="0" w:color="auto"/>
      </w:divBdr>
    </w:div>
    <w:div w:id="787554803">
      <w:bodyDiv w:val="1"/>
      <w:marLeft w:val="0"/>
      <w:marRight w:val="0"/>
      <w:marTop w:val="0"/>
      <w:marBottom w:val="0"/>
      <w:divBdr>
        <w:top w:val="none" w:sz="0" w:space="0" w:color="auto"/>
        <w:left w:val="none" w:sz="0" w:space="0" w:color="auto"/>
        <w:bottom w:val="none" w:sz="0" w:space="0" w:color="auto"/>
        <w:right w:val="none" w:sz="0" w:space="0" w:color="auto"/>
      </w:divBdr>
    </w:div>
    <w:div w:id="847478047">
      <w:bodyDiv w:val="1"/>
      <w:marLeft w:val="0"/>
      <w:marRight w:val="0"/>
      <w:marTop w:val="0"/>
      <w:marBottom w:val="0"/>
      <w:divBdr>
        <w:top w:val="none" w:sz="0" w:space="0" w:color="auto"/>
        <w:left w:val="none" w:sz="0" w:space="0" w:color="auto"/>
        <w:bottom w:val="none" w:sz="0" w:space="0" w:color="auto"/>
        <w:right w:val="none" w:sz="0" w:space="0" w:color="auto"/>
      </w:divBdr>
    </w:div>
    <w:div w:id="862860700">
      <w:bodyDiv w:val="1"/>
      <w:marLeft w:val="0"/>
      <w:marRight w:val="0"/>
      <w:marTop w:val="0"/>
      <w:marBottom w:val="0"/>
      <w:divBdr>
        <w:top w:val="none" w:sz="0" w:space="0" w:color="auto"/>
        <w:left w:val="none" w:sz="0" w:space="0" w:color="auto"/>
        <w:bottom w:val="none" w:sz="0" w:space="0" w:color="auto"/>
        <w:right w:val="none" w:sz="0" w:space="0" w:color="auto"/>
      </w:divBdr>
    </w:div>
    <w:div w:id="869925331">
      <w:bodyDiv w:val="1"/>
      <w:marLeft w:val="0"/>
      <w:marRight w:val="0"/>
      <w:marTop w:val="0"/>
      <w:marBottom w:val="0"/>
      <w:divBdr>
        <w:top w:val="none" w:sz="0" w:space="0" w:color="auto"/>
        <w:left w:val="none" w:sz="0" w:space="0" w:color="auto"/>
        <w:bottom w:val="none" w:sz="0" w:space="0" w:color="auto"/>
        <w:right w:val="none" w:sz="0" w:space="0" w:color="auto"/>
      </w:divBdr>
    </w:div>
    <w:div w:id="870268879">
      <w:bodyDiv w:val="1"/>
      <w:marLeft w:val="0"/>
      <w:marRight w:val="0"/>
      <w:marTop w:val="0"/>
      <w:marBottom w:val="0"/>
      <w:divBdr>
        <w:top w:val="none" w:sz="0" w:space="0" w:color="auto"/>
        <w:left w:val="none" w:sz="0" w:space="0" w:color="auto"/>
        <w:bottom w:val="none" w:sz="0" w:space="0" w:color="auto"/>
        <w:right w:val="none" w:sz="0" w:space="0" w:color="auto"/>
      </w:divBdr>
    </w:div>
    <w:div w:id="871453293">
      <w:bodyDiv w:val="1"/>
      <w:marLeft w:val="0"/>
      <w:marRight w:val="0"/>
      <w:marTop w:val="0"/>
      <w:marBottom w:val="0"/>
      <w:divBdr>
        <w:top w:val="none" w:sz="0" w:space="0" w:color="auto"/>
        <w:left w:val="none" w:sz="0" w:space="0" w:color="auto"/>
        <w:bottom w:val="none" w:sz="0" w:space="0" w:color="auto"/>
        <w:right w:val="none" w:sz="0" w:space="0" w:color="auto"/>
      </w:divBdr>
    </w:div>
    <w:div w:id="896429833">
      <w:bodyDiv w:val="1"/>
      <w:marLeft w:val="0"/>
      <w:marRight w:val="0"/>
      <w:marTop w:val="0"/>
      <w:marBottom w:val="0"/>
      <w:divBdr>
        <w:top w:val="none" w:sz="0" w:space="0" w:color="auto"/>
        <w:left w:val="none" w:sz="0" w:space="0" w:color="auto"/>
        <w:bottom w:val="none" w:sz="0" w:space="0" w:color="auto"/>
        <w:right w:val="none" w:sz="0" w:space="0" w:color="auto"/>
      </w:divBdr>
    </w:div>
    <w:div w:id="925041388">
      <w:bodyDiv w:val="1"/>
      <w:marLeft w:val="0"/>
      <w:marRight w:val="0"/>
      <w:marTop w:val="0"/>
      <w:marBottom w:val="0"/>
      <w:divBdr>
        <w:top w:val="none" w:sz="0" w:space="0" w:color="auto"/>
        <w:left w:val="none" w:sz="0" w:space="0" w:color="auto"/>
        <w:bottom w:val="none" w:sz="0" w:space="0" w:color="auto"/>
        <w:right w:val="none" w:sz="0" w:space="0" w:color="auto"/>
      </w:divBdr>
    </w:div>
    <w:div w:id="950547600">
      <w:bodyDiv w:val="1"/>
      <w:marLeft w:val="0"/>
      <w:marRight w:val="0"/>
      <w:marTop w:val="0"/>
      <w:marBottom w:val="0"/>
      <w:divBdr>
        <w:top w:val="none" w:sz="0" w:space="0" w:color="auto"/>
        <w:left w:val="none" w:sz="0" w:space="0" w:color="auto"/>
        <w:bottom w:val="none" w:sz="0" w:space="0" w:color="auto"/>
        <w:right w:val="none" w:sz="0" w:space="0" w:color="auto"/>
      </w:divBdr>
    </w:div>
    <w:div w:id="958531039">
      <w:bodyDiv w:val="1"/>
      <w:marLeft w:val="0"/>
      <w:marRight w:val="0"/>
      <w:marTop w:val="0"/>
      <w:marBottom w:val="0"/>
      <w:divBdr>
        <w:top w:val="none" w:sz="0" w:space="0" w:color="auto"/>
        <w:left w:val="none" w:sz="0" w:space="0" w:color="auto"/>
        <w:bottom w:val="none" w:sz="0" w:space="0" w:color="auto"/>
        <w:right w:val="none" w:sz="0" w:space="0" w:color="auto"/>
      </w:divBdr>
    </w:div>
    <w:div w:id="960495757">
      <w:bodyDiv w:val="1"/>
      <w:marLeft w:val="0"/>
      <w:marRight w:val="0"/>
      <w:marTop w:val="0"/>
      <w:marBottom w:val="0"/>
      <w:divBdr>
        <w:top w:val="none" w:sz="0" w:space="0" w:color="auto"/>
        <w:left w:val="none" w:sz="0" w:space="0" w:color="auto"/>
        <w:bottom w:val="none" w:sz="0" w:space="0" w:color="auto"/>
        <w:right w:val="none" w:sz="0" w:space="0" w:color="auto"/>
      </w:divBdr>
    </w:div>
    <w:div w:id="974675799">
      <w:bodyDiv w:val="1"/>
      <w:marLeft w:val="0"/>
      <w:marRight w:val="0"/>
      <w:marTop w:val="0"/>
      <w:marBottom w:val="0"/>
      <w:divBdr>
        <w:top w:val="none" w:sz="0" w:space="0" w:color="auto"/>
        <w:left w:val="none" w:sz="0" w:space="0" w:color="auto"/>
        <w:bottom w:val="none" w:sz="0" w:space="0" w:color="auto"/>
        <w:right w:val="none" w:sz="0" w:space="0" w:color="auto"/>
      </w:divBdr>
    </w:div>
    <w:div w:id="978724391">
      <w:bodyDiv w:val="1"/>
      <w:marLeft w:val="0"/>
      <w:marRight w:val="0"/>
      <w:marTop w:val="0"/>
      <w:marBottom w:val="0"/>
      <w:divBdr>
        <w:top w:val="none" w:sz="0" w:space="0" w:color="auto"/>
        <w:left w:val="none" w:sz="0" w:space="0" w:color="auto"/>
        <w:bottom w:val="none" w:sz="0" w:space="0" w:color="auto"/>
        <w:right w:val="none" w:sz="0" w:space="0" w:color="auto"/>
      </w:divBdr>
    </w:div>
    <w:div w:id="979386575">
      <w:bodyDiv w:val="1"/>
      <w:marLeft w:val="0"/>
      <w:marRight w:val="0"/>
      <w:marTop w:val="0"/>
      <w:marBottom w:val="0"/>
      <w:divBdr>
        <w:top w:val="none" w:sz="0" w:space="0" w:color="auto"/>
        <w:left w:val="none" w:sz="0" w:space="0" w:color="auto"/>
        <w:bottom w:val="none" w:sz="0" w:space="0" w:color="auto"/>
        <w:right w:val="none" w:sz="0" w:space="0" w:color="auto"/>
      </w:divBdr>
    </w:div>
    <w:div w:id="987124635">
      <w:bodyDiv w:val="1"/>
      <w:marLeft w:val="0"/>
      <w:marRight w:val="0"/>
      <w:marTop w:val="0"/>
      <w:marBottom w:val="0"/>
      <w:divBdr>
        <w:top w:val="none" w:sz="0" w:space="0" w:color="auto"/>
        <w:left w:val="none" w:sz="0" w:space="0" w:color="auto"/>
        <w:bottom w:val="none" w:sz="0" w:space="0" w:color="auto"/>
        <w:right w:val="none" w:sz="0" w:space="0" w:color="auto"/>
      </w:divBdr>
    </w:div>
    <w:div w:id="997811123">
      <w:bodyDiv w:val="1"/>
      <w:marLeft w:val="0"/>
      <w:marRight w:val="0"/>
      <w:marTop w:val="0"/>
      <w:marBottom w:val="0"/>
      <w:divBdr>
        <w:top w:val="none" w:sz="0" w:space="0" w:color="auto"/>
        <w:left w:val="none" w:sz="0" w:space="0" w:color="auto"/>
        <w:bottom w:val="none" w:sz="0" w:space="0" w:color="auto"/>
        <w:right w:val="none" w:sz="0" w:space="0" w:color="auto"/>
      </w:divBdr>
    </w:div>
    <w:div w:id="1005593831">
      <w:bodyDiv w:val="1"/>
      <w:marLeft w:val="0"/>
      <w:marRight w:val="0"/>
      <w:marTop w:val="0"/>
      <w:marBottom w:val="0"/>
      <w:divBdr>
        <w:top w:val="none" w:sz="0" w:space="0" w:color="auto"/>
        <w:left w:val="none" w:sz="0" w:space="0" w:color="auto"/>
        <w:bottom w:val="none" w:sz="0" w:space="0" w:color="auto"/>
        <w:right w:val="none" w:sz="0" w:space="0" w:color="auto"/>
      </w:divBdr>
    </w:div>
    <w:div w:id="1016226843">
      <w:bodyDiv w:val="1"/>
      <w:marLeft w:val="0"/>
      <w:marRight w:val="0"/>
      <w:marTop w:val="0"/>
      <w:marBottom w:val="0"/>
      <w:divBdr>
        <w:top w:val="none" w:sz="0" w:space="0" w:color="auto"/>
        <w:left w:val="none" w:sz="0" w:space="0" w:color="auto"/>
        <w:bottom w:val="none" w:sz="0" w:space="0" w:color="auto"/>
        <w:right w:val="none" w:sz="0" w:space="0" w:color="auto"/>
      </w:divBdr>
    </w:div>
    <w:div w:id="1033268658">
      <w:bodyDiv w:val="1"/>
      <w:marLeft w:val="0"/>
      <w:marRight w:val="0"/>
      <w:marTop w:val="0"/>
      <w:marBottom w:val="0"/>
      <w:divBdr>
        <w:top w:val="none" w:sz="0" w:space="0" w:color="auto"/>
        <w:left w:val="none" w:sz="0" w:space="0" w:color="auto"/>
        <w:bottom w:val="none" w:sz="0" w:space="0" w:color="auto"/>
        <w:right w:val="none" w:sz="0" w:space="0" w:color="auto"/>
      </w:divBdr>
    </w:div>
    <w:div w:id="1040126361">
      <w:bodyDiv w:val="1"/>
      <w:marLeft w:val="0"/>
      <w:marRight w:val="0"/>
      <w:marTop w:val="0"/>
      <w:marBottom w:val="0"/>
      <w:divBdr>
        <w:top w:val="none" w:sz="0" w:space="0" w:color="auto"/>
        <w:left w:val="none" w:sz="0" w:space="0" w:color="auto"/>
        <w:bottom w:val="none" w:sz="0" w:space="0" w:color="auto"/>
        <w:right w:val="none" w:sz="0" w:space="0" w:color="auto"/>
      </w:divBdr>
    </w:div>
    <w:div w:id="1049459324">
      <w:bodyDiv w:val="1"/>
      <w:marLeft w:val="0"/>
      <w:marRight w:val="0"/>
      <w:marTop w:val="0"/>
      <w:marBottom w:val="0"/>
      <w:divBdr>
        <w:top w:val="none" w:sz="0" w:space="0" w:color="auto"/>
        <w:left w:val="none" w:sz="0" w:space="0" w:color="auto"/>
        <w:bottom w:val="none" w:sz="0" w:space="0" w:color="auto"/>
        <w:right w:val="none" w:sz="0" w:space="0" w:color="auto"/>
      </w:divBdr>
    </w:div>
    <w:div w:id="1086612867">
      <w:bodyDiv w:val="1"/>
      <w:marLeft w:val="0"/>
      <w:marRight w:val="0"/>
      <w:marTop w:val="0"/>
      <w:marBottom w:val="0"/>
      <w:divBdr>
        <w:top w:val="none" w:sz="0" w:space="0" w:color="auto"/>
        <w:left w:val="none" w:sz="0" w:space="0" w:color="auto"/>
        <w:bottom w:val="none" w:sz="0" w:space="0" w:color="auto"/>
        <w:right w:val="none" w:sz="0" w:space="0" w:color="auto"/>
      </w:divBdr>
    </w:div>
    <w:div w:id="1185898401">
      <w:bodyDiv w:val="1"/>
      <w:marLeft w:val="0"/>
      <w:marRight w:val="0"/>
      <w:marTop w:val="0"/>
      <w:marBottom w:val="0"/>
      <w:divBdr>
        <w:top w:val="none" w:sz="0" w:space="0" w:color="auto"/>
        <w:left w:val="none" w:sz="0" w:space="0" w:color="auto"/>
        <w:bottom w:val="none" w:sz="0" w:space="0" w:color="auto"/>
        <w:right w:val="none" w:sz="0" w:space="0" w:color="auto"/>
      </w:divBdr>
    </w:div>
    <w:div w:id="1204945433">
      <w:bodyDiv w:val="1"/>
      <w:marLeft w:val="0"/>
      <w:marRight w:val="0"/>
      <w:marTop w:val="0"/>
      <w:marBottom w:val="0"/>
      <w:divBdr>
        <w:top w:val="none" w:sz="0" w:space="0" w:color="auto"/>
        <w:left w:val="none" w:sz="0" w:space="0" w:color="auto"/>
        <w:bottom w:val="none" w:sz="0" w:space="0" w:color="auto"/>
        <w:right w:val="none" w:sz="0" w:space="0" w:color="auto"/>
      </w:divBdr>
    </w:div>
    <w:div w:id="1277105527">
      <w:bodyDiv w:val="1"/>
      <w:marLeft w:val="0"/>
      <w:marRight w:val="0"/>
      <w:marTop w:val="0"/>
      <w:marBottom w:val="0"/>
      <w:divBdr>
        <w:top w:val="none" w:sz="0" w:space="0" w:color="auto"/>
        <w:left w:val="none" w:sz="0" w:space="0" w:color="auto"/>
        <w:bottom w:val="none" w:sz="0" w:space="0" w:color="auto"/>
        <w:right w:val="none" w:sz="0" w:space="0" w:color="auto"/>
      </w:divBdr>
    </w:div>
    <w:div w:id="1323006546">
      <w:bodyDiv w:val="1"/>
      <w:marLeft w:val="0"/>
      <w:marRight w:val="0"/>
      <w:marTop w:val="0"/>
      <w:marBottom w:val="0"/>
      <w:divBdr>
        <w:top w:val="none" w:sz="0" w:space="0" w:color="auto"/>
        <w:left w:val="none" w:sz="0" w:space="0" w:color="auto"/>
        <w:bottom w:val="none" w:sz="0" w:space="0" w:color="auto"/>
        <w:right w:val="none" w:sz="0" w:space="0" w:color="auto"/>
      </w:divBdr>
    </w:div>
    <w:div w:id="1337806067">
      <w:bodyDiv w:val="1"/>
      <w:marLeft w:val="0"/>
      <w:marRight w:val="0"/>
      <w:marTop w:val="0"/>
      <w:marBottom w:val="0"/>
      <w:divBdr>
        <w:top w:val="none" w:sz="0" w:space="0" w:color="auto"/>
        <w:left w:val="none" w:sz="0" w:space="0" w:color="auto"/>
        <w:bottom w:val="none" w:sz="0" w:space="0" w:color="auto"/>
        <w:right w:val="none" w:sz="0" w:space="0" w:color="auto"/>
      </w:divBdr>
    </w:div>
    <w:div w:id="1365667547">
      <w:bodyDiv w:val="1"/>
      <w:marLeft w:val="0"/>
      <w:marRight w:val="0"/>
      <w:marTop w:val="0"/>
      <w:marBottom w:val="0"/>
      <w:divBdr>
        <w:top w:val="none" w:sz="0" w:space="0" w:color="auto"/>
        <w:left w:val="none" w:sz="0" w:space="0" w:color="auto"/>
        <w:bottom w:val="none" w:sz="0" w:space="0" w:color="auto"/>
        <w:right w:val="none" w:sz="0" w:space="0" w:color="auto"/>
      </w:divBdr>
    </w:div>
    <w:div w:id="1366520660">
      <w:bodyDiv w:val="1"/>
      <w:marLeft w:val="0"/>
      <w:marRight w:val="0"/>
      <w:marTop w:val="0"/>
      <w:marBottom w:val="0"/>
      <w:divBdr>
        <w:top w:val="none" w:sz="0" w:space="0" w:color="auto"/>
        <w:left w:val="none" w:sz="0" w:space="0" w:color="auto"/>
        <w:bottom w:val="none" w:sz="0" w:space="0" w:color="auto"/>
        <w:right w:val="none" w:sz="0" w:space="0" w:color="auto"/>
      </w:divBdr>
    </w:div>
    <w:div w:id="1388844033">
      <w:bodyDiv w:val="1"/>
      <w:marLeft w:val="0"/>
      <w:marRight w:val="0"/>
      <w:marTop w:val="0"/>
      <w:marBottom w:val="0"/>
      <w:divBdr>
        <w:top w:val="none" w:sz="0" w:space="0" w:color="auto"/>
        <w:left w:val="none" w:sz="0" w:space="0" w:color="auto"/>
        <w:bottom w:val="none" w:sz="0" w:space="0" w:color="auto"/>
        <w:right w:val="none" w:sz="0" w:space="0" w:color="auto"/>
      </w:divBdr>
    </w:div>
    <w:div w:id="1423643098">
      <w:bodyDiv w:val="1"/>
      <w:marLeft w:val="0"/>
      <w:marRight w:val="0"/>
      <w:marTop w:val="0"/>
      <w:marBottom w:val="0"/>
      <w:divBdr>
        <w:top w:val="none" w:sz="0" w:space="0" w:color="auto"/>
        <w:left w:val="none" w:sz="0" w:space="0" w:color="auto"/>
        <w:bottom w:val="none" w:sz="0" w:space="0" w:color="auto"/>
        <w:right w:val="none" w:sz="0" w:space="0" w:color="auto"/>
      </w:divBdr>
    </w:div>
    <w:div w:id="1437558506">
      <w:bodyDiv w:val="1"/>
      <w:marLeft w:val="0"/>
      <w:marRight w:val="0"/>
      <w:marTop w:val="0"/>
      <w:marBottom w:val="0"/>
      <w:divBdr>
        <w:top w:val="none" w:sz="0" w:space="0" w:color="auto"/>
        <w:left w:val="none" w:sz="0" w:space="0" w:color="auto"/>
        <w:bottom w:val="none" w:sz="0" w:space="0" w:color="auto"/>
        <w:right w:val="none" w:sz="0" w:space="0" w:color="auto"/>
      </w:divBdr>
    </w:div>
    <w:div w:id="1461338151">
      <w:bodyDiv w:val="1"/>
      <w:marLeft w:val="0"/>
      <w:marRight w:val="0"/>
      <w:marTop w:val="0"/>
      <w:marBottom w:val="0"/>
      <w:divBdr>
        <w:top w:val="none" w:sz="0" w:space="0" w:color="auto"/>
        <w:left w:val="none" w:sz="0" w:space="0" w:color="auto"/>
        <w:bottom w:val="none" w:sz="0" w:space="0" w:color="auto"/>
        <w:right w:val="none" w:sz="0" w:space="0" w:color="auto"/>
      </w:divBdr>
    </w:div>
    <w:div w:id="1469780427">
      <w:bodyDiv w:val="1"/>
      <w:marLeft w:val="0"/>
      <w:marRight w:val="0"/>
      <w:marTop w:val="0"/>
      <w:marBottom w:val="0"/>
      <w:divBdr>
        <w:top w:val="none" w:sz="0" w:space="0" w:color="auto"/>
        <w:left w:val="none" w:sz="0" w:space="0" w:color="auto"/>
        <w:bottom w:val="none" w:sz="0" w:space="0" w:color="auto"/>
        <w:right w:val="none" w:sz="0" w:space="0" w:color="auto"/>
      </w:divBdr>
    </w:div>
    <w:div w:id="1473017099">
      <w:bodyDiv w:val="1"/>
      <w:marLeft w:val="0"/>
      <w:marRight w:val="0"/>
      <w:marTop w:val="0"/>
      <w:marBottom w:val="0"/>
      <w:divBdr>
        <w:top w:val="none" w:sz="0" w:space="0" w:color="auto"/>
        <w:left w:val="none" w:sz="0" w:space="0" w:color="auto"/>
        <w:bottom w:val="none" w:sz="0" w:space="0" w:color="auto"/>
        <w:right w:val="none" w:sz="0" w:space="0" w:color="auto"/>
      </w:divBdr>
    </w:div>
    <w:div w:id="1494838886">
      <w:bodyDiv w:val="1"/>
      <w:marLeft w:val="0"/>
      <w:marRight w:val="0"/>
      <w:marTop w:val="0"/>
      <w:marBottom w:val="0"/>
      <w:divBdr>
        <w:top w:val="none" w:sz="0" w:space="0" w:color="auto"/>
        <w:left w:val="none" w:sz="0" w:space="0" w:color="auto"/>
        <w:bottom w:val="none" w:sz="0" w:space="0" w:color="auto"/>
        <w:right w:val="none" w:sz="0" w:space="0" w:color="auto"/>
      </w:divBdr>
    </w:div>
    <w:div w:id="1503201834">
      <w:bodyDiv w:val="1"/>
      <w:marLeft w:val="0"/>
      <w:marRight w:val="0"/>
      <w:marTop w:val="0"/>
      <w:marBottom w:val="0"/>
      <w:divBdr>
        <w:top w:val="none" w:sz="0" w:space="0" w:color="auto"/>
        <w:left w:val="none" w:sz="0" w:space="0" w:color="auto"/>
        <w:bottom w:val="none" w:sz="0" w:space="0" w:color="auto"/>
        <w:right w:val="none" w:sz="0" w:space="0" w:color="auto"/>
      </w:divBdr>
    </w:div>
    <w:div w:id="1512913417">
      <w:bodyDiv w:val="1"/>
      <w:marLeft w:val="0"/>
      <w:marRight w:val="0"/>
      <w:marTop w:val="0"/>
      <w:marBottom w:val="0"/>
      <w:divBdr>
        <w:top w:val="none" w:sz="0" w:space="0" w:color="auto"/>
        <w:left w:val="none" w:sz="0" w:space="0" w:color="auto"/>
        <w:bottom w:val="none" w:sz="0" w:space="0" w:color="auto"/>
        <w:right w:val="none" w:sz="0" w:space="0" w:color="auto"/>
      </w:divBdr>
    </w:div>
    <w:div w:id="1554732414">
      <w:bodyDiv w:val="1"/>
      <w:marLeft w:val="0"/>
      <w:marRight w:val="0"/>
      <w:marTop w:val="0"/>
      <w:marBottom w:val="0"/>
      <w:divBdr>
        <w:top w:val="none" w:sz="0" w:space="0" w:color="auto"/>
        <w:left w:val="none" w:sz="0" w:space="0" w:color="auto"/>
        <w:bottom w:val="none" w:sz="0" w:space="0" w:color="auto"/>
        <w:right w:val="none" w:sz="0" w:space="0" w:color="auto"/>
      </w:divBdr>
    </w:div>
    <w:div w:id="1568614968">
      <w:bodyDiv w:val="1"/>
      <w:marLeft w:val="0"/>
      <w:marRight w:val="0"/>
      <w:marTop w:val="0"/>
      <w:marBottom w:val="0"/>
      <w:divBdr>
        <w:top w:val="none" w:sz="0" w:space="0" w:color="auto"/>
        <w:left w:val="none" w:sz="0" w:space="0" w:color="auto"/>
        <w:bottom w:val="none" w:sz="0" w:space="0" w:color="auto"/>
        <w:right w:val="none" w:sz="0" w:space="0" w:color="auto"/>
      </w:divBdr>
    </w:div>
    <w:div w:id="1574927946">
      <w:bodyDiv w:val="1"/>
      <w:marLeft w:val="0"/>
      <w:marRight w:val="0"/>
      <w:marTop w:val="0"/>
      <w:marBottom w:val="0"/>
      <w:divBdr>
        <w:top w:val="none" w:sz="0" w:space="0" w:color="auto"/>
        <w:left w:val="none" w:sz="0" w:space="0" w:color="auto"/>
        <w:bottom w:val="none" w:sz="0" w:space="0" w:color="auto"/>
        <w:right w:val="none" w:sz="0" w:space="0" w:color="auto"/>
      </w:divBdr>
    </w:div>
    <w:div w:id="1595671733">
      <w:bodyDiv w:val="1"/>
      <w:marLeft w:val="0"/>
      <w:marRight w:val="0"/>
      <w:marTop w:val="0"/>
      <w:marBottom w:val="0"/>
      <w:divBdr>
        <w:top w:val="none" w:sz="0" w:space="0" w:color="auto"/>
        <w:left w:val="none" w:sz="0" w:space="0" w:color="auto"/>
        <w:bottom w:val="none" w:sz="0" w:space="0" w:color="auto"/>
        <w:right w:val="none" w:sz="0" w:space="0" w:color="auto"/>
      </w:divBdr>
    </w:div>
    <w:div w:id="1597324426">
      <w:bodyDiv w:val="1"/>
      <w:marLeft w:val="0"/>
      <w:marRight w:val="0"/>
      <w:marTop w:val="0"/>
      <w:marBottom w:val="0"/>
      <w:divBdr>
        <w:top w:val="none" w:sz="0" w:space="0" w:color="auto"/>
        <w:left w:val="none" w:sz="0" w:space="0" w:color="auto"/>
        <w:bottom w:val="none" w:sz="0" w:space="0" w:color="auto"/>
        <w:right w:val="none" w:sz="0" w:space="0" w:color="auto"/>
      </w:divBdr>
    </w:div>
    <w:div w:id="1614363567">
      <w:bodyDiv w:val="1"/>
      <w:marLeft w:val="0"/>
      <w:marRight w:val="0"/>
      <w:marTop w:val="0"/>
      <w:marBottom w:val="0"/>
      <w:divBdr>
        <w:top w:val="none" w:sz="0" w:space="0" w:color="auto"/>
        <w:left w:val="none" w:sz="0" w:space="0" w:color="auto"/>
        <w:bottom w:val="none" w:sz="0" w:space="0" w:color="auto"/>
        <w:right w:val="none" w:sz="0" w:space="0" w:color="auto"/>
      </w:divBdr>
    </w:div>
    <w:div w:id="1614706175">
      <w:bodyDiv w:val="1"/>
      <w:marLeft w:val="0"/>
      <w:marRight w:val="0"/>
      <w:marTop w:val="0"/>
      <w:marBottom w:val="0"/>
      <w:divBdr>
        <w:top w:val="none" w:sz="0" w:space="0" w:color="auto"/>
        <w:left w:val="none" w:sz="0" w:space="0" w:color="auto"/>
        <w:bottom w:val="none" w:sz="0" w:space="0" w:color="auto"/>
        <w:right w:val="none" w:sz="0" w:space="0" w:color="auto"/>
      </w:divBdr>
    </w:div>
    <w:div w:id="1625231210">
      <w:bodyDiv w:val="1"/>
      <w:marLeft w:val="0"/>
      <w:marRight w:val="0"/>
      <w:marTop w:val="0"/>
      <w:marBottom w:val="0"/>
      <w:divBdr>
        <w:top w:val="none" w:sz="0" w:space="0" w:color="auto"/>
        <w:left w:val="none" w:sz="0" w:space="0" w:color="auto"/>
        <w:bottom w:val="none" w:sz="0" w:space="0" w:color="auto"/>
        <w:right w:val="none" w:sz="0" w:space="0" w:color="auto"/>
      </w:divBdr>
    </w:div>
    <w:div w:id="1683360083">
      <w:bodyDiv w:val="1"/>
      <w:marLeft w:val="0"/>
      <w:marRight w:val="0"/>
      <w:marTop w:val="0"/>
      <w:marBottom w:val="0"/>
      <w:divBdr>
        <w:top w:val="none" w:sz="0" w:space="0" w:color="auto"/>
        <w:left w:val="none" w:sz="0" w:space="0" w:color="auto"/>
        <w:bottom w:val="none" w:sz="0" w:space="0" w:color="auto"/>
        <w:right w:val="none" w:sz="0" w:space="0" w:color="auto"/>
      </w:divBdr>
    </w:div>
    <w:div w:id="1708329413">
      <w:bodyDiv w:val="1"/>
      <w:marLeft w:val="0"/>
      <w:marRight w:val="0"/>
      <w:marTop w:val="0"/>
      <w:marBottom w:val="0"/>
      <w:divBdr>
        <w:top w:val="none" w:sz="0" w:space="0" w:color="auto"/>
        <w:left w:val="none" w:sz="0" w:space="0" w:color="auto"/>
        <w:bottom w:val="none" w:sz="0" w:space="0" w:color="auto"/>
        <w:right w:val="none" w:sz="0" w:space="0" w:color="auto"/>
      </w:divBdr>
    </w:div>
    <w:div w:id="1740590476">
      <w:bodyDiv w:val="1"/>
      <w:marLeft w:val="0"/>
      <w:marRight w:val="0"/>
      <w:marTop w:val="0"/>
      <w:marBottom w:val="0"/>
      <w:divBdr>
        <w:top w:val="none" w:sz="0" w:space="0" w:color="auto"/>
        <w:left w:val="none" w:sz="0" w:space="0" w:color="auto"/>
        <w:bottom w:val="none" w:sz="0" w:space="0" w:color="auto"/>
        <w:right w:val="none" w:sz="0" w:space="0" w:color="auto"/>
      </w:divBdr>
    </w:div>
    <w:div w:id="1754549726">
      <w:bodyDiv w:val="1"/>
      <w:marLeft w:val="0"/>
      <w:marRight w:val="0"/>
      <w:marTop w:val="0"/>
      <w:marBottom w:val="0"/>
      <w:divBdr>
        <w:top w:val="none" w:sz="0" w:space="0" w:color="auto"/>
        <w:left w:val="none" w:sz="0" w:space="0" w:color="auto"/>
        <w:bottom w:val="none" w:sz="0" w:space="0" w:color="auto"/>
        <w:right w:val="none" w:sz="0" w:space="0" w:color="auto"/>
      </w:divBdr>
    </w:div>
    <w:div w:id="1786847947">
      <w:bodyDiv w:val="1"/>
      <w:marLeft w:val="0"/>
      <w:marRight w:val="0"/>
      <w:marTop w:val="0"/>
      <w:marBottom w:val="0"/>
      <w:divBdr>
        <w:top w:val="none" w:sz="0" w:space="0" w:color="auto"/>
        <w:left w:val="none" w:sz="0" w:space="0" w:color="auto"/>
        <w:bottom w:val="none" w:sz="0" w:space="0" w:color="auto"/>
        <w:right w:val="none" w:sz="0" w:space="0" w:color="auto"/>
      </w:divBdr>
    </w:div>
    <w:div w:id="1792700066">
      <w:bodyDiv w:val="1"/>
      <w:marLeft w:val="0"/>
      <w:marRight w:val="0"/>
      <w:marTop w:val="0"/>
      <w:marBottom w:val="0"/>
      <w:divBdr>
        <w:top w:val="none" w:sz="0" w:space="0" w:color="auto"/>
        <w:left w:val="none" w:sz="0" w:space="0" w:color="auto"/>
        <w:bottom w:val="none" w:sz="0" w:space="0" w:color="auto"/>
        <w:right w:val="none" w:sz="0" w:space="0" w:color="auto"/>
      </w:divBdr>
    </w:div>
    <w:div w:id="1814563187">
      <w:bodyDiv w:val="1"/>
      <w:marLeft w:val="0"/>
      <w:marRight w:val="0"/>
      <w:marTop w:val="0"/>
      <w:marBottom w:val="0"/>
      <w:divBdr>
        <w:top w:val="none" w:sz="0" w:space="0" w:color="auto"/>
        <w:left w:val="none" w:sz="0" w:space="0" w:color="auto"/>
        <w:bottom w:val="none" w:sz="0" w:space="0" w:color="auto"/>
        <w:right w:val="none" w:sz="0" w:space="0" w:color="auto"/>
      </w:divBdr>
    </w:div>
    <w:div w:id="1820685473">
      <w:bodyDiv w:val="1"/>
      <w:marLeft w:val="0"/>
      <w:marRight w:val="0"/>
      <w:marTop w:val="0"/>
      <w:marBottom w:val="0"/>
      <w:divBdr>
        <w:top w:val="none" w:sz="0" w:space="0" w:color="auto"/>
        <w:left w:val="none" w:sz="0" w:space="0" w:color="auto"/>
        <w:bottom w:val="none" w:sz="0" w:space="0" w:color="auto"/>
        <w:right w:val="none" w:sz="0" w:space="0" w:color="auto"/>
      </w:divBdr>
    </w:div>
    <w:div w:id="1848670469">
      <w:bodyDiv w:val="1"/>
      <w:marLeft w:val="0"/>
      <w:marRight w:val="0"/>
      <w:marTop w:val="0"/>
      <w:marBottom w:val="0"/>
      <w:divBdr>
        <w:top w:val="none" w:sz="0" w:space="0" w:color="auto"/>
        <w:left w:val="none" w:sz="0" w:space="0" w:color="auto"/>
        <w:bottom w:val="none" w:sz="0" w:space="0" w:color="auto"/>
        <w:right w:val="none" w:sz="0" w:space="0" w:color="auto"/>
      </w:divBdr>
    </w:div>
    <w:div w:id="1858302632">
      <w:bodyDiv w:val="1"/>
      <w:marLeft w:val="0"/>
      <w:marRight w:val="0"/>
      <w:marTop w:val="0"/>
      <w:marBottom w:val="0"/>
      <w:divBdr>
        <w:top w:val="none" w:sz="0" w:space="0" w:color="auto"/>
        <w:left w:val="none" w:sz="0" w:space="0" w:color="auto"/>
        <w:bottom w:val="none" w:sz="0" w:space="0" w:color="auto"/>
        <w:right w:val="none" w:sz="0" w:space="0" w:color="auto"/>
      </w:divBdr>
    </w:div>
    <w:div w:id="1897550907">
      <w:bodyDiv w:val="1"/>
      <w:marLeft w:val="0"/>
      <w:marRight w:val="0"/>
      <w:marTop w:val="0"/>
      <w:marBottom w:val="0"/>
      <w:divBdr>
        <w:top w:val="none" w:sz="0" w:space="0" w:color="auto"/>
        <w:left w:val="none" w:sz="0" w:space="0" w:color="auto"/>
        <w:bottom w:val="none" w:sz="0" w:space="0" w:color="auto"/>
        <w:right w:val="none" w:sz="0" w:space="0" w:color="auto"/>
      </w:divBdr>
    </w:div>
    <w:div w:id="1935702013">
      <w:bodyDiv w:val="1"/>
      <w:marLeft w:val="0"/>
      <w:marRight w:val="0"/>
      <w:marTop w:val="0"/>
      <w:marBottom w:val="0"/>
      <w:divBdr>
        <w:top w:val="none" w:sz="0" w:space="0" w:color="auto"/>
        <w:left w:val="none" w:sz="0" w:space="0" w:color="auto"/>
        <w:bottom w:val="none" w:sz="0" w:space="0" w:color="auto"/>
        <w:right w:val="none" w:sz="0" w:space="0" w:color="auto"/>
      </w:divBdr>
    </w:div>
    <w:div w:id="1944457246">
      <w:bodyDiv w:val="1"/>
      <w:marLeft w:val="0"/>
      <w:marRight w:val="0"/>
      <w:marTop w:val="0"/>
      <w:marBottom w:val="0"/>
      <w:divBdr>
        <w:top w:val="none" w:sz="0" w:space="0" w:color="auto"/>
        <w:left w:val="none" w:sz="0" w:space="0" w:color="auto"/>
        <w:bottom w:val="none" w:sz="0" w:space="0" w:color="auto"/>
        <w:right w:val="none" w:sz="0" w:space="0" w:color="auto"/>
      </w:divBdr>
    </w:div>
    <w:div w:id="1956014622">
      <w:bodyDiv w:val="1"/>
      <w:marLeft w:val="0"/>
      <w:marRight w:val="0"/>
      <w:marTop w:val="0"/>
      <w:marBottom w:val="0"/>
      <w:divBdr>
        <w:top w:val="none" w:sz="0" w:space="0" w:color="auto"/>
        <w:left w:val="none" w:sz="0" w:space="0" w:color="auto"/>
        <w:bottom w:val="none" w:sz="0" w:space="0" w:color="auto"/>
        <w:right w:val="none" w:sz="0" w:space="0" w:color="auto"/>
      </w:divBdr>
    </w:div>
    <w:div w:id="2069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fuels-registration-reporting-and-compliance-help/reporting-fuel-progra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c1b83ad4-d79b-4b71-ba4b-25d47299884d" xsi:nil="true"/>
    <Records_x0020_Status xmlns="c1b83ad4-d79b-4b71-ba4b-25d47299884d">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2A2C30431D4EC4897D285529CBEF9BD" ma:contentTypeVersion="37" ma:contentTypeDescription="Create a new document." ma:contentTypeScope="" ma:versionID="11c32ffac9bd92357a17b0cb52d6f7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1b83ad4-d79b-4b71-ba4b-25d47299884d" xmlns:ns7="02c7e5c4-f095-412f-ba62-3d5024b668be" targetNamespace="http://schemas.microsoft.com/office/2006/metadata/properties" ma:root="true" ma:fieldsID="f984157ed364f3195de9f1cd65246853" ns1:_="" ns3:_="" ns4:_="" ns5:_="" ns6:_="" ns7:_="">
    <xsd:import namespace="http://schemas.microsoft.com/sharepoint/v3"/>
    <xsd:import namespace="4ffa91fb-a0ff-4ac5-b2db-65c790d184a4"/>
    <xsd:import namespace="http://schemas.microsoft.com/sharepoint.v3"/>
    <xsd:import namespace="http://schemas.microsoft.com/sharepoint/v3/fields"/>
    <xsd:import namespace="c1b83ad4-d79b-4b71-ba4b-25d47299884d"/>
    <xsd:import namespace="02c7e5c4-f095-412f-ba62-3d5024b668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86d4b29-d9f0-4668-be32-aa40dbbc3297}" ma:internalName="TaxCatchAllLabel" ma:readOnly="true" ma:showField="CatchAllDataLabel" ma:web="c1b83ad4-d79b-4b71-ba4b-25d47299884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86d4b29-d9f0-4668-be32-aa40dbbc3297}" ma:internalName="TaxCatchAll" ma:showField="CatchAllData" ma:web="c1b83ad4-d79b-4b71-ba4b-25d4729988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83ad4-d79b-4b71-ba4b-25d47299884d"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c7e5c4-f095-412f-ba62-3d5024b668b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9AEE-A16B-4C7A-B162-E13471BDC154}">
  <ds:schemaRefs>
    <ds:schemaRef ds:uri="http://schemas.microsoft.com/office/2006/documentManagement/types"/>
    <ds:schemaRef ds:uri="http://schemas.microsoft.com/office/infopath/2007/PartnerControls"/>
    <ds:schemaRef ds:uri="4ffa91fb-a0ff-4ac5-b2db-65c790d184a4"/>
    <ds:schemaRef ds:uri="http://purl.org/dc/elements/1.1/"/>
    <ds:schemaRef ds:uri="http://schemas.microsoft.com/office/2006/metadata/properties"/>
    <ds:schemaRef ds:uri="http://schemas.openxmlformats.org/package/2006/metadata/core-properties"/>
    <ds:schemaRef ds:uri="http://schemas.microsoft.com/sharepoint/v3"/>
    <ds:schemaRef ds:uri="02c7e5c4-f095-412f-ba62-3d5024b668be"/>
    <ds:schemaRef ds:uri="http://schemas.microsoft.com/sharepoint/v3/fields"/>
    <ds:schemaRef ds:uri="http://purl.org/dc/terms/"/>
    <ds:schemaRef ds:uri="c1b83ad4-d79b-4b71-ba4b-25d47299884d"/>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53489A5A-C4B0-4C5D-A84F-11B26F2D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1b83ad4-d79b-4b71-ba4b-25d47299884d"/>
    <ds:schemaRef ds:uri="02c7e5c4-f095-412f-ba62-3d5024b66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5A9F40-4254-4D9F-A521-E9D438BA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2017-02-15T14:32:00Z</cp:lastPrinted>
  <dcterms:created xsi:type="dcterms:W3CDTF">2020-04-03T19:48:00Z</dcterms:created>
  <dcterms:modified xsi:type="dcterms:W3CDTF">2020-04-03T19:48:00Z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0x01010032A2C30431D4EC4897D285529CBEF9BD</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